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 w:leftChars="-1" w:firstLine="0" w:firstLineChars="0"/>
        <w:rPr>
          <w:rFonts w:hint="eastAsia"/>
          <w:color w:val="auto"/>
          <w:highlight w:val="none"/>
        </w:rPr>
      </w:pPr>
    </w:p>
    <w:p>
      <w:pPr>
        <w:spacing w:before="156" w:beforeLines="50" w:line="1600" w:lineRule="exact"/>
        <w:ind w:left="634" w:leftChars="-64" w:hanging="768" w:hangingChars="64"/>
        <w:jc w:val="center"/>
        <w:rPr>
          <w:rFonts w:ascii="方正小标宋_GBK" w:hAnsi="宋体" w:eastAsia="方正小标宋_GBK"/>
          <w:color w:val="auto"/>
          <w:sz w:val="120"/>
          <w:szCs w:val="120"/>
          <w:highlight w:val="none"/>
        </w:rPr>
      </w:pPr>
      <w:r>
        <w:rPr>
          <w:rFonts w:hint="eastAsia" w:ascii="方正小标宋_GBK" w:hAnsi="宋体" w:eastAsia="方正小标宋_GBK"/>
          <w:color w:val="auto"/>
          <w:sz w:val="120"/>
          <w:szCs w:val="120"/>
          <w:highlight w:val="none"/>
        </w:rPr>
        <w:t>招标文件</w:t>
      </w:r>
    </w:p>
    <w:p>
      <w:pPr>
        <w:ind w:left="-2" w:leftChars="-1" w:firstLine="0" w:firstLineChars="0"/>
        <w:rPr>
          <w:color w:val="auto"/>
          <w:highlight w:val="none"/>
        </w:rPr>
      </w:pPr>
    </w:p>
    <w:p>
      <w:pPr>
        <w:ind w:left="-2" w:leftChars="-1" w:firstLine="0" w:firstLineChars="0"/>
        <w:rPr>
          <w:rFonts w:hint="eastAsia"/>
          <w:color w:val="auto"/>
          <w:highlight w:val="none"/>
        </w:rPr>
      </w:pPr>
    </w:p>
    <w:p>
      <w:pPr>
        <w:ind w:left="-2" w:leftChars="-1" w:firstLine="0" w:firstLineChars="0"/>
        <w:rPr>
          <w:color w:val="auto"/>
          <w:highlight w:val="none"/>
        </w:rPr>
      </w:pPr>
    </w:p>
    <w:p>
      <w:pPr>
        <w:ind w:left="-2" w:leftChars="-1" w:firstLine="0" w:firstLineChars="0"/>
        <w:rPr>
          <w:color w:val="auto"/>
          <w:highlight w:val="none"/>
        </w:rPr>
      </w:pPr>
    </w:p>
    <w:p>
      <w:pPr>
        <w:ind w:left="-2" w:leftChars="-1" w:firstLine="0" w:firstLineChars="0"/>
        <w:rPr>
          <w:color w:val="auto"/>
          <w:highlight w:val="none"/>
        </w:rPr>
      </w:pPr>
    </w:p>
    <w:p>
      <w:pPr>
        <w:ind w:left="-2" w:leftChars="-1" w:firstLine="0" w:firstLineChars="0"/>
        <w:rPr>
          <w:color w:val="auto"/>
          <w:highlight w:val="none"/>
        </w:rPr>
      </w:pPr>
    </w:p>
    <w:p>
      <w:pPr>
        <w:ind w:left="-2" w:leftChars="-1" w:firstLine="0" w:firstLineChars="0"/>
        <w:rPr>
          <w:rFonts w:hint="eastAsia"/>
          <w:color w:val="auto"/>
          <w:highlight w:val="none"/>
        </w:rPr>
      </w:pPr>
    </w:p>
    <w:p>
      <w:pPr>
        <w:ind w:left="-2" w:leftChars="-1" w:firstLine="0" w:firstLineChars="0"/>
        <w:rPr>
          <w:color w:val="auto"/>
          <w:highlight w:val="none"/>
        </w:rPr>
      </w:pPr>
    </w:p>
    <w:p>
      <w:pPr>
        <w:ind w:left="-2" w:leftChars="-1" w:firstLine="0" w:firstLineChars="0"/>
        <w:rPr>
          <w:rFonts w:hint="eastAsia"/>
          <w:color w:val="auto"/>
          <w:highlight w:val="none"/>
        </w:rPr>
      </w:pPr>
    </w:p>
    <w:p>
      <w:pPr>
        <w:ind w:left="-2" w:leftChars="-1" w:firstLine="0" w:firstLineChars="0"/>
        <w:rPr>
          <w:rFonts w:hint="eastAsia"/>
          <w:color w:val="auto"/>
          <w:highlight w:val="none"/>
        </w:rPr>
      </w:pPr>
    </w:p>
    <w:p>
      <w:pPr>
        <w:ind w:left="-2" w:leftChars="-1" w:firstLine="0" w:firstLineChars="0"/>
        <w:rPr>
          <w:color w:val="auto"/>
          <w:highlight w:val="none"/>
        </w:rPr>
      </w:pPr>
    </w:p>
    <w:p>
      <w:pPr>
        <w:snapToGrid w:val="0"/>
        <w:spacing w:before="156" w:beforeLines="50" w:line="320" w:lineRule="exact"/>
        <w:ind w:left="2976" w:hanging="2976" w:hangingChars="954"/>
        <w:rPr>
          <w:rFonts w:hint="eastAsia" w:ascii="方正小标宋_GBK" w:hAnsi="宋体" w:eastAsia="方正小标宋_GBK"/>
          <w:color w:val="auto"/>
          <w:sz w:val="28"/>
          <w:szCs w:val="60"/>
          <w:highlight w:val="none"/>
          <w:lang w:eastAsia="zh-CN"/>
        </w:rPr>
      </w:pPr>
      <w:r>
        <w:rPr>
          <w:rFonts w:hint="eastAsia" w:ascii="方正小标宋_GBK" w:hAnsi="宋体" w:eastAsia="方正小标宋_GBK"/>
          <w:color w:val="auto"/>
          <w:spacing w:val="6"/>
          <w:sz w:val="30"/>
          <w:szCs w:val="72"/>
          <w:highlight w:val="none"/>
        </w:rPr>
        <w:t xml:space="preserve">       </w:t>
      </w:r>
      <w:r>
        <w:rPr>
          <w:rFonts w:hint="eastAsia" w:ascii="方正小标宋_GBK" w:hAnsi="宋体" w:eastAsia="方正小标宋_GBK"/>
          <w:color w:val="auto"/>
          <w:spacing w:val="6"/>
          <w:sz w:val="28"/>
          <w:szCs w:val="60"/>
          <w:highlight w:val="none"/>
        </w:rPr>
        <w:t xml:space="preserve"> 项目名称</w:t>
      </w:r>
      <w:r>
        <w:rPr>
          <w:rFonts w:hint="eastAsia" w:ascii="方正小标宋_GBK" w:hAnsi="宋体" w:eastAsia="方正小标宋_GBK"/>
          <w:color w:val="auto"/>
          <w:sz w:val="28"/>
          <w:szCs w:val="60"/>
          <w:highlight w:val="none"/>
        </w:rPr>
        <w:t>:</w:t>
      </w:r>
      <w:bookmarkStart w:id="0" w:name="_Hlk179639570"/>
      <w:r>
        <w:rPr>
          <w:rFonts w:hint="eastAsia" w:ascii="方正小标宋_GBK" w:hAnsi="宋体" w:eastAsia="方正小标宋_GBK"/>
          <w:color w:val="auto"/>
          <w:sz w:val="28"/>
          <w:szCs w:val="60"/>
          <w:highlight w:val="none"/>
          <w:lang w:eastAsia="zh-CN"/>
        </w:rPr>
        <w:t>大化瑶族自治县人民法院审判法庭业务用房信息化建设</w:t>
      </w:r>
    </w:p>
    <w:p>
      <w:pPr>
        <w:pStyle w:val="2"/>
        <w:rPr>
          <w:rFonts w:hint="eastAsia"/>
          <w:highlight w:val="none"/>
          <w:lang w:eastAsia="zh-CN"/>
        </w:rPr>
      </w:pPr>
    </w:p>
    <w:bookmarkEnd w:id="0"/>
    <w:p>
      <w:pPr>
        <w:snapToGrid w:val="0"/>
        <w:spacing w:before="156" w:beforeLines="50"/>
        <w:ind w:firstLine="0" w:firstLineChars="0"/>
        <w:rPr>
          <w:rFonts w:hint="eastAsia" w:ascii="方正小标宋_GBK" w:hAnsi="宋体" w:eastAsia="宋体"/>
          <w:b/>
          <w:bCs/>
          <w:color w:val="auto"/>
          <w:sz w:val="28"/>
          <w:szCs w:val="28"/>
          <w:highlight w:val="none"/>
          <w:lang w:eastAsia="zh-CN"/>
        </w:rPr>
      </w:pPr>
      <w:r>
        <w:rPr>
          <w:rFonts w:hint="eastAsia" w:ascii="方正小标宋_GBK" w:hAnsi="宋体" w:eastAsia="方正小标宋_GBK"/>
          <w:color w:val="auto"/>
          <w:spacing w:val="6"/>
          <w:sz w:val="28"/>
          <w:szCs w:val="60"/>
          <w:highlight w:val="none"/>
        </w:rPr>
        <w:t xml:space="preserve">        </w:t>
      </w:r>
      <w:r>
        <w:rPr>
          <w:rFonts w:hint="eastAsia" w:ascii="方正小标宋_GBK" w:hAnsi="宋体" w:eastAsia="方正小标宋_GBK"/>
          <w:color w:val="auto"/>
          <w:spacing w:val="6"/>
          <w:sz w:val="28"/>
          <w:szCs w:val="60"/>
          <w:highlight w:val="none"/>
          <w:lang w:val="en-US" w:eastAsia="zh-CN"/>
        </w:rPr>
        <w:t xml:space="preserve"> </w:t>
      </w:r>
      <w:r>
        <w:rPr>
          <w:rFonts w:hint="eastAsia" w:ascii="方正小标宋_GBK" w:hAnsi="宋体" w:eastAsia="方正小标宋_GBK"/>
          <w:color w:val="auto"/>
          <w:spacing w:val="6"/>
          <w:sz w:val="28"/>
          <w:szCs w:val="60"/>
          <w:highlight w:val="none"/>
        </w:rPr>
        <w:t>项目编号</w:t>
      </w:r>
      <w:r>
        <w:rPr>
          <w:rFonts w:hint="eastAsia" w:ascii="方正小标宋_GBK" w:hAnsi="宋体" w:eastAsia="方正小标宋_GBK"/>
          <w:color w:val="auto"/>
          <w:sz w:val="28"/>
          <w:szCs w:val="60"/>
          <w:highlight w:val="none"/>
        </w:rPr>
        <w:t>:</w:t>
      </w:r>
      <w:r>
        <w:rPr>
          <w:color w:val="auto"/>
          <w:sz w:val="20"/>
          <w:szCs w:val="22"/>
          <w:highlight w:val="none"/>
        </w:rPr>
        <w:t xml:space="preserve"> </w:t>
      </w:r>
      <w:r>
        <w:rPr>
          <w:rFonts w:hint="eastAsia" w:ascii="方正小标宋_GBK" w:hAnsi="宋体" w:eastAsia="方正小标宋_GBK"/>
          <w:bCs/>
          <w:color w:val="auto"/>
          <w:sz w:val="28"/>
          <w:szCs w:val="28"/>
          <w:highlight w:val="none"/>
          <w:lang w:eastAsia="zh-CN"/>
        </w:rPr>
        <w:t>HCZC2025-G1-990090-QZSZ</w:t>
      </w:r>
    </w:p>
    <w:p>
      <w:pPr>
        <w:ind w:left="-2" w:leftChars="-1" w:firstLine="0" w:firstLineChars="0"/>
        <w:rPr>
          <w:rFonts w:hint="eastAsia"/>
          <w:color w:val="auto"/>
          <w:highlight w:val="none"/>
        </w:rPr>
      </w:pPr>
    </w:p>
    <w:p>
      <w:pPr>
        <w:ind w:left="-2" w:leftChars="-1" w:firstLine="0" w:firstLineChars="0"/>
        <w:rPr>
          <w:rFonts w:hint="eastAsia"/>
          <w:color w:val="auto"/>
          <w:highlight w:val="none"/>
        </w:rPr>
      </w:pPr>
    </w:p>
    <w:p>
      <w:pPr>
        <w:ind w:left="-2" w:leftChars="-1" w:firstLine="0" w:firstLineChars="0"/>
        <w:rPr>
          <w:rFonts w:hint="eastAsia"/>
          <w:color w:val="auto"/>
          <w:highlight w:val="none"/>
        </w:rPr>
      </w:pPr>
    </w:p>
    <w:p>
      <w:pPr>
        <w:ind w:left="-2" w:leftChars="-1" w:firstLine="0" w:firstLineChars="0"/>
        <w:rPr>
          <w:color w:val="auto"/>
          <w:highlight w:val="none"/>
        </w:rPr>
      </w:pPr>
    </w:p>
    <w:p>
      <w:pPr>
        <w:ind w:left="-2" w:leftChars="-1" w:firstLine="0" w:firstLineChars="0"/>
        <w:rPr>
          <w:color w:val="auto"/>
          <w:highlight w:val="none"/>
        </w:rPr>
      </w:pPr>
    </w:p>
    <w:p>
      <w:pPr>
        <w:ind w:left="-2" w:leftChars="-1" w:firstLine="0" w:firstLineChars="0"/>
        <w:rPr>
          <w:color w:val="auto"/>
          <w:highlight w:val="none"/>
        </w:rPr>
      </w:pPr>
    </w:p>
    <w:p>
      <w:pPr>
        <w:ind w:left="-2" w:leftChars="-1" w:firstLine="0" w:firstLineChars="0"/>
        <w:rPr>
          <w:rFonts w:hint="eastAsia"/>
          <w:color w:val="auto"/>
          <w:highlight w:val="none"/>
        </w:rPr>
      </w:pPr>
    </w:p>
    <w:p>
      <w:pPr>
        <w:ind w:left="-2" w:leftChars="-1" w:firstLine="0" w:firstLineChars="0"/>
        <w:rPr>
          <w:color w:val="auto"/>
          <w:highlight w:val="none"/>
        </w:rPr>
      </w:pPr>
    </w:p>
    <w:p>
      <w:pPr>
        <w:ind w:left="-2" w:leftChars="-1" w:firstLine="0" w:firstLineChars="0"/>
        <w:rPr>
          <w:color w:val="auto"/>
          <w:highlight w:val="none"/>
        </w:rPr>
      </w:pPr>
    </w:p>
    <w:p>
      <w:pPr>
        <w:ind w:left="-2" w:leftChars="-1" w:firstLine="0" w:firstLineChars="0"/>
        <w:rPr>
          <w:rFonts w:hint="eastAsia"/>
          <w:color w:val="auto"/>
          <w:highlight w:val="none"/>
        </w:rPr>
      </w:pPr>
    </w:p>
    <w:p>
      <w:pPr>
        <w:ind w:left="-2" w:leftChars="-1" w:firstLine="0" w:firstLineChars="0"/>
        <w:rPr>
          <w:rFonts w:hint="eastAsia"/>
          <w:color w:val="auto"/>
          <w:highlight w:val="none"/>
        </w:rPr>
      </w:pPr>
    </w:p>
    <w:p>
      <w:pPr>
        <w:ind w:left="-2" w:leftChars="-1" w:firstLine="0" w:firstLineChars="0"/>
        <w:rPr>
          <w:rFonts w:hint="eastAsia"/>
          <w:color w:val="auto"/>
          <w:highlight w:val="none"/>
        </w:rPr>
      </w:pPr>
    </w:p>
    <w:p>
      <w:pPr>
        <w:ind w:left="-2" w:leftChars="-1" w:firstLine="0" w:firstLineChars="0"/>
        <w:rPr>
          <w:color w:val="auto"/>
          <w:highlight w:val="none"/>
        </w:rPr>
      </w:pPr>
    </w:p>
    <w:p>
      <w:pPr>
        <w:spacing w:line="360" w:lineRule="exact"/>
        <w:ind w:firstLine="0" w:firstLineChars="0"/>
        <w:jc w:val="center"/>
        <w:rPr>
          <w:rFonts w:hint="eastAsia" w:ascii="方正小标宋_GBK" w:hAnsi="微软雅黑" w:eastAsia="方正小标宋_GBK"/>
          <w:color w:val="auto"/>
          <w:sz w:val="32"/>
          <w:szCs w:val="32"/>
          <w:highlight w:val="none"/>
        </w:rPr>
      </w:pPr>
      <w:r>
        <w:rPr>
          <w:rFonts w:hint="eastAsia" w:ascii="方正小标宋_GBK" w:hAnsi="微软雅黑" w:eastAsia="方正小标宋_GBK"/>
          <w:color w:val="auto"/>
          <w:sz w:val="32"/>
          <w:szCs w:val="32"/>
          <w:highlight w:val="none"/>
        </w:rPr>
        <w:t>钦州市政府采购中心</w:t>
      </w:r>
    </w:p>
    <w:p>
      <w:pPr>
        <w:snapToGrid w:val="0"/>
        <w:spacing w:before="156" w:beforeLines="50" w:line="360" w:lineRule="exact"/>
        <w:ind w:left="420" w:hanging="420" w:firstLineChars="0"/>
        <w:jc w:val="center"/>
        <w:rPr>
          <w:rFonts w:hint="eastAsia" w:ascii="方正小标宋_GBK" w:hAnsi="宋体" w:eastAsia="方正小标宋_GBK"/>
          <w:color w:val="auto"/>
          <w:sz w:val="30"/>
          <w:szCs w:val="72"/>
          <w:highlight w:val="none"/>
        </w:rPr>
      </w:pPr>
      <w:r>
        <w:rPr>
          <w:rFonts w:hint="eastAsia" w:ascii="方正小标宋_GBK" w:hAnsi="微软雅黑" w:eastAsia="方正小标宋_GBK"/>
          <w:color w:val="auto"/>
          <w:sz w:val="32"/>
          <w:szCs w:val="32"/>
          <w:highlight w:val="none"/>
        </w:rPr>
        <w:t>202</w:t>
      </w:r>
      <w:r>
        <w:rPr>
          <w:rFonts w:hint="eastAsia" w:ascii="方正小标宋_GBK" w:hAnsi="微软雅黑" w:eastAsia="方正小标宋_GBK"/>
          <w:color w:val="auto"/>
          <w:sz w:val="32"/>
          <w:szCs w:val="32"/>
          <w:highlight w:val="none"/>
          <w:lang w:val="en-US" w:eastAsia="zh-CN"/>
        </w:rPr>
        <w:t>5</w:t>
      </w:r>
      <w:r>
        <w:rPr>
          <w:rFonts w:hint="eastAsia" w:ascii="方正小标宋_GBK" w:hAnsi="微软雅黑" w:eastAsia="方正小标宋_GBK"/>
          <w:color w:val="auto"/>
          <w:sz w:val="32"/>
          <w:szCs w:val="32"/>
          <w:highlight w:val="none"/>
        </w:rPr>
        <w:t>年</w:t>
      </w:r>
      <w:r>
        <w:rPr>
          <w:rFonts w:hint="eastAsia" w:ascii="方正小标宋_GBK" w:hAnsi="微软雅黑" w:eastAsia="方正小标宋_GBK"/>
          <w:color w:val="auto"/>
          <w:sz w:val="32"/>
          <w:szCs w:val="32"/>
          <w:highlight w:val="none"/>
          <w:lang w:val="en-US" w:eastAsia="zh-CN"/>
        </w:rPr>
        <w:t>7</w:t>
      </w:r>
      <w:r>
        <w:rPr>
          <w:rFonts w:hint="eastAsia" w:ascii="方正小标宋_GBK" w:hAnsi="微软雅黑" w:eastAsia="方正小标宋_GBK"/>
          <w:color w:val="auto"/>
          <w:sz w:val="32"/>
          <w:szCs w:val="32"/>
          <w:highlight w:val="none"/>
        </w:rPr>
        <w:t>月</w:t>
      </w:r>
    </w:p>
    <w:p>
      <w:pPr>
        <w:ind w:firstLine="0" w:firstLineChars="0"/>
        <w:rPr>
          <w:color w:val="auto"/>
          <w:highlight w:val="none"/>
        </w:rPr>
      </w:pPr>
      <w:r>
        <w:rPr>
          <w:color w:val="auto"/>
          <w:highlight w:val="none"/>
        </w:rPr>
        <w:br w:type="page"/>
      </w:r>
    </w:p>
    <w:p>
      <w:pPr>
        <w:ind w:firstLine="0" w:firstLineChars="0"/>
        <w:rPr>
          <w:rFonts w:hint="eastAsia"/>
          <w:color w:val="auto"/>
          <w:highlight w:val="none"/>
        </w:rPr>
      </w:pPr>
    </w:p>
    <w:p>
      <w:pPr>
        <w:pStyle w:val="27"/>
        <w:ind w:firstLine="0" w:firstLineChars="0"/>
        <w:jc w:val="center"/>
        <w:rPr>
          <w:rFonts w:hint="eastAsia" w:ascii="隶书" w:eastAsia="隶书"/>
          <w:b/>
          <w:color w:val="auto"/>
          <w:sz w:val="44"/>
          <w:highlight w:val="none"/>
        </w:rPr>
      </w:pPr>
      <w:r>
        <w:rPr>
          <w:rFonts w:hint="eastAsia" w:ascii="隶书" w:eastAsia="隶书"/>
          <w:b/>
          <w:color w:val="auto"/>
          <w:sz w:val="44"/>
          <w:highlight w:val="none"/>
        </w:rPr>
        <w:t>目   录</w:t>
      </w:r>
    </w:p>
    <w:p>
      <w:pPr>
        <w:ind w:firstLine="0" w:firstLineChars="0"/>
        <w:rPr>
          <w:color w:val="auto"/>
          <w:highlight w:val="none"/>
        </w:rPr>
      </w:pPr>
    </w:p>
    <w:p>
      <w:pPr>
        <w:pStyle w:val="126"/>
        <w:spacing w:line="1000" w:lineRule="exact"/>
        <w:rPr>
          <w:rFonts w:ascii="仿宋" w:hAnsi="仿宋" w:eastAsia="仿宋"/>
          <w:color w:val="auto"/>
          <w:sz w:val="28"/>
          <w:szCs w:val="28"/>
          <w:highlight w:val="none"/>
        </w:rPr>
      </w:pPr>
      <w:r>
        <w:rPr>
          <w:rFonts w:ascii="宋体" w:hAnsi="宋体"/>
          <w:color w:val="auto"/>
          <w:sz w:val="32"/>
          <w:szCs w:val="32"/>
          <w:highlight w:val="none"/>
        </w:rPr>
        <w:fldChar w:fldCharType="begin"/>
      </w:r>
      <w:r>
        <w:rPr>
          <w:rFonts w:ascii="宋体" w:hAnsi="宋体"/>
          <w:color w:val="auto"/>
          <w:sz w:val="32"/>
          <w:szCs w:val="32"/>
          <w:highlight w:val="none"/>
        </w:rPr>
        <w:instrText xml:space="preserve"> </w:instrText>
      </w:r>
      <w:r>
        <w:rPr>
          <w:rFonts w:hint="eastAsia" w:ascii="宋体" w:hAnsi="宋体"/>
          <w:color w:val="auto"/>
          <w:sz w:val="32"/>
          <w:szCs w:val="32"/>
          <w:highlight w:val="none"/>
        </w:rPr>
        <w:instrText xml:space="preserve">TOC \o "1-1" \h \z \u</w:instrText>
      </w:r>
      <w:r>
        <w:rPr>
          <w:rFonts w:ascii="宋体" w:hAnsi="宋体"/>
          <w:color w:val="auto"/>
          <w:sz w:val="32"/>
          <w:szCs w:val="32"/>
          <w:highlight w:val="none"/>
        </w:rPr>
        <w:instrText xml:space="preserve"> </w:instrText>
      </w:r>
      <w:r>
        <w:rPr>
          <w:rFonts w:ascii="宋体" w:hAnsi="宋体"/>
          <w:color w:val="auto"/>
          <w:sz w:val="32"/>
          <w:szCs w:val="32"/>
          <w:highlight w:val="none"/>
        </w:rPr>
        <w:fldChar w:fldCharType="separate"/>
      </w:r>
      <w:r>
        <w:rPr>
          <w:rStyle w:val="58"/>
          <w:rFonts w:ascii="仿宋" w:hAnsi="仿宋" w:eastAsia="仿宋"/>
          <w:color w:val="auto"/>
          <w:sz w:val="28"/>
          <w:szCs w:val="28"/>
          <w:highlight w:val="none"/>
        </w:rPr>
        <w:fldChar w:fldCharType="begin"/>
      </w:r>
      <w:r>
        <w:rPr>
          <w:rStyle w:val="58"/>
          <w:rFonts w:ascii="仿宋" w:hAnsi="仿宋" w:eastAsia="仿宋"/>
          <w:color w:val="auto"/>
          <w:sz w:val="28"/>
          <w:szCs w:val="28"/>
          <w:highlight w:val="none"/>
        </w:rPr>
        <w:instrText xml:space="preserve"> </w:instrText>
      </w:r>
      <w:r>
        <w:rPr>
          <w:rFonts w:ascii="仿宋" w:hAnsi="仿宋" w:eastAsia="仿宋"/>
          <w:color w:val="auto"/>
          <w:sz w:val="28"/>
          <w:szCs w:val="28"/>
          <w:highlight w:val="none"/>
        </w:rPr>
        <w:instrText xml:space="preserve">HYPERLINK \l "_Toc91512283"</w:instrText>
      </w:r>
      <w:r>
        <w:rPr>
          <w:rStyle w:val="58"/>
          <w:rFonts w:ascii="仿宋" w:hAnsi="仿宋" w:eastAsia="仿宋"/>
          <w:color w:val="auto"/>
          <w:sz w:val="28"/>
          <w:szCs w:val="28"/>
          <w:highlight w:val="none"/>
        </w:rPr>
        <w:instrText xml:space="preserve"> </w:instrText>
      </w:r>
      <w:r>
        <w:rPr>
          <w:rStyle w:val="58"/>
          <w:rFonts w:ascii="仿宋" w:hAnsi="仿宋" w:eastAsia="仿宋"/>
          <w:color w:val="auto"/>
          <w:sz w:val="28"/>
          <w:szCs w:val="28"/>
          <w:highlight w:val="none"/>
        </w:rPr>
        <w:fldChar w:fldCharType="separate"/>
      </w:r>
      <w:r>
        <w:rPr>
          <w:rStyle w:val="58"/>
          <w:rFonts w:ascii="仿宋" w:hAnsi="仿宋" w:eastAsia="仿宋"/>
          <w:color w:val="auto"/>
          <w:sz w:val="28"/>
          <w:szCs w:val="28"/>
          <w:highlight w:val="none"/>
        </w:rPr>
        <w:t>第一章  公 告</w:t>
      </w:r>
      <w:r>
        <w:rPr>
          <w:rFonts w:ascii="仿宋" w:hAnsi="仿宋" w:eastAsia="仿宋"/>
          <w:color w:val="auto"/>
          <w:sz w:val="28"/>
          <w:szCs w:val="28"/>
          <w:highlight w:val="none"/>
        </w:rPr>
        <w:tab/>
      </w:r>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PAGEREF _Toc91512283 \h </w:instrText>
      </w:r>
      <w:r>
        <w:rPr>
          <w:rFonts w:ascii="仿宋" w:hAnsi="仿宋" w:eastAsia="仿宋"/>
          <w:color w:val="auto"/>
          <w:sz w:val="28"/>
          <w:szCs w:val="28"/>
          <w:highlight w:val="none"/>
        </w:rPr>
        <w:fldChar w:fldCharType="separate"/>
      </w:r>
      <w:r>
        <w:rPr>
          <w:rFonts w:ascii="仿宋" w:hAnsi="仿宋" w:eastAsia="仿宋"/>
          <w:color w:val="auto"/>
          <w:sz w:val="28"/>
          <w:szCs w:val="28"/>
          <w:highlight w:val="none"/>
        </w:rPr>
        <w:t>3</w:t>
      </w:r>
      <w:r>
        <w:rPr>
          <w:rFonts w:ascii="仿宋" w:hAnsi="仿宋" w:eastAsia="仿宋"/>
          <w:color w:val="auto"/>
          <w:sz w:val="28"/>
          <w:szCs w:val="28"/>
          <w:highlight w:val="none"/>
        </w:rPr>
        <w:fldChar w:fldCharType="end"/>
      </w:r>
      <w:r>
        <w:rPr>
          <w:rStyle w:val="58"/>
          <w:rFonts w:ascii="仿宋" w:hAnsi="仿宋" w:eastAsia="仿宋"/>
          <w:color w:val="auto"/>
          <w:sz w:val="28"/>
          <w:szCs w:val="28"/>
          <w:highlight w:val="none"/>
        </w:rPr>
        <w:fldChar w:fldCharType="end"/>
      </w:r>
    </w:p>
    <w:p>
      <w:pPr>
        <w:pStyle w:val="126"/>
        <w:spacing w:line="1000" w:lineRule="exact"/>
        <w:rPr>
          <w:rFonts w:ascii="仿宋" w:hAnsi="仿宋" w:eastAsia="仿宋"/>
          <w:color w:val="auto"/>
          <w:sz w:val="28"/>
          <w:szCs w:val="28"/>
          <w:highlight w:val="none"/>
        </w:rPr>
      </w:pPr>
      <w:r>
        <w:rPr>
          <w:rStyle w:val="58"/>
          <w:rFonts w:ascii="仿宋" w:hAnsi="仿宋" w:eastAsia="仿宋"/>
          <w:color w:val="auto"/>
          <w:sz w:val="28"/>
          <w:szCs w:val="28"/>
          <w:highlight w:val="none"/>
        </w:rPr>
        <w:fldChar w:fldCharType="begin"/>
      </w:r>
      <w:r>
        <w:rPr>
          <w:rStyle w:val="58"/>
          <w:rFonts w:ascii="仿宋" w:hAnsi="仿宋" w:eastAsia="仿宋"/>
          <w:color w:val="auto"/>
          <w:sz w:val="28"/>
          <w:szCs w:val="28"/>
          <w:highlight w:val="none"/>
        </w:rPr>
        <w:instrText xml:space="preserve"> </w:instrText>
      </w:r>
      <w:r>
        <w:rPr>
          <w:rFonts w:ascii="仿宋" w:hAnsi="仿宋" w:eastAsia="仿宋"/>
          <w:color w:val="auto"/>
          <w:sz w:val="28"/>
          <w:szCs w:val="28"/>
          <w:highlight w:val="none"/>
        </w:rPr>
        <w:instrText xml:space="preserve">HYPERLINK \l "_Toc91512284"</w:instrText>
      </w:r>
      <w:r>
        <w:rPr>
          <w:rStyle w:val="58"/>
          <w:rFonts w:ascii="仿宋" w:hAnsi="仿宋" w:eastAsia="仿宋"/>
          <w:color w:val="auto"/>
          <w:sz w:val="28"/>
          <w:szCs w:val="28"/>
          <w:highlight w:val="none"/>
        </w:rPr>
        <w:instrText xml:space="preserve"> </w:instrText>
      </w:r>
      <w:r>
        <w:rPr>
          <w:rStyle w:val="58"/>
          <w:rFonts w:ascii="仿宋" w:hAnsi="仿宋" w:eastAsia="仿宋"/>
          <w:color w:val="auto"/>
          <w:sz w:val="28"/>
          <w:szCs w:val="28"/>
          <w:highlight w:val="none"/>
        </w:rPr>
        <w:fldChar w:fldCharType="separate"/>
      </w:r>
      <w:r>
        <w:rPr>
          <w:rStyle w:val="58"/>
          <w:rFonts w:ascii="仿宋" w:hAnsi="仿宋" w:eastAsia="仿宋"/>
          <w:color w:val="auto"/>
          <w:sz w:val="28"/>
          <w:szCs w:val="28"/>
          <w:highlight w:val="none"/>
        </w:rPr>
        <w:t>第二章  项目需求</w:t>
      </w:r>
      <w:r>
        <w:rPr>
          <w:rFonts w:ascii="仿宋" w:hAnsi="仿宋" w:eastAsia="仿宋"/>
          <w:color w:val="auto"/>
          <w:sz w:val="28"/>
          <w:szCs w:val="28"/>
          <w:highlight w:val="none"/>
        </w:rPr>
        <w:tab/>
      </w:r>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PAGEREF _Toc91512284 \h </w:instrText>
      </w:r>
      <w:r>
        <w:rPr>
          <w:rFonts w:ascii="仿宋" w:hAnsi="仿宋" w:eastAsia="仿宋"/>
          <w:color w:val="auto"/>
          <w:sz w:val="28"/>
          <w:szCs w:val="28"/>
          <w:highlight w:val="none"/>
        </w:rPr>
        <w:fldChar w:fldCharType="separate"/>
      </w:r>
      <w:r>
        <w:rPr>
          <w:rFonts w:ascii="仿宋" w:hAnsi="仿宋" w:eastAsia="仿宋"/>
          <w:color w:val="auto"/>
          <w:sz w:val="28"/>
          <w:szCs w:val="28"/>
          <w:highlight w:val="none"/>
        </w:rPr>
        <w:t>7</w:t>
      </w:r>
      <w:r>
        <w:rPr>
          <w:rFonts w:ascii="仿宋" w:hAnsi="仿宋" w:eastAsia="仿宋"/>
          <w:color w:val="auto"/>
          <w:sz w:val="28"/>
          <w:szCs w:val="28"/>
          <w:highlight w:val="none"/>
        </w:rPr>
        <w:fldChar w:fldCharType="end"/>
      </w:r>
      <w:r>
        <w:rPr>
          <w:rStyle w:val="58"/>
          <w:rFonts w:ascii="仿宋" w:hAnsi="仿宋" w:eastAsia="仿宋"/>
          <w:color w:val="auto"/>
          <w:sz w:val="28"/>
          <w:szCs w:val="28"/>
          <w:highlight w:val="none"/>
        </w:rPr>
        <w:fldChar w:fldCharType="end"/>
      </w:r>
    </w:p>
    <w:p>
      <w:pPr>
        <w:pStyle w:val="126"/>
        <w:spacing w:line="1000" w:lineRule="exact"/>
        <w:rPr>
          <w:rFonts w:ascii="仿宋" w:hAnsi="仿宋" w:eastAsia="仿宋"/>
          <w:color w:val="auto"/>
          <w:sz w:val="28"/>
          <w:szCs w:val="28"/>
          <w:highlight w:val="none"/>
        </w:rPr>
      </w:pPr>
      <w:r>
        <w:rPr>
          <w:rStyle w:val="58"/>
          <w:rFonts w:ascii="仿宋" w:hAnsi="仿宋" w:eastAsia="仿宋"/>
          <w:color w:val="auto"/>
          <w:sz w:val="28"/>
          <w:szCs w:val="28"/>
          <w:highlight w:val="none"/>
        </w:rPr>
        <w:fldChar w:fldCharType="begin"/>
      </w:r>
      <w:r>
        <w:rPr>
          <w:rStyle w:val="58"/>
          <w:rFonts w:ascii="仿宋" w:hAnsi="仿宋" w:eastAsia="仿宋"/>
          <w:color w:val="auto"/>
          <w:sz w:val="28"/>
          <w:szCs w:val="28"/>
          <w:highlight w:val="none"/>
        </w:rPr>
        <w:instrText xml:space="preserve"> </w:instrText>
      </w:r>
      <w:r>
        <w:rPr>
          <w:rFonts w:ascii="仿宋" w:hAnsi="仿宋" w:eastAsia="仿宋"/>
          <w:color w:val="auto"/>
          <w:sz w:val="28"/>
          <w:szCs w:val="28"/>
          <w:highlight w:val="none"/>
        </w:rPr>
        <w:instrText xml:space="preserve">HYPERLINK \l "_Toc91512285"</w:instrText>
      </w:r>
      <w:r>
        <w:rPr>
          <w:rStyle w:val="58"/>
          <w:rFonts w:ascii="仿宋" w:hAnsi="仿宋" w:eastAsia="仿宋"/>
          <w:color w:val="auto"/>
          <w:sz w:val="28"/>
          <w:szCs w:val="28"/>
          <w:highlight w:val="none"/>
        </w:rPr>
        <w:instrText xml:space="preserve"> </w:instrText>
      </w:r>
      <w:r>
        <w:rPr>
          <w:rStyle w:val="58"/>
          <w:rFonts w:ascii="仿宋" w:hAnsi="仿宋" w:eastAsia="仿宋"/>
          <w:color w:val="auto"/>
          <w:sz w:val="28"/>
          <w:szCs w:val="28"/>
          <w:highlight w:val="none"/>
        </w:rPr>
        <w:fldChar w:fldCharType="separate"/>
      </w:r>
      <w:r>
        <w:rPr>
          <w:rStyle w:val="58"/>
          <w:rFonts w:ascii="仿宋" w:hAnsi="仿宋" w:eastAsia="仿宋"/>
          <w:color w:val="auto"/>
          <w:sz w:val="28"/>
          <w:szCs w:val="28"/>
          <w:highlight w:val="none"/>
        </w:rPr>
        <w:t>第三章  投标人须知及前</w:t>
      </w:r>
      <w:bookmarkStart w:id="1" w:name="_Hlt91583491"/>
      <w:bookmarkStart w:id="2" w:name="_Hlt91583492"/>
      <w:r>
        <w:rPr>
          <w:rStyle w:val="58"/>
          <w:rFonts w:ascii="仿宋" w:hAnsi="仿宋" w:eastAsia="仿宋"/>
          <w:color w:val="auto"/>
          <w:sz w:val="28"/>
          <w:szCs w:val="28"/>
          <w:highlight w:val="none"/>
        </w:rPr>
        <w:t>附</w:t>
      </w:r>
      <w:bookmarkEnd w:id="1"/>
      <w:bookmarkEnd w:id="2"/>
      <w:r>
        <w:rPr>
          <w:rStyle w:val="58"/>
          <w:rFonts w:ascii="仿宋" w:hAnsi="仿宋" w:eastAsia="仿宋"/>
          <w:color w:val="auto"/>
          <w:sz w:val="28"/>
          <w:szCs w:val="28"/>
          <w:highlight w:val="none"/>
        </w:rPr>
        <w:t>表</w:t>
      </w:r>
      <w:r>
        <w:rPr>
          <w:rFonts w:ascii="仿宋" w:hAnsi="仿宋" w:eastAsia="仿宋"/>
          <w:color w:val="auto"/>
          <w:sz w:val="28"/>
          <w:szCs w:val="28"/>
          <w:highlight w:val="none"/>
        </w:rPr>
        <w:tab/>
      </w:r>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PAGEREF _Toc91512285 \h </w:instrText>
      </w:r>
      <w:r>
        <w:rPr>
          <w:rFonts w:ascii="仿宋" w:hAnsi="仿宋" w:eastAsia="仿宋"/>
          <w:color w:val="auto"/>
          <w:sz w:val="28"/>
          <w:szCs w:val="28"/>
          <w:highlight w:val="none"/>
        </w:rPr>
        <w:fldChar w:fldCharType="separate"/>
      </w:r>
      <w:r>
        <w:rPr>
          <w:rFonts w:ascii="仿宋" w:hAnsi="仿宋" w:eastAsia="仿宋"/>
          <w:color w:val="auto"/>
          <w:sz w:val="28"/>
          <w:szCs w:val="28"/>
          <w:highlight w:val="none"/>
        </w:rPr>
        <w:t>98</w:t>
      </w:r>
      <w:r>
        <w:rPr>
          <w:rFonts w:ascii="仿宋" w:hAnsi="仿宋" w:eastAsia="仿宋"/>
          <w:color w:val="auto"/>
          <w:sz w:val="28"/>
          <w:szCs w:val="28"/>
          <w:highlight w:val="none"/>
        </w:rPr>
        <w:fldChar w:fldCharType="end"/>
      </w:r>
      <w:r>
        <w:rPr>
          <w:rStyle w:val="58"/>
          <w:rFonts w:ascii="仿宋" w:hAnsi="仿宋" w:eastAsia="仿宋"/>
          <w:color w:val="auto"/>
          <w:sz w:val="28"/>
          <w:szCs w:val="28"/>
          <w:highlight w:val="none"/>
        </w:rPr>
        <w:fldChar w:fldCharType="end"/>
      </w:r>
    </w:p>
    <w:p>
      <w:pPr>
        <w:pStyle w:val="126"/>
        <w:spacing w:line="1000" w:lineRule="exact"/>
        <w:rPr>
          <w:rFonts w:ascii="仿宋" w:hAnsi="仿宋" w:eastAsia="仿宋"/>
          <w:color w:val="auto"/>
          <w:sz w:val="28"/>
          <w:szCs w:val="28"/>
          <w:highlight w:val="none"/>
        </w:rPr>
      </w:pPr>
      <w:r>
        <w:rPr>
          <w:rStyle w:val="58"/>
          <w:rFonts w:ascii="仿宋" w:hAnsi="仿宋" w:eastAsia="仿宋"/>
          <w:color w:val="auto"/>
          <w:sz w:val="28"/>
          <w:szCs w:val="28"/>
          <w:highlight w:val="none"/>
        </w:rPr>
        <w:fldChar w:fldCharType="begin"/>
      </w:r>
      <w:r>
        <w:rPr>
          <w:rStyle w:val="58"/>
          <w:rFonts w:ascii="仿宋" w:hAnsi="仿宋" w:eastAsia="仿宋"/>
          <w:color w:val="auto"/>
          <w:sz w:val="28"/>
          <w:szCs w:val="28"/>
          <w:highlight w:val="none"/>
        </w:rPr>
        <w:instrText xml:space="preserve"> </w:instrText>
      </w:r>
      <w:r>
        <w:rPr>
          <w:rFonts w:ascii="仿宋" w:hAnsi="仿宋" w:eastAsia="仿宋"/>
          <w:color w:val="auto"/>
          <w:sz w:val="28"/>
          <w:szCs w:val="28"/>
          <w:highlight w:val="none"/>
        </w:rPr>
        <w:instrText xml:space="preserve">HYPERLINK \l "_Toc91512286"</w:instrText>
      </w:r>
      <w:r>
        <w:rPr>
          <w:rStyle w:val="58"/>
          <w:rFonts w:ascii="仿宋" w:hAnsi="仿宋" w:eastAsia="仿宋"/>
          <w:color w:val="auto"/>
          <w:sz w:val="28"/>
          <w:szCs w:val="28"/>
          <w:highlight w:val="none"/>
        </w:rPr>
        <w:instrText xml:space="preserve"> </w:instrText>
      </w:r>
      <w:r>
        <w:rPr>
          <w:rStyle w:val="58"/>
          <w:rFonts w:ascii="仿宋" w:hAnsi="仿宋" w:eastAsia="仿宋"/>
          <w:color w:val="auto"/>
          <w:sz w:val="28"/>
          <w:szCs w:val="28"/>
          <w:highlight w:val="none"/>
        </w:rPr>
        <w:fldChar w:fldCharType="separate"/>
      </w:r>
      <w:r>
        <w:rPr>
          <w:rStyle w:val="58"/>
          <w:rFonts w:ascii="仿宋" w:hAnsi="仿宋" w:eastAsia="仿宋"/>
          <w:color w:val="auto"/>
          <w:sz w:val="28"/>
          <w:szCs w:val="28"/>
          <w:highlight w:val="none"/>
        </w:rPr>
        <w:t>第四章  评</w:t>
      </w:r>
      <w:r>
        <w:rPr>
          <w:rStyle w:val="58"/>
          <w:rFonts w:hint="eastAsia" w:ascii="仿宋" w:hAnsi="仿宋" w:eastAsia="仿宋"/>
          <w:color w:val="auto"/>
          <w:sz w:val="28"/>
          <w:szCs w:val="28"/>
          <w:highlight w:val="none"/>
        </w:rPr>
        <w:t>定</w:t>
      </w:r>
      <w:r>
        <w:rPr>
          <w:rStyle w:val="58"/>
          <w:rFonts w:ascii="仿宋" w:hAnsi="仿宋" w:eastAsia="仿宋"/>
          <w:color w:val="auto"/>
          <w:sz w:val="28"/>
          <w:szCs w:val="28"/>
          <w:highlight w:val="none"/>
        </w:rPr>
        <w:t>标准及</w:t>
      </w:r>
      <w:r>
        <w:rPr>
          <w:rStyle w:val="58"/>
          <w:rFonts w:hint="eastAsia" w:ascii="仿宋" w:hAnsi="仿宋" w:eastAsia="仿宋"/>
          <w:color w:val="auto"/>
          <w:sz w:val="28"/>
          <w:szCs w:val="28"/>
          <w:highlight w:val="none"/>
        </w:rPr>
        <w:t>推荐原则</w:t>
      </w:r>
      <w:r>
        <w:rPr>
          <w:rFonts w:ascii="仿宋" w:hAnsi="仿宋" w:eastAsia="仿宋"/>
          <w:color w:val="auto"/>
          <w:sz w:val="28"/>
          <w:szCs w:val="28"/>
          <w:highlight w:val="none"/>
        </w:rPr>
        <w:tab/>
      </w:r>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PAGEREF _Toc91512286 \h </w:instrText>
      </w:r>
      <w:r>
        <w:rPr>
          <w:rFonts w:ascii="仿宋" w:hAnsi="仿宋" w:eastAsia="仿宋"/>
          <w:color w:val="auto"/>
          <w:sz w:val="28"/>
          <w:szCs w:val="28"/>
          <w:highlight w:val="none"/>
        </w:rPr>
        <w:fldChar w:fldCharType="separate"/>
      </w:r>
      <w:r>
        <w:rPr>
          <w:rFonts w:ascii="仿宋" w:hAnsi="仿宋" w:eastAsia="仿宋"/>
          <w:color w:val="auto"/>
          <w:sz w:val="28"/>
          <w:szCs w:val="28"/>
          <w:highlight w:val="none"/>
        </w:rPr>
        <w:t>110</w:t>
      </w:r>
      <w:r>
        <w:rPr>
          <w:rFonts w:ascii="仿宋" w:hAnsi="仿宋" w:eastAsia="仿宋"/>
          <w:color w:val="auto"/>
          <w:sz w:val="28"/>
          <w:szCs w:val="28"/>
          <w:highlight w:val="none"/>
        </w:rPr>
        <w:fldChar w:fldCharType="end"/>
      </w:r>
      <w:r>
        <w:rPr>
          <w:rStyle w:val="58"/>
          <w:rFonts w:ascii="仿宋" w:hAnsi="仿宋" w:eastAsia="仿宋"/>
          <w:color w:val="auto"/>
          <w:sz w:val="28"/>
          <w:szCs w:val="28"/>
          <w:highlight w:val="none"/>
        </w:rPr>
        <w:fldChar w:fldCharType="end"/>
      </w:r>
    </w:p>
    <w:p>
      <w:pPr>
        <w:pStyle w:val="126"/>
        <w:spacing w:line="1000" w:lineRule="exact"/>
        <w:rPr>
          <w:rFonts w:ascii="仿宋" w:hAnsi="仿宋" w:eastAsia="仿宋"/>
          <w:color w:val="auto"/>
          <w:sz w:val="28"/>
          <w:szCs w:val="28"/>
          <w:highlight w:val="none"/>
        </w:rPr>
      </w:pPr>
      <w:r>
        <w:rPr>
          <w:rStyle w:val="58"/>
          <w:rFonts w:ascii="仿宋" w:hAnsi="仿宋" w:eastAsia="仿宋"/>
          <w:color w:val="auto"/>
          <w:sz w:val="28"/>
          <w:szCs w:val="28"/>
          <w:highlight w:val="none"/>
        </w:rPr>
        <w:fldChar w:fldCharType="begin"/>
      </w:r>
      <w:r>
        <w:rPr>
          <w:rStyle w:val="58"/>
          <w:rFonts w:ascii="仿宋" w:hAnsi="仿宋" w:eastAsia="仿宋"/>
          <w:color w:val="auto"/>
          <w:sz w:val="28"/>
          <w:szCs w:val="28"/>
          <w:highlight w:val="none"/>
        </w:rPr>
        <w:instrText xml:space="preserve"> </w:instrText>
      </w:r>
      <w:r>
        <w:rPr>
          <w:rFonts w:ascii="仿宋" w:hAnsi="仿宋" w:eastAsia="仿宋"/>
          <w:color w:val="auto"/>
          <w:sz w:val="28"/>
          <w:szCs w:val="28"/>
          <w:highlight w:val="none"/>
        </w:rPr>
        <w:instrText xml:space="preserve">HYPERLINK \l "_Toc91512287"</w:instrText>
      </w:r>
      <w:r>
        <w:rPr>
          <w:rStyle w:val="58"/>
          <w:rFonts w:ascii="仿宋" w:hAnsi="仿宋" w:eastAsia="仿宋"/>
          <w:color w:val="auto"/>
          <w:sz w:val="28"/>
          <w:szCs w:val="28"/>
          <w:highlight w:val="none"/>
        </w:rPr>
        <w:instrText xml:space="preserve"> </w:instrText>
      </w:r>
      <w:r>
        <w:rPr>
          <w:rStyle w:val="58"/>
          <w:rFonts w:ascii="仿宋" w:hAnsi="仿宋" w:eastAsia="仿宋"/>
          <w:color w:val="auto"/>
          <w:sz w:val="28"/>
          <w:szCs w:val="28"/>
          <w:highlight w:val="none"/>
        </w:rPr>
        <w:fldChar w:fldCharType="separate"/>
      </w:r>
      <w:r>
        <w:rPr>
          <w:rStyle w:val="58"/>
          <w:rFonts w:ascii="仿宋" w:hAnsi="仿宋" w:eastAsia="仿宋"/>
          <w:color w:val="auto"/>
          <w:sz w:val="28"/>
          <w:szCs w:val="28"/>
          <w:highlight w:val="none"/>
        </w:rPr>
        <w:t>第五章  政府采购合同主要条款</w:t>
      </w:r>
      <w:r>
        <w:rPr>
          <w:rFonts w:ascii="仿宋" w:hAnsi="仿宋" w:eastAsia="仿宋"/>
          <w:color w:val="auto"/>
          <w:sz w:val="28"/>
          <w:szCs w:val="28"/>
          <w:highlight w:val="none"/>
        </w:rPr>
        <w:tab/>
      </w:r>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PAGEREF _Toc91512287 \h </w:instrText>
      </w:r>
      <w:r>
        <w:rPr>
          <w:rFonts w:ascii="仿宋" w:hAnsi="仿宋" w:eastAsia="仿宋"/>
          <w:color w:val="auto"/>
          <w:sz w:val="28"/>
          <w:szCs w:val="28"/>
          <w:highlight w:val="none"/>
        </w:rPr>
        <w:fldChar w:fldCharType="separate"/>
      </w:r>
      <w:r>
        <w:rPr>
          <w:rFonts w:ascii="仿宋" w:hAnsi="仿宋" w:eastAsia="仿宋"/>
          <w:color w:val="auto"/>
          <w:sz w:val="28"/>
          <w:szCs w:val="28"/>
          <w:highlight w:val="none"/>
        </w:rPr>
        <w:t>114</w:t>
      </w:r>
      <w:r>
        <w:rPr>
          <w:rFonts w:ascii="仿宋" w:hAnsi="仿宋" w:eastAsia="仿宋"/>
          <w:color w:val="auto"/>
          <w:sz w:val="28"/>
          <w:szCs w:val="28"/>
          <w:highlight w:val="none"/>
        </w:rPr>
        <w:fldChar w:fldCharType="end"/>
      </w:r>
      <w:r>
        <w:rPr>
          <w:rStyle w:val="58"/>
          <w:rFonts w:ascii="仿宋" w:hAnsi="仿宋" w:eastAsia="仿宋"/>
          <w:color w:val="auto"/>
          <w:sz w:val="28"/>
          <w:szCs w:val="28"/>
          <w:highlight w:val="none"/>
        </w:rPr>
        <w:fldChar w:fldCharType="end"/>
      </w:r>
    </w:p>
    <w:p>
      <w:pPr>
        <w:pStyle w:val="126"/>
        <w:spacing w:line="1000" w:lineRule="exact"/>
        <w:rPr>
          <w:rFonts w:ascii="仿宋" w:hAnsi="仿宋" w:eastAsia="仿宋"/>
          <w:color w:val="auto"/>
          <w:sz w:val="28"/>
          <w:szCs w:val="28"/>
          <w:highlight w:val="none"/>
        </w:rPr>
      </w:pPr>
      <w:r>
        <w:rPr>
          <w:rStyle w:val="58"/>
          <w:rFonts w:ascii="仿宋" w:hAnsi="仿宋" w:eastAsia="仿宋"/>
          <w:color w:val="auto"/>
          <w:sz w:val="28"/>
          <w:szCs w:val="28"/>
          <w:highlight w:val="none"/>
        </w:rPr>
        <w:fldChar w:fldCharType="begin"/>
      </w:r>
      <w:r>
        <w:rPr>
          <w:rStyle w:val="58"/>
          <w:rFonts w:ascii="仿宋" w:hAnsi="仿宋" w:eastAsia="仿宋"/>
          <w:color w:val="auto"/>
          <w:sz w:val="28"/>
          <w:szCs w:val="28"/>
          <w:highlight w:val="none"/>
        </w:rPr>
        <w:instrText xml:space="preserve"> </w:instrText>
      </w:r>
      <w:r>
        <w:rPr>
          <w:rFonts w:ascii="仿宋" w:hAnsi="仿宋" w:eastAsia="仿宋"/>
          <w:color w:val="auto"/>
          <w:sz w:val="28"/>
          <w:szCs w:val="28"/>
          <w:highlight w:val="none"/>
        </w:rPr>
        <w:instrText xml:space="preserve">HYPERLINK \l "_Toc91512288"</w:instrText>
      </w:r>
      <w:r>
        <w:rPr>
          <w:rStyle w:val="58"/>
          <w:rFonts w:ascii="仿宋" w:hAnsi="仿宋" w:eastAsia="仿宋"/>
          <w:color w:val="auto"/>
          <w:sz w:val="28"/>
          <w:szCs w:val="28"/>
          <w:highlight w:val="none"/>
        </w:rPr>
        <w:instrText xml:space="preserve"> </w:instrText>
      </w:r>
      <w:r>
        <w:rPr>
          <w:rStyle w:val="58"/>
          <w:rFonts w:ascii="仿宋" w:hAnsi="仿宋" w:eastAsia="仿宋"/>
          <w:color w:val="auto"/>
          <w:sz w:val="28"/>
          <w:szCs w:val="28"/>
          <w:highlight w:val="none"/>
        </w:rPr>
        <w:fldChar w:fldCharType="separate"/>
      </w:r>
      <w:r>
        <w:rPr>
          <w:rStyle w:val="58"/>
          <w:rFonts w:ascii="仿宋" w:hAnsi="仿宋" w:eastAsia="仿宋"/>
          <w:color w:val="auto"/>
          <w:sz w:val="28"/>
          <w:szCs w:val="28"/>
          <w:highlight w:val="none"/>
        </w:rPr>
        <w:t>第六章　投标文件格式</w:t>
      </w:r>
      <w:r>
        <w:rPr>
          <w:rFonts w:ascii="仿宋" w:hAnsi="仿宋" w:eastAsia="仿宋"/>
          <w:color w:val="auto"/>
          <w:sz w:val="28"/>
          <w:szCs w:val="28"/>
          <w:highlight w:val="none"/>
        </w:rPr>
        <w:tab/>
      </w:r>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PAGEREF _Toc91512288 \h </w:instrText>
      </w:r>
      <w:r>
        <w:rPr>
          <w:rFonts w:ascii="仿宋" w:hAnsi="仿宋" w:eastAsia="仿宋"/>
          <w:color w:val="auto"/>
          <w:sz w:val="28"/>
          <w:szCs w:val="28"/>
          <w:highlight w:val="none"/>
        </w:rPr>
        <w:fldChar w:fldCharType="separate"/>
      </w:r>
      <w:r>
        <w:rPr>
          <w:rFonts w:ascii="仿宋" w:hAnsi="仿宋" w:eastAsia="仿宋"/>
          <w:color w:val="auto"/>
          <w:sz w:val="28"/>
          <w:szCs w:val="28"/>
          <w:highlight w:val="none"/>
        </w:rPr>
        <w:t>130</w:t>
      </w:r>
      <w:r>
        <w:rPr>
          <w:rFonts w:ascii="仿宋" w:hAnsi="仿宋" w:eastAsia="仿宋"/>
          <w:color w:val="auto"/>
          <w:sz w:val="28"/>
          <w:szCs w:val="28"/>
          <w:highlight w:val="none"/>
        </w:rPr>
        <w:fldChar w:fldCharType="end"/>
      </w:r>
      <w:r>
        <w:rPr>
          <w:rStyle w:val="58"/>
          <w:rFonts w:ascii="仿宋" w:hAnsi="仿宋" w:eastAsia="仿宋"/>
          <w:color w:val="auto"/>
          <w:sz w:val="28"/>
          <w:szCs w:val="28"/>
          <w:highlight w:val="none"/>
        </w:rPr>
        <w:fldChar w:fldCharType="end"/>
      </w:r>
    </w:p>
    <w:p>
      <w:pPr>
        <w:ind w:left="-2" w:leftChars="-1" w:firstLine="0" w:firstLineChars="0"/>
        <w:rPr>
          <w:color w:val="auto"/>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246" w:right="1106" w:bottom="1091" w:left="1080" w:header="851" w:footer="992" w:gutter="0"/>
          <w:cols w:space="720" w:num="1"/>
          <w:titlePg/>
          <w:docGrid w:type="lines" w:linePitch="312" w:charSpace="0"/>
        </w:sectPr>
      </w:pPr>
      <w:r>
        <w:rPr>
          <w:color w:val="auto"/>
          <w:highlight w:val="none"/>
        </w:rPr>
        <w:fldChar w:fldCharType="end"/>
      </w:r>
    </w:p>
    <w:p>
      <w:pPr>
        <w:ind w:left="-2" w:leftChars="-1" w:firstLine="0" w:firstLineChars="0"/>
        <w:rPr>
          <w:rFonts w:hint="eastAsia"/>
          <w:color w:val="auto"/>
          <w:highlight w:val="none"/>
        </w:rPr>
      </w:pPr>
    </w:p>
    <w:p>
      <w:pPr>
        <w:ind w:firstLine="0" w:firstLineChars="0"/>
        <w:rPr>
          <w:color w:val="auto"/>
          <w:highlight w:val="none"/>
        </w:rPr>
      </w:pPr>
      <w:bookmarkStart w:id="3" w:name="_Toc91512283"/>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rFonts w:hint="eastAsia"/>
          <w:color w:val="auto"/>
          <w:highlight w:val="none"/>
        </w:rPr>
      </w:pPr>
    </w:p>
    <w:p>
      <w:pPr>
        <w:pStyle w:val="46"/>
        <w:ind w:left="0" w:leftChars="0" w:right="0" w:rightChars="0" w:firstLine="0" w:firstLineChars="0"/>
        <w:jc w:val="center"/>
        <w:rPr>
          <w:rFonts w:hint="eastAsia" w:ascii="方正小标宋_GBK"/>
          <w:color w:val="auto"/>
          <w:szCs w:val="44"/>
          <w:highlight w:val="none"/>
        </w:rPr>
      </w:pPr>
      <w:r>
        <w:rPr>
          <w:rFonts w:hint="eastAsia" w:ascii="方正小标宋_GBK"/>
          <w:color w:val="auto"/>
          <w:szCs w:val="44"/>
          <w:highlight w:val="none"/>
        </w:rPr>
        <w:t>第一章  公 告</w:t>
      </w:r>
      <w:bookmarkEnd w:id="3"/>
    </w:p>
    <w:p>
      <w:pPr>
        <w:ind w:left="420" w:firstLine="0" w:firstLineChars="0"/>
        <w:rPr>
          <w:color w:val="auto"/>
          <w:highlight w:val="none"/>
        </w:rPr>
      </w:pPr>
      <w:r>
        <w:rPr>
          <w:color w:val="auto"/>
          <w:highlight w:val="none"/>
        </w:rPr>
        <w:br w:type="page"/>
      </w:r>
    </w:p>
    <w:p>
      <w:pPr>
        <w:spacing w:line="440" w:lineRule="exact"/>
        <w:ind w:firstLine="0" w:firstLineChars="0"/>
        <w:jc w:val="center"/>
        <w:rPr>
          <w:rFonts w:hint="eastAsia"/>
          <w:color w:val="auto"/>
          <w:highlight w:val="none"/>
        </w:rPr>
      </w:pPr>
      <w:r>
        <w:rPr>
          <w:rFonts w:ascii="方正小标宋_GBK" w:eastAsia="方正小标宋_GBK"/>
          <w:b/>
          <w:bCs/>
          <w:color w:val="auto"/>
          <w:sz w:val="36"/>
          <w:szCs w:val="36"/>
          <w:highlight w:val="none"/>
        </w:rPr>
        <w:t>钦州市政府采购中心</w:t>
      </w:r>
      <w:bookmarkStart w:id="4" w:name="_Hlk169687345"/>
      <w:r>
        <w:rPr>
          <w:rFonts w:ascii="方正小标宋_GBK" w:eastAsia="方正小标宋_GBK"/>
          <w:b/>
          <w:bCs/>
          <w:color w:val="auto"/>
          <w:sz w:val="36"/>
          <w:szCs w:val="36"/>
          <w:highlight w:val="none"/>
        </w:rPr>
        <w:t>关于</w:t>
      </w:r>
      <w:r>
        <w:rPr>
          <w:rFonts w:hint="eastAsia" w:ascii="方正小标宋_GBK" w:eastAsia="方正小标宋_GBK"/>
          <w:b/>
          <w:bCs/>
          <w:color w:val="auto"/>
          <w:sz w:val="36"/>
          <w:szCs w:val="36"/>
          <w:highlight w:val="none"/>
          <w:lang w:eastAsia="zh-CN"/>
        </w:rPr>
        <w:t>大化瑶族自治县人民法院审判法庭业务用房信息化建设</w:t>
      </w:r>
      <w:r>
        <w:rPr>
          <w:rFonts w:ascii="方正小标宋_GBK" w:eastAsia="方正小标宋_GBK"/>
          <w:b/>
          <w:bCs/>
          <w:color w:val="auto"/>
          <w:sz w:val="36"/>
          <w:szCs w:val="36"/>
          <w:highlight w:val="none"/>
        </w:rPr>
        <w:t>(</w:t>
      </w:r>
      <w:r>
        <w:rPr>
          <w:rFonts w:hint="eastAsia" w:ascii="方正小标宋_GBK" w:eastAsia="方正小标宋_GBK"/>
          <w:b/>
          <w:bCs/>
          <w:color w:val="auto"/>
          <w:sz w:val="36"/>
          <w:szCs w:val="36"/>
          <w:highlight w:val="none"/>
          <w:lang w:eastAsia="zh-CN"/>
        </w:rPr>
        <w:t>HCZC2025-G1-990090-QZSZ</w:t>
      </w:r>
      <w:r>
        <w:rPr>
          <w:rFonts w:ascii="方正小标宋_GBK" w:eastAsia="方正小标宋_GBK"/>
          <w:b/>
          <w:bCs/>
          <w:color w:val="auto"/>
          <w:sz w:val="36"/>
          <w:szCs w:val="36"/>
          <w:highlight w:val="none"/>
        </w:rPr>
        <w:t>)</w:t>
      </w:r>
      <w:bookmarkEnd w:id="4"/>
      <w:r>
        <w:rPr>
          <w:rFonts w:hint="eastAsia" w:ascii="方正小标宋_GBK" w:eastAsia="方正小标宋_GBK"/>
          <w:b/>
          <w:bCs/>
          <w:color w:val="auto"/>
          <w:sz w:val="36"/>
          <w:szCs w:val="36"/>
          <w:highlight w:val="none"/>
        </w:rPr>
        <w:t>的招标公告</w:t>
      </w:r>
    </w:p>
    <w:p>
      <w:pPr>
        <w:pBdr>
          <w:top w:val="single" w:color="auto" w:sz="4" w:space="0"/>
          <w:left w:val="single" w:color="auto" w:sz="4" w:space="4"/>
          <w:bottom w:val="single" w:color="auto" w:sz="4" w:space="1"/>
          <w:right w:val="single" w:color="auto" w:sz="4" w:space="4"/>
        </w:pBdr>
        <w:spacing w:line="412" w:lineRule="exact"/>
        <w:ind w:firstLine="0" w:firstLineChars="0"/>
        <w:rPr>
          <w:rFonts w:ascii="宋体" w:hAnsi="宋体"/>
          <w:color w:val="auto"/>
          <w:szCs w:val="21"/>
          <w:highlight w:val="none"/>
        </w:rPr>
      </w:pPr>
      <w:r>
        <w:rPr>
          <w:rFonts w:hint="eastAsia" w:ascii="宋体" w:hAnsi="宋体"/>
          <w:color w:val="auto"/>
          <w:szCs w:val="21"/>
          <w:highlight w:val="none"/>
        </w:rPr>
        <w:t>项目概况</w:t>
      </w:r>
    </w:p>
    <w:p>
      <w:pPr>
        <w:pBdr>
          <w:top w:val="single" w:color="auto" w:sz="4" w:space="0"/>
          <w:left w:val="single" w:color="auto" w:sz="4" w:space="4"/>
          <w:bottom w:val="single" w:color="auto" w:sz="4" w:space="1"/>
          <w:right w:val="single" w:color="auto" w:sz="4" w:space="4"/>
        </w:pBdr>
        <w:spacing w:line="412" w:lineRule="exact"/>
        <w:ind w:firstLine="420"/>
        <w:rPr>
          <w:rFonts w:ascii="宋体" w:hAnsi="宋体"/>
          <w:color w:val="auto"/>
          <w:szCs w:val="21"/>
          <w:highlight w:val="none"/>
        </w:rPr>
      </w:pPr>
      <w:r>
        <w:rPr>
          <w:rFonts w:hint="eastAsia" w:ascii="宋体" w:hAnsi="宋体"/>
          <w:bCs/>
          <w:color w:val="auto"/>
          <w:szCs w:val="21"/>
          <w:highlight w:val="none"/>
          <w:lang w:eastAsia="zh-CN"/>
        </w:rPr>
        <w:t>大化瑶族自治县人民法院审判法庭业务用房信息化建设</w:t>
      </w:r>
      <w:r>
        <w:rPr>
          <w:rFonts w:hint="eastAsia" w:ascii="宋体" w:hAnsi="宋体"/>
          <w:bCs/>
          <w:color w:val="auto"/>
          <w:szCs w:val="21"/>
          <w:highlight w:val="none"/>
        </w:rPr>
        <w:t>招标</w:t>
      </w:r>
      <w:r>
        <w:rPr>
          <w:rFonts w:hint="eastAsia" w:ascii="宋体" w:hAnsi="宋体"/>
          <w:color w:val="auto"/>
          <w:szCs w:val="21"/>
          <w:highlight w:val="none"/>
        </w:rPr>
        <w:t>项目的潜在投标人应在广西</w:t>
      </w:r>
      <w:r>
        <w:rPr>
          <w:rFonts w:ascii="宋体" w:hAnsi="宋体"/>
          <w:color w:val="auto"/>
          <w:szCs w:val="21"/>
          <w:highlight w:val="none"/>
        </w:rPr>
        <w:fldChar w:fldCharType="begin"/>
      </w:r>
      <w:r>
        <w:rPr>
          <w:rFonts w:ascii="宋体" w:hAnsi="宋体"/>
          <w:color w:val="auto"/>
          <w:szCs w:val="21"/>
          <w:highlight w:val="none"/>
        </w:rPr>
        <w:instrText xml:space="preserve"> </w:instrText>
      </w:r>
      <w:r>
        <w:rPr>
          <w:rFonts w:hint="eastAsia" w:ascii="宋体" w:hAnsi="宋体"/>
          <w:color w:val="auto"/>
          <w:szCs w:val="21"/>
          <w:highlight w:val="none"/>
        </w:rPr>
        <w:instrText xml:space="preserve">HYPERLINK "https://www.zcygov.cn/"</w:instrText>
      </w:r>
      <w:r>
        <w:rPr>
          <w:rFonts w:ascii="宋体" w:hAnsi="宋体"/>
          <w:color w:val="auto"/>
          <w:szCs w:val="21"/>
          <w:highlight w:val="none"/>
        </w:rPr>
        <w:instrText xml:space="preserve"> </w:instrText>
      </w:r>
      <w:r>
        <w:rPr>
          <w:rFonts w:ascii="宋体" w:hAnsi="宋体"/>
          <w:color w:val="auto"/>
          <w:szCs w:val="21"/>
          <w:highlight w:val="none"/>
        </w:rPr>
        <w:fldChar w:fldCharType="separate"/>
      </w:r>
      <w:r>
        <w:rPr>
          <w:rStyle w:val="58"/>
          <w:rFonts w:hint="eastAsia" w:ascii="宋体" w:hAnsi="宋体"/>
          <w:color w:val="auto"/>
          <w:szCs w:val="21"/>
          <w:highlight w:val="none"/>
          <w:u w:val="none"/>
        </w:rPr>
        <w:t>政府采购云平台</w:t>
      </w:r>
      <w:r>
        <w:rPr>
          <w:rFonts w:ascii="宋体" w:hAnsi="宋体"/>
          <w:color w:val="auto"/>
          <w:szCs w:val="21"/>
          <w:highlight w:val="none"/>
        </w:rPr>
        <w:fldChar w:fldCharType="end"/>
      </w:r>
      <w:r>
        <w:rPr>
          <w:rFonts w:hint="eastAsia" w:ascii="宋体" w:hAnsi="宋体"/>
          <w:color w:val="auto"/>
          <w:szCs w:val="21"/>
          <w:highlight w:val="none"/>
        </w:rPr>
        <w:t>获取招标文件，并于202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7月  日</w:t>
      </w:r>
      <w:r>
        <w:rPr>
          <w:rFonts w:hint="eastAsia"/>
          <w:color w:val="auto"/>
          <w:highlight w:val="none"/>
        </w:rPr>
        <w:t>09</w:t>
      </w:r>
      <w:r>
        <w:rPr>
          <w:color w:val="auto"/>
          <w:highlight w:val="none"/>
        </w:rPr>
        <w:t>:</w:t>
      </w:r>
      <w:r>
        <w:rPr>
          <w:rFonts w:hint="eastAsia"/>
          <w:color w:val="auto"/>
          <w:highlight w:val="none"/>
        </w:rPr>
        <w:t>3</w:t>
      </w:r>
      <w:r>
        <w:rPr>
          <w:color w:val="auto"/>
          <w:highlight w:val="none"/>
        </w:rPr>
        <w:t>0</w:t>
      </w:r>
      <w:r>
        <w:rPr>
          <w:rFonts w:hint="eastAsia" w:ascii="宋体" w:hAnsi="宋体"/>
          <w:color w:val="auto"/>
          <w:szCs w:val="21"/>
          <w:highlight w:val="none"/>
        </w:rPr>
        <w:t>（北京时间）前提交投标文件。</w:t>
      </w:r>
    </w:p>
    <w:p>
      <w:pPr>
        <w:spacing w:line="412" w:lineRule="exact"/>
        <w:ind w:firstLine="0" w:firstLineChars="0"/>
        <w:rPr>
          <w:b/>
          <w:color w:val="auto"/>
          <w:highlight w:val="none"/>
        </w:rPr>
      </w:pPr>
      <w:bookmarkStart w:id="5" w:name="_Toc35393621"/>
      <w:bookmarkStart w:id="6" w:name="_Toc28359002"/>
      <w:bookmarkStart w:id="7" w:name="_Toc35393790"/>
      <w:bookmarkStart w:id="8" w:name="_Toc28359079"/>
      <w:bookmarkStart w:id="9" w:name="_Hlk24379207"/>
      <w:bookmarkStart w:id="10" w:name="_Hlk92355554"/>
      <w:r>
        <w:rPr>
          <w:rFonts w:hint="eastAsia"/>
          <w:b/>
          <w:color w:val="auto"/>
          <w:highlight w:val="none"/>
        </w:rPr>
        <w:t>一、项目基本情况</w:t>
      </w:r>
      <w:bookmarkEnd w:id="5"/>
      <w:bookmarkEnd w:id="6"/>
      <w:bookmarkEnd w:id="7"/>
      <w:bookmarkEnd w:id="8"/>
    </w:p>
    <w:p>
      <w:pPr>
        <w:spacing w:line="412" w:lineRule="exact"/>
        <w:ind w:firstLine="420"/>
        <w:rPr>
          <w:rFonts w:hint="eastAsia" w:eastAsia="宋体"/>
          <w:color w:val="auto"/>
          <w:highlight w:val="none"/>
          <w:lang w:eastAsia="zh-CN"/>
        </w:rPr>
      </w:pPr>
      <w:r>
        <w:rPr>
          <w:rFonts w:hint="eastAsia"/>
          <w:color w:val="auto"/>
          <w:highlight w:val="none"/>
        </w:rPr>
        <w:t>项目编号：</w:t>
      </w:r>
      <w:r>
        <w:rPr>
          <w:rFonts w:hint="eastAsia"/>
          <w:color w:val="auto"/>
          <w:highlight w:val="none"/>
          <w:lang w:eastAsia="zh-CN"/>
        </w:rPr>
        <w:t>HCZC2025-G1-990090-QZSZ</w:t>
      </w:r>
    </w:p>
    <w:p>
      <w:pPr>
        <w:spacing w:line="412" w:lineRule="exact"/>
        <w:ind w:firstLine="420"/>
        <w:rPr>
          <w:rFonts w:hint="eastAsia" w:eastAsia="宋体"/>
          <w:color w:val="auto"/>
          <w:highlight w:val="none"/>
          <w:lang w:eastAsia="zh-CN"/>
        </w:rPr>
      </w:pPr>
      <w:r>
        <w:rPr>
          <w:rFonts w:hint="eastAsia"/>
          <w:color w:val="auto"/>
          <w:highlight w:val="none"/>
        </w:rPr>
        <w:t>项目名称：</w:t>
      </w:r>
      <w:r>
        <w:rPr>
          <w:rFonts w:hint="eastAsia"/>
          <w:color w:val="auto"/>
          <w:highlight w:val="none"/>
          <w:lang w:eastAsia="zh-CN"/>
        </w:rPr>
        <w:t>大化瑶族自治县人民法院审判法庭业务用房信息化建设</w:t>
      </w:r>
    </w:p>
    <w:bookmarkEnd w:id="9"/>
    <w:p>
      <w:pPr>
        <w:spacing w:line="412" w:lineRule="exact"/>
        <w:ind w:firstLine="420"/>
        <w:rPr>
          <w:rFonts w:hint="eastAsia"/>
          <w:color w:val="auto"/>
          <w:highlight w:val="none"/>
        </w:rPr>
      </w:pPr>
      <w:r>
        <w:rPr>
          <w:rFonts w:hint="eastAsia"/>
          <w:color w:val="auto"/>
          <w:highlight w:val="none"/>
        </w:rPr>
        <w:t>预算总金额(元</w:t>
      </w:r>
      <w:r>
        <w:rPr>
          <w:color w:val="auto"/>
          <w:highlight w:val="none"/>
        </w:rPr>
        <w:t>)</w:t>
      </w:r>
      <w:r>
        <w:rPr>
          <w:rFonts w:hint="eastAsia"/>
          <w:color w:val="auto"/>
          <w:highlight w:val="none"/>
        </w:rPr>
        <w:t>：6144637.23</w:t>
      </w:r>
    </w:p>
    <w:p>
      <w:pPr>
        <w:spacing w:line="412" w:lineRule="exact"/>
        <w:ind w:firstLine="420"/>
        <w:rPr>
          <w:color w:val="auto"/>
          <w:highlight w:val="none"/>
        </w:rPr>
      </w:pPr>
      <w:r>
        <w:rPr>
          <w:rFonts w:hint="eastAsia"/>
          <w:color w:val="auto"/>
          <w:highlight w:val="none"/>
        </w:rPr>
        <w:t>采购需求：</w:t>
      </w:r>
    </w:p>
    <w:p>
      <w:pPr>
        <w:spacing w:line="412" w:lineRule="exact"/>
        <w:ind w:firstLine="420"/>
        <w:rPr>
          <w:rFonts w:hint="eastAsia"/>
          <w:color w:val="auto"/>
          <w:highlight w:val="none"/>
        </w:rPr>
      </w:pPr>
    </w:p>
    <w:p>
      <w:pPr>
        <w:spacing w:line="400" w:lineRule="exact"/>
        <w:ind w:firstLine="420" w:firstLineChars="200"/>
        <w:rPr>
          <w:rFonts w:hint="eastAsia" w:ascii="Times New Roman" w:hAnsi="Times New Roman" w:eastAsia="宋体" w:cs="Times New Roman"/>
          <w:color w:val="auto"/>
          <w:szCs w:val="24"/>
          <w:highlight w:val="none"/>
          <w:lang w:eastAsia="zh-CN"/>
        </w:rPr>
      </w:pPr>
      <w:r>
        <w:rPr>
          <w:rFonts w:hint="eastAsia" w:ascii="Times New Roman" w:hAnsi="Times New Roman" w:eastAsia="宋体" w:cs="Times New Roman"/>
          <w:color w:val="auto"/>
          <w:szCs w:val="24"/>
          <w:highlight w:val="none"/>
        </w:rPr>
        <w:t>标项名称：</w:t>
      </w:r>
      <w:r>
        <w:rPr>
          <w:rFonts w:hint="eastAsia" w:cs="Times New Roman"/>
          <w:color w:val="auto"/>
          <w:szCs w:val="24"/>
          <w:highlight w:val="none"/>
          <w:lang w:eastAsia="zh-CN"/>
        </w:rPr>
        <w:t>大化瑶族自治县人民法院审判法庭业务用房信息化建设</w:t>
      </w:r>
    </w:p>
    <w:p>
      <w:pPr>
        <w:spacing w:line="400" w:lineRule="exact"/>
        <w:ind w:firstLine="420" w:firstLineChars="200"/>
        <w:rPr>
          <w:rFonts w:hint="eastAsia" w:ascii="Times New Roman" w:hAnsi="Times New Roman" w:eastAsia="宋体" w:cs="Times New Roman"/>
          <w:color w:val="auto"/>
          <w:szCs w:val="24"/>
          <w:highlight w:val="none"/>
          <w:lang w:val="en-US" w:eastAsia="zh-CN"/>
        </w:rPr>
      </w:pPr>
      <w:r>
        <w:rPr>
          <w:rFonts w:hint="eastAsia" w:ascii="Times New Roman" w:hAnsi="Times New Roman" w:eastAsia="宋体" w:cs="Times New Roman"/>
          <w:color w:val="auto"/>
          <w:szCs w:val="24"/>
          <w:highlight w:val="none"/>
        </w:rPr>
        <w:t>数量：</w:t>
      </w:r>
      <w:r>
        <w:rPr>
          <w:rFonts w:hint="eastAsia" w:cs="Times New Roman"/>
          <w:color w:val="auto"/>
          <w:szCs w:val="24"/>
          <w:highlight w:val="none"/>
          <w:lang w:val="en-US" w:eastAsia="zh-CN"/>
        </w:rPr>
        <w:t>1</w:t>
      </w:r>
    </w:p>
    <w:p>
      <w:pPr>
        <w:spacing w:line="400" w:lineRule="exact"/>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预算金额</w:t>
      </w:r>
      <w:r>
        <w:rPr>
          <w:rFonts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rPr>
        <w:t>元</w:t>
      </w:r>
      <w:r>
        <w:rPr>
          <w:rFonts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rPr>
        <w:t>：6144637.23</w:t>
      </w:r>
    </w:p>
    <w:p>
      <w:pPr>
        <w:spacing w:line="400" w:lineRule="exact"/>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简要规格描述或项目基本概况介绍、用途：</w:t>
      </w:r>
      <w:bookmarkStart w:id="11" w:name="OLE_LINK7"/>
      <w:r>
        <w:rPr>
          <w:rFonts w:hint="eastAsia" w:ascii="Times New Roman" w:hAnsi="Times New Roman" w:eastAsia="宋体" w:cs="Times New Roman"/>
          <w:color w:val="auto"/>
          <w:szCs w:val="24"/>
          <w:highlight w:val="none"/>
        </w:rPr>
        <w:t>审判法庭业务用房信息化建设项目包含综合布线系统、网络系统、科技法庭系统、出入口管理系统、出入口管理系统、安检系统、视频监控系统、六专四室、门禁管理系统、诉讼服务中心、公共广播系统、设备间及配套工程、设备间装饰装修工程等</w:t>
      </w:r>
      <w:bookmarkEnd w:id="11"/>
      <w:r>
        <w:rPr>
          <w:rFonts w:hint="eastAsia" w:ascii="Times New Roman" w:hAnsi="Times New Roman" w:eastAsia="宋体" w:cs="Times New Roman"/>
          <w:color w:val="auto"/>
          <w:szCs w:val="24"/>
          <w:highlight w:val="none"/>
        </w:rPr>
        <w:t>。详见招标文件。</w:t>
      </w:r>
    </w:p>
    <w:p>
      <w:pPr>
        <w:spacing w:line="400" w:lineRule="exact"/>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最高限价</w:t>
      </w:r>
      <w:r>
        <w:rPr>
          <w:rFonts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rPr>
        <w:t>如有</w:t>
      </w:r>
      <w:r>
        <w:rPr>
          <w:rFonts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rPr>
        <w:t>：</w:t>
      </w:r>
    </w:p>
    <w:p>
      <w:pPr>
        <w:spacing w:line="400" w:lineRule="exact"/>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合同履行期限：</w:t>
      </w:r>
      <w:bookmarkStart w:id="12" w:name="OLE_LINK9"/>
      <w:r>
        <w:rPr>
          <w:rFonts w:hint="eastAsia" w:ascii="Times New Roman" w:hAnsi="Times New Roman" w:eastAsia="宋体" w:cs="Times New Roman"/>
          <w:color w:val="auto"/>
          <w:szCs w:val="24"/>
          <w:highlight w:val="none"/>
        </w:rPr>
        <w:t>合同签订之日起</w:t>
      </w:r>
      <w:r>
        <w:rPr>
          <w:rFonts w:hint="eastAsia" w:cs="Times New Roman"/>
          <w:color w:val="auto"/>
          <w:szCs w:val="24"/>
          <w:highlight w:val="none"/>
          <w:u w:val="none"/>
          <w:lang w:val="en-US" w:eastAsia="zh-CN"/>
        </w:rPr>
        <w:t>90</w:t>
      </w:r>
      <w:r>
        <w:rPr>
          <w:rFonts w:hint="eastAsia" w:ascii="Times New Roman" w:hAnsi="Times New Roman" w:eastAsia="宋体" w:cs="Times New Roman"/>
          <w:color w:val="auto"/>
          <w:szCs w:val="24"/>
          <w:highlight w:val="none"/>
        </w:rPr>
        <w:t>个日历日内。</w:t>
      </w:r>
      <w:bookmarkEnd w:id="12"/>
    </w:p>
    <w:p>
      <w:pPr>
        <w:spacing w:line="400" w:lineRule="exact"/>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本标项</w:t>
      </w:r>
      <w:r>
        <w:rPr>
          <w:rFonts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rPr>
        <w:t>否</w:t>
      </w:r>
      <w:r>
        <w:rPr>
          <w:rFonts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rPr>
        <w:t>接受联合体投标。</w:t>
      </w:r>
    </w:p>
    <w:p>
      <w:pPr>
        <w:spacing w:line="400" w:lineRule="exact"/>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备注：</w:t>
      </w:r>
    </w:p>
    <w:p>
      <w:pPr>
        <w:spacing w:line="412" w:lineRule="exact"/>
        <w:ind w:firstLine="420"/>
        <w:rPr>
          <w:rFonts w:hint="eastAsia"/>
          <w:color w:val="auto"/>
          <w:highlight w:val="none"/>
        </w:rPr>
      </w:pPr>
    </w:p>
    <w:p>
      <w:pPr>
        <w:spacing w:line="412" w:lineRule="exact"/>
        <w:ind w:firstLine="0" w:firstLineChars="0"/>
        <w:rPr>
          <w:rFonts w:hint="eastAsia"/>
          <w:b/>
          <w:color w:val="auto"/>
          <w:highlight w:val="none"/>
        </w:rPr>
      </w:pPr>
      <w:bookmarkStart w:id="13" w:name="_Toc28359080"/>
      <w:bookmarkStart w:id="14" w:name="_Toc35393791"/>
      <w:bookmarkStart w:id="15" w:name="_Toc35393622"/>
      <w:bookmarkStart w:id="16" w:name="_Toc28359003"/>
      <w:r>
        <w:rPr>
          <w:rFonts w:hint="eastAsia"/>
          <w:b/>
          <w:color w:val="auto"/>
          <w:highlight w:val="none"/>
        </w:rPr>
        <w:t>二、申请人的资格要求：</w:t>
      </w:r>
      <w:bookmarkEnd w:id="13"/>
      <w:bookmarkEnd w:id="14"/>
      <w:bookmarkEnd w:id="15"/>
      <w:bookmarkEnd w:id="16"/>
      <w:bookmarkStart w:id="17" w:name="_Toc28359004"/>
      <w:bookmarkStart w:id="18" w:name="_Toc35393792"/>
      <w:bookmarkStart w:id="19" w:name="_Toc35393623"/>
      <w:bookmarkStart w:id="20" w:name="_Toc28359081"/>
    </w:p>
    <w:p>
      <w:pPr>
        <w:spacing w:line="412" w:lineRule="exact"/>
        <w:ind w:firstLine="420"/>
        <w:rPr>
          <w:b/>
          <w:color w:val="auto"/>
          <w:highlight w:val="none"/>
        </w:rPr>
      </w:pPr>
      <w:r>
        <w:rPr>
          <w:rFonts w:hint="eastAsia"/>
          <w:color w:val="auto"/>
          <w:highlight w:val="none"/>
        </w:rPr>
        <w:t>1.满足《中华人民共和国政府采购法》第二十二条规定；</w:t>
      </w:r>
    </w:p>
    <w:p>
      <w:pPr>
        <w:spacing w:line="412" w:lineRule="exact"/>
        <w:ind w:firstLine="420"/>
        <w:rPr>
          <w:rFonts w:hint="eastAsia" w:eastAsia="宋体"/>
          <w:color w:val="auto"/>
          <w:highlight w:val="none"/>
          <w:lang w:eastAsia="zh-CN"/>
        </w:rPr>
      </w:pPr>
      <w:r>
        <w:rPr>
          <w:rFonts w:hint="eastAsia"/>
          <w:color w:val="auto"/>
          <w:highlight w:val="none"/>
        </w:rPr>
        <w:t>2.落实政府采购政策需满足的资格要求：</w:t>
      </w:r>
      <w:r>
        <w:rPr>
          <w:rFonts w:hint="eastAsia"/>
          <w:color w:val="auto"/>
          <w:highlight w:val="none"/>
          <w:lang w:eastAsia="zh-CN"/>
        </w:rPr>
        <w:t>无</w:t>
      </w:r>
    </w:p>
    <w:p>
      <w:pPr>
        <w:spacing w:line="412" w:lineRule="exact"/>
        <w:ind w:firstLine="420"/>
        <w:rPr>
          <w:color w:val="auto"/>
          <w:highlight w:val="none"/>
        </w:rPr>
      </w:pPr>
      <w:r>
        <w:rPr>
          <w:rFonts w:hint="eastAsia"/>
          <w:color w:val="auto"/>
          <w:highlight w:val="none"/>
        </w:rPr>
        <w:t>3.本项目的特定资格要求：无</w:t>
      </w:r>
    </w:p>
    <w:p>
      <w:pPr>
        <w:spacing w:line="412" w:lineRule="exact"/>
        <w:ind w:firstLine="0" w:firstLineChars="0"/>
        <w:rPr>
          <w:b/>
          <w:color w:val="auto"/>
          <w:highlight w:val="none"/>
        </w:rPr>
      </w:pPr>
      <w:r>
        <w:rPr>
          <w:rFonts w:hint="eastAsia"/>
          <w:b/>
          <w:color w:val="auto"/>
          <w:highlight w:val="none"/>
        </w:rPr>
        <w:t>三、获取招标文件</w:t>
      </w:r>
      <w:bookmarkEnd w:id="17"/>
      <w:bookmarkEnd w:id="18"/>
      <w:bookmarkEnd w:id="19"/>
      <w:bookmarkEnd w:id="20"/>
    </w:p>
    <w:p>
      <w:pPr>
        <w:spacing w:line="412" w:lineRule="exact"/>
        <w:ind w:firstLine="420"/>
        <w:jc w:val="left"/>
        <w:rPr>
          <w:color w:val="auto"/>
          <w:highlight w:val="none"/>
        </w:rPr>
      </w:pPr>
      <w:bookmarkStart w:id="21" w:name="_Toc38370141"/>
      <w:r>
        <w:rPr>
          <w:rFonts w:hint="eastAsia"/>
          <w:color w:val="auto"/>
          <w:highlight w:val="none"/>
        </w:rPr>
        <w:t>时间：202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7</w:t>
      </w:r>
      <w:r>
        <w:rPr>
          <w:rFonts w:hint="eastAsia"/>
          <w:color w:val="auto"/>
          <w:highlight w:val="none"/>
        </w:rPr>
        <w:t>月</w:t>
      </w:r>
      <w:r>
        <w:rPr>
          <w:rFonts w:hint="eastAsia"/>
          <w:color w:val="auto"/>
          <w:highlight w:val="none"/>
          <w:lang w:val="en-US" w:eastAsia="zh-CN"/>
        </w:rPr>
        <w:t xml:space="preserve"> </w:t>
      </w:r>
      <w:r>
        <w:rPr>
          <w:rFonts w:hint="eastAsia"/>
          <w:color w:val="auto"/>
          <w:highlight w:val="none"/>
        </w:rPr>
        <w:t>日至202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7</w:t>
      </w:r>
      <w:r>
        <w:rPr>
          <w:rFonts w:hint="eastAsia"/>
          <w:color w:val="auto"/>
          <w:highlight w:val="none"/>
        </w:rPr>
        <w:t>月</w:t>
      </w:r>
      <w:r>
        <w:rPr>
          <w:rFonts w:hint="eastAsia"/>
          <w:color w:val="auto"/>
          <w:highlight w:val="none"/>
          <w:lang w:val="en-US" w:eastAsia="zh-CN"/>
        </w:rPr>
        <w:t xml:space="preserve"> </w:t>
      </w:r>
      <w:r>
        <w:rPr>
          <w:rFonts w:hint="eastAsia"/>
          <w:color w:val="auto"/>
          <w:highlight w:val="none"/>
        </w:rPr>
        <w:t>日 ，每天上午00:00至12:00，下午12:00至23:59（北京时间，法定节假日除外）</w:t>
      </w:r>
    </w:p>
    <w:p>
      <w:pPr>
        <w:spacing w:line="412" w:lineRule="exact"/>
        <w:ind w:firstLine="420"/>
        <w:rPr>
          <w:rFonts w:hint="eastAsia"/>
          <w:color w:val="auto"/>
          <w:highlight w:val="none"/>
        </w:rPr>
      </w:pPr>
      <w:r>
        <w:rPr>
          <w:rFonts w:hint="eastAsia"/>
          <w:color w:val="auto"/>
          <w:highlight w:val="none"/>
        </w:rPr>
        <w:t>地点(网址</w:t>
      </w:r>
      <w:r>
        <w:rPr>
          <w:color w:val="auto"/>
          <w:highlight w:val="none"/>
        </w:rPr>
        <w:t>)</w:t>
      </w:r>
      <w:r>
        <w:rPr>
          <w:rFonts w:hint="eastAsia"/>
          <w:color w:val="auto"/>
          <w:highlight w:val="none"/>
        </w:rPr>
        <w:t>：</w:t>
      </w:r>
      <w:bookmarkStart w:id="22" w:name="_Hlk160013661"/>
      <w:bookmarkStart w:id="23" w:name="OLE_LINK2"/>
      <w:r>
        <w:rPr>
          <w:rFonts w:hint="eastAsia"/>
          <w:color w:val="auto"/>
          <w:highlight w:val="none"/>
        </w:rPr>
        <w:t>广西政府采购云平台</w:t>
      </w:r>
      <w:bookmarkEnd w:id="22"/>
      <w:r>
        <w:rPr>
          <w:rFonts w:hint="eastAsia"/>
          <w:color w:val="auto"/>
          <w:highlight w:val="none"/>
        </w:rPr>
        <w:t>（</w:t>
      </w:r>
      <w:r>
        <w:rPr>
          <w:color w:val="auto"/>
          <w:highlight w:val="none"/>
        </w:rPr>
        <w:t>https://www.gcy.zfcg.gxzf.gov.cn</w:t>
      </w:r>
      <w:r>
        <w:rPr>
          <w:rFonts w:hint="eastAsia"/>
          <w:color w:val="auto"/>
          <w:highlight w:val="none"/>
          <w:lang w:eastAsia="zh-CN"/>
        </w:rPr>
        <w:t>）</w:t>
      </w:r>
      <w:bookmarkEnd w:id="23"/>
    </w:p>
    <w:p>
      <w:pPr>
        <w:spacing w:line="412" w:lineRule="exact"/>
        <w:ind w:firstLine="420"/>
        <w:rPr>
          <w:color w:val="auto"/>
          <w:highlight w:val="none"/>
        </w:rPr>
      </w:pPr>
      <w:r>
        <w:rPr>
          <w:rFonts w:hint="eastAsia"/>
          <w:color w:val="auto"/>
          <w:highlight w:val="none"/>
        </w:rPr>
        <w:t>方式：</w:t>
      </w:r>
      <w:bookmarkStart w:id="24" w:name="OLE_LINK3"/>
      <w:r>
        <w:rPr>
          <w:rFonts w:hint="eastAsia"/>
          <w:color w:val="auto"/>
          <w:highlight w:val="none"/>
        </w:rPr>
        <w:t>供应商登录广西政府采购云平台(以下称“政采云平台”</w:t>
      </w:r>
      <w:r>
        <w:rPr>
          <w:color w:val="auto"/>
          <w:highlight w:val="none"/>
        </w:rPr>
        <w:t>)</w:t>
      </w:r>
      <w:r>
        <w:rPr>
          <w:rFonts w:hint="eastAsia"/>
          <w:color w:val="auto"/>
          <w:highlight w:val="none"/>
        </w:rPr>
        <w:t>在线获取招标文件（进入“项目采购”应用选择项目，获取招标文件）</w:t>
      </w:r>
      <w:bookmarkEnd w:id="24"/>
    </w:p>
    <w:p>
      <w:pPr>
        <w:spacing w:line="412" w:lineRule="exact"/>
        <w:ind w:firstLine="420"/>
        <w:rPr>
          <w:rFonts w:hint="eastAsia"/>
          <w:color w:val="auto"/>
          <w:highlight w:val="none"/>
        </w:rPr>
      </w:pPr>
      <w:r>
        <w:rPr>
          <w:rFonts w:hint="eastAsia"/>
          <w:color w:val="auto"/>
          <w:highlight w:val="none"/>
        </w:rPr>
        <w:t>售价(元</w:t>
      </w:r>
      <w:r>
        <w:rPr>
          <w:color w:val="auto"/>
          <w:highlight w:val="none"/>
        </w:rPr>
        <w:t>)</w:t>
      </w:r>
      <w:r>
        <w:rPr>
          <w:rFonts w:hint="eastAsia"/>
          <w:color w:val="auto"/>
          <w:highlight w:val="none"/>
        </w:rPr>
        <w:t xml:space="preserve">：0 </w:t>
      </w:r>
    </w:p>
    <w:p>
      <w:pPr>
        <w:spacing w:line="412" w:lineRule="exact"/>
        <w:ind w:firstLine="0" w:firstLineChars="0"/>
        <w:rPr>
          <w:b/>
          <w:color w:val="auto"/>
          <w:highlight w:val="none"/>
        </w:rPr>
      </w:pPr>
      <w:r>
        <w:rPr>
          <w:rFonts w:hint="eastAsia"/>
          <w:b/>
          <w:bCs/>
          <w:color w:val="auto"/>
          <w:highlight w:val="none"/>
        </w:rPr>
        <w:t>四、</w:t>
      </w:r>
      <w:bookmarkEnd w:id="21"/>
      <w:bookmarkStart w:id="25" w:name="_Toc28359082"/>
      <w:bookmarkStart w:id="26" w:name="_Toc28359005"/>
      <w:bookmarkStart w:id="27" w:name="_Toc35393793"/>
      <w:bookmarkStart w:id="28" w:name="_Toc35393624"/>
      <w:r>
        <w:rPr>
          <w:rFonts w:hint="eastAsia"/>
          <w:b/>
          <w:color w:val="auto"/>
          <w:highlight w:val="none"/>
        </w:rPr>
        <w:t>投标文件</w:t>
      </w:r>
      <w:bookmarkEnd w:id="25"/>
      <w:bookmarkEnd w:id="26"/>
      <w:r>
        <w:rPr>
          <w:rFonts w:hint="eastAsia"/>
          <w:b/>
          <w:color w:val="auto"/>
          <w:highlight w:val="none"/>
        </w:rPr>
        <w:t>提交截止时间、开标时间和</w:t>
      </w:r>
      <w:bookmarkEnd w:id="27"/>
      <w:bookmarkEnd w:id="28"/>
      <w:r>
        <w:rPr>
          <w:rFonts w:hint="eastAsia"/>
          <w:b/>
          <w:color w:val="auto"/>
          <w:highlight w:val="none"/>
        </w:rPr>
        <w:t>地点</w:t>
      </w:r>
    </w:p>
    <w:p>
      <w:pPr>
        <w:spacing w:line="412" w:lineRule="exact"/>
        <w:ind w:firstLine="420"/>
        <w:rPr>
          <w:color w:val="auto"/>
          <w:highlight w:val="none"/>
        </w:rPr>
      </w:pPr>
      <w:r>
        <w:rPr>
          <w:rFonts w:hint="eastAsia"/>
          <w:color w:val="auto"/>
          <w:highlight w:val="none"/>
        </w:rPr>
        <w:t>提交投标文件截止时间：202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7月 日</w:t>
      </w:r>
      <w:r>
        <w:rPr>
          <w:rFonts w:hint="eastAsia"/>
          <w:color w:val="auto"/>
          <w:highlight w:val="none"/>
        </w:rPr>
        <w:t>09</w:t>
      </w:r>
      <w:r>
        <w:rPr>
          <w:color w:val="auto"/>
          <w:highlight w:val="none"/>
        </w:rPr>
        <w:t>:</w:t>
      </w:r>
      <w:r>
        <w:rPr>
          <w:rFonts w:hint="eastAsia"/>
          <w:color w:val="auto"/>
          <w:highlight w:val="none"/>
        </w:rPr>
        <w:t>3</w:t>
      </w:r>
      <w:r>
        <w:rPr>
          <w:color w:val="auto"/>
          <w:highlight w:val="none"/>
        </w:rPr>
        <w:t>0</w:t>
      </w:r>
      <w:r>
        <w:rPr>
          <w:rFonts w:hint="eastAsia"/>
          <w:color w:val="auto"/>
          <w:highlight w:val="none"/>
        </w:rPr>
        <w:t>（北京时间）</w:t>
      </w:r>
    </w:p>
    <w:p>
      <w:pPr>
        <w:spacing w:line="412" w:lineRule="exact"/>
        <w:ind w:firstLine="420"/>
        <w:rPr>
          <w:rFonts w:ascii="宋体" w:hAnsi="宋体" w:cs="Courier New"/>
          <w:color w:val="auto"/>
          <w:szCs w:val="21"/>
          <w:highlight w:val="none"/>
        </w:rPr>
      </w:pPr>
      <w:r>
        <w:rPr>
          <w:rFonts w:hint="eastAsia"/>
          <w:color w:val="auto"/>
          <w:highlight w:val="none"/>
        </w:rPr>
        <w:t>投标地点(网址）：</w:t>
      </w:r>
      <w:bookmarkStart w:id="29" w:name="OLE_LINK4"/>
      <w:r>
        <w:rPr>
          <w:rFonts w:hint="eastAsia" w:ascii="宋体" w:hAnsi="宋体" w:cs="Courier New"/>
          <w:color w:val="auto"/>
          <w:szCs w:val="21"/>
          <w:highlight w:val="none"/>
        </w:rPr>
        <w:t>请登录广西政府采购云平台投标客户端投标</w:t>
      </w:r>
      <w:bookmarkEnd w:id="29"/>
    </w:p>
    <w:p>
      <w:pPr>
        <w:spacing w:line="412" w:lineRule="exact"/>
        <w:ind w:firstLine="420"/>
        <w:rPr>
          <w:rFonts w:ascii="宋体" w:hAnsi="宋体" w:cs="Courier New"/>
          <w:color w:val="auto"/>
          <w:szCs w:val="21"/>
          <w:highlight w:val="none"/>
        </w:rPr>
      </w:pPr>
      <w:r>
        <w:rPr>
          <w:rFonts w:hint="eastAsia" w:ascii="宋体" w:hAnsi="宋体" w:cs="Courier New"/>
          <w:color w:val="auto"/>
          <w:szCs w:val="21"/>
          <w:highlight w:val="none"/>
        </w:rPr>
        <w:t>开标时间：202</w:t>
      </w:r>
      <w:r>
        <w:rPr>
          <w:rFonts w:hint="eastAsia" w:ascii="宋体" w:hAnsi="宋体" w:cs="Courier New"/>
          <w:color w:val="auto"/>
          <w:szCs w:val="21"/>
          <w:highlight w:val="none"/>
          <w:lang w:val="en-US" w:eastAsia="zh-CN"/>
        </w:rPr>
        <w:t>5</w:t>
      </w:r>
      <w:r>
        <w:rPr>
          <w:rFonts w:hint="eastAsia" w:ascii="宋体" w:hAnsi="宋体" w:cs="Courier New"/>
          <w:color w:val="auto"/>
          <w:szCs w:val="21"/>
          <w:highlight w:val="none"/>
        </w:rPr>
        <w:t>年</w:t>
      </w:r>
      <w:r>
        <w:rPr>
          <w:rFonts w:hint="eastAsia" w:ascii="宋体" w:hAnsi="宋体" w:cs="Courier New"/>
          <w:color w:val="auto"/>
          <w:szCs w:val="21"/>
          <w:highlight w:val="none"/>
          <w:lang w:val="en-US" w:eastAsia="zh-CN"/>
        </w:rPr>
        <w:t>7月 日</w:t>
      </w:r>
      <w:r>
        <w:rPr>
          <w:rFonts w:hint="eastAsia" w:ascii="宋体" w:hAnsi="宋体" w:cs="Courier New"/>
          <w:color w:val="auto"/>
          <w:szCs w:val="21"/>
          <w:highlight w:val="none"/>
        </w:rPr>
        <w:t>0</w:t>
      </w:r>
      <w:r>
        <w:rPr>
          <w:rFonts w:hint="eastAsia"/>
          <w:color w:val="auto"/>
          <w:highlight w:val="none"/>
        </w:rPr>
        <w:t>9</w:t>
      </w:r>
      <w:r>
        <w:rPr>
          <w:color w:val="auto"/>
          <w:highlight w:val="none"/>
        </w:rPr>
        <w:t>:</w:t>
      </w:r>
      <w:r>
        <w:rPr>
          <w:rFonts w:hint="eastAsia"/>
          <w:color w:val="auto"/>
          <w:highlight w:val="none"/>
        </w:rPr>
        <w:t>3</w:t>
      </w:r>
      <w:r>
        <w:rPr>
          <w:color w:val="auto"/>
          <w:highlight w:val="none"/>
        </w:rPr>
        <w:t>0</w:t>
      </w:r>
      <w:r>
        <w:rPr>
          <w:rFonts w:hint="eastAsia" w:ascii="宋体" w:hAnsi="宋体" w:cs="Courier New"/>
          <w:color w:val="auto"/>
          <w:szCs w:val="21"/>
          <w:highlight w:val="none"/>
        </w:rPr>
        <w:t>（北京时间）</w:t>
      </w:r>
    </w:p>
    <w:p>
      <w:pPr>
        <w:spacing w:line="412" w:lineRule="exact"/>
        <w:ind w:firstLine="420"/>
        <w:rPr>
          <w:rFonts w:ascii="宋体" w:hAnsi="宋体" w:cs="Courier New"/>
          <w:color w:val="auto"/>
          <w:szCs w:val="21"/>
          <w:highlight w:val="none"/>
        </w:rPr>
      </w:pPr>
      <w:r>
        <w:rPr>
          <w:rFonts w:hint="eastAsia" w:ascii="宋体" w:hAnsi="宋体" w:cs="Courier New"/>
          <w:color w:val="auto"/>
          <w:szCs w:val="21"/>
          <w:highlight w:val="none"/>
        </w:rPr>
        <w:t>开标地点：</w:t>
      </w:r>
      <w:bookmarkStart w:id="30" w:name="_Toc35393625"/>
      <w:bookmarkStart w:id="31" w:name="_Toc28359007"/>
      <w:bookmarkStart w:id="32" w:name="_Toc28359084"/>
      <w:bookmarkStart w:id="33" w:name="_Toc35393794"/>
      <w:r>
        <w:rPr>
          <w:rFonts w:hint="eastAsia" w:ascii="宋体" w:hAnsi="宋体" w:cs="Courier New"/>
          <w:color w:val="auto"/>
          <w:szCs w:val="21"/>
          <w:highlight w:val="none"/>
        </w:rPr>
        <w:t>广西钦州市金海湾东大街8号市政务服务中心三楼开标室</w:t>
      </w:r>
    </w:p>
    <w:p>
      <w:pPr>
        <w:spacing w:line="412" w:lineRule="exact"/>
        <w:ind w:firstLine="0" w:firstLineChars="0"/>
        <w:rPr>
          <w:b/>
          <w:color w:val="auto"/>
          <w:highlight w:val="none"/>
        </w:rPr>
      </w:pPr>
      <w:r>
        <w:rPr>
          <w:rFonts w:hint="eastAsia"/>
          <w:b/>
          <w:color w:val="auto"/>
          <w:highlight w:val="none"/>
        </w:rPr>
        <w:t>五、公告期限</w:t>
      </w:r>
      <w:bookmarkEnd w:id="30"/>
      <w:bookmarkEnd w:id="31"/>
      <w:bookmarkEnd w:id="32"/>
      <w:bookmarkEnd w:id="33"/>
    </w:p>
    <w:p>
      <w:pPr>
        <w:spacing w:line="412" w:lineRule="exact"/>
        <w:ind w:firstLine="420"/>
        <w:rPr>
          <w:color w:val="auto"/>
          <w:highlight w:val="none"/>
        </w:rPr>
      </w:pPr>
      <w:r>
        <w:rPr>
          <w:rFonts w:hint="eastAsia"/>
          <w:color w:val="auto"/>
          <w:highlight w:val="none"/>
        </w:rPr>
        <w:t>自本公告发布之日起5个工作日。</w:t>
      </w:r>
    </w:p>
    <w:p>
      <w:pPr>
        <w:spacing w:line="412" w:lineRule="exact"/>
        <w:ind w:firstLine="0" w:firstLineChars="0"/>
        <w:rPr>
          <w:b/>
          <w:color w:val="auto"/>
          <w:highlight w:val="none"/>
        </w:rPr>
      </w:pPr>
      <w:bookmarkStart w:id="34" w:name="_Toc28359085"/>
      <w:bookmarkStart w:id="35" w:name="_Toc28359008"/>
      <w:bookmarkStart w:id="36" w:name="_Toc35393627"/>
      <w:bookmarkStart w:id="37" w:name="_Toc35393796"/>
      <w:r>
        <w:rPr>
          <w:rFonts w:hint="eastAsia"/>
          <w:b/>
          <w:color w:val="auto"/>
          <w:highlight w:val="none"/>
        </w:rPr>
        <w:t>六、其他补充事宜</w:t>
      </w:r>
    </w:p>
    <w:p>
      <w:pPr>
        <w:spacing w:line="412" w:lineRule="exact"/>
        <w:ind w:firstLine="420"/>
        <w:rPr>
          <w:color w:val="auto"/>
          <w:highlight w:val="none"/>
        </w:rPr>
      </w:pPr>
      <w:r>
        <w:rPr>
          <w:rFonts w:hint="eastAsia" w:ascii="宋体" w:hAnsi="宋体"/>
          <w:color w:val="auto"/>
          <w:highlight w:val="none"/>
        </w:rPr>
        <w:t>1.</w:t>
      </w:r>
      <w:r>
        <w:rPr>
          <w:rFonts w:hint="eastAsia"/>
          <w:bCs/>
          <w:color w:val="auto"/>
          <w:highlight w:val="none"/>
        </w:rPr>
        <w:t>本项目需落实的政府采购政策</w:t>
      </w:r>
      <w:r>
        <w:rPr>
          <w:rFonts w:hint="eastAsia"/>
          <w:b/>
          <w:color w:val="auto"/>
          <w:highlight w:val="none"/>
        </w:rPr>
        <w:t>：</w:t>
      </w:r>
    </w:p>
    <w:p>
      <w:pPr>
        <w:spacing w:line="412" w:lineRule="exact"/>
        <w:ind w:firstLine="420"/>
        <w:rPr>
          <w:color w:val="auto"/>
          <w:highlight w:val="none"/>
        </w:rPr>
      </w:pPr>
      <w:r>
        <w:rPr>
          <w:rFonts w:hint="eastAsia"/>
          <w:color w:val="auto"/>
          <w:highlight w:val="none"/>
        </w:rPr>
        <w:t>(1)财政部 工业和信息化部关于印发《政府采购促进中小企业发展管理办法》的通知(财库﹝2020﹞46号)</w:t>
      </w:r>
    </w:p>
    <w:p>
      <w:pPr>
        <w:spacing w:line="412" w:lineRule="exact"/>
        <w:ind w:firstLine="420"/>
        <w:rPr>
          <w:color w:val="auto"/>
          <w:highlight w:val="none"/>
        </w:rPr>
      </w:pPr>
      <w:r>
        <w:rPr>
          <w:rFonts w:hint="eastAsia"/>
          <w:color w:val="auto"/>
          <w:highlight w:val="none"/>
        </w:rPr>
        <w:t>(2)财政部 司法部关于政府采购支持监狱企业发展有关问题的通知 (财库﹝2014﹞68号)</w:t>
      </w:r>
    </w:p>
    <w:p>
      <w:pPr>
        <w:spacing w:line="412" w:lineRule="exact"/>
        <w:ind w:firstLine="420"/>
        <w:rPr>
          <w:color w:val="auto"/>
          <w:highlight w:val="none"/>
        </w:rPr>
      </w:pPr>
      <w:r>
        <w:rPr>
          <w:rFonts w:hint="eastAsia"/>
          <w:color w:val="auto"/>
          <w:highlight w:val="none"/>
        </w:rPr>
        <w:t>(3)财政部 民政部 中国残疾人联合会关于促进残疾人就业政府采购政策的通知 (财库</w:t>
      </w:r>
      <w:bookmarkStart w:id="38" w:name="_Hlk150507772"/>
      <w:r>
        <w:rPr>
          <w:rFonts w:hint="eastAsia"/>
          <w:color w:val="auto"/>
          <w:highlight w:val="none"/>
        </w:rPr>
        <w:t>﹝2017﹞</w:t>
      </w:r>
      <w:bookmarkEnd w:id="38"/>
      <w:r>
        <w:rPr>
          <w:rFonts w:hint="eastAsia"/>
          <w:color w:val="auto"/>
          <w:highlight w:val="none"/>
        </w:rPr>
        <w:t>141号)</w:t>
      </w:r>
    </w:p>
    <w:p>
      <w:pPr>
        <w:spacing w:line="412" w:lineRule="exact"/>
        <w:ind w:firstLine="420"/>
        <w:rPr>
          <w:rFonts w:hint="eastAsia"/>
          <w:color w:val="auto"/>
          <w:highlight w:val="none"/>
        </w:rPr>
      </w:pPr>
      <w:r>
        <w:rPr>
          <w:rFonts w:hint="eastAsia"/>
          <w:color w:val="auto"/>
          <w:highlight w:val="none"/>
        </w:rPr>
        <w:t>(4)财政部 发展改革委 生态环境部 市场监管总局关于调整优化节能产品、环境标志产品政府采购执行机制的通知（财库〔2019〕9号）</w:t>
      </w:r>
    </w:p>
    <w:p>
      <w:pPr>
        <w:spacing w:line="412" w:lineRule="exact"/>
        <w:ind w:firstLine="420"/>
        <w:rPr>
          <w:color w:val="auto"/>
          <w:highlight w:val="none"/>
        </w:rPr>
      </w:pPr>
      <w:r>
        <w:rPr>
          <w:rFonts w:hint="eastAsia"/>
          <w:color w:val="auto"/>
          <w:highlight w:val="none"/>
        </w:rPr>
        <w:t>(5) 财政部 发展改革委 关于印发节能产品政府采购品目清单的通知（财库〔2019〕19号）</w:t>
      </w:r>
    </w:p>
    <w:p>
      <w:pPr>
        <w:spacing w:line="412" w:lineRule="exact"/>
        <w:ind w:firstLine="420"/>
        <w:rPr>
          <w:color w:val="auto"/>
          <w:highlight w:val="none"/>
        </w:rPr>
      </w:pPr>
      <w:bookmarkStart w:id="39" w:name="_Hlk91598380"/>
      <w:r>
        <w:rPr>
          <w:rFonts w:hint="eastAsia"/>
          <w:color w:val="auto"/>
          <w:highlight w:val="none"/>
          <w:lang w:val="en-US" w:eastAsia="zh-CN"/>
        </w:rPr>
        <w:t>2</w:t>
      </w:r>
      <w:r>
        <w:rPr>
          <w:rFonts w:hint="eastAsia"/>
          <w:color w:val="auto"/>
          <w:highlight w:val="none"/>
        </w:rPr>
        <w:t>.全流程电子化</w:t>
      </w:r>
      <w:bookmarkEnd w:id="39"/>
      <w:r>
        <w:rPr>
          <w:rFonts w:hint="eastAsia"/>
          <w:color w:val="auto"/>
          <w:highlight w:val="none"/>
        </w:rPr>
        <w:t>要求：</w:t>
      </w:r>
    </w:p>
    <w:p>
      <w:pPr>
        <w:spacing w:line="412" w:lineRule="exact"/>
        <w:ind w:firstLine="420"/>
        <w:rPr>
          <w:rFonts w:hint="eastAsia"/>
          <w:color w:val="auto"/>
          <w:highlight w:val="none"/>
        </w:rPr>
      </w:pPr>
      <w:r>
        <w:rPr>
          <w:rFonts w:hint="eastAsia"/>
          <w:color w:val="auto"/>
          <w:highlight w:val="none"/>
        </w:rPr>
        <w:t>本项目为全流程电子化项目，潜在投标人应做好参与全流程电子化交易的充分准备，熟悉掌握电子化采购项目操作指南(操作指南：政采云电子卖场首页右上角—服务中心—帮助文档—项目采购)，及时完成CA申领和绑定(操作指南：政采云电子卖场首页右上角—帮助文档—入驻与配置—CA管理；CA证书申领路径：政采云平台—我的工作台右上角—CA管理—CA证书申领)。因未注册入库、未办理CA数字证书、CA证书故障、操作不当等原因造成投标失败等后果由投标人承担。</w:t>
      </w:r>
    </w:p>
    <w:p>
      <w:pPr>
        <w:spacing w:line="412" w:lineRule="exact"/>
        <w:ind w:firstLine="420"/>
        <w:rPr>
          <w:color w:val="auto"/>
          <w:highlight w:val="none"/>
        </w:rPr>
      </w:pPr>
      <w:r>
        <w:rPr>
          <w:color w:val="auto"/>
          <w:highlight w:val="none"/>
        </w:rPr>
        <w:t>(1)</w:t>
      </w:r>
      <w:r>
        <w:rPr>
          <w:rFonts w:hint="eastAsia"/>
          <w:color w:val="auto"/>
          <w:highlight w:val="none"/>
        </w:rPr>
        <w:t>依法获取招标文件：投标人须在获取招标文件时间内登录</w:t>
      </w:r>
      <w:r>
        <w:rPr>
          <w:color w:val="auto"/>
          <w:highlight w:val="none"/>
        </w:rPr>
        <w:fldChar w:fldCharType="begin"/>
      </w:r>
      <w:r>
        <w:rPr>
          <w:color w:val="auto"/>
          <w:highlight w:val="none"/>
        </w:rPr>
        <w:instrText xml:space="preserve"> </w:instrText>
      </w:r>
      <w:r>
        <w:rPr>
          <w:rFonts w:hint="eastAsia"/>
          <w:color w:val="auto"/>
          <w:highlight w:val="none"/>
        </w:rPr>
        <w:instrText xml:space="preserve">HYPERLINK "https://www.zcygov.cn/"</w:instrText>
      </w:r>
      <w:r>
        <w:rPr>
          <w:color w:val="auto"/>
          <w:highlight w:val="none"/>
        </w:rPr>
        <w:instrText xml:space="preserve"> </w:instrText>
      </w:r>
      <w:r>
        <w:rPr>
          <w:color w:val="auto"/>
          <w:highlight w:val="none"/>
        </w:rPr>
        <w:fldChar w:fldCharType="separate"/>
      </w:r>
      <w:r>
        <w:rPr>
          <w:rStyle w:val="58"/>
          <w:rFonts w:hint="eastAsia"/>
          <w:color w:val="auto"/>
          <w:highlight w:val="none"/>
          <w:u w:val="none"/>
        </w:rPr>
        <w:t>政府采购云平台</w:t>
      </w:r>
      <w:r>
        <w:rPr>
          <w:color w:val="auto"/>
          <w:highlight w:val="none"/>
        </w:rPr>
        <w:fldChar w:fldCharType="end"/>
      </w:r>
      <w:r>
        <w:rPr>
          <w:rFonts w:hint="eastAsia"/>
          <w:color w:val="auto"/>
          <w:highlight w:val="none"/>
        </w:rPr>
        <w:t>申请下载招标文件才视作依法获取招标文件。</w:t>
      </w:r>
    </w:p>
    <w:p>
      <w:pPr>
        <w:spacing w:line="412" w:lineRule="exact"/>
        <w:ind w:firstLine="420"/>
        <w:rPr>
          <w:b/>
          <w:color w:val="auto"/>
          <w:highlight w:val="none"/>
        </w:rPr>
      </w:pPr>
      <w:r>
        <w:rPr>
          <w:rFonts w:hint="eastAsia"/>
          <w:color w:val="auto"/>
          <w:highlight w:val="none"/>
        </w:rPr>
        <w:t>(</w:t>
      </w:r>
      <w:r>
        <w:rPr>
          <w:color w:val="auto"/>
          <w:highlight w:val="none"/>
        </w:rPr>
        <w:t>2)</w:t>
      </w:r>
      <w:r>
        <w:rPr>
          <w:rFonts w:hint="eastAsia"/>
          <w:color w:val="auto"/>
          <w:highlight w:val="none"/>
        </w:rPr>
        <w:t>投标人应通过广西政府采购云平台客户端制作投标文件，投标人自行前往下载安装（</w:t>
      </w:r>
      <w:r>
        <w:rPr>
          <w:rFonts w:ascii="宋体" w:hAnsi="宋体"/>
          <w:color w:val="auto"/>
          <w:highlight w:val="none"/>
        </w:rPr>
        <w:fldChar w:fldCharType="begin"/>
      </w:r>
      <w:r>
        <w:rPr>
          <w:rFonts w:ascii="宋体" w:hAnsi="宋体"/>
          <w:color w:val="auto"/>
          <w:highlight w:val="none"/>
        </w:rPr>
        <w:instrText xml:space="preserve">HYPERLINK "https://sitecdn.zcycdn.com/zcy-client/bidding-client-new/official/guangxi/GuangXiSetup.exe"</w:instrText>
      </w:r>
      <w:r>
        <w:rPr>
          <w:rFonts w:ascii="宋体" w:hAnsi="宋体"/>
          <w:color w:val="auto"/>
          <w:highlight w:val="none"/>
        </w:rPr>
        <w:fldChar w:fldCharType="separate"/>
      </w:r>
      <w:r>
        <w:rPr>
          <w:rStyle w:val="58"/>
          <w:rFonts w:hint="eastAsia" w:ascii="宋体" w:hAnsi="宋体"/>
          <w:color w:val="auto"/>
          <w:highlight w:val="none"/>
          <w:u w:val="none"/>
        </w:rPr>
        <w:t>客户端</w:t>
      </w:r>
      <w:bookmarkStart w:id="40" w:name="_Hlt151995012"/>
      <w:bookmarkStart w:id="41" w:name="_Hlt153271920"/>
      <w:bookmarkStart w:id="42" w:name="_Hlt151995013"/>
      <w:bookmarkStart w:id="43" w:name="_Hlt153271921"/>
      <w:r>
        <w:rPr>
          <w:rStyle w:val="58"/>
          <w:rFonts w:hint="eastAsia" w:ascii="宋体" w:hAnsi="宋体"/>
          <w:color w:val="auto"/>
          <w:highlight w:val="none"/>
          <w:u w:val="none"/>
        </w:rPr>
        <w:t>下</w:t>
      </w:r>
      <w:bookmarkEnd w:id="40"/>
      <w:bookmarkEnd w:id="41"/>
      <w:bookmarkEnd w:id="42"/>
      <w:bookmarkEnd w:id="43"/>
      <w:bookmarkStart w:id="44" w:name="_Hlt162274481"/>
      <w:bookmarkStart w:id="45" w:name="_Hlt153270544"/>
      <w:bookmarkStart w:id="46" w:name="_Hlt162274482"/>
      <w:bookmarkStart w:id="47" w:name="_Hlt153270545"/>
      <w:r>
        <w:rPr>
          <w:rStyle w:val="58"/>
          <w:rFonts w:hint="eastAsia" w:ascii="宋体" w:hAnsi="宋体"/>
          <w:color w:val="auto"/>
          <w:highlight w:val="none"/>
          <w:u w:val="none"/>
        </w:rPr>
        <w:t>载</w:t>
      </w:r>
      <w:bookmarkEnd w:id="44"/>
      <w:bookmarkEnd w:id="45"/>
      <w:bookmarkEnd w:id="46"/>
      <w:bookmarkEnd w:id="47"/>
      <w:r>
        <w:rPr>
          <w:rFonts w:ascii="宋体" w:hAnsi="宋体"/>
          <w:color w:val="auto"/>
          <w:highlight w:val="none"/>
        </w:rPr>
        <w:fldChar w:fldCharType="end"/>
      </w:r>
      <w:r>
        <w:rPr>
          <w:rFonts w:hint="eastAsia"/>
          <w:color w:val="auto"/>
          <w:highlight w:val="none"/>
        </w:rPr>
        <w:t>）。</w:t>
      </w:r>
    </w:p>
    <w:p>
      <w:pPr>
        <w:spacing w:line="412" w:lineRule="exact"/>
        <w:ind w:firstLine="420"/>
        <w:rPr>
          <w:color w:val="auto"/>
          <w:highlight w:val="none"/>
        </w:rPr>
      </w:pPr>
      <w:r>
        <w:rPr>
          <w:rFonts w:hint="eastAsia"/>
          <w:color w:val="auto"/>
          <w:highlight w:val="none"/>
        </w:rPr>
        <w:t>(</w:t>
      </w:r>
      <w:r>
        <w:rPr>
          <w:color w:val="auto"/>
          <w:highlight w:val="none"/>
        </w:rPr>
        <w:t>3)</w:t>
      </w:r>
      <w:r>
        <w:rPr>
          <w:rFonts w:hint="eastAsia"/>
          <w:color w:val="auto"/>
          <w:highlight w:val="none"/>
        </w:rPr>
        <w:t>投标人须按照招标文件和政府采购云平台的要求进行编制、上传、加密、提交、解密投标文件，投标文件在线提交截止时间后，政府采购云平台自动提取全部投标文件，各投标人须在提交截止时间后30分钟内对已上传政府采购云平台的投标文件进行解密，参与本项目的全部投标人在规定的解密时限内解密完成或解密时限结束后，我中心开启投标文件；投标人在解密时限内未完成解密的，政府采购云平台默认为投标人放弃参与投标。</w:t>
      </w:r>
    </w:p>
    <w:p>
      <w:pPr>
        <w:spacing w:line="412" w:lineRule="exact"/>
        <w:ind w:firstLine="420"/>
        <w:rPr>
          <w:rFonts w:hint="eastAsia"/>
          <w:b/>
          <w:color w:val="auto"/>
          <w:highlight w:val="none"/>
        </w:rPr>
      </w:pPr>
      <w:r>
        <w:rPr>
          <w:rFonts w:hint="eastAsia"/>
          <w:color w:val="auto"/>
          <w:highlight w:val="none"/>
        </w:rPr>
        <w:t>(</w:t>
      </w:r>
      <w:r>
        <w:rPr>
          <w:color w:val="auto"/>
          <w:highlight w:val="none"/>
        </w:rPr>
        <w:t>4)</w:t>
      </w:r>
      <w:r>
        <w:rPr>
          <w:rFonts w:hint="eastAsia"/>
          <w:color w:val="auto"/>
          <w:highlight w:val="none"/>
        </w:rPr>
        <w:t>投标人法定代表人或委托代理人须按时登录</w:t>
      </w:r>
      <w:bookmarkStart w:id="48" w:name="_Hlk90367388"/>
      <w:r>
        <w:rPr>
          <w:rFonts w:hint="eastAsia" w:ascii="宋体" w:hAnsi="宋体" w:cs="Courier New"/>
          <w:color w:val="auto"/>
          <w:szCs w:val="21"/>
          <w:highlight w:val="none"/>
        </w:rPr>
        <w:t>政采云远程开标大厅</w:t>
      </w:r>
      <w:bookmarkEnd w:id="48"/>
      <w:r>
        <w:rPr>
          <w:rFonts w:hint="eastAsia"/>
          <w:color w:val="auto"/>
          <w:highlight w:val="none"/>
        </w:rPr>
        <w:t>，保持全程在线并关注开标评标进度，评标期间评标委员会提出澄清等要求时，投标人须在规定时间内进行应答，否则按招标文件或政采云平台的相关规定执行。</w:t>
      </w:r>
    </w:p>
    <w:p>
      <w:pPr>
        <w:spacing w:line="412" w:lineRule="exact"/>
        <w:ind w:firstLine="420"/>
        <w:rPr>
          <w:rFonts w:hAnsi="宋体"/>
          <w:color w:val="auto"/>
          <w:highlight w:val="none"/>
        </w:rPr>
      </w:pPr>
      <w:r>
        <w:rPr>
          <w:rFonts w:hint="eastAsia"/>
          <w:color w:val="auto"/>
          <w:highlight w:val="none"/>
        </w:rPr>
        <w:t>(</w:t>
      </w:r>
      <w:r>
        <w:rPr>
          <w:color w:val="auto"/>
          <w:highlight w:val="none"/>
        </w:rPr>
        <w:t>5)</w:t>
      </w:r>
      <w:r>
        <w:rPr>
          <w:rFonts w:hint="eastAsia"/>
          <w:color w:val="auto"/>
          <w:highlight w:val="none"/>
        </w:rPr>
        <w:t>投标人参与投标过程中涉及政府采购云平台的问题，请咨询政采云</w:t>
      </w:r>
      <w:r>
        <w:rPr>
          <w:rFonts w:hint="eastAsia" w:hAnsi="宋体"/>
          <w:color w:val="auto"/>
          <w:highlight w:val="none"/>
        </w:rPr>
        <w:t>技术支持热线：</w:t>
      </w:r>
      <w:r>
        <w:rPr>
          <w:rFonts w:hAnsi="宋体"/>
          <w:color w:val="auto"/>
          <w:highlight w:val="none"/>
        </w:rPr>
        <w:t>95763</w:t>
      </w:r>
      <w:r>
        <w:rPr>
          <w:rFonts w:hint="eastAsia" w:hAnsi="宋体"/>
          <w:color w:val="auto"/>
          <w:highlight w:val="none"/>
        </w:rPr>
        <w:t>。</w:t>
      </w:r>
    </w:p>
    <w:p>
      <w:pPr>
        <w:spacing w:line="412" w:lineRule="exact"/>
        <w:ind w:firstLine="420"/>
        <w:rPr>
          <w:rFonts w:hAnsi="宋体"/>
          <w:color w:val="auto"/>
          <w:highlight w:val="none"/>
        </w:rPr>
      </w:pPr>
      <w:r>
        <w:rPr>
          <w:rFonts w:hint="eastAsia" w:hAnsi="宋体"/>
          <w:color w:val="auto"/>
          <w:highlight w:val="none"/>
          <w:lang w:val="en-US" w:eastAsia="zh-CN"/>
        </w:rPr>
        <w:t>3</w:t>
      </w:r>
      <w:r>
        <w:rPr>
          <w:rFonts w:hAnsi="宋体"/>
          <w:color w:val="auto"/>
          <w:highlight w:val="none"/>
        </w:rPr>
        <w:t>.</w:t>
      </w:r>
      <w:r>
        <w:rPr>
          <w:rFonts w:hint="eastAsia" w:hAnsi="宋体"/>
          <w:color w:val="auto"/>
          <w:highlight w:val="none"/>
        </w:rPr>
        <w:t>查询媒体：</w:t>
      </w:r>
      <w:bookmarkStart w:id="49" w:name="_Hlk97804124"/>
      <w:r>
        <w:rPr>
          <w:rFonts w:hAnsi="宋体"/>
          <w:color w:val="auto"/>
          <w:highlight w:val="none"/>
        </w:rPr>
        <w:fldChar w:fldCharType="begin"/>
      </w:r>
      <w:r>
        <w:rPr>
          <w:rFonts w:hAnsi="宋体"/>
          <w:color w:val="auto"/>
          <w:highlight w:val="none"/>
        </w:rPr>
        <w:instrText xml:space="preserve">HYPERLINK "http://www.ccgp.gov.cn/"</w:instrText>
      </w:r>
      <w:r>
        <w:rPr>
          <w:rFonts w:hAnsi="宋体"/>
          <w:color w:val="auto"/>
          <w:highlight w:val="none"/>
        </w:rPr>
        <w:fldChar w:fldCharType="separate"/>
      </w:r>
      <w:r>
        <w:rPr>
          <w:rStyle w:val="58"/>
          <w:rFonts w:hint="eastAsia" w:hAnsi="宋体"/>
          <w:color w:val="auto"/>
          <w:highlight w:val="none"/>
          <w:u w:val="none"/>
        </w:rPr>
        <w:t>中国政府</w:t>
      </w:r>
      <w:bookmarkStart w:id="50" w:name="_Hlt97804064"/>
      <w:bookmarkStart w:id="51" w:name="_Hlt97804063"/>
      <w:r>
        <w:rPr>
          <w:rStyle w:val="58"/>
          <w:rFonts w:hint="eastAsia" w:hAnsi="宋体"/>
          <w:color w:val="auto"/>
          <w:highlight w:val="none"/>
          <w:u w:val="none"/>
        </w:rPr>
        <w:t>采</w:t>
      </w:r>
      <w:bookmarkEnd w:id="50"/>
      <w:bookmarkEnd w:id="51"/>
      <w:r>
        <w:rPr>
          <w:rStyle w:val="58"/>
          <w:rFonts w:hint="eastAsia" w:hAnsi="宋体"/>
          <w:color w:val="auto"/>
          <w:highlight w:val="none"/>
          <w:u w:val="none"/>
        </w:rPr>
        <w:t>购</w:t>
      </w:r>
      <w:bookmarkStart w:id="52" w:name="_Hlt97804091"/>
      <w:bookmarkStart w:id="53" w:name="_Hlt97804090"/>
      <w:r>
        <w:rPr>
          <w:rStyle w:val="58"/>
          <w:rFonts w:hint="eastAsia" w:hAnsi="宋体"/>
          <w:color w:val="auto"/>
          <w:highlight w:val="none"/>
          <w:u w:val="none"/>
        </w:rPr>
        <w:t>网</w:t>
      </w:r>
      <w:bookmarkEnd w:id="52"/>
      <w:bookmarkEnd w:id="53"/>
      <w:r>
        <w:rPr>
          <w:rFonts w:hAnsi="宋体"/>
          <w:color w:val="auto"/>
          <w:highlight w:val="none"/>
        </w:rPr>
        <w:fldChar w:fldCharType="end"/>
      </w:r>
      <w:r>
        <w:rPr>
          <w:rFonts w:hint="eastAsia" w:hAnsi="宋体"/>
          <w:color w:val="auto"/>
          <w:highlight w:val="none"/>
        </w:rPr>
        <w:t>、</w:t>
      </w:r>
      <w:r>
        <w:rPr>
          <w:color w:val="auto"/>
          <w:highlight w:val="none"/>
        </w:rPr>
        <w:fldChar w:fldCharType="begin"/>
      </w:r>
      <w:r>
        <w:rPr>
          <w:color w:val="auto"/>
          <w:highlight w:val="none"/>
        </w:rPr>
        <w:instrText xml:space="preserve"> HYPERLINK "http://zfcg.gxzf.gov.cn/" </w:instrText>
      </w:r>
      <w:r>
        <w:rPr>
          <w:color w:val="auto"/>
          <w:highlight w:val="none"/>
        </w:rPr>
        <w:fldChar w:fldCharType="separate"/>
      </w:r>
      <w:r>
        <w:rPr>
          <w:rFonts w:hint="eastAsia" w:hAnsi="宋体"/>
          <w:color w:val="auto"/>
          <w:highlight w:val="none"/>
        </w:rPr>
        <w:t>广西政府</w:t>
      </w:r>
      <w:bookmarkStart w:id="54" w:name="_Hlt97804099"/>
      <w:bookmarkStart w:id="55" w:name="_Hlt97804098"/>
      <w:r>
        <w:rPr>
          <w:rFonts w:hint="eastAsia" w:hAnsi="宋体"/>
          <w:color w:val="auto"/>
          <w:highlight w:val="none"/>
        </w:rPr>
        <w:t>采</w:t>
      </w:r>
      <w:bookmarkEnd w:id="54"/>
      <w:bookmarkEnd w:id="55"/>
      <w:r>
        <w:rPr>
          <w:rFonts w:hint="eastAsia" w:hAnsi="宋体"/>
          <w:color w:val="auto"/>
          <w:highlight w:val="none"/>
        </w:rPr>
        <w:t>购网</w:t>
      </w:r>
      <w:r>
        <w:rPr>
          <w:rFonts w:hAnsi="宋体"/>
          <w:color w:val="auto"/>
          <w:highlight w:val="none"/>
        </w:rPr>
        <w:fldChar w:fldCharType="end"/>
      </w:r>
      <w:r>
        <w:rPr>
          <w:rFonts w:hint="eastAsia" w:hAnsi="宋体"/>
          <w:color w:val="auto"/>
          <w:highlight w:val="none"/>
        </w:rPr>
        <w:t>。</w:t>
      </w:r>
      <w:bookmarkEnd w:id="49"/>
    </w:p>
    <w:p>
      <w:pPr>
        <w:spacing w:line="412" w:lineRule="exact"/>
        <w:ind w:firstLine="420"/>
        <w:jc w:val="left"/>
        <w:rPr>
          <w:rFonts w:hAnsi="宋体"/>
          <w:color w:val="auto"/>
          <w:highlight w:val="none"/>
        </w:rPr>
      </w:pPr>
      <w:r>
        <w:rPr>
          <w:rFonts w:hint="eastAsia" w:hAnsi="宋体"/>
          <w:color w:val="auto"/>
          <w:highlight w:val="none"/>
          <w:lang w:val="en-US" w:eastAsia="zh-CN"/>
        </w:rPr>
        <w:t>4</w:t>
      </w:r>
      <w:r>
        <w:rPr>
          <w:rFonts w:hAnsi="宋体"/>
          <w:color w:val="auto"/>
          <w:highlight w:val="none"/>
        </w:rPr>
        <w:t>.</w:t>
      </w:r>
      <w:r>
        <w:rPr>
          <w:rFonts w:hint="eastAsia" w:hAnsi="宋体"/>
          <w:color w:val="auto"/>
          <w:highlight w:val="none"/>
        </w:rPr>
        <w:t>钦州市政府采购中心联系方式：</w:t>
      </w:r>
    </w:p>
    <w:p>
      <w:pPr>
        <w:spacing w:line="412" w:lineRule="exact"/>
        <w:ind w:firstLine="420"/>
        <w:jc w:val="left"/>
        <w:rPr>
          <w:rFonts w:hAnsi="宋体"/>
          <w:color w:val="auto"/>
          <w:highlight w:val="none"/>
        </w:rPr>
      </w:pPr>
      <w:r>
        <w:rPr>
          <w:rFonts w:hAnsi="宋体"/>
          <w:color w:val="auto"/>
          <w:highlight w:val="none"/>
        </w:rPr>
        <w:t>(1)</w:t>
      </w:r>
      <w:r>
        <w:rPr>
          <w:rFonts w:hint="eastAsia" w:hAnsi="宋体"/>
          <w:color w:val="auto"/>
          <w:highlight w:val="none"/>
        </w:rPr>
        <w:t>采购部(招标文件</w:t>
      </w:r>
      <w:r>
        <w:rPr>
          <w:rFonts w:hAnsi="宋体"/>
          <w:color w:val="auto"/>
          <w:highlight w:val="none"/>
        </w:rPr>
        <w:t>)</w:t>
      </w:r>
    </w:p>
    <w:p>
      <w:pPr>
        <w:spacing w:line="412" w:lineRule="exact"/>
        <w:ind w:firstLine="420"/>
        <w:jc w:val="left"/>
        <w:rPr>
          <w:rFonts w:hAnsi="宋体"/>
          <w:color w:val="auto"/>
          <w:highlight w:val="none"/>
        </w:rPr>
      </w:pPr>
      <w:r>
        <w:rPr>
          <w:rFonts w:hint="eastAsia" w:hAnsi="宋体"/>
          <w:color w:val="auto"/>
          <w:highlight w:val="none"/>
        </w:rPr>
        <w:t>联系人：</w:t>
      </w:r>
      <w:r>
        <w:rPr>
          <w:rFonts w:hint="eastAsia" w:hAnsi="宋体"/>
          <w:color w:val="auto"/>
          <w:highlight w:val="none"/>
          <w:lang w:val="en-US" w:eastAsia="zh-CN"/>
        </w:rPr>
        <w:t>黄忠秀</w:t>
      </w:r>
      <w:r>
        <w:rPr>
          <w:rFonts w:hAnsi="宋体"/>
          <w:color w:val="auto"/>
          <w:highlight w:val="none"/>
        </w:rPr>
        <w:t xml:space="preserve">  </w:t>
      </w:r>
      <w:r>
        <w:rPr>
          <w:rFonts w:hint="eastAsia" w:hAnsi="宋体"/>
          <w:color w:val="auto"/>
          <w:highlight w:val="none"/>
        </w:rPr>
        <w:t xml:space="preserve"> 联系方式：0777-2886022</w:t>
      </w:r>
    </w:p>
    <w:p>
      <w:pPr>
        <w:spacing w:line="412" w:lineRule="exact"/>
        <w:ind w:firstLine="420"/>
        <w:jc w:val="left"/>
        <w:rPr>
          <w:rFonts w:hAnsi="宋体"/>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综合二部(保证金、开评标、中标及合同管理)</w:t>
      </w:r>
    </w:p>
    <w:p>
      <w:pPr>
        <w:spacing w:line="412" w:lineRule="exact"/>
        <w:ind w:firstLine="420"/>
        <w:jc w:val="left"/>
        <w:rPr>
          <w:rFonts w:hint="eastAsia" w:hAnsi="宋体"/>
          <w:color w:val="auto"/>
          <w:highlight w:val="none"/>
        </w:rPr>
      </w:pPr>
      <w:r>
        <w:rPr>
          <w:rFonts w:hint="eastAsia" w:hAnsi="宋体"/>
          <w:color w:val="auto"/>
          <w:highlight w:val="none"/>
        </w:rPr>
        <w:t xml:space="preserve">联系人：陈启梅、陈侃 </w:t>
      </w:r>
      <w:r>
        <w:rPr>
          <w:rFonts w:hAnsi="宋体"/>
          <w:color w:val="auto"/>
          <w:highlight w:val="none"/>
        </w:rPr>
        <w:t xml:space="preserve"> </w:t>
      </w:r>
      <w:r>
        <w:rPr>
          <w:rFonts w:hint="eastAsia" w:hAnsi="宋体"/>
          <w:color w:val="auto"/>
          <w:highlight w:val="none"/>
        </w:rPr>
        <w:t xml:space="preserve"> 联系方式：</w:t>
      </w:r>
      <w:r>
        <w:rPr>
          <w:rFonts w:hAnsi="宋体"/>
          <w:color w:val="auto"/>
          <w:highlight w:val="none"/>
        </w:rPr>
        <w:t xml:space="preserve"> </w:t>
      </w:r>
      <w:r>
        <w:rPr>
          <w:rFonts w:hint="eastAsia" w:hAnsi="宋体"/>
          <w:color w:val="auto"/>
          <w:highlight w:val="none"/>
        </w:rPr>
        <w:t>0777-2886006</w:t>
      </w:r>
    </w:p>
    <w:p>
      <w:pPr>
        <w:spacing w:line="412" w:lineRule="exact"/>
        <w:ind w:firstLine="0" w:firstLineChars="0"/>
        <w:rPr>
          <w:b/>
          <w:color w:val="auto"/>
          <w:highlight w:val="none"/>
        </w:rPr>
      </w:pPr>
      <w:r>
        <w:rPr>
          <w:rFonts w:hint="eastAsia"/>
          <w:b/>
          <w:color w:val="auto"/>
          <w:highlight w:val="none"/>
        </w:rPr>
        <w:t>七、对本次招标提出询问，请按</w:t>
      </w:r>
      <w:r>
        <w:rPr>
          <w:b/>
          <w:color w:val="auto"/>
          <w:highlight w:val="none"/>
        </w:rPr>
        <w:t>以下方式</w:t>
      </w:r>
      <w:r>
        <w:rPr>
          <w:rFonts w:hint="eastAsia"/>
          <w:b/>
          <w:color w:val="auto"/>
          <w:highlight w:val="none"/>
        </w:rPr>
        <w:t>联系</w:t>
      </w:r>
      <w:bookmarkEnd w:id="34"/>
      <w:bookmarkEnd w:id="35"/>
      <w:bookmarkEnd w:id="36"/>
      <w:bookmarkEnd w:id="37"/>
    </w:p>
    <w:bookmarkEnd w:id="10"/>
    <w:p>
      <w:pPr>
        <w:spacing w:line="412" w:lineRule="exact"/>
        <w:ind w:firstLine="420"/>
        <w:rPr>
          <w:color w:val="auto"/>
          <w:highlight w:val="none"/>
        </w:rPr>
      </w:pPr>
      <w:r>
        <w:rPr>
          <w:rFonts w:hint="eastAsia"/>
          <w:color w:val="auto"/>
          <w:highlight w:val="none"/>
        </w:rPr>
        <w:t>1.采购人信息</w:t>
      </w:r>
    </w:p>
    <w:p>
      <w:pPr>
        <w:spacing w:line="400" w:lineRule="exact"/>
        <w:ind w:firstLine="420" w:firstLineChars="200"/>
        <w:rPr>
          <w:rFonts w:hint="eastAsia" w:ascii="Times New Roman" w:hAnsi="Times New Roman" w:eastAsia="宋体" w:cs="Times New Roman"/>
          <w:color w:val="auto"/>
          <w:szCs w:val="24"/>
          <w:highlight w:val="none"/>
          <w:lang w:eastAsia="zh-CN"/>
        </w:rPr>
      </w:pPr>
      <w:bookmarkStart w:id="56" w:name="_Toc28359086"/>
      <w:bookmarkStart w:id="57" w:name="_Toc28359009"/>
      <w:bookmarkStart w:id="58" w:name="_Hlk92356946"/>
      <w:r>
        <w:rPr>
          <w:rFonts w:hint="eastAsia" w:ascii="Times New Roman" w:hAnsi="Times New Roman" w:eastAsia="宋体" w:cs="Times New Roman"/>
          <w:color w:val="auto"/>
          <w:szCs w:val="24"/>
          <w:highlight w:val="none"/>
        </w:rPr>
        <w:t>名称：</w:t>
      </w:r>
      <w:r>
        <w:rPr>
          <w:rFonts w:hint="eastAsia" w:cs="Times New Roman"/>
          <w:color w:val="auto"/>
          <w:szCs w:val="24"/>
          <w:highlight w:val="none"/>
          <w:lang w:eastAsia="zh-CN"/>
        </w:rPr>
        <w:t>大化瑶族自治县人民法院</w:t>
      </w:r>
    </w:p>
    <w:p>
      <w:pPr>
        <w:spacing w:line="400" w:lineRule="exact"/>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地址：大化县建丰路2号</w:t>
      </w:r>
    </w:p>
    <w:p>
      <w:pPr>
        <w:spacing w:line="400" w:lineRule="exact"/>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项目联系人：陆文珍</w:t>
      </w:r>
    </w:p>
    <w:p>
      <w:pPr>
        <w:spacing w:line="400" w:lineRule="exact"/>
        <w:ind w:firstLine="420" w:firstLineChars="200"/>
        <w:rPr>
          <w:rFonts w:hint="default" w:ascii="Times New Roman" w:hAnsi="Times New Roman" w:eastAsia="宋体" w:cs="Times New Roman"/>
          <w:color w:val="auto"/>
          <w:szCs w:val="24"/>
          <w:highlight w:val="none"/>
          <w:lang w:val="en-US" w:eastAsia="zh-CN"/>
        </w:rPr>
      </w:pPr>
      <w:r>
        <w:rPr>
          <w:rFonts w:hint="eastAsia" w:ascii="Times New Roman" w:hAnsi="Times New Roman" w:eastAsia="宋体" w:cs="Times New Roman"/>
          <w:color w:val="auto"/>
          <w:szCs w:val="24"/>
          <w:highlight w:val="none"/>
        </w:rPr>
        <w:t>项目联系方式：</w:t>
      </w:r>
      <w:r>
        <w:rPr>
          <w:rFonts w:hint="eastAsia"/>
          <w:highlight w:val="none"/>
          <w:lang w:val="en-US" w:eastAsia="zh-CN"/>
        </w:rPr>
        <w:t>0778-5826788</w:t>
      </w:r>
    </w:p>
    <w:p>
      <w:pPr>
        <w:spacing w:line="412" w:lineRule="exact"/>
        <w:ind w:firstLine="420"/>
        <w:rPr>
          <w:color w:val="auto"/>
          <w:highlight w:val="none"/>
        </w:rPr>
      </w:pPr>
      <w:r>
        <w:rPr>
          <w:rFonts w:hint="eastAsia"/>
          <w:color w:val="auto"/>
          <w:highlight w:val="none"/>
        </w:rPr>
        <w:t>2.采购代理机构信息</w:t>
      </w:r>
      <w:bookmarkEnd w:id="56"/>
      <w:bookmarkEnd w:id="57"/>
    </w:p>
    <w:p>
      <w:pPr>
        <w:spacing w:line="412" w:lineRule="exact"/>
        <w:ind w:firstLine="420"/>
        <w:rPr>
          <w:color w:val="auto"/>
          <w:highlight w:val="none"/>
        </w:rPr>
      </w:pPr>
      <w:r>
        <w:rPr>
          <w:rFonts w:hint="eastAsia"/>
          <w:color w:val="auto"/>
          <w:highlight w:val="none"/>
        </w:rPr>
        <w:t>名称：钦州市政府采购中心</w:t>
      </w:r>
    </w:p>
    <w:p>
      <w:pPr>
        <w:spacing w:line="412" w:lineRule="exact"/>
        <w:ind w:firstLine="420"/>
        <w:rPr>
          <w:color w:val="auto"/>
          <w:highlight w:val="none"/>
        </w:rPr>
      </w:pPr>
      <w:r>
        <w:rPr>
          <w:rFonts w:hint="eastAsia"/>
          <w:color w:val="auto"/>
          <w:highlight w:val="none"/>
        </w:rPr>
        <w:t>地址：钦州市金海湾东大街8号</w:t>
      </w:r>
    </w:p>
    <w:p>
      <w:pPr>
        <w:spacing w:line="412" w:lineRule="exact"/>
        <w:ind w:firstLine="420"/>
        <w:rPr>
          <w:rFonts w:hint="eastAsia"/>
          <w:color w:val="auto"/>
          <w:highlight w:val="none"/>
        </w:rPr>
      </w:pPr>
      <w:r>
        <w:rPr>
          <w:rFonts w:hint="eastAsia"/>
          <w:color w:val="auto"/>
          <w:highlight w:val="none"/>
        </w:rPr>
        <w:t>项目联系人：</w:t>
      </w:r>
      <w:r>
        <w:rPr>
          <w:rFonts w:hint="eastAsia"/>
          <w:color w:val="auto"/>
          <w:highlight w:val="none"/>
          <w:lang w:val="en-US" w:eastAsia="zh-CN"/>
        </w:rPr>
        <w:t>黄忠秀</w:t>
      </w:r>
      <w:r>
        <w:rPr>
          <w:rFonts w:hint="eastAsia"/>
          <w:color w:val="auto"/>
          <w:highlight w:val="none"/>
        </w:rPr>
        <w:t>、陈启梅、陈侃</w:t>
      </w:r>
    </w:p>
    <w:p>
      <w:pPr>
        <w:spacing w:line="412" w:lineRule="exact"/>
        <w:ind w:firstLine="420"/>
        <w:rPr>
          <w:color w:val="auto"/>
          <w:highlight w:val="none"/>
        </w:rPr>
      </w:pPr>
      <w:r>
        <w:rPr>
          <w:rFonts w:hint="eastAsia"/>
          <w:color w:val="auto"/>
          <w:highlight w:val="none"/>
        </w:rPr>
        <w:t>项目联系方式：</w:t>
      </w:r>
      <w:bookmarkStart w:id="59" w:name="_Toc28359010"/>
      <w:bookmarkStart w:id="60" w:name="_Toc28359087"/>
      <w:r>
        <w:rPr>
          <w:rFonts w:hint="eastAsia"/>
          <w:color w:val="auto"/>
          <w:highlight w:val="none"/>
        </w:rPr>
        <w:t>0</w:t>
      </w:r>
      <w:r>
        <w:rPr>
          <w:color w:val="auto"/>
          <w:highlight w:val="none"/>
        </w:rPr>
        <w:t>777-288602</w:t>
      </w:r>
      <w:r>
        <w:rPr>
          <w:rFonts w:hint="eastAsia"/>
          <w:color w:val="auto"/>
          <w:highlight w:val="none"/>
          <w:lang w:eastAsia="zh-CN"/>
        </w:rPr>
        <w:t>2.</w:t>
      </w:r>
      <w:r>
        <w:rPr>
          <w:color w:val="auto"/>
          <w:highlight w:val="none"/>
        </w:rPr>
        <w:t>2886006</w:t>
      </w:r>
    </w:p>
    <w:bookmarkEnd w:id="58"/>
    <w:bookmarkEnd w:id="59"/>
    <w:bookmarkEnd w:id="60"/>
    <w:p>
      <w:pPr>
        <w:ind w:firstLine="0" w:firstLineChars="0"/>
        <w:jc w:val="left"/>
        <w:rPr>
          <w:rFonts w:hint="eastAsia"/>
          <w:color w:val="auto"/>
          <w:highlight w:val="none"/>
        </w:rPr>
      </w:pPr>
      <w:r>
        <w:rPr>
          <w:color w:val="auto"/>
          <w:highlight w:val="none"/>
        </w:rPr>
        <w:br w:type="page"/>
      </w:r>
    </w:p>
    <w:p>
      <w:pPr>
        <w:ind w:firstLine="0" w:firstLineChars="0"/>
        <w:jc w:val="left"/>
        <w:rPr>
          <w:rFonts w:hint="eastAsia"/>
          <w:color w:val="auto"/>
          <w:highlight w:val="none"/>
        </w:rPr>
      </w:pPr>
    </w:p>
    <w:p>
      <w:pPr>
        <w:ind w:firstLine="0" w:firstLineChars="0"/>
        <w:jc w:val="left"/>
        <w:rPr>
          <w:rFonts w:hint="eastAsia"/>
          <w:color w:val="auto"/>
          <w:highlight w:val="none"/>
        </w:rPr>
      </w:pPr>
    </w:p>
    <w:p>
      <w:pPr>
        <w:ind w:firstLine="0" w:firstLineChars="0"/>
        <w:jc w:val="left"/>
        <w:rPr>
          <w:rFonts w:hint="eastAsia"/>
          <w:color w:val="auto"/>
          <w:highlight w:val="none"/>
        </w:rPr>
      </w:pPr>
    </w:p>
    <w:p>
      <w:pPr>
        <w:ind w:firstLine="0" w:firstLineChars="0"/>
        <w:jc w:val="left"/>
        <w:rPr>
          <w:rFonts w:hint="eastAsia"/>
          <w:color w:val="auto"/>
          <w:highlight w:val="none"/>
        </w:rPr>
      </w:pPr>
    </w:p>
    <w:p>
      <w:pPr>
        <w:ind w:firstLine="0" w:firstLineChars="0"/>
        <w:jc w:val="left"/>
        <w:rPr>
          <w:rFonts w:hint="eastAsia"/>
          <w:color w:val="auto"/>
          <w:highlight w:val="none"/>
        </w:rPr>
      </w:pPr>
    </w:p>
    <w:p>
      <w:pPr>
        <w:ind w:firstLine="0" w:firstLineChars="0"/>
        <w:jc w:val="left"/>
        <w:rPr>
          <w:rFonts w:hint="eastAsia"/>
          <w:color w:val="auto"/>
          <w:highlight w:val="none"/>
        </w:rPr>
      </w:pPr>
    </w:p>
    <w:p>
      <w:pPr>
        <w:ind w:firstLine="0" w:firstLineChars="0"/>
        <w:jc w:val="left"/>
        <w:rPr>
          <w:rFonts w:hint="eastAsia"/>
          <w:color w:val="auto"/>
          <w:highlight w:val="none"/>
        </w:rPr>
      </w:pPr>
    </w:p>
    <w:p>
      <w:pPr>
        <w:ind w:firstLine="0" w:firstLineChars="0"/>
        <w:jc w:val="left"/>
        <w:rPr>
          <w:color w:val="auto"/>
          <w:highlight w:val="none"/>
        </w:rPr>
      </w:pPr>
    </w:p>
    <w:p>
      <w:pPr>
        <w:ind w:firstLine="0" w:firstLineChars="0"/>
        <w:jc w:val="left"/>
        <w:rPr>
          <w:color w:val="auto"/>
          <w:highlight w:val="none"/>
        </w:rPr>
      </w:pPr>
    </w:p>
    <w:p>
      <w:pPr>
        <w:ind w:firstLine="0" w:firstLineChars="0"/>
        <w:jc w:val="left"/>
        <w:rPr>
          <w:color w:val="auto"/>
          <w:highlight w:val="none"/>
        </w:rPr>
      </w:pPr>
    </w:p>
    <w:p>
      <w:pPr>
        <w:ind w:firstLine="0" w:firstLineChars="0"/>
        <w:jc w:val="left"/>
        <w:rPr>
          <w:rFonts w:hint="eastAsia"/>
          <w:color w:val="auto"/>
          <w:highlight w:val="none"/>
        </w:rPr>
      </w:pPr>
    </w:p>
    <w:p>
      <w:pPr>
        <w:pStyle w:val="46"/>
        <w:ind w:left="0" w:leftChars="0" w:right="0" w:rightChars="0" w:firstLine="0" w:firstLineChars="0"/>
        <w:jc w:val="center"/>
        <w:rPr>
          <w:rFonts w:hint="eastAsia"/>
          <w:color w:val="auto"/>
          <w:highlight w:val="none"/>
        </w:rPr>
      </w:pPr>
      <w:bookmarkStart w:id="61" w:name="_Toc352700402"/>
      <w:bookmarkStart w:id="62" w:name="_Toc91512284"/>
      <w:r>
        <w:rPr>
          <w:rFonts w:hint="eastAsia"/>
          <w:color w:val="auto"/>
          <w:highlight w:val="none"/>
        </w:rPr>
        <w:t xml:space="preserve">第二章  </w:t>
      </w:r>
      <w:bookmarkEnd w:id="61"/>
      <w:r>
        <w:rPr>
          <w:rFonts w:hint="eastAsia"/>
          <w:color w:val="auto"/>
          <w:highlight w:val="none"/>
        </w:rPr>
        <w:t>项目需求</w:t>
      </w:r>
      <w:bookmarkEnd w:id="62"/>
      <w:bookmarkStart w:id="63" w:name="_Toc352700403"/>
    </w:p>
    <w:p>
      <w:pPr>
        <w:spacing w:line="800" w:lineRule="exact"/>
        <w:ind w:left="-291" w:leftChars="-202" w:hanging="133" w:hangingChars="30"/>
        <w:jc w:val="center"/>
        <w:rPr>
          <w:rFonts w:ascii="Times New Roman" w:hAnsi="Times New Roman" w:eastAsia="宋体" w:cs="Times New Roman"/>
          <w:b/>
          <w:color w:val="auto"/>
          <w:szCs w:val="24"/>
          <w:highlight w:val="none"/>
        </w:rPr>
      </w:pPr>
      <w:r>
        <w:rPr>
          <w:rFonts w:ascii="方正小标宋_GBK" w:eastAsia="方正小标宋_GBK"/>
          <w:b/>
          <w:color w:val="auto"/>
          <w:sz w:val="44"/>
          <w:szCs w:val="44"/>
          <w:highlight w:val="none"/>
        </w:rPr>
        <w:br w:type="page"/>
      </w:r>
      <w:bookmarkStart w:id="64" w:name="_Toc14492"/>
      <w:r>
        <w:rPr>
          <w:rFonts w:hint="eastAsia" w:ascii="方正小标宋_GBK" w:hAnsi="Times New Roman" w:eastAsia="方正小标宋_GBK" w:cs="Times New Roman"/>
          <w:b/>
          <w:color w:val="auto"/>
          <w:sz w:val="44"/>
          <w:szCs w:val="44"/>
          <w:highlight w:val="none"/>
        </w:rPr>
        <w:t>项目需求</w:t>
      </w:r>
    </w:p>
    <w:bookmarkEnd w:id="64"/>
    <w:p>
      <w:pPr>
        <w:keepNext w:val="0"/>
        <w:keepLines w:val="0"/>
        <w:pageBreakBefore w:val="0"/>
        <w:kinsoku/>
        <w:wordWrap/>
        <w:overflowPunct/>
        <w:topLinePunct w:val="0"/>
        <w:autoSpaceDE/>
        <w:autoSpaceDN/>
        <w:bidi w:val="0"/>
        <w:spacing w:line="420" w:lineRule="exact"/>
        <w:ind w:firstLine="0" w:firstLineChars="0"/>
        <w:rPr>
          <w:rFonts w:ascii="Times New Roman" w:hAnsi="Times New Roman" w:eastAsia="宋体" w:cs="Times New Roman"/>
          <w:color w:val="000000"/>
          <w:szCs w:val="24"/>
          <w:highlight w:val="none"/>
        </w:rPr>
      </w:pPr>
      <w:r>
        <w:rPr>
          <w:rFonts w:hint="eastAsia" w:ascii="Times New Roman" w:hAnsi="Times New Roman" w:eastAsia="宋体" w:cs="Times New Roman"/>
          <w:color w:val="000000"/>
          <w:szCs w:val="24"/>
          <w:highlight w:val="none"/>
        </w:rPr>
        <w:t>说明：</w:t>
      </w:r>
    </w:p>
    <w:p>
      <w:pPr>
        <w:keepNext w:val="0"/>
        <w:keepLines w:val="0"/>
        <w:pageBreakBefore w:val="0"/>
        <w:kinsoku/>
        <w:wordWrap/>
        <w:overflowPunct/>
        <w:topLinePunct w:val="0"/>
        <w:autoSpaceDE/>
        <w:autoSpaceDN/>
        <w:bidi w:val="0"/>
        <w:spacing w:line="360" w:lineRule="exact"/>
        <w:ind w:firstLine="0" w:firstLineChars="0"/>
        <w:rPr>
          <w:rFonts w:hint="eastAsia" w:ascii="宋体" w:hAnsi="宋体" w:eastAsia="宋体" w:cs="Times New Roman"/>
          <w:color w:val="000000"/>
          <w:szCs w:val="24"/>
          <w:highlight w:val="none"/>
        </w:rPr>
      </w:pPr>
      <w:r>
        <w:rPr>
          <w:rFonts w:hint="eastAsia" w:ascii="宋体" w:hAnsi="宋体" w:eastAsia="宋体" w:cs="Times New Roman"/>
          <w:color w:val="000000"/>
          <w:szCs w:val="24"/>
          <w:highlight w:val="none"/>
        </w:rPr>
        <w:t>1.本表中的品牌型号、技术参数及其性能（</w:t>
      </w:r>
      <w:r>
        <w:rPr>
          <w:rFonts w:hint="eastAsia" w:ascii="宋体" w:hAnsi="宋体" w:eastAsia="宋体" w:cs="Times New Roman"/>
          <w:color w:val="FF0000"/>
          <w:szCs w:val="24"/>
          <w:highlight w:val="none"/>
        </w:rPr>
        <w:t>规格</w:t>
      </w:r>
      <w:r>
        <w:rPr>
          <w:rFonts w:hint="eastAsia" w:ascii="宋体" w:hAnsi="宋体" w:eastAsia="宋体" w:cs="Times New Roman"/>
          <w:color w:val="000000"/>
          <w:szCs w:val="24"/>
          <w:highlight w:val="none"/>
        </w:rPr>
        <w:t>）仅起参考作用，投标人可选用其他品牌型号替代，</w:t>
      </w:r>
      <w:bookmarkStart w:id="65" w:name="_Hlk126843748"/>
      <w:r>
        <w:rPr>
          <w:rFonts w:hint="eastAsia" w:ascii="宋体" w:hAnsi="宋体" w:eastAsia="宋体" w:cs="Times New Roman"/>
          <w:b/>
          <w:bCs/>
          <w:color w:val="auto"/>
          <w:szCs w:val="24"/>
          <w:highlight w:val="none"/>
        </w:rPr>
        <w:t>但替代的产品整体上要相当于或优于参考品牌型号或其技术参数性能（规格）要求。</w:t>
      </w:r>
      <w:bookmarkEnd w:id="65"/>
    </w:p>
    <w:p>
      <w:pPr>
        <w:keepNext w:val="0"/>
        <w:keepLines w:val="0"/>
        <w:pageBreakBefore w:val="0"/>
        <w:kinsoku/>
        <w:wordWrap/>
        <w:overflowPunct/>
        <w:topLinePunct w:val="0"/>
        <w:autoSpaceDE/>
        <w:autoSpaceDN/>
        <w:bidi w:val="0"/>
        <w:spacing w:line="360" w:lineRule="exact"/>
        <w:ind w:firstLine="0" w:firstLineChars="0"/>
        <w:rPr>
          <w:rFonts w:hint="eastAsia" w:ascii="宋体" w:hAnsi="宋体" w:eastAsia="宋体" w:cs="Times New Roman"/>
          <w:color w:val="000000"/>
          <w:szCs w:val="24"/>
          <w:highlight w:val="none"/>
        </w:rPr>
      </w:pPr>
      <w:r>
        <w:rPr>
          <w:rFonts w:hint="eastAsia" w:ascii="宋体" w:hAnsi="宋体" w:eastAsia="宋体" w:cs="Times New Roman"/>
          <w:color w:val="000000"/>
          <w:szCs w:val="24"/>
          <w:highlight w:val="none"/>
        </w:rPr>
        <w:t>2.投标人必须自行为其投标产品侵犯其他投标人或专利人的专利成果承担相应法律责任；同时，具有产品专利的投标人应在其投标文件中提供与其自有产品专利相关的有效证明材料，否则不能就其产品的专利在本项目投标过程中被侵权问题提出异议。</w:t>
      </w:r>
    </w:p>
    <w:p>
      <w:pPr>
        <w:keepNext w:val="0"/>
        <w:keepLines w:val="0"/>
        <w:pageBreakBefore w:val="0"/>
        <w:kinsoku/>
        <w:wordWrap/>
        <w:overflowPunct/>
        <w:topLinePunct w:val="0"/>
        <w:autoSpaceDE/>
        <w:autoSpaceDN/>
        <w:bidi w:val="0"/>
        <w:spacing w:line="360" w:lineRule="exact"/>
        <w:ind w:firstLine="0" w:firstLineChars="0"/>
        <w:rPr>
          <w:rFonts w:hint="eastAsia" w:ascii="宋体" w:hAnsi="宋体" w:eastAsia="宋体" w:cs="Times New Roman"/>
          <w:bCs/>
          <w:color w:val="000000"/>
          <w:szCs w:val="24"/>
          <w:highlight w:val="none"/>
        </w:rPr>
      </w:pPr>
      <w:bookmarkStart w:id="66" w:name="_Hlk92357261"/>
      <w:r>
        <w:rPr>
          <w:rFonts w:hint="eastAsia" w:ascii="宋体" w:hAnsi="宋体" w:eastAsia="宋体" w:cs="Times New Roman"/>
          <w:bCs/>
          <w:color w:val="000000"/>
          <w:szCs w:val="24"/>
          <w:highlight w:val="none"/>
        </w:rPr>
        <w:t>3.</w:t>
      </w:r>
      <w:r>
        <w:rPr>
          <w:rFonts w:hint="eastAsia" w:ascii="Times New Roman" w:hAnsi="Times New Roman" w:eastAsia="宋体" w:cs="Times New Roman"/>
          <w:color w:val="000000"/>
          <w:szCs w:val="24"/>
          <w:highlight w:val="none"/>
        </w:rPr>
        <w:t>本项目不接受投标人提供通过中国海关报关验放进入中国境内且产自关境外的产品。</w:t>
      </w:r>
    </w:p>
    <w:bookmarkEnd w:id="66"/>
    <w:p>
      <w:pPr>
        <w:keepNext w:val="0"/>
        <w:keepLines w:val="0"/>
        <w:pageBreakBefore w:val="0"/>
        <w:kinsoku/>
        <w:wordWrap/>
        <w:overflowPunct/>
        <w:topLinePunct w:val="0"/>
        <w:autoSpaceDE/>
        <w:autoSpaceDN/>
        <w:bidi w:val="0"/>
        <w:adjustRightInd w:val="0"/>
        <w:snapToGrid w:val="0"/>
        <w:spacing w:line="320" w:lineRule="exact"/>
        <w:ind w:firstLine="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 采购文件中，标注“</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”系指实质性要求条款，标注“</w:t>
      </w:r>
      <w:bookmarkStart w:id="67" w:name="OLE_LINK17"/>
      <w:r>
        <w:rPr>
          <w:rFonts w:hint="eastAsia" w:ascii="宋体" w:hAnsi="宋体" w:cs="宋体"/>
          <w:b/>
          <w:bCs/>
          <w:color w:val="auto"/>
          <w:sz w:val="21"/>
          <w:szCs w:val="21"/>
          <w:highlight w:val="none"/>
          <w:lang w:eastAsia="zh-CN"/>
        </w:rPr>
        <w:t>▲</w:t>
      </w:r>
      <w:bookmarkEnd w:id="67"/>
      <w:r>
        <w:rPr>
          <w:rFonts w:hint="eastAsia" w:ascii="宋体" w:hAnsi="宋体" w:eastAsia="宋体" w:cs="宋体"/>
          <w:b/>
          <w:bCs/>
          <w:color w:val="auto"/>
          <w:sz w:val="21"/>
          <w:szCs w:val="21"/>
          <w:highlight w:val="none"/>
        </w:rPr>
        <w:t>”的系重要技术指标、功能条款，将作为货物性能评审依据。</w:t>
      </w:r>
    </w:p>
    <w:p>
      <w:pPr>
        <w:keepNext w:val="0"/>
        <w:keepLines w:val="0"/>
        <w:pageBreakBefore w:val="0"/>
        <w:kinsoku/>
        <w:wordWrap/>
        <w:overflowPunct/>
        <w:topLinePunct w:val="0"/>
        <w:autoSpaceDE/>
        <w:autoSpaceDN/>
        <w:bidi w:val="0"/>
        <w:adjustRightInd w:val="0"/>
        <w:spacing w:line="320" w:lineRule="exact"/>
        <w:ind w:firstLine="0" w:firstLineChars="0"/>
        <w:rPr>
          <w:rFonts w:hint="eastAsia" w:ascii="宋体" w:hAnsi="宋体" w:eastAsia="宋体" w:cs="宋体"/>
          <w:bCs/>
          <w:color w:val="auto"/>
          <w:sz w:val="21"/>
          <w:szCs w:val="21"/>
          <w:highlight w:val="none"/>
          <w:lang w:bidi="ar-SA"/>
        </w:rPr>
      </w:pPr>
      <w:r>
        <w:rPr>
          <w:rFonts w:hint="eastAsia" w:ascii="宋体" w:hAnsi="宋体" w:eastAsia="宋体" w:cs="宋体"/>
          <w:bCs/>
          <w:color w:val="auto"/>
          <w:sz w:val="21"/>
          <w:szCs w:val="21"/>
          <w:highlight w:val="none"/>
          <w:lang w:bidi="ar-SA"/>
        </w:rPr>
        <w:t>5.本项目的政府采购预算控制价为（人民币）</w:t>
      </w:r>
      <w:r>
        <w:rPr>
          <w:rFonts w:hint="eastAsia" w:ascii="宋体" w:hAnsi="宋体" w:eastAsia="宋体" w:cs="宋体"/>
          <w:b w:val="0"/>
          <w:bCs/>
          <w:color w:val="auto"/>
          <w:sz w:val="21"/>
          <w:szCs w:val="21"/>
          <w:highlight w:val="none"/>
          <w:lang w:bidi="ar-SA"/>
        </w:rPr>
        <w:t>：</w:t>
      </w:r>
      <w:r>
        <w:rPr>
          <w:rFonts w:hint="eastAsia" w:ascii="宋体" w:hAnsi="宋体" w:cs="宋体"/>
          <w:color w:val="auto"/>
          <w:szCs w:val="21"/>
          <w:highlight w:val="none"/>
          <w:lang w:val="en-US" w:eastAsia="zh-CN" w:bidi="ar-SA"/>
        </w:rPr>
        <w:t>6149173.23</w:t>
      </w:r>
      <w:r>
        <w:rPr>
          <w:rFonts w:hint="eastAsia" w:ascii="宋体" w:hAnsi="宋体" w:eastAsia="宋体" w:cs="宋体"/>
          <w:b w:val="0"/>
          <w:bCs/>
          <w:color w:val="auto"/>
          <w:sz w:val="21"/>
          <w:szCs w:val="21"/>
          <w:highlight w:val="none"/>
          <w:lang w:bidi="ar-SA"/>
        </w:rPr>
        <w:t>元</w:t>
      </w:r>
      <w:r>
        <w:rPr>
          <w:rFonts w:hint="eastAsia" w:ascii="宋体" w:hAnsi="宋体" w:eastAsia="宋体" w:cs="宋体"/>
          <w:bCs/>
          <w:color w:val="auto"/>
          <w:sz w:val="21"/>
          <w:szCs w:val="21"/>
          <w:highlight w:val="none"/>
          <w:lang w:eastAsia="zh-CN" w:bidi="ar-SA"/>
        </w:rPr>
        <w:t>，</w:t>
      </w:r>
      <w:r>
        <w:rPr>
          <w:rFonts w:hint="eastAsia" w:ascii="宋体" w:hAnsi="宋体" w:eastAsia="宋体" w:cs="宋体"/>
          <w:bCs/>
          <w:color w:val="auto"/>
          <w:sz w:val="21"/>
          <w:szCs w:val="21"/>
          <w:highlight w:val="none"/>
          <w:lang w:bidi="ar-SA"/>
        </w:rPr>
        <w:t>投标报价超过预算控制价的投标无效。</w:t>
      </w:r>
    </w:p>
    <w:p>
      <w:pPr>
        <w:keepNext w:val="0"/>
        <w:keepLines w:val="0"/>
        <w:pageBreakBefore w:val="0"/>
        <w:kinsoku/>
        <w:wordWrap/>
        <w:overflowPunct/>
        <w:topLinePunct w:val="0"/>
        <w:autoSpaceDE/>
        <w:autoSpaceDN/>
        <w:bidi w:val="0"/>
        <w:adjustRightInd w:val="0"/>
        <w:spacing w:line="320" w:lineRule="exact"/>
        <w:ind w:firstLine="0" w:firstLineChars="0"/>
        <w:rPr>
          <w:rFonts w:hint="eastAsia" w:ascii="宋体" w:hAnsi="宋体" w:eastAsia="宋体" w:cs="宋体"/>
          <w:bCs/>
          <w:color w:val="auto"/>
          <w:sz w:val="22"/>
          <w:szCs w:val="22"/>
          <w:highlight w:val="none"/>
          <w:lang w:bidi="ar-SA"/>
        </w:rPr>
      </w:pPr>
      <w:r>
        <w:rPr>
          <w:rFonts w:hint="eastAsia" w:ascii="宋体" w:hAnsi="宋体" w:cs="宋体"/>
          <w:bCs/>
          <w:color w:val="auto"/>
          <w:sz w:val="21"/>
          <w:szCs w:val="21"/>
          <w:highlight w:val="none"/>
          <w:lang w:val="en-US" w:eastAsia="zh-CN" w:bidi="ar-SA"/>
        </w:rPr>
        <w:t>6</w:t>
      </w:r>
      <w:r>
        <w:rPr>
          <w:rFonts w:hint="eastAsia" w:ascii="宋体" w:hAnsi="宋体" w:eastAsia="宋体" w:cs="宋体"/>
          <w:bCs/>
          <w:color w:val="auto"/>
          <w:sz w:val="21"/>
          <w:szCs w:val="21"/>
          <w:highlight w:val="none"/>
          <w:lang w:bidi="ar-SA"/>
        </w:rPr>
        <w:t>.根据《关于印发中小企业划型标准规定的通知》（工信部联企业〔2011〕300号）规定的划分标准，本项目采购所有标的对应的中小企业划分标准所属行业为：</w:t>
      </w:r>
      <w:r>
        <w:rPr>
          <w:rFonts w:hint="eastAsia" w:ascii="宋体" w:hAnsi="宋体" w:cs="宋体"/>
          <w:bCs/>
          <w:color w:val="auto"/>
          <w:sz w:val="21"/>
          <w:szCs w:val="21"/>
          <w:highlight w:val="none"/>
          <w:lang w:val="en-US" w:eastAsia="zh-CN" w:bidi="ar-SA"/>
        </w:rPr>
        <w:t xml:space="preserve">工业 </w:t>
      </w:r>
      <w:r>
        <w:rPr>
          <w:rFonts w:hint="eastAsia" w:ascii="宋体" w:hAnsi="宋体" w:eastAsia="宋体" w:cs="宋体"/>
          <w:bCs/>
          <w:color w:val="auto"/>
          <w:sz w:val="21"/>
          <w:szCs w:val="21"/>
          <w:highlight w:val="none"/>
          <w:lang w:eastAsia="zh-CN" w:bidi="ar-SA"/>
        </w:rPr>
        <w:t>。</w:t>
      </w:r>
    </w:p>
    <w:tbl>
      <w:tblPr>
        <w:tblStyle w:val="49"/>
        <w:tblW w:w="100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2"/>
        <w:gridCol w:w="1269"/>
        <w:gridCol w:w="491"/>
        <w:gridCol w:w="5918"/>
        <w:gridCol w:w="598"/>
        <w:gridCol w:w="9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货物名称</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技术参数、规格及要求</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16" w:type="dxa"/>
            <w:gridSpan w:val="6"/>
            <w:tcBorders>
              <w:top w:val="nil"/>
              <w:left w:val="single" w:color="000000" w:sz="4" w:space="0"/>
              <w:bottom w:val="single" w:color="000000" w:sz="4" w:space="0"/>
              <w:right w:val="single" w:color="000000" w:sz="4" w:space="0"/>
            </w:tcBorders>
            <w:shd w:val="clear" w:color="auto" w:fill="D9D9D9"/>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综合布线系统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01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1.工作区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信息面板</w:t>
            </w:r>
          </w:p>
        </w:tc>
        <w:tc>
          <w:tcPr>
            <w:tcW w:w="5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双口面板，国标86型结构尺寸，ABS材质。</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信息面板</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单口面板，国标86型结构尺寸，ABS材质。</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室内光纤盒</w:t>
            </w:r>
          </w:p>
        </w:tc>
        <w:tc>
          <w:tcPr>
            <w:tcW w:w="5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多媒体光纤箱300*250*100mm，冷轧钢板箱子厚度≥0.6mm;含2位5孔10A带开关排插，不带线；2口光纤盒配置SC耦合器及2根光纤尾纤。</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六类非屏蔽模块</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250MHz的信道带宽，插头插座可重复插拔次数≥750次，IDC卡接次数≥250次，技术簧片镀金≥50μm。</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六类非屏蔽跳线</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长度≥3米，触点镀金。</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电话跳线</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4芯电话跳线≥2米，触点镀金。</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暗埋底盒</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国标86型结构尺寸，优质工程PC塑料。</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16"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2.配线子系统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六类非屏蔽双绞线</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铜芯线径标称直径为0.560mm，负公差为0.005mm；材料为低氧或无氧铜，半松护套。</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米</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39999.21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六类非屏蔽跳线</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六类非屏蔽跳线长度≥2米，触点镀金。</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24口六类非屏蔽配线架</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模块化结构，24口非屏蔽数据配线架。</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六类非屏蔽配线架模块</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执行标准：YD/T926.3、ISO/IEC 11801、TIA/EIA568-C</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·金针:模具冲压形成方形针,50 μ镀金金针;</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·电路板采用FR-4 A1级覆铜板(军用级);</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·系统性能超过TIA/EIA568-C标准对六类的要求;</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·180度IDC打线方式,保证最短的线缆开绞距离;</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·符合UL94V-0的高强度PC材料;</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·支持T568A和T568B两种接线方式;</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·即可安装在模块式配线架上又可以安装于工作区域的面板内;</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·带有压接端子保护盖,安装完网线后,线头不外露;</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·耐压强度DC:1000VIAC:750V/Imin无击穿和飞弧现象;</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·插拔次数&gt;2000次;</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·端接次数&gt;750次;</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·IDC端子:磷青铜,适用22~26AWG线规单股及多股线缆;</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·带宽达到250MHz,符合最新标准;</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·支持110或Krone工具进行端接。</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理线器</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1U24口理线器，全塑胶ABS料,表面采用粉末涂层；封闭式管理跳线，可上下开启。</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镀锌金属桥架200*100*1.2</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镀锌金属桥架≥200*100，厚度≥1.2MM,含弯头、直通、支架等配件。</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米</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镀锌金属桥架300*150*1.2</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镀锌金属桥架≥300*150，厚度≥1.2MM,含弯头、直通、支架等配件。</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米</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16"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3.干线及机房系统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室外12芯单模光纤</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执行标准:YD/T769</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·采用中心束管式结构，有很好的机械性能和温度性能；</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·松套管材料本身具有良好的耐水解性能和较高的强度；</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·具有极好的抗压、弯曲性和柔软性，更好的避免外界环境侵害；</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·双面涂塑钢带(PSP)提高光缆的抗透潮能力；</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·两根平行钢丝保证光缆的抗拉强度；</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·光缆性能满足行业规定的光传输、机械性能以及燃烧特性的要求。</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·中心加强件：两根高强度磷化钢丝</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·松套管： PBT</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·铠装：双面镀铬涂塑钢带（PSP）</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·允许拉伸力（N）：短期拉力1500，长期600</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·允许压扁力（N/100mm）：短期拉力1000，长期300</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·弯曲半径（mm）：静态10D,动态20D；</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·光缆外护材料：聚乙烯（PE）</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·使用温度：-40～70℃</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highlight w:val="none"/>
              </w:rPr>
              <w:t>·敷设方式：管道、架空、直埋</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米</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3725.80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室外6芯单模光纤</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执行标准:YD/T769</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·采用中心束管式结构，有很好的机械性能和温度性能；</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·松套管材料本身具有良好的耐水解性能和较高的强度；</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·具有极好的抗压、弯曲性和柔软性，更好的避免外界环境侵害；</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·双面涂塑钢带(PSP)提高光缆的抗透潮能力；</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·两根平行钢丝保证光缆的抗拉强度；</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·光缆性能满足行业规定的光传输、机械性能以及燃烧特性的要求。</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·中心加强件：两根高强度磷化钢丝</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·松套管： PBT</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·铠装：双面镀铬涂塑钢带（PSP）</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·允许拉伸力（N）：短期拉力1500，长期600</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·允许压扁力（N/100mm）：短期拉力1000，长期300</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·弯曲半径（mm）：静态10D,动态20D；</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·光缆外护材料：聚乙烯（PE）</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·使用温度：-40～70℃</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highlight w:val="none"/>
              </w:rPr>
              <w:t>·敷设方式：管道、架空、直埋</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米</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单模光纤2芯</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执行标准：IEC 60793、1SO/EC11801、YD/T1997</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·可提供单模多模62.5/125、多模50/125,1至4芯等多种规格;</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·采用紧套光纤,具有较强的机械保护性;</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·采用2根磷化钢丝,使光缆具有良好的抗压性能,保护光纤;</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·独特的凹槽设计,易剥离,方便接续,简化安装和维护;</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·光缆性能满足行业规定的光传输、机械性能以及燃烧特性的要求。</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光缆直径（mm）：2.0*3.0±0.1</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光缆重量（kg/km）：10</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短期拉力（N）:200</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短期压扁力（N/100mm）：2200</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加强件：磷化钢丝</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加强件尺寸：0.4mm*2±0.1</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外护套颜色：黑色</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highlight w:val="none"/>
              </w:rPr>
              <w:t>护套材料：低烟无卤聚烯烃（LSZH）</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米</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892.52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室外4芯单模光纤</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执行标准:YD/T769</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·采用中心束管式结构，有很好的机械性能和温度性能；</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·松套管材料本身具有良好的耐水解性能和较高的强度；</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·具有极好的抗压、弯曲性和柔软性，更好的避免外界环境侵害；</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·双面涂塑钢带(PSP)提高光缆的抗透潮能力；</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·两根平行钢丝保证光缆的抗拉强度；</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·光缆性能满足行业规定的光传输、机械性能以及燃烧特性的要求。</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·中心加强件：两根高强度磷化钢丝</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·松套管： PBT</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·铠装：双面镀铬涂塑钢带（PSP）</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·允许拉伸力（N）：短期拉力1500，长期600</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·允许压扁力（N/100mm）：短期拉力1000，长期300</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·弯曲半径（mm）：静态10D,动态20D；</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·光缆外护材料：聚乙烯（PE）</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·使用温度：-40～70℃</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highlight w:val="none"/>
              </w:rPr>
              <w:t>·敷设方式：管道、架空、直埋</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米</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1216.50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4口光纤盒</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4口光纤盒含耦合器、尾纤等。</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12口光纤配线架</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模块化结构，自带光缆熔接盘、尾纤、适配板、LC双工耦合器等。</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228口光纤配线架</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模块化结构，自带光缆熔接盘、尾纤、适配板、LC双工耦合器等。</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光纤熔接</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光纤熔接制作</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光纤跳线</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单模光纤双芯跳线≥3米，LC-LC跳线。</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网络机柜</w:t>
            </w:r>
          </w:p>
        </w:tc>
        <w:tc>
          <w:tcPr>
            <w:tcW w:w="5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val="0"/>
              <w:overflowPunct/>
              <w:topLinePunct w:val="0"/>
              <w:autoSpaceDE/>
              <w:autoSpaceDN/>
              <w:bidi w:val="0"/>
              <w:adjustRightInd/>
              <w:snapToGrid/>
              <w:ind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1.19寸18U机柜；宽600，深600，高1000MM，容量18U，符合ANSI/EIA RS-310-D、IEC297-2.DIN41494；PART1.DIN41494;PART7.GB/T3047.2-92；兼容ETSI标准；                   2.单开钢化玻璃前门，单开钣金网孔后门；前后门带接地线，前后门免焊加强筋结构；承载:静载500KG(带支架)，防护等级:IP20；                                         </w:t>
            </w:r>
          </w:p>
          <w:p>
            <w:pPr>
              <w:keepNext w:val="0"/>
              <w:keepLines w:val="0"/>
              <w:pageBreakBefore w:val="0"/>
              <w:widowControl/>
              <w:numPr>
                <w:ilvl w:val="0"/>
                <w:numId w:val="1"/>
              </w:numPr>
              <w:suppressLineNumbers w:val="0"/>
              <w:kinsoku/>
              <w:wordWrap w:val="0"/>
              <w:overflowPunct/>
              <w:topLinePunct w:val="0"/>
              <w:autoSpaceDE/>
              <w:autoSpaceDN/>
              <w:bidi w:val="0"/>
              <w:adjustRightInd/>
              <w:snapToGrid/>
              <w:ind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主要材料:方孔条与安装梁：耐指纹敷铝锌板,镀铝锌板材质方孔条与安装梁,设备安装时自动等电位,无锐边方孔条,在安装维护中不割伤手；其余：SPCC优质冷轧板；厚度：方孔条 1.8mm；安装梁 1.2mm；其余 1.0mm。表面处理:方孔条、安装横梁：镀铝锌板 ；其余：脱脂、硅烷化处理 、静电喷塑。     4.机柜安装：19</w:t>
            </w:r>
            <w:r>
              <w:rPr>
                <w:rFonts w:hint="eastAsia" w:ascii="宋体" w:hAnsi="宋体" w:cs="宋体"/>
                <w:i w:val="0"/>
                <w:iCs w:val="0"/>
                <w:color w:val="auto"/>
                <w:kern w:val="0"/>
                <w:sz w:val="21"/>
                <w:szCs w:val="21"/>
                <w:highlight w:val="none"/>
                <w:u w:val="none"/>
                <w:lang w:val="en-US" w:eastAsia="zh-CN" w:bidi="ar"/>
              </w:rPr>
              <w:t>寸</w:t>
            </w:r>
            <w:r>
              <w:rPr>
                <w:rFonts w:hint="eastAsia" w:ascii="宋体" w:hAnsi="宋体" w:eastAsia="宋体" w:cs="宋体"/>
                <w:i w:val="0"/>
                <w:iCs w:val="0"/>
                <w:color w:val="auto"/>
                <w:kern w:val="0"/>
                <w:sz w:val="21"/>
                <w:szCs w:val="21"/>
                <w:highlight w:val="none"/>
                <w:u w:val="none"/>
                <w:lang w:val="en-US" w:eastAsia="zh-CN" w:bidi="ar"/>
              </w:rPr>
              <w:t>安装，方孔条可调节深度，前后共4根</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为便于安装</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                                          </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5.配件：每柜一块固定层板（每块可承重50KG），配一组散热风扇内嵌式</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网络机柜</w:t>
            </w:r>
          </w:p>
        </w:tc>
        <w:tc>
          <w:tcPr>
            <w:tcW w:w="5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val="0"/>
              <w:overflowPunct/>
              <w:topLinePunct w:val="0"/>
              <w:autoSpaceDE/>
              <w:autoSpaceDN/>
              <w:bidi w:val="0"/>
              <w:adjustRightInd/>
              <w:snapToGrid/>
              <w:ind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1.19寸42U机柜；宽600，深600，高2000MM，容量42U符合ANSI/EIA RS-310-D、IEC297-2.DIN41494；PART1.DIN41494;PART7.GB/T3047.2-92；兼容ETSI标准。</w:t>
            </w:r>
          </w:p>
          <w:p>
            <w:pPr>
              <w:keepNext w:val="0"/>
              <w:keepLines w:val="0"/>
              <w:pageBreakBefore w:val="0"/>
              <w:widowControl/>
              <w:numPr>
                <w:ilvl w:val="0"/>
                <w:numId w:val="2"/>
              </w:numPr>
              <w:suppressLineNumbers w:val="0"/>
              <w:kinsoku/>
              <w:wordWrap w:val="0"/>
              <w:overflowPunct/>
              <w:topLinePunct w:val="0"/>
              <w:autoSpaceDE/>
              <w:autoSpaceDN/>
              <w:bidi w:val="0"/>
              <w:adjustRightInd/>
              <w:snapToGrid/>
              <w:ind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单开钢化玻璃前门（前门边带蓝色装饰条）；单开钣金网孔后门；前后门带接地线前后门免焊加强筋结构；承载:静载500KG(带支架)，防护等级:IP20</w:t>
            </w:r>
            <w:r>
              <w:rPr>
                <w:rFonts w:hint="eastAsia" w:ascii="宋体" w:hAnsi="宋体" w:cs="宋体"/>
                <w:i w:val="0"/>
                <w:iCs w:val="0"/>
                <w:color w:val="auto"/>
                <w:kern w:val="0"/>
                <w:sz w:val="21"/>
                <w:szCs w:val="21"/>
                <w:highlight w:val="none"/>
                <w:u w:val="none"/>
                <w:lang w:val="en-US" w:eastAsia="zh-CN" w:bidi="ar"/>
              </w:rPr>
              <w:t>；</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3.主要材料:方孔条与安装梁：耐指纹敷铝锌板,镀铝锌板材质方孔条与安装梁,设备安装时自动等电位,无锐边方孔条,在安装维护中不割伤手.其余：SPCC优质冷轧板；厚度：方孔条 1.8mm；安装梁 1.2mm；其余 1.0mm。表面处理:方孔条、安装横梁：镀铝锌板 ；其余：脱脂、硅烷化处理 、静电喷塑。</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4.机柜安装：19</w:t>
            </w:r>
            <w:r>
              <w:rPr>
                <w:rFonts w:hint="eastAsia" w:ascii="宋体" w:hAnsi="宋体" w:cs="宋体"/>
                <w:i w:val="0"/>
                <w:iCs w:val="0"/>
                <w:color w:val="auto"/>
                <w:kern w:val="0"/>
                <w:sz w:val="21"/>
                <w:szCs w:val="21"/>
                <w:highlight w:val="none"/>
                <w:u w:val="none"/>
                <w:lang w:val="en-US" w:eastAsia="zh-CN" w:bidi="ar"/>
              </w:rPr>
              <w:t>寸</w:t>
            </w:r>
            <w:r>
              <w:rPr>
                <w:rFonts w:hint="eastAsia" w:ascii="宋体" w:hAnsi="宋体" w:eastAsia="宋体" w:cs="宋体"/>
                <w:i w:val="0"/>
                <w:iCs w:val="0"/>
                <w:color w:val="auto"/>
                <w:kern w:val="0"/>
                <w:sz w:val="21"/>
                <w:szCs w:val="21"/>
                <w:highlight w:val="none"/>
                <w:u w:val="none"/>
                <w:lang w:val="en-US" w:eastAsia="zh-CN" w:bidi="ar"/>
              </w:rPr>
              <w:t>安装，方孔条可调节深度，前后共4根。为便于安装</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5.配件：每柜二块固定层板（每块可承重50KG），每柜配两组散热风扇2个内嵌式</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配电箱</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配电箱尺寸500*400*200mm，前单开门，冷轧钢板厚度1.0mm，防尘防水，安装防盗锁；2P32A空开2个，20KA2P电源防雷器1个，5孔10A导轨插座。</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16"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4.线管及辅材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主电缆线</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kern w:val="0"/>
                <w:sz w:val="21"/>
                <w:szCs w:val="21"/>
                <w:highlight w:val="none"/>
                <w:u w:val="none"/>
                <w:lang w:val="en-US" w:eastAsia="zh-CN" w:bidi="ar"/>
              </w:rPr>
              <w:t>国标，</w:t>
            </w:r>
            <w:r>
              <w:rPr>
                <w:rFonts w:hint="eastAsia"/>
                <w:highlight w:val="none"/>
                <w:lang w:val="en-US" w:eastAsia="zh-CN"/>
              </w:rPr>
              <w:t xml:space="preserve"> ZR阻燃-YJV-4x95+1x50</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米</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电缆线</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国标，</w:t>
            </w:r>
            <w:r>
              <w:rPr>
                <w:rFonts w:hint="eastAsia"/>
                <w:highlight w:val="none"/>
                <w:lang w:val="en-US" w:eastAsia="zh-CN"/>
              </w:rPr>
              <w:t>ZR阻燃-YJV-4x95+1x16</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米</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电缆线</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lang w:eastAsia="zh-CN"/>
              </w:rPr>
            </w:pPr>
            <w:r>
              <w:rPr>
                <w:rFonts w:hint="eastAsia" w:ascii="宋体" w:hAnsi="宋体" w:cs="宋体"/>
                <w:i w:val="0"/>
                <w:iCs w:val="0"/>
                <w:color w:val="auto"/>
                <w:kern w:val="0"/>
                <w:sz w:val="21"/>
                <w:szCs w:val="21"/>
                <w:highlight w:val="none"/>
                <w:u w:val="none"/>
                <w:lang w:val="en-US" w:eastAsia="zh-CN" w:bidi="ar"/>
              </w:rPr>
              <w:t>国标，</w:t>
            </w:r>
            <w:r>
              <w:rPr>
                <w:rFonts w:hint="eastAsia" w:ascii="宋体" w:hAnsi="宋体" w:eastAsia="宋体" w:cs="宋体"/>
                <w:i w:val="0"/>
                <w:iCs w:val="0"/>
                <w:color w:val="auto"/>
                <w:kern w:val="0"/>
                <w:sz w:val="21"/>
                <w:szCs w:val="21"/>
                <w:highlight w:val="none"/>
                <w:u w:val="none"/>
                <w:lang w:val="en-US" w:eastAsia="zh-CN" w:bidi="ar"/>
              </w:rPr>
              <w:t>WDZ-YJV5*16mm2</w:t>
            </w:r>
            <w:r>
              <w:rPr>
                <w:rFonts w:hint="eastAsia"/>
                <w:highlight w:val="none"/>
                <w:lang w:eastAsia="zh-CN"/>
              </w:rPr>
              <w:t>，</w:t>
            </w:r>
            <w:r>
              <w:rPr>
                <w:rFonts w:hint="eastAsia" w:ascii="宋体" w:hAnsi="宋体" w:eastAsia="宋体" w:cs="宋体"/>
                <w:i w:val="0"/>
                <w:iCs w:val="0"/>
                <w:color w:val="auto"/>
                <w:kern w:val="0"/>
                <w:sz w:val="21"/>
                <w:szCs w:val="21"/>
                <w:highlight w:val="none"/>
                <w:u w:val="none"/>
                <w:lang w:val="en-US" w:eastAsia="zh-CN" w:bidi="ar"/>
              </w:rPr>
              <w:t>阻燃电缆应符合IEC337-8标准的技术条件， 截面 mm2，电缆敷设温度不低于0℃。</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米</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电源线WDZ-YJV3*4mm2</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国标，WDZ-YJV3*4mm2，阻燃应符合IEC337-8标准的技术条件， 截面mm2，敷设温度不低于0℃。</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米</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1558.50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电源线WDZ-YJV3*6mm2</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国标，WDZ-YJV3*6mm2，阻燃应符合IEC337-8标准的技术条件， 截面mm2，敷设温度不低于0℃。</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米</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1691.90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电源线WDZ-YJV3*2.5mm2</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lang w:eastAsia="zh-CN"/>
              </w:rPr>
            </w:pPr>
            <w:r>
              <w:rPr>
                <w:rFonts w:hint="eastAsia" w:ascii="宋体" w:hAnsi="宋体" w:cs="宋体"/>
                <w:i w:val="0"/>
                <w:iCs w:val="0"/>
                <w:color w:val="auto"/>
                <w:kern w:val="0"/>
                <w:sz w:val="21"/>
                <w:szCs w:val="21"/>
                <w:highlight w:val="none"/>
                <w:u w:val="none"/>
                <w:lang w:val="en-US" w:eastAsia="zh-CN" w:bidi="ar"/>
              </w:rPr>
              <w:t>国标，</w:t>
            </w:r>
            <w:r>
              <w:rPr>
                <w:rFonts w:hint="eastAsia" w:ascii="宋体" w:hAnsi="宋体" w:eastAsia="宋体" w:cs="宋体"/>
                <w:i w:val="0"/>
                <w:iCs w:val="0"/>
                <w:color w:val="auto"/>
                <w:kern w:val="0"/>
                <w:sz w:val="21"/>
                <w:szCs w:val="21"/>
                <w:highlight w:val="none"/>
                <w:u w:val="none"/>
                <w:lang w:val="en-US" w:eastAsia="zh-CN" w:bidi="ar"/>
              </w:rPr>
              <w:t>WDZ-YJV3*2.5mm2</w:t>
            </w:r>
            <w:r>
              <w:rPr>
                <w:rFonts w:hint="eastAsia"/>
                <w:highlight w:val="none"/>
                <w:lang w:eastAsia="zh-CN"/>
              </w:rPr>
              <w:t>，</w:t>
            </w:r>
            <w:r>
              <w:rPr>
                <w:rFonts w:hint="eastAsia" w:ascii="宋体" w:hAnsi="宋体" w:eastAsia="宋体" w:cs="宋体"/>
                <w:i w:val="0"/>
                <w:iCs w:val="0"/>
                <w:color w:val="auto"/>
                <w:kern w:val="0"/>
                <w:sz w:val="21"/>
                <w:szCs w:val="21"/>
                <w:highlight w:val="none"/>
                <w:u w:val="none"/>
                <w:lang w:val="en-US" w:eastAsia="zh-CN" w:bidi="ar"/>
              </w:rPr>
              <w:t>阻燃应符合IEC337-8标准的技术条件，截面 mm2，敷设温度不低于0℃。</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米</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697.00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电源线WDZ-YJV4*1.5mm2</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lang w:eastAsia="zh-CN"/>
              </w:rPr>
            </w:pPr>
            <w:r>
              <w:rPr>
                <w:rFonts w:hint="eastAsia" w:ascii="宋体" w:hAnsi="宋体" w:cs="宋体"/>
                <w:i w:val="0"/>
                <w:iCs w:val="0"/>
                <w:color w:val="auto"/>
                <w:kern w:val="0"/>
                <w:sz w:val="21"/>
                <w:szCs w:val="21"/>
                <w:highlight w:val="none"/>
                <w:u w:val="none"/>
                <w:lang w:val="en-US" w:eastAsia="zh-CN" w:bidi="ar"/>
              </w:rPr>
              <w:t>国标，</w:t>
            </w:r>
            <w:r>
              <w:rPr>
                <w:rFonts w:hint="eastAsia" w:ascii="宋体" w:hAnsi="宋体" w:eastAsia="宋体" w:cs="宋体"/>
                <w:i w:val="0"/>
                <w:iCs w:val="0"/>
                <w:color w:val="auto"/>
                <w:kern w:val="0"/>
                <w:sz w:val="21"/>
                <w:szCs w:val="21"/>
                <w:highlight w:val="none"/>
                <w:u w:val="none"/>
                <w:lang w:val="en-US" w:eastAsia="zh-CN" w:bidi="ar"/>
              </w:rPr>
              <w:t>WDZ-YJV4*1.5mm2</w:t>
            </w:r>
            <w:r>
              <w:rPr>
                <w:rFonts w:hint="eastAsia"/>
                <w:highlight w:val="none"/>
                <w:lang w:eastAsia="zh-CN"/>
              </w:rPr>
              <w:t>，</w:t>
            </w:r>
            <w:r>
              <w:rPr>
                <w:rFonts w:hint="eastAsia" w:ascii="宋体" w:hAnsi="宋体" w:eastAsia="宋体" w:cs="宋体"/>
                <w:i w:val="0"/>
                <w:iCs w:val="0"/>
                <w:color w:val="auto"/>
                <w:kern w:val="0"/>
                <w:sz w:val="21"/>
                <w:szCs w:val="21"/>
                <w:highlight w:val="none"/>
                <w:u w:val="none"/>
                <w:lang w:val="en-US" w:eastAsia="zh-CN" w:bidi="ar"/>
              </w:rPr>
              <w:t>阻燃应符合IEC337-8标准的技术条件， 截面 mm2，敷设温度不低于0℃。</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米</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1138.70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PVC管直径25MM</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PVC阻燃冷弯直径25MM壁厚2mm，含弯头、直通。</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米</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5110.10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金属软管20MM</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包塑金属软管直径20MM,PVC环保材料+镀锌钢带。</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米</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643.20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金属软管25MM</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包塑金属软管直径25MM,PVC环保材料+镀锌钢带。</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米</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PDU排插</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bidi="ar"/>
              </w:rPr>
              <w:t>5孔6位10A,PDU排插</w:t>
            </w:r>
            <w:r>
              <w:rPr>
                <w:rFonts w:hint="eastAsia"/>
                <w:highlight w:val="none"/>
                <w:lang w:eastAsia="zh-CN"/>
              </w:rPr>
              <w:t>，</w:t>
            </w:r>
            <w:r>
              <w:rPr>
                <w:rFonts w:hint="eastAsia" w:ascii="宋体" w:hAnsi="宋体" w:eastAsia="宋体" w:cs="宋体"/>
                <w:i w:val="0"/>
                <w:iCs w:val="0"/>
                <w:color w:val="auto"/>
                <w:kern w:val="0"/>
                <w:sz w:val="21"/>
                <w:szCs w:val="21"/>
                <w:highlight w:val="none"/>
                <w:u w:val="none"/>
                <w:lang w:val="en-US" w:eastAsia="zh-CN" w:bidi="ar"/>
              </w:rPr>
              <w:t>带开关，线缆≥1.5米。</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16" w:type="dxa"/>
            <w:gridSpan w:val="6"/>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网络系统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16"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1.法院内网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核心交换机</w:t>
            </w:r>
          </w:p>
        </w:tc>
        <w:tc>
          <w:tcPr>
            <w:tcW w:w="5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firstLineChars="0"/>
              <w:textAlignment w:val="center"/>
              <w:rPr>
                <w:rFonts w:hint="eastAsia" w:ascii="宋体" w:hAnsi="宋体" w:cs="宋体"/>
                <w:szCs w:val="21"/>
                <w:highlight w:val="none"/>
              </w:rPr>
            </w:pPr>
            <w:r>
              <w:rPr>
                <w:rFonts w:hint="eastAsia" w:ascii="宋体" w:hAnsi="宋体" w:cs="宋体"/>
                <w:szCs w:val="21"/>
                <w:highlight w:val="none"/>
              </w:rPr>
              <w:t>1、交换容量≥2.5Tbps，包转发率≥1650Mpps；</w:t>
            </w:r>
          </w:p>
          <w:p>
            <w:pPr>
              <w:widowControl/>
              <w:ind w:firstLine="0" w:firstLineChars="0"/>
              <w:textAlignment w:val="center"/>
              <w:rPr>
                <w:rFonts w:hint="eastAsia" w:ascii="宋体" w:hAnsi="宋体" w:cs="宋体"/>
                <w:szCs w:val="21"/>
                <w:highlight w:val="none"/>
              </w:rPr>
            </w:pPr>
            <w:r>
              <w:rPr>
                <w:rFonts w:hint="eastAsia" w:ascii="宋体" w:hAnsi="宋体" w:cs="宋体"/>
                <w:szCs w:val="21"/>
                <w:highlight w:val="none"/>
              </w:rPr>
              <w:t>2、支持万兆光口≥24个，40/100GE QSFP28光口≥6个，支持业务拓展槽位≥1个；</w:t>
            </w:r>
          </w:p>
          <w:p>
            <w:pPr>
              <w:widowControl/>
              <w:ind w:firstLine="0" w:firstLineChars="0"/>
              <w:textAlignment w:val="center"/>
              <w:rPr>
                <w:rFonts w:hint="eastAsia" w:ascii="宋体" w:hAnsi="宋体" w:cs="宋体"/>
                <w:szCs w:val="21"/>
                <w:highlight w:val="none"/>
              </w:rPr>
            </w:pPr>
            <w:r>
              <w:rPr>
                <w:rFonts w:hint="eastAsia" w:ascii="宋体" w:hAnsi="宋体" w:cs="宋体"/>
                <w:szCs w:val="21"/>
                <w:highlight w:val="none"/>
              </w:rPr>
              <w:t>3、为了提高设备可靠性，配置可插拔的双电源，支持4个可插拔风扇模块；</w:t>
            </w:r>
          </w:p>
          <w:p>
            <w:pPr>
              <w:widowControl/>
              <w:ind w:firstLine="0" w:firstLineChars="0"/>
              <w:textAlignment w:val="center"/>
              <w:rPr>
                <w:rFonts w:hint="eastAsia" w:ascii="宋体" w:hAnsi="宋体" w:cs="宋体"/>
                <w:szCs w:val="21"/>
                <w:highlight w:val="none"/>
              </w:rPr>
            </w:pPr>
            <w:r>
              <w:rPr>
                <w:rFonts w:hint="eastAsia" w:ascii="宋体" w:hAnsi="宋体" w:cs="宋体"/>
                <w:szCs w:val="21"/>
                <w:highlight w:val="none"/>
              </w:rPr>
              <w:t>4、▲采用国产芯片，实现国产设备关键芯片自主可控；</w:t>
            </w:r>
          </w:p>
          <w:p>
            <w:pPr>
              <w:widowControl/>
              <w:ind w:firstLine="0" w:firstLineChars="0"/>
              <w:textAlignment w:val="center"/>
              <w:rPr>
                <w:rFonts w:hint="eastAsia" w:ascii="宋体" w:hAnsi="宋体" w:cs="宋体"/>
                <w:szCs w:val="21"/>
                <w:highlight w:val="none"/>
              </w:rPr>
            </w:pPr>
            <w:r>
              <w:rPr>
                <w:rFonts w:hint="eastAsia" w:ascii="宋体" w:hAnsi="宋体" w:cs="宋体"/>
                <w:szCs w:val="21"/>
                <w:highlight w:val="none"/>
              </w:rPr>
              <w:t>5、支持MAC表项≥384K，支持IPv4路由表项≥256K，支持IPv6路由表项≥80K；</w:t>
            </w:r>
          </w:p>
          <w:p>
            <w:pPr>
              <w:widowControl/>
              <w:ind w:firstLine="0" w:firstLineChars="0"/>
              <w:textAlignment w:val="center"/>
              <w:rPr>
                <w:rFonts w:hint="eastAsia" w:ascii="宋体" w:hAnsi="宋体" w:cs="宋体"/>
                <w:szCs w:val="21"/>
                <w:highlight w:val="none"/>
              </w:rPr>
            </w:pPr>
            <w:r>
              <w:rPr>
                <w:rFonts w:hint="eastAsia" w:ascii="宋体" w:hAnsi="宋体" w:cs="宋体"/>
                <w:szCs w:val="21"/>
                <w:highlight w:val="none"/>
              </w:rPr>
              <w:t>6、支持统一用户管理功能，支持802.1X/MAC等多种认证方式，支持10000认证用户同时在线；</w:t>
            </w:r>
          </w:p>
          <w:p>
            <w:pPr>
              <w:widowControl/>
              <w:ind w:firstLine="0" w:firstLineChars="0"/>
              <w:textAlignment w:val="center"/>
              <w:rPr>
                <w:rFonts w:hint="eastAsia" w:ascii="宋体" w:hAnsi="宋体" w:cs="宋体"/>
                <w:szCs w:val="21"/>
                <w:highlight w:val="none"/>
              </w:rPr>
            </w:pPr>
            <w:r>
              <w:rPr>
                <w:rFonts w:hint="eastAsia" w:ascii="宋体" w:hAnsi="宋体" w:cs="宋体"/>
                <w:szCs w:val="21"/>
                <w:highlight w:val="none"/>
              </w:rPr>
              <w:t>7、▲支持交换机基于UCL用户组方式，用户组内的用户，不论是有线还是无线用户，也不论用户在何处登录，获得任何IP地址，用户都拥有相同的访问权限；</w:t>
            </w:r>
          </w:p>
          <w:p>
            <w:pPr>
              <w:widowControl/>
              <w:ind w:firstLine="0" w:firstLineChars="0"/>
              <w:textAlignment w:val="center"/>
              <w:rPr>
                <w:rFonts w:hint="eastAsia" w:ascii="宋体" w:hAnsi="宋体" w:cs="宋体"/>
                <w:szCs w:val="21"/>
                <w:highlight w:val="none"/>
              </w:rPr>
            </w:pPr>
            <w:r>
              <w:rPr>
                <w:rFonts w:hint="eastAsia" w:ascii="宋体" w:hAnsi="宋体" w:cs="宋体"/>
                <w:szCs w:val="21"/>
                <w:highlight w:val="none"/>
              </w:rPr>
              <w:t>8、▲支持VxLAN功能，支持BGP EVPN，支持分布式 Anycast 网关；支持控制器基于WEB界面进行VxLAN Fabric配置并下发给交换机；</w:t>
            </w:r>
          </w:p>
          <w:p>
            <w:pPr>
              <w:widowControl/>
              <w:ind w:firstLine="0" w:firstLineChars="0"/>
              <w:textAlignment w:val="center"/>
              <w:rPr>
                <w:rFonts w:hint="eastAsia" w:ascii="宋体" w:hAnsi="宋体" w:cs="宋体"/>
                <w:szCs w:val="21"/>
                <w:highlight w:val="none"/>
              </w:rPr>
            </w:pPr>
            <w:r>
              <w:rPr>
                <w:rFonts w:hint="eastAsia" w:ascii="宋体" w:hAnsi="宋体" w:cs="宋体"/>
                <w:szCs w:val="21"/>
                <w:highlight w:val="none"/>
              </w:rPr>
              <w:t>9、支持真实业务流实时检测技术，能实时检测网络故障；</w:t>
            </w:r>
          </w:p>
          <w:p>
            <w:pPr>
              <w:widowControl/>
              <w:ind w:firstLine="0" w:firstLineChars="0"/>
              <w:textAlignment w:val="center"/>
              <w:rPr>
                <w:rFonts w:hint="eastAsia" w:ascii="宋体" w:hAnsi="宋体" w:cs="宋体"/>
                <w:szCs w:val="21"/>
                <w:highlight w:val="none"/>
              </w:rPr>
            </w:pPr>
            <w:r>
              <w:rPr>
                <w:rFonts w:hint="eastAsia" w:ascii="宋体" w:hAnsi="宋体" w:cs="宋体"/>
                <w:szCs w:val="21"/>
                <w:highlight w:val="none"/>
              </w:rPr>
              <w:t>10、为了方便管理设备，设备支持横向虚拟化，将多台设备虚拟为一台；</w:t>
            </w:r>
          </w:p>
          <w:p>
            <w:pPr>
              <w:widowControl/>
              <w:ind w:firstLine="0" w:firstLineChars="0"/>
              <w:textAlignment w:val="center"/>
              <w:rPr>
                <w:rFonts w:hint="eastAsia" w:ascii="宋体" w:hAnsi="宋体" w:cs="宋体"/>
                <w:szCs w:val="21"/>
                <w:highlight w:val="none"/>
              </w:rPr>
            </w:pPr>
            <w:r>
              <w:rPr>
                <w:rFonts w:hint="eastAsia" w:ascii="宋体" w:hAnsi="宋体" w:cs="宋体"/>
                <w:szCs w:val="21"/>
                <w:highlight w:val="none"/>
              </w:rPr>
              <w:t>11、支持 Telemetry 技术，实时采集设备数据并上送至网络分析组件平台，通过智能故障识别算法对网络数据进行分析，精准展现网络实时状态，及时定界故障以及故障发生原因，精准保障用户体验;</w:t>
            </w:r>
          </w:p>
          <w:p>
            <w:pPr>
              <w:widowControl/>
              <w:ind w:firstLine="0" w:firstLineChars="0"/>
              <w:textAlignment w:val="center"/>
              <w:rPr>
                <w:rFonts w:hint="eastAsia" w:ascii="宋体" w:hAnsi="宋体" w:cs="宋体"/>
                <w:szCs w:val="21"/>
                <w:highlight w:val="none"/>
              </w:rPr>
            </w:pPr>
            <w:r>
              <w:rPr>
                <w:rFonts w:hint="eastAsia" w:ascii="宋体" w:hAnsi="宋体" w:cs="宋体"/>
                <w:szCs w:val="21"/>
                <w:highlight w:val="none"/>
              </w:rPr>
              <w:t>12、支持G.8032（ERPS）标准环网协议，故障倒换收敛时间≤50毫秒；</w:t>
            </w:r>
          </w:p>
          <w:p>
            <w:pPr>
              <w:widowControl/>
              <w:ind w:firstLine="0" w:firstLineChars="0"/>
              <w:textAlignment w:val="center"/>
              <w:rPr>
                <w:rFonts w:hint="eastAsia" w:ascii="宋体" w:hAnsi="宋体" w:eastAsia="宋体" w:cs="宋体"/>
                <w:i w:val="0"/>
                <w:iCs w:val="0"/>
                <w:color w:val="auto"/>
                <w:sz w:val="21"/>
                <w:szCs w:val="21"/>
                <w:highlight w:val="none"/>
                <w:u w:val="none"/>
              </w:rPr>
            </w:pPr>
            <w:r>
              <w:rPr>
                <w:rFonts w:hint="eastAsia" w:ascii="宋体" w:hAnsi="宋体" w:cs="宋体"/>
                <w:szCs w:val="21"/>
                <w:highlight w:val="none"/>
              </w:rPr>
              <w:t>13、提供三年维保服务；</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防火墙</w:t>
            </w:r>
            <w:r>
              <w:rPr>
                <w:rFonts w:hint="eastAsia" w:ascii="宋体" w:hAnsi="宋体" w:cs="宋体"/>
                <w:i w:val="0"/>
                <w:iCs w:val="0"/>
                <w:color w:val="auto"/>
                <w:kern w:val="0"/>
                <w:sz w:val="21"/>
                <w:szCs w:val="21"/>
                <w:highlight w:val="none"/>
                <w:u w:val="none"/>
                <w:lang w:val="en-US" w:eastAsia="zh-CN" w:bidi="ar"/>
              </w:rPr>
              <w:t>（法院内网模块）</w:t>
            </w:r>
          </w:p>
        </w:tc>
        <w:tc>
          <w:tcPr>
            <w:tcW w:w="5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firstLineChars="0"/>
              <w:textAlignment w:val="center"/>
              <w:rPr>
                <w:rFonts w:hint="eastAsia" w:ascii="宋体" w:hAnsi="宋体" w:cs="宋体"/>
                <w:szCs w:val="21"/>
                <w:highlight w:val="none"/>
              </w:rPr>
            </w:pPr>
            <w:r>
              <w:rPr>
                <w:rFonts w:hint="eastAsia" w:ascii="宋体" w:hAnsi="宋体" w:cs="宋体"/>
                <w:szCs w:val="21"/>
                <w:highlight w:val="none"/>
              </w:rPr>
              <w:t>▲1、防火墙需采用国产芯片及操作系统，吞吐量≥2.5Gbps，应用层吞吐量≥2.4Gbps，最大并发连接数≥300万，每秒新建连接数≥8万，开启全功能威胁防护吞吐量≥1.6Gbps，IPSec吞吐量≥3Gbps，IPSec最大隧道数≥4000，SSL VPN并发用户数≥800，含SSL VPN≥ 80用户授权，虚拟防火墙数≥100个，交流主机1U设备，配置≥8个Combo口，≥2个SFP+万兆光口，≥2个GE电口，1个Console口，1个MGMT口，2个USB接口；含1年的硬件质保服务，1年威胁防护服务（含反病毒、入侵防御、URL远程查询等）。</w:t>
            </w:r>
          </w:p>
          <w:p>
            <w:pPr>
              <w:widowControl/>
              <w:numPr>
                <w:ilvl w:val="0"/>
                <w:numId w:val="0"/>
              </w:numPr>
              <w:ind w:firstLine="0" w:firstLineChars="0"/>
              <w:textAlignment w:val="center"/>
              <w:rPr>
                <w:rFonts w:hint="eastAsia" w:ascii="宋体" w:hAnsi="宋体" w:cs="宋体"/>
                <w:szCs w:val="21"/>
                <w:highlight w:val="none"/>
              </w:rPr>
            </w:pPr>
            <w:r>
              <w:rPr>
                <w:rFonts w:hint="eastAsia" w:ascii="宋体" w:hAnsi="宋体" w:eastAsia="宋体" w:cs="宋体"/>
                <w:kern w:val="2"/>
                <w:sz w:val="21"/>
                <w:szCs w:val="21"/>
                <w:highlight w:val="none"/>
                <w:lang w:val="en-US" w:eastAsia="zh-CN" w:bidi="ar-SA"/>
              </w:rPr>
              <w:t>2、</w:t>
            </w:r>
            <w:r>
              <w:rPr>
                <w:rFonts w:hint="eastAsia" w:ascii="宋体" w:hAnsi="宋体" w:cs="宋体"/>
                <w:szCs w:val="21"/>
                <w:highlight w:val="none"/>
              </w:rPr>
              <w:t>IPV6能力，支持IPv6协议栈、IPV6穿越技术、IPV6路由协议。</w:t>
            </w:r>
          </w:p>
          <w:p>
            <w:pPr>
              <w:widowControl/>
              <w:numPr>
                <w:ilvl w:val="0"/>
                <w:numId w:val="0"/>
              </w:numPr>
              <w:ind w:firstLine="0" w:firstLineChars="0"/>
              <w:textAlignment w:val="center"/>
              <w:rPr>
                <w:rFonts w:hint="eastAsia"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、策略管理，支持将基于端口的安全策略转换为基于应用的安全策略，分析设备策略风险，及冗余策略，提供安全策略优化建议</w:t>
            </w:r>
          </w:p>
          <w:p>
            <w:pPr>
              <w:widowControl/>
              <w:ind w:firstLine="0" w:firstLineChars="0"/>
              <w:textAlignment w:val="center"/>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、NAT转换，支持NAT地址复用技术，可实现单个公网IP地址的无限制端口转换，可有效解决地址短缺问题</w:t>
            </w:r>
          </w:p>
          <w:p>
            <w:pPr>
              <w:widowControl/>
              <w:ind w:firstLine="0" w:firstLineChars="0"/>
              <w:textAlignment w:val="center"/>
              <w:rPr>
                <w:rFonts w:hint="eastAsia" w:ascii="宋体" w:hAnsi="宋体"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5</w:t>
            </w:r>
            <w:r>
              <w:rPr>
                <w:rFonts w:hint="eastAsia" w:ascii="宋体" w:hAnsi="宋体" w:cs="宋体"/>
                <w:szCs w:val="21"/>
                <w:highlight w:val="none"/>
              </w:rPr>
              <w:t>、防火墙应具备威胁防护AI引擎，AI引擎用于DGA域名请求检测，RDP协议暴力破解检测，SSH协议暴力破解检测，恶意C&amp;C流量检测，ECA恶意加密流量识别，SQL注入流量检测</w:t>
            </w:r>
            <w:r>
              <w:rPr>
                <w:rFonts w:hint="eastAsia" w:ascii="宋体" w:hAnsi="宋体" w:cs="宋体"/>
                <w:szCs w:val="21"/>
                <w:highlight w:val="none"/>
                <w:lang w:eastAsia="zh-CN"/>
              </w:rPr>
              <w:t>。</w:t>
            </w:r>
          </w:p>
          <w:p>
            <w:pPr>
              <w:widowControl/>
              <w:numPr>
                <w:ilvl w:val="0"/>
                <w:numId w:val="0"/>
              </w:numPr>
              <w:ind w:firstLine="0" w:firstLineChars="0"/>
              <w:textAlignment w:val="center"/>
              <w:rPr>
                <w:rFonts w:hint="eastAsia" w:ascii="宋体" w:hAnsi="宋体" w:cs="宋体"/>
                <w:szCs w:val="21"/>
                <w:highlight w:val="none"/>
              </w:rPr>
            </w:pPr>
            <w:r>
              <w:rPr>
                <w:rFonts w:hint="eastAsia" w:ascii="宋体" w:hAnsi="宋体" w:cs="宋体"/>
                <w:szCs w:val="21"/>
                <w:highlight w:val="none"/>
                <w:lang w:val="en-US" w:eastAsia="zh-CN"/>
              </w:rPr>
              <w:t>6、</w:t>
            </w:r>
            <w:r>
              <w:rPr>
                <w:rFonts w:hint="eastAsia" w:ascii="宋体" w:hAnsi="宋体" w:cs="宋体"/>
                <w:szCs w:val="21"/>
                <w:highlight w:val="none"/>
              </w:rPr>
              <w:t>应支持安全综合评估，能对防火墙健康度检查，应能给出对应分值，能够直观展现严重问题、一般问题、提示问题的问题条数；检查项至少应包括硬件健康度、网络及业务健康度、资源使用、系统健康度等等；应能够根据健康度检查结果给出处理建议。</w:t>
            </w:r>
          </w:p>
          <w:p>
            <w:pPr>
              <w:widowControl/>
              <w:numPr>
                <w:ilvl w:val="0"/>
                <w:numId w:val="0"/>
              </w:numPr>
              <w:ind w:firstLine="0" w:firstLineChars="0"/>
              <w:textAlignment w:val="center"/>
              <w:rPr>
                <w:rFonts w:hint="eastAsia" w:ascii="宋体" w:hAnsi="宋体" w:cs="宋体"/>
                <w:szCs w:val="21"/>
                <w:highlight w:val="none"/>
              </w:rPr>
            </w:pPr>
            <w:r>
              <w:rPr>
                <w:rFonts w:hint="eastAsia" w:ascii="宋体" w:hAnsi="宋体" w:cs="宋体"/>
                <w:szCs w:val="21"/>
                <w:highlight w:val="none"/>
                <w:lang w:val="en-US" w:eastAsia="zh-CN"/>
              </w:rPr>
              <w:t>7</w:t>
            </w:r>
            <w:r>
              <w:rPr>
                <w:rFonts w:hint="eastAsia" w:ascii="宋体" w:hAnsi="宋体" w:cs="宋体"/>
                <w:szCs w:val="21"/>
                <w:highlight w:val="none"/>
              </w:rPr>
              <w:t>、应支持数据防泄露，对传输的文件和内容进行识别过滤，对内容与身份证、信用卡、银行卡、社会安全卡号等类型进行匹配，支持DNS过滤，应支持对DNS高、中、低、自定义过滤级别选择，从而提高网站过滤的性能。</w:t>
            </w:r>
          </w:p>
          <w:p>
            <w:pPr>
              <w:widowControl/>
              <w:ind w:firstLine="0" w:firstLineChars="0"/>
              <w:textAlignment w:val="center"/>
              <w:rPr>
                <w:rFonts w:hint="eastAsia" w:ascii="宋体" w:hAnsi="宋体" w:cs="宋体"/>
                <w:szCs w:val="21"/>
                <w:highlight w:val="none"/>
                <w:lang w:eastAsia="zh-CN"/>
              </w:rPr>
            </w:pPr>
            <w:r>
              <w:rPr>
                <w:rFonts w:hint="eastAsia" w:ascii="宋体" w:hAnsi="宋体" w:cs="宋体"/>
                <w:szCs w:val="21"/>
                <w:highlight w:val="none"/>
                <w:lang w:val="en-US" w:eastAsia="zh-CN"/>
              </w:rPr>
              <w:t>8</w:t>
            </w:r>
            <w:r>
              <w:rPr>
                <w:rFonts w:hint="eastAsia" w:ascii="宋体" w:hAnsi="宋体" w:cs="宋体"/>
                <w:szCs w:val="21"/>
                <w:highlight w:val="none"/>
              </w:rPr>
              <w:t>、应支持多出口智能选路，可根据目的地址智能优选运营商链路，支持主备接口配置以及按比例分配的负载分担方式</w:t>
            </w:r>
            <w:r>
              <w:rPr>
                <w:rFonts w:hint="eastAsia" w:ascii="宋体" w:hAnsi="宋体" w:cs="宋体"/>
                <w:szCs w:val="21"/>
                <w:highlight w:val="none"/>
                <w:lang w:eastAsia="zh-CN"/>
              </w:rPr>
              <w:t>。</w:t>
            </w:r>
          </w:p>
          <w:p>
            <w:pPr>
              <w:widowControl/>
              <w:ind w:firstLine="0" w:firstLineChars="0"/>
              <w:textAlignment w:val="center"/>
              <w:rPr>
                <w:rFonts w:hint="eastAsia" w:ascii="宋体" w:hAnsi="宋体" w:cs="宋体"/>
                <w:szCs w:val="21"/>
                <w:highlight w:val="none"/>
              </w:rPr>
            </w:pPr>
            <w:r>
              <w:rPr>
                <w:rFonts w:hint="eastAsia" w:ascii="宋体" w:hAnsi="宋体" w:cs="宋体"/>
                <w:szCs w:val="21"/>
                <w:highlight w:val="none"/>
                <w:lang w:val="en-US" w:eastAsia="zh-CN"/>
              </w:rPr>
              <w:t>9</w:t>
            </w:r>
            <w:r>
              <w:rPr>
                <w:rFonts w:hint="eastAsia" w:ascii="宋体" w:hAnsi="宋体" w:cs="宋体"/>
                <w:szCs w:val="21"/>
                <w:highlight w:val="none"/>
              </w:rPr>
              <w:t>、应支持可视化管理，对设备进行组网图配置，组网图能够直观的呈现内网区域、服务器区域、外网区域的可视化管理，链路能展现运行状况，应包含IP地址、接口状态、输入流量、输入错包数、输出流量、输出错包数、速率等。</w:t>
            </w:r>
          </w:p>
          <w:p>
            <w:pPr>
              <w:widowControl/>
              <w:ind w:firstLine="0" w:firstLineChars="0"/>
              <w:textAlignment w:val="center"/>
              <w:rPr>
                <w:rFonts w:hint="eastAsia" w:ascii="宋体" w:hAnsi="宋体" w:cs="宋体"/>
                <w:szCs w:val="21"/>
                <w:highlight w:val="none"/>
              </w:rPr>
            </w:pPr>
            <w:r>
              <w:rPr>
                <w:rFonts w:hint="eastAsia" w:ascii="宋体" w:hAnsi="宋体" w:cs="宋体"/>
                <w:szCs w:val="21"/>
                <w:highlight w:val="none"/>
                <w:lang w:val="en-US" w:eastAsia="zh-CN"/>
              </w:rPr>
              <w:t>10</w:t>
            </w:r>
            <w:r>
              <w:rPr>
                <w:rFonts w:hint="eastAsia" w:ascii="宋体" w:hAnsi="宋体" w:cs="宋体"/>
                <w:szCs w:val="21"/>
                <w:highlight w:val="none"/>
              </w:rPr>
              <w:t>、应支持虚拟防火墙，能够对虚拟资源灵活配置，配置项包括会话数、策略数、IPSec隧道数，整体带宽、新建回话速率等进行按需分配，同时应支持剩余资源查询，确保灵活分配；支持虚拟服务安全管控，虚拟服务策略应包括IP地址/地区、协议、时间段、WAN ID、反病毒/入侵防御/URL过滤/内容过滤/WEB应用防护等。</w:t>
            </w:r>
          </w:p>
          <w:p>
            <w:pPr>
              <w:pStyle w:val="2"/>
              <w:ind w:firstLine="0" w:firstLineChars="0"/>
              <w:rPr>
                <w:rFonts w:hint="default" w:eastAsia="宋体"/>
                <w:highlight w:val="none"/>
                <w:lang w:val="en-US" w:eastAsia="zh-CN"/>
              </w:rPr>
            </w:pPr>
            <w:r>
              <w:rPr>
                <w:rFonts w:hint="eastAsia"/>
                <w:sz w:val="21"/>
                <w:highlight w:val="none"/>
              </w:rPr>
              <w:t>1</w:t>
            </w:r>
            <w:r>
              <w:rPr>
                <w:rFonts w:hint="eastAsia"/>
                <w:sz w:val="21"/>
                <w:highlight w:val="none"/>
                <w:lang w:val="en-US" w:eastAsia="zh-CN"/>
              </w:rPr>
              <w:t>1</w:t>
            </w:r>
            <w:r>
              <w:rPr>
                <w:rFonts w:hint="eastAsia"/>
                <w:sz w:val="21"/>
                <w:highlight w:val="none"/>
              </w:rPr>
              <w:t>、★投标文件中须提供该产品经具备资格的机构安全认证合格或者安全检测符合要求的证明材料。</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路由器</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机架款路由器 | 带机量 700 | 转发性能 9Mpps - 25Mpps | 出口带宽 4Gbps | 8*GE电LAN口（可切换为WAN 口），2GE*combo WAN口</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48口交换机</w:t>
            </w:r>
          </w:p>
        </w:tc>
        <w:tc>
          <w:tcPr>
            <w:tcW w:w="5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万兆三层全管理交换机,包转发率148Mpps/222Mpps,交换容量758Gbps/7.58Tbps,48个千兆电口,4个万兆光口,VLAN:4K,MAC:16K,19英寸1U标准机架,金属外壳,风冷散热，挂耳默认自带， | 监控带机量400</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24口交换机</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万兆三层全管理交换机,包转发率148Mpps/222Mpps,交换容量598Gbps/5.98Tbps,24个千兆电口,4个万兆光口,VLAN:4K,MAC:16K,19英寸1U标准机架,金属外壳,风冷散热，挂耳默认自带，| 监控带机量300</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万兆光模块</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1. 接口封装：SFP+；</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2. 速率：10GE；</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3. 中心波长（nm）：1310；</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4. 标准：10GBASE-LR；</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5. 接头类型：LC；</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6. 支持的线缆与对应最大传输距离：单模光纤，10km；</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highlight w:val="none"/>
              </w:rPr>
              <w:t>7. 工作温度：0°C～50°C。</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16"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2.政务外网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核心交换机</w:t>
            </w:r>
          </w:p>
        </w:tc>
        <w:tc>
          <w:tcPr>
            <w:tcW w:w="5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firstLineChars="0"/>
              <w:textAlignment w:val="center"/>
              <w:rPr>
                <w:rFonts w:hint="eastAsia" w:ascii="宋体" w:hAnsi="宋体" w:cs="宋体"/>
                <w:szCs w:val="21"/>
                <w:highlight w:val="none"/>
              </w:rPr>
            </w:pPr>
            <w:r>
              <w:rPr>
                <w:rFonts w:hint="eastAsia" w:ascii="宋体" w:hAnsi="宋体" w:cs="宋体"/>
                <w:szCs w:val="21"/>
                <w:highlight w:val="none"/>
              </w:rPr>
              <w:t>1、交换容量≥2.4Tbps，包转发率≥1600Mpps；</w:t>
            </w:r>
          </w:p>
          <w:p>
            <w:pPr>
              <w:widowControl/>
              <w:ind w:firstLine="0" w:firstLineChars="0"/>
              <w:textAlignment w:val="center"/>
              <w:rPr>
                <w:rFonts w:hint="eastAsia" w:ascii="宋体" w:hAnsi="宋体" w:cs="宋体"/>
                <w:szCs w:val="21"/>
                <w:highlight w:val="none"/>
              </w:rPr>
            </w:pPr>
            <w:r>
              <w:rPr>
                <w:rFonts w:hint="eastAsia" w:ascii="宋体" w:hAnsi="宋体" w:cs="宋体"/>
                <w:szCs w:val="21"/>
                <w:highlight w:val="none"/>
              </w:rPr>
              <w:t>2、支持万兆光口≥24个，40/100GE QSFP28光口≥6个，支持业务拓展槽位≥1个；</w:t>
            </w:r>
          </w:p>
          <w:p>
            <w:pPr>
              <w:widowControl/>
              <w:ind w:firstLine="0" w:firstLineChars="0"/>
              <w:textAlignment w:val="center"/>
              <w:rPr>
                <w:rFonts w:hint="eastAsia" w:ascii="宋体" w:hAnsi="宋体" w:cs="宋体"/>
                <w:szCs w:val="21"/>
                <w:highlight w:val="none"/>
              </w:rPr>
            </w:pPr>
            <w:r>
              <w:rPr>
                <w:rFonts w:hint="eastAsia" w:ascii="宋体" w:hAnsi="宋体" w:cs="宋体"/>
                <w:szCs w:val="21"/>
                <w:highlight w:val="none"/>
              </w:rPr>
              <w:t>3、为了提高设备可靠性，配置可插拔的双电源，支持3个可插拔风扇模块；</w:t>
            </w:r>
          </w:p>
          <w:p>
            <w:pPr>
              <w:widowControl/>
              <w:ind w:firstLine="0" w:firstLineChars="0"/>
              <w:textAlignment w:val="center"/>
              <w:rPr>
                <w:rFonts w:hint="eastAsia" w:ascii="宋体" w:hAnsi="宋体" w:cs="宋体"/>
                <w:szCs w:val="21"/>
                <w:highlight w:val="none"/>
                <w:lang w:eastAsia="zh-CN"/>
              </w:rPr>
            </w:pPr>
            <w:r>
              <w:rPr>
                <w:rFonts w:hint="eastAsia" w:ascii="宋体" w:hAnsi="宋体" w:cs="宋体"/>
                <w:szCs w:val="21"/>
                <w:highlight w:val="none"/>
              </w:rPr>
              <w:t>4、采用国产芯片，实现国产设备关键芯片自主可控</w:t>
            </w:r>
            <w:r>
              <w:rPr>
                <w:rFonts w:hint="eastAsia" w:ascii="宋体" w:hAnsi="宋体" w:cs="宋体"/>
                <w:szCs w:val="21"/>
                <w:highlight w:val="none"/>
                <w:lang w:eastAsia="zh-CN"/>
              </w:rPr>
              <w:t>。</w:t>
            </w:r>
          </w:p>
          <w:p>
            <w:pPr>
              <w:widowControl/>
              <w:ind w:firstLine="0" w:firstLineChars="0"/>
              <w:textAlignment w:val="center"/>
              <w:rPr>
                <w:rFonts w:hint="eastAsia" w:ascii="宋体" w:hAnsi="宋体" w:cs="宋体"/>
                <w:szCs w:val="21"/>
                <w:highlight w:val="none"/>
              </w:rPr>
            </w:pPr>
            <w:r>
              <w:rPr>
                <w:rFonts w:hint="eastAsia" w:ascii="宋体" w:hAnsi="宋体" w:cs="宋体"/>
                <w:szCs w:val="21"/>
                <w:highlight w:val="none"/>
              </w:rPr>
              <w:t>5、支持MAC表项≥380K，支持IPv4路由表项≥250K，支持IPv6路由表项≥80K；</w:t>
            </w:r>
          </w:p>
          <w:p>
            <w:pPr>
              <w:widowControl/>
              <w:ind w:firstLine="0" w:firstLineChars="0"/>
              <w:textAlignment w:val="center"/>
              <w:rPr>
                <w:rFonts w:hint="eastAsia" w:ascii="宋体" w:hAnsi="宋体" w:cs="宋体"/>
                <w:szCs w:val="21"/>
                <w:highlight w:val="none"/>
              </w:rPr>
            </w:pPr>
            <w:r>
              <w:rPr>
                <w:rFonts w:hint="eastAsia" w:ascii="宋体" w:hAnsi="宋体" w:cs="宋体"/>
                <w:szCs w:val="21"/>
                <w:highlight w:val="none"/>
              </w:rPr>
              <w:t>6、支持统一用户管理功能，支持802.1X/MAC等多种认证方式，支持10000认证用户同时在线；</w:t>
            </w:r>
          </w:p>
          <w:p>
            <w:pPr>
              <w:widowControl/>
              <w:ind w:firstLine="0" w:firstLineChars="0"/>
              <w:textAlignment w:val="center"/>
              <w:rPr>
                <w:rFonts w:hint="eastAsia" w:ascii="宋体" w:hAnsi="宋体" w:eastAsia="宋体" w:cs="宋体"/>
                <w:szCs w:val="21"/>
                <w:highlight w:val="none"/>
                <w:lang w:eastAsia="zh-CN"/>
              </w:rPr>
            </w:pPr>
            <w:r>
              <w:rPr>
                <w:rFonts w:hint="eastAsia" w:ascii="宋体" w:hAnsi="宋体" w:cs="宋体"/>
                <w:szCs w:val="21"/>
                <w:highlight w:val="none"/>
              </w:rPr>
              <w:t>7、支持交换机基于UCL用户组方式，用户组内的用户，不论是有线还是无线用户，也不论用户在何处登录，获得任何IP地址，用户都拥有相同的访问权限</w:t>
            </w:r>
            <w:r>
              <w:rPr>
                <w:rFonts w:hint="eastAsia" w:ascii="宋体" w:hAnsi="宋体" w:cs="宋体"/>
                <w:szCs w:val="21"/>
                <w:highlight w:val="none"/>
                <w:lang w:eastAsia="zh-CN"/>
              </w:rPr>
              <w:t>。</w:t>
            </w:r>
          </w:p>
          <w:p>
            <w:pPr>
              <w:widowControl/>
              <w:ind w:firstLine="0" w:firstLineChars="0"/>
              <w:textAlignment w:val="center"/>
              <w:rPr>
                <w:rFonts w:hint="eastAsia" w:ascii="宋体" w:hAnsi="宋体" w:cs="宋体"/>
                <w:szCs w:val="21"/>
                <w:highlight w:val="none"/>
              </w:rPr>
            </w:pPr>
            <w:r>
              <w:rPr>
                <w:rFonts w:hint="eastAsia" w:ascii="宋体" w:hAnsi="宋体" w:cs="宋体"/>
                <w:szCs w:val="21"/>
                <w:highlight w:val="none"/>
              </w:rPr>
              <w:t>8、支持VxLAN功能，支持BGP EVPN，支持分布式 Anycast 网关；支持控制器基于WEB界面进行VxLAN Fabric配置并下发给交换机</w:t>
            </w:r>
            <w:r>
              <w:rPr>
                <w:rFonts w:hint="eastAsia" w:ascii="宋体" w:hAnsi="宋体" w:cs="宋体"/>
                <w:szCs w:val="21"/>
                <w:highlight w:val="none"/>
                <w:lang w:eastAsia="zh-CN"/>
              </w:rPr>
              <w:t>。</w:t>
            </w:r>
            <w:r>
              <w:rPr>
                <w:rFonts w:hint="eastAsia" w:ascii="宋体" w:hAnsi="宋体" w:cs="宋体"/>
                <w:szCs w:val="21"/>
                <w:highlight w:val="none"/>
              </w:rPr>
              <w:t>9、支持真实业务流实时检测技术，能实时检测网络故障；</w:t>
            </w:r>
          </w:p>
          <w:p>
            <w:pPr>
              <w:widowControl/>
              <w:ind w:firstLine="0" w:firstLineChars="0"/>
              <w:textAlignment w:val="center"/>
              <w:rPr>
                <w:rFonts w:hint="eastAsia" w:ascii="宋体" w:hAnsi="宋体" w:cs="宋体"/>
                <w:szCs w:val="21"/>
                <w:highlight w:val="none"/>
              </w:rPr>
            </w:pPr>
            <w:r>
              <w:rPr>
                <w:rFonts w:hint="eastAsia" w:ascii="宋体" w:hAnsi="宋体" w:cs="宋体"/>
                <w:szCs w:val="21"/>
                <w:highlight w:val="none"/>
              </w:rPr>
              <w:t>10、为了方便管理设备，设备支持横向虚拟化，将多台设备虚拟为一台；</w:t>
            </w:r>
          </w:p>
          <w:p>
            <w:pPr>
              <w:widowControl/>
              <w:ind w:firstLine="0" w:firstLineChars="0"/>
              <w:textAlignment w:val="center"/>
              <w:rPr>
                <w:rFonts w:hint="eastAsia" w:ascii="宋体" w:hAnsi="宋体" w:cs="宋体"/>
                <w:szCs w:val="21"/>
                <w:highlight w:val="none"/>
              </w:rPr>
            </w:pPr>
            <w:r>
              <w:rPr>
                <w:rFonts w:hint="eastAsia" w:ascii="宋体" w:hAnsi="宋体" w:cs="宋体"/>
                <w:szCs w:val="21"/>
                <w:highlight w:val="none"/>
              </w:rPr>
              <w:t>11、支持 Telemetry 技术，实时采集设备数据并上送至网络分析组件平台，通过智能故障识别算法对网络数据进行分析，精准展现网络实时状态，及时定界故障以及故障发生原因，精准保障用户体验;</w:t>
            </w:r>
          </w:p>
          <w:p>
            <w:pPr>
              <w:widowControl/>
              <w:ind w:firstLine="0" w:firstLineChars="0"/>
              <w:textAlignment w:val="center"/>
              <w:rPr>
                <w:rFonts w:hint="eastAsia" w:ascii="宋体" w:hAnsi="宋体" w:cs="宋体"/>
                <w:szCs w:val="21"/>
                <w:highlight w:val="none"/>
              </w:rPr>
            </w:pPr>
            <w:r>
              <w:rPr>
                <w:rFonts w:hint="eastAsia" w:ascii="宋体" w:hAnsi="宋体" w:cs="宋体"/>
                <w:szCs w:val="21"/>
                <w:highlight w:val="none"/>
              </w:rPr>
              <w:t>12、支持G.8032（ERPS）标准环网协议，故障倒换收敛时间≤50毫秒；</w:t>
            </w:r>
          </w:p>
          <w:p>
            <w:pPr>
              <w:widowControl/>
              <w:ind w:firstLine="0" w:firstLineChars="0"/>
              <w:textAlignment w:val="center"/>
              <w:rPr>
                <w:rFonts w:hint="eastAsia" w:ascii="宋体" w:hAnsi="宋体" w:eastAsia="宋体" w:cs="宋体"/>
                <w:i w:val="0"/>
                <w:iCs w:val="0"/>
                <w:color w:val="auto"/>
                <w:sz w:val="21"/>
                <w:szCs w:val="21"/>
                <w:highlight w:val="none"/>
                <w:u w:val="none"/>
              </w:rPr>
            </w:pPr>
            <w:r>
              <w:rPr>
                <w:rFonts w:hint="eastAsia" w:ascii="宋体" w:hAnsi="宋体" w:cs="宋体"/>
                <w:szCs w:val="21"/>
                <w:highlight w:val="none"/>
              </w:rPr>
              <w:t>13、提供三年维保服务；</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上网行为管理</w:t>
            </w:r>
          </w:p>
        </w:tc>
        <w:tc>
          <w:tcPr>
            <w:tcW w:w="5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rPr>
              <w:t>最大并发连接数≥70万，每秒新建连接数≥1.5万，应用性能≥1.5Gbps。</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设备实配：提供千兆Combo口≥4个，千兆电口≥10个，至少包含1对BYPASS模块，本地存储空间≥1000GB，特征库升级服务≥1年，交流供电。</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应用种类不少于7300个，移动应用不少于2000个；日志级别包括但不少于紧急、告警、严重、通知、信息、调试、不记录等，方便管理员快速区分用户上网行为属性和定位日志级别。</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路由支持：支持RIP、OSPF、ISP等路由和策略路由，其中ISP路由支持自定义，并可提供基于应用的策略路由。</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4G支持：支持4G扩展网卡，支持在4G接口上运行IPSecVPN。</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rPr>
              <w:t>支持在设备旁路部署时针对违规上网行为进行阻断过滤</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支持单用户全天行为分析报表，一个界面同时展示用户名、用户组、在线时长、虚拟身份（如QQ号码、微博账号等）、日志关联情况、全天流量使用分布、网站访问类别分布、全天关键网络行为轴等信息。</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8.</w:t>
            </w:r>
            <w:r>
              <w:rPr>
                <w:rFonts w:hint="eastAsia" w:ascii="宋体" w:hAnsi="宋体" w:eastAsia="宋体" w:cs="宋体"/>
                <w:color w:val="auto"/>
                <w:sz w:val="21"/>
                <w:szCs w:val="21"/>
                <w:highlight w:val="none"/>
              </w:rPr>
              <w:t>本地认证、Portal认证、Radius认证、LDAP认证、POP3认证、AD域单点登录、短信认证、微信公众号认证、APP认证、IC卡认证、二维码认证、互联网钉钉认证、混合认证和免认证，其中微信公众号认证支持通过小程序获取手机号。</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9.</w:t>
            </w:r>
            <w:r>
              <w:rPr>
                <w:rFonts w:hint="eastAsia" w:ascii="宋体" w:hAnsi="宋体" w:eastAsia="宋体" w:cs="宋体"/>
                <w:color w:val="auto"/>
                <w:sz w:val="21"/>
                <w:szCs w:val="21"/>
                <w:highlight w:val="none"/>
              </w:rPr>
              <w:t>支持在设备旁路部署时针对内网上网用户进行实名身份认证，旁路认证方式包括但不限于本地WEB认证、短信认证、单点登录等。</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0.</w:t>
            </w:r>
            <w:r>
              <w:rPr>
                <w:rFonts w:hint="eastAsia" w:ascii="宋体" w:hAnsi="宋体" w:eastAsia="宋体" w:cs="宋体"/>
                <w:color w:val="auto"/>
                <w:sz w:val="21"/>
                <w:szCs w:val="21"/>
                <w:highlight w:val="none"/>
              </w:rPr>
              <w:t>支持针对不同的认证方式配置独立的强制重新认证间隔和认证无感知间隔；支持伪Portal抑制技术，支持通过http302重定向或html-refresh方式抑制非正常的http或https的页面请求，从而保障系统稳定高效运行；支持基于https协议推送认证页面。</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rPr>
              <w:t>支持本地安全防护，包括但不限于入侵防御、病毒查杀、DDOS、异常包防护等，入侵防御规则不少于8000条，病毒防护规则不少于200万。</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支持对接30+公安日志平台种类，合规无需额外的日志服务器，设备支持直接对接；支持网监平台特征库化，可通过特征库升级方式新增网监平台</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防火墙</w:t>
            </w:r>
          </w:p>
        </w:tc>
        <w:tc>
          <w:tcPr>
            <w:tcW w:w="5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firstLineChars="0"/>
              <w:textAlignment w:val="center"/>
              <w:rPr>
                <w:rFonts w:hint="eastAsia" w:ascii="宋体" w:hAnsi="宋体" w:cs="宋体"/>
                <w:szCs w:val="21"/>
                <w:highlight w:val="none"/>
              </w:rPr>
            </w:pPr>
            <w:r>
              <w:rPr>
                <w:rFonts w:hint="eastAsia" w:ascii="宋体" w:hAnsi="宋体" w:cs="宋体"/>
                <w:szCs w:val="21"/>
                <w:highlight w:val="none"/>
              </w:rPr>
              <w:t>1、防火墙需采用国产芯片及操作系统，吞吐量≥2.5Gbps，应用层吞吐量≥2.4Gbps，最大并发连接数≥300万，每秒新建连接数≥8万，开启全功能威胁防护吞吐量≥1.6Gbps，IPSec吞吐量≥3Gbps，IPSec最大隧道数≥4000，SSL VPN并发用户数≥800，含SSL VPN≥ 80用户授权，虚拟防火墙数≥100个，交流主机1U设备，配置≥8个Combo口，≥2个SFP+万兆光口，≥2个GE电口，1个Console口，1个MGMT口，2个USB接口；含1年的硬件质保服务，1年威胁防护服务（含反病毒、入侵防御、URL远程查询等）。</w:t>
            </w:r>
          </w:p>
          <w:p>
            <w:pPr>
              <w:widowControl/>
              <w:numPr>
                <w:ilvl w:val="0"/>
                <w:numId w:val="0"/>
              </w:numPr>
              <w:ind w:firstLine="0" w:firstLineChars="0"/>
              <w:textAlignment w:val="center"/>
              <w:rPr>
                <w:rFonts w:hint="eastAsia" w:ascii="宋体" w:hAnsi="宋体" w:cs="宋体"/>
                <w:szCs w:val="21"/>
                <w:highlight w:val="none"/>
              </w:rPr>
            </w:pPr>
            <w:r>
              <w:rPr>
                <w:rFonts w:hint="eastAsia" w:ascii="宋体" w:hAnsi="宋体" w:eastAsia="宋体" w:cs="宋体"/>
                <w:kern w:val="2"/>
                <w:sz w:val="21"/>
                <w:szCs w:val="21"/>
                <w:highlight w:val="none"/>
                <w:lang w:val="en-US" w:eastAsia="zh-CN" w:bidi="ar-SA"/>
              </w:rPr>
              <w:t>2、</w:t>
            </w:r>
            <w:r>
              <w:rPr>
                <w:rFonts w:hint="eastAsia" w:ascii="宋体" w:hAnsi="宋体" w:cs="宋体"/>
                <w:szCs w:val="21"/>
                <w:highlight w:val="none"/>
              </w:rPr>
              <w:t>IPV6能力，支持IPv6协议栈、IPV6穿越技术、IPV6路由协议。</w:t>
            </w:r>
          </w:p>
          <w:p>
            <w:pPr>
              <w:widowControl/>
              <w:numPr>
                <w:ilvl w:val="0"/>
                <w:numId w:val="0"/>
              </w:numPr>
              <w:ind w:firstLine="0" w:firstLineChars="0"/>
              <w:textAlignment w:val="center"/>
              <w:rPr>
                <w:rFonts w:hint="eastAsia"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、策略管理，支持将基于端口的安全策略转换为基于应用的安全策略，分析设备策略风险，及冗余策略，提供安全策略优化建议</w:t>
            </w:r>
          </w:p>
          <w:p>
            <w:pPr>
              <w:widowControl/>
              <w:ind w:firstLine="0" w:firstLineChars="0"/>
              <w:textAlignment w:val="center"/>
              <w:rPr>
                <w:rFonts w:hint="eastAsia" w:ascii="宋体" w:hAns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、NAT转换，支持NAT地址复用技术，可实现单个公网IP地址的无限制端口转换，可有效解决地址短缺问题</w:t>
            </w:r>
          </w:p>
          <w:p>
            <w:pPr>
              <w:widowControl/>
              <w:ind w:firstLine="0" w:firstLineChars="0"/>
              <w:textAlignment w:val="center"/>
              <w:rPr>
                <w:rFonts w:hint="eastAsia" w:ascii="宋体" w:hAnsi="宋体" w:cs="宋体"/>
                <w:szCs w:val="21"/>
                <w:highlight w:val="none"/>
                <w:lang w:eastAsia="zh-CN"/>
              </w:rPr>
            </w:pPr>
            <w:r>
              <w:rPr>
                <w:rFonts w:hint="eastAsia" w:ascii="宋体" w:hAnsi="宋体" w:cs="宋体"/>
                <w:szCs w:val="21"/>
                <w:highlight w:val="none"/>
                <w:lang w:val="en-US" w:eastAsia="zh-CN"/>
              </w:rPr>
              <w:t>5</w:t>
            </w:r>
            <w:r>
              <w:rPr>
                <w:rFonts w:hint="eastAsia" w:ascii="宋体" w:hAnsi="宋体" w:cs="宋体"/>
                <w:szCs w:val="21"/>
                <w:highlight w:val="none"/>
              </w:rPr>
              <w:t>、防火墙应具备威胁防护AI引擎，AI引擎用于DGA域名请求检测，RDP协议暴力破解检测，SSH协议暴力破解检测，恶意C&amp;C流量检测，ECA恶意加密流量识别，SQL注入流量检测</w:t>
            </w:r>
            <w:r>
              <w:rPr>
                <w:rFonts w:hint="eastAsia" w:ascii="宋体" w:hAnsi="宋体" w:cs="宋体"/>
                <w:szCs w:val="21"/>
                <w:highlight w:val="none"/>
                <w:lang w:eastAsia="zh-CN"/>
              </w:rPr>
              <w:t>。</w:t>
            </w:r>
          </w:p>
          <w:p>
            <w:pPr>
              <w:widowControl/>
              <w:numPr>
                <w:ilvl w:val="0"/>
                <w:numId w:val="0"/>
              </w:numPr>
              <w:ind w:firstLine="0" w:firstLineChars="0"/>
              <w:textAlignment w:val="center"/>
              <w:rPr>
                <w:rFonts w:hint="eastAsia" w:ascii="宋体" w:hAnsi="宋体" w:cs="宋体"/>
                <w:szCs w:val="21"/>
                <w:highlight w:val="none"/>
              </w:rPr>
            </w:pPr>
            <w:r>
              <w:rPr>
                <w:rFonts w:hint="eastAsia" w:ascii="宋体" w:hAnsi="宋体" w:cs="宋体"/>
                <w:szCs w:val="21"/>
                <w:highlight w:val="none"/>
                <w:lang w:val="en-US" w:eastAsia="zh-CN"/>
              </w:rPr>
              <w:t>6、</w:t>
            </w:r>
            <w:r>
              <w:rPr>
                <w:rFonts w:hint="eastAsia" w:ascii="宋体" w:hAnsi="宋体" w:cs="宋体"/>
                <w:szCs w:val="21"/>
                <w:highlight w:val="none"/>
              </w:rPr>
              <w:t>应支持安全综合评估，能对防火墙健康度检查，应能给出对应分值，能够直观展现严重问题、一般问题、提示问题的问题条数；检查项至少应包括硬件健康度、网络及业务健康度、资源使用、系统健康度等等；应能够根据健康度检查结果给出处理建议。</w:t>
            </w:r>
          </w:p>
          <w:p>
            <w:pPr>
              <w:widowControl/>
              <w:numPr>
                <w:ilvl w:val="0"/>
                <w:numId w:val="0"/>
              </w:numPr>
              <w:ind w:firstLine="0" w:firstLineChars="0"/>
              <w:textAlignment w:val="center"/>
              <w:rPr>
                <w:rFonts w:hint="eastAsia" w:ascii="宋体" w:hAnsi="宋体" w:cs="宋体"/>
                <w:szCs w:val="21"/>
                <w:highlight w:val="none"/>
              </w:rPr>
            </w:pPr>
            <w:r>
              <w:rPr>
                <w:rFonts w:hint="eastAsia" w:ascii="宋体" w:hAnsi="宋体" w:cs="宋体"/>
                <w:szCs w:val="21"/>
                <w:highlight w:val="none"/>
                <w:lang w:val="en-US" w:eastAsia="zh-CN"/>
              </w:rPr>
              <w:t>7</w:t>
            </w:r>
            <w:r>
              <w:rPr>
                <w:rFonts w:hint="eastAsia" w:ascii="宋体" w:hAnsi="宋体" w:cs="宋体"/>
                <w:szCs w:val="21"/>
                <w:highlight w:val="none"/>
              </w:rPr>
              <w:t>、应支持数据防泄露，对传输的文件和内容进行识别过滤，对内容与身份证、信用卡、银行卡、社会安全卡号等类型进行匹配，支持DNS过滤，应支持对DNS高、中、低、自定义过滤级别选择，从而提高网站过滤的性能。</w:t>
            </w:r>
          </w:p>
          <w:p>
            <w:pPr>
              <w:widowControl/>
              <w:ind w:firstLine="0" w:firstLineChars="0"/>
              <w:textAlignment w:val="center"/>
              <w:rPr>
                <w:rFonts w:hint="eastAsia" w:ascii="宋体" w:hAnsi="宋体" w:cs="宋体"/>
                <w:szCs w:val="21"/>
                <w:highlight w:val="none"/>
                <w:lang w:eastAsia="zh-CN"/>
              </w:rPr>
            </w:pPr>
            <w:r>
              <w:rPr>
                <w:rFonts w:hint="eastAsia" w:ascii="宋体" w:hAnsi="宋体" w:cs="宋体"/>
                <w:szCs w:val="21"/>
                <w:highlight w:val="none"/>
                <w:lang w:val="en-US" w:eastAsia="zh-CN"/>
              </w:rPr>
              <w:t>8</w:t>
            </w:r>
            <w:r>
              <w:rPr>
                <w:rFonts w:hint="eastAsia" w:ascii="宋体" w:hAnsi="宋体" w:cs="宋体"/>
                <w:szCs w:val="21"/>
                <w:highlight w:val="none"/>
              </w:rPr>
              <w:t>、应支持多出口智能选路，可根据目的地址智能优选运营商链路，支持主备接口配置以及按比例分配的负载分担方式</w:t>
            </w:r>
            <w:r>
              <w:rPr>
                <w:rFonts w:hint="eastAsia" w:ascii="宋体" w:hAnsi="宋体" w:cs="宋体"/>
                <w:szCs w:val="21"/>
                <w:highlight w:val="none"/>
                <w:lang w:eastAsia="zh-CN"/>
              </w:rPr>
              <w:t>。</w:t>
            </w:r>
          </w:p>
          <w:p>
            <w:pPr>
              <w:widowControl/>
              <w:ind w:firstLine="0" w:firstLineChars="0"/>
              <w:textAlignment w:val="center"/>
              <w:rPr>
                <w:rFonts w:hint="eastAsia" w:ascii="宋体" w:hAnsi="宋体" w:cs="宋体"/>
                <w:szCs w:val="21"/>
                <w:highlight w:val="none"/>
              </w:rPr>
            </w:pPr>
            <w:r>
              <w:rPr>
                <w:rFonts w:hint="eastAsia" w:ascii="宋体" w:hAnsi="宋体" w:cs="宋体"/>
                <w:szCs w:val="21"/>
                <w:highlight w:val="none"/>
                <w:lang w:val="en-US" w:eastAsia="zh-CN"/>
              </w:rPr>
              <w:t>9</w:t>
            </w:r>
            <w:r>
              <w:rPr>
                <w:rFonts w:hint="eastAsia" w:ascii="宋体" w:hAnsi="宋体" w:cs="宋体"/>
                <w:szCs w:val="21"/>
                <w:highlight w:val="none"/>
              </w:rPr>
              <w:t>、应支持可视化管理，对设备进行组网图配置，组网图能够直观的呈现内网区域、服务器区域、外网区域的可视化管理，链路能展现运行状况，应包含IP地址、接口状态、输入流量、输入错包数、输出流量、输出错包数、速率等。</w:t>
            </w:r>
          </w:p>
          <w:p>
            <w:pPr>
              <w:widowControl/>
              <w:ind w:firstLine="0" w:firstLineChars="0"/>
              <w:textAlignment w:val="center"/>
              <w:rPr>
                <w:rFonts w:hint="eastAsia" w:ascii="宋体" w:hAnsi="宋体" w:cs="宋体"/>
                <w:szCs w:val="21"/>
                <w:highlight w:val="none"/>
              </w:rPr>
            </w:pPr>
            <w:r>
              <w:rPr>
                <w:rFonts w:hint="eastAsia" w:ascii="宋体" w:hAnsi="宋体" w:cs="宋体"/>
                <w:szCs w:val="21"/>
                <w:highlight w:val="none"/>
                <w:lang w:val="en-US" w:eastAsia="zh-CN"/>
              </w:rPr>
              <w:t>10</w:t>
            </w:r>
            <w:r>
              <w:rPr>
                <w:rFonts w:hint="eastAsia" w:ascii="宋体" w:hAnsi="宋体" w:cs="宋体"/>
                <w:szCs w:val="21"/>
                <w:highlight w:val="none"/>
              </w:rPr>
              <w:t>、应支持虚拟防火墙，能够对虚拟资源灵活配置，配置项包括会话数、策略数、IPSec隧道数，整体带宽、新建回话速率等进行按需分配，同时应支持剩余资源查询，确保灵活分配；支持虚拟服务安全管控，虚拟服务策略应包括IP地址/地区、协议、时间段、WAN ID、反病毒/入侵防御/URL过滤/内容过滤/WEB应用防护等。</w:t>
            </w:r>
          </w:p>
          <w:p>
            <w:pPr>
              <w:pStyle w:val="2"/>
              <w:ind w:firstLine="0" w:firstLineChars="0"/>
              <w:rPr>
                <w:rFonts w:hint="default" w:eastAsia="宋体"/>
                <w:highlight w:val="none"/>
                <w:lang w:val="en-US" w:eastAsia="zh-CN"/>
              </w:rPr>
            </w:pPr>
            <w:r>
              <w:rPr>
                <w:rFonts w:hint="eastAsia"/>
                <w:sz w:val="21"/>
                <w:highlight w:val="none"/>
              </w:rPr>
              <w:t>1</w:t>
            </w:r>
            <w:r>
              <w:rPr>
                <w:rFonts w:hint="eastAsia"/>
                <w:sz w:val="21"/>
                <w:highlight w:val="none"/>
                <w:lang w:val="en-US" w:eastAsia="zh-CN"/>
              </w:rPr>
              <w:t>1</w:t>
            </w:r>
            <w:r>
              <w:rPr>
                <w:rFonts w:hint="eastAsia"/>
                <w:sz w:val="21"/>
                <w:highlight w:val="none"/>
              </w:rPr>
              <w:t>、★投标文件中须提供该产品经具备资格的机构安全认证合格或者安全检测符合要求的证明材料。</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48口交换机</w:t>
            </w:r>
          </w:p>
        </w:tc>
        <w:tc>
          <w:tcPr>
            <w:tcW w:w="5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万兆三层全管理交换机,包转发率148Mpps/222Mpps,交换容量758Gbps/7.58Tbps,48个千兆电口,4个万兆光口,VLAN:4K,MAC:16K,19英寸1U标准机架,金属外壳,风冷散热，挂耳默认自带， | 监控带机量400</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24口交换机</w:t>
            </w:r>
          </w:p>
        </w:tc>
        <w:tc>
          <w:tcPr>
            <w:tcW w:w="5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万兆三层全管理交换机,包转发率148Mpps/222Mpps,交换容量598Gbps/5.98Tbps,24个千兆电口,4个万兆光口,VLAN:4K,MAC:16K,19英寸1U标准机架,金属外壳,风冷散热，挂耳默认自带，| 监控带机量300</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万兆光模块</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1. 接口封装：SFP+；</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2. 速率：10GE；</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3. 中心波长（nm）：1310；</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4. 标准：10GBASE-LR；</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5. 接头类型：LC；</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6. 支持的线缆与对应最大传输距离：单模光纤，10km；</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highlight w:val="none"/>
              </w:rPr>
              <w:t>7. 工作温度：0°C～50°C。</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16"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3.设备网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核心交换机</w:t>
            </w:r>
          </w:p>
        </w:tc>
        <w:tc>
          <w:tcPr>
            <w:tcW w:w="5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firstLineChars="0"/>
              <w:textAlignment w:val="center"/>
              <w:rPr>
                <w:rFonts w:hint="eastAsia" w:ascii="宋体" w:hAnsi="宋体" w:cs="宋体"/>
                <w:szCs w:val="21"/>
                <w:highlight w:val="none"/>
              </w:rPr>
            </w:pPr>
            <w:r>
              <w:rPr>
                <w:rFonts w:hint="eastAsia" w:ascii="宋体" w:hAnsi="宋体" w:cs="宋体"/>
                <w:szCs w:val="21"/>
                <w:highlight w:val="none"/>
              </w:rPr>
              <w:t>1、交换容量≥2.4Tbps，包转发率≥1600Mpps；</w:t>
            </w:r>
          </w:p>
          <w:p>
            <w:pPr>
              <w:widowControl/>
              <w:ind w:firstLine="0" w:firstLineChars="0"/>
              <w:textAlignment w:val="center"/>
              <w:rPr>
                <w:rFonts w:hint="eastAsia" w:ascii="宋体" w:hAnsi="宋体" w:cs="宋体"/>
                <w:szCs w:val="21"/>
                <w:highlight w:val="none"/>
              </w:rPr>
            </w:pPr>
            <w:r>
              <w:rPr>
                <w:rFonts w:hint="eastAsia" w:ascii="宋体" w:hAnsi="宋体" w:cs="宋体"/>
                <w:szCs w:val="21"/>
                <w:highlight w:val="none"/>
              </w:rPr>
              <w:t>2、支持万兆光口≥24个，40/100GE QSFP28光口≥6个，支持业务拓展槽位≥1个；</w:t>
            </w:r>
          </w:p>
          <w:p>
            <w:pPr>
              <w:widowControl/>
              <w:ind w:firstLine="0" w:firstLineChars="0"/>
              <w:textAlignment w:val="center"/>
              <w:rPr>
                <w:rFonts w:hint="eastAsia" w:ascii="宋体" w:hAnsi="宋体" w:cs="宋体"/>
                <w:szCs w:val="21"/>
                <w:highlight w:val="none"/>
              </w:rPr>
            </w:pPr>
            <w:r>
              <w:rPr>
                <w:rFonts w:hint="eastAsia" w:ascii="宋体" w:hAnsi="宋体" w:cs="宋体"/>
                <w:szCs w:val="21"/>
                <w:highlight w:val="none"/>
              </w:rPr>
              <w:t>3、为了提高设备可靠性，配置可插拔的双电源，支持3个可插拔风扇模块；</w:t>
            </w:r>
          </w:p>
          <w:p>
            <w:pPr>
              <w:widowControl/>
              <w:ind w:firstLine="0" w:firstLineChars="0"/>
              <w:textAlignment w:val="center"/>
              <w:rPr>
                <w:rFonts w:hint="eastAsia" w:ascii="宋体" w:hAnsi="宋体" w:cs="宋体"/>
                <w:szCs w:val="21"/>
                <w:highlight w:val="none"/>
                <w:lang w:eastAsia="zh-CN"/>
              </w:rPr>
            </w:pPr>
            <w:r>
              <w:rPr>
                <w:rFonts w:hint="eastAsia" w:ascii="宋体" w:hAnsi="宋体" w:cs="宋体"/>
                <w:szCs w:val="21"/>
                <w:highlight w:val="none"/>
              </w:rPr>
              <w:t>4、采用国产芯片，实现国产设备关键芯片自主可控</w:t>
            </w:r>
            <w:r>
              <w:rPr>
                <w:rFonts w:hint="eastAsia" w:ascii="宋体" w:hAnsi="宋体" w:cs="宋体"/>
                <w:szCs w:val="21"/>
                <w:highlight w:val="none"/>
                <w:lang w:eastAsia="zh-CN"/>
              </w:rPr>
              <w:t>。</w:t>
            </w:r>
          </w:p>
          <w:p>
            <w:pPr>
              <w:widowControl/>
              <w:ind w:firstLine="0" w:firstLineChars="0"/>
              <w:textAlignment w:val="center"/>
              <w:rPr>
                <w:rFonts w:hint="eastAsia" w:ascii="宋体" w:hAnsi="宋体" w:cs="宋体"/>
                <w:szCs w:val="21"/>
                <w:highlight w:val="none"/>
              </w:rPr>
            </w:pPr>
            <w:r>
              <w:rPr>
                <w:rFonts w:hint="eastAsia" w:ascii="宋体" w:hAnsi="宋体" w:cs="宋体"/>
                <w:szCs w:val="21"/>
                <w:highlight w:val="none"/>
              </w:rPr>
              <w:t>5、支持MAC表项≥380K，支持IPv4路由表项≥250K，支持IPv6路由表项≥80K；</w:t>
            </w:r>
          </w:p>
          <w:p>
            <w:pPr>
              <w:widowControl/>
              <w:ind w:firstLine="0" w:firstLineChars="0"/>
              <w:textAlignment w:val="center"/>
              <w:rPr>
                <w:rFonts w:hint="eastAsia" w:ascii="宋体" w:hAnsi="宋体" w:cs="宋体"/>
                <w:szCs w:val="21"/>
                <w:highlight w:val="none"/>
              </w:rPr>
            </w:pPr>
            <w:r>
              <w:rPr>
                <w:rFonts w:hint="eastAsia" w:ascii="宋体" w:hAnsi="宋体" w:cs="宋体"/>
                <w:szCs w:val="21"/>
                <w:highlight w:val="none"/>
              </w:rPr>
              <w:t>6、支持统一用户管理功能，支持802.1X/MAC等多种认证方式，支持10000认证用户同时在线；</w:t>
            </w:r>
          </w:p>
          <w:p>
            <w:pPr>
              <w:widowControl/>
              <w:ind w:firstLine="0" w:firstLineChars="0"/>
              <w:textAlignment w:val="center"/>
              <w:rPr>
                <w:rFonts w:hint="eastAsia" w:ascii="宋体" w:hAnsi="宋体" w:eastAsia="宋体" w:cs="宋体"/>
                <w:szCs w:val="21"/>
                <w:highlight w:val="none"/>
                <w:lang w:eastAsia="zh-CN"/>
              </w:rPr>
            </w:pPr>
            <w:r>
              <w:rPr>
                <w:rFonts w:hint="eastAsia" w:ascii="宋体" w:hAnsi="宋体" w:cs="宋体"/>
                <w:szCs w:val="21"/>
                <w:highlight w:val="none"/>
              </w:rPr>
              <w:t>7、支持交换机基于UCL用户组方式，用户组内的用户，不论是有线还是无线用户，也不论用户在何处登录，获得任何IP地址，用户都拥有相同的访问权限</w:t>
            </w:r>
            <w:r>
              <w:rPr>
                <w:rFonts w:hint="eastAsia" w:ascii="宋体" w:hAnsi="宋体" w:cs="宋体"/>
                <w:szCs w:val="21"/>
                <w:highlight w:val="none"/>
                <w:lang w:eastAsia="zh-CN"/>
              </w:rPr>
              <w:t>。</w:t>
            </w:r>
          </w:p>
          <w:p>
            <w:pPr>
              <w:widowControl/>
              <w:ind w:firstLine="0" w:firstLineChars="0"/>
              <w:textAlignment w:val="center"/>
              <w:rPr>
                <w:rFonts w:hint="eastAsia" w:ascii="宋体" w:hAnsi="宋体" w:cs="宋体"/>
                <w:szCs w:val="21"/>
                <w:highlight w:val="none"/>
              </w:rPr>
            </w:pPr>
            <w:r>
              <w:rPr>
                <w:rFonts w:hint="eastAsia" w:ascii="宋体" w:hAnsi="宋体" w:cs="宋体"/>
                <w:szCs w:val="21"/>
                <w:highlight w:val="none"/>
              </w:rPr>
              <w:t>8、支持VxLAN功能，支持BGP EVPN，支持分布式 Anycast 网关；支持控制器基于WEB界面进行VxLAN Fabric配置并下发给交换机</w:t>
            </w:r>
            <w:r>
              <w:rPr>
                <w:rFonts w:hint="eastAsia" w:ascii="宋体" w:hAnsi="宋体" w:cs="宋体"/>
                <w:szCs w:val="21"/>
                <w:highlight w:val="none"/>
                <w:lang w:eastAsia="zh-CN"/>
              </w:rPr>
              <w:t>。</w:t>
            </w:r>
            <w:r>
              <w:rPr>
                <w:rFonts w:hint="eastAsia" w:ascii="宋体" w:hAnsi="宋体" w:cs="宋体"/>
                <w:szCs w:val="21"/>
                <w:highlight w:val="none"/>
              </w:rPr>
              <w:t>9、支持真实业务流实时检测技术，能实时检测网络故障；</w:t>
            </w:r>
          </w:p>
          <w:p>
            <w:pPr>
              <w:widowControl/>
              <w:ind w:firstLine="0" w:firstLineChars="0"/>
              <w:textAlignment w:val="center"/>
              <w:rPr>
                <w:rFonts w:hint="eastAsia" w:ascii="宋体" w:hAnsi="宋体" w:cs="宋体"/>
                <w:szCs w:val="21"/>
                <w:highlight w:val="none"/>
              </w:rPr>
            </w:pPr>
            <w:r>
              <w:rPr>
                <w:rFonts w:hint="eastAsia" w:ascii="宋体" w:hAnsi="宋体" w:cs="宋体"/>
                <w:szCs w:val="21"/>
                <w:highlight w:val="none"/>
              </w:rPr>
              <w:t>10、为了方便管理设备，设备支持横向虚拟化，将多台设备虚拟为一台；</w:t>
            </w:r>
          </w:p>
          <w:p>
            <w:pPr>
              <w:widowControl/>
              <w:ind w:firstLine="0" w:firstLineChars="0"/>
              <w:textAlignment w:val="center"/>
              <w:rPr>
                <w:rFonts w:hint="eastAsia" w:ascii="宋体" w:hAnsi="宋体" w:cs="宋体"/>
                <w:szCs w:val="21"/>
                <w:highlight w:val="none"/>
              </w:rPr>
            </w:pPr>
            <w:r>
              <w:rPr>
                <w:rFonts w:hint="eastAsia" w:ascii="宋体" w:hAnsi="宋体" w:cs="宋体"/>
                <w:szCs w:val="21"/>
                <w:highlight w:val="none"/>
              </w:rPr>
              <w:t>11、支持 Telemetry 技术，实时采集设备数据并上送至网络分析组件平台，通过智能故障识别算法对网络数据进行分析，精准展现网络实时状态，及时定界故障以及故障发生原因，精准保障用户体验;</w:t>
            </w:r>
          </w:p>
          <w:p>
            <w:pPr>
              <w:widowControl/>
              <w:ind w:firstLine="0" w:firstLineChars="0"/>
              <w:textAlignment w:val="center"/>
              <w:rPr>
                <w:rFonts w:hint="eastAsia" w:ascii="宋体" w:hAnsi="宋体" w:cs="宋体"/>
                <w:szCs w:val="21"/>
                <w:highlight w:val="none"/>
              </w:rPr>
            </w:pPr>
            <w:r>
              <w:rPr>
                <w:rFonts w:hint="eastAsia" w:ascii="宋体" w:hAnsi="宋体" w:cs="宋体"/>
                <w:szCs w:val="21"/>
                <w:highlight w:val="none"/>
              </w:rPr>
              <w:t>12、支持G.8032（ERPS）标准环网协议，故障倒换收敛时间≤50毫秒；</w:t>
            </w:r>
          </w:p>
          <w:p>
            <w:pPr>
              <w:widowControl/>
              <w:ind w:firstLine="0" w:firstLineChars="0"/>
              <w:textAlignment w:val="center"/>
              <w:rPr>
                <w:rFonts w:hint="eastAsia" w:ascii="宋体" w:hAnsi="宋体" w:eastAsia="宋体" w:cs="宋体"/>
                <w:i w:val="0"/>
                <w:iCs w:val="0"/>
                <w:color w:val="auto"/>
                <w:sz w:val="21"/>
                <w:szCs w:val="21"/>
                <w:highlight w:val="none"/>
                <w:u w:val="none"/>
              </w:rPr>
            </w:pPr>
            <w:r>
              <w:rPr>
                <w:rFonts w:hint="eastAsia" w:ascii="宋体" w:hAnsi="宋体" w:cs="宋体"/>
                <w:szCs w:val="21"/>
                <w:highlight w:val="none"/>
              </w:rPr>
              <w:t>13、提供三年维保服务；</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汇集交换机</w:t>
            </w:r>
          </w:p>
        </w:tc>
        <w:tc>
          <w:tcPr>
            <w:tcW w:w="5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千兆三层全管理增强型交换机,包转发率 171Mpps/256Mpps,交换容量672Gbps/6.72Tbps,24个千兆光口,其中8个GE combo口，4个万兆光口,2个专用堆叠口，VLAN:4K,MAC:32K,19英寸1U标准机架,金属外壳,挂耳默认自带,支持 1+1 电源备份（默认含一个交流电源），80W交流电源模块*1。</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防火墙</w:t>
            </w:r>
            <w:r>
              <w:rPr>
                <w:rFonts w:hint="eastAsia" w:ascii="宋体" w:hAnsi="宋体" w:cs="宋体"/>
                <w:i w:val="0"/>
                <w:iCs w:val="0"/>
                <w:color w:val="auto"/>
                <w:kern w:val="0"/>
                <w:sz w:val="21"/>
                <w:szCs w:val="21"/>
                <w:highlight w:val="none"/>
                <w:u w:val="none"/>
                <w:lang w:val="en-US" w:eastAsia="zh-CN" w:bidi="ar"/>
              </w:rPr>
              <w:t>（设备网模块）</w:t>
            </w:r>
          </w:p>
        </w:tc>
        <w:tc>
          <w:tcPr>
            <w:tcW w:w="5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firstLineChars="0"/>
              <w:textAlignment w:val="center"/>
              <w:rPr>
                <w:rFonts w:hint="eastAsia" w:ascii="宋体" w:hAnsi="宋体" w:cs="宋体"/>
                <w:szCs w:val="21"/>
                <w:highlight w:val="none"/>
              </w:rPr>
            </w:pPr>
            <w:r>
              <w:rPr>
                <w:rFonts w:hint="eastAsia" w:ascii="宋体" w:hAnsi="宋体" w:cs="宋体"/>
                <w:szCs w:val="21"/>
                <w:highlight w:val="none"/>
              </w:rPr>
              <w:t>1、防火墙需采用国产芯片及操作系统，吞吐量≥2.5Gbps，应用层吞吐量≥2.4Gbps，最大并发连接数≥300万，每秒新建连接数≥8万，开启全功能威胁防护吞吐量≥1.6Gbps，IPSec吞吐量≥3Gbps，IPSec最大隧道数≥4000，SSL VPN并发用户数≥800，含SSL VPN≥ 80用户授权，虚拟防火墙数≥100个，交流主机1U设备，配置≥8个Combo口，≥2个SFP+万兆光口，≥2个GE电口，1个Console口，1个MGMT口，2个USB接口；含1年的硬件质保服务，1年威胁防护服务（含反病毒、入侵防御、URL远程查询等）。</w:t>
            </w:r>
          </w:p>
          <w:p>
            <w:pPr>
              <w:widowControl/>
              <w:numPr>
                <w:ilvl w:val="0"/>
                <w:numId w:val="0"/>
              </w:numPr>
              <w:ind w:firstLine="0" w:firstLineChars="0"/>
              <w:textAlignment w:val="center"/>
              <w:rPr>
                <w:rFonts w:hint="eastAsia" w:ascii="宋体" w:hAnsi="宋体" w:cs="宋体"/>
                <w:szCs w:val="21"/>
                <w:highlight w:val="none"/>
              </w:rPr>
            </w:pPr>
            <w:r>
              <w:rPr>
                <w:rFonts w:hint="eastAsia" w:ascii="宋体" w:hAnsi="宋体" w:eastAsia="宋体" w:cs="宋体"/>
                <w:kern w:val="2"/>
                <w:sz w:val="21"/>
                <w:szCs w:val="21"/>
                <w:highlight w:val="none"/>
                <w:lang w:val="en-US" w:eastAsia="zh-CN" w:bidi="ar-SA"/>
              </w:rPr>
              <w:t>2、</w:t>
            </w:r>
            <w:r>
              <w:rPr>
                <w:rFonts w:hint="eastAsia" w:ascii="宋体" w:hAnsi="宋体" w:cs="宋体"/>
                <w:szCs w:val="21"/>
                <w:highlight w:val="none"/>
              </w:rPr>
              <w:t>IPV6能力，支持IPv6协议栈、IPV6穿越技术、IPV6路由协议。</w:t>
            </w:r>
          </w:p>
          <w:p>
            <w:pPr>
              <w:widowControl/>
              <w:numPr>
                <w:ilvl w:val="0"/>
                <w:numId w:val="0"/>
              </w:numPr>
              <w:ind w:firstLine="0" w:firstLineChars="0"/>
              <w:textAlignment w:val="center"/>
              <w:rPr>
                <w:rFonts w:hint="eastAsia"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、策略管理，支持将基于端口的安全策略转换为基于应用的安全策略，分析设备策略风险，及冗余策略，提供安全策略优化建议</w:t>
            </w:r>
          </w:p>
          <w:p>
            <w:pPr>
              <w:widowControl/>
              <w:ind w:firstLine="0" w:firstLineChars="0"/>
              <w:textAlignment w:val="center"/>
              <w:rPr>
                <w:rFonts w:hint="eastAsia" w:ascii="宋体" w:hAns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、NAT转换，支持NAT地址复用技术，可实现单个公网IP地址的无限制端口转换，可有效解决地址短缺问题</w:t>
            </w:r>
          </w:p>
          <w:p>
            <w:pPr>
              <w:widowControl/>
              <w:ind w:firstLine="0" w:firstLineChars="0"/>
              <w:textAlignment w:val="center"/>
              <w:rPr>
                <w:rFonts w:hint="eastAsia" w:ascii="宋体" w:hAnsi="宋体" w:cs="宋体"/>
                <w:szCs w:val="21"/>
                <w:highlight w:val="none"/>
                <w:lang w:eastAsia="zh-CN"/>
              </w:rPr>
            </w:pPr>
            <w:r>
              <w:rPr>
                <w:rFonts w:hint="eastAsia" w:ascii="宋体" w:hAnsi="宋体" w:cs="宋体"/>
                <w:szCs w:val="21"/>
                <w:highlight w:val="none"/>
                <w:lang w:val="en-US" w:eastAsia="zh-CN"/>
              </w:rPr>
              <w:t>5</w:t>
            </w:r>
            <w:r>
              <w:rPr>
                <w:rFonts w:hint="eastAsia" w:ascii="宋体" w:hAnsi="宋体" w:cs="宋体"/>
                <w:szCs w:val="21"/>
                <w:highlight w:val="none"/>
              </w:rPr>
              <w:t>、防火墙应具备威胁防护AI引擎，AI引擎用于DGA域名请求检测，RDP协议暴力破解检测，SSH协议暴力破解检测，恶意C&amp;C流量检测，ECA恶意加密流量识别，SQL注入流量检测</w:t>
            </w:r>
            <w:r>
              <w:rPr>
                <w:rFonts w:hint="eastAsia" w:ascii="宋体" w:hAnsi="宋体" w:cs="宋体"/>
                <w:szCs w:val="21"/>
                <w:highlight w:val="none"/>
                <w:lang w:eastAsia="zh-CN"/>
              </w:rPr>
              <w:t>。</w:t>
            </w:r>
          </w:p>
          <w:p>
            <w:pPr>
              <w:widowControl/>
              <w:numPr>
                <w:ilvl w:val="0"/>
                <w:numId w:val="0"/>
              </w:numPr>
              <w:ind w:firstLine="0" w:firstLineChars="0"/>
              <w:textAlignment w:val="center"/>
              <w:rPr>
                <w:rFonts w:hint="eastAsia" w:ascii="宋体" w:hAnsi="宋体" w:cs="宋体"/>
                <w:szCs w:val="21"/>
                <w:highlight w:val="none"/>
              </w:rPr>
            </w:pPr>
            <w:r>
              <w:rPr>
                <w:rFonts w:hint="eastAsia" w:ascii="宋体" w:hAnsi="宋体" w:cs="宋体"/>
                <w:szCs w:val="21"/>
                <w:highlight w:val="none"/>
                <w:lang w:val="en-US" w:eastAsia="zh-CN"/>
              </w:rPr>
              <w:t>6、</w:t>
            </w:r>
            <w:r>
              <w:rPr>
                <w:rFonts w:hint="eastAsia" w:ascii="宋体" w:hAnsi="宋体" w:cs="宋体"/>
                <w:szCs w:val="21"/>
                <w:highlight w:val="none"/>
              </w:rPr>
              <w:t>应支持安全综合评估，能对防火墙健康度检查，应能给出对应分值，能够直观展现严重问题、一般问题、提示问题的问题条数；检查项至少应包括硬件健康度、网络及业务健康度、资源使用、系统健康度等等；应能够根据健康度检查结果给出处理建议。</w:t>
            </w:r>
          </w:p>
          <w:p>
            <w:pPr>
              <w:widowControl/>
              <w:numPr>
                <w:ilvl w:val="0"/>
                <w:numId w:val="0"/>
              </w:numPr>
              <w:ind w:firstLine="0" w:firstLineChars="0"/>
              <w:textAlignment w:val="center"/>
              <w:rPr>
                <w:rFonts w:hint="eastAsia" w:ascii="宋体" w:hAnsi="宋体" w:cs="宋体"/>
                <w:szCs w:val="21"/>
                <w:highlight w:val="none"/>
              </w:rPr>
            </w:pPr>
            <w:r>
              <w:rPr>
                <w:rFonts w:hint="eastAsia" w:ascii="宋体" w:hAnsi="宋体" w:cs="宋体"/>
                <w:szCs w:val="21"/>
                <w:highlight w:val="none"/>
                <w:lang w:val="en-US" w:eastAsia="zh-CN"/>
              </w:rPr>
              <w:t>7</w:t>
            </w:r>
            <w:r>
              <w:rPr>
                <w:rFonts w:hint="eastAsia" w:ascii="宋体" w:hAnsi="宋体" w:cs="宋体"/>
                <w:szCs w:val="21"/>
                <w:highlight w:val="none"/>
              </w:rPr>
              <w:t>、应支持数据防泄露，对传输的文件和内容进行识别过滤，对内容与身份证、信用卡、银行卡、社会安全卡号等类型进行匹配，支持DNS过滤，应支持对DNS高、中、低、自定义过滤级别选择，从而提高网站过滤的性能。</w:t>
            </w:r>
          </w:p>
          <w:p>
            <w:pPr>
              <w:widowControl/>
              <w:ind w:firstLine="0" w:firstLineChars="0"/>
              <w:textAlignment w:val="center"/>
              <w:rPr>
                <w:rFonts w:hint="eastAsia" w:ascii="宋体" w:hAnsi="宋体" w:cs="宋体"/>
                <w:szCs w:val="21"/>
                <w:highlight w:val="none"/>
                <w:lang w:eastAsia="zh-CN"/>
              </w:rPr>
            </w:pPr>
            <w:r>
              <w:rPr>
                <w:rFonts w:hint="eastAsia" w:ascii="宋体" w:hAnsi="宋体" w:cs="宋体"/>
                <w:szCs w:val="21"/>
                <w:highlight w:val="none"/>
                <w:lang w:val="en-US" w:eastAsia="zh-CN"/>
              </w:rPr>
              <w:t>8</w:t>
            </w:r>
            <w:r>
              <w:rPr>
                <w:rFonts w:hint="eastAsia" w:ascii="宋体" w:hAnsi="宋体" w:cs="宋体"/>
                <w:szCs w:val="21"/>
                <w:highlight w:val="none"/>
              </w:rPr>
              <w:t>、应支持多出口智能选路，可根据目的地址智能优选运营商链路，支持主备接口配置以及按比例分配的负载分担方式</w:t>
            </w:r>
            <w:r>
              <w:rPr>
                <w:rFonts w:hint="eastAsia" w:ascii="宋体" w:hAnsi="宋体" w:cs="宋体"/>
                <w:szCs w:val="21"/>
                <w:highlight w:val="none"/>
                <w:lang w:eastAsia="zh-CN"/>
              </w:rPr>
              <w:t>。</w:t>
            </w:r>
          </w:p>
          <w:p>
            <w:pPr>
              <w:widowControl/>
              <w:ind w:firstLine="0" w:firstLineChars="0"/>
              <w:textAlignment w:val="center"/>
              <w:rPr>
                <w:rFonts w:hint="eastAsia" w:ascii="宋体" w:hAnsi="宋体" w:cs="宋体"/>
                <w:szCs w:val="21"/>
                <w:highlight w:val="none"/>
              </w:rPr>
            </w:pPr>
            <w:r>
              <w:rPr>
                <w:rFonts w:hint="eastAsia" w:ascii="宋体" w:hAnsi="宋体" w:cs="宋体"/>
                <w:szCs w:val="21"/>
                <w:highlight w:val="none"/>
                <w:lang w:val="en-US" w:eastAsia="zh-CN"/>
              </w:rPr>
              <w:t>9</w:t>
            </w:r>
            <w:r>
              <w:rPr>
                <w:rFonts w:hint="eastAsia" w:ascii="宋体" w:hAnsi="宋体" w:cs="宋体"/>
                <w:szCs w:val="21"/>
                <w:highlight w:val="none"/>
              </w:rPr>
              <w:t>、应支持可视化管理，对设备进行组网图配置，组网图能够直观的呈现内网区域、服务器区域、外网区域的可视化管理，链路能展现运行状况，应包含IP地址、接口状态、输入流量、输入错包数、输出流量、输出错包数、速率等。</w:t>
            </w:r>
          </w:p>
          <w:p>
            <w:pPr>
              <w:widowControl/>
              <w:ind w:firstLine="0" w:firstLineChars="0"/>
              <w:textAlignment w:val="center"/>
              <w:rPr>
                <w:rFonts w:hint="eastAsia" w:ascii="宋体" w:hAnsi="宋体" w:cs="宋体"/>
                <w:szCs w:val="21"/>
                <w:highlight w:val="none"/>
              </w:rPr>
            </w:pPr>
            <w:r>
              <w:rPr>
                <w:rFonts w:hint="eastAsia" w:ascii="宋体" w:hAnsi="宋体" w:cs="宋体"/>
                <w:szCs w:val="21"/>
                <w:highlight w:val="none"/>
                <w:lang w:val="en-US" w:eastAsia="zh-CN"/>
              </w:rPr>
              <w:t>10</w:t>
            </w:r>
            <w:r>
              <w:rPr>
                <w:rFonts w:hint="eastAsia" w:ascii="宋体" w:hAnsi="宋体" w:cs="宋体"/>
                <w:szCs w:val="21"/>
                <w:highlight w:val="none"/>
              </w:rPr>
              <w:t>、应支持虚拟防火墙，能够对虚拟资源灵活配置，配置项包括会话数、策略数、IPSec隧道数，整体带宽、新建回话速率等进行按需分配，同时应支持剩余资源查询，确保灵活分配；支持虚拟服务安全管控，虚拟服务策略应包括IP地址/地区、协议、时间段、WAN ID、反病毒/入侵防御/URL过滤/内容过滤/WEB应用防护等。</w:t>
            </w:r>
          </w:p>
          <w:p>
            <w:pPr>
              <w:pStyle w:val="2"/>
              <w:ind w:firstLine="0" w:firstLineChars="0"/>
              <w:rPr>
                <w:rFonts w:hint="eastAsia" w:ascii="宋体" w:hAnsi="宋体" w:eastAsia="宋体" w:cs="宋体"/>
                <w:i w:val="0"/>
                <w:iCs w:val="0"/>
                <w:color w:val="auto"/>
                <w:sz w:val="21"/>
                <w:szCs w:val="21"/>
                <w:highlight w:val="none"/>
                <w:u w:val="none"/>
              </w:rPr>
            </w:pPr>
            <w:r>
              <w:rPr>
                <w:rFonts w:hint="eastAsia"/>
                <w:sz w:val="21"/>
                <w:highlight w:val="none"/>
              </w:rPr>
              <w:t>1</w:t>
            </w:r>
            <w:r>
              <w:rPr>
                <w:rFonts w:hint="eastAsia"/>
                <w:sz w:val="21"/>
                <w:highlight w:val="none"/>
                <w:lang w:val="en-US" w:eastAsia="zh-CN"/>
              </w:rPr>
              <w:t>1</w:t>
            </w:r>
            <w:r>
              <w:rPr>
                <w:rFonts w:hint="eastAsia"/>
                <w:sz w:val="21"/>
                <w:highlight w:val="none"/>
              </w:rPr>
              <w:t>、★投标文件中须提供该产品经具备资格的机构安全认证合格或者安全检测符合要求的证明材料。</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24口交换机</w:t>
            </w:r>
          </w:p>
        </w:tc>
        <w:tc>
          <w:tcPr>
            <w:tcW w:w="5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万兆三层全管理交换机,包转发率148Mpps/222Mpps,交换容量598Gbps/5.98Tbps,24个千兆电口,4个万兆光口,VLAN:4K,MAC:16K,19英寸1U标准机架,金属外壳,风冷散热，挂耳默认自带，| 监控带机量300</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万兆光模块</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1. 接口封装：SFP+；</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2. 速率：10GE；</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3. 中心波长（nm）：1310；</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4. 标准：10GBASE-LR；</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5. 接头类型：LC；</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6. 支持的线缆与对应最大传输距离：单模光纤，10km；</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highlight w:val="none"/>
              </w:rPr>
              <w:t>7. 工作温度：0°C～50°C。</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千兆光模块</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1. 接口封装：eSFP；</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2. 速率：GE；</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3. 中心波长（nm）：1310；</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4. 标准：1000BASE-LX10/LH；</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5. 接头类型：LC；</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6. 支持的线缆与对应最大传输距离：单模光纤，10km；</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highlight w:val="none"/>
              </w:rPr>
              <w:t>7. 工作温度：0°C～50°C。</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16"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4.电话交换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程控交换机</w:t>
            </w:r>
          </w:p>
        </w:tc>
        <w:tc>
          <w:tcPr>
            <w:tcW w:w="5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外线≥16条，内线≥200分机；2.支持呼叫转移功能；3.支持智能话务台实时监控语音系统功能；4.支持日服、夜服、节假日作息语音管理功能；5.支持用户预设报警、SOS求救等，提机直接呼叫功能。6.支持多运营商接入汇接、路由选择、IP电话功能，适用温度范围0℃~40℃。</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语音网关</w:t>
            </w:r>
          </w:p>
        </w:tc>
        <w:tc>
          <w:tcPr>
            <w:tcW w:w="5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val="0"/>
              <w:overflowPunct/>
              <w:topLinePunct w:val="0"/>
              <w:autoSpaceDE/>
              <w:autoSpaceDN/>
              <w:bidi w:val="0"/>
              <w:adjustRightInd/>
              <w:snapToGrid/>
              <w:ind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1.32路语音网关（网络型）,19寸1U标准铁壳机架式分机语音网关，是一款上行基于IP网络为传输链路，下行为用户侧提供传统模拟电话接入的分机语音网关接入设备。具备同时向多个IPPBX语音主机注册分机、来电显示、语音呼叫、免打扰、热线、呼叫转移、呼叫限制、通话统计、语音自交换、断网逃生、群组等功能。2个LAN口、一个Console口、一个RST复位键、32路RJ11电话接入端口、32路状态运行指示灯、AC电源100-240V、功耗：35W、重量：2.8kg、尺寸：482mm*218mm*44mm。2.支持G.711A,G.711U,G.729A,G.722,iLBC等多种语音编解码，支持基于Web的友好可视化的图形管理界面、支持语音端口记录下载。</w:t>
            </w:r>
          </w:p>
          <w:p>
            <w:pPr>
              <w:keepNext w:val="0"/>
              <w:keepLines w:val="0"/>
              <w:pageBreakBefore w:val="0"/>
              <w:widowControl/>
              <w:numPr>
                <w:ilvl w:val="0"/>
                <w:numId w:val="2"/>
              </w:numPr>
              <w:suppressLineNumbers w:val="0"/>
              <w:kinsoku/>
              <w:wordWrap w:val="0"/>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支持G.168回音消除、摘机防抖动、反极性与高压点灯方式、静音压缩(VAD)、信令和媒体DSCP/TOS标记、及提升语音清晰的语音抖动缓冲等功能。</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ind w:left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4.支持语音协议：IMS/NGNSIP、H.248.SIPv2.0.RFC3261.SDP、RTP(RFC2833)、RFC3262.3263.3264.3265.3515.2976.3311.RTP/RTCP、RFC2198.1889.RFC4028SessionTimer、RFC3266IPv6inSDP、RFC2806TELURI、RFC3581.NAT、Rport。</w:t>
            </w:r>
          </w:p>
          <w:p>
            <w:pPr>
              <w:keepNext w:val="0"/>
              <w:keepLines w:val="0"/>
              <w:pageBreakBefore w:val="0"/>
              <w:widowControl/>
              <w:numPr>
                <w:ilvl w:val="0"/>
                <w:numId w:val="3"/>
              </w:numPr>
              <w:suppressLineNumbers w:val="0"/>
              <w:kinsoku/>
              <w:wordWrap w:val="0"/>
              <w:overflowPunct/>
              <w:topLinePunct w:val="0"/>
              <w:autoSpaceDE/>
              <w:autoSpaceDN/>
              <w:bidi w:val="0"/>
              <w:adjustRightInd/>
              <w:snapToGrid/>
              <w:ind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支持：IPsec、PPTP、L2TP等功能。</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6.支持TDMF、SIPINFO、INband、传真：支持T.30透传、T.38。</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ind w:left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支持在线更新固件，备份配置文件，上传配置文件、支持DDNS，DNS，PPPoE、DHCP，静态IP、自动获取IP、NAT网络</w:t>
            </w:r>
            <w:r>
              <w:rPr>
                <w:rFonts w:hint="eastAsia" w:ascii="宋体" w:hAnsi="宋体" w:cs="宋体"/>
                <w:i w:val="0"/>
                <w:iCs w:val="0"/>
                <w:color w:val="auto"/>
                <w:kern w:val="0"/>
                <w:sz w:val="21"/>
                <w:szCs w:val="21"/>
                <w:highlight w:val="none"/>
                <w:u w:val="none"/>
                <w:lang w:val="en-US" w:eastAsia="zh-CN" w:bidi="ar"/>
              </w:rPr>
              <w:t>、支</w:t>
            </w:r>
            <w:r>
              <w:rPr>
                <w:rFonts w:hint="eastAsia" w:ascii="宋体" w:hAnsi="宋体" w:eastAsia="宋体" w:cs="宋体"/>
                <w:i w:val="0"/>
                <w:iCs w:val="0"/>
                <w:color w:val="auto"/>
                <w:kern w:val="0"/>
                <w:sz w:val="21"/>
                <w:szCs w:val="21"/>
                <w:highlight w:val="none"/>
                <w:u w:val="none"/>
                <w:lang w:val="en-US" w:eastAsia="zh-CN" w:bidi="ar"/>
              </w:rPr>
              <w:t>持添加、修改和删除SIP</w:t>
            </w:r>
            <w:r>
              <w:rPr>
                <w:rFonts w:hint="eastAsia" w:ascii="宋体" w:hAnsi="宋体" w:cs="宋体"/>
                <w:i w:val="0"/>
                <w:iCs w:val="0"/>
                <w:color w:val="auto"/>
                <w:kern w:val="0"/>
                <w:sz w:val="21"/>
                <w:szCs w:val="21"/>
                <w:highlight w:val="none"/>
                <w:u w:val="none"/>
                <w:lang w:val="en-US" w:eastAsia="zh-CN" w:bidi="ar"/>
              </w:rPr>
              <w:t>账号</w:t>
            </w:r>
            <w:r>
              <w:rPr>
                <w:rFonts w:hint="eastAsia" w:ascii="宋体" w:hAnsi="宋体" w:eastAsia="宋体" w:cs="宋体"/>
                <w:i w:val="0"/>
                <w:iCs w:val="0"/>
                <w:color w:val="auto"/>
                <w:kern w:val="0"/>
                <w:sz w:val="21"/>
                <w:szCs w:val="21"/>
                <w:highlight w:val="none"/>
                <w:u w:val="none"/>
                <w:lang w:val="en-US" w:eastAsia="zh-CN" w:bidi="ar"/>
              </w:rPr>
              <w:t>，批量添加，修改和删除SIP</w:t>
            </w:r>
            <w:r>
              <w:rPr>
                <w:rFonts w:hint="eastAsia" w:ascii="宋体" w:hAnsi="宋体" w:cs="宋体"/>
                <w:i w:val="0"/>
                <w:iCs w:val="0"/>
                <w:color w:val="auto"/>
                <w:kern w:val="0"/>
                <w:sz w:val="21"/>
                <w:szCs w:val="21"/>
                <w:highlight w:val="none"/>
                <w:u w:val="none"/>
                <w:lang w:val="en-US" w:eastAsia="zh-CN" w:bidi="ar"/>
              </w:rPr>
              <w:t>账号</w:t>
            </w:r>
            <w:r>
              <w:rPr>
                <w:rFonts w:hint="eastAsia" w:ascii="宋体" w:hAnsi="宋体" w:eastAsia="宋体" w:cs="宋体"/>
                <w:i w:val="0"/>
                <w:iCs w:val="0"/>
                <w:color w:val="auto"/>
                <w:kern w:val="0"/>
                <w:sz w:val="21"/>
                <w:szCs w:val="21"/>
                <w:highlight w:val="none"/>
                <w:u w:val="none"/>
                <w:lang w:val="en-US" w:eastAsia="zh-CN" w:bidi="ar"/>
              </w:rPr>
              <w:t>。</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ind w:left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8.安全管理功能：支持WAN口访问控制、防火墙开关、ping开关、IP地址黑名单白名单保护功能，提高语音通话的安全性。9.管理：SNMP、TR069.设备自动重启设置。10.工作温度与湿度：0℃~50℃、10%~90%无冷凝。</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语音网关</w:t>
            </w:r>
          </w:p>
        </w:tc>
        <w:tc>
          <w:tcPr>
            <w:tcW w:w="5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val="0"/>
              <w:overflowPunct/>
              <w:topLinePunct w:val="0"/>
              <w:autoSpaceDE/>
              <w:autoSpaceDN/>
              <w:bidi w:val="0"/>
              <w:adjustRightInd/>
              <w:snapToGrid/>
              <w:ind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1.16路语音网关（网络型）,19寸1U标准铁壳机架式分机语音网关，具备同时向多个IPPBX语音主机注册分机、来电显示、语音呼叫、免打扰、热线、呼叫转移、呼叫限制、通话统计、语音自交换、断网逃生、群组等功能。2个LAN口、一个Console口、一个RST复位键、16路RJ11电话接入端口、16路状态运行指示灯、AC电源100-240V、功耗：25W、重量：2.8kg、尺寸：482mm*218mm*44mm。2.支持G.711A,G.711U,G.729A,G.722,iLBC等多种语音编解码，支持基于Web的友好可视化的图形管理界面、支持语音端口记录下载。</w:t>
            </w:r>
          </w:p>
          <w:p>
            <w:pPr>
              <w:keepNext w:val="0"/>
              <w:keepLines w:val="0"/>
              <w:pageBreakBefore w:val="0"/>
              <w:widowControl/>
              <w:numPr>
                <w:ilvl w:val="0"/>
                <w:numId w:val="4"/>
              </w:numPr>
              <w:suppressLineNumbers w:val="0"/>
              <w:kinsoku/>
              <w:wordWrap w:val="0"/>
              <w:overflowPunct/>
              <w:topLinePunct w:val="0"/>
              <w:autoSpaceDE/>
              <w:autoSpaceDN/>
              <w:bidi w:val="0"/>
              <w:adjustRightInd/>
              <w:snapToGrid/>
              <w:ind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支持G.168回音消除、摘机防抖动、反极性与高压点灯方式、静音压缩(VAD)、信令和媒体DSCP/TOS标记、及提升语音清晰的语音抖动缓冲等功能。</w:t>
            </w:r>
          </w:p>
          <w:p>
            <w:pPr>
              <w:keepNext w:val="0"/>
              <w:keepLines w:val="0"/>
              <w:pageBreakBefore w:val="0"/>
              <w:widowControl/>
              <w:numPr>
                <w:ilvl w:val="0"/>
                <w:numId w:val="4"/>
              </w:numPr>
              <w:suppressLineNumbers w:val="0"/>
              <w:kinsoku/>
              <w:wordWrap w:val="0"/>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支持语音协议：IMS/NGNSIP、H.248.SIPv2.0.RFC3261.SDP、RTP(RFC2833)、RFC3262.3263.3264.3265.3515.2976.3311.RTP/RTCP、RFC2198.1889.RFC4028SessionTimer、RFC3266IPv6inSDP、RFC2806TELURI、RFC3581.NAT、Rport。</w:t>
            </w:r>
          </w:p>
          <w:p>
            <w:pPr>
              <w:keepNext w:val="0"/>
              <w:keepLines w:val="0"/>
              <w:pageBreakBefore w:val="0"/>
              <w:widowControl/>
              <w:numPr>
                <w:ilvl w:val="0"/>
                <w:numId w:val="4"/>
              </w:numPr>
              <w:suppressLineNumbers w:val="0"/>
              <w:kinsoku/>
              <w:wordWrap w:val="0"/>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支持：IPsec、PPTP、L2TP等功能。</w:t>
            </w:r>
          </w:p>
          <w:p>
            <w:pPr>
              <w:keepNext w:val="0"/>
              <w:keepLines w:val="0"/>
              <w:pageBreakBefore w:val="0"/>
              <w:widowControl/>
              <w:numPr>
                <w:ilvl w:val="0"/>
                <w:numId w:val="4"/>
              </w:numPr>
              <w:suppressLineNumbers w:val="0"/>
              <w:kinsoku/>
              <w:wordWrap w:val="0"/>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支持TDMF、SIPINFO、INband、传真：支持T.30透传、T.38。7.支持在线更新固件，备份配置文件，上传配置文件、支持DDNS，DNS，PPPoE、DHCP，静态IP、自动获取IP、NAT网络</w:t>
            </w:r>
            <w:r>
              <w:rPr>
                <w:rFonts w:hint="eastAsia" w:ascii="宋体" w:hAnsi="宋体" w:cs="宋体"/>
                <w:i w:val="0"/>
                <w:iCs w:val="0"/>
                <w:color w:val="auto"/>
                <w:kern w:val="0"/>
                <w:sz w:val="21"/>
                <w:szCs w:val="21"/>
                <w:highlight w:val="none"/>
                <w:u w:val="none"/>
                <w:lang w:val="en-US" w:eastAsia="zh-CN" w:bidi="ar"/>
              </w:rPr>
              <w:t>、支</w:t>
            </w:r>
            <w:r>
              <w:rPr>
                <w:rFonts w:hint="eastAsia" w:ascii="宋体" w:hAnsi="宋体" w:eastAsia="宋体" w:cs="宋体"/>
                <w:i w:val="0"/>
                <w:iCs w:val="0"/>
                <w:color w:val="auto"/>
                <w:kern w:val="0"/>
                <w:sz w:val="21"/>
                <w:szCs w:val="21"/>
                <w:highlight w:val="none"/>
                <w:u w:val="none"/>
                <w:lang w:val="en-US" w:eastAsia="zh-CN" w:bidi="ar"/>
              </w:rPr>
              <w:t>持添加、修改和删除SIP</w:t>
            </w:r>
            <w:r>
              <w:rPr>
                <w:rFonts w:hint="eastAsia" w:ascii="宋体" w:hAnsi="宋体" w:cs="宋体"/>
                <w:i w:val="0"/>
                <w:iCs w:val="0"/>
                <w:color w:val="auto"/>
                <w:kern w:val="0"/>
                <w:sz w:val="21"/>
                <w:szCs w:val="21"/>
                <w:highlight w:val="none"/>
                <w:u w:val="none"/>
                <w:lang w:val="en-US" w:eastAsia="zh-CN" w:bidi="ar"/>
              </w:rPr>
              <w:t>账号</w:t>
            </w:r>
            <w:r>
              <w:rPr>
                <w:rFonts w:hint="eastAsia" w:ascii="宋体" w:hAnsi="宋体" w:eastAsia="宋体" w:cs="宋体"/>
                <w:i w:val="0"/>
                <w:iCs w:val="0"/>
                <w:color w:val="auto"/>
                <w:kern w:val="0"/>
                <w:sz w:val="21"/>
                <w:szCs w:val="21"/>
                <w:highlight w:val="none"/>
                <w:u w:val="none"/>
                <w:lang w:val="en-US" w:eastAsia="zh-CN" w:bidi="ar"/>
              </w:rPr>
              <w:t>，批量添加，修改和删除SIP</w:t>
            </w:r>
            <w:r>
              <w:rPr>
                <w:rFonts w:hint="eastAsia" w:ascii="宋体" w:hAnsi="宋体" w:cs="宋体"/>
                <w:i w:val="0"/>
                <w:iCs w:val="0"/>
                <w:color w:val="auto"/>
                <w:kern w:val="0"/>
                <w:sz w:val="21"/>
                <w:szCs w:val="21"/>
                <w:highlight w:val="none"/>
                <w:u w:val="none"/>
                <w:lang w:val="en-US" w:eastAsia="zh-CN" w:bidi="ar"/>
              </w:rPr>
              <w:t>账号</w:t>
            </w:r>
            <w:r>
              <w:rPr>
                <w:rFonts w:hint="eastAsia" w:ascii="宋体" w:hAnsi="宋体" w:eastAsia="宋体" w:cs="宋体"/>
                <w:i w:val="0"/>
                <w:iCs w:val="0"/>
                <w:color w:val="auto"/>
                <w:kern w:val="0"/>
                <w:sz w:val="21"/>
                <w:szCs w:val="21"/>
                <w:highlight w:val="none"/>
                <w:u w:val="none"/>
                <w:lang w:val="en-US" w:eastAsia="zh-CN" w:bidi="ar"/>
              </w:rPr>
              <w:t>。</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ind w:left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8.安全管理功能：支持WAN口访问控制、防火墙开关、ping开关、IP地址黑名单白名单保护功能，提高语音通话的安全性。9.管理：SNMP、TR069.设备自动重启设置。10.工作温度与湿度：0℃~50℃、10%~90%无冷凝。</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59</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语音网关</w:t>
            </w:r>
          </w:p>
        </w:tc>
        <w:tc>
          <w:tcPr>
            <w:tcW w:w="5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val="0"/>
              <w:overflowPunct/>
              <w:topLinePunct w:val="0"/>
              <w:autoSpaceDE/>
              <w:autoSpaceDN/>
              <w:bidi w:val="0"/>
              <w:adjustRightInd/>
              <w:snapToGrid/>
              <w:ind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路语音网关（网络型）,19寸1U标准铁壳机架式分机语音网关，是一款上行基于IP网络为传输链路，下行为用户侧提供传统模拟电话接入的分机语音网关接入设备。具备同时向多个IPPBX语音主机注册分机、来电显示、语音呼叫、免打扰、热线、呼叫转移、呼叫限制、通话统计、语音自交换、断网逃生、群组等功能。支持2个LAN口、一个RST复位键、8路RJ11电话接入端口、8路状态运行指示灯、电源12VDC/2A、功耗：15W、重量：400g、尺寸：170mm*98mm*26mm。</w:t>
            </w:r>
          </w:p>
          <w:p>
            <w:pPr>
              <w:keepNext w:val="0"/>
              <w:keepLines w:val="0"/>
              <w:pageBreakBefore w:val="0"/>
              <w:widowControl/>
              <w:numPr>
                <w:ilvl w:val="0"/>
                <w:numId w:val="5"/>
              </w:numPr>
              <w:suppressLineNumbers w:val="0"/>
              <w:kinsoku/>
              <w:wordWrap w:val="0"/>
              <w:overflowPunct/>
              <w:topLinePunct w:val="0"/>
              <w:autoSpaceDE/>
              <w:autoSpaceDN/>
              <w:bidi w:val="0"/>
              <w:adjustRightInd/>
              <w:snapToGrid/>
              <w:ind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支持G.711A,G.711U,G.729A,G.722,iLBC等多种语音编解码，支持基于Web的友好可视化的图形管理界面、支持语音端口记录下载。</w:t>
            </w:r>
          </w:p>
          <w:p>
            <w:pPr>
              <w:keepNext w:val="0"/>
              <w:keepLines w:val="0"/>
              <w:pageBreakBefore w:val="0"/>
              <w:widowControl/>
              <w:numPr>
                <w:ilvl w:val="0"/>
                <w:numId w:val="5"/>
              </w:numPr>
              <w:suppressLineNumbers w:val="0"/>
              <w:kinsoku/>
              <w:wordWrap w:val="0"/>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支持G.168回音消除、摘机防抖动、反极性与高压点灯方式、静音压缩(VAD)、信令和媒体DSCP/TOS标记、及提升语音清晰的语音抖动缓冲等功能。</w:t>
            </w:r>
          </w:p>
          <w:p>
            <w:pPr>
              <w:keepNext w:val="0"/>
              <w:keepLines w:val="0"/>
              <w:pageBreakBefore w:val="0"/>
              <w:widowControl/>
              <w:numPr>
                <w:ilvl w:val="0"/>
                <w:numId w:val="5"/>
              </w:numPr>
              <w:suppressLineNumbers w:val="0"/>
              <w:kinsoku/>
              <w:wordWrap w:val="0"/>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支持语音协议：IMS/NGNSIP、H.248.SIPv2.0.RFC3261.SDP、RTP(RFC2833)、RFC3262.3263.3264.3265.3515.2976.3311.RTP/RTCP、RFC2198.1889.RFC4028SessionTimer、RFC3266IPv6inSDP、RFC2806TELURI、RFC3581.NAT、Rport。</w:t>
            </w:r>
          </w:p>
          <w:p>
            <w:pPr>
              <w:keepNext w:val="0"/>
              <w:keepLines w:val="0"/>
              <w:pageBreakBefore w:val="0"/>
              <w:widowControl/>
              <w:numPr>
                <w:ilvl w:val="0"/>
                <w:numId w:val="5"/>
              </w:numPr>
              <w:suppressLineNumbers w:val="0"/>
              <w:kinsoku/>
              <w:wordWrap w:val="0"/>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支持：IPsec、PPTP、L2TP等功能。</w:t>
            </w:r>
          </w:p>
          <w:p>
            <w:pPr>
              <w:keepNext w:val="0"/>
              <w:keepLines w:val="0"/>
              <w:pageBreakBefore w:val="0"/>
              <w:widowControl/>
              <w:numPr>
                <w:ilvl w:val="0"/>
                <w:numId w:val="5"/>
              </w:numPr>
              <w:suppressLineNumbers w:val="0"/>
              <w:kinsoku/>
              <w:wordWrap w:val="0"/>
              <w:overflowPunct/>
              <w:topLinePunct w:val="0"/>
              <w:autoSpaceDE/>
              <w:autoSpaceDN/>
              <w:bidi w:val="0"/>
              <w:adjustRightInd/>
              <w:snapToGrid/>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支持TDMF、SIPINFO、INband、传真：支持T.30透传、T.38。</w:t>
            </w:r>
          </w:p>
          <w:p>
            <w:pPr>
              <w:keepNext w:val="0"/>
              <w:keepLines w:val="0"/>
              <w:pageBreakBefore w:val="0"/>
              <w:widowControl/>
              <w:numPr>
                <w:numId w:val="0"/>
              </w:numPr>
              <w:suppressLineNumbers w:val="0"/>
              <w:kinsoku/>
              <w:wordWrap w:val="0"/>
              <w:overflowPunct/>
              <w:topLinePunct w:val="0"/>
              <w:autoSpaceDE/>
              <w:autoSpaceDN/>
              <w:bidi w:val="0"/>
              <w:adjustRightInd/>
              <w:snapToGrid/>
              <w:ind w:left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7.支持在线更新固件，备份配置文件，上传配置文件、支持DDNS，DNS，PPPoE、DHCP，静态IP、自动获取IP、NAT网络</w:t>
            </w:r>
            <w:r>
              <w:rPr>
                <w:rFonts w:hint="eastAsia" w:ascii="宋体" w:hAnsi="宋体" w:cs="宋体"/>
                <w:i w:val="0"/>
                <w:iCs w:val="0"/>
                <w:color w:val="auto"/>
                <w:kern w:val="0"/>
                <w:sz w:val="21"/>
                <w:szCs w:val="21"/>
                <w:highlight w:val="none"/>
                <w:u w:val="none"/>
                <w:lang w:val="en-US" w:eastAsia="zh-CN" w:bidi="ar"/>
              </w:rPr>
              <w:t>、支</w:t>
            </w:r>
            <w:r>
              <w:rPr>
                <w:rFonts w:hint="eastAsia" w:ascii="宋体" w:hAnsi="宋体" w:eastAsia="宋体" w:cs="宋体"/>
                <w:i w:val="0"/>
                <w:iCs w:val="0"/>
                <w:color w:val="auto"/>
                <w:kern w:val="0"/>
                <w:sz w:val="21"/>
                <w:szCs w:val="21"/>
                <w:highlight w:val="none"/>
                <w:u w:val="none"/>
                <w:lang w:val="en-US" w:eastAsia="zh-CN" w:bidi="ar"/>
              </w:rPr>
              <w:t>持添加、修改和删除SIP</w:t>
            </w:r>
            <w:r>
              <w:rPr>
                <w:rFonts w:hint="eastAsia" w:ascii="宋体" w:hAnsi="宋体" w:cs="宋体"/>
                <w:i w:val="0"/>
                <w:iCs w:val="0"/>
                <w:color w:val="auto"/>
                <w:kern w:val="0"/>
                <w:sz w:val="21"/>
                <w:szCs w:val="21"/>
                <w:highlight w:val="none"/>
                <w:u w:val="none"/>
                <w:lang w:val="en-US" w:eastAsia="zh-CN" w:bidi="ar"/>
              </w:rPr>
              <w:t>账</w:t>
            </w:r>
            <w:r>
              <w:rPr>
                <w:rFonts w:hint="eastAsia" w:ascii="宋体" w:hAnsi="宋体" w:eastAsia="宋体" w:cs="宋体"/>
                <w:i w:val="0"/>
                <w:iCs w:val="0"/>
                <w:color w:val="auto"/>
                <w:kern w:val="0"/>
                <w:sz w:val="21"/>
                <w:szCs w:val="21"/>
                <w:highlight w:val="none"/>
                <w:u w:val="none"/>
                <w:lang w:val="en-US" w:eastAsia="zh-CN" w:bidi="ar"/>
              </w:rPr>
              <w:t>号，批量添加，修改和删除SIP</w:t>
            </w:r>
            <w:r>
              <w:rPr>
                <w:rFonts w:hint="eastAsia" w:ascii="宋体" w:hAnsi="宋体" w:cs="宋体"/>
                <w:i w:val="0"/>
                <w:iCs w:val="0"/>
                <w:color w:val="auto"/>
                <w:kern w:val="0"/>
                <w:sz w:val="21"/>
                <w:szCs w:val="21"/>
                <w:highlight w:val="none"/>
                <w:u w:val="none"/>
                <w:lang w:val="en-US" w:eastAsia="zh-CN" w:bidi="ar"/>
              </w:rPr>
              <w:t>账号</w:t>
            </w:r>
            <w:r>
              <w:rPr>
                <w:rFonts w:hint="eastAsia" w:ascii="宋体" w:hAnsi="宋体" w:eastAsia="宋体" w:cs="宋体"/>
                <w:i w:val="0"/>
                <w:iCs w:val="0"/>
                <w:color w:val="auto"/>
                <w:kern w:val="0"/>
                <w:sz w:val="21"/>
                <w:szCs w:val="21"/>
                <w:highlight w:val="none"/>
                <w:u w:val="none"/>
                <w:lang w:val="en-US" w:eastAsia="zh-CN" w:bidi="ar"/>
              </w:rPr>
              <w:t>。</w:t>
            </w:r>
          </w:p>
          <w:p>
            <w:pPr>
              <w:keepNext w:val="0"/>
              <w:keepLines w:val="0"/>
              <w:pageBreakBefore w:val="0"/>
              <w:widowControl/>
              <w:numPr>
                <w:numId w:val="0"/>
              </w:numPr>
              <w:suppressLineNumbers w:val="0"/>
              <w:kinsoku/>
              <w:wordWrap w:val="0"/>
              <w:overflowPunct/>
              <w:topLinePunct w:val="0"/>
              <w:autoSpaceDE/>
              <w:autoSpaceDN/>
              <w:bidi w:val="0"/>
              <w:adjustRightInd/>
              <w:snapToGrid/>
              <w:ind w:left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8.安全管理功能：支持WAN口访问控制、防火墙开关、ping开关、IP地址黑名单白名单保护功能，提高语音通话的安全性。9.管理：SNMP、TR069.设备自动重启设置。</w:t>
            </w:r>
          </w:p>
          <w:p>
            <w:pPr>
              <w:keepNext w:val="0"/>
              <w:keepLines w:val="0"/>
              <w:pageBreakBefore w:val="0"/>
              <w:widowControl/>
              <w:numPr>
                <w:numId w:val="0"/>
              </w:numPr>
              <w:suppressLineNumbers w:val="0"/>
              <w:kinsoku/>
              <w:wordWrap w:val="0"/>
              <w:overflowPunct/>
              <w:topLinePunct w:val="0"/>
              <w:autoSpaceDE/>
              <w:autoSpaceDN/>
              <w:bidi w:val="0"/>
              <w:adjustRightInd/>
              <w:snapToGrid/>
              <w:ind w:left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10.工作温度与湿度：0℃~50℃、10%~90%无冷凝。</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电话分机</w:t>
            </w:r>
          </w:p>
        </w:tc>
        <w:tc>
          <w:tcPr>
            <w:tcW w:w="5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numPr>
                <w:ilvl w:val="0"/>
                <w:numId w:val="6"/>
              </w:numPr>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铃声可选，免提音量≥2级可调；</w:t>
            </w:r>
          </w:p>
          <w:p>
            <w:pPr>
              <w:keepNext w:val="0"/>
              <w:keepLines w:val="0"/>
              <w:pageBreakBefore w:val="0"/>
              <w:widowControl/>
              <w:numPr>
                <w:ilvl w:val="0"/>
                <w:numId w:val="6"/>
              </w:numPr>
              <w:suppressLineNumbers w:val="0"/>
              <w:kinsoku/>
              <w:wordWrap/>
              <w:overflowPunct/>
              <w:topLinePunct w:val="0"/>
              <w:autoSpaceDE/>
              <w:autoSpaceDN/>
              <w:bidi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屏幕亮度：≥5级可调；</w:t>
            </w:r>
          </w:p>
          <w:p>
            <w:pPr>
              <w:keepNext w:val="0"/>
              <w:keepLines w:val="0"/>
              <w:pageBreakBefore w:val="0"/>
              <w:widowControl/>
              <w:numPr>
                <w:ilvl w:val="0"/>
                <w:numId w:val="6"/>
              </w:numPr>
              <w:suppressLineNumbers w:val="0"/>
              <w:kinsoku/>
              <w:wordWrap/>
              <w:overflowPunct/>
              <w:topLinePunct w:val="0"/>
              <w:autoSpaceDE/>
              <w:autoSpaceDN/>
              <w:bidi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高清免提通话，通话音乐保留，转接功能，一键免提；</w:t>
            </w:r>
          </w:p>
          <w:p>
            <w:pPr>
              <w:keepNext w:val="0"/>
              <w:keepLines w:val="0"/>
              <w:pageBreakBefore w:val="0"/>
              <w:widowControl/>
              <w:numPr>
                <w:ilvl w:val="0"/>
                <w:numId w:val="0"/>
              </w:numPr>
              <w:suppressLineNumbers w:val="0"/>
              <w:kinsoku/>
              <w:wordWrap/>
              <w:overflowPunct/>
              <w:topLinePunct w:val="0"/>
              <w:autoSpaceDE/>
              <w:autoSpaceDN/>
              <w:bidi w:val="0"/>
              <w:ind w:left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4.支持双音频（DTMF）/脉冲拨号，兼容传统话机与数字终端；5.工业级机型支持-10℃~50℃。</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16" w:type="dxa"/>
            <w:gridSpan w:val="6"/>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科技法庭系统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61</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庭审主机</w:t>
            </w:r>
          </w:p>
        </w:tc>
        <w:tc>
          <w:tcPr>
            <w:tcW w:w="5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numPr>
                <w:ilvl w:val="0"/>
                <w:numId w:val="7"/>
              </w:numPr>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采用一体化嵌入式架构，集成音视频矩阵、编解码、智能分析等模块，具有画面合成、混音录像、视音频存储、光盘刻录加密、音视频智能处理及远程提讯，并且具备互联网庭审法庭端等功能，主机CPU:4核处理器;内存:DDR4 4GB双通道;硬盘:2T机械盘。</w:t>
            </w:r>
          </w:p>
          <w:p>
            <w:pPr>
              <w:keepNext w:val="0"/>
              <w:keepLines w:val="0"/>
              <w:pageBreakBefore w:val="0"/>
              <w:widowControl/>
              <w:numPr>
                <w:ilvl w:val="0"/>
                <w:numId w:val="7"/>
              </w:numPr>
              <w:suppressLineNumbers w:val="0"/>
              <w:kinsoku/>
              <w:wordWrap/>
              <w:overflowPunct/>
              <w:topLinePunct w:val="0"/>
              <w:autoSpaceDE/>
              <w:autoSpaceDN/>
              <w:bidi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支持不少于4路SDI输入，不少于4路HDMI输入，不少于4路DVI视频输入。</w:t>
            </w:r>
          </w:p>
          <w:p>
            <w:pPr>
              <w:keepNext w:val="0"/>
              <w:keepLines w:val="0"/>
              <w:pageBreakBefore w:val="0"/>
              <w:widowControl/>
              <w:numPr>
                <w:ilvl w:val="0"/>
                <w:numId w:val="7"/>
              </w:numPr>
              <w:suppressLineNumbers w:val="0"/>
              <w:kinsoku/>
              <w:wordWrap/>
              <w:overflowPunct/>
              <w:topLinePunct w:val="0"/>
              <w:autoSpaceDE/>
              <w:autoSpaceDN/>
              <w:bidi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支持不少于4路DVI视频输出，不少于2路HDMI输出。</w:t>
            </w:r>
          </w:p>
          <w:p>
            <w:pPr>
              <w:keepNext w:val="0"/>
              <w:keepLines w:val="0"/>
              <w:pageBreakBefore w:val="0"/>
              <w:widowControl/>
              <w:numPr>
                <w:ilvl w:val="0"/>
                <w:numId w:val="7"/>
              </w:numPr>
              <w:suppressLineNumbers w:val="0"/>
              <w:kinsoku/>
              <w:wordWrap/>
              <w:overflowPunct/>
              <w:topLinePunct w:val="0"/>
              <w:autoSpaceDE/>
              <w:autoSpaceDN/>
              <w:bidi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支持不少于2路10M/100M/1000M自适应以太网口，支持网络多址，网络容错，负载均衡模式。</w:t>
            </w:r>
          </w:p>
          <w:p>
            <w:pPr>
              <w:keepNext w:val="0"/>
              <w:keepLines w:val="0"/>
              <w:pageBreakBefore w:val="0"/>
              <w:widowControl/>
              <w:numPr>
                <w:ilvl w:val="0"/>
                <w:numId w:val="7"/>
              </w:numPr>
              <w:suppressLineNumbers w:val="0"/>
              <w:kinsoku/>
              <w:wordWrap/>
              <w:overflowPunct/>
              <w:topLinePunct w:val="0"/>
              <w:autoSpaceDE/>
              <w:autoSpaceDN/>
              <w:bidi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支持不少于10路MicIn（支持48V幻象供电）、不少于4路LineIn（包含1路3.5mm双声道），不少于3路LineOut（2路莲花，1路3.5mm双声道）、不少于2路XLROut。</w:t>
            </w:r>
          </w:p>
          <w:p>
            <w:pPr>
              <w:keepNext w:val="0"/>
              <w:keepLines w:val="0"/>
              <w:pageBreakBefore w:val="0"/>
              <w:widowControl/>
              <w:numPr>
                <w:ilvl w:val="0"/>
                <w:numId w:val="7"/>
              </w:numPr>
              <w:suppressLineNumbers w:val="0"/>
              <w:kinsoku/>
              <w:wordWrap/>
              <w:overflowPunct/>
              <w:topLinePunct w:val="0"/>
              <w:autoSpaceDE/>
              <w:autoSpaceDN/>
              <w:bidi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支持不少于4路RS485串行接口，不少于4路RS232串行接口。</w:t>
            </w:r>
          </w:p>
          <w:p>
            <w:pPr>
              <w:keepNext w:val="0"/>
              <w:keepLines w:val="0"/>
              <w:pageBreakBefore w:val="0"/>
              <w:widowControl/>
              <w:numPr>
                <w:ilvl w:val="0"/>
                <w:numId w:val="7"/>
              </w:numPr>
              <w:suppressLineNumbers w:val="0"/>
              <w:kinsoku/>
              <w:wordWrap/>
              <w:overflowPunct/>
              <w:topLinePunct w:val="0"/>
              <w:autoSpaceDE/>
              <w:autoSpaceDN/>
              <w:bidi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支持不少于1路红外输入，不少于4路红外输出，不少于2路告警输入，不少于2路告警输出。</w:t>
            </w:r>
          </w:p>
          <w:p>
            <w:pPr>
              <w:keepNext w:val="0"/>
              <w:keepLines w:val="0"/>
              <w:pageBreakBefore w:val="0"/>
              <w:widowControl/>
              <w:numPr>
                <w:ilvl w:val="0"/>
                <w:numId w:val="7"/>
              </w:numPr>
              <w:suppressLineNumbers w:val="0"/>
              <w:kinsoku/>
              <w:wordWrap/>
              <w:overflowPunct/>
              <w:topLinePunct w:val="0"/>
              <w:autoSpaceDE/>
              <w:autoSpaceDN/>
              <w:bidi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支持不少于4个SATA接口，每个SATA口可支持8TB硬盘。9.支持一键开启、停止刻录；支持一键开关机；支持一键打点；支持一键DVD回放。</w:t>
            </w:r>
          </w:p>
          <w:p>
            <w:pPr>
              <w:keepNext w:val="0"/>
              <w:keepLines w:val="0"/>
              <w:pageBreakBefore w:val="0"/>
              <w:widowControl/>
              <w:numPr>
                <w:ilvl w:val="0"/>
                <w:numId w:val="0"/>
              </w:numPr>
              <w:suppressLineNumbers w:val="0"/>
              <w:kinsoku/>
              <w:wordWrap/>
              <w:overflowPunct/>
              <w:topLinePunct w:val="0"/>
              <w:autoSpaceDE/>
              <w:autoSpaceDN/>
              <w:bidi w:val="0"/>
              <w:ind w:left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10.内置8寸电容触控屏，支持实时显示通道状态、刻录/录制状态、USB接入状态、视频画面、光盘/硬盘总容量及已使用容量、刻录剩余时长、异常告警信息、CPU内存占用率、网络情况等。</w:t>
            </w:r>
          </w:p>
          <w:p>
            <w:pPr>
              <w:keepNext w:val="0"/>
              <w:keepLines w:val="0"/>
              <w:pageBreakBefore w:val="0"/>
              <w:widowControl/>
              <w:numPr>
                <w:ilvl w:val="0"/>
                <w:numId w:val="0"/>
              </w:numPr>
              <w:suppressLineNumbers w:val="0"/>
              <w:kinsoku/>
              <w:wordWrap/>
              <w:overflowPunct/>
              <w:topLinePunct w:val="0"/>
              <w:autoSpaceDE/>
              <w:autoSpaceDN/>
              <w:bidi w:val="0"/>
              <w:ind w:left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11.内置双DVD刻录光驱，支持光驱热插拔，支持便捷拆卸光驱，可实现在不拆设备机箱的情况下更换光驱。</w:t>
            </w:r>
          </w:p>
          <w:p>
            <w:pPr>
              <w:keepNext w:val="0"/>
              <w:keepLines w:val="0"/>
              <w:pageBreakBefore w:val="0"/>
              <w:widowControl/>
              <w:numPr>
                <w:ilvl w:val="0"/>
                <w:numId w:val="0"/>
              </w:numPr>
              <w:suppressLineNumbers w:val="0"/>
              <w:kinsoku/>
              <w:wordWrap/>
              <w:overflowPunct/>
              <w:topLinePunct w:val="0"/>
              <w:autoSpaceDE/>
              <w:autoSpaceDN/>
              <w:bidi w:val="0"/>
              <w:ind w:left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视频编码格式：支持H.264和H.265，视频编码码率：支持在128kbps-8Mbps范围内设置，音频编码格式：支持G.711.AAC_LC和ADPCM；音频采样率：支持8KHz、16KHz、32KHz和48KHz可设置；音频编码码率：支持在32kbps~128kbps范围内设置。</w:t>
            </w:r>
          </w:p>
          <w:p>
            <w:pPr>
              <w:keepNext w:val="0"/>
              <w:keepLines w:val="0"/>
              <w:pageBreakBefore w:val="0"/>
              <w:widowControl/>
              <w:numPr>
                <w:ilvl w:val="0"/>
                <w:numId w:val="0"/>
              </w:numPr>
              <w:suppressLineNumbers w:val="0"/>
              <w:kinsoku/>
              <w:wordWrap/>
              <w:overflowPunct/>
              <w:topLinePunct w:val="0"/>
              <w:autoSpaceDE/>
              <w:autoSpaceDN/>
              <w:bidi w:val="0"/>
              <w:ind w:left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13.支持6路IP摄像机（H.264或H.265摄像机）和SDI摄像机混合接入，支持2路远程点接入。</w:t>
            </w:r>
          </w:p>
          <w:p>
            <w:pPr>
              <w:keepNext w:val="0"/>
              <w:keepLines w:val="0"/>
              <w:pageBreakBefore w:val="0"/>
              <w:widowControl/>
              <w:numPr>
                <w:ilvl w:val="0"/>
                <w:numId w:val="0"/>
              </w:numPr>
              <w:suppressLineNumbers w:val="0"/>
              <w:kinsoku/>
              <w:wordWrap/>
              <w:overflowPunct/>
              <w:topLinePunct w:val="0"/>
              <w:autoSpaceDE/>
              <w:autoSpaceDN/>
              <w:bidi w:val="0"/>
              <w:ind w:left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支持4K、2K、1080P、720P、D1图像分辨率前端接入，并进入合成画面，支持前端接入类型：ONVIF、SIP、RTSP、H.323。15.支持对PTZ摄像机进行PTZ操控，支持控制云台上、下、左、右、左上、左下、右上、右下转动，支持放大缩小、步长调节、光圈调节、灯光开关、雨刷开关和焦距调节（需前端设备支持）。16.支持两路证据展台（HDMI、DVI）接入并编码，支持两路证据编码独立录像，可同时将两路证据画面加入到合成画面中。17.支持不少于20路音频输入，能够实现远程声音和本地声音混音刻录，支持5组混音器设置，每路音频输入通道自定义加入不同混音器混音。</w:t>
            </w:r>
          </w:p>
          <w:p>
            <w:pPr>
              <w:keepNext w:val="0"/>
              <w:keepLines w:val="0"/>
              <w:pageBreakBefore w:val="0"/>
              <w:widowControl/>
              <w:numPr>
                <w:ilvl w:val="0"/>
                <w:numId w:val="0"/>
              </w:numPr>
              <w:suppressLineNumbers w:val="0"/>
              <w:kinsoku/>
              <w:wordWrap/>
              <w:overflowPunct/>
              <w:topLinePunct w:val="0"/>
              <w:autoSpaceDE/>
              <w:autoSpaceDN/>
              <w:bidi w:val="0"/>
              <w:ind w:left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18.支持啸叫抑制、回声抵消、自动增益、音频降噪，变声等音频处理功能。</w:t>
            </w:r>
          </w:p>
          <w:p>
            <w:pPr>
              <w:keepNext w:val="0"/>
              <w:keepLines w:val="0"/>
              <w:pageBreakBefore w:val="0"/>
              <w:widowControl/>
              <w:numPr>
                <w:ilvl w:val="0"/>
                <w:numId w:val="0"/>
              </w:numPr>
              <w:suppressLineNumbers w:val="0"/>
              <w:kinsoku/>
              <w:wordWrap/>
              <w:overflowPunct/>
              <w:topLinePunct w:val="0"/>
              <w:autoSpaceDE/>
              <w:autoSpaceDN/>
              <w:bidi w:val="0"/>
              <w:ind w:left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19.支持SDI摄像机/IPC/远程点通道与本地/网络音频通道关联，实现自动切换发言话筒对应的前端图像，支持触发云台转动到配置的预置点。</w:t>
            </w:r>
          </w:p>
          <w:p>
            <w:pPr>
              <w:keepNext w:val="0"/>
              <w:keepLines w:val="0"/>
              <w:pageBreakBefore w:val="0"/>
              <w:widowControl/>
              <w:numPr>
                <w:ilvl w:val="0"/>
                <w:numId w:val="0"/>
              </w:numPr>
              <w:suppressLineNumbers w:val="0"/>
              <w:kinsoku/>
              <w:wordWrap/>
              <w:overflowPunct/>
              <w:topLinePunct w:val="0"/>
              <w:autoSpaceDE/>
              <w:autoSpaceDN/>
              <w:bidi w:val="0"/>
              <w:ind w:left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20.支持合成画面、单通道画面和证据源画面本地录像，录像默认保存在本地硬盘。</w:t>
            </w:r>
          </w:p>
          <w:p>
            <w:pPr>
              <w:keepNext w:val="0"/>
              <w:keepLines w:val="0"/>
              <w:pageBreakBefore w:val="0"/>
              <w:widowControl/>
              <w:numPr>
                <w:ilvl w:val="0"/>
                <w:numId w:val="0"/>
              </w:numPr>
              <w:suppressLineNumbers w:val="0"/>
              <w:kinsoku/>
              <w:wordWrap/>
              <w:overflowPunct/>
              <w:topLinePunct w:val="0"/>
              <w:autoSpaceDE/>
              <w:autoSpaceDN/>
              <w:bidi w:val="0"/>
              <w:ind w:left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21.录制的录像文件为标准的MP4文件，支持MP4录像文件下载，支持单独存储音频文件和获取音频文件。</w:t>
            </w:r>
          </w:p>
          <w:p>
            <w:pPr>
              <w:keepNext w:val="0"/>
              <w:keepLines w:val="0"/>
              <w:pageBreakBefore w:val="0"/>
              <w:widowControl/>
              <w:numPr>
                <w:ilvl w:val="0"/>
                <w:numId w:val="0"/>
              </w:numPr>
              <w:suppressLineNumbers w:val="0"/>
              <w:kinsoku/>
              <w:wordWrap/>
              <w:overflowPunct/>
              <w:topLinePunct w:val="0"/>
              <w:autoSpaceDE/>
              <w:autoSpaceDN/>
              <w:bidi w:val="0"/>
              <w:ind w:left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22.支持合成画面的双光盘同步刻录、循环刻录和只录像不刻录，中途更换新光盘，可以识别上一张光盘停止的时间点，在新光盘中继续刻录。</w:t>
            </w:r>
          </w:p>
          <w:p>
            <w:pPr>
              <w:keepNext w:val="0"/>
              <w:keepLines w:val="0"/>
              <w:pageBreakBefore w:val="0"/>
              <w:widowControl/>
              <w:numPr>
                <w:ilvl w:val="0"/>
                <w:numId w:val="0"/>
              </w:numPr>
              <w:suppressLineNumbers w:val="0"/>
              <w:kinsoku/>
              <w:wordWrap/>
              <w:overflowPunct/>
              <w:topLinePunct w:val="0"/>
              <w:autoSpaceDE/>
              <w:autoSpaceDN/>
              <w:bidi w:val="0"/>
              <w:ind w:left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23.支持断电续刻/续录功能，设备刻录过程中断电重启后，刻录机仍继续执行刻录任务。</w:t>
            </w:r>
          </w:p>
          <w:p>
            <w:pPr>
              <w:keepNext w:val="0"/>
              <w:keepLines w:val="0"/>
              <w:pageBreakBefore w:val="0"/>
              <w:widowControl/>
              <w:numPr>
                <w:ilvl w:val="0"/>
                <w:numId w:val="0"/>
              </w:numPr>
              <w:suppressLineNumbers w:val="0"/>
              <w:kinsoku/>
              <w:wordWrap/>
              <w:overflowPunct/>
              <w:topLinePunct w:val="0"/>
              <w:autoSpaceDE/>
              <w:autoSpaceDN/>
              <w:bidi w:val="0"/>
              <w:ind w:left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24.支持光盘刻录自动封装通用播放器功能，光盘放入光驱中，能自动使用通用播放器播放录像，并同时展示笔录文件；支持时间进度显示功能。</w:t>
            </w:r>
          </w:p>
          <w:p>
            <w:pPr>
              <w:keepNext w:val="0"/>
              <w:keepLines w:val="0"/>
              <w:pageBreakBefore w:val="0"/>
              <w:widowControl/>
              <w:numPr>
                <w:ilvl w:val="0"/>
                <w:numId w:val="0"/>
              </w:numPr>
              <w:suppressLineNumbers w:val="0"/>
              <w:kinsoku/>
              <w:wordWrap/>
              <w:overflowPunct/>
              <w:topLinePunct w:val="0"/>
              <w:autoSpaceDE/>
              <w:autoSpaceDN/>
              <w:bidi w:val="0"/>
              <w:ind w:left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25.支持重点标记功能，可以通过重点标记自动跳转到对应的录像和笔录时间点。</w:t>
            </w:r>
          </w:p>
          <w:p>
            <w:pPr>
              <w:keepNext w:val="0"/>
              <w:keepLines w:val="0"/>
              <w:pageBreakBefore w:val="0"/>
              <w:widowControl/>
              <w:numPr>
                <w:ilvl w:val="0"/>
                <w:numId w:val="0"/>
              </w:numPr>
              <w:suppressLineNumbers w:val="0"/>
              <w:kinsoku/>
              <w:wordWrap/>
              <w:overflowPunct/>
              <w:topLinePunct w:val="0"/>
              <w:autoSpaceDE/>
              <w:autoSpaceDN/>
              <w:bidi w:val="0"/>
              <w:ind w:left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26.支持实时显示每个刻录机中是否有光盘、光盘刻录容量、光盘剩余时间、光盘剩余空间、刻录状态和刻录过程中的问题等状态。</w:t>
            </w:r>
          </w:p>
          <w:p>
            <w:pPr>
              <w:keepNext w:val="0"/>
              <w:keepLines w:val="0"/>
              <w:pageBreakBefore w:val="0"/>
              <w:widowControl/>
              <w:numPr>
                <w:ilvl w:val="0"/>
                <w:numId w:val="0"/>
              </w:numPr>
              <w:suppressLineNumbers w:val="0"/>
              <w:kinsoku/>
              <w:wordWrap/>
              <w:overflowPunct/>
              <w:topLinePunct w:val="0"/>
              <w:autoSpaceDE/>
              <w:autoSpaceDN/>
              <w:bidi w:val="0"/>
              <w:ind w:left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27.支持H.323协议接入视频会议，远程点支持双流。</w:t>
            </w:r>
          </w:p>
          <w:p>
            <w:pPr>
              <w:keepNext w:val="0"/>
              <w:keepLines w:val="0"/>
              <w:pageBreakBefore w:val="0"/>
              <w:widowControl/>
              <w:numPr>
                <w:ilvl w:val="0"/>
                <w:numId w:val="0"/>
              </w:numPr>
              <w:suppressLineNumbers w:val="0"/>
              <w:kinsoku/>
              <w:wordWrap/>
              <w:overflowPunct/>
              <w:topLinePunct w:val="0"/>
              <w:autoSpaceDE/>
              <w:autoSpaceDN/>
              <w:bidi w:val="0"/>
              <w:ind w:left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28.支持用户授权，由用户组统一划分权限，支持最高三级权限登录，支持限制指定MAC地址或IP地址的机器登录客户端。</w:t>
            </w:r>
          </w:p>
          <w:p>
            <w:pPr>
              <w:keepNext w:val="0"/>
              <w:keepLines w:val="0"/>
              <w:pageBreakBefore w:val="0"/>
              <w:widowControl/>
              <w:numPr>
                <w:ilvl w:val="0"/>
                <w:numId w:val="0"/>
              </w:numPr>
              <w:suppressLineNumbers w:val="0"/>
              <w:kinsoku/>
              <w:wordWrap/>
              <w:overflowPunct/>
              <w:topLinePunct w:val="0"/>
              <w:autoSpaceDE/>
              <w:autoSpaceDN/>
              <w:bidi w:val="0"/>
              <w:ind w:left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29.支持对多种视频智能分析（证人保护、庭纪监督、区域看防、视频诊断、异常行为检测、姿态检测）的算法进行详细的参数配置，支持视频窗口绘制待检测区域。</w:t>
            </w:r>
          </w:p>
          <w:p>
            <w:pPr>
              <w:keepNext w:val="0"/>
              <w:keepLines w:val="0"/>
              <w:pageBreakBefore w:val="0"/>
              <w:widowControl/>
              <w:numPr>
                <w:ilvl w:val="0"/>
                <w:numId w:val="0"/>
              </w:numPr>
              <w:suppressLineNumbers w:val="0"/>
              <w:kinsoku/>
              <w:wordWrap/>
              <w:overflowPunct/>
              <w:topLinePunct w:val="0"/>
              <w:autoSpaceDE/>
              <w:autoSpaceDN/>
              <w:bidi w:val="0"/>
              <w:ind w:left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30.支持单画面不少于2个人脸动态马赛克处理（马赛克随人脸移动），支持自定义设置马赛克等级（薄码，中码，厚码）和区域大小；支持证人声音变声功能，支持</w:t>
            </w:r>
            <w:r>
              <w:rPr>
                <w:rFonts w:hint="eastAsia" w:ascii="宋体" w:hAnsi="宋体" w:cs="宋体"/>
                <w:i w:val="0"/>
                <w:iCs w:val="0"/>
                <w:color w:val="auto"/>
                <w:kern w:val="0"/>
                <w:sz w:val="21"/>
                <w:szCs w:val="21"/>
                <w:highlight w:val="none"/>
                <w:u w:val="none"/>
                <w:lang w:val="en-US" w:eastAsia="zh-CN" w:bidi="ar"/>
              </w:rPr>
              <w:t>不少于</w:t>
            </w:r>
            <w:r>
              <w:rPr>
                <w:rFonts w:hint="eastAsia" w:ascii="宋体" w:hAnsi="宋体" w:eastAsia="宋体" w:cs="宋体"/>
                <w:i w:val="0"/>
                <w:iCs w:val="0"/>
                <w:color w:val="auto"/>
                <w:kern w:val="0"/>
                <w:sz w:val="21"/>
                <w:szCs w:val="21"/>
                <w:highlight w:val="none"/>
                <w:u w:val="none"/>
                <w:lang w:val="en-US" w:eastAsia="zh-CN" w:bidi="ar"/>
              </w:rPr>
              <w:t>31种变声等级可选。31.支持对指定区域内庭审秩序不规范检测，如迟到、早退、中途离席、缺席、法官制服不规范检测，准确率不低于95%。</w:t>
            </w:r>
          </w:p>
          <w:p>
            <w:pPr>
              <w:keepNext w:val="0"/>
              <w:keepLines w:val="0"/>
              <w:pageBreakBefore w:val="0"/>
              <w:widowControl/>
              <w:numPr>
                <w:ilvl w:val="0"/>
                <w:numId w:val="0"/>
              </w:numPr>
              <w:suppressLineNumbers w:val="0"/>
              <w:kinsoku/>
              <w:wordWrap/>
              <w:overflowPunct/>
              <w:topLinePunct w:val="0"/>
              <w:autoSpaceDE/>
              <w:autoSpaceDN/>
              <w:bidi w:val="0"/>
              <w:ind w:left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32.在视频图像中设定检测区域，当有人员进入、逗留、离开均会产生告警信息，准确率不低于95%。</w:t>
            </w:r>
          </w:p>
          <w:p>
            <w:pPr>
              <w:keepNext w:val="0"/>
              <w:keepLines w:val="0"/>
              <w:pageBreakBefore w:val="0"/>
              <w:widowControl/>
              <w:numPr>
                <w:ilvl w:val="0"/>
                <w:numId w:val="0"/>
              </w:numPr>
              <w:suppressLineNumbers w:val="0"/>
              <w:kinsoku/>
              <w:wordWrap/>
              <w:overflowPunct/>
              <w:topLinePunct w:val="0"/>
              <w:autoSpaceDE/>
              <w:autoSpaceDN/>
              <w:bidi w:val="0"/>
              <w:ind w:left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33.支持对视频图像全画面的清晰度、偏色、曝光、视频干扰、遮挡、视频丢失指标进行检测。</w:t>
            </w:r>
          </w:p>
          <w:p>
            <w:pPr>
              <w:keepNext w:val="0"/>
              <w:keepLines w:val="0"/>
              <w:pageBreakBefore w:val="0"/>
              <w:widowControl/>
              <w:numPr>
                <w:ilvl w:val="0"/>
                <w:numId w:val="0"/>
              </w:numPr>
              <w:suppressLineNumbers w:val="0"/>
              <w:kinsoku/>
              <w:wordWrap/>
              <w:overflowPunct/>
              <w:topLinePunct w:val="0"/>
              <w:autoSpaceDE/>
              <w:autoSpaceDN/>
              <w:bidi w:val="0"/>
              <w:ind w:left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34.支持庭审过程中的笔录刻录到光盘中，支持自定义笔录模板功能，支持笔录重点标记功能。</w:t>
            </w:r>
          </w:p>
          <w:p>
            <w:pPr>
              <w:keepNext w:val="0"/>
              <w:keepLines w:val="0"/>
              <w:pageBreakBefore w:val="0"/>
              <w:widowControl/>
              <w:numPr>
                <w:ilvl w:val="0"/>
                <w:numId w:val="0"/>
              </w:numPr>
              <w:suppressLineNumbers w:val="0"/>
              <w:kinsoku/>
              <w:wordWrap/>
              <w:overflowPunct/>
              <w:topLinePunct w:val="0"/>
              <w:autoSpaceDE/>
              <w:autoSpaceDN/>
              <w:bidi w:val="0"/>
              <w:ind w:left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35.支持Raid0.Raid1.Raid5.RAID6.Raid10，支持硬盘SMART信息显示和坏道检测。</w:t>
            </w:r>
          </w:p>
          <w:p>
            <w:pPr>
              <w:keepNext w:val="0"/>
              <w:keepLines w:val="0"/>
              <w:pageBreakBefore w:val="0"/>
              <w:widowControl/>
              <w:numPr>
                <w:ilvl w:val="0"/>
                <w:numId w:val="0"/>
              </w:numPr>
              <w:suppressLineNumbers w:val="0"/>
              <w:kinsoku/>
              <w:wordWrap/>
              <w:overflowPunct/>
              <w:topLinePunct w:val="0"/>
              <w:autoSpaceDE/>
              <w:autoSpaceDN/>
              <w:bidi w:val="0"/>
              <w:ind w:left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36.支持接入平台统一管理，可通过平台远程刻录或远程调阅录像等，具有VSIP、GB/T28181平台的接入设置选项。</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高清摄像机</w:t>
            </w:r>
          </w:p>
        </w:tc>
        <w:tc>
          <w:tcPr>
            <w:tcW w:w="5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numPr>
                <w:ilvl w:val="0"/>
                <w:numId w:val="8"/>
              </w:numPr>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设备应采用1/1.8英寸CMOS传感器，内置2个GPU芯片，支持至少30倍光学变焦。</w:t>
            </w:r>
          </w:p>
          <w:p>
            <w:pPr>
              <w:keepNext w:val="0"/>
              <w:keepLines w:val="0"/>
              <w:pageBreakBefore w:val="0"/>
              <w:widowControl/>
              <w:numPr>
                <w:ilvl w:val="0"/>
                <w:numId w:val="8"/>
              </w:numPr>
              <w:suppressLineNumbers w:val="0"/>
              <w:kinsoku/>
              <w:wordWrap/>
              <w:overflowPunct/>
              <w:topLinePunct w:val="0"/>
              <w:autoSpaceDE/>
              <w:autoSpaceDN/>
              <w:bidi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设备的最低照度至少为0.002Lux(彩色)，0.0001Lux(黑白)。3.设备的水平分辨力不低于2000TVL，≥800万像素，信噪比不小于45dB,灰度等级不小于10级，宽动态范围不小于100dB。4.设备支持三码流并发输出：可达到主码流4096×2160，帧率30帧/秒，第一辅码流1020×1080，帧率30帧/秒，第二辅码流704×576，帧率30帧/秒。</w:t>
            </w:r>
          </w:p>
          <w:p>
            <w:pPr>
              <w:keepNext w:val="0"/>
              <w:keepLines w:val="0"/>
              <w:pageBreakBefore w:val="0"/>
              <w:widowControl/>
              <w:numPr>
                <w:ilvl w:val="0"/>
                <w:numId w:val="0"/>
              </w:numPr>
              <w:suppressLineNumbers w:val="0"/>
              <w:kinsoku/>
              <w:wordWrap/>
              <w:overflowPunct/>
              <w:topLinePunct w:val="0"/>
              <w:autoSpaceDE/>
              <w:autoSpaceDN/>
              <w:bidi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5.支持H.265.H.264.MJPEG编码格式；可将H.265.H.264格式设置为Baseline/Main/HighProfile。支持Smart编码。</w:t>
            </w:r>
          </w:p>
          <w:p>
            <w:pPr>
              <w:keepNext w:val="0"/>
              <w:keepLines w:val="0"/>
              <w:pageBreakBefore w:val="0"/>
              <w:widowControl/>
              <w:numPr>
                <w:ilvl w:val="0"/>
                <w:numId w:val="0"/>
              </w:numPr>
              <w:suppressLineNumbers w:val="0"/>
              <w:kinsoku/>
              <w:wordWrap/>
              <w:overflowPunct/>
              <w:topLinePunct w:val="0"/>
              <w:autoSpaceDE/>
              <w:autoSpaceDN/>
              <w:bidi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6.设备最大应支持分辨率4096×2160，帧率1fps~60fps可设置。</w:t>
            </w:r>
          </w:p>
          <w:p>
            <w:pPr>
              <w:keepNext w:val="0"/>
              <w:keepLines w:val="0"/>
              <w:pageBreakBefore w:val="0"/>
              <w:widowControl/>
              <w:numPr>
                <w:ilvl w:val="0"/>
                <w:numId w:val="0"/>
              </w:numPr>
              <w:suppressLineNumbers w:val="0"/>
              <w:kinsoku/>
              <w:wordWrap/>
              <w:overflowPunct/>
              <w:topLinePunct w:val="0"/>
              <w:autoSpaceDE/>
              <w:autoSpaceDN/>
              <w:bidi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7.设备音频编码格式应支持PCMA、PCMU、ADPCM、G.711.G.722.G726.AAC_LC、OPUS音频编码标准，支持双向语音对讲、静音、哑音、混音、AEC回声抵消等功能。</w:t>
            </w:r>
          </w:p>
          <w:p>
            <w:pPr>
              <w:keepNext w:val="0"/>
              <w:keepLines w:val="0"/>
              <w:pageBreakBefore w:val="0"/>
              <w:widowControl/>
              <w:numPr>
                <w:ilvl w:val="0"/>
                <w:numId w:val="0"/>
              </w:numPr>
              <w:suppressLineNumbers w:val="0"/>
              <w:kinsoku/>
              <w:wordWrap/>
              <w:overflowPunct/>
              <w:topLinePunct w:val="0"/>
              <w:autoSpaceDE/>
              <w:autoSpaceDN/>
              <w:bidi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8.支持1路SDI输出，支持1080P@30fps。</w:t>
            </w:r>
          </w:p>
          <w:p>
            <w:pPr>
              <w:keepNext w:val="0"/>
              <w:keepLines w:val="0"/>
              <w:pageBreakBefore w:val="0"/>
              <w:widowControl/>
              <w:numPr>
                <w:ilvl w:val="0"/>
                <w:numId w:val="0"/>
              </w:numPr>
              <w:suppressLineNumbers w:val="0"/>
              <w:kinsoku/>
              <w:wordWrap/>
              <w:overflowPunct/>
              <w:topLinePunct w:val="0"/>
              <w:autoSpaceDE/>
              <w:autoSpaceDN/>
              <w:bidi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设备具有强光抑制功能，可以开启/关闭，支持电子透雾及光学透雾功能设置选项，支持电子防抖、陀螺仪防抖功能设置选项，防抖等级可设置，支持加热功能设置，支持除湿功能设置。10.设备支持一个区域的ROI编码，区域大小可设置，支持4个矩形区域的区域遮盖，遮蔽区域颜色可以设置，遮蔽块可随云台转动而转动，支持镜像模式可实现左右翻转、上下翻转及中心翻转。</w:t>
            </w:r>
          </w:p>
          <w:p>
            <w:pPr>
              <w:keepNext w:val="0"/>
              <w:keepLines w:val="0"/>
              <w:pageBreakBefore w:val="0"/>
              <w:widowControl/>
              <w:numPr>
                <w:ilvl w:val="0"/>
                <w:numId w:val="0"/>
              </w:numPr>
              <w:suppressLineNumbers w:val="0"/>
              <w:kinsoku/>
              <w:wordWrap/>
              <w:overflowPunct/>
              <w:topLinePunct w:val="0"/>
              <w:autoSpaceDE/>
              <w:autoSpaceDN/>
              <w:bidi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11.设备具有本机存储功能，支持1个外置TF卡，单卡最大可支持512GB。</w:t>
            </w:r>
          </w:p>
          <w:p>
            <w:pPr>
              <w:keepNext w:val="0"/>
              <w:keepLines w:val="0"/>
              <w:pageBreakBefore w:val="0"/>
              <w:widowControl/>
              <w:numPr>
                <w:ilvl w:val="0"/>
                <w:numId w:val="0"/>
              </w:numPr>
              <w:suppressLineNumbers w:val="0"/>
              <w:kinsoku/>
              <w:wordWrap/>
              <w:overflowPunct/>
              <w:topLinePunct w:val="0"/>
              <w:autoSpaceDE/>
              <w:autoSpaceDN/>
              <w:bidi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12.设备具备网络自适应能力，在丢包率为≥20%的网络环境下，仍可正常显示监控画面。</w:t>
            </w:r>
          </w:p>
          <w:p>
            <w:pPr>
              <w:keepNext w:val="0"/>
              <w:keepLines w:val="0"/>
              <w:pageBreakBefore w:val="0"/>
              <w:widowControl/>
              <w:numPr>
                <w:ilvl w:val="0"/>
                <w:numId w:val="0"/>
              </w:numPr>
              <w:suppressLineNumbers w:val="0"/>
              <w:kinsoku/>
              <w:wordWrap/>
              <w:overflowPunct/>
              <w:topLinePunct w:val="0"/>
              <w:autoSpaceDE/>
              <w:autoSpaceDN/>
              <w:bidi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设备支持移动侦测、遮挡报警、警戒线、区域入侵、进入区域、离开区域、人员聚集、声音异常、物品遗留、物品拿取等智能分析功能。当以上的智能行为分析达到设定的阀值时，可通过WEB客户端给出报警提示，能够触发告警上传、语音提示、显示字幕、发送邮件、联动录像、并口告警输出、联动云台转台等多种报警方式。</w:t>
            </w:r>
          </w:p>
          <w:p>
            <w:pPr>
              <w:keepNext w:val="0"/>
              <w:keepLines w:val="0"/>
              <w:pageBreakBefore w:val="0"/>
              <w:widowControl/>
              <w:numPr>
                <w:ilvl w:val="0"/>
                <w:numId w:val="0"/>
              </w:numPr>
              <w:suppressLineNumbers w:val="0"/>
              <w:kinsoku/>
              <w:wordWrap/>
              <w:overflowPunct/>
              <w:topLinePunct w:val="0"/>
              <w:autoSpaceDE/>
              <w:autoSpaceDN/>
              <w:bidi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14.支持1路RJ4510M/100M以太网接口，1路RS485控制接口，1路LineIn和1路LineOut，1路开关量报警输入，1路开关量报警输出。</w:t>
            </w:r>
          </w:p>
          <w:p>
            <w:pPr>
              <w:keepNext w:val="0"/>
              <w:keepLines w:val="0"/>
              <w:pageBreakBefore w:val="0"/>
              <w:widowControl/>
              <w:numPr>
                <w:ilvl w:val="0"/>
                <w:numId w:val="0"/>
              </w:numPr>
              <w:suppressLineNumbers w:val="0"/>
              <w:kinsoku/>
              <w:wordWrap/>
              <w:overflowPunct/>
              <w:topLinePunct w:val="0"/>
              <w:autoSpaceDE/>
              <w:autoSpaceDN/>
              <w:bidi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15.设备应在-40°的低温及+70°的高温下都运行正常。</w:t>
            </w:r>
          </w:p>
          <w:p>
            <w:pPr>
              <w:keepNext w:val="0"/>
              <w:keepLines w:val="0"/>
              <w:pageBreakBefore w:val="0"/>
              <w:widowControl/>
              <w:numPr>
                <w:ilvl w:val="0"/>
                <w:numId w:val="0"/>
              </w:numPr>
              <w:suppressLineNumbers w:val="0"/>
              <w:kinsoku/>
              <w:wordWrap/>
              <w:overflowPunct/>
              <w:topLinePunct w:val="0"/>
              <w:autoSpaceDE/>
              <w:autoSpaceDN/>
              <w:bidi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16.电源电压在DC12V±30%范围内变化时，摄像机应能正常工作。</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63</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庭审桌面话筒</w:t>
            </w:r>
          </w:p>
        </w:tc>
        <w:tc>
          <w:tcPr>
            <w:tcW w:w="5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1.换能方式：驻极体；</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2.频率响应：40Hz-16KHz；</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3.指向性：心型指向；</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4.输出阻抗≥200Ω；</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5.灵敏度≥-43dB；</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6.供电电压不劣于DC9V/AC11.4V；</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7.带前/后奏音，灯环提示；</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8.咪管长度≥390mm。</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64</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功率放大器</w:t>
            </w:r>
          </w:p>
        </w:tc>
        <w:tc>
          <w:tcPr>
            <w:tcW w:w="5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1.智能控制强制散热设计，风机噪音小，散热效率高等特点；</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2.内置智能压限系统，控制功率模块及扬声器系统在安全范围内工作；</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3.具有BRI桥接、STE立体声、PAR立体声等模式，≥2种增益开关可选；</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4.AB类高效的功率放大电路，完善可靠的安全保护措施和工作状态指示，让用户放心使用；</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5.8Ω立体声额定功率≥250W×2；4Ω立体声额定功率≥450W×2；8Ω桥接功率≥620W；</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6.输入阻抗:10KΩ非平衡.20KΩ平衡；</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7.频率响应:20-20KHz；</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8.信噪比(A计权)≥90dB；</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9.额定源电动势不劣于630mV；</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10.保护方式:直流保护、超高频保护、短路保护、过载保护、开机关机保护、温度保护；</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专业音响</w:t>
            </w:r>
          </w:p>
        </w:tc>
        <w:tc>
          <w:tcPr>
            <w:tcW w:w="5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1.低音单元≥1×8″；</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2.高音单元≥1×1″；</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3.额定阻抗：8Ω；</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4.额定功率≥150W；</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5.灵敏度≥93dB 1w/1m；</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6.最大声压≥114dB；</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sz w:val="21"/>
                <w:szCs w:val="21"/>
                <w:highlight w:val="none"/>
              </w:rPr>
              <w:t>7.频率响应：50Hz-20KHz；</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音响支架</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高度：980-1680mm；斜杠：550-900mm。</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液晶电视</w:t>
            </w:r>
          </w:p>
        </w:tc>
        <w:tc>
          <w:tcPr>
            <w:tcW w:w="5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numPr>
                <w:ilvl w:val="0"/>
                <w:numId w:val="9"/>
              </w:numPr>
              <w:suppressLineNumbers w:val="0"/>
              <w:kinsoku/>
              <w:wordWrap/>
              <w:overflowPunct/>
              <w:topLinePunct w:val="0"/>
              <w:autoSpaceDE/>
              <w:autoSpaceDN/>
              <w:bidi w:val="0"/>
              <w:ind w:firstLine="0" w:firstLineChars="0"/>
              <w:jc w:val="both"/>
              <w:textAlignment w:val="center"/>
              <w:rPr>
                <w:rFonts w:hint="eastAsia"/>
                <w:highlight w:val="none"/>
                <w:lang w:val="en-US" w:eastAsia="zh-CN"/>
              </w:rPr>
            </w:pPr>
            <w:r>
              <w:rPr>
                <w:rFonts w:hint="eastAsia"/>
                <w:highlight w:val="none"/>
                <w:lang w:val="en-US" w:eastAsia="zh-CN"/>
              </w:rPr>
              <w:t>外观：悬浮全面屏。</w:t>
            </w:r>
          </w:p>
          <w:p>
            <w:pPr>
              <w:keepNext w:val="0"/>
              <w:keepLines w:val="0"/>
              <w:pageBreakBefore w:val="0"/>
              <w:widowControl/>
              <w:numPr>
                <w:ilvl w:val="0"/>
                <w:numId w:val="9"/>
              </w:numPr>
              <w:suppressLineNumbers w:val="0"/>
              <w:kinsoku/>
              <w:wordWrap/>
              <w:overflowPunct/>
              <w:topLinePunct w:val="0"/>
              <w:autoSpaceDE/>
              <w:autoSpaceDN/>
              <w:bidi w:val="0"/>
              <w:ind w:left="0" w:leftChars="0" w:firstLine="0" w:firstLineChars="0"/>
              <w:jc w:val="both"/>
              <w:textAlignment w:val="center"/>
              <w:rPr>
                <w:rFonts w:hint="eastAsia"/>
                <w:highlight w:val="none"/>
                <w:lang w:val="en-US" w:eastAsia="zh-CN"/>
              </w:rPr>
            </w:pPr>
            <w:r>
              <w:rPr>
                <w:rFonts w:hint="eastAsia"/>
                <w:highlight w:val="none"/>
                <w:lang w:val="en-US" w:eastAsia="zh-CN"/>
              </w:rPr>
              <w:t>屏幕：55寸，尺寸(长*高*厚）：1232×709×74mm。</w:t>
            </w:r>
          </w:p>
          <w:p>
            <w:pPr>
              <w:keepNext w:val="0"/>
              <w:keepLines w:val="0"/>
              <w:pageBreakBefore w:val="0"/>
              <w:widowControl/>
              <w:numPr>
                <w:ilvl w:val="0"/>
                <w:numId w:val="9"/>
              </w:numPr>
              <w:suppressLineNumbers w:val="0"/>
              <w:kinsoku/>
              <w:wordWrap/>
              <w:overflowPunct/>
              <w:topLinePunct w:val="0"/>
              <w:autoSpaceDE/>
              <w:autoSpaceDN/>
              <w:bidi w:val="0"/>
              <w:ind w:left="0" w:leftChars="0" w:firstLine="0" w:firstLineChars="0"/>
              <w:jc w:val="both"/>
              <w:textAlignment w:val="center"/>
              <w:rPr>
                <w:rFonts w:hint="eastAsia"/>
                <w:highlight w:val="none"/>
                <w:lang w:val="en-US" w:eastAsia="zh-CN"/>
              </w:rPr>
            </w:pPr>
            <w:r>
              <w:rPr>
                <w:rFonts w:hint="eastAsia"/>
                <w:highlight w:val="none"/>
                <w:lang w:val="en-US" w:eastAsia="zh-CN"/>
              </w:rPr>
              <w:t>分辨率：4K（3840×2160）。</w:t>
            </w:r>
          </w:p>
          <w:p>
            <w:pPr>
              <w:keepNext w:val="0"/>
              <w:keepLines w:val="0"/>
              <w:pageBreakBefore w:val="0"/>
              <w:widowControl/>
              <w:numPr>
                <w:ilvl w:val="0"/>
                <w:numId w:val="9"/>
              </w:numPr>
              <w:suppressLineNumbers w:val="0"/>
              <w:kinsoku/>
              <w:wordWrap/>
              <w:overflowPunct/>
              <w:topLinePunct w:val="0"/>
              <w:autoSpaceDE/>
              <w:autoSpaceDN/>
              <w:bidi w:val="0"/>
              <w:ind w:left="0" w:leftChars="0" w:firstLine="0" w:firstLineChars="0"/>
              <w:jc w:val="both"/>
              <w:textAlignment w:val="center"/>
              <w:rPr>
                <w:rFonts w:hint="eastAsia"/>
                <w:highlight w:val="none"/>
                <w:lang w:val="en-US" w:eastAsia="zh-CN"/>
              </w:rPr>
            </w:pPr>
            <w:r>
              <w:rPr>
                <w:rFonts w:hint="eastAsia"/>
                <w:highlight w:val="none"/>
                <w:lang w:val="en-US" w:eastAsia="zh-CN"/>
              </w:rPr>
              <w:t>色域(BT.709)：100%，色域(NTSC)：72%。</w:t>
            </w:r>
          </w:p>
          <w:p>
            <w:pPr>
              <w:keepNext w:val="0"/>
              <w:keepLines w:val="0"/>
              <w:pageBreakBefore w:val="0"/>
              <w:widowControl/>
              <w:numPr>
                <w:ilvl w:val="0"/>
                <w:numId w:val="9"/>
              </w:numPr>
              <w:suppressLineNumbers w:val="0"/>
              <w:kinsoku/>
              <w:wordWrap/>
              <w:overflowPunct/>
              <w:topLinePunct w:val="0"/>
              <w:autoSpaceDE/>
              <w:autoSpaceDN/>
              <w:bidi w:val="0"/>
              <w:ind w:left="0" w:leftChars="0" w:firstLine="0" w:firstLineChars="0"/>
              <w:jc w:val="both"/>
              <w:textAlignment w:val="center"/>
              <w:rPr>
                <w:rFonts w:hint="eastAsia"/>
                <w:highlight w:val="none"/>
                <w:lang w:val="en-US" w:eastAsia="zh-CN"/>
              </w:rPr>
            </w:pPr>
            <w:r>
              <w:rPr>
                <w:rFonts w:hint="eastAsia"/>
                <w:highlight w:val="none"/>
                <w:lang w:val="en-US" w:eastAsia="zh-CN"/>
              </w:rPr>
              <w:t>背光方式：DLED。</w:t>
            </w:r>
          </w:p>
          <w:p>
            <w:pPr>
              <w:keepNext w:val="0"/>
              <w:keepLines w:val="0"/>
              <w:pageBreakBefore w:val="0"/>
              <w:widowControl/>
              <w:numPr>
                <w:ilvl w:val="0"/>
                <w:numId w:val="9"/>
              </w:numPr>
              <w:suppressLineNumbers w:val="0"/>
              <w:kinsoku/>
              <w:wordWrap/>
              <w:overflowPunct/>
              <w:topLinePunct w:val="0"/>
              <w:autoSpaceDE/>
              <w:autoSpaceDN/>
              <w:bidi w:val="0"/>
              <w:ind w:left="0" w:leftChars="0" w:firstLine="0" w:firstLineChars="0"/>
              <w:jc w:val="both"/>
              <w:textAlignment w:val="center"/>
              <w:rPr>
                <w:rFonts w:hint="eastAsia"/>
                <w:highlight w:val="none"/>
                <w:lang w:val="en-US" w:eastAsia="zh-CN"/>
              </w:rPr>
            </w:pPr>
            <w:r>
              <w:rPr>
                <w:rFonts w:hint="eastAsia"/>
                <w:highlight w:val="none"/>
                <w:lang w:val="en-US" w:eastAsia="zh-CN"/>
              </w:rPr>
              <w:t>功耗：110W 二级能效，待机功率：≤0.5W。</w:t>
            </w:r>
          </w:p>
          <w:p>
            <w:pPr>
              <w:keepNext w:val="0"/>
              <w:keepLines w:val="0"/>
              <w:pageBreakBefore w:val="0"/>
              <w:widowControl/>
              <w:numPr>
                <w:ilvl w:val="0"/>
                <w:numId w:val="0"/>
              </w:numPr>
              <w:suppressLineNumbers w:val="0"/>
              <w:kinsoku/>
              <w:wordWrap/>
              <w:overflowPunct/>
              <w:topLinePunct w:val="0"/>
              <w:autoSpaceDE/>
              <w:autoSpaceDN/>
              <w:bidi w:val="0"/>
              <w:ind w:leftChars="0"/>
              <w:jc w:val="both"/>
              <w:textAlignment w:val="center"/>
              <w:rPr>
                <w:rFonts w:hint="eastAsia"/>
                <w:highlight w:val="none"/>
                <w:lang w:val="en-US" w:eastAsia="zh-CN"/>
              </w:rPr>
            </w:pPr>
            <w:r>
              <w:rPr>
                <w:rFonts w:hint="eastAsia"/>
                <w:highlight w:val="none"/>
                <w:lang w:val="en-US" w:eastAsia="zh-CN"/>
              </w:rPr>
              <w:t>7.主芯片：不能低于T963。</w:t>
            </w:r>
          </w:p>
          <w:p>
            <w:pPr>
              <w:keepNext w:val="0"/>
              <w:keepLines w:val="0"/>
              <w:pageBreakBefore w:val="0"/>
              <w:widowControl/>
              <w:numPr>
                <w:ilvl w:val="0"/>
                <w:numId w:val="0"/>
              </w:numPr>
              <w:suppressLineNumbers w:val="0"/>
              <w:kinsoku/>
              <w:wordWrap/>
              <w:overflowPunct/>
              <w:topLinePunct w:val="0"/>
              <w:autoSpaceDE/>
              <w:autoSpaceDN/>
              <w:bidi w:val="0"/>
              <w:ind w:leftChars="0"/>
              <w:jc w:val="both"/>
              <w:textAlignment w:val="center"/>
              <w:rPr>
                <w:rFonts w:hint="eastAsia"/>
                <w:highlight w:val="none"/>
                <w:lang w:val="en-US" w:eastAsia="zh-CN"/>
              </w:rPr>
            </w:pPr>
            <w:r>
              <w:rPr>
                <w:rFonts w:hint="eastAsia"/>
                <w:highlight w:val="none"/>
                <w:lang w:val="en-US" w:eastAsia="zh-CN"/>
              </w:rPr>
              <w:t>8.CPU：不能低于四核 ARM Cortex A35。</w:t>
            </w:r>
          </w:p>
          <w:p>
            <w:pPr>
              <w:keepNext w:val="0"/>
              <w:keepLines w:val="0"/>
              <w:pageBreakBefore w:val="0"/>
              <w:widowControl/>
              <w:numPr>
                <w:ilvl w:val="0"/>
                <w:numId w:val="7"/>
              </w:numPr>
              <w:suppressLineNumbers w:val="0"/>
              <w:kinsoku/>
              <w:wordWrap/>
              <w:overflowPunct/>
              <w:topLinePunct w:val="0"/>
              <w:autoSpaceDE/>
              <w:autoSpaceDN/>
              <w:bidi w:val="0"/>
              <w:ind w:left="0" w:leftChars="0" w:firstLine="0" w:firstLineChars="0"/>
              <w:jc w:val="both"/>
              <w:textAlignment w:val="center"/>
              <w:rPr>
                <w:rFonts w:hint="eastAsia"/>
                <w:highlight w:val="none"/>
                <w:lang w:val="en-US" w:eastAsia="zh-CN"/>
              </w:rPr>
            </w:pPr>
            <w:r>
              <w:rPr>
                <w:rFonts w:hint="eastAsia"/>
                <w:highlight w:val="none"/>
                <w:lang w:val="en-US" w:eastAsia="zh-CN"/>
              </w:rPr>
              <w:t>GPU：双核Mali-G52。</w:t>
            </w:r>
          </w:p>
          <w:p>
            <w:pPr>
              <w:keepNext w:val="0"/>
              <w:keepLines w:val="0"/>
              <w:pageBreakBefore w:val="0"/>
              <w:widowControl/>
              <w:numPr>
                <w:ilvl w:val="0"/>
                <w:numId w:val="7"/>
              </w:numPr>
              <w:suppressLineNumbers w:val="0"/>
              <w:kinsoku/>
              <w:wordWrap/>
              <w:overflowPunct/>
              <w:topLinePunct w:val="0"/>
              <w:autoSpaceDE/>
              <w:autoSpaceDN/>
              <w:bidi w:val="0"/>
              <w:ind w:left="0" w:leftChars="0" w:firstLine="0" w:firstLineChars="0"/>
              <w:jc w:val="both"/>
              <w:textAlignment w:val="center"/>
              <w:rPr>
                <w:rFonts w:hint="eastAsia"/>
                <w:highlight w:val="none"/>
                <w:lang w:val="en-US" w:eastAsia="zh-CN"/>
              </w:rPr>
            </w:pPr>
            <w:r>
              <w:rPr>
                <w:rFonts w:hint="eastAsia"/>
                <w:highlight w:val="none"/>
                <w:lang w:val="en-US" w:eastAsia="zh-CN"/>
              </w:rPr>
              <w:t>内存：1.5GB，存储：8GB。</w:t>
            </w:r>
          </w:p>
          <w:p>
            <w:pPr>
              <w:keepNext w:val="0"/>
              <w:keepLines w:val="0"/>
              <w:pageBreakBefore w:val="0"/>
              <w:widowControl/>
              <w:numPr>
                <w:ilvl w:val="0"/>
                <w:numId w:val="7"/>
              </w:numPr>
              <w:suppressLineNumbers w:val="0"/>
              <w:kinsoku/>
              <w:wordWrap/>
              <w:overflowPunct/>
              <w:topLinePunct w:val="0"/>
              <w:autoSpaceDE/>
              <w:autoSpaceDN/>
              <w:bidi w:val="0"/>
              <w:ind w:left="0" w:leftChars="0" w:firstLine="0" w:firstLineChars="0"/>
              <w:jc w:val="both"/>
              <w:textAlignment w:val="center"/>
              <w:rPr>
                <w:rFonts w:hint="eastAsia"/>
                <w:highlight w:val="none"/>
                <w:lang w:val="en-US" w:eastAsia="zh-CN"/>
              </w:rPr>
            </w:pPr>
            <w:r>
              <w:rPr>
                <w:rFonts w:hint="eastAsia"/>
                <w:highlight w:val="none"/>
                <w:lang w:val="en-US" w:eastAsia="zh-CN"/>
              </w:rPr>
              <w:t>操作系统：不能低于Android 9。</w:t>
            </w:r>
          </w:p>
          <w:p>
            <w:pPr>
              <w:keepNext w:val="0"/>
              <w:keepLines w:val="0"/>
              <w:pageBreakBefore w:val="0"/>
              <w:widowControl/>
              <w:numPr>
                <w:ilvl w:val="0"/>
                <w:numId w:val="7"/>
              </w:numPr>
              <w:suppressLineNumbers w:val="0"/>
              <w:kinsoku/>
              <w:wordWrap/>
              <w:overflowPunct/>
              <w:topLinePunct w:val="0"/>
              <w:autoSpaceDE/>
              <w:autoSpaceDN/>
              <w:bidi w:val="0"/>
              <w:ind w:left="0" w:leftChars="0" w:firstLine="0" w:firstLineChars="0"/>
              <w:jc w:val="both"/>
              <w:textAlignment w:val="center"/>
              <w:rPr>
                <w:rFonts w:hint="eastAsia"/>
                <w:highlight w:val="none"/>
                <w:lang w:val="en-US" w:eastAsia="zh-CN"/>
              </w:rPr>
            </w:pPr>
            <w:r>
              <w:rPr>
                <w:rFonts w:hint="eastAsia"/>
                <w:highlight w:val="none"/>
                <w:lang w:val="en-US" w:eastAsia="zh-CN"/>
              </w:rPr>
              <w:t>音频输出功率：8W*2。</w:t>
            </w:r>
          </w:p>
          <w:p>
            <w:pPr>
              <w:keepNext w:val="0"/>
              <w:keepLines w:val="0"/>
              <w:pageBreakBefore w:val="0"/>
              <w:widowControl/>
              <w:numPr>
                <w:ilvl w:val="0"/>
                <w:numId w:val="7"/>
              </w:numPr>
              <w:suppressLineNumbers w:val="0"/>
              <w:kinsoku/>
              <w:wordWrap/>
              <w:overflowPunct/>
              <w:topLinePunct w:val="0"/>
              <w:autoSpaceDE/>
              <w:autoSpaceDN/>
              <w:bidi w:val="0"/>
              <w:ind w:left="0" w:leftChars="0" w:firstLine="0" w:firstLineChars="0"/>
              <w:jc w:val="both"/>
              <w:textAlignment w:val="center"/>
              <w:rPr>
                <w:rFonts w:hint="eastAsia"/>
                <w:highlight w:val="none"/>
                <w:lang w:val="en-US" w:eastAsia="zh-CN"/>
              </w:rPr>
            </w:pPr>
            <w:r>
              <w:rPr>
                <w:rFonts w:hint="eastAsia"/>
                <w:highlight w:val="none"/>
                <w:lang w:val="en-US" w:eastAsia="zh-CN"/>
              </w:rPr>
              <w:t>WIFI通道：2.4GHz WiFi。</w:t>
            </w:r>
          </w:p>
          <w:p>
            <w:pPr>
              <w:keepNext w:val="0"/>
              <w:keepLines w:val="0"/>
              <w:pageBreakBefore w:val="0"/>
              <w:widowControl/>
              <w:numPr>
                <w:ilvl w:val="0"/>
                <w:numId w:val="7"/>
              </w:numPr>
              <w:suppressLineNumbers w:val="0"/>
              <w:kinsoku/>
              <w:wordWrap/>
              <w:overflowPunct/>
              <w:topLinePunct w:val="0"/>
              <w:autoSpaceDE/>
              <w:autoSpaceDN/>
              <w:bidi w:val="0"/>
              <w:ind w:left="0" w:leftChars="0" w:firstLine="0" w:firstLineChars="0"/>
              <w:jc w:val="both"/>
              <w:textAlignment w:val="center"/>
              <w:rPr>
                <w:rFonts w:hint="eastAsia"/>
                <w:highlight w:val="none"/>
                <w:lang w:val="en-US" w:eastAsia="zh-CN"/>
              </w:rPr>
            </w:pPr>
            <w:r>
              <w:rPr>
                <w:rFonts w:hint="eastAsia"/>
                <w:highlight w:val="none"/>
                <w:lang w:val="en-US" w:eastAsia="zh-CN"/>
              </w:rPr>
              <w:t>端口：HDMI2.0*2.USB2.0*2.网口*1.音视频输入*1.有线/天线输入*1.数字音频输出（同轴）*1。</w:t>
            </w:r>
          </w:p>
          <w:p>
            <w:pPr>
              <w:keepNext w:val="0"/>
              <w:keepLines w:val="0"/>
              <w:pageBreakBefore w:val="0"/>
              <w:widowControl/>
              <w:numPr>
                <w:ilvl w:val="0"/>
                <w:numId w:val="7"/>
              </w:numPr>
              <w:suppressLineNumbers w:val="0"/>
              <w:kinsoku/>
              <w:wordWrap/>
              <w:overflowPunct/>
              <w:topLinePunct w:val="0"/>
              <w:autoSpaceDE/>
              <w:autoSpaceDN/>
              <w:bidi w:val="0"/>
              <w:ind w:left="0" w:leftChars="0" w:firstLine="0" w:firstLineChars="0"/>
              <w:jc w:val="both"/>
              <w:textAlignment w:val="center"/>
              <w:rPr>
                <w:rFonts w:hint="eastAsia"/>
                <w:highlight w:val="none"/>
                <w:lang w:val="en-US" w:eastAsia="zh-CN"/>
              </w:rPr>
            </w:pPr>
            <w:r>
              <w:rPr>
                <w:rFonts w:hint="eastAsia"/>
                <w:highlight w:val="none"/>
                <w:lang w:val="en-US" w:eastAsia="zh-CN"/>
              </w:rPr>
              <w:t>定制功能：可自定义开机画面、开机视频、开机音量设定。</w:t>
            </w:r>
          </w:p>
          <w:p>
            <w:pPr>
              <w:keepNext w:val="0"/>
              <w:keepLines w:val="0"/>
              <w:pageBreakBefore w:val="0"/>
              <w:widowControl/>
              <w:numPr>
                <w:ilvl w:val="0"/>
                <w:numId w:val="7"/>
              </w:numPr>
              <w:suppressLineNumbers w:val="0"/>
              <w:kinsoku/>
              <w:wordWrap/>
              <w:overflowPunct/>
              <w:topLinePunct w:val="0"/>
              <w:autoSpaceDE/>
              <w:autoSpaceDN/>
              <w:bidi w:val="0"/>
              <w:ind w:left="0" w:leftChars="0" w:firstLine="0" w:firstLineChars="0"/>
              <w:jc w:val="both"/>
              <w:textAlignment w:val="center"/>
              <w:rPr>
                <w:rFonts w:hint="eastAsia"/>
                <w:highlight w:val="none"/>
                <w:lang w:val="en-US" w:eastAsia="zh-CN"/>
              </w:rPr>
            </w:pPr>
            <w:r>
              <w:rPr>
                <w:rFonts w:hint="eastAsia"/>
                <w:highlight w:val="none"/>
                <w:lang w:val="en-US" w:eastAsia="zh-CN"/>
              </w:rPr>
              <w:t>投屏功能：支持DLNA协议、AirPlay、WiFi-Direct，Miracast。</w:t>
            </w:r>
          </w:p>
          <w:p>
            <w:pPr>
              <w:pStyle w:val="2"/>
              <w:numPr>
                <w:ilvl w:val="0"/>
                <w:numId w:val="7"/>
              </w:numPr>
              <w:ind w:left="0" w:leftChars="0" w:firstLine="0" w:firstLineChars="0"/>
              <w:rPr>
                <w:rFonts w:hint="eastAsia"/>
                <w:highlight w:val="none"/>
              </w:rPr>
            </w:pPr>
            <w:bookmarkStart w:id="68" w:name="OLE_LINK1"/>
            <w:r>
              <w:rPr>
                <w:rFonts w:hint="eastAsia" w:ascii="Times New Roman" w:hAnsi="Times New Roman" w:eastAsia="宋体" w:cs="Times New Roman"/>
                <w:kern w:val="2"/>
                <w:sz w:val="21"/>
                <w:szCs w:val="24"/>
                <w:highlight w:val="none"/>
                <w:lang w:val="en-US" w:eastAsia="zh-CN" w:bidi="ar-SA"/>
              </w:rPr>
              <w:t>★投标文件中必须提供该产品由国家确定的认证机构出具的处于有效期之内的节能产品认证证书并加盖投标人公章。</w:t>
            </w:r>
            <w:bookmarkEnd w:id="68"/>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液晶电视移动挂架</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主体采用SPCC高强度钢，产品承重≥55KG，万向挂架</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69</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席位显示及主机（书记员电脑）</w:t>
            </w:r>
          </w:p>
        </w:tc>
        <w:tc>
          <w:tcPr>
            <w:tcW w:w="5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firstLineChars="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1.CPU：国产处理器麒麟9000C</w:t>
            </w:r>
            <w:r>
              <w:rPr>
                <w:rFonts w:hint="eastAsia" w:ascii="宋体" w:hAnsi="宋体" w:cs="宋体"/>
                <w:color w:val="auto"/>
                <w:kern w:val="0"/>
                <w:szCs w:val="21"/>
                <w:highlight w:val="none"/>
                <w:lang w:val="en-US" w:eastAsia="zh-CN" w:bidi="ar"/>
              </w:rPr>
              <w:t>或同等档次性能</w:t>
            </w:r>
            <w:r>
              <w:rPr>
                <w:rFonts w:hint="eastAsia" w:ascii="宋体" w:hAnsi="宋体" w:cs="宋体"/>
                <w:color w:val="auto"/>
                <w:kern w:val="0"/>
                <w:szCs w:val="21"/>
                <w:highlight w:val="none"/>
                <w:lang w:bidi="ar"/>
              </w:rPr>
              <w:t>，8核12线程，最高主频≧2.3GHz</w:t>
            </w:r>
          </w:p>
          <w:p>
            <w:pPr>
              <w:widowControl/>
              <w:ind w:firstLine="0" w:firstLineChars="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2.内存：16G LPDDR5 6400MT/s高速内存</w:t>
            </w:r>
          </w:p>
          <w:p>
            <w:pPr>
              <w:widowControl/>
              <w:ind w:firstLine="0" w:firstLineChars="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3.硬盘：512G固态硬盘+1TB机械硬盘</w:t>
            </w:r>
          </w:p>
          <w:p>
            <w:pPr>
              <w:widowControl/>
              <w:ind w:firstLine="0" w:firstLineChars="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4.前面板接口：USB-C(USB 2.0)接口x1，USB-A(USB 3.2 Gen 1)x1，耳机/麦克风二合一接口 x1，刻录光驱（可选配）</w:t>
            </w:r>
          </w:p>
          <w:p>
            <w:pPr>
              <w:widowControl/>
              <w:ind w:firstLine="0" w:firstLineChars="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5.后面板接口：USB-A(USB 3.2 Gen 1)接口x4，RJ45 接口x1，10M/100M/1000M自适应串口 x1，Audio Jack 接口(麦克风 x1，音频输出 x1，音频输入 x1)，VGA 接口 x1，HDMI 接口 x1</w:t>
            </w:r>
          </w:p>
          <w:p>
            <w:pPr>
              <w:widowControl/>
              <w:ind w:firstLine="0" w:firstLineChars="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6.主板接口：1个PCle 3.0x1 扩展槽;</w:t>
            </w:r>
          </w:p>
          <w:p>
            <w:pPr>
              <w:widowControl/>
              <w:ind w:firstLine="0" w:firstLineChars="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7.键鼠：同品牌抗菌键鼠</w:t>
            </w:r>
          </w:p>
          <w:p>
            <w:pPr>
              <w:widowControl/>
              <w:ind w:firstLine="0" w:firstLineChars="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8.机箱体积：8.6L</w:t>
            </w:r>
          </w:p>
          <w:p>
            <w:pPr>
              <w:widowControl/>
              <w:ind w:firstLine="0" w:firstLineChars="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9.整机重量：4.2Kg</w:t>
            </w:r>
          </w:p>
          <w:p>
            <w:pPr>
              <w:widowControl/>
              <w:ind w:firstLine="0" w:firstLineChars="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10.电源：180W</w:t>
            </w:r>
          </w:p>
          <w:p>
            <w:pPr>
              <w:pStyle w:val="2"/>
              <w:ind w:left="0" w:leftChars="0" w:firstLine="0" w:firstLineChars="0"/>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color w:val="auto"/>
                <w:kern w:val="0"/>
                <w:sz w:val="21"/>
                <w:szCs w:val="21"/>
                <w:highlight w:val="none"/>
                <w:lang w:bidi="ar"/>
              </w:rPr>
              <w:t>11.操作系统：支持统信操作系统，支持银河麒麟操作系统</w:t>
            </w:r>
          </w:p>
          <w:p>
            <w:pPr>
              <w:pStyle w:val="2"/>
              <w:ind w:left="0" w:leftChars="0" w:firstLine="0" w:firstLineChars="0"/>
              <w:rPr>
                <w:rFonts w:hint="default"/>
                <w:highlight w:val="none"/>
                <w:lang w:val="en-US"/>
              </w:rPr>
            </w:pPr>
            <w:r>
              <w:rPr>
                <w:rFonts w:hint="eastAsia" w:ascii="宋体" w:hAnsi="宋体" w:cs="宋体"/>
                <w:i w:val="0"/>
                <w:iCs w:val="0"/>
                <w:color w:val="auto"/>
                <w:kern w:val="0"/>
                <w:sz w:val="21"/>
                <w:szCs w:val="21"/>
                <w:highlight w:val="none"/>
                <w:u w:val="none"/>
                <w:lang w:val="en-US" w:eastAsia="zh-CN" w:bidi="ar"/>
              </w:rPr>
              <w:t>12.</w:t>
            </w:r>
            <w:r>
              <w:rPr>
                <w:rFonts w:hint="eastAsia" w:ascii="Times New Roman" w:hAnsi="Times New Roman" w:eastAsia="宋体" w:cs="Times New Roman"/>
                <w:kern w:val="2"/>
                <w:sz w:val="21"/>
                <w:szCs w:val="24"/>
                <w:highlight w:val="none"/>
                <w:lang w:val="en-US" w:eastAsia="zh-CN" w:bidi="ar-SA"/>
              </w:rPr>
              <w:t>★投标文件中必须提供该产品由国家确定的认证机构出具的处于有效期之内的节能产品认证证书并加盖投标人公章。</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签名捺印</w:t>
            </w:r>
          </w:p>
        </w:tc>
        <w:tc>
          <w:tcPr>
            <w:tcW w:w="5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numPr>
                <w:ilvl w:val="0"/>
                <w:numId w:val="10"/>
              </w:numPr>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国产高性能四核CPU，频率高达2.0GHz，内存4GB+64GB，支持芯片级国密加密，分辨率1280x800，公安部指纹，10.1电磁电容屏，支持与统一庭审系统平台软件对接。</w:t>
            </w:r>
          </w:p>
          <w:p>
            <w:pPr>
              <w:keepNext w:val="0"/>
              <w:keepLines w:val="0"/>
              <w:pageBreakBefore w:val="0"/>
              <w:widowControl/>
              <w:numPr>
                <w:ilvl w:val="0"/>
                <w:numId w:val="10"/>
              </w:numPr>
              <w:suppressLineNumbers w:val="0"/>
              <w:kinsoku/>
              <w:wordWrap/>
              <w:overflowPunct/>
              <w:topLinePunct w:val="0"/>
              <w:autoSpaceDE/>
              <w:autoSpaceDN/>
              <w:bidi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内置≥500w像素摄像头。</w:t>
            </w:r>
          </w:p>
          <w:p>
            <w:pPr>
              <w:keepNext w:val="0"/>
              <w:keepLines w:val="0"/>
              <w:pageBreakBefore w:val="0"/>
              <w:widowControl/>
              <w:numPr>
                <w:ilvl w:val="0"/>
                <w:numId w:val="10"/>
              </w:numPr>
              <w:suppressLineNumbers w:val="0"/>
              <w:kinsoku/>
              <w:wordWrap/>
              <w:overflowPunct/>
              <w:topLinePunct w:val="0"/>
              <w:autoSpaceDE/>
              <w:autoSpaceDN/>
              <w:bidi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无线无源电磁书写笔。</w:t>
            </w:r>
          </w:p>
          <w:p>
            <w:pPr>
              <w:keepNext w:val="0"/>
              <w:keepLines w:val="0"/>
              <w:pageBreakBefore w:val="0"/>
              <w:widowControl/>
              <w:numPr>
                <w:ilvl w:val="0"/>
                <w:numId w:val="0"/>
              </w:numPr>
              <w:suppressLineNumbers w:val="0"/>
              <w:kinsoku/>
              <w:wordWrap/>
              <w:overflowPunct/>
              <w:topLinePunct w:val="0"/>
              <w:autoSpaceDE/>
              <w:autoSpaceDN/>
              <w:bidi w:val="0"/>
              <w:ind w:left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4.电容式按压指纹采集。</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电源控制器</w:t>
            </w:r>
          </w:p>
        </w:tc>
        <w:tc>
          <w:tcPr>
            <w:tcW w:w="5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numPr>
                <w:ilvl w:val="0"/>
                <w:numId w:val="11"/>
              </w:numPr>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具备≥13路电源输出，包含前面板具备不少于五路常开直通电源输出接口（两路5孔插座+两路USB+1路Type-C）和后面板≥8路独立大功率受控电源输出（5孔插座）；</w:t>
            </w:r>
          </w:p>
          <w:p>
            <w:pPr>
              <w:keepNext w:val="0"/>
              <w:keepLines w:val="0"/>
              <w:pageBreakBefore w:val="0"/>
              <w:widowControl/>
              <w:numPr>
                <w:ilvl w:val="0"/>
                <w:numId w:val="0"/>
              </w:numPr>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2.前面板配备指针电压表，实时显示当前电压状态，可更加直观查看设备所处地点的工作电压；</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3.具有欠压、超压检测报警功能，可对欠压、超压状态进行蜂鸣声警报；</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4.独立电源具有独立电源指示和独立电源开关控制，支持顺开逆关功能，每路动作延时1秒；</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5.具有RS232接口，支持中控指令配置设备 ID，实现顺开逆关、受控单通道独立开关、模式调用、模式保存、波特率设置、设置级联、初始化等操作功能；</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6.支持短路信号和RS-485协议进行级联控制，RS-485协议级联后从机可自动检测主控机的业务操作指令，执行相同的业务操作指令，RS-485协议方式最大级联设备≥8台；</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7.支持≥8组设备开关场景数据保存与调用；</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8.最大功率≥6600W，单路最大电流≥10A；</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9.额定输出电压：交流100V240V50Hz；</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10.内置电源滤波器，有效抑制电磁噪声，实现电源净化功能，提供更纯净的电源。</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打印机</w:t>
            </w:r>
          </w:p>
        </w:tc>
        <w:tc>
          <w:tcPr>
            <w:tcW w:w="5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0" w:firstLineChars="0"/>
              <w:textAlignment w:val="center"/>
              <w:rPr>
                <w:rFonts w:hint="eastAsia" w:eastAsia="宋体"/>
                <w:highlight w:val="none"/>
                <w:lang w:eastAsia="zh-CN"/>
              </w:rPr>
            </w:pPr>
            <w:r>
              <w:rPr>
                <w:rFonts w:hint="eastAsia"/>
                <w:highlight w:val="none"/>
              </w:rPr>
              <w:t>A4彩色单功能，黑彩同速18ppm，双面打印。有线网络打印</w:t>
            </w:r>
            <w:r>
              <w:rPr>
                <w:rFonts w:hint="eastAsia"/>
                <w:highlight w:val="none"/>
                <w:lang w:eastAsia="zh-CN"/>
              </w:rPr>
              <w:t>。</w:t>
            </w:r>
          </w:p>
          <w:p>
            <w:pPr>
              <w:widowControl/>
              <w:ind w:firstLine="0" w:firstLineChars="0"/>
              <w:textAlignment w:val="center"/>
              <w:rPr>
                <w:rFonts w:hint="eastAsia"/>
                <w:highlight w:val="none"/>
              </w:rPr>
            </w:pPr>
            <w:r>
              <w:rPr>
                <w:rFonts w:hint="eastAsia"/>
                <w:highlight w:val="none"/>
              </w:rPr>
              <w:t>1、 18页/分钟（黑彩同速）  ,</w:t>
            </w:r>
          </w:p>
          <w:p>
            <w:pPr>
              <w:widowControl/>
              <w:ind w:firstLine="0" w:firstLineChars="0"/>
              <w:textAlignment w:val="center"/>
              <w:rPr>
                <w:rFonts w:hint="eastAsia"/>
                <w:highlight w:val="none"/>
              </w:rPr>
            </w:pPr>
            <w:r>
              <w:rPr>
                <w:rFonts w:hint="eastAsia"/>
                <w:highlight w:val="none"/>
              </w:rPr>
              <w:t>2、月负荷30000页 ；</w:t>
            </w:r>
          </w:p>
          <w:p>
            <w:pPr>
              <w:widowControl/>
              <w:ind w:firstLine="0" w:firstLineChars="0"/>
              <w:textAlignment w:val="center"/>
              <w:rPr>
                <w:rFonts w:hint="eastAsia"/>
                <w:highlight w:val="none"/>
              </w:rPr>
            </w:pPr>
            <w:r>
              <w:rPr>
                <w:rFonts w:hint="eastAsia"/>
                <w:highlight w:val="none"/>
              </w:rPr>
              <w:t>3、 1200*600DPI  ；</w:t>
            </w:r>
          </w:p>
          <w:p>
            <w:pPr>
              <w:widowControl/>
              <w:ind w:firstLine="0" w:firstLineChars="0"/>
              <w:textAlignment w:val="center"/>
              <w:rPr>
                <w:rFonts w:hint="eastAsia"/>
                <w:highlight w:val="none"/>
              </w:rPr>
            </w:pPr>
            <w:r>
              <w:rPr>
                <w:rFonts w:hint="eastAsia"/>
                <w:highlight w:val="none"/>
              </w:rPr>
              <w:t>4、一键驱动安装；</w:t>
            </w:r>
          </w:p>
          <w:p>
            <w:pPr>
              <w:widowControl/>
              <w:ind w:firstLine="0" w:firstLineChars="0"/>
              <w:textAlignment w:val="center"/>
              <w:rPr>
                <w:rFonts w:hint="eastAsia"/>
                <w:highlight w:val="none"/>
              </w:rPr>
            </w:pPr>
            <w:r>
              <w:rPr>
                <w:rFonts w:hint="eastAsia"/>
                <w:highlight w:val="none"/>
              </w:rPr>
              <w:t xml:space="preserve">5、纸盒容量：250页 ；   </w:t>
            </w:r>
          </w:p>
          <w:p>
            <w:pPr>
              <w:widowControl/>
              <w:ind w:firstLine="0" w:firstLineChars="0"/>
              <w:textAlignment w:val="center"/>
              <w:rPr>
                <w:rFonts w:hint="eastAsia"/>
                <w:highlight w:val="none"/>
              </w:rPr>
            </w:pPr>
            <w:r>
              <w:rPr>
                <w:rFonts w:hint="eastAsia"/>
                <w:highlight w:val="none"/>
              </w:rPr>
              <w:t>6、内存：1G  ；</w:t>
            </w:r>
          </w:p>
          <w:p>
            <w:pPr>
              <w:widowControl/>
              <w:ind w:firstLine="0" w:firstLineChars="0"/>
              <w:textAlignment w:val="center"/>
              <w:rPr>
                <w:rFonts w:hint="eastAsia"/>
                <w:highlight w:val="none"/>
              </w:rPr>
            </w:pPr>
            <w:r>
              <w:rPr>
                <w:rFonts w:hint="eastAsia"/>
                <w:highlight w:val="none"/>
              </w:rPr>
              <w:t xml:space="preserve">7、CPU：1GHZ双核 ； </w:t>
            </w:r>
          </w:p>
          <w:p>
            <w:pPr>
              <w:widowControl/>
              <w:ind w:firstLine="0" w:firstLineChars="0"/>
              <w:textAlignment w:val="center"/>
              <w:rPr>
                <w:rFonts w:hint="eastAsia"/>
                <w:highlight w:val="none"/>
              </w:rPr>
            </w:pPr>
            <w:r>
              <w:rPr>
                <w:rFonts w:hint="eastAsia"/>
                <w:highlight w:val="none"/>
              </w:rPr>
              <w:t>8、有兼容耗材。</w:t>
            </w:r>
          </w:p>
          <w:p>
            <w:pPr>
              <w:widowControl/>
              <w:ind w:firstLine="0" w:firstLineChars="0"/>
              <w:textAlignment w:val="center"/>
              <w:rPr>
                <w:rFonts w:hint="eastAsia"/>
                <w:highlight w:val="none"/>
              </w:rPr>
            </w:pPr>
            <w:r>
              <w:rPr>
                <w:rFonts w:hint="eastAsia"/>
                <w:highlight w:val="none"/>
              </w:rPr>
              <w:t>9.★投标文件中必须提供该产品由国家确定的认证机构出具的处于有效期之内的节能产品认证证书并加盖投标人公章。</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73</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扫描仪</w:t>
            </w:r>
          </w:p>
        </w:tc>
        <w:tc>
          <w:tcPr>
            <w:tcW w:w="5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numPr>
                <w:ilvl w:val="0"/>
                <w:numId w:val="12"/>
              </w:numPr>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传感器尺寸： 1/3.2〞CMOS</w:t>
            </w:r>
          </w:p>
          <w:p>
            <w:pPr>
              <w:keepNext w:val="0"/>
              <w:keepLines w:val="0"/>
              <w:pageBreakBefore w:val="0"/>
              <w:widowControl/>
              <w:numPr>
                <w:ilvl w:val="0"/>
                <w:numId w:val="12"/>
              </w:numPr>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分辨率： 3648×2736</w:t>
            </w:r>
            <w:r>
              <w:rPr>
                <w:rFonts w:hint="eastAsia" w:ascii="宋体" w:hAnsi="宋体" w:cs="宋体"/>
                <w:i w:val="0"/>
                <w:iCs w:val="0"/>
                <w:color w:val="auto"/>
                <w:kern w:val="0"/>
                <w:sz w:val="21"/>
                <w:szCs w:val="21"/>
                <w:highlight w:val="none"/>
                <w:u w:val="none"/>
                <w:lang w:val="en-US" w:eastAsia="zh-CN" w:bidi="ar"/>
              </w:rPr>
              <w:t>；</w:t>
            </w:r>
          </w:p>
          <w:p>
            <w:pPr>
              <w:keepNext w:val="0"/>
              <w:keepLines w:val="0"/>
              <w:pageBreakBefore w:val="0"/>
              <w:widowControl/>
              <w:numPr>
                <w:ilvl w:val="0"/>
                <w:numId w:val="12"/>
              </w:numPr>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像素 ：1000万图像色彩 ；</w:t>
            </w:r>
          </w:p>
          <w:p>
            <w:pPr>
              <w:keepNext w:val="0"/>
              <w:keepLines w:val="0"/>
              <w:pageBreakBefore w:val="0"/>
              <w:widowControl/>
              <w:numPr>
                <w:ilvl w:val="0"/>
                <w:numId w:val="12"/>
              </w:numPr>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RGB24位真彩对焦方式 ：定焦</w:t>
            </w:r>
            <w:r>
              <w:rPr>
                <w:rFonts w:hint="eastAsia" w:ascii="宋体" w:hAnsi="宋体" w:cs="宋体"/>
                <w:i w:val="0"/>
                <w:iCs w:val="0"/>
                <w:color w:val="auto"/>
                <w:kern w:val="0"/>
                <w:sz w:val="21"/>
                <w:szCs w:val="21"/>
                <w:highlight w:val="none"/>
                <w:u w:val="none"/>
                <w:lang w:val="en-US" w:eastAsia="zh-CN" w:bidi="ar"/>
              </w:rPr>
              <w:t>；</w:t>
            </w:r>
          </w:p>
          <w:p>
            <w:pPr>
              <w:keepNext w:val="0"/>
              <w:keepLines w:val="0"/>
              <w:pageBreakBefore w:val="0"/>
              <w:widowControl/>
              <w:numPr>
                <w:ilvl w:val="0"/>
                <w:numId w:val="12"/>
              </w:numPr>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曝光模式： 自动/手动可拍</w:t>
            </w:r>
            <w:r>
              <w:rPr>
                <w:rFonts w:hint="eastAsia" w:ascii="宋体" w:hAnsi="宋体" w:cs="宋体"/>
                <w:i w:val="0"/>
                <w:iCs w:val="0"/>
                <w:color w:val="auto"/>
                <w:kern w:val="0"/>
                <w:sz w:val="21"/>
                <w:szCs w:val="21"/>
                <w:highlight w:val="none"/>
                <w:u w:val="none"/>
                <w:lang w:val="en-US" w:eastAsia="zh-CN" w:bidi="ar"/>
              </w:rPr>
              <w:t>；</w:t>
            </w:r>
          </w:p>
          <w:p>
            <w:pPr>
              <w:keepNext w:val="0"/>
              <w:keepLines w:val="0"/>
              <w:pageBreakBefore w:val="0"/>
              <w:widowControl/>
              <w:numPr>
                <w:ilvl w:val="0"/>
                <w:numId w:val="12"/>
              </w:numPr>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物件类型 ：证件、文档、各类凭证、立体实物等</w:t>
            </w:r>
            <w:r>
              <w:rPr>
                <w:rFonts w:hint="eastAsia" w:ascii="宋体" w:hAnsi="宋体" w:cs="宋体"/>
                <w:i w:val="0"/>
                <w:iCs w:val="0"/>
                <w:color w:val="auto"/>
                <w:kern w:val="0"/>
                <w:sz w:val="21"/>
                <w:szCs w:val="21"/>
                <w:highlight w:val="none"/>
                <w:u w:val="none"/>
                <w:lang w:val="en-US" w:eastAsia="zh-CN" w:bidi="ar"/>
              </w:rPr>
              <w:t>；</w:t>
            </w:r>
          </w:p>
          <w:p>
            <w:pPr>
              <w:keepNext w:val="0"/>
              <w:keepLines w:val="0"/>
              <w:pageBreakBefore w:val="0"/>
              <w:widowControl/>
              <w:numPr>
                <w:ilvl w:val="0"/>
                <w:numId w:val="12"/>
              </w:numPr>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拍摄幅面： A3.A4</w:t>
            </w:r>
            <w:r>
              <w:rPr>
                <w:rFonts w:hint="eastAsia" w:ascii="宋体" w:hAnsi="宋体" w:cs="宋体"/>
                <w:i w:val="0"/>
                <w:iCs w:val="0"/>
                <w:color w:val="auto"/>
                <w:kern w:val="0"/>
                <w:sz w:val="21"/>
                <w:szCs w:val="21"/>
                <w:highlight w:val="none"/>
                <w:u w:val="none"/>
                <w:lang w:val="en-US" w:eastAsia="zh-CN" w:bidi="ar"/>
              </w:rPr>
              <w:t>；</w:t>
            </w:r>
          </w:p>
          <w:p>
            <w:pPr>
              <w:keepNext w:val="0"/>
              <w:keepLines w:val="0"/>
              <w:pageBreakBefore w:val="0"/>
              <w:widowControl/>
              <w:numPr>
                <w:ilvl w:val="0"/>
                <w:numId w:val="12"/>
              </w:numPr>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图像格式： BMP、JPG、PNG、TIF、TGA、PCX、RAS、PDF、JPGE、TIFF、WORD、TXT、GIF等</w:t>
            </w:r>
            <w:r>
              <w:rPr>
                <w:rFonts w:hint="eastAsia" w:ascii="宋体" w:hAnsi="宋体" w:cs="宋体"/>
                <w:i w:val="0"/>
                <w:iCs w:val="0"/>
                <w:color w:val="auto"/>
                <w:kern w:val="0"/>
                <w:sz w:val="21"/>
                <w:szCs w:val="21"/>
                <w:highlight w:val="none"/>
                <w:u w:val="none"/>
                <w:lang w:val="en-US" w:eastAsia="zh-CN" w:bidi="ar"/>
              </w:rPr>
              <w:t>；</w:t>
            </w:r>
          </w:p>
          <w:p>
            <w:pPr>
              <w:keepNext w:val="0"/>
              <w:keepLines w:val="0"/>
              <w:pageBreakBefore w:val="0"/>
              <w:widowControl/>
              <w:numPr>
                <w:ilvl w:val="0"/>
                <w:numId w:val="12"/>
              </w:numPr>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图片大小： ≤400K</w:t>
            </w:r>
            <w:r>
              <w:rPr>
                <w:rFonts w:hint="eastAsia" w:ascii="宋体" w:hAnsi="宋体" w:cs="宋体"/>
                <w:i w:val="0"/>
                <w:iCs w:val="0"/>
                <w:color w:val="auto"/>
                <w:kern w:val="0"/>
                <w:sz w:val="21"/>
                <w:szCs w:val="21"/>
                <w:highlight w:val="none"/>
                <w:u w:val="none"/>
                <w:lang w:val="en-US" w:eastAsia="zh-CN" w:bidi="ar"/>
              </w:rPr>
              <w:t>；</w:t>
            </w:r>
          </w:p>
          <w:p>
            <w:pPr>
              <w:keepNext w:val="0"/>
              <w:keepLines w:val="0"/>
              <w:pageBreakBefore w:val="0"/>
              <w:widowControl/>
              <w:numPr>
                <w:ilvl w:val="0"/>
                <w:numId w:val="12"/>
              </w:numPr>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图像质量 ：无肉眼可识别的闪烁、波纹、噪点等、常规光线变化不影响图片质量</w:t>
            </w:r>
            <w:r>
              <w:rPr>
                <w:rFonts w:hint="eastAsia" w:ascii="宋体" w:hAnsi="宋体" w:cs="宋体"/>
                <w:i w:val="0"/>
                <w:iCs w:val="0"/>
                <w:color w:val="auto"/>
                <w:kern w:val="0"/>
                <w:sz w:val="21"/>
                <w:szCs w:val="21"/>
                <w:highlight w:val="none"/>
                <w:u w:val="none"/>
                <w:lang w:val="en-US" w:eastAsia="zh-CN" w:bidi="ar"/>
              </w:rPr>
              <w:t>；</w:t>
            </w:r>
          </w:p>
          <w:p>
            <w:pPr>
              <w:keepNext w:val="0"/>
              <w:keepLines w:val="0"/>
              <w:pageBreakBefore w:val="0"/>
              <w:widowControl/>
              <w:numPr>
                <w:ilvl w:val="0"/>
                <w:numId w:val="12"/>
              </w:numPr>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镜头 ：可上下、左右进行微调</w:t>
            </w:r>
            <w:r>
              <w:rPr>
                <w:rFonts w:hint="eastAsia" w:ascii="宋体" w:hAnsi="宋体" w:cs="宋体"/>
                <w:i w:val="0"/>
                <w:iCs w:val="0"/>
                <w:color w:val="auto"/>
                <w:kern w:val="0"/>
                <w:sz w:val="21"/>
                <w:szCs w:val="21"/>
                <w:highlight w:val="none"/>
                <w:u w:val="none"/>
                <w:lang w:val="en-US" w:eastAsia="zh-CN" w:bidi="ar"/>
              </w:rPr>
              <w:t>；</w:t>
            </w:r>
          </w:p>
          <w:p>
            <w:pPr>
              <w:keepNext w:val="0"/>
              <w:keepLines w:val="0"/>
              <w:pageBreakBefore w:val="0"/>
              <w:widowControl/>
              <w:numPr>
                <w:ilvl w:val="0"/>
                <w:numId w:val="12"/>
              </w:numPr>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光源 ：自然光、6颗LED辅助光源</w:t>
            </w:r>
            <w:r>
              <w:rPr>
                <w:rFonts w:hint="eastAsia" w:ascii="宋体" w:hAnsi="宋体" w:cs="宋体"/>
                <w:i w:val="0"/>
                <w:iCs w:val="0"/>
                <w:color w:val="auto"/>
                <w:kern w:val="0"/>
                <w:sz w:val="21"/>
                <w:szCs w:val="21"/>
                <w:highlight w:val="none"/>
                <w:u w:val="none"/>
                <w:lang w:val="en-US" w:eastAsia="zh-CN" w:bidi="ar"/>
              </w:rPr>
              <w:t>；</w:t>
            </w:r>
          </w:p>
          <w:p>
            <w:pPr>
              <w:keepNext w:val="0"/>
              <w:keepLines w:val="0"/>
              <w:pageBreakBefore w:val="0"/>
              <w:widowControl/>
              <w:numPr>
                <w:ilvl w:val="0"/>
                <w:numId w:val="12"/>
              </w:numPr>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成像速度 ：≤1秒畸变指标 ：≤1%接口： USB2.0灵活性 ：支架高度可调，视业务要求可适应不同大小纸张的拍摄，支持图像自动裁剪</w:t>
            </w:r>
            <w:r>
              <w:rPr>
                <w:rFonts w:hint="eastAsia" w:ascii="宋体" w:hAnsi="宋体" w:cs="宋体"/>
                <w:i w:val="0"/>
                <w:iCs w:val="0"/>
                <w:color w:val="auto"/>
                <w:kern w:val="0"/>
                <w:sz w:val="21"/>
                <w:szCs w:val="21"/>
                <w:highlight w:val="none"/>
                <w:u w:val="none"/>
                <w:lang w:val="en-US" w:eastAsia="zh-CN" w:bidi="ar"/>
              </w:rPr>
              <w:t>；</w:t>
            </w:r>
          </w:p>
          <w:p>
            <w:pPr>
              <w:keepNext w:val="0"/>
              <w:keepLines w:val="0"/>
              <w:pageBreakBefore w:val="0"/>
              <w:widowControl/>
              <w:numPr>
                <w:ilvl w:val="0"/>
                <w:numId w:val="12"/>
              </w:numPr>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业务支持 ：底板支持各种凭证，并标有各种凭证刻度，底板内置USB-HUB，可提供2个扩展USB口</w:t>
            </w:r>
            <w:r>
              <w:rPr>
                <w:rFonts w:hint="eastAsia" w:ascii="宋体" w:hAnsi="宋体" w:cs="宋体"/>
                <w:i w:val="0"/>
                <w:iCs w:val="0"/>
                <w:color w:val="auto"/>
                <w:kern w:val="0"/>
                <w:sz w:val="21"/>
                <w:szCs w:val="21"/>
                <w:highlight w:val="none"/>
                <w:u w:val="none"/>
                <w:lang w:val="en-US" w:eastAsia="zh-CN" w:bidi="ar"/>
              </w:rPr>
              <w:t>；</w:t>
            </w:r>
          </w:p>
          <w:p>
            <w:pPr>
              <w:keepNext w:val="0"/>
              <w:keepLines w:val="0"/>
              <w:pageBreakBefore w:val="0"/>
              <w:widowControl/>
              <w:numPr>
                <w:ilvl w:val="0"/>
                <w:numId w:val="12"/>
              </w:numPr>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连接性 ：底座与支架一体化不可拆分、但支持通过转折卡扣折叠收纳，且收纳厚度不超过15CM</w:t>
            </w:r>
            <w:r>
              <w:rPr>
                <w:rFonts w:hint="eastAsia" w:ascii="宋体" w:hAnsi="宋体" w:cs="宋体"/>
                <w:i w:val="0"/>
                <w:iCs w:val="0"/>
                <w:color w:val="auto"/>
                <w:kern w:val="0"/>
                <w:sz w:val="21"/>
                <w:szCs w:val="21"/>
                <w:highlight w:val="none"/>
                <w:u w:val="none"/>
                <w:lang w:val="en-US" w:eastAsia="zh-CN" w:bidi="ar"/>
              </w:rPr>
              <w:t>；</w:t>
            </w:r>
          </w:p>
          <w:p>
            <w:pPr>
              <w:keepNext w:val="0"/>
              <w:keepLines w:val="0"/>
              <w:pageBreakBefore w:val="0"/>
              <w:widowControl/>
              <w:numPr>
                <w:ilvl w:val="0"/>
                <w:numId w:val="12"/>
              </w:numPr>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面板刻度： 包括身份证（凹槽）、A5.A4纸三种规格</w:t>
            </w:r>
            <w:r>
              <w:rPr>
                <w:rFonts w:hint="eastAsia" w:ascii="宋体" w:hAnsi="宋体" w:cs="宋体"/>
                <w:i w:val="0"/>
                <w:iCs w:val="0"/>
                <w:color w:val="auto"/>
                <w:kern w:val="0"/>
                <w:sz w:val="21"/>
                <w:szCs w:val="21"/>
                <w:highlight w:val="none"/>
                <w:u w:val="none"/>
                <w:lang w:val="en-US" w:eastAsia="zh-CN" w:bidi="ar"/>
              </w:rPr>
              <w:t>；</w:t>
            </w:r>
          </w:p>
          <w:p>
            <w:pPr>
              <w:keepNext w:val="0"/>
              <w:keepLines w:val="0"/>
              <w:pageBreakBefore w:val="0"/>
              <w:widowControl/>
              <w:numPr>
                <w:ilvl w:val="0"/>
                <w:numId w:val="12"/>
              </w:numPr>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设备寿命 ：≥6万小时</w:t>
            </w:r>
            <w:r>
              <w:rPr>
                <w:rFonts w:hint="eastAsia" w:ascii="宋体" w:hAnsi="宋体" w:cs="宋体"/>
                <w:i w:val="0"/>
                <w:iCs w:val="0"/>
                <w:color w:val="auto"/>
                <w:kern w:val="0"/>
                <w:sz w:val="21"/>
                <w:szCs w:val="21"/>
                <w:highlight w:val="none"/>
                <w:u w:val="none"/>
                <w:lang w:val="en-US" w:eastAsia="zh-CN" w:bidi="ar"/>
              </w:rPr>
              <w:t>；</w:t>
            </w:r>
          </w:p>
          <w:p>
            <w:pPr>
              <w:keepNext w:val="0"/>
              <w:keepLines w:val="0"/>
              <w:pageBreakBefore w:val="0"/>
              <w:widowControl/>
              <w:numPr>
                <w:ilvl w:val="0"/>
                <w:numId w:val="12"/>
              </w:numPr>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连接方式： USB连接 USB2.0传输数据与供电，无需外接电源</w:t>
            </w:r>
            <w:r>
              <w:rPr>
                <w:rFonts w:hint="eastAsia" w:ascii="宋体" w:hAnsi="宋体" w:cs="宋体"/>
                <w:i w:val="0"/>
                <w:iCs w:val="0"/>
                <w:color w:val="auto"/>
                <w:kern w:val="0"/>
                <w:sz w:val="21"/>
                <w:szCs w:val="21"/>
                <w:highlight w:val="none"/>
                <w:u w:val="none"/>
                <w:lang w:val="en-US" w:eastAsia="zh-CN" w:bidi="ar"/>
              </w:rPr>
              <w:t>；</w:t>
            </w:r>
          </w:p>
          <w:p>
            <w:pPr>
              <w:keepNext w:val="0"/>
              <w:keepLines w:val="0"/>
              <w:pageBreakBefore w:val="0"/>
              <w:widowControl/>
              <w:numPr>
                <w:ilvl w:val="0"/>
                <w:numId w:val="12"/>
              </w:numPr>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照明光源： 自然光与自带全新超高LED补光灯</w:t>
            </w:r>
            <w:r>
              <w:rPr>
                <w:rFonts w:hint="eastAsia" w:ascii="宋体" w:hAnsi="宋体" w:cs="宋体"/>
                <w:i w:val="0"/>
                <w:iCs w:val="0"/>
                <w:color w:val="auto"/>
                <w:kern w:val="0"/>
                <w:sz w:val="21"/>
                <w:szCs w:val="21"/>
                <w:highlight w:val="none"/>
                <w:u w:val="none"/>
                <w:lang w:val="en-US" w:eastAsia="zh-CN" w:bidi="ar"/>
              </w:rPr>
              <w:t>；</w:t>
            </w:r>
          </w:p>
          <w:p>
            <w:pPr>
              <w:keepNext w:val="0"/>
              <w:keepLines w:val="0"/>
              <w:pageBreakBefore w:val="0"/>
              <w:widowControl/>
              <w:numPr>
                <w:ilvl w:val="0"/>
                <w:numId w:val="12"/>
              </w:numPr>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USB接口：  3个</w:t>
            </w:r>
            <w:r>
              <w:rPr>
                <w:rFonts w:hint="eastAsia" w:ascii="宋体" w:hAnsi="宋体" w:cs="宋体"/>
                <w:i w:val="0"/>
                <w:iCs w:val="0"/>
                <w:color w:val="auto"/>
                <w:kern w:val="0"/>
                <w:sz w:val="21"/>
                <w:szCs w:val="21"/>
                <w:highlight w:val="none"/>
                <w:u w:val="none"/>
                <w:lang w:val="en-US" w:eastAsia="zh-CN" w:bidi="ar"/>
              </w:rPr>
              <w:t>；</w:t>
            </w:r>
          </w:p>
          <w:p>
            <w:pPr>
              <w:keepNext w:val="0"/>
              <w:keepLines w:val="0"/>
              <w:pageBreakBefore w:val="0"/>
              <w:widowControl/>
              <w:numPr>
                <w:ilvl w:val="0"/>
                <w:numId w:val="12"/>
              </w:numPr>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运行环境：  Pentium 4 或同等级CPU以上、512MB或以上内存</w:t>
            </w:r>
            <w:r>
              <w:rPr>
                <w:rFonts w:hint="eastAsia" w:ascii="宋体" w:hAnsi="宋体" w:cs="宋体"/>
                <w:i w:val="0"/>
                <w:iCs w:val="0"/>
                <w:color w:val="auto"/>
                <w:kern w:val="0"/>
                <w:sz w:val="21"/>
                <w:szCs w:val="21"/>
                <w:highlight w:val="none"/>
                <w:u w:val="none"/>
                <w:lang w:val="en-US" w:eastAsia="zh-CN" w:bidi="ar"/>
              </w:rPr>
              <w:t>；</w:t>
            </w:r>
          </w:p>
          <w:p>
            <w:pPr>
              <w:keepNext w:val="0"/>
              <w:keepLines w:val="0"/>
              <w:pageBreakBefore w:val="0"/>
              <w:widowControl/>
              <w:numPr>
                <w:ilvl w:val="0"/>
                <w:numId w:val="12"/>
              </w:numPr>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软件环境 ：安装Microsoft Direct X9.0以上RUNTIME</w:t>
            </w:r>
            <w:r>
              <w:rPr>
                <w:rFonts w:hint="eastAsia" w:ascii="宋体" w:hAnsi="宋体" w:cs="宋体"/>
                <w:i w:val="0"/>
                <w:iCs w:val="0"/>
                <w:color w:val="auto"/>
                <w:kern w:val="0"/>
                <w:sz w:val="21"/>
                <w:szCs w:val="21"/>
                <w:highlight w:val="none"/>
                <w:u w:val="none"/>
                <w:lang w:val="en-US" w:eastAsia="zh-CN" w:bidi="ar"/>
              </w:rPr>
              <w:t>；</w:t>
            </w:r>
          </w:p>
          <w:p>
            <w:pPr>
              <w:keepNext w:val="0"/>
              <w:keepLines w:val="0"/>
              <w:pageBreakBefore w:val="0"/>
              <w:widowControl/>
              <w:numPr>
                <w:ilvl w:val="0"/>
                <w:numId w:val="12"/>
              </w:numPr>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所支持的操作系统： 支持windowXP/7/Vista/win8/win10/win11操作系统</w:t>
            </w:r>
            <w:r>
              <w:rPr>
                <w:rFonts w:hint="eastAsia" w:ascii="宋体" w:hAnsi="宋体" w:cs="宋体"/>
                <w:i w:val="0"/>
                <w:iCs w:val="0"/>
                <w:color w:val="auto"/>
                <w:kern w:val="0"/>
                <w:sz w:val="21"/>
                <w:szCs w:val="21"/>
                <w:highlight w:val="none"/>
                <w:u w:val="none"/>
                <w:lang w:val="en-US" w:eastAsia="zh-CN" w:bidi="ar"/>
              </w:rPr>
              <w:t>；</w:t>
            </w:r>
          </w:p>
          <w:p>
            <w:pPr>
              <w:keepNext w:val="0"/>
              <w:keepLines w:val="0"/>
              <w:pageBreakBefore w:val="0"/>
              <w:widowControl/>
              <w:numPr>
                <w:ilvl w:val="0"/>
                <w:numId w:val="12"/>
              </w:numPr>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光源控制方式：触控</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74</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24口交换机</w:t>
            </w:r>
          </w:p>
        </w:tc>
        <w:tc>
          <w:tcPr>
            <w:tcW w:w="5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万兆三层全管理交换机,包转发率148Mpps/222Mpps,交换容量598Gbps/5.98Tbps,24个千兆电口,4个万兆光口,VLAN:4K,MAC:16K,19英寸1U标准机架,金属外壳,风冷散热，挂耳默认自带，| 监控带机量300</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网络机柜</w:t>
            </w:r>
          </w:p>
        </w:tc>
        <w:tc>
          <w:tcPr>
            <w:tcW w:w="5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1.19寸18U机柜；宽600，深600，高1000MM，容量18U，符合ANSI/EIA RS-310-D、IEC297-2.DIN41494；PART1.DIN41494;PART7.GB/T3047.2-92；兼容ETSI标准；</w:t>
            </w:r>
          </w:p>
          <w:p>
            <w:pPr>
              <w:keepNext w:val="0"/>
              <w:keepLines w:val="0"/>
              <w:pageBreakBefore w:val="0"/>
              <w:widowControl/>
              <w:numPr>
                <w:ilvl w:val="0"/>
                <w:numId w:val="11"/>
              </w:numPr>
              <w:suppressLineNumbers w:val="0"/>
              <w:kinsoku/>
              <w:wordWrap/>
              <w:overflowPunct/>
              <w:topLinePunct w:val="0"/>
              <w:autoSpaceDE/>
              <w:autoSpaceDN/>
              <w:bidi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单开钢化玻璃前门，单开钣金网孔后门；前后门带接地线，前后门免焊加强筋结构；前门配高级典雅锁；承载:静载500KG(带支架)，防护等级:IP20；</w:t>
            </w:r>
          </w:p>
          <w:p>
            <w:pPr>
              <w:keepNext w:val="0"/>
              <w:keepLines w:val="0"/>
              <w:pageBreakBefore w:val="0"/>
              <w:widowControl/>
              <w:numPr>
                <w:ilvl w:val="0"/>
                <w:numId w:val="11"/>
              </w:numPr>
              <w:suppressLineNumbers w:val="0"/>
              <w:kinsoku/>
              <w:wordWrap/>
              <w:overflowPunct/>
              <w:topLinePunct w:val="0"/>
              <w:autoSpaceDE/>
              <w:autoSpaceDN/>
              <w:bidi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主要材料:方孔条与安装梁：耐指纹敷铝锌板,镀铝锌板材质方孔条与安装梁,设备安装时自动等电位,无锐边方孔条,在安装维护中不割伤手；其余：SPCC优质冷轧板；厚度：方孔条 1.8mm；安装梁 1.2mm；其余 1.0mm。表面处理:方孔条、安装横梁：镀铝锌板 ；其余：脱脂、硅烷化处理 、静电喷塑。</w:t>
            </w:r>
          </w:p>
          <w:p>
            <w:pPr>
              <w:keepNext w:val="0"/>
              <w:keepLines w:val="0"/>
              <w:pageBreakBefore w:val="0"/>
              <w:widowControl/>
              <w:numPr>
                <w:ilvl w:val="0"/>
                <w:numId w:val="11"/>
              </w:numPr>
              <w:suppressLineNumbers w:val="0"/>
              <w:kinsoku/>
              <w:wordWrap/>
              <w:overflowPunct/>
              <w:topLinePunct w:val="0"/>
              <w:autoSpaceDE/>
              <w:autoSpaceDN/>
              <w:bidi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机柜安装：19</w:t>
            </w:r>
            <w:r>
              <w:rPr>
                <w:rFonts w:hint="eastAsia" w:ascii="宋体" w:hAnsi="宋体" w:cs="宋体"/>
                <w:i w:val="0"/>
                <w:iCs w:val="0"/>
                <w:color w:val="auto"/>
                <w:kern w:val="0"/>
                <w:sz w:val="21"/>
                <w:szCs w:val="21"/>
                <w:highlight w:val="none"/>
                <w:u w:val="none"/>
                <w:lang w:val="en-US" w:eastAsia="zh-CN" w:bidi="ar"/>
              </w:rPr>
              <w:t>寸</w:t>
            </w:r>
            <w:r>
              <w:rPr>
                <w:rFonts w:hint="eastAsia" w:ascii="宋体" w:hAnsi="宋体" w:eastAsia="宋体" w:cs="宋体"/>
                <w:i w:val="0"/>
                <w:iCs w:val="0"/>
                <w:color w:val="auto"/>
                <w:kern w:val="0"/>
                <w:sz w:val="21"/>
                <w:szCs w:val="21"/>
                <w:highlight w:val="none"/>
                <w:u w:val="none"/>
                <w:lang w:val="en-US" w:eastAsia="zh-CN" w:bidi="ar"/>
              </w:rPr>
              <w:t>安装，方孔条可调节深度，前后共4根。为便于安装</w:t>
            </w:r>
            <w:r>
              <w:rPr>
                <w:rFonts w:hint="eastAsia" w:ascii="宋体" w:hAnsi="宋体" w:cs="宋体"/>
                <w:i w:val="0"/>
                <w:iCs w:val="0"/>
                <w:color w:val="auto"/>
                <w:kern w:val="0"/>
                <w:sz w:val="21"/>
                <w:szCs w:val="21"/>
                <w:highlight w:val="none"/>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ind w:left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5.配件：每柜一块固定层板（每块可承重50KG），配一组散热风扇2个内嵌式</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76</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六类非屏蔽双绞线</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铜芯线径标称直径为0.560mm，负公差为0.005mm；材料为低氧或无氧铜，半松护套。</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米</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77</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电源线</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符合标准：GB/T5023.5-2008</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电压：300V/500V</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导体：多股铜导体</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绝缘：PVC</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护套：PVC</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测试电压：2000V，5min</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绝缘电阻：&gt;200M欧姆×KM</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使用温度（固定安装）：-30~ +70℃</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弯曲半径：15×电缆外径</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米</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16" w:type="dxa"/>
            <w:gridSpan w:val="6"/>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出入口管理系统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自动道闸</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1.自动道闸，杆长≥4米；2.运行速度≤6秒；3.机箱尺寸：典型规格</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为</w:t>
            </w:r>
            <w:r>
              <w:rPr>
                <w:rFonts w:hint="eastAsia" w:ascii="宋体" w:hAnsi="宋体" w:cs="宋体"/>
                <w:i w:val="0"/>
                <w:iCs w:val="0"/>
                <w:color w:val="auto"/>
                <w:kern w:val="0"/>
                <w:sz w:val="21"/>
                <w:szCs w:val="21"/>
                <w:highlight w:val="none"/>
                <w:u w:val="none"/>
                <w:lang w:val="en-US" w:eastAsia="zh-CN" w:bidi="ar"/>
              </w:rPr>
              <w:t>大于等于3</w:t>
            </w:r>
            <w:r>
              <w:rPr>
                <w:rFonts w:hint="eastAsia" w:ascii="宋体" w:hAnsi="宋体" w:eastAsia="宋体" w:cs="宋体"/>
                <w:i w:val="0"/>
                <w:iCs w:val="0"/>
                <w:color w:val="auto"/>
                <w:kern w:val="0"/>
                <w:sz w:val="21"/>
                <w:szCs w:val="21"/>
                <w:highlight w:val="none"/>
                <w:u w:val="none"/>
                <w:lang w:val="en-US" w:eastAsia="zh-CN" w:bidi="ar"/>
              </w:rPr>
              <w:t>50mm×320mm×1080mm；机箱采用2mm冷轧钢板，防尘防水等级IP54；4.电机功率：70W~120W（支持长时间堵转），功耗≤200W。</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防砸雷达</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1.发射频率：79GHz / 24GHz，发射功率：≤10mW，响应时间50ms；2.雷达检测距离可调，检测宽度可调；3.有效防止“砸车、砸人”事故的发生；4.采用LED灯指示雷达工作状态，状态更直观；5.自动记录雷达的配置参数，断电重启后可恢复至之前的工作状态；6.环境适应性强，检测性能不受电磁干扰、光照、灰尘、雨雪等外界环境影响；7.具备检测车和人功能，支持单人过滤。</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车辆检测器</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工作电源：AC220V；频率范围：20KHz—170KHz；灵 敏 度：三级可调，挡车器专用，防砸车，检测进出车辆，自动关闸</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车牌识别控制机</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rPr>
              <w:t>支持≥400万像素高清摄像机，分辨率≥2688×1520，帧率≥25fps。</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最低照度彩色≤0.04lx，黑白≤0.02lx，集成度高：集摄像机、LED显示屏、补光灯、镜头、喇叭功放于一体。</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支持两列行四字双色LED屏，显示内容可灵活配置。</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支持三码流输出功能，三码流同时输出可达到：主码流≥分辨率1920×1200，帧率≥25帧/s，码率≥4Mbps，第一辅码流：分辨率≥1920×1200，帧率≥25帧/s，码率≥4Mbps；第二辅码流：分辨率≥1920×1200，帧率≥25帧/s，码率≥4Mbps。</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内置≥9颗LED补光灯，可通过IE浏览器或客户端开启/关闭，支持在低照度环境下，自动开启补光灯，并调节补光灯亮度。</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6.</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color w:val="auto"/>
                <w:sz w:val="21"/>
                <w:szCs w:val="21"/>
                <w:highlight w:val="none"/>
              </w:rPr>
              <w:t xml:space="preserve"> 支持报警功能，发生以下情况之一时应产生报警提醒：（1）当识别到未授权的车辆时；（2）当识别到已设定须提示的车辆时；(3）当未经正常操作而使出入口挡车器开启时；(4)当通讯发生故障时。</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支持在编码时加入特殊字段，可提示录像文件或图片被篡改。</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8.</w:t>
            </w:r>
            <w:r>
              <w:rPr>
                <w:rFonts w:hint="eastAsia" w:ascii="宋体" w:hAnsi="宋体" w:eastAsia="宋体" w:cs="宋体"/>
                <w:color w:val="auto"/>
                <w:sz w:val="21"/>
                <w:szCs w:val="21"/>
                <w:highlight w:val="none"/>
              </w:rPr>
              <w:t>支持按预先设置时间段开启补光灯，控制补光灯亮度，支持手动调节补光灯亮度，补光灯亮度1～100可调。</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9.</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color w:val="auto"/>
                <w:sz w:val="21"/>
                <w:szCs w:val="21"/>
                <w:highlight w:val="none"/>
              </w:rPr>
              <w:t xml:space="preserve"> 支持车牌识别功能，支持识别大（小）型汽车、使领馆汽车、警用汽车、教练汽车、军车、新能源汽车（小车的绿色和大车的黄绿色）的车牌号，支持识别倾斜角度0°～30°的车牌号，支持识别相机法线与行车方向角度小于65°的车牌号，支持识别车牌宽度范围为70像素～300像素的车牌号。</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0.</w:t>
            </w:r>
            <w:r>
              <w:rPr>
                <w:rFonts w:hint="eastAsia" w:ascii="宋体" w:hAnsi="宋体" w:eastAsia="宋体" w:cs="宋体"/>
                <w:color w:val="auto"/>
                <w:sz w:val="21"/>
                <w:szCs w:val="21"/>
                <w:highlight w:val="none"/>
              </w:rPr>
              <w:t>支持显示屏功能检查，支持滚动或静止显示过车时间、车牌号、停车时长、收费金额、自定义内容等信息。</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rPr>
              <w:t>支持车身颜色识别功能检查，支持车身识别的颜色种类包括：白、灰、黄、粉、紫、蓝、红、棕、黑等不少于10种颜色。</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在天气晴朗无雾条件下进行测试，日间环境光照度不低于2001x，夜间辅助光照度不高于301x，日间机动车捕获率≥99%，夜间地动车捕获率≥99%。</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在天气晴朗无雾，机动车结构化属性信息清晰可辨的条件下进行测试，日间环境光照度不低于2001x，夜间辅助光照度不高于301x，日间机动车车牌号识别准确率≥99%，夜间机动车车牌号识别准确率≥99%。</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4.</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color w:val="auto"/>
                <w:sz w:val="21"/>
                <w:szCs w:val="21"/>
                <w:highlight w:val="none"/>
              </w:rPr>
              <w:t xml:space="preserve"> 支持对污损以及遮挡面积不超过1/3的车牌进行检测和识别，支持过滤抓拍功能，可设置正向抓拍、背向抓拍和全部抓拍，支持对打印车牌，单独车牌照片等虚假车牌进行过滤，支持连续过车模式，连续过车时道闸不落杆。</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当网络断开时，可将抓拍图片和录像文件存储于设备内置TF卡内，当网络恢复时，可上传抓拍图片至PC本地。支持TF卡支持自动识别自动格式化和TF卡抓拍图片自动覆盖功能。</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rPr>
              <w:t>工作温度和湿度：-20℃～70℃,防护等级≥IP54。</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16"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4.2非机动车出入口设备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自动道闸</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1.自动道闸，杆长≥4米；2.运行速度≤6秒；3.机箱尺寸：典型规格为</w:t>
            </w:r>
            <w:r>
              <w:rPr>
                <w:rFonts w:hint="eastAsia" w:ascii="宋体" w:hAnsi="宋体" w:cs="宋体"/>
                <w:i w:val="0"/>
                <w:iCs w:val="0"/>
                <w:color w:val="auto"/>
                <w:kern w:val="0"/>
                <w:sz w:val="21"/>
                <w:szCs w:val="21"/>
                <w:highlight w:val="none"/>
                <w:u w:val="none"/>
                <w:lang w:val="en-US" w:eastAsia="zh-CN" w:bidi="ar"/>
              </w:rPr>
              <w:t>大于等于</w:t>
            </w:r>
            <w:r>
              <w:rPr>
                <w:rFonts w:hint="eastAsia" w:ascii="宋体" w:hAnsi="宋体" w:eastAsia="宋体" w:cs="宋体"/>
                <w:i w:val="0"/>
                <w:iCs w:val="0"/>
                <w:color w:val="auto"/>
                <w:kern w:val="0"/>
                <w:sz w:val="21"/>
                <w:szCs w:val="21"/>
                <w:highlight w:val="none"/>
                <w:u w:val="none"/>
                <w:lang w:val="en-US" w:eastAsia="zh-CN" w:bidi="ar"/>
              </w:rPr>
              <w:t>350mm×320mm×1080mm；机箱采用2mm冷轧钢板，防尘防水等级IP54；4.电机功率：70W~120W（支持长时间堵转），功耗≤200W。</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83</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防砸雷达</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1.发射频率：79GHz / 24GHz，发射功率：≤10mW，响应时间50ms；2.雷达检测距离可调，检测宽度可调；3.有效防止“砸车、砸人”事故的发生；4.采用LED灯指示雷达工作状态，状态更直观；5.自动记录雷达的配置参数，断电重启后可恢复至之前的工作状态；6.环境适应性强，检测性能不受电磁干扰、光照、灰尘、雨雪等外界环境影响；7.具备检测车和人功能，支持单人过滤。</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人脸门禁一体机</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rPr>
              <w:t>采用约7英寸触摸显示屏，屏幕比例9:16，屏幕流明度≥600cd/㎡，分辨率不小于600×1280。</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支持嵌入式Linux操作系统，采用宽动态≥200万双目摄像头，帧率≥25 帧/s，防护等级≥IP65，通信方式支持有线网络、WiFi。</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支持人脸、刷卡、密码认证方式，支持外接身份证、指纹、蓝牙、二维码功能模块，本地支持≥10000人脸库、≥50000张卡，≥15万条事件记录。</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color w:val="auto"/>
                <w:sz w:val="21"/>
                <w:szCs w:val="21"/>
                <w:highlight w:val="none"/>
              </w:rPr>
              <w:t>支持识读模块的扩展功能，形成一体化识别终端，支持Mifare卡识读，支持CPU卡识读，WEB端应支持配置防卡片复制安全机制，功能开启后第三方卡片或复制卡片可屏蔽识读。</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支持通过文字转换为提示语音的 TTS 功能，支持本地广告信息播放，支持广告节目编排播放，播放时间可自定义。</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rPr>
              <w:t>支持图片、文字、视频广告节目播放，支持在设备端查看人员信息、设备状态、显示模式。</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支持根据比对结果，输出开关量信号联动门禁等设备，支持本地非明文存储比对结果、身份信息及抓拍人脸照片。</w:t>
            </w:r>
          </w:p>
          <w:p>
            <w:pPr>
              <w:pStyle w:val="20"/>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8.</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color w:val="auto"/>
                <w:sz w:val="21"/>
                <w:szCs w:val="21"/>
                <w:highlight w:val="none"/>
              </w:rPr>
              <w:t>支持在管理中心</w:t>
            </w:r>
            <w:r>
              <w:rPr>
                <w:rFonts w:hint="eastAsia" w:ascii="宋体" w:hAnsi="宋体" w:cs="宋体"/>
                <w:color w:val="auto"/>
                <w:sz w:val="21"/>
                <w:szCs w:val="21"/>
                <w:highlight w:val="none"/>
                <w:lang w:eastAsia="zh-CN"/>
              </w:rPr>
              <w:t>（</w:t>
            </w:r>
            <w:r>
              <w:rPr>
                <w:rFonts w:hint="eastAsia"/>
                <w:highlight w:val="none"/>
                <w:lang w:val="en-US" w:eastAsia="zh-CN"/>
              </w:rPr>
              <w:t>综合安防集成管理平台</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远程视频预览功能，支持与管理平台</w:t>
            </w:r>
            <w:r>
              <w:rPr>
                <w:rFonts w:hint="eastAsia" w:ascii="宋体" w:hAnsi="宋体" w:cs="宋体"/>
                <w:color w:val="auto"/>
                <w:sz w:val="21"/>
                <w:szCs w:val="21"/>
                <w:highlight w:val="none"/>
                <w:lang w:eastAsia="zh-CN"/>
              </w:rPr>
              <w:t>（</w:t>
            </w:r>
            <w:r>
              <w:rPr>
                <w:rFonts w:hint="eastAsia"/>
                <w:highlight w:val="none"/>
                <w:lang w:val="en-US" w:eastAsia="zh-CN"/>
              </w:rPr>
              <w:t>综合安防集成管理平台</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或客户端中心远程视频对讲，支持与室内机、管理机可视对讲，支持手机APP对讲功能，支持配置一键呼叫管理机或固定室内机的视频对讲功能，支持与广播主机实现广播系统可对讲功能，支持与广播主机呼叫对讲功能，支持中心广播主机向门禁设备广播喊话。</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9.</w:t>
            </w:r>
            <w:r>
              <w:rPr>
                <w:rFonts w:hint="eastAsia" w:ascii="宋体" w:hAnsi="宋体" w:eastAsia="宋体" w:cs="宋体"/>
                <w:color w:val="auto"/>
                <w:sz w:val="21"/>
                <w:szCs w:val="21"/>
                <w:highlight w:val="none"/>
              </w:rPr>
              <w:t>支持断网续传离线记录非明文数据功能，支持抓拍图片本地存储功能开启/关闭。</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0.</w:t>
            </w:r>
            <w:r>
              <w:rPr>
                <w:rFonts w:hint="eastAsia" w:ascii="宋体" w:hAnsi="宋体" w:eastAsia="宋体" w:cs="宋体"/>
                <w:color w:val="auto"/>
                <w:sz w:val="21"/>
                <w:szCs w:val="21"/>
                <w:highlight w:val="none"/>
              </w:rPr>
              <w:t>支持设备本地比对结果用户信息脱敏显示功能开启/关闭，即隐藏姓名和工号信息，用户数据及比对记录采用非明文方式导出。</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rPr>
              <w:t>支持人脸比对平均时间≤120ms （1:1对比方式），最大人脸识别距离≥4m，最小人脸识别距离≤0.2m，支持设备本地人脸注册，远程下发人脸、APP 采集人脸并注册下发。</w:t>
            </w:r>
          </w:p>
          <w:p>
            <w:pPr>
              <w:pStyle w:val="20"/>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2.</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color w:val="auto"/>
                <w:sz w:val="21"/>
                <w:szCs w:val="21"/>
                <w:highlight w:val="none"/>
              </w:rPr>
              <w:t>支持接入系统平台</w:t>
            </w:r>
            <w:r>
              <w:rPr>
                <w:rFonts w:hint="eastAsia" w:ascii="宋体" w:hAnsi="宋体" w:cs="宋体"/>
                <w:color w:val="auto"/>
                <w:sz w:val="21"/>
                <w:szCs w:val="21"/>
                <w:highlight w:val="none"/>
                <w:lang w:eastAsia="zh-CN"/>
              </w:rPr>
              <w:t>（</w:t>
            </w:r>
            <w:r>
              <w:rPr>
                <w:rFonts w:hint="eastAsia"/>
                <w:highlight w:val="none"/>
                <w:lang w:val="en-US" w:eastAsia="zh-CN"/>
              </w:rPr>
              <w:t>综合安防集成管理平台</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后应能支持视频联动报警功能，系统应具有应急开启的方法，如设备支持接入消防应急信号联动开门，支持未授权人员刷人脸时，设备应能支持抓拍图片并实时上报平台预警，根据设定事件的联动关系，当检测到该事件发生时，应能触发对应的动作。</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支持在没有用户使用时自动切换到屏保或息屏待机状态，人员靠近自动唤醒待机设备，唤醒距离应能调节，采用软硬件低功耗管理模式，设备待机运行功耗应不超过 6W。</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支持中心下发黑名单信息，具有本地黑名单事件报警功能，报警信息应能上传至平台，支持本地 U 盘升级、在线远程升级功能。</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支持按时间分时段管控门禁权限，支持常开、常闭时段、首卡开门管理，支持反潜回功能。</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rPr>
              <w:t>支持≥1个LAN、≥1个RS48</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≥1个支持双向的Wiegand、≥1个typeC类型USB接口、≥1个电锁、≥1个门磁、≥2个报警输入、≥1个报警输出、≥1个开门按钮、≥1个SD卡槽、≥1个3.5mm音频输出接口。</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人脸门禁一体机立柱</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3"/>
              </w:numPr>
              <w:suppressLineNumbers w:val="0"/>
              <w:kinsoku/>
              <w:wordWrap/>
              <w:overflowPunct/>
              <w:topLinePunct w:val="0"/>
              <w:autoSpaceDE/>
              <w:autoSpaceDN/>
              <w:bidi w:val="0"/>
              <w:ind w:firstLine="0" w:firstLineChars="0"/>
              <w:jc w:val="both"/>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支架采用钣金喷漆材质</w:t>
            </w:r>
            <w:r>
              <w:rPr>
                <w:rFonts w:hint="eastAsia" w:ascii="宋体" w:hAnsi="宋体" w:cs="宋体"/>
                <w:i w:val="0"/>
                <w:iCs w:val="0"/>
                <w:color w:val="auto"/>
                <w:kern w:val="0"/>
                <w:sz w:val="21"/>
                <w:szCs w:val="21"/>
                <w:highlight w:val="none"/>
                <w:u w:val="none"/>
                <w:lang w:val="en-US" w:eastAsia="zh-CN" w:bidi="ar"/>
              </w:rPr>
              <w:t>；</w:t>
            </w:r>
          </w:p>
          <w:p>
            <w:pPr>
              <w:keepNext w:val="0"/>
              <w:keepLines w:val="0"/>
              <w:pageBreakBefore w:val="0"/>
              <w:widowControl/>
              <w:numPr>
                <w:ilvl w:val="0"/>
                <w:numId w:val="13"/>
              </w:numPr>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适用于室内外场景支架安装需要通过膨胀螺钉固定地面</w:t>
            </w:r>
            <w:r>
              <w:rPr>
                <w:rFonts w:hint="eastAsia" w:ascii="宋体" w:hAnsi="宋体" w:cs="宋体"/>
                <w:i w:val="0"/>
                <w:iCs w:val="0"/>
                <w:color w:val="auto"/>
                <w:kern w:val="0"/>
                <w:sz w:val="21"/>
                <w:szCs w:val="21"/>
                <w:highlight w:val="none"/>
                <w:u w:val="none"/>
                <w:lang w:val="en-US" w:eastAsia="zh-CN" w:bidi="ar"/>
              </w:rPr>
              <w:t>；</w:t>
            </w:r>
          </w:p>
          <w:p>
            <w:pPr>
              <w:keepNext w:val="0"/>
              <w:keepLines w:val="0"/>
              <w:pageBreakBefore w:val="0"/>
              <w:widowControl/>
              <w:numPr>
                <w:ilvl w:val="0"/>
                <w:numId w:val="13"/>
              </w:numPr>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支持从底部或背面出线方式</w:t>
            </w:r>
            <w:r>
              <w:rPr>
                <w:rFonts w:hint="eastAsia" w:ascii="宋体" w:hAnsi="宋体" w:cs="宋体"/>
                <w:i w:val="0"/>
                <w:iCs w:val="0"/>
                <w:color w:val="auto"/>
                <w:kern w:val="0"/>
                <w:sz w:val="21"/>
                <w:szCs w:val="21"/>
                <w:highlight w:val="none"/>
                <w:u w:val="none"/>
                <w:lang w:val="en-US" w:eastAsia="zh-CN" w:bidi="ar"/>
              </w:rPr>
              <w:t>；</w:t>
            </w:r>
          </w:p>
          <w:p>
            <w:pPr>
              <w:keepNext w:val="0"/>
              <w:keepLines w:val="0"/>
              <w:pageBreakBefore w:val="0"/>
              <w:widowControl/>
              <w:numPr>
                <w:ilvl w:val="0"/>
                <w:numId w:val="13"/>
              </w:numPr>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支架内置电源线及信号延长线，不带开关电源</w:t>
            </w:r>
            <w:r>
              <w:rPr>
                <w:rFonts w:hint="eastAsia" w:ascii="宋体" w:hAnsi="宋体" w:cs="宋体"/>
                <w:i w:val="0"/>
                <w:iCs w:val="0"/>
                <w:color w:val="auto"/>
                <w:kern w:val="0"/>
                <w:sz w:val="21"/>
                <w:szCs w:val="21"/>
                <w:highlight w:val="none"/>
                <w:u w:val="none"/>
                <w:lang w:val="en-US" w:eastAsia="zh-CN" w:bidi="ar"/>
              </w:rPr>
              <w:t>；</w:t>
            </w:r>
          </w:p>
          <w:p>
            <w:pPr>
              <w:keepNext w:val="0"/>
              <w:keepLines w:val="0"/>
              <w:pageBreakBefore w:val="0"/>
              <w:widowControl/>
              <w:numPr>
                <w:ilvl w:val="0"/>
                <w:numId w:val="13"/>
              </w:numPr>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安装方式：落地式安装支架，需螺钉固定</w:t>
            </w:r>
            <w:r>
              <w:rPr>
                <w:rFonts w:hint="eastAsia" w:ascii="宋体" w:hAnsi="宋体" w:cs="宋体"/>
                <w:i w:val="0"/>
                <w:iCs w:val="0"/>
                <w:color w:val="auto"/>
                <w:kern w:val="0"/>
                <w:sz w:val="21"/>
                <w:szCs w:val="21"/>
                <w:highlight w:val="none"/>
                <w:u w:val="none"/>
                <w:lang w:val="en-US" w:eastAsia="zh-CN" w:bidi="ar"/>
              </w:rPr>
              <w:t>；</w:t>
            </w:r>
          </w:p>
          <w:p>
            <w:pPr>
              <w:keepNext w:val="0"/>
              <w:keepLines w:val="0"/>
              <w:pageBreakBefore w:val="0"/>
              <w:widowControl/>
              <w:numPr>
                <w:ilvl w:val="0"/>
                <w:numId w:val="13"/>
              </w:numPr>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使用环境：室内室外</w:t>
            </w:r>
            <w:r>
              <w:rPr>
                <w:rFonts w:hint="eastAsia" w:ascii="宋体" w:hAnsi="宋体" w:cs="宋体"/>
                <w:i w:val="0"/>
                <w:iCs w:val="0"/>
                <w:color w:val="auto"/>
                <w:kern w:val="0"/>
                <w:sz w:val="21"/>
                <w:szCs w:val="21"/>
                <w:highlight w:val="none"/>
                <w:u w:val="none"/>
                <w:lang w:val="en-US" w:eastAsia="zh-CN" w:bidi="ar"/>
              </w:rPr>
              <w:t>；</w:t>
            </w:r>
          </w:p>
          <w:p>
            <w:pPr>
              <w:keepNext w:val="0"/>
              <w:keepLines w:val="0"/>
              <w:pageBreakBefore w:val="0"/>
              <w:widowControl/>
              <w:numPr>
                <w:ilvl w:val="0"/>
                <w:numId w:val="13"/>
              </w:numPr>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材质：愣住钣金喷漆</w:t>
            </w:r>
            <w:r>
              <w:rPr>
                <w:rFonts w:hint="eastAsia" w:ascii="宋体" w:hAnsi="宋体" w:cs="宋体"/>
                <w:i w:val="0"/>
                <w:iCs w:val="0"/>
                <w:color w:val="auto"/>
                <w:kern w:val="0"/>
                <w:sz w:val="21"/>
                <w:szCs w:val="21"/>
                <w:highlight w:val="none"/>
                <w:u w:val="none"/>
                <w:lang w:val="en-US" w:eastAsia="zh-CN" w:bidi="ar"/>
              </w:rPr>
              <w:t>；</w:t>
            </w:r>
          </w:p>
          <w:p>
            <w:pPr>
              <w:keepNext w:val="0"/>
              <w:keepLines w:val="0"/>
              <w:pageBreakBefore w:val="0"/>
              <w:widowControl/>
              <w:numPr>
                <w:ilvl w:val="0"/>
                <w:numId w:val="13"/>
              </w:numPr>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支架高度：1300mm,底座210mm*280mm,立柱120mm*300mm*15mm。</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遮阳罩</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门禁一体机使用，室外使用。PVC材质，外径:310*129*149内径:308*125*146。</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16"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4.3人员通道闸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87</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人行摆闸机</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rPr>
              <w:t>单边道，采用直流无刷电机，闸机通道采用厚度不低于1.2mm的不锈钢板材，通道应采用≥6对红外对射。</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闸机通道为摆闸箱体，外壳采用不锈钢，箱体尺寸：长≤1200mm，宽≤218mm，高≥1023mm，通道宽度尺寸支持550mm～1400mm。</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支持≥6万张普通卡、≥3千张来宾卡、≥18万条事件记录，通行速度为20～60人每分钟。</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集成门禁主控板，可扩展人脸识别组件、读卡器、二维码、指纹等多种认证方式。</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支持远程控制管理功能，也可单机离线运行，支持人数统计功能，针对进出方向分别进行统计，支持记忆模式，可实现连续认证，连续快速通行。</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6.</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color w:val="auto"/>
                <w:sz w:val="21"/>
                <w:szCs w:val="21"/>
                <w:highlight w:val="none"/>
              </w:rPr>
              <w:t xml:space="preserve"> 设备集成语音模块，可根据用户需求自定义语音播报内容，并可设置联动语音提示。</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支持自动复位功能，开门后在规定的时间内未通行，系统将自动取消用户的本次通行的权限，可设定通行时间。</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8.</w:t>
            </w:r>
            <w:r>
              <w:rPr>
                <w:rFonts w:hint="eastAsia" w:ascii="宋体" w:hAnsi="宋体" w:eastAsia="宋体" w:cs="宋体"/>
                <w:color w:val="auto"/>
                <w:sz w:val="21"/>
                <w:szCs w:val="21"/>
                <w:highlight w:val="none"/>
              </w:rPr>
              <w:t>支持经授权人员才能通过，未经授权人员无法通行，支持记忆模式，可实现连续快速通行。</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9.</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color w:val="auto"/>
                <w:sz w:val="21"/>
                <w:szCs w:val="21"/>
                <w:highlight w:val="none"/>
              </w:rPr>
              <w:t xml:space="preserve"> 支持防夹保护功能，在门翼动作过程中遇阻时门翼自动停止动作，并有报警提示（包括语音播报、指示灯、IO信号联动输出），同时上传报警事件，人员通行时，红外检测到人员在非安全区域，门翼自动停止动作，人员离开通道后，门翼自动复位。</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0.</w:t>
            </w:r>
            <w:r>
              <w:rPr>
                <w:rFonts w:hint="eastAsia" w:ascii="宋体" w:hAnsi="宋体" w:eastAsia="宋体" w:cs="宋体"/>
                <w:color w:val="auto"/>
                <w:sz w:val="21"/>
                <w:szCs w:val="21"/>
                <w:highlight w:val="none"/>
              </w:rPr>
              <w:t>具有消防联动接口，当消防信号触发时，门翼自动打开，快速引导人员疏散。</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1.</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color w:val="auto"/>
                <w:sz w:val="21"/>
                <w:szCs w:val="21"/>
                <w:highlight w:val="none"/>
              </w:rPr>
              <w:t xml:space="preserve"> 支持红外检测功能，设备支持设置为宽松模式或警戒模式，警戒模式：该模式下，以现场管控安全需求为主要目的，检测到尾随、反向闯入、红外防夹、机械防夹时，门翼继续关闭（机械防夹时为暂停）并制动，上报事件，并根据配置进行声光提示。</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支持应急放行的功能，设备在断电或者发生故障后能处于无拦挡状态，支持断电自动开门功能。</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支持翻越报警的功能，当检测到有人翻越时，可联动语音播报、指示灯、IO信号联动等报警提示，同时可上传报警事件。</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支持断电通行，断电时门翼自动打开，支持防护等级≥IP54，工作温度范围为-30℃～70℃。</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88</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人脸门禁一体机</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rPr>
              <w:t>采用约7英寸触摸显示屏，屏幕比例9:16，屏幕流明度≥600cd/㎡，分辨率不小于600×1280。</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支持嵌入式Linux操作系统，采用宽动态≥200万双目摄像头，帧率≥25 帧/s，防护等级≥IP65，通信方式支持有线网络、WiFi。</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支持人脸、刷卡、密码认证方式，支持外接身份证、指纹、蓝牙、二维码功能模块，本地支持≥10000人脸库、≥50000张卡，≥15万条事件记录。</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支持识读模块的扩展功能，形成一体化识别终端，支持Mifare卡识读，支持CPU卡识读，WEB端应支持配置防卡片复制安全机制，功能开启后第三方卡片或复制卡片可屏蔽识读。</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支持通过文字转换为提示语音的 TTS 功能，支持本地广告信息播放，支持广告节目编排播放，播放时间可自定义。</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rPr>
              <w:t>支持图片、文字、视频广告节目播放，支持在设备端查看人员信息、设备状态、显示模式。</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支持根据比对结果，输出开关量信号联动门禁等设备，支持本地非明文存储比对结果、身份信息及抓拍人脸照片。</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8.</w:t>
            </w:r>
            <w:r>
              <w:rPr>
                <w:rFonts w:hint="eastAsia" w:ascii="宋体" w:hAnsi="宋体" w:eastAsia="宋体" w:cs="宋体"/>
                <w:color w:val="auto"/>
                <w:sz w:val="21"/>
                <w:szCs w:val="21"/>
                <w:highlight w:val="none"/>
              </w:rPr>
              <w:t>支持在管理中心远程视频预览功能，支持与管理平台或客户端中心远程视频对讲，支持与室内机、管理机可视对讲，支持手机APP对讲功能，支持配置一键呼叫管理机或固定室内机的视频对讲功能，支持与广播主机实现广播系统可对讲功能，支持与广播主机呼叫对讲功能，支持中心广播主机向门禁设备广播喊话。</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9.</w:t>
            </w:r>
            <w:r>
              <w:rPr>
                <w:rFonts w:hint="eastAsia" w:ascii="宋体" w:hAnsi="宋体" w:eastAsia="宋体" w:cs="宋体"/>
                <w:color w:val="auto"/>
                <w:sz w:val="21"/>
                <w:szCs w:val="21"/>
                <w:highlight w:val="none"/>
              </w:rPr>
              <w:t>支持断网续传离线记录非明文数据功能，支持抓拍图片本地存储功能开启/关闭。</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0.</w:t>
            </w:r>
            <w:r>
              <w:rPr>
                <w:rFonts w:hint="eastAsia" w:ascii="宋体" w:hAnsi="宋体" w:eastAsia="宋体" w:cs="宋体"/>
                <w:color w:val="auto"/>
                <w:sz w:val="21"/>
                <w:szCs w:val="21"/>
                <w:highlight w:val="none"/>
              </w:rPr>
              <w:t>支持设备本地比对结果用户信息脱敏显示功能开启/关闭，即隐藏姓名和工号信息，用户数据及比对记录采用非明文方式导出。</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rPr>
              <w:t>支持人脸比对平均时间≤120ms （1:1对比方式），最大人脸识别距离≥4m，最小人脸识别距离≤0.2m，支持设备本地人脸注册，远程下发人脸、APP 采集人脸并注册下发。</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支持接入系统平台后应能支持视频联动报警功能，系统应具有应急开启的方法，如设备支持接入消防应急信号联动开门，支持未授权人员刷人脸时，设备应能支持抓拍图片并实时上报平台预警，根据设定事件的联动关系，当检测到该事件发生时，应能触发对应的动作。</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支持在没有用户使用时自动切换到屏保或息屏待机状态，人员靠近自动唤醒待机设备，唤醒距离应能调节，采用软硬件低功耗管理模式，设备待机运行功耗应不超过 6W。</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支持中心下发黑名单信息，具有本地黑名单事件报警功能，报警信息应能上传至平台，支持本地 U 盘升级、在线远程升级功能。</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支持按时间分时段管控门禁权限，支持常开、常闭时段、首卡开门管理，支持反潜回功能。</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rPr>
              <w:t>支持≥1个LAN、≥1个RS48</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≥1个支持双向的Wiegand、≥1个typeC类型USB接口、≥1个电锁、≥1个门磁、≥2个报警输入、≥1个报警输出、≥1个开门按钮、≥1个SD卡槽、≥1个3.5mm音频输出接口。</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89</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遮阳罩</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门禁一体机使用，室外使用。PVC材质，外径:310*129*149内径:308*125*146。</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16"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4.4管理设备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人脸识别终端</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触摸显示屏≥3.97英寸，屏幕分辨率≥800*480；2.采用双目摄像头≥200万，有照片视频防假功能；3.支持人脸采集、卡片录入（ID/Mifare/普通CPU/国密CPU卡/二三代身份证序列号）；4.支持有线网络、无线WiFi、USB口通信；5.支持在线采集，通过网络协议或USB口对接到平台，平台进行在线采集，采集信息实时上传；6.工作电压：DC12V/1.5A (自带电源适配器）</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交换机</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二层千兆无管理交换机,包转发率38.69Mpps,交换容量52Gbps,24个千兆电口,2个千兆光口,MAC:8K,桌面式,金属外壳,挂耳默认自带</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千兆光模块</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1. 接口封装：eSFP；</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2. 速率：GE；</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3. 中心波长（nm）：1310；</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4. 标准：1000BASE-LX10/LH；</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5. 接头类型：LC；</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6. 支持的线缆与对应最大传输距离：单模光纤，10km；</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highlight w:val="none"/>
              </w:rPr>
              <w:t>7. 工作温度：0°C～50°C。</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出入口控制终端</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双千兆网卡，支持网络容错以及双网络IP设定、双网隔离等应用；2.千兆自适应RJ45网口≥5个，具备交换机功能，可接入多路网络设备；3.RS232接口≥2个；4.CPU≥8核，主频≥2.1GHz；内存：≥16G；硬盘≥128GBSSD+1TBHDD,支持大容量图片存储；5.3.5MM音频输出、输入；6.报警输出≥4路，报警输入4路；7.22寸显示屏幕，配套鼠标键盘。</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94</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配电箱</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配电箱尺寸600*500*200mm，前单开门，冷轧钢板厚度1.0mm，防尘防水，安装防盗锁；2P32A空开3个，20KA2P电源防雷器1个，5孔10A导轨插座。含1个8位零排，1个8位地排及内部接线。</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电源防雷器</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Uc 385V/lmax 40KA/In 20KA/Up≤1.8KV</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排插</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5孔6位10A,带开关，线缆≥1.5米。</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16"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4.5线缆及辅材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地感线圈RV*1.0</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地感线圈RV*1.0</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米</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98</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控制线RVV4*1.0</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符合标准：GB/T5023.5-2008</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电压：300V/500V</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导体：多股铜导体</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绝缘：PVC</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护套：PVC</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测试电压：2000V，5min</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绝缘电阻：&gt;200M欧姆×KM</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使用温度（固定安装）：-30~ +70℃</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弯曲半径：15×电缆外径</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米</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99</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六类非屏蔽双绞线</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执行标准：YD/T1019、ISO/IEC11801、TIA/EIA568-C</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·线缆中心采用PE十字骨架，具有高抗电磁干扰性；</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·带宽：满足250MHz测试符合最新六类标准；</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·铜导直径：0.57±0.005</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·绝缘直径：1.0±0.03</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·线缆直径：6.0±0.2mm</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·电缆包装：305米/箱</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·最小弯曲半径（动态）：26mm</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·最小弯曲半径（静态）：52mm</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·最大安装拉力：25N/P</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·工作温度：-20°C~+70°C  </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米</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电源线RVV3*2.5</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符合标准：GB/T5023.5-2008</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电压：300V/500V</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导体：多股铜导体</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绝缘：PVC</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护套：PVC</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测试电压：2000V，5min</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绝缘电阻：&gt;200M欧姆×KM</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使用温度（固定安装）：-30~ +70℃</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弯曲半径：15×电缆外径</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米</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PVC阻燃冷弯管径25MM</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PVC阻燃冷弯直径25MM壁厚2mm，含弯头、直通。</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米</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102</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设备基座</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基础尺寸1000*5000*200mm,采用C25混凝土，植入φ20钢筋间距30cm；侧面刷黄黑相间警示漆。</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103</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金属软管径25MM</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包塑金属软管直径25MM,PVC环保材料+镀锌钢带。</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米</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16" w:type="dxa"/>
            <w:gridSpan w:val="6"/>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安检系统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104</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访客核验登记终端</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 </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color w:val="auto"/>
                <w:sz w:val="21"/>
                <w:szCs w:val="21"/>
                <w:highlight w:val="none"/>
              </w:rPr>
              <w:t>支持单屏以及双屏型号，屏幕尺寸为10.1寸或15.6寸可选；10.1寸屏分辨率不小于1280*800，15.6寸屏分辨率不小于1920*1080；屏幕最大亮度应≥100cd/㎡；屏幕（含镜头）支持上下旋转，旋转角度45°</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 </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color w:val="auto"/>
                <w:sz w:val="21"/>
                <w:szCs w:val="21"/>
                <w:highlight w:val="none"/>
              </w:rPr>
              <w:t>设备应配有指示打，具有如下接口：LAN、WIFI双网络；RJ45*1；RS485*1；RS232*1；USB Type A*3；IO输入*1；门锁输出*1；内置扬声器*1；TF卡槽*1；开关机键*1；HDMI*1</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 </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color w:val="auto"/>
                <w:sz w:val="21"/>
                <w:szCs w:val="21"/>
                <w:highlight w:val="none"/>
              </w:rPr>
              <w:t>系统及各主要组成部分应有表明其工作正常的自检功能；有指示灯提示设备工作状态；UI界面有网络连接状态及布防状态提示</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 </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color w:val="auto"/>
                <w:sz w:val="21"/>
                <w:szCs w:val="21"/>
                <w:highlight w:val="none"/>
              </w:rPr>
              <w:t>支持通过平台进行访客预约；预约访客信息包括：姓名、性别、手机号码、证件类型、证件号码、车牌号、访客单位、来访事由、来访时间、离开时间、来访区域、被访人、备注等信息；访客信息支持自定义项，自定义项可由用户更改名称；可配置各信息项是否显示、是否必选；支持预约访客登记，可通过输入预约码、手机号（后4位）或刷身份证来启动登记；预约访客登记时可自动填充已预约的信息；对于刷身份证的访客，可获取身份证信息自动填充到登记信息中；之前登记过的访客，再次来访登记时，可获取历史信息自动填充到登记信息中。</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应支持人脸识别功能，现场抓拍人脸照片与本地人脸库照片或身份证内照片进行比对，进行人员身份核验；应支持联网与后端平台对接，实现人脸比对功能；支持在0.0011ux低照度无补光环境下正常实现人脸识别，适应强光、逆光、暗光等条件的人脸识别；应支持侧脸，遮挡，模糊，表情，</w:t>
            </w:r>
            <w:r>
              <w:rPr>
                <w:rFonts w:hint="eastAsia" w:ascii="宋体" w:hAnsi="宋体" w:cs="宋体"/>
                <w:color w:val="auto"/>
                <w:sz w:val="21"/>
                <w:szCs w:val="21"/>
                <w:highlight w:val="none"/>
                <w:lang w:eastAsia="zh-CN"/>
              </w:rPr>
              <w:t>戴眼镜</w:t>
            </w:r>
            <w:r>
              <w:rPr>
                <w:rFonts w:hint="eastAsia" w:ascii="宋体" w:hAnsi="宋体" w:eastAsia="宋体" w:cs="宋体"/>
                <w:color w:val="auto"/>
                <w:sz w:val="21"/>
                <w:szCs w:val="21"/>
                <w:highlight w:val="none"/>
              </w:rPr>
              <w:t>等实际场景识别；应支持用户人脸数据下发及人脸识别双线程同步工作；设备垂直及水平区域人脸识别范围应能设置；人脸在各角度偏转±45°，应能进行人脸识别，并且该识别角度应能支持设置；人脸识别应支持多阈值设置。</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人脸比对时间应&lt;120ms</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 具有打开或关闭知情确认功能；知情确认功能开启时，用户进行身份核验时在设备屏幕展示关于收集个人信息的知情同意书，需要用户同意才能进行核验；知情同意书可由web或平台下发；支持通过屏幕按键选择同意，也支持屏幕上手写签名留底。</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 刷卡时设备有蜂鸣器提示；支持比对结果语音提示；支持TTS文字转语音功能来自定义认证结果播报</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 应支持设备本地比对结果用户信息脱敏显示功能开启/关闭，即隐藏姓名及身份证信息。</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color w:val="auto"/>
                <w:sz w:val="21"/>
                <w:szCs w:val="21"/>
                <w:highlight w:val="none"/>
              </w:rPr>
              <w:t xml:space="preserve"> 支持外接打印机来打印访客凭条；打印内容可配置（可选：二维码、访客图像、访客姓名、证件号、来访事由、访问区域、来访时间、预计离开时间、接待部门、接待人员、注意事项等）。</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应支持防假体攻击功能，对视频、电子照片、打印照片应能防伪，活体检测准确率应≥99.5%</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设备应能离线存储30万条访客记录；设备应能离线存储1万张抓拍照片；能离线存储10万条证件号黑名单</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 支持非预约访客登记；支持未带身份证的访客登记；可在人证比对过程中由工作人员跳过自动核验，改为人工核验</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 当与平台连接中断时，应能进行离线登记和签离；与平台连接后应能上传离线事件。</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 应支持通过WEB进行设备各项功能参数配置。</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default" w:eastAsia="宋体"/>
                <w:highlight w:val="none"/>
                <w:lang w:val="en-US" w:eastAsia="zh-CN"/>
              </w:rPr>
            </w:pPr>
            <w:r>
              <w:rPr>
                <w:rFonts w:hint="eastAsia" w:ascii="宋体" w:hAnsi="宋体" w:eastAsia="宋体" w:cs="宋体"/>
                <w:color w:val="auto"/>
                <w:sz w:val="21"/>
                <w:szCs w:val="21"/>
                <w:highlight w:val="none"/>
              </w:rPr>
              <w:t>16. 设备支持静态二维码识别；二维码识读装置应能对由512个字符生成的二维码进行识读；采用独立二维码识别模块；扫码距离&gt;5cm</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105</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通道式X光机</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rPr>
              <w:t>线分辨力：N40AWG；</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空间分辨力：水平Wei.Omm垂直WOl.Omm；</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穿透分辨力：N34AWG；</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穿透力（钢板厚度）：&gt;40mm；</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管电压：100-160KV(可调)；</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rPr>
              <w:t>单次检测剂量：l.OuGy；</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图像处理：超级增强、灰度、反色、高/低穿、无机剔除、有机剔除、动态灰度扫描等</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8.</w:t>
            </w:r>
            <w:r>
              <w:rPr>
                <w:rFonts w:hint="eastAsia" w:ascii="宋体" w:hAnsi="宋体" w:eastAsia="宋体" w:cs="宋体"/>
                <w:color w:val="auto"/>
                <w:sz w:val="21"/>
                <w:szCs w:val="21"/>
                <w:highlight w:val="none"/>
              </w:rPr>
              <w:t>通道尺寸：650mm*500mm；</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9.</w:t>
            </w:r>
            <w:r>
              <w:rPr>
                <w:rFonts w:hint="eastAsia" w:ascii="宋体" w:hAnsi="宋体" w:eastAsia="宋体" w:cs="宋体"/>
                <w:color w:val="auto"/>
                <w:sz w:val="21"/>
                <w:szCs w:val="21"/>
                <w:highlight w:val="none"/>
              </w:rPr>
              <w:t>传送速度：&gt;0.20m/s；</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0.</w:t>
            </w:r>
            <w:r>
              <w:rPr>
                <w:rFonts w:hint="eastAsia" w:ascii="宋体" w:hAnsi="宋体" w:eastAsia="宋体" w:cs="宋体"/>
                <w:color w:val="auto"/>
                <w:sz w:val="21"/>
                <w:szCs w:val="21"/>
                <w:highlight w:val="none"/>
              </w:rPr>
              <w:t>最大负荷：N200g（均匀分布）；</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rPr>
              <w:t>系统功能：生物识别指纹认证登录功能、高密度穿不透物体报警、爆炸物/毒品辅助检查、危险品图像插入、日期/时间显示，行李过包数显示、用户管理、培训功能、系统工作计时、射线出束计时、上电自检、图像备份和检索，系统诊断等；</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电源：AC220V(-15%+10%),50Hz±3Hz；</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功耗：0.8KW；</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噪声级别：&lt;56dB(A)；</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显示器：21.5英寸彩显1980*1080；</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rPr>
              <w:t>选区与放大：1-64倍放大，支持连续放大；</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存储能力：大于100000幅图片；</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8.</w:t>
            </w:r>
            <w:r>
              <w:rPr>
                <w:rFonts w:hint="eastAsia" w:ascii="宋体" w:hAnsi="宋体" w:eastAsia="宋体" w:cs="宋体"/>
                <w:color w:val="auto"/>
                <w:sz w:val="21"/>
                <w:szCs w:val="21"/>
                <w:highlight w:val="none"/>
              </w:rPr>
              <w:t>选配功能：视频监控功能/LED液晶显示屏/双向扫描/电子称重系统等；</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9.</w:t>
            </w:r>
            <w:r>
              <w:rPr>
                <w:rFonts w:hint="eastAsia" w:ascii="宋体" w:hAnsi="宋体" w:eastAsia="宋体" w:cs="宋体"/>
                <w:color w:val="auto"/>
                <w:sz w:val="21"/>
                <w:szCs w:val="21"/>
                <w:highlight w:val="none"/>
              </w:rPr>
              <w:t>物质分辨：有机物:橙色;无机物:蓝色；混色物:绿色；</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0.</w:t>
            </w:r>
            <w:r>
              <w:rPr>
                <w:rFonts w:hint="eastAsia" w:ascii="宋体" w:hAnsi="宋体" w:eastAsia="宋体" w:cs="宋体"/>
                <w:color w:val="auto"/>
                <w:sz w:val="21"/>
                <w:szCs w:val="21"/>
                <w:highlight w:val="none"/>
              </w:rPr>
              <w:t>图像回拉：100幅已检图像回放；</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rPr>
              <w:t>射线泄露剂量率：WO.IrGy/h（距离外壳5cm）,符合所有国内及健康安全标准；</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胶圈安全：符合ASA/IS01600标准交卷安全。</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106</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智能摆闸单机芯（左）</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rPr>
              <w:t>单边道，采用直流无刷电机，闸机通道采用厚度不低于1.2mm的不锈钢板材，通道应采用≥6对红外对射。</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闸机通道为摆闸箱体，外壳采用不锈钢，箱体尺寸：长≤1200mm，宽≤218mm，高≥1023mm，通道宽度尺寸支持550mm～1400mm。</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支持≥6万张普通卡、≥3千张来宾卡、≥18万条事件记录，通行速度为20～60人每分钟。</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集成门禁主控板，可扩展人脸识别组件、读卡器、二维码、指纹等多种认证方式。</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支持远程控制管理功能，也可单机离线运行，支持人数统计功能，针对进出方向分别进行统计，支持记忆模式，可实现连续认证，连续快速通行。</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6.</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color w:val="auto"/>
                <w:sz w:val="21"/>
                <w:szCs w:val="21"/>
                <w:highlight w:val="none"/>
              </w:rPr>
              <w:t xml:space="preserve"> 设备集成语音模块，可根据用户需求自定义语音播报内容，并可设置联动语音提示。</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支持自动复位功能，开门后在规定的时间内未通行，系统将自动取消用户的本次通行的权限，可设定通行时间。</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8.</w:t>
            </w:r>
            <w:r>
              <w:rPr>
                <w:rFonts w:hint="eastAsia" w:ascii="宋体" w:hAnsi="宋体" w:eastAsia="宋体" w:cs="宋体"/>
                <w:color w:val="auto"/>
                <w:sz w:val="21"/>
                <w:szCs w:val="21"/>
                <w:highlight w:val="none"/>
              </w:rPr>
              <w:t>支持经授权人员才能通过，未经授权人员无法通行，支持记忆模式，可实现连续快速通行。</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9.</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color w:val="auto"/>
                <w:sz w:val="21"/>
                <w:szCs w:val="21"/>
                <w:highlight w:val="none"/>
              </w:rPr>
              <w:t xml:space="preserve"> 支持防夹保护功能，在门翼动作过程中遇阻时门翼自动停止动作，并有报警提示（包括语音播报、指示灯、IO信号联动输出），同时上传报警事件，人员通行时，红外检测到人员在非安全区域，门翼自动停止动作，人员离开通道后，门翼自动复位。</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0.</w:t>
            </w:r>
            <w:r>
              <w:rPr>
                <w:rFonts w:hint="eastAsia" w:ascii="宋体" w:hAnsi="宋体" w:eastAsia="宋体" w:cs="宋体"/>
                <w:color w:val="auto"/>
                <w:sz w:val="21"/>
                <w:szCs w:val="21"/>
                <w:highlight w:val="none"/>
              </w:rPr>
              <w:t>具有消防联动接口，当消防信号触发时，门翼自动打开，快速引导人员疏散。</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1.</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color w:val="auto"/>
                <w:sz w:val="21"/>
                <w:szCs w:val="21"/>
                <w:highlight w:val="none"/>
              </w:rPr>
              <w:t xml:space="preserve"> 支持红外检测功能，设备支持设置为宽松模式或警戒模式，警戒模式：该模式下，以现场管控安全需求为主要目的，检测到尾随、反向闯入、红外防夹、机械防夹时，门翼继续关闭（机械防夹时为暂停）并制动，上报事件，并根据配置进行声光提示。</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支持应急放行的功能，设备在断电或者发生故障后能处于无拦挡状态，支持断电自动开门功能。</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支持翻越报警的功能，当检测到有人翻越时，可联动语音播报、指示灯、IO信号联动等报警提示，同时可上传报警事件。</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支持断电通行，断电时门翼自动打开，支持防护等级≥IP54，工作温度范围为-30℃～70℃。</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107</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智能摆闸单机芯（右）</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rPr>
              <w:t>单边道，采用直流无刷电机，闸机通道采用厚度不低于1.2mm的不锈钢板材，通道应采用≥6对红外对射。</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闸机通道为摆闸箱体，外壳采用不锈钢，箱体尺寸：长≤1200mm，宽≤218mm，高≥1023mm，通道宽度尺寸支持550mm～1400mm。</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支持≥6万张普通卡、≥3千张来宾卡、≥18万条事件记录，通行速度为20～60人每分钟。</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集成门禁主控板，可扩展人脸识别组件、读卡器、二维码、指纹等多种认证方式。</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支持远程控制管理功能，也可单机离线运行，支持人数统计功能，针对进出方向分别进行统计，支持记忆模式，可实现连续认证，连续快速通行。</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6.</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color w:val="auto"/>
                <w:sz w:val="21"/>
                <w:szCs w:val="21"/>
                <w:highlight w:val="none"/>
              </w:rPr>
              <w:t xml:space="preserve"> 设备集成语音模块，可根据用户需求自定义语音播报内容，并可设置联动语音提示。</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支持自动复位功能，开门后在规定的时间内未通行，系统将自动取消用户的本次通行的权限，可设定通行时间。</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8.</w:t>
            </w:r>
            <w:r>
              <w:rPr>
                <w:rFonts w:hint="eastAsia" w:ascii="宋体" w:hAnsi="宋体" w:eastAsia="宋体" w:cs="宋体"/>
                <w:color w:val="auto"/>
                <w:sz w:val="21"/>
                <w:szCs w:val="21"/>
                <w:highlight w:val="none"/>
              </w:rPr>
              <w:t>支持经授权人员才能通过，未经授权人员无法通行，支持记忆模式，可实现连续快速通行。</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9.</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color w:val="auto"/>
                <w:sz w:val="21"/>
                <w:szCs w:val="21"/>
                <w:highlight w:val="none"/>
              </w:rPr>
              <w:t xml:space="preserve"> 支持防夹保护功能，在门翼动作过程中遇阻时门翼自动停止动作，并有报警提示（包括语音播报、指示灯、IO信号联动输出），同时上传报警事件，人员通行时，红外检测到人员在非安全区域，门翼自动停止动作，人员离开通道后，门翼自动复位。</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0.</w:t>
            </w:r>
            <w:r>
              <w:rPr>
                <w:rFonts w:hint="eastAsia" w:ascii="宋体" w:hAnsi="宋体" w:eastAsia="宋体" w:cs="宋体"/>
                <w:color w:val="auto"/>
                <w:sz w:val="21"/>
                <w:szCs w:val="21"/>
                <w:highlight w:val="none"/>
              </w:rPr>
              <w:t>具有消防联动接口，当消防信号触发时，门翼自动打开，快速引导人员疏散。</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1.</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color w:val="auto"/>
                <w:sz w:val="21"/>
                <w:szCs w:val="21"/>
                <w:highlight w:val="none"/>
              </w:rPr>
              <w:t xml:space="preserve"> 支持红外检测功能，设备支持设置为宽松模式或警戒模式，警戒模式：该模式下，以现场管控安全需求为主要目的，检测到尾随、反向闯入、红外防夹、机械防夹时，门翼继续关闭（机械防夹时为暂停）并制动，上报事件，并根据配置进行声光提示。</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支持应急放行的功能，设备在断电或者发生故障后能处于无拦挡状态，支持断电自动开门功能。</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支持翻越报警的功能，当检测到有人翻越时，可联动语音播报、指示灯、IO信号联动等报警提示，同时可上传报警事件。</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支持断电通行，断电时门翼自动打开，支持防护等级≥IP54，工作温度范围为-30℃～70℃。</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108</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智能摆闸双机芯（中间）</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rPr>
              <w:t>中间道，采用直流无刷电机，闸机通道采用厚度不低于1.2mm的不锈钢板材，通道应采用≥6对红外对射。</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闸机通道为摆闸箱体，外壳采用不锈钢，箱体尺寸：长≤1200mm，宽≤218mm，高≥1023mm，通道宽度尺寸支持550mm～1400mm。</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支持≥6万张普通卡、≥3千张来宾卡、≥18万条事件记录，通行速度为20～60人每分钟。</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集成门禁主控板，可扩展人脸识别组件、读卡器、二维码、指纹等多种认证方式。</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支持远程控制管理功能，也可单机离线运行，支持人数统计功能，针对进出方向分别进行统计，支持记忆模式，可实现连续认证，连续快速通行。</w:t>
            </w:r>
          </w:p>
          <w:p>
            <w:pPr>
              <w:pStyle w:val="20"/>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rPr>
              <w:t xml:space="preserve"> </w:t>
            </w:r>
            <w:r>
              <w:rPr>
                <w:rFonts w:hint="eastAsia"/>
                <w:highlight w:val="none"/>
                <w:lang w:val="en-US" w:eastAsia="zh-CN"/>
              </w:rPr>
              <w:t>设备能集成语音模块</w:t>
            </w:r>
            <w:r>
              <w:rPr>
                <w:rFonts w:hint="eastAsia" w:ascii="宋体" w:hAnsi="宋体" w:eastAsia="宋体" w:cs="宋体"/>
                <w:color w:val="auto"/>
                <w:sz w:val="21"/>
                <w:szCs w:val="21"/>
                <w:highlight w:val="none"/>
              </w:rPr>
              <w:t>，可根据用户需求自定义语音播报内容，并可设置联动语音提示。</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支持自动复位功能，开门后在规定的时间内未通行，系统将自动取消用户的本次通行的权限，可设定通行时间。</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8.</w:t>
            </w:r>
            <w:r>
              <w:rPr>
                <w:rFonts w:hint="eastAsia" w:ascii="宋体" w:hAnsi="宋体" w:eastAsia="宋体" w:cs="宋体"/>
                <w:color w:val="auto"/>
                <w:sz w:val="21"/>
                <w:szCs w:val="21"/>
                <w:highlight w:val="none"/>
              </w:rPr>
              <w:t>支持经授权人员才能通过，未经授权人员无法通行，支持记忆模式，可实现连续快速通行。</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9.</w:t>
            </w:r>
            <w:r>
              <w:rPr>
                <w:rFonts w:hint="eastAsia" w:ascii="宋体" w:hAnsi="宋体" w:eastAsia="宋体" w:cs="宋体"/>
                <w:color w:val="auto"/>
                <w:sz w:val="21"/>
                <w:szCs w:val="21"/>
                <w:highlight w:val="none"/>
              </w:rPr>
              <w:t xml:space="preserve"> 支持防夹保护功能，在门翼动作过程中遇阻时门翼自动停止动作，并有报警提示（包括语音播报、指示灯、IO信号联动输出），同时上传报警事件，人员通行时，红外检测到人员在非安全区域，门翼自动停止动作，人员离开通道后，门翼自动复位。</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0.</w:t>
            </w:r>
            <w:r>
              <w:rPr>
                <w:rFonts w:hint="eastAsia" w:ascii="宋体" w:hAnsi="宋体" w:eastAsia="宋体" w:cs="宋体"/>
                <w:color w:val="auto"/>
                <w:sz w:val="21"/>
                <w:szCs w:val="21"/>
                <w:highlight w:val="none"/>
              </w:rPr>
              <w:t>具有消防联动接口，当消防信号触发时，门翼自动打开，快速引导人员疏散。</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rPr>
              <w:t xml:space="preserve"> 支持红外检测功能，设备支持设置为宽松模式或警戒模式，警戒模式：该模式下，以现场管控安全需求为主要目的，检测到尾随、反向闯入、红外防夹、机械防夹时，门翼继续关闭（机械防夹时为暂停）并制动，上报事件，并根据配置进行声光提示。</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支持应急放行的功能，设备在断电或者发生故障后能处于无拦挡状态，支持断电自动开门功能。</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支持翻越报警的功能，当检测到有人翻越时，可联动语音播报、指示灯、IO信号联动等报警提示，同时可上传报警事件。</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支持断电通行，断电时门翼自动打开，支持防护等级≥IP54，工作温度范围为-30℃～70℃。</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109</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人脸识别组件</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rPr>
              <w:t>采用≥7英寸LCD触摸显示屏，屏幕流明度≥290cd/㎡，分辨率≥1024*600，防护等级≥IP65。</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支持设置红外及可见光补光灯亮度，支持管理中心远程视频预览。</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采用≥200万像素双目宽动态摄像头，适应强光、逆光、弱光等条件下的人脸识别，支持通过人脸及人体测光，快速调节图像亮度。</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刷卡时，设备有蜂鸣器提示，支持比对结果语音提示，支持语音音量调节，支持比对结果图文图示功能。</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设备本地人脸库存储容量≥20000张，设备本地记录（刷脸刷卡）支持≥20000笔记录存储，支持红外及白光灯补光，支持在≤0.001 lux低照度无补光环境下正常实现人脸识别。</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rPr>
              <w:t>设备支持人脸识别、认证比对、刷卡、密码认证方式，支持任意一种、任意两组组合、任意三组组合的认证开门。</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支持本地非明文存储比对结果、身份信息及抓拍人脸照片，设备本地支持根据具体用户按天、周、月、自定义时间段或全部查询事件记录，根据设定事件的联动关系，当检测到该事件发生时，可触发对应的动作。</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8.</w:t>
            </w:r>
            <w:r>
              <w:rPr>
                <w:rFonts w:hint="eastAsia" w:ascii="宋体" w:hAnsi="宋体" w:eastAsia="宋体" w:cs="宋体"/>
                <w:color w:val="auto"/>
                <w:sz w:val="21"/>
                <w:szCs w:val="21"/>
                <w:highlight w:val="none"/>
              </w:rPr>
              <w:t>设备支持人脸注册功能，支持设备本地人脸注册，支持远程中心下发人脸，支持通过APP采集人脸并注册下发，支持本地U盘导入人员信息。</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9.</w:t>
            </w:r>
            <w:r>
              <w:rPr>
                <w:rFonts w:hint="eastAsia" w:ascii="宋体" w:hAnsi="宋体" w:eastAsia="宋体" w:cs="宋体"/>
                <w:color w:val="auto"/>
                <w:sz w:val="21"/>
                <w:szCs w:val="21"/>
                <w:highlight w:val="none"/>
              </w:rPr>
              <w:t>支持防假体攻击功能，对视频、电子照片、打印照片中的人脸应不能进行人脸识别开门。</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0.</w:t>
            </w:r>
            <w:r>
              <w:rPr>
                <w:rFonts w:hint="eastAsia" w:ascii="宋体" w:hAnsi="宋体" w:eastAsia="宋体" w:cs="宋体"/>
                <w:color w:val="auto"/>
                <w:sz w:val="21"/>
                <w:szCs w:val="21"/>
                <w:highlight w:val="none"/>
              </w:rPr>
              <w:t>设备支持人脸识别功能，现场抓拍人脸照片与本地人脸库照片进行比对，进行人员身份核验，支持人脸在上下、左右角度偏转±45度范围内识别。</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rPr>
              <w:t>支持节能功能，支持在没有用户使用时自动切换到屏保或息屏待机状态，支持物体靠近自动唤醒待机设备，唤醒距离可调节，支持不开启白光补光灯实现人脸识别。</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人脸识别距离：0.2m～3m，人脸比对误识率和准确率：误识率≤0.01%的条件下，准确率≥99%，人脸比对平均时间≤300ms。</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设备支持视频对讲功能，支持与平台或客户端中心、室内机、管理机、手机APP进行对讲。</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设备支持局域网、互联网环境的网络通信，支持云平台通信，实现视频、对讲及权限管控功能，支持被≥4个客户端软件同时实时监听，在线状态下实时上传比对记录，支持双码流，主码流≥1280*720@25fps，子码流≥1280*720@25fps。</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支持中心下发黑名单信息，支持本地黑名单信息比对，支持本地黑名单事件，黑名单事件信息可上传平台。</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人脸采集摄像机</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万USB电视摄像机传感器类型:2.0MegaProgressiveScanCMOS；总像素:1920(水平)×1080(垂直)最低照度:0.1Lux@(F1.2,AGCON)；镜头:6mm(2.1mm可选)出线长度:2m(2.1mm焦距设备出线为4m)；日夜转换模式:单彩调整角度:水平:0°;垂直:-10°~30°;旋转:0°；视频帧率:1080p@25fps;1080p@30fps信噪比:大于62dB；视频输出:USB2.0音频输入:内置MIC；音频输出:USB2.0；白平衡:自动白平衡蜂鸣功能；支持LED指示灯:红色：待机状态;蓝色：正常视频通话状态;红色闪烁+蜂鸣：有视频通话请求状态；工作温度和湿度:-10℃~45℃,湿度小于90%(无凝结)；电源供应:DC5V±15%（USB接口）功耗:2W。</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111</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bookmarkStart w:id="69" w:name="OLE_LINK14"/>
            <w:r>
              <w:rPr>
                <w:rFonts w:hint="eastAsia" w:ascii="宋体" w:hAnsi="宋体" w:eastAsia="宋体" w:cs="宋体"/>
                <w:i w:val="0"/>
                <w:iCs w:val="0"/>
                <w:color w:val="auto"/>
                <w:kern w:val="0"/>
                <w:sz w:val="21"/>
                <w:szCs w:val="21"/>
                <w:highlight w:val="none"/>
                <w:u w:val="none"/>
                <w:lang w:val="en-US" w:eastAsia="zh-CN" w:bidi="ar"/>
              </w:rPr>
              <w:t>律师通道配置</w:t>
            </w:r>
            <w:bookmarkEnd w:id="69"/>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bookmarkStart w:id="70" w:name="OLE_LINK13"/>
            <w:r>
              <w:rPr>
                <w:rFonts w:hint="eastAsia" w:ascii="宋体" w:hAnsi="宋体" w:eastAsia="宋体" w:cs="宋体"/>
                <w:i w:val="0"/>
                <w:iCs w:val="0"/>
                <w:color w:val="auto"/>
                <w:kern w:val="0"/>
                <w:sz w:val="21"/>
                <w:szCs w:val="21"/>
                <w:highlight w:val="none"/>
                <w:u w:val="none"/>
                <w:lang w:val="en-US" w:eastAsia="zh-CN" w:bidi="ar"/>
              </w:rPr>
              <w:t>升级二维码识别结果与区高院平台对接定制程序</w:t>
            </w:r>
            <w:bookmarkEnd w:id="70"/>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112</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平台基础服务终端</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1.CPU：配置2颗核数≥10核，主频≥2.4GHz；2.内存：配置128GDDR4，16根内存插槽，最大支持扩展至2TB内存；3.硬盘：配置2块600G10K2.5寸SAS硬盘；</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113</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配电箱</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配电箱尺寸800*600*200mm，前单开门，冷轧钢板厚度1.0mm，防尘防水，安装防盗锁；2P32A空开3个，20KA2P电源防雷器1个，5孔10A导轨插座，含1个8位零排，1个8位地排及内部接线。</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114</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六类非屏蔽双绞线</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执行标准：YD/T1019、ISO/IEC11801、TIA/EIA568-C</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·线缆中心采用PE十字骨架，具有高抗电磁干扰性；</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·带宽：满足250MHz测试符合最新六类标准；</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·铜导直径：0.57±0.005</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·绝缘直径：1.0±0.03</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·线缆直径：6.0±0.2mm</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·电缆包装：305米/箱</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·最小弯曲半径（动态）：26mm</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·最小弯曲半径（静态）：52mm</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·最大安装拉力：25N/P</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·工作温度：-20°C~+70°C  </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米</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115</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电源线RVV3*2.5</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符合标准：GB/T5023.5-2008</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电压：300V/500V</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导体：多股铜导体</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绝缘：PVC</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护套：PVC</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测试电压：2000V，5min</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绝缘电阻：&gt;200M欧姆×KM</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使用温度（固定安装）：-30~ +70℃</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弯曲半径：15×电缆外径</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米</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116</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PVC阻燃冷弯管径25MM</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PVC阻燃冷弯直径25MM壁厚2mm，含弯头、直通。</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米</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117</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金属软管径25MM</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包塑金属软管直径25MM,PVC环保材料+镀锌钢带。</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米</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16" w:type="dxa"/>
            <w:gridSpan w:val="6"/>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视频监控系统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16"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1.前端设备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118</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高清枪型摄像机</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1.摄像机≥400万像素，分辨率≥2560×1440；2.视频压缩标准 H.265 /H.264/ MJPEG；支持电动变焦2.7-8 mm；3.红外照射距离≥50米；4.支持场景变更侦测，虚焦侦测，区域入侵侦测，徘徊侦测，停车侦测，人员聚集侦测，音频异常侦测等；5.内置麦克风≥1个；6.支持POE供电；7.防护等级≥IP67。</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119</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人脸识别摄像机</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1.摄像机≥400万像素，分辨率≥2560×1440；2.视频压缩标准 H.265 /H.264/ MJPEG；支持电动变焦2.7-12 mm；</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3.支持智能分析抗干扰功能，当篮球、小狗、树叶等非人或车辆目标经过检测区域时，不会触发报警。</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4.可对出现在监控场景内的两眼瞳距不小于20像素的人脸进行检验，同时叠加目标提示框</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电梯摄像机</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1.摄像机≥200万像素，分辨率≥1920×1080；2.视频压缩标准H.265/H.264/ MJPEG；3.红外照射距离≥10米；4.支持场景变更侦测，虚焦侦测，区域入侵侦测，进入区域侦测，离开区域侦测，物品遗留侦测，物品拿取侦测，徘徊侦测，快速移动侦测，音频异常侦测，音频抖升侦测，音频抖降侦测；5.支持POE供电；6.内置麦克风≥1个、扬声器≥1个；7.防护等级≥IP66，</w:t>
            </w:r>
            <w:r>
              <w:rPr>
                <w:rFonts w:hint="eastAsia" w:ascii="宋体" w:hAnsi="宋体" w:cs="宋体"/>
                <w:i w:val="0"/>
                <w:iCs w:val="0"/>
                <w:color w:val="auto"/>
                <w:kern w:val="0"/>
                <w:sz w:val="21"/>
                <w:szCs w:val="21"/>
                <w:highlight w:val="none"/>
                <w:u w:val="none"/>
                <w:lang w:val="en-US" w:eastAsia="zh-CN" w:bidi="ar"/>
              </w:rPr>
              <w:t>防爆</w:t>
            </w:r>
            <w:r>
              <w:rPr>
                <w:rFonts w:hint="eastAsia" w:ascii="宋体" w:hAnsi="宋体" w:eastAsia="宋体" w:cs="宋体"/>
                <w:i w:val="0"/>
                <w:iCs w:val="0"/>
                <w:color w:val="auto"/>
                <w:kern w:val="0"/>
                <w:sz w:val="21"/>
                <w:szCs w:val="21"/>
                <w:highlight w:val="none"/>
                <w:u w:val="none"/>
                <w:lang w:val="en-US" w:eastAsia="zh-CN" w:bidi="ar"/>
              </w:rPr>
              <w:t>等级:IK08。</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121</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电梯网桥</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采用IEEE 802.11ac标准，支持2×2 MIMO技术，空口速率最高866Mbp；最大传输距离100米支持-30℃~70℃；支持PoE供电（12V 1A）；专抗电梯低频干扰，支持扩展频段。</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122</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周界分析摄像机</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1.摄像机≥400万像素，分辨率≥2560×1440；2.视频压缩标准 H.265 /H.264/ MJPEG3.红外照射距离≥30米；4.采用深度学习硬件及算法，提供准确的人车分</w:t>
            </w:r>
            <w:r>
              <w:rPr>
                <w:rFonts w:hint="eastAsia" w:ascii="宋体" w:hAnsi="宋体" w:cs="宋体"/>
                <w:i w:val="0"/>
                <w:iCs w:val="0"/>
                <w:color w:val="auto"/>
                <w:kern w:val="0"/>
                <w:sz w:val="21"/>
                <w:szCs w:val="21"/>
                <w:highlight w:val="none"/>
                <w:u w:val="none"/>
                <w:lang w:val="en-US" w:eastAsia="zh-CN" w:bidi="ar"/>
              </w:rPr>
              <w:t>类</w:t>
            </w:r>
            <w:r>
              <w:rPr>
                <w:rFonts w:hint="eastAsia" w:ascii="宋体" w:hAnsi="宋体" w:eastAsia="宋体" w:cs="宋体"/>
                <w:i w:val="0"/>
                <w:iCs w:val="0"/>
                <w:color w:val="auto"/>
                <w:kern w:val="0"/>
                <w:sz w:val="21"/>
                <w:szCs w:val="21"/>
                <w:highlight w:val="none"/>
                <w:u w:val="none"/>
                <w:lang w:val="en-US" w:eastAsia="zh-CN" w:bidi="ar"/>
              </w:rPr>
              <w:t>侦测，支持越界侦测，区域入侵侦测，进入区域侦测和离开区域侦测；5.采用深度学习去误报算法，当篮球、小狗、树摇晃等情况经过检测区域时，不会触发报警；6.支持声光警戒：报警联动白光闪烁报警和声音报警，报警声音类型不小于11种，报警音量和重复次数可设置；7.内置麦克风≥2个、扬声器≥1个；8.支持POE供电；9.防护等级≥IP67。</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123</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全景高点摄像机</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rPr>
              <w:t>全景路视频图像像素≥400万，细节路视频图像像素≥400万，支持≥25倍光学变倍。</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支持最低照度彩色≤0.0002 lx，黑白≤0.0001 lx，补光灯距离：全景通道≥30米，细节通道≥200米。</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w:t>
            </w:r>
            <w:r>
              <w:rPr>
                <w:rFonts w:hint="eastAsia" w:ascii="宋体" w:hAnsi="宋体" w:eastAsia="宋体" w:cs="宋体"/>
                <w:b/>
                <w:bCs/>
                <w:color w:val="auto"/>
                <w:sz w:val="21"/>
                <w:szCs w:val="21"/>
                <w:highlight w:val="none"/>
                <w:lang w:val="en-US" w:eastAsia="zh-CN"/>
              </w:rPr>
              <w:t>▲</w:t>
            </w:r>
            <w:bookmarkStart w:id="71" w:name="OLE_LINK16"/>
            <w:r>
              <w:rPr>
                <w:rFonts w:hint="eastAsia" w:ascii="宋体" w:hAnsi="宋体" w:eastAsia="宋体" w:cs="宋体"/>
                <w:color w:val="auto"/>
                <w:sz w:val="21"/>
                <w:szCs w:val="21"/>
                <w:highlight w:val="none"/>
              </w:rPr>
              <w:t>全景画面水平视场角≥90°，垂直视场角≥50°，全景通道可进行垂直旋转，旋转范围≥10°可调。</w:t>
            </w:r>
            <w:bookmarkEnd w:id="71"/>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内置≥2个GPU芯片，内置≥2个镜头，可输出至少一路全景视频和一路细节视频。</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全景通道内置镜头，光圈不小于F1.0，具有≥1/1.8靶面尺寸，内置≥4颗补光灯。</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rPr>
              <w:t>细节通道内置镜头，具备≥1/1.8靶面尺寸，内置≥10颗红外补光灯及≥1颗白光灯。</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7.</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color w:val="auto"/>
                <w:sz w:val="21"/>
                <w:szCs w:val="21"/>
                <w:highlight w:val="none"/>
              </w:rPr>
              <w:t>设备可在预览画面及抓拍图片中叠加人员和车辆的移动轨迹。</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8.</w:t>
            </w:r>
            <w:r>
              <w:rPr>
                <w:rFonts w:hint="eastAsia" w:ascii="宋体" w:hAnsi="宋体" w:eastAsia="宋体" w:cs="宋体"/>
                <w:color w:val="auto"/>
                <w:sz w:val="21"/>
                <w:szCs w:val="21"/>
                <w:highlight w:val="none"/>
              </w:rPr>
              <w:t>具备AR标签管理功能，可对监控区域的常规点位、人脸点位、重点道路等进行标签标注，可添加≥500个标签。</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9.</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color w:val="auto"/>
                <w:sz w:val="21"/>
                <w:szCs w:val="21"/>
                <w:highlight w:val="none"/>
              </w:rPr>
              <w:t>支持点击全景画面联动特写镜头，手动跟踪运动目标，支持同时抓拍≥30张人脸，支持对运动人脸进行检测、跟踪、抓拍、评分、筛选，输出最优的人脸抓图。</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0.</w:t>
            </w:r>
            <w:r>
              <w:rPr>
                <w:rFonts w:hint="eastAsia" w:ascii="宋体" w:hAnsi="宋体" w:eastAsia="宋体" w:cs="宋体"/>
                <w:color w:val="auto"/>
                <w:sz w:val="21"/>
                <w:szCs w:val="21"/>
                <w:highlight w:val="none"/>
              </w:rPr>
              <w:t>设备正常工作时，断开网络，设备可将抓拍图片和录像文件存储在内置存储卡中，当网络恢复后，再将这些图片和录像文件上传至指定的FTP服务器。</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rPr>
              <w:t>可通过IE浏览器添加≥20个物体标签，可开启或关闭标签显示功能，显示透明度可配置，具备AR标签抖动漂移功能，当设备云台明显抖动、转动、或进行镜头变倍时，标签应跟随标定的目标物移动，并在画面中与目标物保持相对静止。</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具备AR标签联动查看功能，选中标签并将标签置于屏幕中心位置进行显示，可通过点击视频画面中的标签查看标签内容并对标签关联的摄像机视频进行预览，并可通过点击摄像机预览窗口进行放大窗口操作。</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可设置闪光灯闪烁时间，闪烁频率，亮度，当监控画面中有目标触发区域入侵侦测、越界侦测、进入区域侦测、离开区域侦测等报警事件时，可联动白光灯闪烁进行报警。</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支持车辆检测和混行检测，车牌捕获及检索、多场景巡航检测等功能。</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具有声音报警输出功能，可设置音频类型为≥11种警戒音、提示音、自定义语音，其中自定义语音可上传本地语音文件以及命名，报警次数1～50次可设，可通过区域入侵侦测、越界侦测、进入区域侦测、离开区域侦测等报警事件，联动闪光报警、声音报警，当篮球、小狗、树叶等非人或车辆目标经过检测区域时不会触发报警。</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rPr>
              <w:t>支持数据感知功能，可同时支持≥3路web监听通道，设备响应web端发送的查询请求，并返回对应的感知数据，断网重连后，报警信息可继续上传。</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支持硬件微引导程序、uboot、OS、应用软件逐级校验功能，非法篡改的uboot、OS、应用软件固件包，不能通过命令行、浏览器、客户端方式进行升级。</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8.</w:t>
            </w:r>
            <w:r>
              <w:rPr>
                <w:rFonts w:hint="eastAsia" w:ascii="宋体" w:hAnsi="宋体" w:eastAsia="宋体" w:cs="宋体"/>
                <w:color w:val="auto"/>
                <w:sz w:val="21"/>
                <w:szCs w:val="21"/>
                <w:highlight w:val="none"/>
              </w:rPr>
              <w:t>支持防护等级≥IP67，支持在-40 ℃～70 ℃温度变化范围内正常稳定的工作。</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124</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防雷器</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网络电源型：RJ45接口；标称放电电流：5kA（8/20μs波形）最大持续工作电压：12V/24V/220V三档可选24残压水平：≤100V（10kA测试条件下）；千兆型号插入损耗≤0.5dB，支持802.3af/at标准67，响应时间1-25ns级。</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枪机支架</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材质：铝合金；旋转角度：水平360°/垂直±45°；尺寸：70×97.1×173.4mm。</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126</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围墙摄像机支架</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枪机通用立杆高度:600mm管径:76mm壁厚≥2mm横臂长:150mm法兰盘:100x200mm材质:镀锌钢管喷塑</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127</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球机支架</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枪机通用立杆高度:1500mm管径:76mm壁厚≥2mm横臂长:1000mm法兰盘:100x200mm材质:镀锌钢管喷塑.</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16"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2.传输网络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128</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汇集交换机</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千兆三层全管理增强型交换机,包转发率 171Mpps/256Mpps,交换容量672Gbps/6.72Tbps,24个千兆光口,其中8个GE combo口，4个万兆光口,2个专用堆叠口，VLAN:4K,MAC:32K,19英寸1U标准机架,金属外壳,挂耳默认自带,支持 1+1 电源备份（默认含一个交流电源），80W交流电源模块*1。</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129</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光汇聚交换机</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千兆三层全管理增强型交换机,包转发率 171Mpps/256Mpps,交换容量672Gbps/6.72Tbps,24个千兆电口，4个万兆光口,2个专用堆叠口，VLAN:4K,MAC:32K,19英寸1U标准机架,金属外壳,挂耳默认自带,支持 1+1 电源备份（默认含一个交流电源）</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8口PoE交换机</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二层千兆web管理POE交换机,包转发率15Mpps,交换容量336Gbps,9个千兆电口,1个千兆光口,VLAN:4K,MAC:8K,桌面式,金属外壳,支持POE+,输出功率124W,不支持挂耳,国标交流适配器，| 监控50台 | 带机量100人</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131</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24口PoE交换机</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二层千兆web管理POE交换机,包转发率42Mpps,交换容量336Gbps,24个千兆电口,4个千兆光口,VLAN:4K,MAC:8K,1U标准机架款,金属外壳,支持POE+,输出功率370W,挂耳默认自带，| 监控200台 | 带机量400人</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132</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千兆光模块</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1. 接口封装：eSFP；</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2. 速率：GE；</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3. 中心波长（nm）：1310；</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4. 标准：1000BASE-LX10/LH；</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5. 接头类型：LC；</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6. 支持的线缆与对应最大传输距离：单模光纤，10km；</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highlight w:val="none"/>
              </w:rPr>
              <w:t>7. 工作温度：0°C～50°C。</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万兆单模光模块</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1. 接口封装：SFP+；</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2. 速率：10GE；</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3. 中心波长（nm）：1310；</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4. 标准：10GBASE-LR；</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5. 接头类型：LC；</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6. 支持的线缆与对应最大传输距离：单模光纤，10km；</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highlight w:val="none"/>
              </w:rPr>
              <w:t>7. 工作温度：0°C～50°C。</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16"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3.监控中心设备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134</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网络存储</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设备配置≥72块6TB企业级硬盘。</w:t>
            </w:r>
          </w:p>
          <w:p>
            <w:pPr>
              <w:keepNext w:val="0"/>
              <w:keepLines w:val="0"/>
              <w:pageBreakBefore w:val="0"/>
              <w:widowControl/>
              <w:suppressLineNumbers w:val="0"/>
              <w:kinsoku/>
              <w:wordWrap w:val="0"/>
              <w:overflowPunct/>
              <w:topLinePunct w:val="0"/>
              <w:autoSpaceDE/>
              <w:autoSpaceDN/>
              <w:bidi w:val="0"/>
              <w:adjustRightInd/>
              <w:snapToGrid/>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color w:val="auto"/>
                <w:sz w:val="21"/>
                <w:szCs w:val="21"/>
                <w:highlight w:val="none"/>
              </w:rPr>
              <w:t>设备配置：≥1颗64位多核处理器，≥8GB内存，内存支持扩展到≥256GB，内置SSD固态硬盘（可以扩展到4个SSD作为缓存盘），配置≥8个风扇，风扇支持热插拔并可冗余温控调速；支持热插拔1+1AC220V电源或1+1直流冗余电源供电</w:t>
            </w:r>
          </w:p>
          <w:p>
            <w:pPr>
              <w:keepNext w:val="0"/>
              <w:keepLines w:val="0"/>
              <w:pageBreakBefore w:val="0"/>
              <w:widowControl/>
              <w:suppressLineNumbers w:val="0"/>
              <w:kinsoku/>
              <w:wordWrap w:val="0"/>
              <w:overflowPunct/>
              <w:topLinePunct w:val="0"/>
              <w:autoSpaceDE/>
              <w:autoSpaceDN/>
              <w:bidi w:val="0"/>
              <w:adjustRightInd/>
              <w:snapToGrid/>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color w:val="auto"/>
                <w:sz w:val="21"/>
                <w:szCs w:val="21"/>
                <w:highlight w:val="none"/>
              </w:rPr>
              <w:t>设备标配：≥4个2.5Gb网口，支持2个前置 USB2.0接口、2个后置USB3.0接口，支持1个前置VGA接口、1个后置HDMI接口，支持1个RS-232串口，支持4个PCI-E3.0</w:t>
            </w:r>
          </w:p>
          <w:p>
            <w:pPr>
              <w:keepNext w:val="0"/>
              <w:keepLines w:val="0"/>
              <w:pageBreakBefore w:val="0"/>
              <w:widowControl/>
              <w:suppressLineNumbers w:val="0"/>
              <w:kinsoku/>
              <w:wordWrap w:val="0"/>
              <w:overflowPunct/>
              <w:topLinePunct w:val="0"/>
              <w:autoSpaceDE/>
              <w:autoSpaceDN/>
              <w:bidi w:val="0"/>
              <w:adjustRightInd/>
              <w:snapToGrid/>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3.具有72个硬盘热插拔插槽；支持硬盘热插拔设备在读写数据时，热插拔设备内的任意块硬盘，设备正常运行不宕机，硬盘不损坏，数据不丢失，业务不中断</w:t>
            </w:r>
          </w:p>
          <w:p>
            <w:pPr>
              <w:keepNext w:val="0"/>
              <w:keepLines w:val="0"/>
              <w:pageBreakBefore w:val="0"/>
              <w:widowControl/>
              <w:suppressLineNumbers w:val="0"/>
              <w:kinsoku/>
              <w:wordWrap w:val="0"/>
              <w:overflowPunct/>
              <w:topLinePunct w:val="0"/>
              <w:autoSpaceDE/>
              <w:autoSpaceDN/>
              <w:bidi w:val="0"/>
              <w:adjustRightInd/>
              <w:snapToGrid/>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4.设备具备1个定位灯、1个电源灯、1个设备报警灯、1个就绪灯、1个网络状态灯、1个系统盘状态灯、1个硬盘状态灯，机箱具备防尘滤网，采用双立柱防震设计。设备左右侧面各2个抬手，具备前面板抽拉标签卡</w:t>
            </w:r>
          </w:p>
          <w:p>
            <w:pPr>
              <w:keepNext w:val="0"/>
              <w:keepLines w:val="0"/>
              <w:pageBreakBefore w:val="0"/>
              <w:widowControl/>
              <w:suppressLineNumbers w:val="0"/>
              <w:kinsoku/>
              <w:wordWrap w:val="0"/>
              <w:overflowPunct/>
              <w:topLinePunct w:val="0"/>
              <w:autoSpaceDE/>
              <w:autoSpaceDN/>
              <w:bidi w:val="0"/>
              <w:adjustRightInd/>
              <w:snapToGrid/>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color w:val="auto"/>
                <w:sz w:val="21"/>
                <w:szCs w:val="21"/>
                <w:highlight w:val="none"/>
              </w:rPr>
              <w:t>每个控制单元支持双系统应用，外置系统盘支持RAID1模式，系统盘支持热插拔，当主系统出现故障时，备用系统可接管工作；支持系统盘为独立的2块HDD（SATA、SAS）或SSD盘，组成RAID1</w:t>
            </w:r>
          </w:p>
          <w:p>
            <w:pPr>
              <w:keepNext w:val="0"/>
              <w:keepLines w:val="0"/>
              <w:pageBreakBefore w:val="0"/>
              <w:widowControl/>
              <w:suppressLineNumbers w:val="0"/>
              <w:kinsoku/>
              <w:wordWrap w:val="0"/>
              <w:overflowPunct/>
              <w:topLinePunct w:val="0"/>
              <w:autoSpaceDE/>
              <w:autoSpaceDN/>
              <w:bidi w:val="0"/>
              <w:adjustRightInd/>
              <w:snapToGrid/>
              <w:ind w:firstLine="0" w:firstLineChars="0"/>
              <w:jc w:val="both"/>
              <w:textAlignment w:val="center"/>
              <w:rPr>
                <w:rFonts w:hint="eastAsia" w:ascii="宋体" w:hAnsi="宋体" w:eastAsia="宋体" w:cs="宋体"/>
                <w:color w:val="auto"/>
                <w:sz w:val="21"/>
                <w:szCs w:val="21"/>
                <w:highlight w:val="none"/>
              </w:rPr>
            </w:pPr>
            <w:r>
              <w:rPr>
                <w:rFonts w:hint="eastAsia"/>
                <w:highlight w:val="none"/>
                <w:lang w:val="en-US" w:eastAsia="zh-CN"/>
              </w:rPr>
              <w:t>6.▲</w:t>
            </w:r>
            <w:r>
              <w:rPr>
                <w:rFonts w:hint="eastAsia"/>
                <w:highlight w:val="none"/>
              </w:rPr>
              <w:t xml:space="preserve">可接入2T/3T/4T/6T/8T/10T/12T/14T/16T/18T/20T/25T/26T/30T </w:t>
            </w:r>
            <w:r>
              <w:rPr>
                <w:rFonts w:hint="eastAsia" w:ascii="宋体" w:hAnsi="宋体" w:eastAsia="宋体" w:cs="宋体"/>
                <w:color w:val="auto"/>
                <w:sz w:val="21"/>
                <w:szCs w:val="21"/>
                <w:highlight w:val="none"/>
              </w:rPr>
              <w:t>SATA/SAS硬盘；支持NL-SAS 硬盘、HDD硬盘、SSD硬盘、氦气硬盘、空气硬盘；支持 CMR或SMR硬盘；支持硬盘交错/分时启动，节省功耗</w:t>
            </w:r>
          </w:p>
          <w:p>
            <w:pPr>
              <w:keepNext w:val="0"/>
              <w:keepLines w:val="0"/>
              <w:pageBreakBefore w:val="0"/>
              <w:widowControl/>
              <w:suppressLineNumbers w:val="0"/>
              <w:kinsoku/>
              <w:wordWrap w:val="0"/>
              <w:overflowPunct/>
              <w:topLinePunct w:val="0"/>
              <w:autoSpaceDE/>
              <w:autoSpaceDN/>
              <w:bidi w:val="0"/>
              <w:adjustRightInd/>
              <w:snapToGrid/>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7.支持视音频、图片、智能数据流进行混合直存，无须存储服务器和图片服务器的参与，平台服务器宕机时，存储业务正常；支持GB/T 28181和Onvif视频流直存模式；前端网络摄像机和设备之间可直接通过iSCSI协议进行块存储</w:t>
            </w:r>
          </w:p>
          <w:p>
            <w:pPr>
              <w:keepNext w:val="0"/>
              <w:keepLines w:val="0"/>
              <w:pageBreakBefore w:val="0"/>
              <w:widowControl/>
              <w:suppressLineNumbers w:val="0"/>
              <w:kinsoku/>
              <w:wordWrap w:val="0"/>
              <w:overflowPunct/>
              <w:topLinePunct w:val="0"/>
              <w:autoSpaceDE/>
              <w:autoSpaceDN/>
              <w:bidi w:val="0"/>
              <w:adjustRightInd/>
              <w:snapToGrid/>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8.支持 ONVIF、PSIA、TCP/IP、UDP、SIP、SIP2.</w:t>
            </w:r>
            <w:r>
              <w:rPr>
                <w:rFonts w:hint="eastAsia" w:ascii="宋体" w:hAnsi="宋体" w:eastAsia="宋体" w:cs="宋体"/>
                <w:color w:val="auto"/>
                <w:sz w:val="21"/>
                <w:szCs w:val="21"/>
                <w:highlight w:val="none"/>
                <w:lang w:eastAsia="zh-CN"/>
              </w:rPr>
              <w:t>0.</w:t>
            </w:r>
            <w:r>
              <w:rPr>
                <w:rFonts w:hint="eastAsia" w:ascii="宋体" w:hAnsi="宋体" w:eastAsia="宋体" w:cs="宋体"/>
                <w:color w:val="auto"/>
                <w:sz w:val="21"/>
                <w:szCs w:val="21"/>
                <w:highlight w:val="none"/>
              </w:rPr>
              <w:t>RTSP、RTP、RTCP、iSCSI、CIFS(SMB)、NFS、FTP、HTTP、AFP、RSYNC、SNMP、IPV</w:t>
            </w: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IPV</w:t>
            </w: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rPr>
              <w:t>HLS、S</w:t>
            </w: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OSS等协议，支持IP组播</w:t>
            </w:r>
          </w:p>
          <w:p>
            <w:pPr>
              <w:keepNext w:val="0"/>
              <w:keepLines w:val="0"/>
              <w:pageBreakBefore w:val="0"/>
              <w:widowControl/>
              <w:suppressLineNumbers w:val="0"/>
              <w:kinsoku/>
              <w:wordWrap w:val="0"/>
              <w:overflowPunct/>
              <w:topLinePunct w:val="0"/>
              <w:autoSpaceDE/>
              <w:autoSpaceDN/>
              <w:bidi w:val="0"/>
              <w:adjustRightInd/>
              <w:snapToGrid/>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支持纠删码技术，多台存储设备组建网络RAID，设置为负载均衡；单台或多台存储设备组建网络RAID，允许每组RAID中任意1-18个磁盘发生故障，数据不丢失，存储服务不中断；允许每组RAID中任意20块硬盘发生故障，业务不中断</w:t>
            </w:r>
          </w:p>
          <w:p>
            <w:pPr>
              <w:keepNext w:val="0"/>
              <w:keepLines w:val="0"/>
              <w:pageBreakBefore w:val="0"/>
              <w:widowControl/>
              <w:suppressLineNumbers w:val="0"/>
              <w:kinsoku/>
              <w:wordWrap w:val="0"/>
              <w:overflowPunct/>
              <w:topLinePunct w:val="0"/>
              <w:autoSpaceDE/>
              <w:autoSpaceDN/>
              <w:bidi w:val="0"/>
              <w:adjustRightInd/>
              <w:snapToGrid/>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10.设备支持版本回退功能，在当前版本出现故障或操作失误后，可进行回退到历史版本，回退后录像正常回放，且历史录像完整</w:t>
            </w:r>
          </w:p>
          <w:p>
            <w:pPr>
              <w:keepNext w:val="0"/>
              <w:keepLines w:val="0"/>
              <w:pageBreakBefore w:val="0"/>
              <w:widowControl/>
              <w:suppressLineNumbers w:val="0"/>
              <w:kinsoku/>
              <w:wordWrap w:val="0"/>
              <w:overflowPunct/>
              <w:topLinePunct w:val="0"/>
              <w:autoSpaceDE/>
              <w:autoSpaceDN/>
              <w:bidi w:val="0"/>
              <w:adjustRightInd/>
              <w:snapToGrid/>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11.设备支持MAID2.0磁盘节能功能，当磁盘不工作时，可根据设置的时间自动启动磁盘降速或磁盘休眠指令，降低磁盘驱动能耗</w:t>
            </w:r>
          </w:p>
          <w:p>
            <w:pPr>
              <w:keepNext w:val="0"/>
              <w:keepLines w:val="0"/>
              <w:pageBreakBefore w:val="0"/>
              <w:widowControl/>
              <w:suppressLineNumbers w:val="0"/>
              <w:kinsoku/>
              <w:wordWrap w:val="0"/>
              <w:overflowPunct/>
              <w:topLinePunct w:val="0"/>
              <w:autoSpaceDE/>
              <w:autoSpaceDN/>
              <w:bidi w:val="0"/>
              <w:adjustRightInd/>
              <w:snapToGrid/>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设备支持硬盘的多级工作模式，包括性能模式、空闲模式（A\B\C，A：硬盘短时空闲，可以正常响应IO；B：较多空闲，磁头不再移动，硬盘满转；C:硬盘完全空闲，磁头不再移动，硬盘降速）、休眠模式（硬盘不再旋转，新下发IO需要唤醒）</w:t>
            </w:r>
          </w:p>
          <w:p>
            <w:pPr>
              <w:keepNext w:val="0"/>
              <w:keepLines w:val="0"/>
              <w:pageBreakBefore w:val="0"/>
              <w:widowControl/>
              <w:suppressLineNumbers w:val="0"/>
              <w:kinsoku/>
              <w:wordWrap w:val="0"/>
              <w:overflowPunct/>
              <w:topLinePunct w:val="0"/>
              <w:autoSpaceDE/>
              <w:autoSpaceDN/>
              <w:bidi w:val="0"/>
              <w:adjustRightInd/>
              <w:snapToGrid/>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13. BMC支持复杂密码，设备首次使用默认密码登录BMC时，提示修改密码，并且需要强制修改完密码后重新登陆，否则无法进入BMC web</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135</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应用服务器</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1.CPU：配置2颗核数≥10核，主频≥2.4GHz；</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2.内存：配置≥128G；</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3.硬盘：配置2块600G硬盘；</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4.网口：板载2个千兆电口；</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5.电源：标配550W（1+1）电源。</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6.含服务器操作系统</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136</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数据库服务器</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1.CPU：配置1颗核数≥10核，主频≥2.4GHz；</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2.内存：配置≥32G；</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3.硬盘：配置2块1.2TB硬盘；</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4.网口：板载2个千兆电口；</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5.电源：标配550W（1+1）电源。</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6.含服务器操作系统</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137</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数据库软件</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ind w:left="0" w:leftChars="0" w:firstLine="0" w:firstLineChars="0"/>
              <w:rPr>
                <w:rFonts w:hint="eastAsia" w:eastAsiaTheme="minorEastAsia"/>
                <w:highlight w:val="none"/>
                <w:lang w:eastAsia="zh-CN"/>
              </w:rPr>
            </w:pPr>
            <w:r>
              <w:rPr>
                <w:rFonts w:hint="eastAsia"/>
                <w:highlight w:val="none"/>
                <w:lang w:val="en-US" w:eastAsia="zh-CN"/>
              </w:rPr>
              <w:t>1、</w:t>
            </w:r>
            <w:r>
              <w:rPr>
                <w:rFonts w:hint="eastAsia"/>
                <w:highlight w:val="none"/>
              </w:rPr>
              <w:t>纵深防御，确保安全</w:t>
            </w:r>
            <w:r>
              <w:rPr>
                <w:rFonts w:hint="eastAsia"/>
                <w:highlight w:val="none"/>
                <w:lang w:eastAsia="zh-CN"/>
              </w:rPr>
              <w:t>：</w:t>
            </w:r>
            <w:r>
              <w:rPr>
                <w:rFonts w:hint="eastAsia"/>
                <w:highlight w:val="none"/>
              </w:rPr>
              <w:t xml:space="preserve"> 提供丰富的安全策略、同时进行多项安全性增强改进</w:t>
            </w:r>
            <w:r>
              <w:rPr>
                <w:rFonts w:hint="eastAsia"/>
                <w:highlight w:val="none"/>
                <w:lang w:eastAsia="zh-CN"/>
              </w:rPr>
              <w:t>。</w:t>
            </w:r>
          </w:p>
          <w:p>
            <w:pPr>
              <w:ind w:left="0" w:leftChars="0" w:firstLine="0" w:firstLineChars="0"/>
              <w:rPr>
                <w:rFonts w:hint="eastAsia"/>
                <w:highlight w:val="none"/>
              </w:rPr>
            </w:pPr>
            <w:r>
              <w:rPr>
                <w:rFonts w:hint="eastAsia"/>
                <w:highlight w:val="none"/>
                <w:lang w:val="en-US" w:eastAsia="zh-CN"/>
              </w:rPr>
              <w:t>2、</w:t>
            </w:r>
            <w:r>
              <w:rPr>
                <w:rFonts w:hint="eastAsia"/>
                <w:highlight w:val="none"/>
              </w:rPr>
              <w:t>针对从异构数据库将应用迁移到的场景，通过迁移评估工具实现异构数据库兼容性评估、迁移转换，降低数据库的迁移成本和周期，通过智能便捷的数据迁移工具，实现无损、快速数据迁移；</w:t>
            </w:r>
          </w:p>
          <w:p>
            <w:pPr>
              <w:ind w:left="0" w:leftChars="0" w:firstLine="0" w:firstLineChars="0"/>
              <w:rPr>
                <w:rFonts w:hint="eastAsia"/>
                <w:highlight w:val="none"/>
              </w:rPr>
            </w:pPr>
            <w:r>
              <w:rPr>
                <w:rFonts w:hint="eastAsia"/>
                <w:highlight w:val="none"/>
                <w:lang w:val="en-US" w:eastAsia="zh-CN"/>
              </w:rPr>
              <w:t>3、</w:t>
            </w:r>
            <w:r>
              <w:rPr>
                <w:rFonts w:hint="eastAsia"/>
                <w:highlight w:val="none"/>
              </w:rPr>
              <w:t>提供高度符合标准（如SQL、ODBC、JDBC等）、并兼容主流数据库（如Oracle、SQL Server、MySQL等）语法的服务器端、客户端应用开发接口，可最大限度地降低迁移成本</w:t>
            </w:r>
            <w:r>
              <w:rPr>
                <w:rFonts w:hint="eastAsia"/>
                <w:highlight w:val="none"/>
                <w:lang w:eastAsia="zh-CN"/>
              </w:rPr>
              <w:t>，</w:t>
            </w:r>
            <w:r>
              <w:rPr>
                <w:rFonts w:hint="eastAsia"/>
                <w:highlight w:val="none"/>
              </w:rPr>
              <w:t>迁移工具能够自动选择迁移失败的对象，实现再次迁移。</w:t>
            </w:r>
          </w:p>
          <w:p>
            <w:pPr>
              <w:ind w:left="0" w:leftChars="0" w:firstLine="0" w:firstLineChars="0"/>
              <w:rPr>
                <w:rFonts w:hint="eastAsia"/>
                <w:highlight w:val="none"/>
              </w:rPr>
            </w:pPr>
            <w:r>
              <w:rPr>
                <w:rFonts w:hint="eastAsia"/>
                <w:highlight w:val="none"/>
                <w:lang w:val="en-US" w:eastAsia="zh-CN"/>
              </w:rPr>
              <w:t>4、</w:t>
            </w:r>
            <w:r>
              <w:rPr>
                <w:rFonts w:hint="eastAsia"/>
                <w:highlight w:val="none"/>
              </w:rPr>
              <w:t>人性设计，简单易用</w:t>
            </w:r>
            <w:r>
              <w:rPr>
                <w:rFonts w:hint="eastAsia"/>
                <w:highlight w:val="none"/>
                <w:lang w:eastAsia="zh-CN"/>
              </w:rPr>
              <w:t>：</w:t>
            </w:r>
            <w:r>
              <w:rPr>
                <w:rFonts w:hint="eastAsia"/>
                <w:highlight w:val="none"/>
              </w:rPr>
              <w:t>提供全新设计的集成开发环境（IDE）和集成管理平台，能有效降低数据库开发人员和管理人员的使用成本，提高开发和管理效率。</w:t>
            </w:r>
          </w:p>
          <w:p>
            <w:pPr>
              <w:ind w:left="0" w:leftChars="0" w:firstLine="0" w:firstLineChars="0"/>
              <w:rPr>
                <w:rFonts w:hint="eastAsia"/>
                <w:highlight w:val="none"/>
              </w:rPr>
            </w:pPr>
            <w:r>
              <w:rPr>
                <w:rFonts w:hint="eastAsia"/>
                <w:highlight w:val="none"/>
                <w:lang w:val="en-US" w:eastAsia="zh-CN"/>
              </w:rPr>
              <w:t>5、</w:t>
            </w:r>
            <w:r>
              <w:rPr>
                <w:rFonts w:hint="eastAsia"/>
                <w:highlight w:val="none"/>
              </w:rPr>
              <w:t>性能强劲，扩展性强</w:t>
            </w:r>
            <w:r>
              <w:rPr>
                <w:rFonts w:hint="eastAsia"/>
                <w:highlight w:val="none"/>
                <w:lang w:eastAsia="zh-CN"/>
              </w:rPr>
              <w:t>：</w:t>
            </w:r>
            <w:r>
              <w:rPr>
                <w:rFonts w:hint="eastAsia"/>
                <w:highlight w:val="none"/>
              </w:rPr>
              <w:t>提供包括并行计算、索引覆盖等技术在内的多种性能优化手段，提供基于读写分离的负载均衡技术。</w:t>
            </w:r>
          </w:p>
          <w:p>
            <w:pPr>
              <w:ind w:left="0" w:leftChars="0" w:firstLine="0" w:firstLineChars="0"/>
              <w:rPr>
                <w:rFonts w:hint="eastAsia" w:ascii="宋体" w:hAnsi="宋体" w:eastAsia="宋体" w:cs="宋体"/>
                <w:i w:val="0"/>
                <w:iCs w:val="0"/>
                <w:color w:val="auto"/>
                <w:sz w:val="21"/>
                <w:szCs w:val="21"/>
                <w:highlight w:val="none"/>
                <w:u w:val="none"/>
              </w:rPr>
            </w:pPr>
            <w:r>
              <w:rPr>
                <w:rFonts w:hint="eastAsia"/>
                <w:highlight w:val="none"/>
                <w:lang w:val="en-US" w:eastAsia="zh-CN"/>
              </w:rPr>
              <w:t>6、</w:t>
            </w:r>
            <w:r>
              <w:rPr>
                <w:rFonts w:hint="eastAsia"/>
                <w:highlight w:val="none"/>
              </w:rPr>
              <w:t>可运行在国内外主流软硬件平台上，支持x86架构的PC Server。并支持鲲鹏、飞腾、龙芯、申威、兆芯、海光等国产CPU。</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北斗校时主机</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1.支持北斗、上级NTP、CDMA校时（默认北斗）；</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2.支持多网域校时；</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3.支持双机热备、级联方案；</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4.提供1路NTP网络授时接口前面板显示年月日时分秒、卫星颗数及工作状态；</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5.设备上电或重启后，系统自启校时服务；</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6.可通过NTP模式或BD/GPS模式对待授时设备进行授时；</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7.可通过固定时间间隔方式对待授时设备进行授时；</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8.支持对监控设备（DVR、NVR、网络摄像机）、终端设备进行授时；</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9.支持对服务器进行授时；</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10.支持同时对多个网段的待授时设备进行授时，单端口授时容量≥10000次/秒；</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11.可通过WEB管理对NTP时钟进行配置管理。</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139</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超高清解码器</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textAlignment w:val="center"/>
              <w:rPr>
                <w:rFonts w:ascii="宋体" w:hAnsi="宋体" w:cs="宋体"/>
                <w:szCs w:val="21"/>
                <w:highlight w:val="none"/>
              </w:rPr>
            </w:pPr>
            <w:r>
              <w:rPr>
                <w:rFonts w:hint="eastAsia" w:ascii="宋体" w:hAnsi="宋体" w:cs="宋体"/>
                <w:szCs w:val="21"/>
                <w:highlight w:val="none"/>
              </w:rPr>
              <w:t>1.采用嵌入式架构，专用Linux操作系统，支持对实时视频流以及录像文件进行解码输出。</w:t>
            </w:r>
          </w:p>
          <w:p>
            <w:pPr>
              <w:widowControl/>
              <w:ind w:firstLine="0" w:firstLineChars="0"/>
              <w:textAlignment w:val="center"/>
              <w:rPr>
                <w:rFonts w:ascii="宋体" w:hAnsi="宋体" w:cs="宋体"/>
                <w:szCs w:val="21"/>
                <w:highlight w:val="none"/>
              </w:rPr>
            </w:pPr>
            <w:r>
              <w:rPr>
                <w:rFonts w:hint="eastAsia" w:ascii="宋体" w:hAnsi="宋体" w:cs="宋体"/>
                <w:szCs w:val="21"/>
                <w:highlight w:val="none"/>
              </w:rPr>
              <w:t>2.支持≥10路HDMI输出，≥8路报警输入，≥8路报警输出，≥10路音频输出，≥1个RS485接口。</w:t>
            </w:r>
          </w:p>
          <w:p>
            <w:pPr>
              <w:widowControl/>
              <w:ind w:firstLine="0" w:firstLineChars="0"/>
              <w:textAlignment w:val="center"/>
              <w:rPr>
                <w:rFonts w:ascii="宋体" w:hAnsi="宋体" w:cs="宋体"/>
                <w:szCs w:val="21"/>
                <w:highlight w:val="none"/>
              </w:rPr>
            </w:pPr>
            <w:r>
              <w:rPr>
                <w:rFonts w:hint="eastAsia" w:ascii="宋体" w:hAnsi="宋体" w:cs="宋体"/>
                <w:szCs w:val="21"/>
                <w:highlight w:val="none"/>
              </w:rPr>
              <w:t>3.具有开窗漫游功能，任意一路信号显示画面可进行任意漫游、缩放，可在单屏或者多屏的任意位置上叠加显示，图层不少于64层。</w:t>
            </w:r>
          </w:p>
          <w:p>
            <w:pPr>
              <w:widowControl/>
              <w:ind w:firstLine="0" w:firstLineChars="0"/>
              <w:textAlignment w:val="center"/>
              <w:rPr>
                <w:rFonts w:ascii="宋体" w:hAnsi="宋体" w:cs="宋体"/>
                <w:szCs w:val="21"/>
                <w:highlight w:val="none"/>
              </w:rPr>
            </w:pPr>
            <w:r>
              <w:rPr>
                <w:rFonts w:hint="eastAsia" w:ascii="宋体" w:hAnsi="宋体" w:cs="宋体"/>
                <w:szCs w:val="21"/>
                <w:highlight w:val="none"/>
              </w:rPr>
              <w:t>4.</w:t>
            </w:r>
            <w:r>
              <w:rPr>
                <w:rFonts w:hint="eastAsia" w:ascii="宋体" w:hAnsi="宋体" w:cs="宋体"/>
                <w:b/>
                <w:bCs/>
                <w:szCs w:val="21"/>
                <w:highlight w:val="none"/>
              </w:rPr>
              <w:t>▲</w:t>
            </w:r>
            <w:r>
              <w:rPr>
                <w:rFonts w:hint="eastAsia" w:ascii="宋体" w:hAnsi="宋体" w:cs="宋体"/>
                <w:szCs w:val="21"/>
                <w:highlight w:val="none"/>
              </w:rPr>
              <w:t>支持黑白名单功能，可设置≥</w:t>
            </w:r>
            <w:r>
              <w:rPr>
                <w:rFonts w:ascii="宋体" w:hAnsi="宋体" w:cs="宋体"/>
                <w:szCs w:val="21"/>
                <w:highlight w:val="none"/>
              </w:rPr>
              <w:t>128</w:t>
            </w:r>
            <w:r>
              <w:rPr>
                <w:rFonts w:hint="eastAsia" w:ascii="宋体" w:hAnsi="宋体" w:cs="宋体"/>
                <w:szCs w:val="21"/>
                <w:highlight w:val="none"/>
              </w:rPr>
              <w:t>个黑白名单，当设置白名单时，只允许白名单IP访问设备，当设置黑名单时，黑名单内IP无法访问设备，支持1.2.4.6.8.9.10.12.16.25.36画面分割显示，支持平均分割，支持分割线开启、关闭设置，支持底色设置。</w:t>
            </w:r>
          </w:p>
          <w:p>
            <w:pPr>
              <w:widowControl/>
              <w:ind w:firstLine="0" w:firstLineChars="0"/>
              <w:textAlignment w:val="center"/>
              <w:rPr>
                <w:rFonts w:ascii="宋体" w:hAnsi="宋体" w:cs="宋体"/>
                <w:szCs w:val="21"/>
                <w:highlight w:val="none"/>
              </w:rPr>
            </w:pPr>
            <w:r>
              <w:rPr>
                <w:rFonts w:hint="eastAsia" w:ascii="宋体" w:hAnsi="宋体" w:cs="宋体"/>
                <w:szCs w:val="21"/>
                <w:highlight w:val="none"/>
              </w:rPr>
              <w:t>5.支持客户端软件设置底色，当无解码画面时，设置输出显示该底色，支持场景切换，各个大屏可同时切换，切换时间≤1秒。</w:t>
            </w:r>
          </w:p>
          <w:p>
            <w:pPr>
              <w:widowControl/>
              <w:ind w:firstLine="0" w:firstLineChars="0"/>
              <w:textAlignment w:val="center"/>
              <w:rPr>
                <w:rFonts w:ascii="宋体" w:hAnsi="宋体" w:cs="宋体"/>
                <w:szCs w:val="21"/>
                <w:highlight w:val="none"/>
              </w:rPr>
            </w:pPr>
            <w:r>
              <w:rPr>
                <w:rFonts w:hint="eastAsia" w:ascii="宋体" w:hAnsi="宋体" w:cs="宋体"/>
                <w:szCs w:val="21"/>
                <w:highlight w:val="none"/>
              </w:rPr>
              <w:t>6.可通过客户端软件将显示窗口在多个显示屏间进行拖动或跨屏显示，并可调节显示窗口大小。</w:t>
            </w:r>
          </w:p>
          <w:p>
            <w:pPr>
              <w:widowControl/>
              <w:ind w:firstLine="0" w:firstLineChars="0"/>
              <w:textAlignment w:val="center"/>
              <w:rPr>
                <w:rFonts w:ascii="宋体" w:hAnsi="宋体" w:cs="宋体"/>
                <w:szCs w:val="21"/>
                <w:highlight w:val="none"/>
              </w:rPr>
            </w:pPr>
            <w:r>
              <w:rPr>
                <w:rFonts w:hint="eastAsia" w:ascii="宋体" w:hAnsi="宋体" w:cs="宋体"/>
                <w:szCs w:val="21"/>
                <w:highlight w:val="none"/>
              </w:rPr>
              <w:t>7.支持NTP校时及客户端软件手动校时两种校时方式，可通过客户端软件对设备进行恢复出厂设置。</w:t>
            </w:r>
          </w:p>
          <w:p>
            <w:pPr>
              <w:widowControl/>
              <w:ind w:firstLine="0" w:firstLineChars="0"/>
              <w:textAlignment w:val="center"/>
              <w:rPr>
                <w:rFonts w:ascii="宋体" w:hAnsi="宋体" w:cs="宋体"/>
                <w:szCs w:val="21"/>
                <w:highlight w:val="none"/>
              </w:rPr>
            </w:pPr>
            <w:r>
              <w:rPr>
                <w:rFonts w:hint="eastAsia" w:ascii="宋体" w:hAnsi="宋体" w:cs="宋体"/>
                <w:szCs w:val="21"/>
                <w:highlight w:val="none"/>
              </w:rPr>
              <w:t>8.</w:t>
            </w:r>
            <w:r>
              <w:rPr>
                <w:rFonts w:hint="eastAsia" w:ascii="宋体" w:hAnsi="宋体" w:cs="宋体"/>
                <w:b/>
                <w:bCs/>
                <w:szCs w:val="21"/>
                <w:highlight w:val="none"/>
              </w:rPr>
              <w:t>▲</w:t>
            </w:r>
            <w:r>
              <w:rPr>
                <w:rFonts w:hint="eastAsia" w:ascii="宋体" w:hAnsi="宋体" w:cs="宋体"/>
                <w:szCs w:val="21"/>
                <w:highlight w:val="none"/>
              </w:rPr>
              <w:t>输入信号接入解码器后上墙显示，支持YUV422上墙显示，可将设备当前的解码输出模式设置为≥1个场景，设备可保存多个场景，场景数量≥2</w:t>
            </w:r>
            <w:r>
              <w:rPr>
                <w:rFonts w:ascii="宋体" w:hAnsi="宋体" w:cs="宋体"/>
                <w:szCs w:val="21"/>
                <w:highlight w:val="none"/>
              </w:rPr>
              <w:t>5</w:t>
            </w:r>
            <w:r>
              <w:rPr>
                <w:rFonts w:hint="eastAsia" w:ascii="宋体" w:hAnsi="宋体" w:cs="宋体"/>
                <w:szCs w:val="21"/>
                <w:highlight w:val="none"/>
              </w:rPr>
              <w:t>个，并可通过客户端软件切换设备场景。</w:t>
            </w:r>
          </w:p>
          <w:p>
            <w:pPr>
              <w:widowControl/>
              <w:ind w:firstLine="0" w:firstLineChars="0"/>
              <w:textAlignment w:val="center"/>
              <w:rPr>
                <w:rFonts w:ascii="宋体" w:hAnsi="宋体" w:cs="宋体"/>
                <w:szCs w:val="21"/>
                <w:highlight w:val="none"/>
              </w:rPr>
            </w:pPr>
            <w:r>
              <w:rPr>
                <w:rFonts w:hint="eastAsia" w:ascii="宋体" w:hAnsi="宋体" w:cs="宋体"/>
                <w:szCs w:val="21"/>
                <w:highlight w:val="none"/>
              </w:rPr>
              <w:t>9.解码能力支持≥10路分辨率为4000*3000（20fps）的H.264.H.265视频图像，≥20路分辨率为4096*2160（25fps）的H.264.H.265视频图像，≥20路分辨率为3840*2160（25fps）的H.264.H.265视频图像，≥30路分辨率为2592*1944（30fps）的H.264.H.265视频图像，≥80路分辨率为1920*1080（30fps）的H.264.H.265视频图像，≥160路分辨率为1280*720（30fps）的H.264.H.265视频图像。</w:t>
            </w:r>
          </w:p>
          <w:p>
            <w:pPr>
              <w:widowControl/>
              <w:ind w:firstLine="0" w:firstLineChars="0"/>
              <w:textAlignment w:val="center"/>
              <w:rPr>
                <w:rFonts w:ascii="宋体" w:hAnsi="宋体" w:cs="宋体"/>
                <w:szCs w:val="21"/>
                <w:highlight w:val="none"/>
              </w:rPr>
            </w:pPr>
            <w:r>
              <w:rPr>
                <w:rFonts w:hint="eastAsia" w:ascii="宋体" w:hAnsi="宋体" w:cs="宋体"/>
                <w:szCs w:val="21"/>
                <w:highlight w:val="none"/>
              </w:rPr>
              <w:t>10.支持在超出设备解码能力时，在显示输出窗口叠加提示信息,支持回形拼接，支持对解码的IPC输出的画面进行旋转，支持≥90°、≥180°左旋和≥90°、≥180°右旋。</w:t>
            </w:r>
          </w:p>
          <w:p>
            <w:pPr>
              <w:widowControl/>
              <w:ind w:firstLine="0" w:firstLineChars="0"/>
              <w:textAlignment w:val="center"/>
              <w:rPr>
                <w:rFonts w:ascii="宋体" w:hAnsi="宋体" w:cs="宋体"/>
                <w:szCs w:val="21"/>
                <w:highlight w:val="none"/>
              </w:rPr>
            </w:pPr>
            <w:r>
              <w:rPr>
                <w:rFonts w:hint="eastAsia" w:ascii="宋体" w:hAnsi="宋体" w:cs="宋体"/>
                <w:szCs w:val="21"/>
                <w:highlight w:val="none"/>
              </w:rPr>
              <w:t>11.</w:t>
            </w:r>
            <w:r>
              <w:rPr>
                <w:rFonts w:hint="eastAsia" w:ascii="宋体" w:hAnsi="宋体" w:cs="宋体"/>
                <w:b/>
                <w:bCs/>
                <w:szCs w:val="21"/>
                <w:highlight w:val="none"/>
              </w:rPr>
              <w:t>▲</w:t>
            </w:r>
            <w:r>
              <w:rPr>
                <w:rFonts w:hint="eastAsia" w:ascii="宋体" w:hAnsi="宋体" w:cs="宋体"/>
                <w:szCs w:val="21"/>
                <w:highlight w:val="none"/>
              </w:rPr>
              <w:t>音频解码格式支持G.722.G.711A、G.726.G.711U、MPEG2-L2.AAC，支持对输入的视频画面进行≥90°、≥180°、≥270°旋转显示，支持通过IE浏览器进行网络模式设置，包括设置为流畅性优先、实时性优先。</w:t>
            </w:r>
          </w:p>
          <w:p>
            <w:pPr>
              <w:widowControl/>
              <w:ind w:firstLine="0" w:firstLineChars="0"/>
              <w:textAlignment w:val="center"/>
              <w:rPr>
                <w:rFonts w:ascii="宋体" w:hAnsi="宋体" w:cs="宋体"/>
                <w:szCs w:val="21"/>
                <w:highlight w:val="none"/>
              </w:rPr>
            </w:pPr>
            <w:r>
              <w:rPr>
                <w:rFonts w:hint="eastAsia" w:ascii="宋体" w:hAnsi="宋体" w:cs="宋体"/>
                <w:szCs w:val="21"/>
                <w:highlight w:val="none"/>
              </w:rPr>
              <w:t>12.支持实时视频流及录像文件同时解码输出显示，历史解码能力与实时流解码能力一致。</w:t>
            </w:r>
          </w:p>
          <w:p>
            <w:pPr>
              <w:widowControl/>
              <w:ind w:firstLine="0" w:firstLineChars="0"/>
              <w:textAlignment w:val="center"/>
              <w:rPr>
                <w:rFonts w:ascii="宋体" w:hAnsi="宋体" w:cs="宋体"/>
                <w:szCs w:val="21"/>
                <w:highlight w:val="none"/>
              </w:rPr>
            </w:pPr>
            <w:r>
              <w:rPr>
                <w:rFonts w:hint="eastAsia" w:ascii="宋体" w:hAnsi="宋体" w:cs="宋体"/>
                <w:szCs w:val="21"/>
                <w:highlight w:val="none"/>
              </w:rPr>
              <w:t>13.</w:t>
            </w:r>
            <w:r>
              <w:rPr>
                <w:rFonts w:hint="eastAsia" w:ascii="宋体" w:hAnsi="宋体" w:cs="宋体"/>
                <w:b/>
                <w:bCs/>
                <w:szCs w:val="21"/>
                <w:highlight w:val="none"/>
              </w:rPr>
              <w:t>▲</w:t>
            </w:r>
            <w:r>
              <w:rPr>
                <w:rFonts w:hint="eastAsia" w:ascii="宋体" w:hAnsi="宋体" w:cs="宋体"/>
                <w:szCs w:val="21"/>
                <w:highlight w:val="none"/>
              </w:rPr>
              <w:t>通过设备抓屏软件，可将远程电脑桌面实时解码上墙显示，画面帧率≥2</w:t>
            </w:r>
            <w:r>
              <w:rPr>
                <w:rFonts w:ascii="宋体" w:hAnsi="宋体" w:cs="宋体"/>
                <w:szCs w:val="21"/>
                <w:highlight w:val="none"/>
              </w:rPr>
              <w:t>5</w:t>
            </w:r>
            <w:r>
              <w:rPr>
                <w:rFonts w:hint="eastAsia" w:ascii="宋体" w:hAnsi="宋体" w:cs="宋体"/>
                <w:szCs w:val="21"/>
                <w:highlight w:val="none"/>
              </w:rPr>
              <w:t>fps，支持PC软件客户端、WEB浏览器客户端、平台客户端、IPAD、可视化触控平台方式访问管理。</w:t>
            </w:r>
          </w:p>
          <w:p>
            <w:pPr>
              <w:widowControl/>
              <w:ind w:firstLine="0" w:firstLineChars="0"/>
              <w:textAlignment w:val="center"/>
              <w:rPr>
                <w:rFonts w:ascii="宋体" w:hAnsi="宋体" w:cs="宋体"/>
                <w:szCs w:val="21"/>
                <w:highlight w:val="none"/>
              </w:rPr>
            </w:pPr>
            <w:r>
              <w:rPr>
                <w:rFonts w:hint="eastAsia" w:ascii="宋体" w:hAnsi="宋体" w:cs="宋体"/>
                <w:szCs w:val="21"/>
                <w:highlight w:val="none"/>
              </w:rPr>
              <w:t>14.可通过有线网络模式访问设备，通过客户端软件导入和导出设备配置参数。</w:t>
            </w:r>
          </w:p>
          <w:p>
            <w:pPr>
              <w:widowControl/>
              <w:ind w:firstLine="0" w:firstLineChars="0"/>
              <w:textAlignment w:val="center"/>
              <w:rPr>
                <w:rFonts w:hint="eastAsia" w:ascii="宋体" w:hAnsi="宋体" w:eastAsia="宋体" w:cs="宋体"/>
                <w:i w:val="0"/>
                <w:iCs w:val="0"/>
                <w:color w:val="auto"/>
                <w:sz w:val="21"/>
                <w:szCs w:val="21"/>
                <w:highlight w:val="none"/>
                <w:u w:val="none"/>
              </w:rPr>
            </w:pPr>
            <w:r>
              <w:rPr>
                <w:rFonts w:hint="eastAsia" w:ascii="宋体" w:hAnsi="宋体" w:cs="宋体"/>
                <w:szCs w:val="21"/>
                <w:highlight w:val="none"/>
              </w:rPr>
              <w:t>15.设备在-10℃～50℃温度变化范围内，可保持正常工作。</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140</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网络键盘</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显示屏英寸≥10.1，四维单按键摇杆；2.解码分辨率≥4路1080P或1路4K；3.网络接口≥1个，WiFi≥1个，USB接口≥2个；4.视频接口：DVI≥1个，HDMI≥1个；5.支持网络方式接入DVR、DVS、NVR、网络摄像机、球机等设备；6.支持在触控屏上预览图像或通过HDMI/DVI将图像投到外接显示屏上；7.支持控制视频综合平台、解码器、多屏控制器或NVR&amp;解码上墙一体机，直观展示电视墙布局；8.支持云台控制，支持预置点、巡航和轨迹的设置与调用；9.支持回放硬盘录像机上的录像文件，支持控制解码器回放；10.支持抓图、录像功能，文件保存至U盘或上传至FTP服务器；11.支持最多添加≥8000台设备。</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141</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管理终端</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textAlignment w:val="center"/>
              <w:rPr>
                <w:rFonts w:hint="eastAsia" w:ascii="宋体" w:hAnsi="宋体" w:cs="宋体"/>
                <w:kern w:val="0"/>
                <w:szCs w:val="21"/>
                <w:highlight w:val="none"/>
                <w:lang w:bidi="ar"/>
              </w:rPr>
            </w:pPr>
            <w:r>
              <w:rPr>
                <w:rFonts w:hint="eastAsia" w:ascii="宋体" w:hAnsi="宋体" w:cs="宋体"/>
                <w:kern w:val="0"/>
                <w:szCs w:val="21"/>
                <w:highlight w:val="none"/>
                <w:lang w:bidi="ar"/>
              </w:rPr>
              <w:t>1、处理器：配置1颗飞腾腾锐D2000 CPU，8核，主频2.3Ghz</w:t>
            </w:r>
          </w:p>
          <w:p>
            <w:pPr>
              <w:widowControl/>
              <w:ind w:firstLine="0" w:firstLineChars="0"/>
              <w:textAlignment w:val="center"/>
              <w:rPr>
                <w:rFonts w:hint="eastAsia" w:ascii="宋体" w:hAnsi="宋体" w:cs="宋体"/>
                <w:kern w:val="0"/>
                <w:szCs w:val="21"/>
                <w:highlight w:val="none"/>
                <w:lang w:bidi="ar"/>
              </w:rPr>
            </w:pPr>
            <w:r>
              <w:rPr>
                <w:rFonts w:hint="eastAsia" w:ascii="宋体" w:hAnsi="宋体" w:cs="宋体"/>
                <w:kern w:val="0"/>
                <w:szCs w:val="21"/>
                <w:highlight w:val="none"/>
                <w:lang w:bidi="ar"/>
              </w:rPr>
              <w:t>2、内存：配置16GB DDR4内存</w:t>
            </w:r>
          </w:p>
          <w:p>
            <w:pPr>
              <w:widowControl/>
              <w:ind w:firstLine="0" w:firstLineChars="0"/>
              <w:textAlignment w:val="center"/>
              <w:rPr>
                <w:rFonts w:hint="eastAsia" w:ascii="宋体" w:hAnsi="宋体" w:cs="宋体"/>
                <w:kern w:val="0"/>
                <w:szCs w:val="21"/>
                <w:highlight w:val="none"/>
                <w:lang w:bidi="ar"/>
              </w:rPr>
            </w:pPr>
            <w:r>
              <w:rPr>
                <w:rFonts w:hint="eastAsia" w:ascii="宋体" w:hAnsi="宋体" w:cs="宋体"/>
                <w:kern w:val="0"/>
                <w:szCs w:val="21"/>
                <w:highlight w:val="none"/>
                <w:lang w:bidi="ar"/>
              </w:rPr>
              <w:t>3、存储：配置512GB M.2 NVMe SSD+1T HDD</w:t>
            </w:r>
          </w:p>
          <w:p>
            <w:pPr>
              <w:widowControl/>
              <w:ind w:firstLine="0" w:firstLineChars="0"/>
              <w:textAlignment w:val="center"/>
              <w:rPr>
                <w:rFonts w:hint="eastAsia" w:ascii="宋体" w:hAnsi="宋体" w:cs="宋体"/>
                <w:kern w:val="0"/>
                <w:szCs w:val="21"/>
                <w:highlight w:val="none"/>
                <w:lang w:bidi="ar"/>
              </w:rPr>
            </w:pPr>
            <w:r>
              <w:rPr>
                <w:rFonts w:hint="eastAsia" w:ascii="宋体" w:hAnsi="宋体" w:cs="宋体"/>
                <w:kern w:val="0"/>
                <w:szCs w:val="21"/>
                <w:highlight w:val="none"/>
                <w:lang w:bidi="ar"/>
              </w:rPr>
              <w:t>4、显卡：配置2GB独立显卡，支持HDMI、VGA接口</w:t>
            </w:r>
          </w:p>
          <w:p>
            <w:pPr>
              <w:widowControl/>
              <w:ind w:firstLine="0" w:firstLineChars="0"/>
              <w:textAlignment w:val="center"/>
              <w:rPr>
                <w:rFonts w:hint="eastAsia" w:ascii="宋体" w:hAnsi="宋体" w:cs="宋体"/>
                <w:kern w:val="0"/>
                <w:szCs w:val="21"/>
                <w:highlight w:val="none"/>
                <w:lang w:bidi="ar"/>
              </w:rPr>
            </w:pPr>
            <w:r>
              <w:rPr>
                <w:rFonts w:hint="eastAsia" w:ascii="宋体" w:hAnsi="宋体" w:cs="宋体"/>
                <w:kern w:val="0"/>
                <w:szCs w:val="21"/>
                <w:highlight w:val="none"/>
                <w:lang w:bidi="ar"/>
              </w:rPr>
              <w:t>5、网卡：1个RJ45 10M/100M/1000M自适应以太网口</w:t>
            </w:r>
          </w:p>
          <w:p>
            <w:pPr>
              <w:widowControl/>
              <w:ind w:firstLine="0" w:firstLineChars="0"/>
              <w:textAlignment w:val="center"/>
              <w:rPr>
                <w:rFonts w:hint="eastAsia" w:ascii="宋体" w:hAnsi="宋体" w:cs="宋体"/>
                <w:kern w:val="0"/>
                <w:szCs w:val="21"/>
                <w:highlight w:val="none"/>
                <w:lang w:bidi="ar"/>
              </w:rPr>
            </w:pPr>
            <w:r>
              <w:rPr>
                <w:rFonts w:hint="eastAsia" w:ascii="宋体" w:hAnsi="宋体" w:cs="宋体"/>
                <w:kern w:val="0"/>
                <w:szCs w:val="21"/>
                <w:highlight w:val="none"/>
                <w:lang w:bidi="ar"/>
              </w:rPr>
              <w:t>6、显示器：配置与主机同品牌的23.8英寸超窄边框显示屏</w:t>
            </w:r>
          </w:p>
          <w:p>
            <w:pPr>
              <w:widowControl/>
              <w:ind w:firstLine="0" w:firstLineChars="0"/>
              <w:textAlignment w:val="center"/>
              <w:rPr>
                <w:rFonts w:hint="eastAsia" w:ascii="宋体" w:hAnsi="宋体" w:cs="宋体"/>
                <w:kern w:val="0"/>
                <w:szCs w:val="21"/>
                <w:highlight w:val="none"/>
                <w:lang w:bidi="ar"/>
              </w:rPr>
            </w:pPr>
            <w:r>
              <w:rPr>
                <w:rFonts w:hint="eastAsia" w:ascii="宋体" w:hAnsi="宋体" w:cs="宋体"/>
                <w:kern w:val="0"/>
                <w:szCs w:val="21"/>
                <w:highlight w:val="none"/>
                <w:lang w:bidi="ar"/>
              </w:rPr>
              <w:t>7、IO接口：8个 USB 3.1Gen1 接口；2组音频接口；1个HDMI接口；1个VGA接口</w:t>
            </w:r>
          </w:p>
          <w:p>
            <w:pPr>
              <w:widowControl/>
              <w:ind w:firstLine="0" w:firstLineChars="0"/>
              <w:textAlignment w:val="center"/>
              <w:rPr>
                <w:rFonts w:hint="eastAsia" w:ascii="宋体" w:hAnsi="宋体" w:cs="宋体"/>
                <w:kern w:val="0"/>
                <w:szCs w:val="21"/>
                <w:highlight w:val="none"/>
                <w:lang w:bidi="ar"/>
              </w:rPr>
            </w:pPr>
            <w:r>
              <w:rPr>
                <w:rFonts w:hint="eastAsia" w:ascii="宋体" w:hAnsi="宋体" w:cs="宋体"/>
                <w:kern w:val="0"/>
                <w:szCs w:val="21"/>
                <w:highlight w:val="none"/>
                <w:lang w:bidi="ar"/>
              </w:rPr>
              <w:t>8、光驱：配置超薄DVD-RW光驱</w:t>
            </w:r>
          </w:p>
          <w:p>
            <w:pPr>
              <w:widowControl/>
              <w:ind w:firstLine="0" w:firstLineChars="0"/>
              <w:textAlignment w:val="center"/>
              <w:rPr>
                <w:rFonts w:hint="eastAsia" w:ascii="宋体" w:hAnsi="宋体" w:cs="宋体"/>
                <w:kern w:val="0"/>
                <w:szCs w:val="21"/>
                <w:highlight w:val="none"/>
                <w:lang w:bidi="ar"/>
              </w:rPr>
            </w:pPr>
            <w:r>
              <w:rPr>
                <w:rFonts w:hint="eastAsia" w:ascii="宋体" w:hAnsi="宋体" w:cs="宋体"/>
                <w:kern w:val="0"/>
                <w:szCs w:val="21"/>
                <w:highlight w:val="none"/>
                <w:lang w:bidi="ar"/>
              </w:rPr>
              <w:t>9、电源：200W</w:t>
            </w:r>
          </w:p>
          <w:p>
            <w:pPr>
              <w:widowControl/>
              <w:ind w:firstLine="0" w:firstLineChars="0"/>
              <w:textAlignment w:val="center"/>
              <w:rPr>
                <w:rFonts w:hint="eastAsia" w:ascii="宋体" w:hAnsi="宋体" w:cs="宋体"/>
                <w:kern w:val="0"/>
                <w:szCs w:val="21"/>
                <w:highlight w:val="none"/>
                <w:lang w:bidi="ar"/>
              </w:rPr>
            </w:pPr>
            <w:r>
              <w:rPr>
                <w:rFonts w:hint="eastAsia" w:ascii="宋体" w:hAnsi="宋体" w:cs="宋体"/>
                <w:kern w:val="0"/>
                <w:szCs w:val="21"/>
                <w:highlight w:val="none"/>
                <w:lang w:bidi="ar"/>
              </w:rPr>
              <w:t>10、操作系统：银河麒麟桌面操作系统 V10/统信桌面操作系统 V20</w:t>
            </w:r>
          </w:p>
          <w:p>
            <w:pPr>
              <w:widowControl/>
              <w:ind w:firstLine="0" w:firstLineChars="0"/>
              <w:textAlignment w:val="center"/>
              <w:rPr>
                <w:rFonts w:hint="eastAsia" w:ascii="宋体" w:hAnsi="宋体" w:cs="宋体"/>
                <w:kern w:val="0"/>
                <w:szCs w:val="21"/>
                <w:highlight w:val="none"/>
                <w:lang w:bidi="ar"/>
              </w:rPr>
            </w:pPr>
            <w:r>
              <w:rPr>
                <w:rFonts w:hint="eastAsia" w:ascii="宋体" w:hAnsi="宋体" w:cs="宋体"/>
                <w:kern w:val="0"/>
                <w:szCs w:val="21"/>
                <w:highlight w:val="none"/>
                <w:lang w:bidi="ar"/>
              </w:rPr>
              <w:t>11、机箱尺寸：13.5L机箱</w:t>
            </w:r>
          </w:p>
          <w:p>
            <w:pPr>
              <w:widowControl/>
              <w:ind w:firstLine="0" w:firstLineChars="0"/>
              <w:textAlignment w:val="center"/>
              <w:rPr>
                <w:rFonts w:hint="eastAsia" w:ascii="宋体" w:hAnsi="宋体" w:cs="宋体"/>
                <w:kern w:val="0"/>
                <w:szCs w:val="21"/>
                <w:highlight w:val="none"/>
                <w:lang w:bidi="ar"/>
              </w:rPr>
            </w:pPr>
            <w:r>
              <w:rPr>
                <w:rFonts w:hint="eastAsia" w:ascii="宋体" w:hAnsi="宋体" w:cs="宋体"/>
                <w:kern w:val="0"/>
                <w:szCs w:val="21"/>
                <w:highlight w:val="none"/>
                <w:lang w:bidi="ar"/>
              </w:rPr>
              <w:t>12、键鼠：配置与主机同品牌键盘及鼠标</w:t>
            </w:r>
          </w:p>
          <w:p>
            <w:pPr>
              <w:widowControl/>
              <w:ind w:firstLine="0" w:firstLineChars="0"/>
              <w:textAlignment w:val="center"/>
              <w:rPr>
                <w:rFonts w:hint="eastAsia"/>
                <w:highlight w:val="none"/>
              </w:rPr>
            </w:pPr>
            <w:r>
              <w:rPr>
                <w:rFonts w:hint="eastAsia" w:ascii="宋体" w:hAnsi="宋体" w:cs="宋体"/>
                <w:kern w:val="0"/>
                <w:szCs w:val="21"/>
                <w:highlight w:val="none"/>
                <w:lang w:val="en-US" w:eastAsia="zh-CN" w:bidi="ar"/>
              </w:rPr>
              <w:t>13</w:t>
            </w:r>
            <w:r>
              <w:rPr>
                <w:rFonts w:hint="eastAsia" w:ascii="宋体" w:hAnsi="宋体" w:cs="宋体"/>
                <w:kern w:val="0"/>
                <w:szCs w:val="21"/>
                <w:highlight w:val="none"/>
                <w:lang w:bidi="ar"/>
              </w:rPr>
              <w:t>.★投标文件中必须提供该产品由国家确定的认证机构出具的处于有效期之内的节能产品认证证书并加盖投标人公章。</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142</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液晶拼接屏</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4"/>
              </w:numPr>
              <w:suppressLineNumbers w:val="0"/>
              <w:kinsoku/>
              <w:wordWrap/>
              <w:overflowPunct/>
              <w:topLinePunct w:val="0"/>
              <w:autoSpaceDE/>
              <w:autoSpaceDN/>
              <w:bidi w:val="0"/>
              <w:ind w:firstLine="0" w:firstLineChars="0"/>
              <w:jc w:val="both"/>
              <w:textAlignment w:val="center"/>
              <w:rPr>
                <w:rFonts w:hint="eastAsia"/>
                <w:highlight w:val="none"/>
                <w:lang w:val="en-US" w:eastAsia="zh-CN"/>
              </w:rPr>
            </w:pPr>
            <w:r>
              <w:rPr>
                <w:rFonts w:hint="eastAsia"/>
                <w:highlight w:val="none"/>
                <w:lang w:val="en-US" w:eastAsia="zh-CN"/>
              </w:rPr>
              <w:t>LCD液晶显示单元55英寸；</w:t>
            </w:r>
          </w:p>
          <w:p>
            <w:pPr>
              <w:keepNext w:val="0"/>
              <w:keepLines w:val="0"/>
              <w:pageBreakBefore w:val="0"/>
              <w:widowControl/>
              <w:numPr>
                <w:ilvl w:val="0"/>
                <w:numId w:val="14"/>
              </w:numPr>
              <w:suppressLineNumbers w:val="0"/>
              <w:kinsoku/>
              <w:wordWrap/>
              <w:overflowPunct/>
              <w:topLinePunct w:val="0"/>
              <w:autoSpaceDE/>
              <w:autoSpaceDN/>
              <w:bidi w:val="0"/>
              <w:ind w:left="0" w:leftChars="0" w:firstLine="0" w:firstLineChars="0"/>
              <w:jc w:val="both"/>
              <w:textAlignment w:val="center"/>
              <w:rPr>
                <w:rFonts w:hint="eastAsia"/>
                <w:highlight w:val="none"/>
                <w:lang w:val="en-US" w:eastAsia="zh-CN"/>
              </w:rPr>
            </w:pPr>
            <w:r>
              <w:rPr>
                <w:rFonts w:hint="eastAsia"/>
                <w:highlight w:val="none"/>
                <w:lang w:val="en-US" w:eastAsia="zh-CN"/>
              </w:rPr>
              <w:t>分辨率≥1920x1080；</w:t>
            </w:r>
          </w:p>
          <w:p>
            <w:pPr>
              <w:keepNext w:val="0"/>
              <w:keepLines w:val="0"/>
              <w:pageBreakBefore w:val="0"/>
              <w:widowControl/>
              <w:numPr>
                <w:ilvl w:val="0"/>
                <w:numId w:val="14"/>
              </w:numPr>
              <w:suppressLineNumbers w:val="0"/>
              <w:kinsoku/>
              <w:wordWrap/>
              <w:overflowPunct/>
              <w:topLinePunct w:val="0"/>
              <w:autoSpaceDE/>
              <w:autoSpaceDN/>
              <w:bidi w:val="0"/>
              <w:ind w:left="0" w:leftChars="0" w:firstLine="0" w:firstLineChars="0"/>
              <w:jc w:val="both"/>
              <w:textAlignment w:val="center"/>
              <w:rPr>
                <w:rFonts w:hint="eastAsia"/>
                <w:highlight w:val="none"/>
                <w:lang w:val="en-US" w:eastAsia="zh-CN"/>
              </w:rPr>
            </w:pPr>
            <w:r>
              <w:rPr>
                <w:rFonts w:hint="eastAsia"/>
                <w:highlight w:val="none"/>
                <w:lang w:val="en-US" w:eastAsia="zh-CN"/>
              </w:rPr>
              <w:t>视角：178°(水平)/ 178°(垂直)；</w:t>
            </w:r>
          </w:p>
          <w:p>
            <w:pPr>
              <w:keepNext w:val="0"/>
              <w:keepLines w:val="0"/>
              <w:pageBreakBefore w:val="0"/>
              <w:widowControl/>
              <w:numPr>
                <w:ilvl w:val="0"/>
                <w:numId w:val="14"/>
              </w:numPr>
              <w:suppressLineNumbers w:val="0"/>
              <w:kinsoku/>
              <w:wordWrap/>
              <w:overflowPunct/>
              <w:topLinePunct w:val="0"/>
              <w:autoSpaceDE/>
              <w:autoSpaceDN/>
              <w:bidi w:val="0"/>
              <w:ind w:left="0" w:leftChars="0" w:firstLine="0" w:firstLineChars="0"/>
              <w:jc w:val="both"/>
              <w:textAlignment w:val="center"/>
              <w:rPr>
                <w:rFonts w:hint="eastAsia"/>
                <w:highlight w:val="none"/>
                <w:lang w:val="en-US" w:eastAsia="zh-CN"/>
              </w:rPr>
            </w:pPr>
            <w:r>
              <w:rPr>
                <w:rFonts w:hint="eastAsia"/>
                <w:highlight w:val="none"/>
                <w:lang w:val="en-US" w:eastAsia="zh-CN"/>
              </w:rPr>
              <w:t>响应时间≤12ms(G to G)；</w:t>
            </w:r>
          </w:p>
          <w:p>
            <w:pPr>
              <w:keepNext w:val="0"/>
              <w:keepLines w:val="0"/>
              <w:pageBreakBefore w:val="0"/>
              <w:widowControl/>
              <w:numPr>
                <w:ilvl w:val="0"/>
                <w:numId w:val="14"/>
              </w:numPr>
              <w:suppressLineNumbers w:val="0"/>
              <w:kinsoku/>
              <w:wordWrap/>
              <w:overflowPunct/>
              <w:topLinePunct w:val="0"/>
              <w:autoSpaceDE/>
              <w:autoSpaceDN/>
              <w:bidi w:val="0"/>
              <w:ind w:left="0" w:leftChars="0" w:firstLine="0" w:firstLineChars="0"/>
              <w:jc w:val="both"/>
              <w:textAlignment w:val="center"/>
              <w:rPr>
                <w:rFonts w:hint="eastAsia"/>
                <w:highlight w:val="none"/>
                <w:lang w:val="en-US" w:eastAsia="zh-CN"/>
              </w:rPr>
            </w:pPr>
            <w:r>
              <w:rPr>
                <w:rFonts w:hint="eastAsia"/>
                <w:highlight w:val="none"/>
                <w:lang w:val="en-US" w:eastAsia="zh-CN"/>
              </w:rPr>
              <w:t>对比度：3000:1；</w:t>
            </w:r>
          </w:p>
          <w:p>
            <w:pPr>
              <w:keepNext w:val="0"/>
              <w:keepLines w:val="0"/>
              <w:pageBreakBefore w:val="0"/>
              <w:widowControl/>
              <w:numPr>
                <w:ilvl w:val="0"/>
                <w:numId w:val="14"/>
              </w:numPr>
              <w:suppressLineNumbers w:val="0"/>
              <w:kinsoku/>
              <w:wordWrap/>
              <w:overflowPunct/>
              <w:topLinePunct w:val="0"/>
              <w:autoSpaceDE/>
              <w:autoSpaceDN/>
              <w:bidi w:val="0"/>
              <w:ind w:left="0" w:leftChars="0" w:firstLine="0" w:firstLineChars="0"/>
              <w:jc w:val="both"/>
              <w:textAlignment w:val="center"/>
              <w:rPr>
                <w:rFonts w:hint="eastAsia"/>
                <w:highlight w:val="none"/>
                <w:lang w:val="en-US" w:eastAsia="zh-CN"/>
              </w:rPr>
            </w:pPr>
            <w:r>
              <w:rPr>
                <w:rFonts w:hint="eastAsia"/>
                <w:highlight w:val="none"/>
                <w:lang w:val="en-US" w:eastAsia="zh-CN"/>
              </w:rPr>
              <w:t>亮度：≥500cd/㎡；</w:t>
            </w:r>
          </w:p>
          <w:p>
            <w:pPr>
              <w:keepNext w:val="0"/>
              <w:keepLines w:val="0"/>
              <w:pageBreakBefore w:val="0"/>
              <w:widowControl/>
              <w:numPr>
                <w:ilvl w:val="0"/>
                <w:numId w:val="14"/>
              </w:numPr>
              <w:suppressLineNumbers w:val="0"/>
              <w:kinsoku/>
              <w:wordWrap/>
              <w:overflowPunct/>
              <w:topLinePunct w:val="0"/>
              <w:autoSpaceDE/>
              <w:autoSpaceDN/>
              <w:bidi w:val="0"/>
              <w:ind w:left="0" w:leftChars="0" w:firstLine="0" w:firstLineChars="0"/>
              <w:jc w:val="both"/>
              <w:textAlignment w:val="center"/>
              <w:rPr>
                <w:rFonts w:hint="eastAsia"/>
                <w:highlight w:val="none"/>
                <w:lang w:val="en-US" w:eastAsia="zh-CN"/>
              </w:rPr>
            </w:pPr>
            <w:r>
              <w:rPr>
                <w:rFonts w:hint="eastAsia"/>
                <w:highlight w:val="none"/>
                <w:lang w:val="en-US" w:eastAsia="zh-CN"/>
              </w:rPr>
              <w:t>物理拼缝：≤3.5mm；</w:t>
            </w:r>
          </w:p>
          <w:p>
            <w:pPr>
              <w:keepNext w:val="0"/>
              <w:keepLines w:val="0"/>
              <w:pageBreakBefore w:val="0"/>
              <w:widowControl/>
              <w:numPr>
                <w:ilvl w:val="0"/>
                <w:numId w:val="0"/>
              </w:numPr>
              <w:suppressLineNumbers w:val="0"/>
              <w:kinsoku/>
              <w:wordWrap/>
              <w:overflowPunct/>
              <w:topLinePunct w:val="0"/>
              <w:autoSpaceDE/>
              <w:autoSpaceDN/>
              <w:bidi w:val="0"/>
              <w:ind w:leftChars="0"/>
              <w:jc w:val="both"/>
              <w:textAlignment w:val="center"/>
              <w:rPr>
                <w:rFonts w:hint="eastAsia"/>
                <w:highlight w:val="none"/>
                <w:lang w:val="en-US" w:eastAsia="zh-CN"/>
              </w:rPr>
            </w:pPr>
            <w:r>
              <w:rPr>
                <w:rFonts w:hint="eastAsia"/>
                <w:highlight w:val="none"/>
                <w:lang w:val="en-US" w:eastAsia="zh-CN"/>
              </w:rPr>
              <w:t>8.音视频输入接口：HDMI≥1个, DVI1个, VGA1个, USB1个。</w:t>
            </w:r>
          </w:p>
          <w:p>
            <w:pPr>
              <w:pStyle w:val="2"/>
              <w:numPr>
                <w:ilvl w:val="0"/>
                <w:numId w:val="0"/>
              </w:numPr>
              <w:rPr>
                <w:rFonts w:hint="default" w:eastAsia="宋体"/>
                <w:highlight w:val="none"/>
                <w:lang w:val="en-US" w:eastAsia="zh-CN"/>
              </w:rPr>
            </w:pPr>
            <w:r>
              <w:rPr>
                <w:rFonts w:hint="eastAsia"/>
                <w:highlight w:val="none"/>
                <w:lang w:val="en-US" w:eastAsia="zh-CN"/>
              </w:rPr>
              <w:t>9.</w:t>
            </w:r>
            <w:r>
              <w:rPr>
                <w:rFonts w:hint="eastAsia" w:ascii="Times New Roman" w:hAnsi="Times New Roman" w:eastAsia="宋体" w:cs="Times New Roman"/>
                <w:kern w:val="2"/>
                <w:sz w:val="21"/>
                <w:szCs w:val="24"/>
                <w:highlight w:val="none"/>
                <w:lang w:val="en-US" w:eastAsia="zh-CN" w:bidi="ar-SA"/>
              </w:rPr>
              <w:t>★投标文件中必须提供该产品由国家确定的认证机构出具的处于有效期之内的节能产品认证证书并加盖投标人公章。</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143</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模块化框架</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5"/>
              </w:numPr>
              <w:suppressLineNumbers w:val="0"/>
              <w:kinsoku/>
              <w:wordWrap/>
              <w:overflowPunct/>
              <w:topLinePunct w:val="0"/>
              <w:autoSpaceDE/>
              <w:autoSpaceDN/>
              <w:bidi w:val="0"/>
              <w:ind w:firstLine="0" w:firstLineChars="0"/>
              <w:jc w:val="both"/>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产品：55英寸-模块化支架，尺寸≥1000mm*800mm*200mm</w:t>
            </w:r>
            <w:r>
              <w:rPr>
                <w:rFonts w:hint="eastAsia" w:ascii="宋体" w:hAnsi="宋体" w:cs="宋体"/>
                <w:i w:val="0"/>
                <w:iCs w:val="0"/>
                <w:color w:val="auto"/>
                <w:kern w:val="0"/>
                <w:sz w:val="21"/>
                <w:szCs w:val="21"/>
                <w:highlight w:val="none"/>
                <w:u w:val="none"/>
                <w:lang w:val="en-US" w:eastAsia="zh-CN" w:bidi="ar"/>
              </w:rPr>
              <w:t>；</w:t>
            </w:r>
          </w:p>
          <w:p>
            <w:pPr>
              <w:keepNext w:val="0"/>
              <w:keepLines w:val="0"/>
              <w:pageBreakBefore w:val="0"/>
              <w:widowControl/>
              <w:numPr>
                <w:ilvl w:val="0"/>
                <w:numId w:val="15"/>
              </w:numPr>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产品配置：无左右上封板；前封板，后留空；</w:t>
            </w:r>
          </w:p>
          <w:p>
            <w:pPr>
              <w:keepNext w:val="0"/>
              <w:keepLines w:val="0"/>
              <w:pageBreakBefore w:val="0"/>
              <w:widowControl/>
              <w:numPr>
                <w:ilvl w:val="0"/>
                <w:numId w:val="15"/>
              </w:numPr>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材质：优质冷轧钢板(SPCC)，材料厚度从T1.0-T5不等</w:t>
            </w:r>
            <w:r>
              <w:rPr>
                <w:rFonts w:hint="eastAsia" w:ascii="宋体" w:hAnsi="宋体" w:cs="宋体"/>
                <w:i w:val="0"/>
                <w:iCs w:val="0"/>
                <w:color w:val="auto"/>
                <w:kern w:val="0"/>
                <w:sz w:val="21"/>
                <w:szCs w:val="21"/>
                <w:highlight w:val="none"/>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jc w:val="both"/>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备注说明：有静电地板场合，斜撑板可藏于静电地板之下。支架放置到静电地板之下时，地板高度＞110mm</w:t>
            </w:r>
            <w:r>
              <w:rPr>
                <w:rFonts w:hint="eastAsia" w:ascii="宋体" w:hAnsi="宋体" w:cs="宋体"/>
                <w:i w:val="0"/>
                <w:iCs w:val="0"/>
                <w:color w:val="auto"/>
                <w:kern w:val="0"/>
                <w:sz w:val="21"/>
                <w:szCs w:val="21"/>
                <w:highlight w:val="none"/>
                <w:u w:val="none"/>
                <w:lang w:val="en-US" w:eastAsia="zh-CN" w:bidi="ar"/>
              </w:rPr>
              <w:t>；</w:t>
            </w:r>
          </w:p>
          <w:p>
            <w:pPr>
              <w:keepNext w:val="0"/>
              <w:keepLines w:val="0"/>
              <w:pageBreakBefore w:val="0"/>
              <w:widowControl/>
              <w:numPr>
                <w:ilvl w:val="0"/>
                <w:numId w:val="15"/>
              </w:numPr>
              <w:suppressLineNumbers w:val="0"/>
              <w:kinsoku/>
              <w:wordWrap/>
              <w:overflowPunct/>
              <w:topLinePunct w:val="0"/>
              <w:autoSpaceDE/>
              <w:autoSpaceDN/>
              <w:bidi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表面处理：静电喷塑，涂层厚度&gt;60微米</w:t>
            </w:r>
            <w:r>
              <w:rPr>
                <w:rFonts w:hint="eastAsia" w:ascii="宋体" w:hAnsi="宋体" w:cs="宋体"/>
                <w:i w:val="0"/>
                <w:iCs w:val="0"/>
                <w:color w:val="auto"/>
                <w:kern w:val="0"/>
                <w:sz w:val="21"/>
                <w:szCs w:val="21"/>
                <w:highlight w:val="none"/>
                <w:u w:val="none"/>
                <w:lang w:val="en-US" w:eastAsia="zh-CN" w:bidi="ar"/>
              </w:rPr>
              <w:t>；</w:t>
            </w:r>
          </w:p>
          <w:p>
            <w:pPr>
              <w:keepNext w:val="0"/>
              <w:keepLines w:val="0"/>
              <w:pageBreakBefore w:val="0"/>
              <w:widowControl/>
              <w:numPr>
                <w:ilvl w:val="0"/>
                <w:numId w:val="15"/>
              </w:numPr>
              <w:suppressLineNumbers w:val="0"/>
              <w:kinsoku/>
              <w:wordWrap/>
              <w:overflowPunct/>
              <w:topLinePunct w:val="0"/>
              <w:autoSpaceDE/>
              <w:autoSpaceDN/>
              <w:bidi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弧度：0°</w:t>
            </w:r>
            <w:r>
              <w:rPr>
                <w:rFonts w:hint="eastAsia" w:ascii="宋体" w:hAnsi="宋体" w:cs="宋体"/>
                <w:i w:val="0"/>
                <w:iCs w:val="0"/>
                <w:color w:val="auto"/>
                <w:kern w:val="0"/>
                <w:sz w:val="21"/>
                <w:szCs w:val="21"/>
                <w:highlight w:val="none"/>
                <w:u w:val="none"/>
                <w:lang w:val="en-US" w:eastAsia="zh-CN" w:bidi="ar"/>
              </w:rPr>
              <w:t>；</w:t>
            </w:r>
          </w:p>
          <w:p>
            <w:pPr>
              <w:keepNext w:val="0"/>
              <w:keepLines w:val="0"/>
              <w:pageBreakBefore w:val="0"/>
              <w:widowControl/>
              <w:numPr>
                <w:ilvl w:val="0"/>
                <w:numId w:val="15"/>
              </w:numPr>
              <w:suppressLineNumbers w:val="0"/>
              <w:kinsoku/>
              <w:wordWrap/>
              <w:overflowPunct/>
              <w:topLinePunct w:val="0"/>
              <w:autoSpaceDE/>
              <w:autoSpaceDN/>
              <w:bidi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可定制范围：左右上封板，颜色，底座高度（≥200mm），前开门，后封板/后开门，拉杆长度，LOGO，储物隔板</w:t>
            </w:r>
            <w:r>
              <w:rPr>
                <w:rFonts w:hint="eastAsia"/>
                <w:highlight w:val="none"/>
                <w:lang w:eastAsia="zh-CN"/>
              </w:rPr>
              <w:t>。</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144</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模块化底座</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6"/>
              </w:numPr>
              <w:suppressLineNumbers w:val="0"/>
              <w:kinsoku/>
              <w:wordWrap/>
              <w:overflowPunct/>
              <w:topLinePunct w:val="0"/>
              <w:autoSpaceDE/>
              <w:autoSpaceDN/>
              <w:bidi w:val="0"/>
              <w:ind w:firstLine="0" w:firstLineChars="0"/>
              <w:jc w:val="both"/>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底座高度：800mm*200mm*4200mm</w:t>
            </w:r>
            <w:r>
              <w:rPr>
                <w:rFonts w:hint="eastAsia" w:ascii="宋体" w:hAnsi="宋体" w:cs="宋体"/>
                <w:i w:val="0"/>
                <w:iCs w:val="0"/>
                <w:color w:val="auto"/>
                <w:kern w:val="0"/>
                <w:sz w:val="21"/>
                <w:szCs w:val="21"/>
                <w:highlight w:val="none"/>
                <w:u w:val="none"/>
                <w:lang w:val="en-US" w:eastAsia="zh-CN" w:bidi="ar"/>
              </w:rPr>
              <w:t>；</w:t>
            </w:r>
          </w:p>
          <w:p>
            <w:pPr>
              <w:keepNext w:val="0"/>
              <w:keepLines w:val="0"/>
              <w:pageBreakBefore w:val="0"/>
              <w:widowControl/>
              <w:numPr>
                <w:ilvl w:val="0"/>
                <w:numId w:val="16"/>
              </w:numPr>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材质：优质冷轧钢板(SPCC)，材料厚度从T1.0-T5不等</w:t>
            </w:r>
            <w:r>
              <w:rPr>
                <w:rFonts w:hint="eastAsia" w:ascii="宋体" w:hAnsi="宋体" w:cs="宋体"/>
                <w:i w:val="0"/>
                <w:iCs w:val="0"/>
                <w:color w:val="auto"/>
                <w:kern w:val="0"/>
                <w:sz w:val="21"/>
                <w:szCs w:val="21"/>
                <w:highlight w:val="none"/>
                <w:u w:val="none"/>
                <w:lang w:val="en-US" w:eastAsia="zh-CN" w:bidi="ar"/>
              </w:rPr>
              <w:t>；</w:t>
            </w:r>
          </w:p>
          <w:p>
            <w:pPr>
              <w:keepNext w:val="0"/>
              <w:keepLines w:val="0"/>
              <w:pageBreakBefore w:val="0"/>
              <w:widowControl/>
              <w:numPr>
                <w:ilvl w:val="0"/>
                <w:numId w:val="16"/>
              </w:numPr>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备注说明：有静电地板场合，斜撑板可藏于静电地板之下。支架放置到静电地板之下时，地板高度＞110mm</w:t>
            </w:r>
            <w:r>
              <w:rPr>
                <w:rFonts w:hint="eastAsia" w:ascii="宋体" w:hAnsi="宋体" w:cs="宋体"/>
                <w:i w:val="0"/>
                <w:iCs w:val="0"/>
                <w:color w:val="auto"/>
                <w:kern w:val="0"/>
                <w:sz w:val="21"/>
                <w:szCs w:val="21"/>
                <w:highlight w:val="none"/>
                <w:u w:val="none"/>
                <w:lang w:val="en-US" w:eastAsia="zh-CN" w:bidi="ar"/>
              </w:rPr>
              <w:t>；</w:t>
            </w:r>
          </w:p>
          <w:p>
            <w:pPr>
              <w:keepNext w:val="0"/>
              <w:keepLines w:val="0"/>
              <w:pageBreakBefore w:val="0"/>
              <w:widowControl/>
              <w:numPr>
                <w:ilvl w:val="0"/>
                <w:numId w:val="16"/>
              </w:numPr>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表面处理：静电喷塑，涂层厚度&gt;60微米。</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145</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HDMI视频线</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HDMI高清视频线，长度≥10米（根据实际情况考虑）</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146</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操作台</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操作台1880*860*750mm 3位（联）拼装，含3张椅子，主体采用1.5mm 冷轧钢板；表面处理：磷化+静电喷涂工艺。</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16"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4.值班室分控设备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147</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超高清解码器</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rPr>
              <w:t>采用嵌入式架构，专用Linux操作系统，支持对实时视频流以及录像文件进行解码输出。</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支持≥10路HDMI输出，≥8路报警输入，≥8路报警输出，≥10路音频输出，≥1个RS485接口。</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具有开窗漫游功能，任意一路信号显示画面可进行任意漫游、缩放，可在单屏或者多屏的任意位置上叠加显示，图层不少于64层。</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支持黑白名单功能，可设置≥256个黑白名单，当设置白名单时，只允许白名单IP访问设备，当设置黑名单时，黑名单内IP无法访问设备，支持</w:t>
            </w:r>
            <w:r>
              <w:rPr>
                <w:rFonts w:hint="eastAsia" w:ascii="宋体" w:hAnsi="宋体" w:eastAsia="宋体" w:cs="宋体"/>
                <w:color w:val="auto"/>
                <w:sz w:val="21"/>
                <w:szCs w:val="21"/>
                <w:highlight w:val="none"/>
                <w:lang w:eastAsia="zh-CN"/>
              </w:rPr>
              <w:t>1.2.4.6.8.9.</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0.</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36画面分割显示，支持平均分割，支持分割线开启、关闭设置，支持底色设置。</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支持客户端软件设置底色，当无解码画面时，设置输出显示该底色，支持场景切换，各个大屏可同时切换，切换时间≤1秒。</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rPr>
              <w:t>可通过客户端软件将显示窗口在多个显示屏间进行拖动或跨屏显示，并可调节显示窗口大小。</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支持NTP校时及客户端软件手动校时两种校时方式，可通过客户端软件对设备进行恢复出厂设置。</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8.</w:t>
            </w:r>
            <w:r>
              <w:rPr>
                <w:rFonts w:hint="eastAsia" w:ascii="宋体" w:hAnsi="宋体" w:eastAsia="宋体" w:cs="宋体"/>
                <w:color w:val="auto"/>
                <w:sz w:val="21"/>
                <w:szCs w:val="21"/>
                <w:highlight w:val="none"/>
              </w:rPr>
              <w:t>输入信号接入解码器后上墙显示，支持YUV422上墙显示，可将设备当前的解码输出模式设置为≥1个场景，设备可保存多个场景，场景数量≥45个，并可通过客户端软件切换设备场景。</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9.</w:t>
            </w:r>
            <w:r>
              <w:rPr>
                <w:rFonts w:hint="eastAsia" w:ascii="宋体" w:hAnsi="宋体" w:eastAsia="宋体" w:cs="宋体"/>
                <w:color w:val="auto"/>
                <w:sz w:val="21"/>
                <w:szCs w:val="21"/>
                <w:highlight w:val="none"/>
              </w:rPr>
              <w:t>解码能力支持≥10路分辨率为4000*3000（20fps）的H.26</w:t>
            </w: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H.265视频图像，≥20路分辨率为4096*2160（25fps）的H.26</w:t>
            </w: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H.265视频图像，≥20路分辨率为3840*2160（25fps）的H.26</w:t>
            </w: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H.265视频图像，≥30路分辨率为2592*1944（30fps）的H.26</w:t>
            </w: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H.265视频图像，≥80路分辨率为1920*1080（30fps）的H.26</w:t>
            </w: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H.265视频图像，≥160路分辨率为1280*720（30fps）的H.26</w:t>
            </w: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H.265视频图像。</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0.</w:t>
            </w:r>
            <w:r>
              <w:rPr>
                <w:rFonts w:hint="eastAsia" w:ascii="宋体" w:hAnsi="宋体" w:eastAsia="宋体" w:cs="宋体"/>
                <w:color w:val="auto"/>
                <w:sz w:val="21"/>
                <w:szCs w:val="21"/>
                <w:highlight w:val="none"/>
              </w:rPr>
              <w:t>支持在超出设备解码能力时，在显示输出窗口叠加提示信息,支持回形拼接，支持对解码的IPC输出的画面进行旋转，支持≥90°、≥180°左旋和≥90°、≥180°右旋。</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rPr>
              <w:t>音频解码格式支持G.72</w:t>
            </w: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G.711A、G.72</w:t>
            </w: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rPr>
              <w:t>G.711U、MPEG2-L</w:t>
            </w: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AAC，支持对输入的视频画面进行≥90°、≥180°、≥270°旋转显示，支持通过IE浏览器进行网络模式设置，包括设置为流畅性优先、实时性优先。</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支持实时视频流及录像文件同时解码输出显示，历史解码能力与实时流解码能力一致。</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通过设备抓屏软件，可将远程电脑桌面实时解码上墙显示，画面帧率≥30fps，支持PC软件客户端、WEB浏览器客户端、平台客户端、IPAD、可视化触控平台方式访问管理。</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可通过有线网络模式访问设备，通过客户端软件导入和导出设备配置参数。</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设备在-10℃～50℃温度变化范围内，可保持正常工作。</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148</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55寸液晶显示器</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7"/>
              </w:numPr>
              <w:suppressLineNumbers w:val="0"/>
              <w:kinsoku/>
              <w:wordWrap/>
              <w:overflowPunct/>
              <w:topLinePunct w:val="0"/>
              <w:autoSpaceDE/>
              <w:autoSpaceDN/>
              <w:bidi w:val="0"/>
              <w:ind w:firstLine="0" w:firstLineChars="0"/>
              <w:jc w:val="both"/>
              <w:textAlignment w:val="center"/>
              <w:rPr>
                <w:rFonts w:hint="eastAsia"/>
                <w:highlight w:val="none"/>
                <w:lang w:val="en-US" w:eastAsia="zh-CN"/>
              </w:rPr>
            </w:pPr>
            <w:r>
              <w:rPr>
                <w:rFonts w:hint="eastAsia"/>
                <w:highlight w:val="none"/>
                <w:lang w:val="en-US" w:eastAsia="zh-CN"/>
              </w:rPr>
              <w:t>液晶显示器≥55寸；</w:t>
            </w:r>
          </w:p>
          <w:p>
            <w:pPr>
              <w:keepNext w:val="0"/>
              <w:keepLines w:val="0"/>
              <w:pageBreakBefore w:val="0"/>
              <w:widowControl/>
              <w:numPr>
                <w:ilvl w:val="0"/>
                <w:numId w:val="17"/>
              </w:numPr>
              <w:suppressLineNumbers w:val="0"/>
              <w:kinsoku/>
              <w:wordWrap/>
              <w:overflowPunct/>
              <w:topLinePunct w:val="0"/>
              <w:autoSpaceDE/>
              <w:autoSpaceDN/>
              <w:bidi w:val="0"/>
              <w:ind w:left="0" w:leftChars="0" w:firstLine="0" w:firstLineChars="0"/>
              <w:jc w:val="both"/>
              <w:textAlignment w:val="center"/>
              <w:rPr>
                <w:rFonts w:hint="eastAsia"/>
                <w:highlight w:val="none"/>
                <w:lang w:val="en-US" w:eastAsia="zh-CN"/>
              </w:rPr>
            </w:pPr>
            <w:r>
              <w:rPr>
                <w:rFonts w:hint="eastAsia"/>
                <w:highlight w:val="none"/>
                <w:lang w:val="en-US" w:eastAsia="zh-CN"/>
              </w:rPr>
              <w:t>亮度：≥450 cd/m2；</w:t>
            </w:r>
          </w:p>
          <w:p>
            <w:pPr>
              <w:keepNext w:val="0"/>
              <w:keepLines w:val="0"/>
              <w:pageBreakBefore w:val="0"/>
              <w:widowControl/>
              <w:numPr>
                <w:ilvl w:val="0"/>
                <w:numId w:val="17"/>
              </w:numPr>
              <w:suppressLineNumbers w:val="0"/>
              <w:kinsoku/>
              <w:wordWrap/>
              <w:overflowPunct/>
              <w:topLinePunct w:val="0"/>
              <w:autoSpaceDE/>
              <w:autoSpaceDN/>
              <w:bidi w:val="0"/>
              <w:ind w:left="0" w:leftChars="0" w:firstLine="0" w:firstLineChars="0"/>
              <w:jc w:val="both"/>
              <w:textAlignment w:val="center"/>
              <w:rPr>
                <w:rFonts w:hint="eastAsia"/>
                <w:highlight w:val="none"/>
                <w:lang w:val="en-US" w:eastAsia="zh-CN"/>
              </w:rPr>
            </w:pPr>
            <w:r>
              <w:rPr>
                <w:rFonts w:hint="eastAsia"/>
                <w:highlight w:val="none"/>
                <w:lang w:val="en-US" w:eastAsia="zh-CN"/>
              </w:rPr>
              <w:t>对比度：5000:1；</w:t>
            </w:r>
          </w:p>
          <w:p>
            <w:pPr>
              <w:keepNext w:val="0"/>
              <w:keepLines w:val="0"/>
              <w:pageBreakBefore w:val="0"/>
              <w:widowControl/>
              <w:numPr>
                <w:ilvl w:val="0"/>
                <w:numId w:val="17"/>
              </w:numPr>
              <w:suppressLineNumbers w:val="0"/>
              <w:kinsoku/>
              <w:wordWrap/>
              <w:overflowPunct/>
              <w:topLinePunct w:val="0"/>
              <w:autoSpaceDE/>
              <w:autoSpaceDN/>
              <w:bidi w:val="0"/>
              <w:ind w:left="0" w:leftChars="0" w:firstLine="0" w:firstLineChars="0"/>
              <w:jc w:val="both"/>
              <w:textAlignment w:val="center"/>
              <w:rPr>
                <w:rFonts w:hint="eastAsia"/>
                <w:highlight w:val="none"/>
                <w:lang w:val="en-US" w:eastAsia="zh-CN"/>
              </w:rPr>
            </w:pPr>
            <w:r>
              <w:rPr>
                <w:rFonts w:hint="eastAsia"/>
                <w:highlight w:val="none"/>
                <w:lang w:val="en-US" w:eastAsia="zh-CN"/>
              </w:rPr>
              <w:t>支持≥3840*2160@60Hz超高清显示；</w:t>
            </w:r>
          </w:p>
          <w:p>
            <w:pPr>
              <w:keepNext w:val="0"/>
              <w:keepLines w:val="0"/>
              <w:pageBreakBefore w:val="0"/>
              <w:widowControl/>
              <w:numPr>
                <w:ilvl w:val="0"/>
                <w:numId w:val="17"/>
              </w:numPr>
              <w:suppressLineNumbers w:val="0"/>
              <w:kinsoku/>
              <w:wordWrap/>
              <w:overflowPunct/>
              <w:topLinePunct w:val="0"/>
              <w:autoSpaceDE/>
              <w:autoSpaceDN/>
              <w:bidi w:val="0"/>
              <w:ind w:left="0" w:leftChars="0" w:firstLine="0" w:firstLineChars="0"/>
              <w:jc w:val="both"/>
              <w:textAlignment w:val="center"/>
              <w:rPr>
                <w:rFonts w:hint="eastAsia"/>
                <w:highlight w:val="none"/>
                <w:lang w:val="en-US" w:eastAsia="zh-CN"/>
              </w:rPr>
            </w:pPr>
            <w:r>
              <w:rPr>
                <w:rFonts w:hint="eastAsia"/>
                <w:highlight w:val="none"/>
                <w:lang w:val="en-US" w:eastAsia="zh-CN"/>
              </w:rPr>
              <w:t>支持HDR显示标准，3D数字图像降噪处理技术；</w:t>
            </w:r>
          </w:p>
          <w:p>
            <w:pPr>
              <w:keepNext w:val="0"/>
              <w:keepLines w:val="0"/>
              <w:pageBreakBefore w:val="0"/>
              <w:widowControl/>
              <w:numPr>
                <w:ilvl w:val="0"/>
                <w:numId w:val="17"/>
              </w:numPr>
              <w:suppressLineNumbers w:val="0"/>
              <w:kinsoku/>
              <w:wordWrap/>
              <w:overflowPunct/>
              <w:topLinePunct w:val="0"/>
              <w:autoSpaceDE/>
              <w:autoSpaceDN/>
              <w:bidi w:val="0"/>
              <w:ind w:left="0" w:leftChars="0" w:firstLine="0" w:firstLineChars="0"/>
              <w:jc w:val="both"/>
              <w:textAlignment w:val="center"/>
              <w:rPr>
                <w:rFonts w:hint="eastAsia"/>
                <w:highlight w:val="none"/>
                <w:lang w:val="en-US" w:eastAsia="zh-CN"/>
              </w:rPr>
            </w:pPr>
            <w:r>
              <w:rPr>
                <w:rFonts w:hint="eastAsia"/>
                <w:highlight w:val="none"/>
                <w:lang w:val="en-US" w:eastAsia="zh-CN"/>
              </w:rPr>
              <w:t>内置喇叭及功放，支持3.5mm音频输入；</w:t>
            </w:r>
          </w:p>
          <w:p>
            <w:pPr>
              <w:keepNext w:val="0"/>
              <w:keepLines w:val="0"/>
              <w:pageBreakBefore w:val="0"/>
              <w:widowControl/>
              <w:numPr>
                <w:ilvl w:val="0"/>
                <w:numId w:val="17"/>
              </w:numPr>
              <w:suppressLineNumbers w:val="0"/>
              <w:kinsoku/>
              <w:wordWrap/>
              <w:overflowPunct/>
              <w:topLinePunct w:val="0"/>
              <w:autoSpaceDE/>
              <w:autoSpaceDN/>
              <w:bidi w:val="0"/>
              <w:ind w:left="0" w:leftChars="0" w:firstLine="0" w:firstLineChars="0"/>
              <w:jc w:val="both"/>
              <w:textAlignment w:val="center"/>
              <w:rPr>
                <w:rFonts w:hint="eastAsia"/>
                <w:highlight w:val="none"/>
                <w:lang w:val="en-US" w:eastAsia="zh-CN"/>
              </w:rPr>
            </w:pPr>
            <w:r>
              <w:rPr>
                <w:rFonts w:hint="eastAsia"/>
                <w:highlight w:val="none"/>
                <w:lang w:val="en-US" w:eastAsia="zh-CN"/>
              </w:rPr>
              <w:t>支持U盘点播，含文本、图片、音频、视频等多种格式多媒体播放；</w:t>
            </w:r>
          </w:p>
          <w:p>
            <w:pPr>
              <w:keepNext w:val="0"/>
              <w:keepLines w:val="0"/>
              <w:pageBreakBefore w:val="0"/>
              <w:widowControl/>
              <w:numPr>
                <w:ilvl w:val="0"/>
                <w:numId w:val="17"/>
              </w:numPr>
              <w:suppressLineNumbers w:val="0"/>
              <w:kinsoku/>
              <w:wordWrap/>
              <w:overflowPunct/>
              <w:topLinePunct w:val="0"/>
              <w:autoSpaceDE/>
              <w:autoSpaceDN/>
              <w:bidi w:val="0"/>
              <w:ind w:left="0" w:leftChars="0" w:firstLine="0" w:firstLineChars="0"/>
              <w:jc w:val="both"/>
              <w:textAlignment w:val="center"/>
              <w:rPr>
                <w:rFonts w:hint="eastAsia"/>
                <w:highlight w:val="none"/>
                <w:lang w:val="en-US" w:eastAsia="zh-CN"/>
              </w:rPr>
            </w:pPr>
            <w:r>
              <w:rPr>
                <w:rFonts w:hint="eastAsia"/>
                <w:highlight w:val="none"/>
                <w:lang w:val="en-US" w:eastAsia="zh-CN"/>
              </w:rPr>
              <w:t>实时监控设备温度，高温报警。</w:t>
            </w:r>
          </w:p>
          <w:p>
            <w:pPr>
              <w:pStyle w:val="2"/>
              <w:numPr>
                <w:ilvl w:val="0"/>
                <w:numId w:val="0"/>
              </w:numPr>
              <w:ind w:leftChars="0"/>
              <w:rPr>
                <w:rFonts w:hint="eastAsia"/>
                <w:highlight w:val="none"/>
              </w:rPr>
            </w:pPr>
            <w:bookmarkStart w:id="72" w:name="OLE_LINK22"/>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w:t>
            </w:r>
            <w:r>
              <w:rPr>
                <w:rFonts w:hint="eastAsia" w:ascii="宋体" w:hAnsi="宋体"/>
                <w:color w:val="auto"/>
                <w:sz w:val="21"/>
                <w:szCs w:val="21"/>
                <w:highlight w:val="none"/>
              </w:rPr>
              <w:t>投标文件中必须提供该产品由国家确定的认证机构出具的处于有效期之内的节能产品认证证书并加盖投标人公章。</w:t>
            </w:r>
            <w:bookmarkEnd w:id="72"/>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149</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管理终端</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textAlignment w:val="center"/>
              <w:rPr>
                <w:rFonts w:hint="eastAsia" w:ascii="宋体" w:hAnsi="宋体" w:cs="宋体"/>
                <w:kern w:val="0"/>
                <w:szCs w:val="21"/>
                <w:highlight w:val="none"/>
                <w:lang w:bidi="ar"/>
              </w:rPr>
            </w:pPr>
            <w:r>
              <w:rPr>
                <w:rFonts w:hint="eastAsia" w:ascii="宋体" w:hAnsi="宋体" w:cs="宋体"/>
                <w:kern w:val="0"/>
                <w:szCs w:val="21"/>
                <w:highlight w:val="none"/>
                <w:lang w:bidi="ar"/>
              </w:rPr>
              <w:t>1、处理器：配置1颗飞腾腾锐D2000 CPU，8核，主频2.3Ghz</w:t>
            </w:r>
          </w:p>
          <w:p>
            <w:pPr>
              <w:widowControl/>
              <w:ind w:firstLine="0" w:firstLineChars="0"/>
              <w:textAlignment w:val="center"/>
              <w:rPr>
                <w:rFonts w:hint="eastAsia" w:ascii="宋体" w:hAnsi="宋体" w:cs="宋体"/>
                <w:kern w:val="0"/>
                <w:szCs w:val="21"/>
                <w:highlight w:val="none"/>
                <w:lang w:bidi="ar"/>
              </w:rPr>
            </w:pPr>
            <w:r>
              <w:rPr>
                <w:rFonts w:hint="eastAsia" w:ascii="宋体" w:hAnsi="宋体" w:cs="宋体"/>
                <w:kern w:val="0"/>
                <w:szCs w:val="21"/>
                <w:highlight w:val="none"/>
                <w:lang w:bidi="ar"/>
              </w:rPr>
              <w:t>2、内存：配置16GB DDR4内存</w:t>
            </w:r>
          </w:p>
          <w:p>
            <w:pPr>
              <w:widowControl/>
              <w:ind w:firstLine="0" w:firstLineChars="0"/>
              <w:textAlignment w:val="center"/>
              <w:rPr>
                <w:rFonts w:hint="eastAsia" w:ascii="宋体" w:hAnsi="宋体" w:cs="宋体"/>
                <w:kern w:val="0"/>
                <w:szCs w:val="21"/>
                <w:highlight w:val="none"/>
                <w:lang w:bidi="ar"/>
              </w:rPr>
            </w:pPr>
            <w:r>
              <w:rPr>
                <w:rFonts w:hint="eastAsia" w:ascii="宋体" w:hAnsi="宋体" w:cs="宋体"/>
                <w:kern w:val="0"/>
                <w:szCs w:val="21"/>
                <w:highlight w:val="none"/>
                <w:lang w:bidi="ar"/>
              </w:rPr>
              <w:t>3、存储：配置512GB M.2 NVMe SSD+1T HDD</w:t>
            </w:r>
          </w:p>
          <w:p>
            <w:pPr>
              <w:widowControl/>
              <w:ind w:firstLine="0" w:firstLineChars="0"/>
              <w:textAlignment w:val="center"/>
              <w:rPr>
                <w:rFonts w:hint="eastAsia" w:ascii="宋体" w:hAnsi="宋体" w:cs="宋体"/>
                <w:kern w:val="0"/>
                <w:szCs w:val="21"/>
                <w:highlight w:val="none"/>
                <w:lang w:bidi="ar"/>
              </w:rPr>
            </w:pPr>
            <w:r>
              <w:rPr>
                <w:rFonts w:hint="eastAsia" w:ascii="宋体" w:hAnsi="宋体" w:cs="宋体"/>
                <w:kern w:val="0"/>
                <w:szCs w:val="21"/>
                <w:highlight w:val="none"/>
                <w:lang w:bidi="ar"/>
              </w:rPr>
              <w:t>4、显卡：配置2GB独立显卡，支持HDMI、VGA接口</w:t>
            </w:r>
          </w:p>
          <w:p>
            <w:pPr>
              <w:widowControl/>
              <w:ind w:firstLine="0" w:firstLineChars="0"/>
              <w:textAlignment w:val="center"/>
              <w:rPr>
                <w:rFonts w:hint="eastAsia" w:ascii="宋体" w:hAnsi="宋体" w:cs="宋体"/>
                <w:kern w:val="0"/>
                <w:szCs w:val="21"/>
                <w:highlight w:val="none"/>
                <w:lang w:bidi="ar"/>
              </w:rPr>
            </w:pPr>
            <w:r>
              <w:rPr>
                <w:rFonts w:hint="eastAsia" w:ascii="宋体" w:hAnsi="宋体" w:cs="宋体"/>
                <w:kern w:val="0"/>
                <w:szCs w:val="21"/>
                <w:highlight w:val="none"/>
                <w:lang w:bidi="ar"/>
              </w:rPr>
              <w:t>5、网卡：1个RJ45 10M/100M/1000M自适应以太网口</w:t>
            </w:r>
          </w:p>
          <w:p>
            <w:pPr>
              <w:widowControl/>
              <w:ind w:firstLine="0" w:firstLineChars="0"/>
              <w:textAlignment w:val="center"/>
              <w:rPr>
                <w:rFonts w:hint="eastAsia" w:ascii="宋体" w:hAnsi="宋体" w:cs="宋体"/>
                <w:kern w:val="0"/>
                <w:szCs w:val="21"/>
                <w:highlight w:val="none"/>
                <w:lang w:bidi="ar"/>
              </w:rPr>
            </w:pPr>
            <w:r>
              <w:rPr>
                <w:rFonts w:hint="eastAsia" w:ascii="宋体" w:hAnsi="宋体" w:cs="宋体"/>
                <w:kern w:val="0"/>
                <w:szCs w:val="21"/>
                <w:highlight w:val="none"/>
                <w:lang w:bidi="ar"/>
              </w:rPr>
              <w:t>6、显示器：配置与主机同品牌的23.8英寸超窄边框显示屏</w:t>
            </w:r>
          </w:p>
          <w:p>
            <w:pPr>
              <w:widowControl/>
              <w:ind w:firstLine="0" w:firstLineChars="0"/>
              <w:textAlignment w:val="center"/>
              <w:rPr>
                <w:rFonts w:hint="eastAsia" w:ascii="宋体" w:hAnsi="宋体" w:cs="宋体"/>
                <w:kern w:val="0"/>
                <w:szCs w:val="21"/>
                <w:highlight w:val="none"/>
                <w:lang w:bidi="ar"/>
              </w:rPr>
            </w:pPr>
            <w:r>
              <w:rPr>
                <w:rFonts w:hint="eastAsia" w:ascii="宋体" w:hAnsi="宋体" w:cs="宋体"/>
                <w:kern w:val="0"/>
                <w:szCs w:val="21"/>
                <w:highlight w:val="none"/>
                <w:lang w:bidi="ar"/>
              </w:rPr>
              <w:t>7、IO接口：8个 USB 3.1Gen1 接口；2组音频接口；1个HDMI接口；1个VGA接口</w:t>
            </w:r>
          </w:p>
          <w:p>
            <w:pPr>
              <w:widowControl/>
              <w:ind w:firstLine="0" w:firstLineChars="0"/>
              <w:textAlignment w:val="center"/>
              <w:rPr>
                <w:rFonts w:hint="eastAsia" w:ascii="宋体" w:hAnsi="宋体" w:cs="宋体"/>
                <w:kern w:val="0"/>
                <w:szCs w:val="21"/>
                <w:highlight w:val="none"/>
                <w:lang w:bidi="ar"/>
              </w:rPr>
            </w:pPr>
            <w:r>
              <w:rPr>
                <w:rFonts w:hint="eastAsia" w:ascii="宋体" w:hAnsi="宋体" w:cs="宋体"/>
                <w:kern w:val="0"/>
                <w:szCs w:val="21"/>
                <w:highlight w:val="none"/>
                <w:lang w:bidi="ar"/>
              </w:rPr>
              <w:t>8、光驱：配置超薄DVD-RW光驱</w:t>
            </w:r>
          </w:p>
          <w:p>
            <w:pPr>
              <w:widowControl/>
              <w:ind w:firstLine="0" w:firstLineChars="0"/>
              <w:textAlignment w:val="center"/>
              <w:rPr>
                <w:rFonts w:hint="eastAsia" w:ascii="宋体" w:hAnsi="宋体" w:cs="宋体"/>
                <w:kern w:val="0"/>
                <w:szCs w:val="21"/>
                <w:highlight w:val="none"/>
                <w:lang w:bidi="ar"/>
              </w:rPr>
            </w:pPr>
            <w:r>
              <w:rPr>
                <w:rFonts w:hint="eastAsia" w:ascii="宋体" w:hAnsi="宋体" w:cs="宋体"/>
                <w:kern w:val="0"/>
                <w:szCs w:val="21"/>
                <w:highlight w:val="none"/>
                <w:lang w:bidi="ar"/>
              </w:rPr>
              <w:t>9、电源：200W</w:t>
            </w:r>
          </w:p>
          <w:p>
            <w:pPr>
              <w:widowControl/>
              <w:ind w:firstLine="0" w:firstLineChars="0"/>
              <w:textAlignment w:val="center"/>
              <w:rPr>
                <w:rFonts w:hint="eastAsia" w:ascii="宋体" w:hAnsi="宋体" w:cs="宋体"/>
                <w:kern w:val="0"/>
                <w:szCs w:val="21"/>
                <w:highlight w:val="none"/>
                <w:lang w:bidi="ar"/>
              </w:rPr>
            </w:pPr>
            <w:r>
              <w:rPr>
                <w:rFonts w:hint="eastAsia" w:ascii="宋体" w:hAnsi="宋体" w:cs="宋体"/>
                <w:kern w:val="0"/>
                <w:szCs w:val="21"/>
                <w:highlight w:val="none"/>
                <w:lang w:bidi="ar"/>
              </w:rPr>
              <w:t>10、操作系统：银河麒麟桌面操作系统 V10/统信桌面操作系统 V20</w:t>
            </w:r>
          </w:p>
          <w:p>
            <w:pPr>
              <w:widowControl/>
              <w:ind w:firstLine="0" w:firstLineChars="0"/>
              <w:textAlignment w:val="center"/>
              <w:rPr>
                <w:rFonts w:hint="eastAsia" w:ascii="宋体" w:hAnsi="宋体" w:cs="宋体"/>
                <w:kern w:val="0"/>
                <w:szCs w:val="21"/>
                <w:highlight w:val="none"/>
                <w:lang w:bidi="ar"/>
              </w:rPr>
            </w:pPr>
            <w:r>
              <w:rPr>
                <w:rFonts w:hint="eastAsia" w:ascii="宋体" w:hAnsi="宋体" w:cs="宋体"/>
                <w:kern w:val="0"/>
                <w:szCs w:val="21"/>
                <w:highlight w:val="none"/>
                <w:lang w:bidi="ar"/>
              </w:rPr>
              <w:t>11、机箱尺寸：13.5L机箱</w:t>
            </w:r>
          </w:p>
          <w:p>
            <w:pPr>
              <w:widowControl/>
              <w:ind w:firstLine="0" w:firstLineChars="0"/>
              <w:textAlignment w:val="center"/>
              <w:rPr>
                <w:rFonts w:hint="eastAsia" w:ascii="宋体" w:hAnsi="宋体" w:cs="宋体"/>
                <w:kern w:val="0"/>
                <w:szCs w:val="21"/>
                <w:highlight w:val="none"/>
                <w:lang w:bidi="ar"/>
              </w:rPr>
            </w:pPr>
            <w:r>
              <w:rPr>
                <w:rFonts w:hint="eastAsia" w:ascii="宋体" w:hAnsi="宋体" w:cs="宋体"/>
                <w:kern w:val="0"/>
                <w:szCs w:val="21"/>
                <w:highlight w:val="none"/>
                <w:lang w:bidi="ar"/>
              </w:rPr>
              <w:t>12、键鼠：配置与主机同品牌键盘及鼠标</w:t>
            </w:r>
          </w:p>
          <w:p>
            <w:pPr>
              <w:widowControl/>
              <w:ind w:firstLine="0" w:firstLineChars="0"/>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kern w:val="0"/>
                <w:szCs w:val="21"/>
                <w:highlight w:val="none"/>
                <w:lang w:val="en-US" w:eastAsia="zh-CN" w:bidi="ar"/>
              </w:rPr>
              <w:t>13</w:t>
            </w:r>
            <w:r>
              <w:rPr>
                <w:rFonts w:hint="eastAsia" w:ascii="宋体" w:hAnsi="宋体" w:cs="宋体"/>
                <w:kern w:val="0"/>
                <w:szCs w:val="21"/>
                <w:highlight w:val="none"/>
                <w:lang w:bidi="ar"/>
              </w:rPr>
              <w:t>.★投标文件中必须提供该产品由国家确定的认证机构出具的处于有效期之内的节能产品认证证书并加盖投标人公章。</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16"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5.综合安防集成管理平台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通用模块</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系统基础包，提供业务应用依赖的基础资源信息及基础服务能力，包括系统基础信息管理、地图应用服务、事件联动应用服务。提供了系统业务应用依赖的基础资源，包括用户管理、基础数据管理、区域管理、系统配置、设备管理，统一管理了组织、区域、人员、卡片、车辆和物联设备等资源。</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151</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视频监控模块</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1.单路监控点的接入许可500路；2.支持前端编码设备的集中管理；支持视频预览、录像回放、图片查看、解码上墙等功能</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152</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门禁管理模块</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1.单路门禁点的接入许可200路；2.提供门禁服务，支持卡片、指纹、人脸三种权限介质；3.特殊卡应用、多重认证、首卡常开、反潜回、多门互锁、门常开常闭等多种高级业务应用场景。</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153</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访客管理模块</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提供访客预约、访客登记、访客签离、访客权限管理、短信通知、来访记录查看等功能。针对不同的场景可自定义访客单内容、短信内容、访客信息字段等。默认包含2路访客终端授权。</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154</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出入口车辆管理模块</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出入口车辆放行管理通过接入多种出入口道闸设备，利用车牌号码、卡片，实现车辆识别、出入管控等应用，主要提供出入口车道管理、车辆管理、车辆放行规则管理、出入口LED显示和语音播报管理、库内车辆管理、过车记录查询、车流量统计等应用，支持中心和岗亭监控出入口过车实况、道闸反控和语音对讲协助功能</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155</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人车智能搜索模块</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智能检索应用以人脸识别技术、视频结构化技术为核心，通过前端视频和后端比对分析设备对人体、车辆抓拍图片进行分析，</w:t>
            </w:r>
            <w:bookmarkStart w:id="73" w:name="OLE_LINK19"/>
            <w:r>
              <w:rPr>
                <w:rFonts w:hint="eastAsia" w:ascii="宋体" w:hAnsi="宋体" w:cs="宋体"/>
                <w:i w:val="0"/>
                <w:iCs w:val="0"/>
                <w:color w:val="auto"/>
                <w:kern w:val="0"/>
                <w:sz w:val="21"/>
                <w:szCs w:val="21"/>
                <w:highlight w:val="none"/>
                <w:u w:val="none"/>
                <w:lang w:val="en-US" w:eastAsia="zh-CN" w:bidi="ar"/>
              </w:rPr>
              <w:t>有</w:t>
            </w:r>
            <w:r>
              <w:rPr>
                <w:rFonts w:hint="eastAsia" w:ascii="宋体" w:hAnsi="宋体" w:eastAsia="宋体" w:cs="宋体"/>
                <w:i w:val="0"/>
                <w:iCs w:val="0"/>
                <w:color w:val="auto"/>
                <w:kern w:val="0"/>
                <w:sz w:val="21"/>
                <w:szCs w:val="21"/>
                <w:highlight w:val="none"/>
                <w:u w:val="none"/>
                <w:lang w:val="en-US" w:eastAsia="zh-CN" w:bidi="ar"/>
              </w:rPr>
              <w:t>提供智能检索服务的能力</w:t>
            </w:r>
            <w:bookmarkEnd w:id="73"/>
            <w:r>
              <w:rPr>
                <w:rFonts w:hint="eastAsia" w:ascii="宋体" w:hAnsi="宋体" w:eastAsia="宋体" w:cs="宋体"/>
                <w:i w:val="0"/>
                <w:iCs w:val="0"/>
                <w:color w:val="auto"/>
                <w:kern w:val="0"/>
                <w:sz w:val="21"/>
                <w:szCs w:val="21"/>
                <w:highlight w:val="none"/>
                <w:u w:val="none"/>
                <w:lang w:val="en-US" w:eastAsia="zh-CN" w:bidi="ar"/>
              </w:rPr>
              <w:t>。1.支持配置人体、车辆识别计划；支持接收人体、车辆实时事件；2.支持人脸、人体、车辆的以图搜图；支持人员轨迹展示；3.支持人脸抓拍记录查询。</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156</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外来人员管控模块</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支持来访人员登记、出入统计、人员报警、来访记录、人员轨迹、报警记录、重点人员识别、陌生人识别、高频人员识别等功能。</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16"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6.辅助设备及耗材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157</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监控立杆</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3.5米（镀锌），厚度4mm，114转76mm，横臂76mm*2mm*1000mm*1根，全杆烤漆，含地笼；底板300*300*10；地笼4-M16*500。</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158</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立杆地龙基础</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立杆基础 C25水泥基础0.7*0.7*0.9m。</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防水设备箱</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500mm*400mm*250mm，含高防雨顶，前单开门，冷轧钢板厚度1.0mm+热镀锌，防尘防水，安装防盗锁</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防雷接地</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杆件、设备箱标准防雷接地处理，达到国标10Ω标准。采用3根1.8米50×50×5mm的镀锌角钢作为接地极。采用40*4mm镀锌扁铁2米，接引接地极。设备箱至基础采用10平方米接地线连接。</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161</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排插</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5位5孔10A,带开关，线缆长度1.5米。</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162</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2P20A 220V空开。</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163</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浪涌保护器</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20KA 24P电源防雷器</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164</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光纤终端盒</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光纤终端盒端口数8口，配置耦合器、尾纤。</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165</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超五类非屏蔽网线</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超五类非屏蔽网线，0.5mm无氧铜线芯。</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米</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9920.64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166</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理线器</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全塑胶ABS料,表面采用粉末涂层；封闭式管理跳线，可上下开启。</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167</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电源线</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RVV3*1.5mm</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米</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642.00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168</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PVC管</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PVC阻燃冷弯直径25MM壁厚2mm，含弯头、直通。</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米</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1734.30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169</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手孔井</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600*600*700含砌筑、井盖及辅材。</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座</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170</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硅芯管(直径50)</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硅芯管直径50预埋穿线管，通信光缆保护管，壁厚5.0mm国标。</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米</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594.00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171</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金属软管</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包塑金属软管直径25MM,PVC环保材料+镀锌钢带。</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米</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16" w:type="dxa"/>
            <w:gridSpan w:val="6"/>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六专四室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172</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囚室专用超广角半球</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1.设备中心水平分辨力不小于1600线（分辨率设置为2048×153</w:t>
            </w: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rPr>
              <w:t>帧率设置为30fps、码率设置为8Mbps，RJ45输出）。</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color w:val="auto"/>
                <w:sz w:val="21"/>
                <w:szCs w:val="21"/>
                <w:highlight w:val="none"/>
              </w:rPr>
              <w:t>水平视场角不小于172°，垂直视场角不小于122°。</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3.最低照度彩色：0.005 lx，黑白：0.001 lx。</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4.支持三码流技术，主码流50Hz：2048x153</w:t>
            </w: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rPr>
              <w:t>25帧/秒，子码流50Hz：704x57</w:t>
            </w: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rPr>
              <w:t>25帧/秒，第三码流50Hz：704x57</w:t>
            </w: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rPr>
              <w:t>25帧/秒。</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5.在IE浏览器下，具有H.26</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H.26</w:t>
            </w: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MJPEG设置选项；可将H.26</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H.264格式设置为Baseline/Main/High Profile</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6.支持设置纯视频流和音视频复合流两种视频类型。</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7.红外灯补光时可识别距样机20m处的人体轮廓。</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8.设备内置1个GPU芯片、2个麦克风、1个扬声器，具有1个RJ45网络接口、1个CVBS接口、2个音频输入接口、1个音频输出接口、1个RS485接口、2个报警输入接口、2个报警输出接口。</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9.可通过扫描预览界面上生成的二维码获取设备资料。</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color w:val="auto"/>
                <w:sz w:val="21"/>
                <w:szCs w:val="21"/>
                <w:highlight w:val="none"/>
              </w:rPr>
              <w:t>内置双MIC，支持双MIC噪声过滤；对讲过程中，可过滤稳态噪声。</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color w:val="auto"/>
                <w:sz w:val="21"/>
                <w:szCs w:val="21"/>
                <w:highlight w:val="none"/>
              </w:rPr>
              <w:t>设备支持开启、关闭畸变矫正功能，功能开启后畸变应有明显降低。畸变矫正支持等级</w:t>
            </w: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rPr>
              <w:t>等级</w:t>
            </w: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等级3和自定义四种校正配置，当配置为自定义时，可分别调节校正强度、水平视场角、垂直视场角、远端放大等级。</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12.同一静止场景相同图像质量下，设备在H.26</w:t>
            </w: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H.265编码方式时，开启智能编码功能和不开启智能编码相比，码率节约90%。</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13.IP67防尘防水等级，IK10碰撞防护等级。</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14.电源电压的DC12V±20%、AC24±20%范围变化时，设备正常工作。设备支持POE供电方式。</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173</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四门门禁控制器</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处理器：32位处理器；2.管控门数：4门；3.通讯方式：上行TCP/IP；4.读卡器接口：RS485和Wiegand双通讯接口；5.存储容量：10万张卡和30万记录存储；6.支持多门互锁、反潜回、多重卡认证等高级功能；7.支持消防功能，支持蓄电池功能；8.工作电压：自带机箱和供电电源（AC220V输入），工作电压DC 12V，功耗≤4W（不带负载）。</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174</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人脸门禁一体机</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rPr>
              <w:t>采用约7英寸触摸显示屏，屏幕比例9:16，屏幕流明度≥600cd/㎡，分辨率不小于600×1280。</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支持嵌入式Linux操作系统，采用宽动态≥200万双目摄像头，帧率≥25 帧/s，防护等级≥IP65，通信方式支持有线网络、WiFi。</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支持人脸、刷卡、密码认证方式，支持外接身份证、指纹、蓝牙、二维码功能模块，本地支持≥10000人脸库、≥50000张卡，≥15万条事件记录。</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支持识读模块的扩展功能，形成一体化识别终端，支持Mifare卡识读，支持CPU卡识读，WEB端应支持配置防卡片复制安全机制，功能开启后第三方卡片或复制卡片可屏蔽识读。</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支持根据比对结果，输出开关量信号联动门禁等设备，支持本地非明文存储比对结果、身份信息及抓拍人脸照片。</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支持在管理中心远程视频预览功能，支持与管理平台或客户端中心远程视频对讲，支持与室内机、管理机可视对讲，支持手机APP对讲功能，支持配置一键呼叫管理机或固定室内机的视频对讲功能，支持与广播主机实现广播系统可对讲功能，支持与广播主机呼叫对讲功能，支持中心广播主机向门禁设备广播喊话。</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支持断网续传离线记录非明文数据功能，支持抓拍图片本地存储功能开启/关闭。</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支持设备本地比对结果用户信息脱敏显示功能开启/关闭，即隐藏姓名和工号信息，用户数据及比对记录采用非明文方式导出。</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支持人脸比对平均时间≤120ms （1:1对比方式），最大人脸识别距离≥4m，最小人脸识别距离≤0.2m，支持设备本地人脸注册，远程下发人脸、APP 采集人脸并注册下发。</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支持接入系统平台后应能支持视频联动报警功能，系统应具有应急开启的方法，如设备支持接入消防应急信号联动开门，支持未授权人员刷人脸时，设备应能支持抓拍图片并实时上报平台预警，根据设定事件的联动关系，当检测到该事件发生时，应能触发对应的动作。</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支持在没有用户使用时自动切换到屏保或息屏待机状态，人员靠近自动唤醒待机设备，唤醒距离应能调节，采用软硬件低功耗管理模式，设备待机运行功耗应不超过 6W。</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支持中心下发黑名单信息，具有本地黑名单事件报警功能，报警信息应能上传至平台，支持本地 U 盘升级、在线远程升级功能。</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支持按时间分时段管控门禁权限，支持常开、常闭时段、首卡开门管理，支持反潜回功能。</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支持≥1个LAN、≥1个RS48</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≥1个支持双向的Wiegand、≥1个typeC类型USB接口、≥1个电锁、≥1个门磁、≥2个报警输入、≥1个报警输出、≥1个开门按钮、≥1个SD卡槽、≥1个3.5mm音频输出接口。</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175</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控制器蓄电池</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1.标准电压：12V；2.额定容量：7.0Ah。</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176</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闭门器</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适装门重：60-85KG，适装门宽 ≤ 1100mm闭门力量：EN4，开门角度 ≤ 180°尺寸：长宽高 248x44.5x72mm使用寿命：100万次，适用环境温度范围：-30℃---50℃双段速度可调：锁门速度：0°--15°范围内可调   闭门速度：15°--180°范围内可调建议闭门速度在180°至15°时略快，在15°至0°时放慢，以门扇充分关闭为准。防止关门速度过快导致门扇与门框发生撞击。无90度定位停门的功能。</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177</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灵性锁</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1.双头电机锁附信号输出；2.保持断电前状态；3.锁体130Lx100Wx59.5D(mm)；4.工作电压12VDC+10%范围；5.启动电流350mA(启动瞬间)；6.工作电流25mA(完全上锁)；7.功率0.3W。</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178</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单门磁力锁</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钛合金材质,电压:DC12V,吸力:280KG,单门型，含磁力锁支架。</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179</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双门磁力锁</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钛合金材质,电压:DC12V,吸力:280KG,双门型，含磁力锁支架。</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可视对讲分机</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1.采用监控级200W高清摄像头（宽动态，120度超广角），支持作为安防监控点7*24全天候预览、录像；2.采用智能补光，设备自动判断环境光照实施红外补光 ；3.具有1路电锁信号输出，</w:t>
            </w:r>
            <w:r>
              <w:rPr>
                <w:rFonts w:hint="eastAsia" w:ascii="宋体" w:hAnsi="宋体" w:cs="宋体"/>
                <w:i w:val="0"/>
                <w:iCs w:val="0"/>
                <w:color w:val="auto"/>
                <w:kern w:val="0"/>
                <w:sz w:val="21"/>
                <w:szCs w:val="21"/>
                <w:highlight w:val="none"/>
                <w:u w:val="none"/>
                <w:lang w:val="en-US" w:eastAsia="zh-CN" w:bidi="ar"/>
              </w:rPr>
              <w:t>需</w:t>
            </w:r>
            <w:r>
              <w:rPr>
                <w:rFonts w:hint="eastAsia" w:ascii="宋体" w:hAnsi="宋体" w:eastAsia="宋体" w:cs="宋体"/>
                <w:i w:val="0"/>
                <w:iCs w:val="0"/>
                <w:color w:val="auto"/>
                <w:kern w:val="0"/>
                <w:sz w:val="21"/>
                <w:szCs w:val="21"/>
                <w:highlight w:val="none"/>
                <w:u w:val="none"/>
                <w:lang w:val="en-US" w:eastAsia="zh-CN" w:bidi="ar"/>
              </w:rPr>
              <w:t>外接1路485读卡器可实现门禁控制功能4.支持Web管理，支持参数配置、系统维护、视频预览等功能；5.支持与仓内机、管理机等双向语音对讲；6.支持报警功能，设备自带防拆报警功能，可通过报警输入接口外接报警器7.采用先进的硬件噪声抑制与回声消除技术，保证话音质量清晰明亮；8.具备音频输入、输出功能，可外接麦克风等拾音器设备对讲，也可以外接音箱设备做播放音频信息；9.工程安装便利性（支持中心远程升级、本地Web管理，支持刷机批量配置）</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181</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对讲主机</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对讲管理机面板采用10.1寸IPS全触摸液晶屏设计，双扬声器，立体声播放音效；2.设备采用Andrid系统，200万像素摄像头，可与对讲分机及其他管理机之前双向可视对讲；3.支持音频输入，内置双全指向mic阵列，可支持3m-5m远距离拾音；4.具备模块扩展功能，可扩展鹅颈话筒，可扩展指纹阅读器；5.支持免提或听筒通话两种方式；6.支持多种呼叫配置：呼叫转移、管理机呼叫优先级配置、主从管理机间呼叫、呼叫等待等；7.支持web端配置，可支持参数配置、系统维护、管理设备状态显示等功能；8.具备3路USB接口，可支持鼠标，键盘、U盘拓展；9.设备具备HDMI接口，可支持电脑等显示器投屏拓展；10.设备支持扩展TF卡功能，最大可支持扩展 128GB；11.支持有线接入，并支持标准POE供电，安装更方便；</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182</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半球摄像机</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1.摄像机≥400万像素，分辨率≥2560×1440；2.视频压缩标准 H.265 /H.264/ MJPEG支持电动变焦2.7~12 mm；3.红外照射距离≥30米；4.采用深度学习硬件及算法，提供精准的人车分</w:t>
            </w:r>
            <w:r>
              <w:rPr>
                <w:rFonts w:hint="eastAsia" w:ascii="宋体" w:hAnsi="宋体" w:cs="宋体"/>
                <w:i w:val="0"/>
                <w:iCs w:val="0"/>
                <w:color w:val="auto"/>
                <w:kern w:val="0"/>
                <w:sz w:val="21"/>
                <w:szCs w:val="21"/>
                <w:highlight w:val="none"/>
                <w:u w:val="none"/>
                <w:lang w:val="en-US" w:eastAsia="zh-CN" w:bidi="ar"/>
              </w:rPr>
              <w:t>类</w:t>
            </w:r>
            <w:r>
              <w:rPr>
                <w:rFonts w:hint="eastAsia" w:ascii="宋体" w:hAnsi="宋体" w:eastAsia="宋体" w:cs="宋体"/>
                <w:i w:val="0"/>
                <w:iCs w:val="0"/>
                <w:color w:val="auto"/>
                <w:kern w:val="0"/>
                <w:sz w:val="21"/>
                <w:szCs w:val="21"/>
                <w:highlight w:val="none"/>
                <w:u w:val="none"/>
                <w:lang w:val="en-US" w:eastAsia="zh-CN" w:bidi="ar"/>
              </w:rPr>
              <w:t>侦测，支持越界侦测，区域入侵侦测，进入区域侦测和离开区域侦测，支持声音报警联动；5.支持对运动人脸进行检测，抓拍，评分，筛选，输出最优的人脸抓图；6.内置麦克风≥1个、扬声器≥1个；7.支持POE供电；8.防护等级≥IP66。</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183</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LCD拼接屏</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49英寸LCD液晶显示单元；拼缝：3.5mm分辨率 ：1920 × 1080@60 Hz（向下兼容）；视角：垂直上下178°,水平左右178°(CR≥10)；响应时间：8ms(G to G)；对比度：1200:1；亮度：500cd/㎡；输入接口：VGA × 1, HDMI × 1, DVI × 1, DP × 1, USB × 1输出接口：HDMI × 1控制接口：RS232 IN × 1, RS232 OUT × 1功耗：≤ 160 W；电源要求：100～240 VAC, 50/60 Hz；寿命：≥60000 小时；运行温度和湿度： 0℃～40℃，10%～80% RH（无冷凝水）；</w:t>
            </w:r>
            <w:r>
              <w:rPr>
                <w:rFonts w:hint="eastAsia" w:ascii="Times New Roman" w:hAnsi="Times New Roman" w:eastAsia="宋体" w:cs="Times New Roman"/>
                <w:kern w:val="2"/>
                <w:sz w:val="21"/>
                <w:szCs w:val="24"/>
                <w:highlight w:val="none"/>
                <w:lang w:val="en-US" w:eastAsia="zh-CN" w:bidi="ar-SA"/>
              </w:rPr>
              <w:t>★投标文件中必须提供该产品由国家确定的认证机构出具的处于有效期之内的节能产品认证证书并加盖投标人公章。</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184</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LCD拼接屏支架</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支持大规模拼接，全封闭防尘，前封板后开门支持弧形设计，厚度：600mm弧度：0°开门及封板：前封板后开门，含侧封板、顶盖板底座高度：800mm后拉杆长度：600-900mm材料：SPCC 高强度钢板表面处理：静电喷塑底座高度：可根据需求定制后拉杆长度：不宜超过 3m</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185</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解码器</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支持HDMI、BNC输出口解码输出≥1路；2.支持H.265.H.264.MPEG4.MJPEG等多种编码码流解码，解码性能强劲，支持4K超高清输出；3.支持开窗、窗口漫游、窗口分屏功能；4.支持远程录像文件的解码输出；5.支持直连前端设备解码上墙和通过流媒体转发的方式解码上墙；6.支持ONVIF标准协议接入设备，支持GB28181协议接入设备；7.支持RTP\RTSP协议进行网络源预览；8.支持平台以SDK方式集成设备；9.支持Web方式访问、配置和管理；10.支持远程获取和配置参数，支持远程导出和导入参数；11.支持光电自适应，千兆网口≥2个，千兆光口2个。</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186</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管理终端</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textAlignment w:val="center"/>
              <w:rPr>
                <w:rFonts w:hint="eastAsia" w:ascii="宋体" w:hAnsi="宋体" w:cs="宋体"/>
                <w:kern w:val="0"/>
                <w:szCs w:val="21"/>
                <w:highlight w:val="none"/>
                <w:lang w:bidi="ar"/>
              </w:rPr>
            </w:pPr>
            <w:r>
              <w:rPr>
                <w:rFonts w:hint="eastAsia" w:ascii="宋体" w:hAnsi="宋体" w:cs="宋体"/>
                <w:kern w:val="0"/>
                <w:szCs w:val="21"/>
                <w:highlight w:val="none"/>
                <w:lang w:bidi="ar"/>
              </w:rPr>
              <w:t>1、处理器：配置1颗飞腾腾锐D2000 CPU，8核，主频2.3Ghz</w:t>
            </w:r>
          </w:p>
          <w:p>
            <w:pPr>
              <w:widowControl/>
              <w:ind w:firstLine="0" w:firstLineChars="0"/>
              <w:textAlignment w:val="center"/>
              <w:rPr>
                <w:rFonts w:hint="eastAsia" w:ascii="宋体" w:hAnsi="宋体" w:cs="宋体"/>
                <w:kern w:val="0"/>
                <w:szCs w:val="21"/>
                <w:highlight w:val="none"/>
                <w:lang w:bidi="ar"/>
              </w:rPr>
            </w:pPr>
            <w:r>
              <w:rPr>
                <w:rFonts w:hint="eastAsia" w:ascii="宋体" w:hAnsi="宋体" w:cs="宋体"/>
                <w:kern w:val="0"/>
                <w:szCs w:val="21"/>
                <w:highlight w:val="none"/>
                <w:lang w:bidi="ar"/>
              </w:rPr>
              <w:t>2、内存：配置16GB DDR4内存</w:t>
            </w:r>
          </w:p>
          <w:p>
            <w:pPr>
              <w:widowControl/>
              <w:ind w:firstLine="0" w:firstLineChars="0"/>
              <w:textAlignment w:val="center"/>
              <w:rPr>
                <w:rFonts w:hint="eastAsia" w:ascii="宋体" w:hAnsi="宋体" w:cs="宋体"/>
                <w:kern w:val="0"/>
                <w:szCs w:val="21"/>
                <w:highlight w:val="none"/>
                <w:lang w:bidi="ar"/>
              </w:rPr>
            </w:pPr>
            <w:r>
              <w:rPr>
                <w:rFonts w:hint="eastAsia" w:ascii="宋体" w:hAnsi="宋体" w:cs="宋体"/>
                <w:kern w:val="0"/>
                <w:szCs w:val="21"/>
                <w:highlight w:val="none"/>
                <w:lang w:bidi="ar"/>
              </w:rPr>
              <w:t>3、存储：配置512GB M.2 NVMe SSD+1T HDD</w:t>
            </w:r>
          </w:p>
          <w:p>
            <w:pPr>
              <w:widowControl/>
              <w:ind w:firstLine="0" w:firstLineChars="0"/>
              <w:textAlignment w:val="center"/>
              <w:rPr>
                <w:rFonts w:hint="eastAsia" w:ascii="宋体" w:hAnsi="宋体" w:cs="宋体"/>
                <w:kern w:val="0"/>
                <w:szCs w:val="21"/>
                <w:highlight w:val="none"/>
                <w:lang w:bidi="ar"/>
              </w:rPr>
            </w:pPr>
            <w:r>
              <w:rPr>
                <w:rFonts w:hint="eastAsia" w:ascii="宋体" w:hAnsi="宋体" w:cs="宋体"/>
                <w:kern w:val="0"/>
                <w:szCs w:val="21"/>
                <w:highlight w:val="none"/>
                <w:lang w:bidi="ar"/>
              </w:rPr>
              <w:t>4、显卡：配置2GB独立显卡，支持HDMI、VGA接口</w:t>
            </w:r>
          </w:p>
          <w:p>
            <w:pPr>
              <w:widowControl/>
              <w:ind w:firstLine="0" w:firstLineChars="0"/>
              <w:textAlignment w:val="center"/>
              <w:rPr>
                <w:rFonts w:hint="eastAsia" w:ascii="宋体" w:hAnsi="宋体" w:cs="宋体"/>
                <w:kern w:val="0"/>
                <w:szCs w:val="21"/>
                <w:highlight w:val="none"/>
                <w:lang w:bidi="ar"/>
              </w:rPr>
            </w:pPr>
            <w:r>
              <w:rPr>
                <w:rFonts w:hint="eastAsia" w:ascii="宋体" w:hAnsi="宋体" w:cs="宋体"/>
                <w:kern w:val="0"/>
                <w:szCs w:val="21"/>
                <w:highlight w:val="none"/>
                <w:lang w:bidi="ar"/>
              </w:rPr>
              <w:t>5、网卡：1个RJ45 10M/100M/1000M自适应以太网口</w:t>
            </w:r>
          </w:p>
          <w:p>
            <w:pPr>
              <w:widowControl/>
              <w:ind w:firstLine="0" w:firstLineChars="0"/>
              <w:textAlignment w:val="center"/>
              <w:rPr>
                <w:rFonts w:hint="eastAsia" w:ascii="宋体" w:hAnsi="宋体" w:cs="宋体"/>
                <w:kern w:val="0"/>
                <w:szCs w:val="21"/>
                <w:highlight w:val="none"/>
                <w:lang w:bidi="ar"/>
              </w:rPr>
            </w:pPr>
            <w:r>
              <w:rPr>
                <w:rFonts w:hint="eastAsia" w:ascii="宋体" w:hAnsi="宋体" w:cs="宋体"/>
                <w:kern w:val="0"/>
                <w:szCs w:val="21"/>
                <w:highlight w:val="none"/>
                <w:lang w:bidi="ar"/>
              </w:rPr>
              <w:t>6、显示器：配置与主机同品牌的23.8英寸超窄边框显示屏</w:t>
            </w:r>
          </w:p>
          <w:p>
            <w:pPr>
              <w:widowControl/>
              <w:ind w:firstLine="0" w:firstLineChars="0"/>
              <w:textAlignment w:val="center"/>
              <w:rPr>
                <w:rFonts w:hint="eastAsia" w:ascii="宋体" w:hAnsi="宋体" w:cs="宋体"/>
                <w:kern w:val="0"/>
                <w:szCs w:val="21"/>
                <w:highlight w:val="none"/>
                <w:lang w:bidi="ar"/>
              </w:rPr>
            </w:pPr>
            <w:r>
              <w:rPr>
                <w:rFonts w:hint="eastAsia" w:ascii="宋体" w:hAnsi="宋体" w:cs="宋体"/>
                <w:kern w:val="0"/>
                <w:szCs w:val="21"/>
                <w:highlight w:val="none"/>
                <w:lang w:bidi="ar"/>
              </w:rPr>
              <w:t>7、IO接口：8个 USB 3.1Gen1 接口；2组音频接口；1个HDMI接口；1个VGA接口</w:t>
            </w:r>
          </w:p>
          <w:p>
            <w:pPr>
              <w:widowControl/>
              <w:ind w:firstLine="0" w:firstLineChars="0"/>
              <w:textAlignment w:val="center"/>
              <w:rPr>
                <w:rFonts w:hint="eastAsia" w:ascii="宋体" w:hAnsi="宋体" w:cs="宋体"/>
                <w:kern w:val="0"/>
                <w:szCs w:val="21"/>
                <w:highlight w:val="none"/>
                <w:lang w:bidi="ar"/>
              </w:rPr>
            </w:pPr>
            <w:r>
              <w:rPr>
                <w:rFonts w:hint="eastAsia" w:ascii="宋体" w:hAnsi="宋体" w:cs="宋体"/>
                <w:kern w:val="0"/>
                <w:szCs w:val="21"/>
                <w:highlight w:val="none"/>
                <w:lang w:bidi="ar"/>
              </w:rPr>
              <w:t>8、光驱：配置超薄DVD-RW光驱</w:t>
            </w:r>
          </w:p>
          <w:p>
            <w:pPr>
              <w:widowControl/>
              <w:ind w:firstLine="0" w:firstLineChars="0"/>
              <w:textAlignment w:val="center"/>
              <w:rPr>
                <w:rFonts w:hint="eastAsia" w:ascii="宋体" w:hAnsi="宋体" w:cs="宋体"/>
                <w:kern w:val="0"/>
                <w:szCs w:val="21"/>
                <w:highlight w:val="none"/>
                <w:lang w:bidi="ar"/>
              </w:rPr>
            </w:pPr>
            <w:r>
              <w:rPr>
                <w:rFonts w:hint="eastAsia" w:ascii="宋体" w:hAnsi="宋体" w:cs="宋体"/>
                <w:kern w:val="0"/>
                <w:szCs w:val="21"/>
                <w:highlight w:val="none"/>
                <w:lang w:bidi="ar"/>
              </w:rPr>
              <w:t>9、电源：200W</w:t>
            </w:r>
          </w:p>
          <w:p>
            <w:pPr>
              <w:widowControl/>
              <w:ind w:firstLine="0" w:firstLineChars="0"/>
              <w:textAlignment w:val="center"/>
              <w:rPr>
                <w:rFonts w:hint="eastAsia" w:ascii="宋体" w:hAnsi="宋体" w:cs="宋体"/>
                <w:kern w:val="0"/>
                <w:szCs w:val="21"/>
                <w:highlight w:val="none"/>
                <w:lang w:bidi="ar"/>
              </w:rPr>
            </w:pPr>
            <w:r>
              <w:rPr>
                <w:rFonts w:hint="eastAsia" w:ascii="宋体" w:hAnsi="宋体" w:cs="宋体"/>
                <w:kern w:val="0"/>
                <w:szCs w:val="21"/>
                <w:highlight w:val="none"/>
                <w:lang w:bidi="ar"/>
              </w:rPr>
              <w:t>10、操作系统：银河麒麟桌面操作系统 V10/统信桌面操作系统 V20</w:t>
            </w:r>
          </w:p>
          <w:p>
            <w:pPr>
              <w:widowControl/>
              <w:ind w:firstLine="0" w:firstLineChars="0"/>
              <w:textAlignment w:val="center"/>
              <w:rPr>
                <w:rFonts w:hint="eastAsia" w:ascii="宋体" w:hAnsi="宋体" w:cs="宋体"/>
                <w:kern w:val="0"/>
                <w:szCs w:val="21"/>
                <w:highlight w:val="none"/>
                <w:lang w:bidi="ar"/>
              </w:rPr>
            </w:pPr>
            <w:r>
              <w:rPr>
                <w:rFonts w:hint="eastAsia" w:ascii="宋体" w:hAnsi="宋体" w:cs="宋体"/>
                <w:kern w:val="0"/>
                <w:szCs w:val="21"/>
                <w:highlight w:val="none"/>
                <w:lang w:bidi="ar"/>
              </w:rPr>
              <w:t>11、机箱尺寸：13.5L机箱</w:t>
            </w:r>
          </w:p>
          <w:p>
            <w:pPr>
              <w:widowControl/>
              <w:ind w:firstLine="0" w:firstLineChars="0"/>
              <w:textAlignment w:val="center"/>
              <w:rPr>
                <w:rFonts w:hint="eastAsia" w:ascii="宋体" w:hAnsi="宋体" w:cs="宋体"/>
                <w:kern w:val="0"/>
                <w:szCs w:val="21"/>
                <w:highlight w:val="none"/>
                <w:lang w:bidi="ar"/>
              </w:rPr>
            </w:pPr>
            <w:r>
              <w:rPr>
                <w:rFonts w:hint="eastAsia" w:ascii="宋体" w:hAnsi="宋体" w:cs="宋体"/>
                <w:kern w:val="0"/>
                <w:szCs w:val="21"/>
                <w:highlight w:val="none"/>
                <w:lang w:bidi="ar"/>
              </w:rPr>
              <w:t>12、键鼠：配置与主机同品牌键盘及鼠标</w:t>
            </w:r>
          </w:p>
          <w:p>
            <w:pPr>
              <w:widowControl/>
              <w:ind w:firstLine="0" w:firstLineChars="0"/>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kern w:val="0"/>
                <w:szCs w:val="21"/>
                <w:highlight w:val="none"/>
                <w:lang w:val="en-US" w:eastAsia="zh-CN" w:bidi="ar"/>
              </w:rPr>
              <w:t>13</w:t>
            </w:r>
            <w:r>
              <w:rPr>
                <w:rFonts w:hint="eastAsia" w:ascii="宋体" w:hAnsi="宋体" w:cs="宋体"/>
                <w:kern w:val="0"/>
                <w:szCs w:val="21"/>
                <w:highlight w:val="none"/>
                <w:lang w:bidi="ar"/>
              </w:rPr>
              <w:t>.★投标文件中必须提供该产品由国家确定的认证机构出具的处于有效期之内的节能产品认证证书并加盖投标人公章。</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187</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羁押人员管理系统软件</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用于被告人进入羁押室时、还押出羁押室时的人身份智能核验登记管理、羁押囚室门口使用状态显示、监控室各囚室状态统一管理等功能。</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188</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自助看管登记终端</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用于刑事被告人羁押登记，支持刷脸获取身份信息、囚室选择、测温等功能。</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显示屏：21.5英寸全彩液晶屏（16:9），分辨率1920×1080；</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读卡器：支持身份证，集成RFID识别终端；</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生物识别：指纹识别仪、人脸识别摄像头；</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内置UPS电源，断电后持续工作≥30分钟；</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ascii="宋体" w:hAnsi="宋体" w:eastAsia="宋体" w:cs="宋体"/>
                <w:color w:val="auto"/>
                <w:sz w:val="21"/>
                <w:szCs w:val="21"/>
                <w:highlight w:val="none"/>
              </w:rPr>
              <w:t>主机：CPU≥4核，内存≥8GB,硬盘：1TBHDD。</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189</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电梯摄像机</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1.摄像机≥200万像素，分辨率≥1920×1080；2.视频压缩标准H.265/H.264/ MJPEG；3.红外照射距离≥10米；4.支持场景变更侦测，虚焦侦测，区域入侵侦测，进入区域侦测，离开区域侦测，物品遗留侦测，物品拿取侦测，徘徊侦测，快速移动侦测，音频异常侦测，音频抖升侦测，音频抖降侦测；5.支持POE供电；6.内置麦克风≥1个、扬声器≥1个；7.防护等级≥IP66，</w:t>
            </w:r>
            <w:r>
              <w:rPr>
                <w:rFonts w:hint="eastAsia" w:ascii="宋体" w:hAnsi="宋体" w:cs="宋体"/>
                <w:i w:val="0"/>
                <w:iCs w:val="0"/>
                <w:color w:val="auto"/>
                <w:kern w:val="0"/>
                <w:sz w:val="21"/>
                <w:szCs w:val="21"/>
                <w:highlight w:val="none"/>
                <w:u w:val="none"/>
                <w:lang w:val="en-US" w:eastAsia="zh-CN" w:bidi="ar"/>
              </w:rPr>
              <w:t>防爆</w:t>
            </w:r>
            <w:r>
              <w:rPr>
                <w:rFonts w:hint="eastAsia" w:ascii="宋体" w:hAnsi="宋体" w:eastAsia="宋体" w:cs="宋体"/>
                <w:i w:val="0"/>
                <w:iCs w:val="0"/>
                <w:color w:val="auto"/>
                <w:kern w:val="0"/>
                <w:sz w:val="21"/>
                <w:szCs w:val="21"/>
                <w:highlight w:val="none"/>
                <w:u w:val="none"/>
                <w:lang w:val="en-US" w:eastAsia="zh-CN" w:bidi="ar"/>
              </w:rPr>
              <w:t>等级:IK08。</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190</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电梯网桥</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采用IEEE 802.11ac标准，支持2×2 MIMO技术，空口速率最高866Mbp；最大传输距离100米；支持-30℃~70℃；支持PoE供电（12V 1A）；专抗电梯低频干扰，支持扩展频段。</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191</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24口PoE交换机</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二层千兆web管理POE交换机,包转发率42Mpps,交换容量336Gbps,24个千兆电口,4个千兆光口,VLAN:4K,MAC:8K,1U标准机架款,金属外壳,支持POE+,输出功率370W,挂耳默认自带，| 监控200台 | 带机量400人</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192</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48口交换机</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万兆三层全管理交换机,包转发率148Mpps/222Mpps,交换容量758Gbps/7.58Tbps,48个千兆电口,4个万兆光口,VLAN:4K,MAC:16K,19英寸1U标准机架,金属外壳,风冷散热，挂耳默认自带， | 监控带机量400</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193</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24口交换机</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万兆三层全管理交换机,包转发率148Mpps/222Mpps,交换容量598Gbps/5.98Tbps,24个千兆电口,4个万兆光口,VLAN:4K,MAC:16K,19英寸1U标准机架,金属外壳,风冷散热，挂耳默认自带，| 监控带机量300</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194</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千兆光模块</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1. 接口封装：eSFP；</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2. 速率：GE；</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3. 中心波长（nm）：1310；</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4. 标准：1000BASE-LX10/LH；</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5. 接头类型：LC；</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6. 支持的线缆与对应最大传输距离：单模光纤，10km；</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highlight w:val="none"/>
              </w:rPr>
              <w:t>7. 工作温度：0°C～50°C。</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195</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机柜</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1.19寸24U机柜；宽600，深600，高1200MM，容量24U符合ANSI/EIA RS-310-D、IEC297-2.DIN41494；PART1.DIN41494;PART7.GB/T3047.2-92；兼容ETSI标准。2.单开钢化玻璃前门；单开钣金网孔后门；前后门带接地线前后门免焊加强筋结构；承载:静载500KG(带支架)防护等级:IP203.主要材料:方孔条与安装梁：耐指纹敷铝锌板,镀铝锌板材质方孔条与安装梁,设备安装时自动等电位,无锐边方孔条,在安装维护中不割伤手.其余：SPCC优质冷轧板；厚度：方孔条 1.8mm；安装梁 1.2mm；其余 1.0mm。表面处理:方孔条、安装横梁：镀铝锌板 ；其余：脱脂、硅烷化处理 、静电喷塑。4.机柜安装：19</w:t>
            </w:r>
            <w:r>
              <w:rPr>
                <w:rFonts w:hint="eastAsia" w:ascii="宋体" w:hAnsi="宋体" w:cs="宋体"/>
                <w:i w:val="0"/>
                <w:iCs w:val="0"/>
                <w:color w:val="auto"/>
                <w:kern w:val="0"/>
                <w:sz w:val="21"/>
                <w:szCs w:val="21"/>
                <w:highlight w:val="none"/>
                <w:u w:val="none"/>
                <w:lang w:val="en-US" w:eastAsia="zh-CN" w:bidi="ar"/>
              </w:rPr>
              <w:t>寸</w:t>
            </w:r>
            <w:r>
              <w:rPr>
                <w:rFonts w:hint="eastAsia" w:ascii="宋体" w:hAnsi="宋体" w:eastAsia="宋体" w:cs="宋体"/>
                <w:i w:val="0"/>
                <w:iCs w:val="0"/>
                <w:color w:val="auto"/>
                <w:kern w:val="0"/>
                <w:sz w:val="21"/>
                <w:szCs w:val="21"/>
                <w:highlight w:val="none"/>
                <w:u w:val="none"/>
                <w:lang w:val="en-US" w:eastAsia="zh-CN" w:bidi="ar"/>
              </w:rPr>
              <w:t>安装，方孔条可调节深度，前后共4根。为便于安装。5.机柜配一条环保8位10A过载模块输入输出PDU，功率2500W。6.配件：每柜一块固定层板（每块可承重50KG），每柜配两组散热风扇2个内嵌式</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196</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六类非屏蔽双绞线</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铜芯线径标称直径为0.560mm，负公差为0.005mm；材料为低氧或无氧铜，半松护套</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米</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1741.00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197</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六类非屏蔽跳线</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长度≥2米，触点镀金。</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198</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24口六类非屏蔽配线架</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模块化结构，24口非屏蔽数据配线架。</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199</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六类非屏蔽配线架模块</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执行标准：YD/T926.3、ISO/IEC 11801、TIA/EIA568-C</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·金针:模具冲压形成方形针,50 μ镀金金针;</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·电路板采用FR-4 A1级覆铜板(军用级);</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·系统性能超过TIA/EIA568-C标准对六类的要求;</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·180度IDC打线方式,保证最短的线缆开绞距离;</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·符合UL94V-0的高强度PC材料;</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·支持T568A和T568B两种接线方式;</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·即可安装在模块式配线架上又可以安装于工作区域的面板内;</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·带有压接端子保护盖,安装完网线后,线头不外露;</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·耐压强度DC:1000VIAC:750V/Imin无击穿和飞弧现象;</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·插拔次数&gt;2000次;</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·端接次数&gt;750次;</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·IDC端子:磷青铜,适用22~26AWG线规单股及多股线缆;</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·带宽达到250MHz,符合最新标准;</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·支持110或Krone工具进行端接。</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理线器</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1U24口理线器，全塑胶ABS料,表面采用粉末涂层；封闭式管理跳线，可上下开启。</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201</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12口光纤配线架</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模块化结构，自带光缆熔接盘、尾纤、适配板、LC双工耦合器等</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电源线RVV4*1.0</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符合标准：GB/T5023.5-2008</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电压：300V/500V</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导体：多股铜导体</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绝缘：PVC</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护套：PVC</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测试电压：2000V，5min</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绝缘电阻：&gt;200M欧姆×KM</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使用温度（固定安装）：-30~ +70℃</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弯曲半径：15×电缆外径</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米</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203</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信号线RVV2*1.0</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符合标准：GB/T5023.5-2008</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电压：300V/500V</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导体：多股铜导体</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绝缘：PVC</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护套：PVC</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测试电压：2000V，5min</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绝缘电阻：&gt;200M欧姆×KM</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使用温度（固定安装）：-30~ +70℃</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弯曲半径：15×电缆外径</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米</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204</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JDG镀锌钢管直径25MM</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JDG镀锌穿线管直径25*1.0，含弯头、直通、过线盒等。</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米</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205</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金属软管直径25MM</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包塑金属软管直径25MM,PVC环保材料+镀锌钢带。</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米</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16" w:type="dxa"/>
            <w:gridSpan w:val="6"/>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门禁管理系统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206</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人脸门禁一体机</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rPr>
              <w:t>采用约7英寸触摸显示屏，屏幕比例9:16，屏幕流明度≥600cd/㎡，分辨率不小于600×1280。</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支持嵌入式Linux操作系统，采用宽动态≥200万双目摄像头，帧率≥25 帧/s，防护等级≥IP65，通信方式支持有线网络、WiFi。</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支持人脸、刷卡、密码认证方式，支持外接身份证、指纹、蓝牙、二维码功能模块，本地支持≥10000人脸库、≥50000张卡，≥15万条事件记录。</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支持识读模块的扩展功能，形成一体化识别终端，支持Mifare卡识读，支持CPU卡识读，WEB端应支持配置防卡片复制安全机制，功能开启后第三方卡片或复制卡片可屏蔽识读。</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支持根据比对结果，输出开关量信号联动门禁等设备，支持本地非明文存储比对结果、身份信息及抓拍人脸照片。</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支持在管理中心远程视频预览功能，支持与管理平台或客户端中心远程视频对讲，支持与室内机、管理机可视对讲，支持手机APP对讲功能，支持配置一键呼叫管理机或固定室内机的视频对讲功能，支持与广播主机实现广播系统可对讲功能，支持与广播主机呼叫对讲功能，支持中心广播主机向门禁设备广播喊话。</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支持断网续传离线记录非明文数据功能，支持抓拍图片本地存储功能开启/关闭。</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支持设备本地比对结果用户信息脱敏显示功能开启/关闭，即隐藏姓名和工号信息，用户数据及比对记录采用非明文方式导出。</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支持人脸比对平均时间≤120ms （1:1对比方式），最大人脸识别距离≥4m，最小人脸识别距离≤0.2m，支持设备本地人脸注册，远程下发人脸、APP 采集人脸并注册下发。</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支持接入系统平台后应能支持视频联动报警功能，系统应具有应急开启的方法，如设备支持接入消防应急信号联动开门，支持未授权人员刷人脸时，设备应能支持抓拍图片并实时上报平台预警，根据设定事件的联动关系，当检测到该事件发生时，应能触发对应的动作。</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支持在没有用户使用时自动切换到屏保或息屏待机状态，人员靠近自动唤醒待机设备，唤醒距离应能调节，采用软硬件低功耗管理模式，设备待机运行功耗应不超过 6W。</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支持中心下发黑名单信息，具有本地黑名单事件报警功能，报警信息应能上传至平台，支持本地 U 盘升级、在线远程升级功能。</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支持按时间分时段管控门禁权限，支持常开、常闭时段、首卡开门管理，支持反潜回功能。</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支持≥1个LAN、≥1个RS48</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≥1个支持双向的Wiegand、≥1个typeC类型USB接口、≥1个电锁、≥1个门磁、≥2个报警输入、≥1个报警输出、≥1个开门按钮、≥1个SD卡槽、≥1个3.5mm音频输出接口。</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207</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门锁</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钛合金材质,电压:DC12V,吸力:280KG,双门型，含磁力锁支架。</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208</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门锁电源</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1.输入电压：100-240VAC；2.输出电压：12VDC；3.输出电流：≥5A。</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209</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蓄电池</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12V5A蓄电池</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IC卡</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IC卡门禁卡</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211</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出门按钮</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86型出门开关按钮</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212</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六类非屏蔽双绞线</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铜芯线径标称直径为0.560mm，负公差为0.005mm；材料为低氧或无氧铜，半松护套</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米</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3097.50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213</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电源线RVV4*1.0</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符合标准：GB/T5023.5-2008</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电压：300V/500V</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导体：多股铜导体</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绝缘：PVC</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护套：PVC</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测试电压：2000V，5min</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绝缘电阻：&gt;200M欧姆×KM</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使用温度（固定安装）：-30~ +70℃</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弯曲半径：15×电缆外径</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米</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3097.50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214</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信号线RVV2*1.0</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符合标准：GB/T5023.5-2008</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电压：300V/500V</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导体：多股铜导体</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绝缘：PVC</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护套：PVC</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测试电压：2000V，5min</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绝缘电阻：&gt;200M欧姆×KM</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使用温度（固定安装）：-30~ +70℃</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弯曲半径：15×电缆外径</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米</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215</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PVC阻燃冷弯管径25MM</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PVC阻燃冷弯直径25MM壁厚2mm，含弯头、直通。</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米</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216</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金属软管径25MM</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包塑金属软管直径25MM,PVC环保材料+镀锌钢带。</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米</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16" w:type="dxa"/>
            <w:gridSpan w:val="6"/>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诉讼服务中心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217</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窗口显示屏</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bookmarkStart w:id="74" w:name="OLE_LINK6"/>
            <w:r>
              <w:rPr>
                <w:rFonts w:hint="eastAsia" w:ascii="宋体" w:hAnsi="宋体" w:eastAsia="宋体" w:cs="宋体"/>
                <w:color w:val="auto"/>
                <w:sz w:val="21"/>
                <w:szCs w:val="21"/>
                <w:highlight w:val="none"/>
              </w:rPr>
              <w:t>可嵌入式≤19寸商显一体机；</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液晶尺寸：18.5寸</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分辨率：1920x1080</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安卓智能主板：≥四核处理器/1GDDR内存/8GFLASH/2个USB2.0端口/集成以太网卡/支持无线WIFI/支持立体声音频输出；</w:t>
            </w:r>
          </w:p>
          <w:bookmarkEnd w:id="74"/>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用于排队显示或者宣传信息；</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rPr>
              <w:t>安装方式：支持横、竖挂墙或吊装及可嵌入式安装；</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内嵌播放端系统软件</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8.</w:t>
            </w:r>
            <w:r>
              <w:rPr>
                <w:rFonts w:hint="eastAsia" w:ascii="宋体" w:hAnsi="宋体" w:eastAsia="宋体" w:cs="宋体"/>
                <w:color w:val="auto"/>
                <w:sz w:val="21"/>
                <w:szCs w:val="21"/>
                <w:highlight w:val="none"/>
              </w:rPr>
              <w:t>内嵌播放端系统,解决设备安全，防止病毒攻击、防止内容非法下载、防止网络盗链。</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eastAsia="zh-CN"/>
              </w:rPr>
              <w:t>9.</w:t>
            </w:r>
            <w:r>
              <w:rPr>
                <w:rFonts w:hint="eastAsia" w:ascii="宋体" w:hAnsi="宋体" w:eastAsia="宋体" w:cs="宋体"/>
                <w:color w:val="auto"/>
                <w:sz w:val="21"/>
                <w:szCs w:val="21"/>
                <w:highlight w:val="none"/>
              </w:rPr>
              <w:t>含安装支架</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218</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综合显示屏</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1.显示屏≥55英寸；2.分辨率1920X1080，对比度1000:1，颜色16.7M，亮度300cd/m2，响应时间6ms，双声道立体电子音效，嵌入式四核,内存1G,存储8G。</w:t>
            </w:r>
            <w:r>
              <w:rPr>
                <w:rFonts w:hint="eastAsia" w:ascii="宋体" w:hAnsi="宋体" w:cs="宋体"/>
                <w:i w:val="0"/>
                <w:iCs w:val="0"/>
                <w:color w:val="auto"/>
                <w:kern w:val="0"/>
                <w:sz w:val="21"/>
                <w:szCs w:val="21"/>
                <w:highlight w:val="none"/>
                <w:u w:val="none"/>
                <w:lang w:val="en-US" w:eastAsia="zh-CN" w:bidi="ar"/>
              </w:rPr>
              <w:t>3.</w:t>
            </w:r>
            <w:r>
              <w:rPr>
                <w:rFonts w:hint="eastAsia" w:ascii="Times New Roman" w:hAnsi="Times New Roman" w:eastAsia="宋体" w:cs="Times New Roman"/>
                <w:kern w:val="2"/>
                <w:sz w:val="21"/>
                <w:szCs w:val="24"/>
                <w:highlight w:val="none"/>
                <w:lang w:val="en-US" w:eastAsia="zh-CN" w:bidi="ar-SA"/>
              </w:rPr>
              <w:t>★投标文件中必须提供该产品由国家确定的认证机构出具的处于有效期之内的节能产品认证证书并加盖投标人公章。</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219</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多媒体信息发布软件</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通过部署在室外大屏、立案厅、信访大厅、候审室、电梯口、法庭门口等显示屏向公众提供当前法庭的预定开庭信息、庭审状态信息，正确引导当事人及时准时参与庭审活动；2.支持终端显示背景更换；3.可针对重大事件、临时突发事件的信息公告发布需求，且不影响宣传片以及案件信息使用；4.系统同步实时显示审判或庭审产品中的开庭信息和开庭状态，支持显示下一案件的开庭信息；5.公开审理案件的法庭外的屏幕可以直播厅内情况，可以将此法庭的庭审情景转播其他屏幕；6.可支持全彩同步屏、双基色LED屏公告发布；7.管理员可在机房对法庭门口的显示屏和PC进行远程控制，支持对单个法庭、楼层开关机、全部开关机及自动开关机；8.系统支持JPG，TGA，PNG，WMV，MP4.flash、flv、PPT等格式的公告信息发布。</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管理终端</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textAlignment w:val="center"/>
              <w:rPr>
                <w:rFonts w:hint="eastAsia" w:ascii="宋体" w:hAnsi="宋体" w:cs="宋体"/>
                <w:kern w:val="0"/>
                <w:szCs w:val="21"/>
                <w:highlight w:val="none"/>
                <w:lang w:bidi="ar"/>
              </w:rPr>
            </w:pPr>
            <w:r>
              <w:rPr>
                <w:rFonts w:hint="eastAsia" w:ascii="宋体" w:hAnsi="宋体" w:cs="宋体"/>
                <w:kern w:val="0"/>
                <w:szCs w:val="21"/>
                <w:highlight w:val="none"/>
                <w:lang w:bidi="ar"/>
              </w:rPr>
              <w:t>1、处理器：配置1颗飞腾腾锐D2000 CPU，8核，主频2.3Ghz</w:t>
            </w:r>
          </w:p>
          <w:p>
            <w:pPr>
              <w:widowControl/>
              <w:ind w:firstLine="0" w:firstLineChars="0"/>
              <w:textAlignment w:val="center"/>
              <w:rPr>
                <w:rFonts w:hint="eastAsia" w:ascii="宋体" w:hAnsi="宋体" w:cs="宋体"/>
                <w:kern w:val="0"/>
                <w:szCs w:val="21"/>
                <w:highlight w:val="none"/>
                <w:lang w:bidi="ar"/>
              </w:rPr>
            </w:pPr>
            <w:r>
              <w:rPr>
                <w:rFonts w:hint="eastAsia" w:ascii="宋体" w:hAnsi="宋体" w:cs="宋体"/>
                <w:kern w:val="0"/>
                <w:szCs w:val="21"/>
                <w:highlight w:val="none"/>
                <w:lang w:bidi="ar"/>
              </w:rPr>
              <w:t>2、内存：配置16GB DDR4内存</w:t>
            </w:r>
          </w:p>
          <w:p>
            <w:pPr>
              <w:widowControl/>
              <w:ind w:firstLine="0" w:firstLineChars="0"/>
              <w:textAlignment w:val="center"/>
              <w:rPr>
                <w:rFonts w:hint="eastAsia" w:ascii="宋体" w:hAnsi="宋体" w:cs="宋体"/>
                <w:kern w:val="0"/>
                <w:szCs w:val="21"/>
                <w:highlight w:val="none"/>
                <w:lang w:bidi="ar"/>
              </w:rPr>
            </w:pPr>
            <w:r>
              <w:rPr>
                <w:rFonts w:hint="eastAsia" w:ascii="宋体" w:hAnsi="宋体" w:cs="宋体"/>
                <w:kern w:val="0"/>
                <w:szCs w:val="21"/>
                <w:highlight w:val="none"/>
                <w:lang w:bidi="ar"/>
              </w:rPr>
              <w:t>3、存储：配置512GB M.2 NVMe SSD+1T HDD</w:t>
            </w:r>
          </w:p>
          <w:p>
            <w:pPr>
              <w:widowControl/>
              <w:ind w:firstLine="0" w:firstLineChars="0"/>
              <w:textAlignment w:val="center"/>
              <w:rPr>
                <w:rFonts w:hint="eastAsia" w:ascii="宋体" w:hAnsi="宋体" w:cs="宋体"/>
                <w:kern w:val="0"/>
                <w:szCs w:val="21"/>
                <w:highlight w:val="none"/>
                <w:lang w:bidi="ar"/>
              </w:rPr>
            </w:pPr>
            <w:r>
              <w:rPr>
                <w:rFonts w:hint="eastAsia" w:ascii="宋体" w:hAnsi="宋体" w:cs="宋体"/>
                <w:kern w:val="0"/>
                <w:szCs w:val="21"/>
                <w:highlight w:val="none"/>
                <w:lang w:bidi="ar"/>
              </w:rPr>
              <w:t>4、显卡：配置2GB独立显卡，支持HDMI、VGA接口</w:t>
            </w:r>
          </w:p>
          <w:p>
            <w:pPr>
              <w:widowControl/>
              <w:ind w:firstLine="0" w:firstLineChars="0"/>
              <w:textAlignment w:val="center"/>
              <w:rPr>
                <w:rFonts w:hint="eastAsia" w:ascii="宋体" w:hAnsi="宋体" w:cs="宋体"/>
                <w:kern w:val="0"/>
                <w:szCs w:val="21"/>
                <w:highlight w:val="none"/>
                <w:lang w:bidi="ar"/>
              </w:rPr>
            </w:pPr>
            <w:r>
              <w:rPr>
                <w:rFonts w:hint="eastAsia" w:ascii="宋体" w:hAnsi="宋体" w:cs="宋体"/>
                <w:kern w:val="0"/>
                <w:szCs w:val="21"/>
                <w:highlight w:val="none"/>
                <w:lang w:bidi="ar"/>
              </w:rPr>
              <w:t>5、网卡：1个RJ45 10M/100M/1000M自适应以太网口</w:t>
            </w:r>
          </w:p>
          <w:p>
            <w:pPr>
              <w:widowControl/>
              <w:ind w:firstLine="0" w:firstLineChars="0"/>
              <w:textAlignment w:val="center"/>
              <w:rPr>
                <w:rFonts w:hint="eastAsia" w:ascii="宋体" w:hAnsi="宋体" w:cs="宋体"/>
                <w:kern w:val="0"/>
                <w:szCs w:val="21"/>
                <w:highlight w:val="none"/>
                <w:lang w:bidi="ar"/>
              </w:rPr>
            </w:pPr>
            <w:r>
              <w:rPr>
                <w:rFonts w:hint="eastAsia" w:ascii="宋体" w:hAnsi="宋体" w:cs="宋体"/>
                <w:kern w:val="0"/>
                <w:szCs w:val="21"/>
                <w:highlight w:val="none"/>
                <w:lang w:bidi="ar"/>
              </w:rPr>
              <w:t>6、显示器：配置与主机同品牌的23.8英寸超窄边框显示屏</w:t>
            </w:r>
          </w:p>
          <w:p>
            <w:pPr>
              <w:widowControl/>
              <w:ind w:firstLine="0" w:firstLineChars="0"/>
              <w:textAlignment w:val="center"/>
              <w:rPr>
                <w:rFonts w:hint="eastAsia" w:ascii="宋体" w:hAnsi="宋体" w:cs="宋体"/>
                <w:kern w:val="0"/>
                <w:szCs w:val="21"/>
                <w:highlight w:val="none"/>
                <w:lang w:bidi="ar"/>
              </w:rPr>
            </w:pPr>
            <w:r>
              <w:rPr>
                <w:rFonts w:hint="eastAsia" w:ascii="宋体" w:hAnsi="宋体" w:cs="宋体"/>
                <w:kern w:val="0"/>
                <w:szCs w:val="21"/>
                <w:highlight w:val="none"/>
                <w:lang w:bidi="ar"/>
              </w:rPr>
              <w:t>7、IO接口：8个 USB 3.1Gen1 接口；2组音频接口；1个HDMI接口；1个VGA接口</w:t>
            </w:r>
          </w:p>
          <w:p>
            <w:pPr>
              <w:widowControl/>
              <w:ind w:firstLine="0" w:firstLineChars="0"/>
              <w:textAlignment w:val="center"/>
              <w:rPr>
                <w:rFonts w:hint="eastAsia" w:ascii="宋体" w:hAnsi="宋体" w:cs="宋体"/>
                <w:kern w:val="0"/>
                <w:szCs w:val="21"/>
                <w:highlight w:val="none"/>
                <w:lang w:bidi="ar"/>
              </w:rPr>
            </w:pPr>
            <w:r>
              <w:rPr>
                <w:rFonts w:hint="eastAsia" w:ascii="宋体" w:hAnsi="宋体" w:cs="宋体"/>
                <w:kern w:val="0"/>
                <w:szCs w:val="21"/>
                <w:highlight w:val="none"/>
                <w:lang w:bidi="ar"/>
              </w:rPr>
              <w:t>8、光驱：配置超薄DVD-RW光驱</w:t>
            </w:r>
          </w:p>
          <w:p>
            <w:pPr>
              <w:widowControl/>
              <w:ind w:firstLine="0" w:firstLineChars="0"/>
              <w:textAlignment w:val="center"/>
              <w:rPr>
                <w:rFonts w:hint="eastAsia" w:ascii="宋体" w:hAnsi="宋体" w:cs="宋体"/>
                <w:kern w:val="0"/>
                <w:szCs w:val="21"/>
                <w:highlight w:val="none"/>
                <w:lang w:bidi="ar"/>
              </w:rPr>
            </w:pPr>
            <w:r>
              <w:rPr>
                <w:rFonts w:hint="eastAsia" w:ascii="宋体" w:hAnsi="宋体" w:cs="宋体"/>
                <w:kern w:val="0"/>
                <w:szCs w:val="21"/>
                <w:highlight w:val="none"/>
                <w:lang w:bidi="ar"/>
              </w:rPr>
              <w:t>9、电源：200W</w:t>
            </w:r>
          </w:p>
          <w:p>
            <w:pPr>
              <w:widowControl/>
              <w:ind w:firstLine="0" w:firstLineChars="0"/>
              <w:textAlignment w:val="center"/>
              <w:rPr>
                <w:rFonts w:hint="eastAsia" w:ascii="宋体" w:hAnsi="宋体" w:cs="宋体"/>
                <w:kern w:val="0"/>
                <w:szCs w:val="21"/>
                <w:highlight w:val="none"/>
                <w:lang w:bidi="ar"/>
              </w:rPr>
            </w:pPr>
            <w:r>
              <w:rPr>
                <w:rFonts w:hint="eastAsia" w:ascii="宋体" w:hAnsi="宋体" w:cs="宋体"/>
                <w:kern w:val="0"/>
                <w:szCs w:val="21"/>
                <w:highlight w:val="none"/>
                <w:lang w:bidi="ar"/>
              </w:rPr>
              <w:t>10、操作系统：银河麒麟桌面操作系统 V10/统信桌面操作系统 V20</w:t>
            </w:r>
          </w:p>
          <w:p>
            <w:pPr>
              <w:widowControl/>
              <w:ind w:firstLine="0" w:firstLineChars="0"/>
              <w:textAlignment w:val="center"/>
              <w:rPr>
                <w:rFonts w:hint="eastAsia" w:ascii="宋体" w:hAnsi="宋体" w:cs="宋体"/>
                <w:kern w:val="0"/>
                <w:szCs w:val="21"/>
                <w:highlight w:val="none"/>
                <w:lang w:bidi="ar"/>
              </w:rPr>
            </w:pPr>
            <w:r>
              <w:rPr>
                <w:rFonts w:hint="eastAsia" w:ascii="宋体" w:hAnsi="宋体" w:cs="宋体"/>
                <w:kern w:val="0"/>
                <w:szCs w:val="21"/>
                <w:highlight w:val="none"/>
                <w:lang w:bidi="ar"/>
              </w:rPr>
              <w:t>11、机箱尺寸：13.5L机箱</w:t>
            </w:r>
          </w:p>
          <w:p>
            <w:pPr>
              <w:widowControl/>
              <w:ind w:firstLine="0" w:firstLineChars="0"/>
              <w:textAlignment w:val="center"/>
              <w:rPr>
                <w:rFonts w:hint="eastAsia" w:ascii="宋体" w:hAnsi="宋体" w:cs="宋体"/>
                <w:kern w:val="0"/>
                <w:szCs w:val="21"/>
                <w:highlight w:val="none"/>
                <w:lang w:bidi="ar"/>
              </w:rPr>
            </w:pPr>
            <w:r>
              <w:rPr>
                <w:rFonts w:hint="eastAsia" w:ascii="宋体" w:hAnsi="宋体" w:cs="宋体"/>
                <w:kern w:val="0"/>
                <w:szCs w:val="21"/>
                <w:highlight w:val="none"/>
                <w:lang w:bidi="ar"/>
              </w:rPr>
              <w:t>12、键鼠：配置与主机同品牌键盘及鼠标</w:t>
            </w:r>
          </w:p>
          <w:p>
            <w:pPr>
              <w:widowControl/>
              <w:ind w:firstLine="0" w:firstLineChars="0"/>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kern w:val="0"/>
                <w:szCs w:val="21"/>
                <w:highlight w:val="none"/>
                <w:lang w:val="en-US" w:eastAsia="zh-CN" w:bidi="ar"/>
              </w:rPr>
              <w:t>13</w:t>
            </w:r>
            <w:r>
              <w:rPr>
                <w:rFonts w:hint="eastAsia" w:ascii="宋体" w:hAnsi="宋体" w:cs="宋体"/>
                <w:kern w:val="0"/>
                <w:szCs w:val="21"/>
                <w:highlight w:val="none"/>
                <w:lang w:bidi="ar"/>
              </w:rPr>
              <w:t>.★投标文件中必须提供该产品由国家确定的认证机构出具的处于有效期之内的节能产品认证证书并加盖投标人公章。</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221</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六类非屏蔽双绞线</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铜芯线径标称直径为0.560mm，负公差为0.005mm；材料为低氧或无氧铜，半松护套</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米</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222</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电源线RVV3*2.5mm</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符合标准：GB/T5023.5-2008</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电压：300V/500V</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导体：多股铜导体</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绝缘：PVC</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护套：PVC</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测试电压：2000V，5min</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绝缘电阻：&gt;200M欧姆×KM</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使用温度（固定安装）：-30~ +70℃</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弯曲半径：15×电缆外径</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米</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223</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PVC阻燃冷弯管径25MM</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PVC阻燃冷弯直径25MM壁厚2mm，含弯头、直通。</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米</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224</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金属软管径25MM</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包塑金属软管直径25MM,PVC环保材料+镀锌钢带。</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米</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16" w:type="dxa"/>
            <w:gridSpan w:val="6"/>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公共广播系统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225</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网络广播中心</w:t>
            </w:r>
          </w:p>
        </w:tc>
        <w:tc>
          <w:tcPr>
            <w:tcW w:w="5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1.采用不小于15英寸LED液晶显示屏设计，具有简单易用的触摸屏操控，内置抽拉式键盘，操作方便；</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2.支持≥4路声卡，具有DVI高清数字接口和HDMI高清输出接口；</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3.内置EZ系统调整模式,可对控制主机内嵌核心部件进行温度检测；</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4.具有ESD静电防护功能，采用主动式保护电路设计配置，可以强化主板每个接口的静电防护能力，并延长组件的使用寿命。</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6.内置电源监视模块，可对服务器内核心输出电源的电压情况进行监视。</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7.采用工业级专用主板设计，自带开关机设置功能，可以用于定时驱动开机运行，实现无人值守；</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8.支持多种APM电源管理模式，支持多种模式唤醒：如铃声唤醒.远程网络唤醒.预约RTC唤醒等模式，实现多种使用环境下不同的操作。</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9.采用高速处理器，内置大容量SSD固态硬盘，内置4G内存，可扩展64G内存；</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10.内置不劣于7.1声道高品质RealtekALC887声卡，具有高保真的线路音频，可以实现高品质的音频传输；</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11.采用嵌入式内置光驱设计，支持CD-ROM、DVD-ROM等光驱类型，具有刻录功能；</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12.工业级工控机机箱设计，钢结构机箱，具有较高的防磁、防尘、防冲击的能力；</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13.具有不少于1路RJ45网络接口、1路PS/2接口、1路RS232通信串口、2路DVI视频接口、1路HDMI视频接口、1路VGA视频接口、4路USB2.0/3.0接口和3路3.5mm/RCA音频接口。</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226</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网络广播主机软件</w:t>
            </w:r>
          </w:p>
        </w:tc>
        <w:tc>
          <w:tcPr>
            <w:tcW w:w="5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1.支持多操作系统，包括Windows、CentOS、华为欧拉、国产麒麟操作系统，兼容性与安全性更高；</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2.可对频繁使用的任务进行收藏，首页可快捷点播已收藏的任务；</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3.支持多套定时方案，方案内可编制任意数量的定时广播任务，支持一键禁用/启用方案或任务，实现全自动无人值守铃声播报，满足各时间段多场景播报需求；</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4.根据预设任务定时、定点自动播出音频、文本或采播广播，支持批量创建多时段任务并附加说明，创建时可查看终端在线状态，一键启用/禁用；</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5.可对任意单点、分组或全区执行实时音频/文本/采播广播任务，一键寻呼喊话任务，高同步性和实时性；</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6.具有今日广播任务概览，可通过环形图直观显示定时文本、定时音频、定时采集、实时文本、实时音频、实时采集等任务数的占比，帮助用户直观了解任务执行情况；</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7.具有任务批量编辑，支持批量修改播放时间、周期、音量模式，并增减任务关联的设备与音频文件，提高管理效率；</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8.具有定时方案复制功能，提供一键式操作，轻松复制定时广播方案，满足用户在不同时间段、不同场景下多方案并行运行的配置需求，提升管理效率；</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9.定时广播支持音频/文本/采播任务的定点定时执行，提供任务批量编排、终端状态实时监测、一键启停及播放日志追溯功能；</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10.实时广播可对任意单点、分组或全区执行实时音频/文本/采播广播任务，一键寻呼喊话任务，高同步性和实时性；</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11.短路联动广播支持全区、分区消防联动，短路输入输出端口联动自由配置，自动化安全机制</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12.考试广播支持基于考场信息自动创建专属定时任务，考试期间自动接管考场终端设备，强制锁定考试任务优先级，阻断非考务广播干扰，确保广播指令零干扰执行；</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13.支持听力备份配置，主备链路智能切换（网络/IP/模拟信号），平台端实时监控终端备份状态，支持备份策略定时器与手动强切模式；</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14.任务音量支持使用终端设备本机音量进行广播，实现同个任务下局部设备音量差异化调节，以满足多样化场景需求；</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15.平台全面覆盖中文、英文，并具备控制带屏终端设备中英文界面无缝切换的能力；</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16.具有全周期任务视图，日历/列表双视图展示定时任务，支持历史数据回溯与未来任务预演；</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17.支持调休管理，自动置换休息日与补班日广播策略，配置变更实时同步全网设备，规避人工逐条修改风险；</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18.支持节假日管理，预设节假日自动冻结当日定时任务，配置变更实时生效无需人工干预；</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19.播音室采用规范化的3*7模块化布局架构，高效集成设备配置、广播内容编辑与即时播放功能，并配备便捷的广播点播系统；</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20.系统内置先进的TTS语音引擎，支持将文本自动转换为语音进行广播，提供文本任务试听与下载功能，可以验证文字发音准确性，提升信息传达的准确性和效果；</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21.具有任务试听功能，用户可在任务播放前，对已保存的任务进行广播音频效果测试预览，确保播放内容准确无误；</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具有设备巡检功能，支持立即巡检和定时巡检，可对终端设备的功放过流、功放过热、过压保护、低压检测、线路开路、线路短路、网络状态进行检测，并可通过平台查看检测结果，定时巡检可设置一次性和周期性巡检周期以及巡检时间，实现自动巡检，巡检时不影响广播正常播放；</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23.提供一键式备份操作，支持远程下载备份文件、一键还原功能，有效协助用户应对各种数据丢失场景，轻松实现现有数据的全面保存；</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24.通过灵活配置两台广播管理服务器，实现无缝对接与协同工作的服务器热备份方案，当主服务器发生故障时，备服务器可以在1分钟内接管工作，保证广播服务不中断；</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25.支持音源优先级设置，可对紧急求助、报警呼叫、监听、对讲、寻呼、文字广播、定时任务、实时采播、实时文件播放、定时采播、定时打铃等优先级进行自由排序并进行保存；</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26.支持电源预启动设置，具有10/15/20/30/40/50/60秒的预启动时间可选择，可以有效减少能源损耗并降低设备损坏的风险；</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27.支持自动采集功能，搭配音频采集终端，可根据音源的输入情况，自动触发或关闭采集任务，实现资源的智能管理；</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28.系统内置大容量媒体库，可存储数千小时以上的音乐或语音节目，支持为所有音频终端提供精准的定时播放和灵活的实时点播服务，用户可随时下载媒体库中的内容，且媒体库全面兼容mp</w:t>
            </w: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wav、wma、flac、ogg、ape、aac等多种主流音频格式；</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支持网络音箱优先级设置，具有网路优先、话筒优先、音源优先、音源和话筒优先、话筒和网络优先、网络和音源优先等音源优先级选择，实现自由调节网络、线路和话筒各端口的优先级顺序，确保关键信息优先传达；</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30.可配置终端设备自动化采集任务，根据音源输入自动触发或停止采集，提高采集效率和准确性；</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系统可自建多种角色，可按需自定义角色的操作权限，如播音室、设备管理、实时播放、定时广播、报警任务、媒体库、系统管理等菜单权限以及管理组织权限，提供不同的操作界面，实现人性化管理不同用户需求；</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32.支持对实时任务进行播放控制和查看，可调节0-100级音量大小、上一首、下一首及点击音频可进行歌曲切换，播放或停止任务；</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33.话筒配置支持一键报警操作，通过配置话筒报警任务，可对任务进行添加、编辑和删除，任务音量、播放模式、音源类型和音频文件可自由选择；</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34.具有登录日志管理功能，记录用户登录的记录，可根据登录地址、登录名称、登录状态、登录时间等信息进行日志的搜索，也可进行删除、清空、解锁、导出等操作。</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227</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播放器</w:t>
            </w:r>
          </w:p>
        </w:tc>
        <w:tc>
          <w:tcPr>
            <w:tcW w:w="5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1.吸入式机芯，防尘效果更好，使用寿命更长；</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2.多种播放模式，如单曲一次.单曲循环.全部循环等；</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3.可播放：DVD、CD、MP</w:t>
            </w: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VCD、HDCD、WMA等格式碟片；</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4.支持外接U盘，具有切换光盘/U盘模式播放按钮。</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5.支持不少于1路音频信号左右声道输出、1路音频单声道输出和1路数字同轴输出；</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228</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调谐器</w:t>
            </w:r>
          </w:p>
        </w:tc>
        <w:tc>
          <w:tcPr>
            <w:tcW w:w="5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1.支持自动搜台、手动调台、预设电台，可存储≥32个电台；</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2.支持断电记忆播放或受控播放；</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3.支持RS485总线远程控制接口，带外置增益天线；</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4.支持RS485多机级联，可扩展≥ 6台设备；</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5.≥2路音频信号左右声道（L /R）输出；</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6.内置监听功能，可实时监听当前播放状态；</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7.带静音按键，可使系统将进入静音状态。</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229</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调音台</w:t>
            </w:r>
          </w:p>
        </w:tc>
        <w:tc>
          <w:tcPr>
            <w:tcW w:w="5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1.不少于8路话筒、2组立体声输入、1组辅助返回输入、1组录音输入；</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2.不少于1组主输出、2个辅助输出、2个编组输出、1组录音输出、1个耳机监听输出；</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3.单声道输入具有48V幻象供电和100Hz低切功能，话筒输入支持高中低三段均衡调节；</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4.内置蓝牙模块，支持蓝牙输入音频实现无线播放音乐；</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5.支持连接电脑，通过声卡输入输出音频到电脑；</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6.具有USB播放和U盘录音功能，歌曲播放时液晶显示屏可以显示歌曲名字和歌词，支持循环模式选择；</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7.内置效果器，效果器延时时间和重复比例连续可调，效果可以加入主输入，也可以加入辅助AUX输出。</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230</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网络化室内音箱</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1.一体化壁挂式设计，集成≥2×20W数字功放、网络解码和音箱，支持外扩≥20W/8Ω无源定阻音箱；</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2.支持AUX本地音频输入和本地话筒输入；</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3.采用静态IP地址设计，当网络发生改变时地址不会丢失，可以保障工作稳定运行；</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4.支持IP网络传输音频文件，可以本地解码CD级音质和播放高音质发烧级别的音频文件；</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5.支持文字广播，可直接将文字转换为音频文件，并通过平台实现对终端的播放；</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6.具有电源状态、网络状态、蓝牙状态和故障状态等多种状态指示灯，可以清晰了解音箱的工作状态；7.支持APR、IP、UDP、TCP、ICPM和IGPM等网络协议，支持跨网段跨路由设置，支持局域网和广域网；</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8.网络延迟：文件播放：&lt;50ms，实时讲话：&lt;150ms，音频位率：8Kbps-320Kbps自适应。</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231</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网络化智能寻呼话筒</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1.釆用≥7英寸电容触屏显示屏设计，支持通过触屏对U盘/SD卡内文件进行本地播放和实现本地扩声，并发送到指定终端播放；</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2.配置页面可显示当前设备的配置信息，支持修改设备IP地址、子网掩码、默认网关、服务器地址、服务器端口和WEB端口等信息；</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3.具有不同的亮度级调节和一键全区报警按钮，点击时可以触发平台预设好的全区报警任务，可再次点击报警按钮关闭报警任务，也可通过触屏关闭。</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4.采用嵌入式计算机技术和DSP音频处理技术设计，支持IEEE802.3at标准的POE供电。</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5.具有≥40个自定义触摸按键，支持一键呼叫广播功能，一键寻呼静音，可以直接操作呼叫任意终端。</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6.≥1路网络硬件音频解码，支持TCP/IP、UDP、IGMP（组播）协议，可网络化传输16位立体声CD音质的音频信号；</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7.配置≥3W监听喇叭，具有任务监听功能，可实现任意监听其他终端的实时任务；</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8.支持双路混音/多路混音功能，配置高灵敏度长咪杆，具有灯环指示；</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9.报警音频/短路音频输入时，具有不少于两路短路输出可以用于触发预置语音提示和控制门禁联动输入短路信号；</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10.支持≥1路标准3.5mm音频输入接口，用于接收外部音频输入，支持≥1路标准3.5mm音频输出接口，用于将终端的音频输送给外部播出设备；</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11.支持DHCP,兼容路由器、交换机、网桥网关、Modem,Intelnet、2G、3G、4G、组播、单播等任意网络结构。</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232</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16路消防联动网络模块</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标准机柜式设计，1U高度，高档拉丝铝合金面板；2.直接接入广播系统使用，无需外接其他转换设备，信号路数随意扩展；3.自带不少于32路信号输入及8路信号输出，可实现自动强插；4.支持≥1路紧急话筒输入，可用于现场应急指挥或实现话筒录音功能；5.配置≥1个RJ45网口，支持ARP、IP、UDP、TCP、ICMP、IGMP等网络协议；6.支持一键网络音频全区报警，一键本地音频全区报警，当报警按钮和录音按钮时按下时可混音；7.支持自定义报警声，可对不同地点不同场合设置不同的报警铃声；8.支持离线紧急报警，当服务器故障时，报警器支持自动全区报警。</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233</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时序电源控制器</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具有≥16路电源输出，单路输出功率达≥10A/220V，电源插座总容量≥6KVA；2.支持通道电源按照固定顺序进行打开和关闭；3.具有手动开关，可手动控制电源上断电；4.具有短路触发和24V触发输入接口，可接短路和24V信号实现自动打开.关闭；5.具有短路触发和24V触发输出接口，可级联下一台时序器或其它设备。</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234</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管理终端</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textAlignment w:val="center"/>
              <w:rPr>
                <w:rFonts w:hint="eastAsia" w:ascii="宋体" w:hAnsi="宋体" w:cs="宋体"/>
                <w:kern w:val="0"/>
                <w:szCs w:val="21"/>
                <w:highlight w:val="none"/>
                <w:lang w:bidi="ar"/>
              </w:rPr>
            </w:pPr>
            <w:r>
              <w:rPr>
                <w:rFonts w:hint="eastAsia" w:ascii="宋体" w:hAnsi="宋体" w:cs="宋体"/>
                <w:kern w:val="0"/>
                <w:szCs w:val="21"/>
                <w:highlight w:val="none"/>
                <w:lang w:bidi="ar"/>
              </w:rPr>
              <w:t>1、处理器：配置1颗飞腾腾锐D2000 CPU，8核，主频2.3Ghz</w:t>
            </w:r>
          </w:p>
          <w:p>
            <w:pPr>
              <w:widowControl/>
              <w:ind w:firstLine="0" w:firstLineChars="0"/>
              <w:textAlignment w:val="center"/>
              <w:rPr>
                <w:rFonts w:hint="eastAsia" w:ascii="宋体" w:hAnsi="宋体" w:cs="宋体"/>
                <w:kern w:val="0"/>
                <w:szCs w:val="21"/>
                <w:highlight w:val="none"/>
                <w:lang w:bidi="ar"/>
              </w:rPr>
            </w:pPr>
            <w:r>
              <w:rPr>
                <w:rFonts w:hint="eastAsia" w:ascii="宋体" w:hAnsi="宋体" w:cs="宋体"/>
                <w:kern w:val="0"/>
                <w:szCs w:val="21"/>
                <w:highlight w:val="none"/>
                <w:lang w:bidi="ar"/>
              </w:rPr>
              <w:t>2、内存：配置16GB DDR4内存</w:t>
            </w:r>
          </w:p>
          <w:p>
            <w:pPr>
              <w:widowControl/>
              <w:ind w:firstLine="0" w:firstLineChars="0"/>
              <w:textAlignment w:val="center"/>
              <w:rPr>
                <w:rFonts w:hint="eastAsia" w:ascii="宋体" w:hAnsi="宋体" w:cs="宋体"/>
                <w:kern w:val="0"/>
                <w:szCs w:val="21"/>
                <w:highlight w:val="none"/>
                <w:lang w:bidi="ar"/>
              </w:rPr>
            </w:pPr>
            <w:r>
              <w:rPr>
                <w:rFonts w:hint="eastAsia" w:ascii="宋体" w:hAnsi="宋体" w:cs="宋体"/>
                <w:kern w:val="0"/>
                <w:szCs w:val="21"/>
                <w:highlight w:val="none"/>
                <w:lang w:bidi="ar"/>
              </w:rPr>
              <w:t>3、存储：配置512GB M.2 NVMe SSD+1T HDD</w:t>
            </w:r>
          </w:p>
          <w:p>
            <w:pPr>
              <w:widowControl/>
              <w:ind w:firstLine="0" w:firstLineChars="0"/>
              <w:textAlignment w:val="center"/>
              <w:rPr>
                <w:rFonts w:hint="eastAsia" w:ascii="宋体" w:hAnsi="宋体" w:cs="宋体"/>
                <w:kern w:val="0"/>
                <w:szCs w:val="21"/>
                <w:highlight w:val="none"/>
                <w:lang w:bidi="ar"/>
              </w:rPr>
            </w:pPr>
            <w:r>
              <w:rPr>
                <w:rFonts w:hint="eastAsia" w:ascii="宋体" w:hAnsi="宋体" w:cs="宋体"/>
                <w:kern w:val="0"/>
                <w:szCs w:val="21"/>
                <w:highlight w:val="none"/>
                <w:lang w:bidi="ar"/>
              </w:rPr>
              <w:t>4、显卡：配置2GB独立显卡，支持HDMI、VGA接口</w:t>
            </w:r>
          </w:p>
          <w:p>
            <w:pPr>
              <w:widowControl/>
              <w:ind w:firstLine="0" w:firstLineChars="0"/>
              <w:textAlignment w:val="center"/>
              <w:rPr>
                <w:rFonts w:hint="eastAsia" w:ascii="宋体" w:hAnsi="宋体" w:cs="宋体"/>
                <w:kern w:val="0"/>
                <w:szCs w:val="21"/>
                <w:highlight w:val="none"/>
                <w:lang w:bidi="ar"/>
              </w:rPr>
            </w:pPr>
            <w:r>
              <w:rPr>
                <w:rFonts w:hint="eastAsia" w:ascii="宋体" w:hAnsi="宋体" w:cs="宋体"/>
                <w:kern w:val="0"/>
                <w:szCs w:val="21"/>
                <w:highlight w:val="none"/>
                <w:lang w:bidi="ar"/>
              </w:rPr>
              <w:t>5、网卡：1个RJ45 10M/100M/1000M自适应以太网口</w:t>
            </w:r>
          </w:p>
          <w:p>
            <w:pPr>
              <w:widowControl/>
              <w:ind w:firstLine="0" w:firstLineChars="0"/>
              <w:textAlignment w:val="center"/>
              <w:rPr>
                <w:rFonts w:hint="eastAsia" w:ascii="宋体" w:hAnsi="宋体" w:cs="宋体"/>
                <w:kern w:val="0"/>
                <w:szCs w:val="21"/>
                <w:highlight w:val="none"/>
                <w:lang w:bidi="ar"/>
              </w:rPr>
            </w:pPr>
            <w:r>
              <w:rPr>
                <w:rFonts w:hint="eastAsia" w:ascii="宋体" w:hAnsi="宋体" w:cs="宋体"/>
                <w:kern w:val="0"/>
                <w:szCs w:val="21"/>
                <w:highlight w:val="none"/>
                <w:lang w:bidi="ar"/>
              </w:rPr>
              <w:t>6、显示器：配置与主机同品牌的23.8英寸超窄边框显示屏</w:t>
            </w:r>
          </w:p>
          <w:p>
            <w:pPr>
              <w:widowControl/>
              <w:ind w:firstLine="0" w:firstLineChars="0"/>
              <w:textAlignment w:val="center"/>
              <w:rPr>
                <w:rFonts w:hint="eastAsia" w:ascii="宋体" w:hAnsi="宋体" w:cs="宋体"/>
                <w:kern w:val="0"/>
                <w:szCs w:val="21"/>
                <w:highlight w:val="none"/>
                <w:lang w:bidi="ar"/>
              </w:rPr>
            </w:pPr>
            <w:r>
              <w:rPr>
                <w:rFonts w:hint="eastAsia" w:ascii="宋体" w:hAnsi="宋体" w:cs="宋体"/>
                <w:kern w:val="0"/>
                <w:szCs w:val="21"/>
                <w:highlight w:val="none"/>
                <w:lang w:bidi="ar"/>
              </w:rPr>
              <w:t>7、IO接口：8个 USB 3.1Gen1 接口；2组音频接口；1个HDMI接口；1个VGA接口</w:t>
            </w:r>
          </w:p>
          <w:p>
            <w:pPr>
              <w:widowControl/>
              <w:ind w:firstLine="0" w:firstLineChars="0"/>
              <w:textAlignment w:val="center"/>
              <w:rPr>
                <w:rFonts w:hint="eastAsia" w:ascii="宋体" w:hAnsi="宋体" w:cs="宋体"/>
                <w:kern w:val="0"/>
                <w:szCs w:val="21"/>
                <w:highlight w:val="none"/>
                <w:lang w:bidi="ar"/>
              </w:rPr>
            </w:pPr>
            <w:r>
              <w:rPr>
                <w:rFonts w:hint="eastAsia" w:ascii="宋体" w:hAnsi="宋体" w:cs="宋体"/>
                <w:kern w:val="0"/>
                <w:szCs w:val="21"/>
                <w:highlight w:val="none"/>
                <w:lang w:bidi="ar"/>
              </w:rPr>
              <w:t>8、光驱：配置超薄DVD-RW光驱</w:t>
            </w:r>
          </w:p>
          <w:p>
            <w:pPr>
              <w:widowControl/>
              <w:ind w:firstLine="0" w:firstLineChars="0"/>
              <w:textAlignment w:val="center"/>
              <w:rPr>
                <w:rFonts w:hint="eastAsia" w:ascii="宋体" w:hAnsi="宋体" w:cs="宋体"/>
                <w:kern w:val="0"/>
                <w:szCs w:val="21"/>
                <w:highlight w:val="none"/>
                <w:lang w:bidi="ar"/>
              </w:rPr>
            </w:pPr>
            <w:r>
              <w:rPr>
                <w:rFonts w:hint="eastAsia" w:ascii="宋体" w:hAnsi="宋体" w:cs="宋体"/>
                <w:kern w:val="0"/>
                <w:szCs w:val="21"/>
                <w:highlight w:val="none"/>
                <w:lang w:bidi="ar"/>
              </w:rPr>
              <w:t>9、电源：200W</w:t>
            </w:r>
          </w:p>
          <w:p>
            <w:pPr>
              <w:widowControl/>
              <w:ind w:firstLine="0" w:firstLineChars="0"/>
              <w:textAlignment w:val="center"/>
              <w:rPr>
                <w:rFonts w:hint="eastAsia" w:ascii="宋体" w:hAnsi="宋体" w:cs="宋体"/>
                <w:kern w:val="0"/>
                <w:szCs w:val="21"/>
                <w:highlight w:val="none"/>
                <w:lang w:bidi="ar"/>
              </w:rPr>
            </w:pPr>
            <w:r>
              <w:rPr>
                <w:rFonts w:hint="eastAsia" w:ascii="宋体" w:hAnsi="宋体" w:cs="宋体"/>
                <w:kern w:val="0"/>
                <w:szCs w:val="21"/>
                <w:highlight w:val="none"/>
                <w:lang w:bidi="ar"/>
              </w:rPr>
              <w:t>10、操作系统：银河麒麟桌面操作系统 V10/统信桌面操作系统 V20</w:t>
            </w:r>
          </w:p>
          <w:p>
            <w:pPr>
              <w:widowControl/>
              <w:ind w:firstLine="0" w:firstLineChars="0"/>
              <w:textAlignment w:val="center"/>
              <w:rPr>
                <w:rFonts w:hint="eastAsia" w:ascii="宋体" w:hAnsi="宋体" w:cs="宋体"/>
                <w:kern w:val="0"/>
                <w:szCs w:val="21"/>
                <w:highlight w:val="none"/>
                <w:lang w:bidi="ar"/>
              </w:rPr>
            </w:pPr>
            <w:r>
              <w:rPr>
                <w:rFonts w:hint="eastAsia" w:ascii="宋体" w:hAnsi="宋体" w:cs="宋体"/>
                <w:kern w:val="0"/>
                <w:szCs w:val="21"/>
                <w:highlight w:val="none"/>
                <w:lang w:bidi="ar"/>
              </w:rPr>
              <w:t>11、机箱尺寸：13.5L机箱</w:t>
            </w:r>
          </w:p>
          <w:p>
            <w:pPr>
              <w:widowControl/>
              <w:ind w:firstLine="0" w:firstLineChars="0"/>
              <w:textAlignment w:val="center"/>
              <w:rPr>
                <w:rFonts w:hint="eastAsia" w:ascii="宋体" w:hAnsi="宋体" w:cs="宋体"/>
                <w:kern w:val="0"/>
                <w:szCs w:val="21"/>
                <w:highlight w:val="none"/>
                <w:lang w:bidi="ar"/>
              </w:rPr>
            </w:pPr>
            <w:r>
              <w:rPr>
                <w:rFonts w:hint="eastAsia" w:ascii="宋体" w:hAnsi="宋体" w:cs="宋体"/>
                <w:kern w:val="0"/>
                <w:szCs w:val="21"/>
                <w:highlight w:val="none"/>
                <w:lang w:bidi="ar"/>
              </w:rPr>
              <w:t>12、键鼠：配置与主机同品牌键盘及鼠标</w:t>
            </w:r>
          </w:p>
          <w:p>
            <w:pPr>
              <w:widowControl/>
              <w:ind w:firstLine="0" w:firstLineChars="0"/>
              <w:textAlignment w:val="center"/>
              <w:rPr>
                <w:rFonts w:hint="eastAsia" w:ascii="宋体" w:hAnsi="宋体" w:eastAsia="宋体" w:cs="宋体"/>
                <w:i w:val="0"/>
                <w:iCs w:val="0"/>
                <w:color w:val="auto"/>
                <w:sz w:val="21"/>
                <w:szCs w:val="21"/>
                <w:highlight w:val="none"/>
                <w:u w:val="none"/>
              </w:rPr>
            </w:pPr>
            <w:r>
              <w:rPr>
                <w:rFonts w:hint="eastAsia" w:ascii="宋体" w:hAnsi="宋体" w:cs="宋体"/>
                <w:kern w:val="0"/>
                <w:szCs w:val="21"/>
                <w:highlight w:val="none"/>
                <w:lang w:val="en-US" w:eastAsia="zh-CN" w:bidi="ar"/>
              </w:rPr>
              <w:t>13</w:t>
            </w:r>
            <w:r>
              <w:rPr>
                <w:rFonts w:hint="eastAsia" w:ascii="宋体" w:hAnsi="宋体" w:cs="宋体"/>
                <w:kern w:val="0"/>
                <w:szCs w:val="21"/>
                <w:highlight w:val="none"/>
                <w:lang w:bidi="ar"/>
              </w:rPr>
              <w:t>.★投标文件中必须提供该产品由国家确定的认证机构出具的处于有效期之内的节能产品认证证书并加盖投标人公章。</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235</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远程控制软件</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可以通过电脑操作主控系统设备，实现配置、控制、编程、检测等功能</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236</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网络化播放功放</w:t>
            </w:r>
          </w:p>
        </w:tc>
        <w:tc>
          <w:tcPr>
            <w:tcW w:w="5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numPr>
                <w:ilvl w:val="0"/>
                <w:numId w:val="18"/>
              </w:numPr>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配置≥4.3英寸全彩色显示屏，具有不少于四个物理按键，支持上下翻页、确认和返回等功能，配合屏幕操作使用。</w:t>
            </w:r>
          </w:p>
          <w:p>
            <w:pPr>
              <w:keepNext w:val="0"/>
              <w:keepLines w:val="0"/>
              <w:pageBreakBefore w:val="0"/>
              <w:widowControl/>
              <w:numPr>
                <w:ilvl w:val="0"/>
                <w:numId w:val="0"/>
              </w:numPr>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2.支持网络音频流的同步接收和解码，具有单向接收及主控单向呼叫功能，采用程序固化设计，不易丢失及受病毒干扰；</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3.支持TCP/IP高品质的数字音频传输，可以本地解码CD级音质和播放高音质发烧级别的音频文件；</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4.采用静态IP地址设计，当网络发生改变时地址不会丢失，可以保障工作稳定运行；</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5.集成IP网络广播解码板和大功率模拟功率放大器，≥360W的输出功率，支持直接接入定压喇叭；</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6.具有高低音调节功能和多个等级优先灵敏度调节功能，可以自由选择信号优先输入；</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7.支持本地话筒和线路输入的音量调节，当无网络信号时，本地话筒可选择手动或自动的方式对本机进行寻呼；</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8.支持文字广播，可直接将文字转换为音频文件，并通过平台实现对终端的播放；</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9.内置智能电源管理功能，当无网络信号时可以自动断开功放电源，进入待机状态，具有编程打开和音频触发打开电源功能，进入待机时间为3-5分钟。</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237</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扬声器</w:t>
            </w:r>
          </w:p>
        </w:tc>
        <w:tc>
          <w:tcPr>
            <w:tcW w:w="5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1.单元≥4.5"全频×1+2.5"×1高音；</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2.额定功率≥10W，最大功率≥15W；</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3.灵敏度≥92dB；</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4.输入电压:70V/100V；</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5.频率响应：20Hz-20KHz；</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238</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室外音柱</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工作电压70/100V，额定功率20W。</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239</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交换机</w:t>
            </w:r>
          </w:p>
        </w:tc>
        <w:tc>
          <w:tcPr>
            <w:tcW w:w="5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二层千兆无管理交换机,包转发率38.69Mpps,交换容量52Gbps,24个千兆电口,2个千兆光口,MAC:8K,桌面式,金属外壳,挂耳默认自带</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千兆光模块</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1. 接口封装：eSFP；</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2. 速率：GE；</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3. 中心波长（nm）：1310；</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4. 标准：1000BASE-LX10/LH；</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5. 接头类型：LC；</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6. 支持的线缆与对应最大传输距离：单模光纤，10km；</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highlight w:val="none"/>
              </w:rPr>
              <w:t>7. 工作温度：0°C～50°C。</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241</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广播线NH-RVVP-2*1.5mm2</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符合标准：JB/T8734.5-2016                                                                                                           电压：300V/300V                                                                                                                   导体：多股铜导体</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绝缘：PVC</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屏蔽：铜丝编织屏蔽，编织密度大于85%</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护套：PVC</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测试电压：2000V，5min。</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绝缘电阻：&gt;20M欧姆×KM。</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使用温度（固定安装）：-30~ +70℃。</w:t>
            </w:r>
          </w:p>
          <w:p>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弯曲半径：15×电缆外径。</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米</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2821.72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242</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PVC阻燃冷弯管径25MM</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PVC阻燃冷弯直径25MM壁厚2mm，含弯头、直通。</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米</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243</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金属软管径25MM</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包塑金属软管直径25MM,PVC环保材料+镀锌钢带。</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米</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16" w:type="dxa"/>
            <w:gridSpan w:val="6"/>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设备间及配套工程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16"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1.双排智能冷通道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244</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IT机柜 600*1200*2000,42U</w:t>
            </w:r>
          </w:p>
        </w:tc>
        <w:tc>
          <w:tcPr>
            <w:tcW w:w="5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1．机柜尺寸应为600mm（W）*1200mm（D）*2000mm（H），可用空间≥42U，兼容19英寸标准；机柜前门采用单开网孔门，后门采用双开网孔门设计。</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2．为提高机房制冷效果，分隔冷热气流，形成良好的气流组织，前进风机柜采取封闭冷通道的措施，以提高空调的制冷效率。</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3．布线采用上走线方式，机柜顶部设计2个进/出线口，其边缘作钝化处理，以免划伤线缆。进线孔位置具备线缆固定装置和专用封闭装置，柜体顶板与顶部走线槽一体化设计，实现强、弱电分离走线和理线功能。</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4．每个机柜配置顶底板(顶板两侧带密封毛刷)，内部配毛刷挡风板，1根100宽垂直走线板，前后门配接地线，配6个并柜件，50套安装螺丝，4个脚轮，50套螺丝附件，1套机柜层板，1副导轨。</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5．机柜内配置2条PDU，竖直安装，PDU要求:单相32A总输入，不少于4位16A插座，12位10A插座，带防雷功能。</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框架骨架、安装竖梁、安装横梁、框架水平支撑梁、中间立梁、柜体层板材料为厚度2.0mm的热镀锌钢板，顶板、前门、后门、扎线板材料为厚度1.5mm的热镀锌钢板，内焊加强片、底板材料为厚度3.0mm的热镀锌钢板，侧门板采用1.2mm厚度的热镀锌钢板。</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7．机柜采用框架结构设计，机柜静态承重要求不小于1800kg</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8．机柜采用框架结构设计，静态承重应不小于2600KG</w:t>
            </w:r>
            <w:r>
              <w:rPr>
                <w:rFonts w:hint="eastAsia" w:ascii="宋体" w:hAnsi="宋体" w:cs="宋体"/>
                <w:color w:val="auto"/>
                <w:sz w:val="21"/>
                <w:szCs w:val="21"/>
                <w:highlight w:val="none"/>
                <w:lang w:eastAsia="zh-CN"/>
              </w:rPr>
              <w:t>。</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245</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机柜侧板</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机柜前后门侧板，采用高强度A级优质碳素冷轧钢板，上下两块为一套侧板600*1200*1000mm*2</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246</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1U盲板</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1U卡扣式安装，材质愣住钢板，厚度1.6mm，带螺丝。</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247</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PDU(右)</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输入：最大电流32A，含带灯防雷，输出：12位国标10A插座，4位国标16A插座，安装于机柜右边。</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248</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PDU(左)</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输入：最大电流32A，含带灯防雷，输出：12位国标10A插座，4位国标16A插座，安装于机柜左边。</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249</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轻载层板</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轻载机柜层板承重100kg，轻载机柜层板 承重100kg 尺寸485*750。</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垂直理线板</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用于600mm和800mm机柜 选配件 机柜标配一条 最大可增加1条</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251</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水平理线架</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1U高度水平方向理线架，黑色带盖</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252</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L型导轨</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L型支架，50kg 承重，配套1200mm机柜（该规格数量为1条，一套导轨需配置2条）</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253</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机柜底座</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机柜底座定制焊接，采用镀锌角钢50*50*4角钢，底座尺寸600*1200*300mm，含框架内部支撑点处理，整体烤漆处理。</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16"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1.2冷通道封闭设备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254</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翻转天窗</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适用于机柜宽度600，冷通道宽度1200中间位置，600翻转天窗 单开方式 ， 带12V磁力锁，标配2块300mm高天窗支撑板，2块600mm宽机柜后围板，不含复位组件</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255</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功能天窗</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适用于机柜宽度600，冷通道宽度1200列头列尾位置，用于监控设备安装；配LED人体感应模块一只，标配2块300mm高天窗支撑板，2块600mm宽机柜后围板</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256</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固定玻璃天窗</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适用于机柜宽度300，冷通道宽度1200中间位置，固定钣金天窗，不可翻转，标配2块300mm高天窗支撑板，2块300mm宽空调后围板。</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257</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磁力锁控制盒</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含12V开关电源（500W）、12位端子排，仅向磁力锁供电，可接收消防信号控制天窗开启。最大支持30个天窗磁力锁供电超出30个内加购一个。</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258</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三色氛围灯控制箱</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220v输入 与动环联动，控制红白蓝三色氛围灯 功率120w(超过100w加配一套)</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259</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三色氛围灯10w</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600mm三色氛围灯,红白蓝三色，搭配600宽机柜或空调使用 功率10w</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260</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三色氛围灯5w</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300mm三色氛围灯,红白蓝三色，搭配300宽机柜或空调使用 功率5w</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261</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冷通道自动平移门</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冷通道自动门，门楣适用1200深2000MM高机柜，12MM钢化玻璃自动门，标配ID卡，指纹，密码一体门禁；配电动导轨和安全双光束，预留天窗控制开关位置包含2块机柜顶部侧挡板，含门盒包边</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262</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冷通道自动平移门（侧板不开孔）</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冷通道自动门，门楣适用1200深2000MM高机柜，12MM钢化玻璃自动门，标配ID卡，指纹，密码一体门禁；配电动导轨和安全双光束，预留天窗控制开关位置包含2块机柜顶部侧挡板，含门盒包边</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263</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线槽600mm</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600mm*400mm机柜顶部走PVC线槽，厚度1.5mm</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米</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264</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线槽300mm</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300mm*300mm机柜顶部走PVC线槽，厚度1.5mm</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米</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265</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顶部走线梯1200mm</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1200mm*1000mm机柜顶部走PVC线槽，厚度1.5mm</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米</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16"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1.3 UPS电源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4"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266</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UPS电源</w:t>
            </w:r>
          </w:p>
        </w:tc>
        <w:tc>
          <w:tcPr>
            <w:tcW w:w="5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1.采用在线式双变换模块化，三进三出，单机总容量≥120kVA，单个功率模块：≥30KVA。本次配置容量≥60KVA</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2.输出为额定阻性负载时，输入电压范围应不小于：304~456VAC。</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3.输入电压与频率为额定值时，输出为100%额定非线性负载时，输入功率因数应＞0.99。</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4.输入电压与频率为额定值，输出为100%额定非线性负载时，输入电流总谐波成份应＜4.8%。</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5.输出为空载和额定阻性负载，调节输入电压为UPS上、下限值时，其稳压精度应≤0.3%。</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6.输出额定电压应380V/400V/415VAC可调。</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7.额定输出功率因数应≥1。</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8.输入电压波形失真度≤5%；输出额定阻性负载与非线性负载，输出电压波形失真度：市电阻性负载：≤0.8%，市电非线性负载：≤3%。</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9.100%不平衡负载：输入电压与频率为额定值，输出任意一相为额定阻性负载，其余相空载，输出电压不平衡度应≤0.4%。</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10.输入电压为额定值，输出为100%阻性负载时，系统效率应≥94.6%。</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11.过载能力：输入电压为额定值，输出为阻性负载，输出功率为额定值的125%，正常工作时间应≥10min。</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12.外接电池组电压可调：若未来遭遇个别电池故障，需要维护、更换时，可现场灵活调节电池组的只数，在配置12V电池的情况下，可根据现场电池节数从32/36/40节调整，无须整组更换。</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13.应具备直流冷启动功能：在没有接入市电时，可通过蓄电池组直接开机。</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14.应具备无电池开机功能：在没有接入电池组或者电池组故障时，可直接通过市电直接开机。</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15.主机内部应标配手动维修旁路。</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16.主机人机界面应配置LCD显示屏，提供清晰的报警、状态数据和系统配置选项等文本总揽信息。</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r>
              <w:rPr>
                <w:rFonts w:hint="eastAsia" w:ascii="宋体" w:hAnsi="宋体" w:cs="宋体"/>
                <w:strike w:val="0"/>
                <w:dstrike w:val="0"/>
                <w:color w:val="auto"/>
                <w:sz w:val="21"/>
                <w:szCs w:val="21"/>
                <w:highlight w:val="none"/>
                <w:lang w:val="en-US" w:eastAsia="zh-CN"/>
              </w:rPr>
              <w:t>需</w:t>
            </w:r>
            <w:r>
              <w:rPr>
                <w:rFonts w:hint="eastAsia" w:ascii="宋体" w:hAnsi="宋体" w:eastAsia="宋体" w:cs="宋体"/>
                <w:color w:val="auto"/>
                <w:sz w:val="21"/>
                <w:szCs w:val="21"/>
                <w:highlight w:val="none"/>
              </w:rPr>
              <w:t>标配RS232端口，免费提供通讯协议及监控软件，软件应支持大部分常用操作系统。可支持本地监控，或多台主机集中监控。</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18.主机中功率板采用涂敷三防漆工艺，具有防潮、防尘、防漏电、防腐蚀、防锈、防盐雾、防震、防老化、绝缘、耐电晕等性能。</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19.应配智能监控卡，可实现远程监控，最大200台电源集中监控；可远程关闭服务器、最大可实现控制200台服务器自动关机。</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20.应配MODBUS卡，支持两个RJ45端口，支持MODBUS-RTU协议，无需额外加配软硬件。</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21.应配干接点监控卡，实现UPS状态及故障告警采用干接点信号的方式输出。</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267</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功率模块</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功率模块3U三进三出30kVA/30KWpf=1\34.5kg</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268</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蓄电池</w:t>
            </w:r>
          </w:p>
        </w:tc>
        <w:tc>
          <w:tcPr>
            <w:tcW w:w="5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1.采用阀控式密封铅酸蓄电池，单节蓄电池标称电压12V，单节蓄电池容量：≥120Ah。</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.蓄电池正常浮充状态下，其浮充期待寿命可达10。</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.单节蓄电池净重量应不低于33.5KG。</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.蓄电池极板应采用板栅合金工艺，要求抗腐蚀性能及深循环性能良好，要求自放电小；接线板、终端接头应采用导电性能优良的材料，并具有防腐蚀措施。</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.蓄电池槽、盖、安全阀、极柱封口剂等材料应具有阻燃性。</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.同组蓄电池10h率容量试验时，最大实际容量与最小实际容量差值应≤0.8%</w:t>
            </w:r>
            <w:r>
              <w:rPr>
                <w:rFonts w:hint="eastAsia" w:ascii="宋体" w:hAnsi="宋体" w:cs="宋体"/>
                <w:color w:val="auto"/>
                <w:sz w:val="21"/>
                <w:szCs w:val="21"/>
                <w:highlight w:val="none"/>
                <w:lang w:eastAsia="zh-CN"/>
              </w:rPr>
              <w:t>。</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269</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电池柜</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可安装12V120AH蓄电池32只</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270</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电池连接线</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电池连接线16平方米铜线跳线含铜鼻子64条，2M</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271</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电池开关箱</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定制</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16"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1.4 精密空调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272</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精密列头柜</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rPr>
              <w:t>总输入2*160A/3P，输出2*(21*32A/1P),2*C级防雷器,1*精密配电监控单元，7寸触摸屏显示，主路与支路全电量监控，带RS485接口,尺寸：600*1200*2000mm.</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273</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精密空调25kw</w:t>
            </w:r>
          </w:p>
        </w:tc>
        <w:tc>
          <w:tcPr>
            <w:tcW w:w="5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1.采用风冷型恒温恒湿机型列间精密空调，水平送风。</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2.本项目采用微模块冷通道方案，精密空调室内机尺寸应为≤300*1200*2000mm，应与IT机柜现场无缝对接、拼柜，拒绝尺寸不一致情况下，拒绝采用假柜体或钣金填补方式。</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3.精密空调制冷量≥25KW，显冷量≥25KW，标准风量≥5000m3/h。</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4.加热量应不小3KW，加湿量应不小于3kg/h，应采用电极式加湿。</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5.室外环境温度-15℃~45℃可靠运行，选配低温组件方案后，可实现-35℃可靠运行，采用空开和接触器，可满足380V士15%3N~50Hz土2Hz宽制式电源。</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cs="宋体"/>
                <w:color w:val="auto"/>
                <w:sz w:val="21"/>
                <w:szCs w:val="21"/>
                <w:highlight w:val="none"/>
                <w:lang w:eastAsia="zh-CN"/>
              </w:rPr>
              <w:t>采用</w:t>
            </w:r>
            <w:r>
              <w:rPr>
                <w:rFonts w:hint="eastAsia" w:ascii="宋体" w:hAnsi="宋体" w:eastAsia="宋体" w:cs="宋体"/>
                <w:color w:val="auto"/>
                <w:sz w:val="21"/>
                <w:szCs w:val="21"/>
                <w:highlight w:val="none"/>
              </w:rPr>
              <w:t>高效EC离心风机，具有风量大、噪音低、效率高、体积小、性能可靠等特点，可根据整机负荷自动无级调控风机转速，有效降低风机能耗。</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7.采用高能效、低能耗的直流变频压缩机，能够实现20~100%变容量制冷量输出，精确匹配负载需求;空调整机结构采用“数冲+专业开模”工艺，板材一体化成型，结构强度好，耐热性能强。</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8.标配G4空气过滤网，可清洗，便于维护，使用寿命长；标配过滤网风压差开关，可在过滤网发生堵塞时发出报警，提示过滤网清洗或更换。</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9.机组室内与室外的风侧换热器，均采用高效内螺纹铜管与蓝色亲水铝膜低压损翅片组合，能够使制冷剂换热接触面积更大、换热更充分，效率提升20%,节能更耐用。</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10.标配电子膨胀阀，无级调节开度10%~100%,根据运行工况及蒸发器冷媒需求量，实时迅速调节膨胀阀开度，不接受热力膨胀阀等其他形式。</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11.考虑所投精密空调环保性能，要求使用R410A环保制冷剂。</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12.应具有智能群控功能，群控网络可实现不少于32台机器组网运行。</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13.精密空调微处理控制器应配置不小于7英寸触摸显示器，用户界面操作简洁。应具备多级密码保护，能有效防止非法操作。控制器具有掉电记忆、故障告警提醒等功能，应标配RS485接口。</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14.</w:t>
            </w:r>
            <w:r>
              <w:rPr>
                <w:rFonts w:hint="eastAsia" w:ascii="宋体" w:hAnsi="宋体" w:cs="宋体"/>
                <w:color w:val="auto"/>
                <w:sz w:val="21"/>
                <w:szCs w:val="21"/>
                <w:highlight w:val="none"/>
              </w:rPr>
              <w:t>★</w:t>
            </w:r>
            <w:r>
              <w:rPr>
                <w:rFonts w:hint="eastAsia" w:ascii="宋体" w:hAnsi="宋体"/>
                <w:color w:val="auto"/>
                <w:sz w:val="21"/>
                <w:szCs w:val="21"/>
                <w:highlight w:val="none"/>
              </w:rPr>
              <w:t>投标文件中必须提供该产品由国家确定的认证机构出具的处于有效期之内的节能产品认证证书并加盖投标人公章。</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274</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精密空调20kw</w:t>
            </w:r>
          </w:p>
        </w:tc>
        <w:tc>
          <w:tcPr>
            <w:tcW w:w="5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1.采用单系统单压缩机，风冷型恒温恒湿机型精密空调，上前送风单台制冷量≥20.2KW，显冷量≥18.18KW,显热比≥0.9，标准风量≥5700m3/h；加热量应不小6KW，加湿量应不小于3kg/h。</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2.应具备高稳定性，极强的电网适应能力，三相电源机组运行电压波动范围380Vac±20%，并具备缺相保护功能。</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3.采用涡旋高效压缩机，具有启动电流小，转动平滑，运行平稳，高可靠性，低震动，低噪音等功能。整机结构采用“数冲+专业开模”制造工艺，板材一体化成型，结构强度好，耐热性能强。</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4.系统秉承高效性能理念，机组应</w:t>
            </w:r>
            <w:r>
              <w:rPr>
                <w:rFonts w:hint="eastAsia"/>
                <w:highlight w:val="none"/>
                <w:lang w:eastAsia="zh-CN"/>
              </w:rPr>
              <w:t>采用</w:t>
            </w:r>
            <w:r>
              <w:rPr>
                <w:rFonts w:hint="eastAsia"/>
                <w:highlight w:val="none"/>
              </w:rPr>
              <w:t>全金属高效EC风机，能够实现10~100%转速下无极调节。</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5.换热器搭载蓝色亲水膜铝箔翅片，表面气液流动更迅速，增强防腐蚀性能，提升整机换热效率；同时采用高效内螺纹铜管设计，类似于子弹枪膛的内螺纹，可以增大管道内侧表面积，加速冷媒的流动速度，提高空调机组的能效。</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6.为提高换热效率，具有更高的显热比，精密空调蒸发器应采用大面积“/”型设计。</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eastAsia="宋体"/>
                <w:highlight w:val="none"/>
                <w:lang w:eastAsia="zh-CN"/>
              </w:rPr>
            </w:pPr>
            <w:r>
              <w:rPr>
                <w:rFonts w:hint="eastAsia"/>
                <w:highlight w:val="none"/>
              </w:rPr>
              <w:t>7.应采用电子膨胀阀，有利于精准控制，更加高效节能</w:t>
            </w:r>
            <w:r>
              <w:rPr>
                <w:rFonts w:hint="eastAsia"/>
                <w:highlight w:val="none"/>
                <w:lang w:eastAsia="zh-CN"/>
              </w:rPr>
              <w:t>。</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8.室外环境温度-15℃~45℃可靠运行，选配低温组件方案后，可实现-35℃可靠运行；采用空开和接触器，整机电气性能稳定性再度提升。</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9.机组应具备500条历史存储记录、高低电压保护、风机故障告警、市电过欠压保护、远程/联机通信告警、掉电记忆、来电自启、相序错误等功能。</w:t>
            </w:r>
          </w:p>
          <w:p>
            <w:pPr>
              <w:pStyle w:val="2"/>
              <w:ind w:left="0" w:leftChars="0" w:firstLine="0" w:firstLineChars="0"/>
              <w:rPr>
                <w:rFonts w:hint="default" w:eastAsia="宋体"/>
                <w:highlight w:val="none"/>
                <w:lang w:val="en-US" w:eastAsia="zh-CN"/>
              </w:rPr>
            </w:pPr>
            <w:r>
              <w:rPr>
                <w:rFonts w:hint="eastAsia" w:ascii="宋体" w:hAnsi="宋体" w:cs="宋体"/>
                <w:color w:val="auto"/>
                <w:sz w:val="21"/>
                <w:szCs w:val="21"/>
                <w:highlight w:val="none"/>
                <w:lang w:val="en-US" w:eastAsia="zh-CN"/>
              </w:rPr>
              <w:t>10.★投标文件中必须提供该产品由国家确定的认证机构出具的处于有效期之内的节能产品认证证书并加盖投标人公章。</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275</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空调电源线5*10mm2</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执行标准：GB/T 12706.1-2020</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导体：种类：单线数量≥6根</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绝缘厚度：平均值≥ 0.7mm；最薄点≥0.53 mm</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护套厚度：平均值多 1.8 mm；最薄点≥1.43 mm</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热延伸试验：(200±3)℃，15min在20N/cm²</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电气性能：导体电阻：&lt;1.83 2/km；电压试验：3500v/5min 不击穿</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产地标志和电缆识别：电缆应有制造厂名、产品型号和额定电压的连续标志</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highlight w:val="none"/>
              </w:rPr>
            </w:pPr>
            <w:r>
              <w:rPr>
                <w:rFonts w:hint="eastAsia"/>
                <w:highlight w:val="none"/>
              </w:rPr>
              <w:t>标志连续性：护套标志间距&lt;550mm</w:t>
            </w:r>
          </w:p>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highlight w:val="none"/>
              </w:rPr>
              <w:t>耐擦性：印刷标志应耐擦</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米</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16"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1.5动环监控系统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276</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动环监控系统</w:t>
            </w:r>
          </w:p>
        </w:tc>
        <w:tc>
          <w:tcPr>
            <w:tcW w:w="5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numPr>
                <w:ilvl w:val="0"/>
                <w:numId w:val="19"/>
              </w:numPr>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监控主机采用1U/19英寸机架式设计，监控对象：精密空调、UPS主机、蓄电池、配电柜、通道门禁、温湿度、空调漏水监测、烟雾探测等。</w:t>
            </w:r>
          </w:p>
          <w:p>
            <w:pPr>
              <w:keepNext w:val="0"/>
              <w:keepLines w:val="0"/>
              <w:pageBreakBefore w:val="0"/>
              <w:widowControl/>
              <w:numPr>
                <w:ilvl w:val="0"/>
                <w:numId w:val="19"/>
              </w:numPr>
              <w:suppressLineNumbers w:val="0"/>
              <w:kinsoku/>
              <w:wordWrap/>
              <w:overflowPunct/>
              <w:topLinePunct w:val="0"/>
              <w:autoSpaceDE/>
              <w:autoSpaceDN/>
              <w:bidi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最大可支持2台(单/三相)UPS的监控、4台(智能/精密)配电、8*8=64路普通市电开关状态检测、8台精密空调，62路温湿度,8路DI检测（最大可扩展至40路DI检测),4路DO输出控制,支持网络视频及网络门禁监控、支持ModbusTCP/SNMP北向接口便于第三方监控系统的集成需要。</w:t>
            </w:r>
          </w:p>
          <w:p>
            <w:pPr>
              <w:keepNext w:val="0"/>
              <w:keepLines w:val="0"/>
              <w:pageBreakBefore w:val="0"/>
              <w:widowControl/>
              <w:numPr>
                <w:ilvl w:val="0"/>
                <w:numId w:val="19"/>
              </w:numPr>
              <w:suppressLineNumbers w:val="0"/>
              <w:kinsoku/>
              <w:wordWrap/>
              <w:overflowPunct/>
              <w:topLinePunct w:val="0"/>
              <w:autoSpaceDE/>
              <w:autoSpaceDN/>
              <w:bidi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具有2个DB9形态RS232串口，2个RJ45形态RS232/RS485复用串口，2条各4个RJ45口独立RS485监控扩展总线，2个USB动环监控系统接口，8路RJ11形态干接点输入接口，2路RJ45以太网口，一个内置天线口。</w:t>
            </w:r>
          </w:p>
          <w:p>
            <w:pPr>
              <w:keepNext w:val="0"/>
              <w:keepLines w:val="0"/>
              <w:pageBreakBefore w:val="0"/>
              <w:widowControl/>
              <w:numPr>
                <w:ilvl w:val="0"/>
                <w:numId w:val="19"/>
              </w:numPr>
              <w:suppressLineNumbers w:val="0"/>
              <w:kinsoku/>
              <w:wordWrap/>
              <w:overflowPunct/>
              <w:topLinePunct w:val="0"/>
              <w:autoSpaceDE/>
              <w:autoSpaceDN/>
              <w:bidi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应采用B/S架构模式，良好的人机交互界面，方便远程进行查看、控制和管理，应标配手机APP远程查看。</w:t>
            </w:r>
          </w:p>
          <w:p>
            <w:pPr>
              <w:keepNext w:val="0"/>
              <w:keepLines w:val="0"/>
              <w:pageBreakBefore w:val="0"/>
              <w:widowControl/>
              <w:numPr>
                <w:ilvl w:val="0"/>
                <w:numId w:val="19"/>
              </w:numPr>
              <w:suppressLineNumbers w:val="0"/>
              <w:kinsoku/>
              <w:wordWrap/>
              <w:overflowPunct/>
              <w:topLinePunct w:val="0"/>
              <w:autoSpaceDE/>
              <w:autoSpaceDN/>
              <w:bidi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监控主机应标配LCD屏幕及按键输入功能，能够显示主机的主要参数。</w:t>
            </w:r>
          </w:p>
          <w:p>
            <w:pPr>
              <w:keepNext w:val="0"/>
              <w:keepLines w:val="0"/>
              <w:pageBreakBefore w:val="0"/>
              <w:widowControl/>
              <w:numPr>
                <w:ilvl w:val="0"/>
                <w:numId w:val="19"/>
              </w:numPr>
              <w:suppressLineNumbers w:val="0"/>
              <w:kinsoku/>
              <w:wordWrap/>
              <w:overflowPunct/>
              <w:topLinePunct w:val="0"/>
              <w:autoSpaceDE/>
              <w:autoSpaceDN/>
              <w:bidi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应配置不小于10英寸彩色触摸屏,能够实时查看UPS、配电、精密空调，微模块内环境量（温湿度、漏水、烟雾）等数据。7.可直接通过监控系统设置精密空调运行的详细参数（送、回风温湿度控制、精度校准等），远程开关机操作。</w:t>
            </w:r>
          </w:p>
          <w:p>
            <w:pPr>
              <w:keepNext w:val="0"/>
              <w:keepLines w:val="0"/>
              <w:pageBreakBefore w:val="0"/>
              <w:widowControl/>
              <w:numPr>
                <w:ilvl w:val="0"/>
                <w:numId w:val="19"/>
              </w:numPr>
              <w:suppressLineNumbers w:val="0"/>
              <w:kinsoku/>
              <w:wordWrap/>
              <w:overflowPunct/>
              <w:topLinePunct w:val="0"/>
              <w:autoSpaceDE/>
              <w:autoSpaceDN/>
              <w:bidi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监控主机为双网口、双电源冗余配置。监控系统自身可选配独立的后备电池，能够在完全断电的情况下，续航2-12小时。9.应支持进行多种形式的告警，具有至少可选配4种告警联动机制（短信/电话语音/声光/邮件），设备的每一个告警都可以关联不同的告警方式。并支持平安短信功能（能定时发送机房状态）、免打扰模式（设定告警信息接收的时间段）。</w:t>
            </w:r>
          </w:p>
          <w:p>
            <w:pPr>
              <w:keepNext w:val="0"/>
              <w:keepLines w:val="0"/>
              <w:pageBreakBefore w:val="0"/>
              <w:widowControl/>
              <w:numPr>
                <w:ilvl w:val="0"/>
                <w:numId w:val="0"/>
              </w:numPr>
              <w:suppressLineNumbers w:val="0"/>
              <w:kinsoku/>
              <w:wordWrap/>
              <w:overflowPunct/>
              <w:topLinePunct w:val="0"/>
              <w:autoSpaceDE/>
              <w:autoSpaceDN/>
              <w:bidi w:val="0"/>
              <w:ind w:left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10.可选配超长续航电池包，32G的SD存储卡。告警历史记录存储应不低于2000条，历史记录。日志应具有一键导出功能。</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277</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电池模块箱</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模块箱，包含1块7寸显示屏（含本地监控软件），连接线等。</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278</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24V电源</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24VDC开关电源</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279</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网关模块</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电池监控网络管理主机，4个RS485串口，最大支持连接4组电池。</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280</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电池组监控主机</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可监控2组电池，每组电池最多60节，监测每组电池充放电电流和环境温度。不可接网关，网口直连显示屏，可接第三方系统以及上云端服务器</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281</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单电池监测模块</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监测12V电池每节电池电压、内阻、极柱温度。包含1个单电池监测模块；1根长度250mm 单电池监控测试线；1根长度400mm 单电池监控通信线。 （一节电池配一个）</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282</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电流传感器</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电流传感器DC800A，开口40mm。（一组电池配一个）</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16"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2.</w:t>
            </w:r>
            <w:r>
              <w:rPr>
                <w:rFonts w:hint="eastAsia" w:ascii="宋体" w:hAnsi="宋体" w:eastAsia="宋体" w:cs="宋体"/>
                <w:b/>
                <w:bCs/>
                <w:i w:val="0"/>
                <w:iCs w:val="0"/>
                <w:color w:val="auto"/>
                <w:kern w:val="0"/>
                <w:sz w:val="21"/>
                <w:szCs w:val="21"/>
                <w:highlight w:val="none"/>
                <w:u w:val="none"/>
                <w:lang w:val="en-US" w:eastAsia="zh-CN" w:bidi="ar"/>
              </w:rPr>
              <w:t>气体消防系统（设备间）</w:t>
            </w:r>
          </w:p>
          <w:p>
            <w:pPr>
              <w:pStyle w:val="2"/>
              <w:numPr>
                <w:numId w:val="0"/>
              </w:numPr>
              <w:ind w:leftChars="0"/>
              <w:rPr>
                <w:rFonts w:hint="eastAsia"/>
              </w:rPr>
            </w:pPr>
            <w:r>
              <w:rPr>
                <w:rFonts w:hint="eastAsia"/>
                <w:lang w:val="en-US" w:eastAsia="zh-CN"/>
              </w:rPr>
              <w:t>注：</w:t>
            </w:r>
            <w:r>
              <w:rPr>
                <w:rFonts w:ascii="Segoe UI" w:hAnsi="Segoe UI" w:eastAsia="Segoe UI" w:cs="Segoe UI"/>
                <w:i w:val="0"/>
                <w:iCs w:val="0"/>
                <w:caps w:val="0"/>
                <w:spacing w:val="0"/>
                <w:sz w:val="19"/>
                <w:szCs w:val="19"/>
                <w:shd w:val="clear" w:fill="FFFFFF"/>
              </w:rPr>
              <w:t>若其列入《强制性产品认证目录》，则必须取得强制性产品认证（CCC 认证）才能采购，交付和验收时需提交产品《检验报告（型式试验）》和强制性产品认证证书。若列入《自愿性产品认证目录》，交付和验收时</w:t>
            </w:r>
            <w:r>
              <w:rPr>
                <w:rFonts w:hint="eastAsia" w:ascii="Segoe UI" w:hAnsi="Segoe UI" w:eastAsia="宋体" w:cs="Segoe UI"/>
                <w:i w:val="0"/>
                <w:iCs w:val="0"/>
                <w:caps w:val="0"/>
                <w:spacing w:val="0"/>
                <w:sz w:val="19"/>
                <w:szCs w:val="19"/>
                <w:shd w:val="clear" w:fill="FFFFFF"/>
                <w:lang w:val="en-US" w:eastAsia="zh-CN"/>
              </w:rPr>
              <w:t>需</w:t>
            </w:r>
            <w:r>
              <w:rPr>
                <w:rFonts w:ascii="Segoe UI" w:hAnsi="Segoe UI" w:eastAsia="Segoe UI" w:cs="Segoe UI"/>
                <w:i w:val="0"/>
                <w:iCs w:val="0"/>
                <w:caps w:val="0"/>
                <w:spacing w:val="0"/>
                <w:sz w:val="19"/>
                <w:szCs w:val="19"/>
                <w:shd w:val="clear" w:fill="FFFFFF"/>
              </w:rPr>
              <w:t>提交产品《检验报告（型式试验）》</w:t>
            </w:r>
            <w:r>
              <w:rPr>
                <w:rFonts w:hint="eastAsia" w:ascii="Segoe UI" w:hAnsi="Segoe UI" w:eastAsia="宋体" w:cs="Segoe UI"/>
                <w:i w:val="0"/>
                <w:iCs w:val="0"/>
                <w:caps w:val="0"/>
                <w:spacing w:val="0"/>
                <w:sz w:val="19"/>
                <w:szCs w:val="19"/>
                <w:shd w:val="clear" w:fill="FFFFFF"/>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283</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点型光电感烟火灾探测器</w:t>
            </w:r>
          </w:p>
        </w:tc>
        <w:tc>
          <w:tcPr>
            <w:tcW w:w="5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1.工作电压：总线24V2.工作电流：监视状态：＜300uA 报警状态：＜1.5mA3.工作指示：状态指示灯：巡检时闪烁，报警时常亮4.使用环境：室内，温度-10℃—+55℃，相对湿度≤95%（40℃±2℃无凝露）5.编码方式：通过编码器可进行电编码，地址编码1-324任选6.接线方式：无极性二总线制</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284</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点型感温火灾探测器</w:t>
            </w:r>
          </w:p>
        </w:tc>
        <w:tc>
          <w:tcPr>
            <w:tcW w:w="5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1.工作电压：总线24V2.工作电流：监视状态：＜300uA 报警状态：＜1.5mA3.工作指示：状态指示灯：巡检时闪烁，报警时常亮4.使用环境：室内，温度-10℃—+55℃，相对湿度≤95%（40℃±2℃无凝露）5.编码方式：通过编码器可进行电编码，地址编码1-324任选6.接线方式：无极性二总线制</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285</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火灾声光警报器</w:t>
            </w:r>
          </w:p>
        </w:tc>
        <w:tc>
          <w:tcPr>
            <w:tcW w:w="5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1.工作电压：总线24V，电源DC24V±20%2.工作电流：监视状态：＜1mA 动作状态：＜120mA3.工作指示：巡检时闪亮，动作时常亮4.闪光频率：1Hz-1.5Hz5.报警音量：80dB-120dB6.使用环境：温度-10℃—+55℃，相对湿度≤95%（40℃±2℃无凝露）7.编码方式：通过编码器可进行电编码，地址编码1-324任选8.接线方式：四线制：信号线+电源线</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286</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气体释放警报器</w:t>
            </w:r>
          </w:p>
        </w:tc>
        <w:tc>
          <w:tcPr>
            <w:tcW w:w="5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工作电压：总线24V，24VDC2.工作电流：静态时：总线耗电：≤500uA3.报警时：总线耗电电流≤4mA，DC24V消耗电流≤150mA4.闪光频率：1Hz-2Hz5.发光字体表面亮度：50cd/㎡-300cd/㎡6.点亮与非点亮时间比：≥3:27.声压级：75dB-120dB，变调周期：3S-5S8.使用环境：温度-10℃—+55℃，相对湿度≤95%（40℃±2℃无凝露）9.接线方式：四线制10.编码方式：通过编码器可进行电编码，地址编码1-324任选</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287</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紧急启停按钮</w:t>
            </w:r>
          </w:p>
        </w:tc>
        <w:tc>
          <w:tcPr>
            <w:tcW w:w="5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1.工作电压：24VDC(20VDC-28VDC)2.工作电流：工作电流≤30mA3.触电容量：＜2A/24VDC4.使用环境：温度-10℃—+55℃，相对湿度≤95%（40℃±2℃无凝露）5.接线方式：二线制</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288</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消防火灾自动报警控制器</w:t>
            </w:r>
          </w:p>
        </w:tc>
        <w:tc>
          <w:tcPr>
            <w:tcW w:w="5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智能多区控制器：24小时无人值守，智能型自动灭火系统1.工作电压：交流输入电压：AC220V±20%,50Hz2.交流输入功率：≤120W3.直流备电：DC24V  7.0AH（由两节DC12V7.0Ah串联构成），全封闭免维护蓄电池4.工作电流：直流24V电流输出电流；长期持续：6A；瞬间（小于3秒）：8A5.容量：探测器回路数目：1个回路，324个地址点6.使用环境：温度-10℃—+55℃，相对湿度≤95%（40℃±2℃无凝露）7.接线方式：无极性二线制</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289</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柜式七氟丙烷气体灭火装置</w:t>
            </w:r>
          </w:p>
        </w:tc>
        <w:tc>
          <w:tcPr>
            <w:tcW w:w="5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柜式七氟丙烷气体灭火装置1.七氟丙烷150L柜式灭火装置2.驱动气体充装压力(20℃时)：2.5MPa3.灭火剂喷射时间：≤10s；4.七氟丙烷贮存容器容积：150L；5.灭火系统工作电源：AC 220V/50Hz，备用电源：DC 24V；6.功率消耗：警戒时≤15W，报警时≤30W；7.启动方式：自动、电气手动、机械应急操作</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290</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七氟丙烷灭火药剂</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highlight w:val="none"/>
              </w:rPr>
              <w:t>七氟丙烷（ HFC -227ea/FM200）具备无色、无味、低毒、不导电、不污染被保护对象，不会对财物和精密设施造成损坏。能以较低的灭火浓度，可靠的扑灭 B 、 C 类火灾及电器火灾；储存空间小，临界温度高，临界压力低，在常温下可液化储存；释放后不含粒子或油状残余物，对大气臭氧层无破坏作用（ ODP 值为零）符合环保要求。</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kg</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291</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机械型泄压口</w:t>
            </w:r>
          </w:p>
        </w:tc>
        <w:tc>
          <w:tcPr>
            <w:tcW w:w="5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1.泄压面积：0～0.04m2；2.开启压力：1050Pa±50Pa</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292</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启动信号接口模块</w:t>
            </w:r>
          </w:p>
        </w:tc>
        <w:tc>
          <w:tcPr>
            <w:tcW w:w="5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1.工作电压：总线电压：DC17V~DC24V；2.四线制，电子编码；3.控制输出：一组DC24V电源输出；4.工作电流：≤2A。</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293</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反馈信号接口模块</w:t>
            </w:r>
          </w:p>
        </w:tc>
        <w:tc>
          <w:tcPr>
            <w:tcW w:w="5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1.工作电压：总线电压：DC17V~DC24V；2.四线制，电子编码；3.控制输出：故障信号输出、报警信号输出、喷洒信号输出。</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294</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应急灯</w:t>
            </w:r>
          </w:p>
        </w:tc>
        <w:tc>
          <w:tcPr>
            <w:tcW w:w="5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1.工作电压：交流220V、50Hz，直流：36V；2.使用环境温度：0℃～50℃；3.输入电压:AC220V/50HZ4.光源类型: LED；5.应急时间:90min；6.工作模式:持续式；7.充电时间:≥24；8.面板：玻璃；框架铝合金；9.安装方式:挂壁式；10.开关类型：停电 自动亮；11.插头规格：三眼插头。</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295</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安全出口指示灯</w:t>
            </w:r>
          </w:p>
        </w:tc>
        <w:tc>
          <w:tcPr>
            <w:tcW w:w="5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1.工作电压：交流220V、50Hz；2.使用环境温度：0℃～50℃；3.输入电压:AC220V/50HZ4.功率:3W LED；5.应急时间:90min；6.工作模式:持续式；7.充电时间:≥24；8.面板：玻璃；框架铝合金；9.安装方式:挂壁式。</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296</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呼吸器</w:t>
            </w:r>
          </w:p>
        </w:tc>
        <w:tc>
          <w:tcPr>
            <w:tcW w:w="5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1.符合GB21976.7-2012标准要求 。2.防护时间：≥30 min。3.滤烟率≥95﹪。4.吸气阻力≤800pa,</w:t>
            </w:r>
            <w:r>
              <w:rPr>
                <w:rFonts w:hint="eastAsia" w:ascii="宋体" w:hAnsi="宋体" w:cs="宋体"/>
                <w:i w:val="0"/>
                <w:iCs w:val="0"/>
                <w:color w:val="auto"/>
                <w:kern w:val="0"/>
                <w:sz w:val="21"/>
                <w:szCs w:val="21"/>
                <w:highlight w:val="none"/>
                <w:u w:val="none"/>
                <w:lang w:val="en-US" w:eastAsia="zh-CN" w:bidi="ar"/>
              </w:rPr>
              <w:t>呼吸</w:t>
            </w:r>
            <w:r>
              <w:rPr>
                <w:rFonts w:hint="eastAsia" w:ascii="宋体" w:hAnsi="宋体" w:eastAsia="宋体" w:cs="宋体"/>
                <w:i w:val="0"/>
                <w:iCs w:val="0"/>
                <w:color w:val="auto"/>
                <w:kern w:val="0"/>
                <w:sz w:val="21"/>
                <w:szCs w:val="21"/>
                <w:highlight w:val="none"/>
                <w:u w:val="none"/>
                <w:lang w:val="en-US" w:eastAsia="zh-CN" w:bidi="ar"/>
              </w:rPr>
              <w:t>阻力≤300pa。5.环境温度：0℃-40℃。</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297</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排风机</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壁式轴流风机，配防雨罩，防虫网，止回阀，排风量≥1500立方米/小时。内接电动防火阀，气体灭火喷射前关闭电动防火阀，气体灭火完成后开启通风，带开关。</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298</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JDG管25</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含管件底盒杯梳等配件</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米</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16"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3.</w:t>
            </w:r>
            <w:r>
              <w:rPr>
                <w:rFonts w:hint="eastAsia" w:ascii="宋体" w:hAnsi="宋体" w:eastAsia="宋体" w:cs="宋体"/>
                <w:b/>
                <w:bCs/>
                <w:i w:val="0"/>
                <w:iCs w:val="0"/>
                <w:color w:val="auto"/>
                <w:kern w:val="0"/>
                <w:sz w:val="21"/>
                <w:szCs w:val="21"/>
                <w:highlight w:val="none"/>
                <w:u w:val="none"/>
                <w:lang w:val="en-US" w:eastAsia="zh-CN" w:bidi="ar"/>
              </w:rPr>
              <w:t>气体消防系统（电池间）</w:t>
            </w:r>
          </w:p>
          <w:p>
            <w:pPr>
              <w:pStyle w:val="2"/>
              <w:numPr>
                <w:numId w:val="0"/>
              </w:numPr>
              <w:ind w:leftChars="0"/>
              <w:rPr>
                <w:rFonts w:hint="eastAsia" w:eastAsia="宋体"/>
                <w:lang w:val="en-US" w:eastAsia="zh-CN"/>
              </w:rPr>
            </w:pPr>
            <w:r>
              <w:rPr>
                <w:rFonts w:hint="eastAsia"/>
                <w:lang w:val="en-US" w:eastAsia="zh-CN"/>
              </w:rPr>
              <w:t>注：</w:t>
            </w:r>
            <w:r>
              <w:rPr>
                <w:rFonts w:ascii="Segoe UI" w:hAnsi="Segoe UI" w:eastAsia="Segoe UI" w:cs="Segoe UI"/>
                <w:i w:val="0"/>
                <w:iCs w:val="0"/>
                <w:caps w:val="0"/>
                <w:spacing w:val="0"/>
                <w:sz w:val="19"/>
                <w:szCs w:val="19"/>
                <w:shd w:val="clear" w:fill="FFFFFF"/>
              </w:rPr>
              <w:t>若其列入《强制性产品认证目录》，则必须取得强制性产品认证（CCC 认证）才能采购，交付和验收时需提交产品《检验报告（型式试验）》和强制性产品认证证书。若列入《自愿性产品认证目录》，交付和验收时</w:t>
            </w:r>
            <w:r>
              <w:rPr>
                <w:rFonts w:hint="eastAsia" w:ascii="Segoe UI" w:hAnsi="Segoe UI" w:eastAsia="宋体" w:cs="Segoe UI"/>
                <w:i w:val="0"/>
                <w:iCs w:val="0"/>
                <w:caps w:val="0"/>
                <w:spacing w:val="0"/>
                <w:sz w:val="19"/>
                <w:szCs w:val="19"/>
                <w:shd w:val="clear" w:fill="FFFFFF"/>
                <w:lang w:val="en-US" w:eastAsia="zh-CN"/>
              </w:rPr>
              <w:t>需</w:t>
            </w:r>
            <w:r>
              <w:rPr>
                <w:rFonts w:ascii="Segoe UI" w:hAnsi="Segoe UI" w:eastAsia="Segoe UI" w:cs="Segoe UI"/>
                <w:i w:val="0"/>
                <w:iCs w:val="0"/>
                <w:caps w:val="0"/>
                <w:spacing w:val="0"/>
                <w:sz w:val="19"/>
                <w:szCs w:val="19"/>
                <w:shd w:val="clear" w:fill="FFFFFF"/>
              </w:rPr>
              <w:t>提交产品《检验报告（型式试验）》</w:t>
            </w:r>
            <w:r>
              <w:rPr>
                <w:rFonts w:hint="eastAsia" w:ascii="Segoe UI" w:hAnsi="Segoe UI" w:eastAsia="宋体" w:cs="Segoe UI"/>
                <w:i w:val="0"/>
                <w:iCs w:val="0"/>
                <w:caps w:val="0"/>
                <w:spacing w:val="0"/>
                <w:sz w:val="19"/>
                <w:szCs w:val="19"/>
                <w:shd w:val="clear" w:fill="FFFFFF"/>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299</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点型光电感烟火灾探测器</w:t>
            </w:r>
          </w:p>
        </w:tc>
        <w:tc>
          <w:tcPr>
            <w:tcW w:w="5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1.工作电压：总线24V2.工作电流：监视状态：＜300uA 报警状态：＜1.5mA3.工作指示：状态指示灯：巡检时闪烁，报警时常亮4.使用环境：室内，温度-10℃—+55℃，相对湿度≤95%（40℃±2℃无凝露）5.编码方式：通过编码器可进行电编码，地址编码1-324任选6.接线方式：无极性二总线制</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点型感温火灾探测器</w:t>
            </w:r>
          </w:p>
        </w:tc>
        <w:tc>
          <w:tcPr>
            <w:tcW w:w="5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1.工作电压：总线24V2.工作电流：监视状态：＜300uA 报警状态：＜1.5mA3.工作指示：状态指示灯：巡检时闪烁，报警时常亮4.使用环境：室内，温度-10℃—+55℃，相对湿度≤95%（40℃±2℃无凝露）5.编码方式：通过编码器可进行电编码，地址编码1-324任选6.接线方式：无极性二总线制</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301</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火灾声光警报器</w:t>
            </w:r>
          </w:p>
        </w:tc>
        <w:tc>
          <w:tcPr>
            <w:tcW w:w="5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1.工作电压：总线24V，电源DC24V±20%2.工作电流：监视状态：＜1mA 动作状态：＜120mA3.工作指示：巡检时闪亮，动作时常亮4.闪光频率：1Hz-1.5Hz5.报警音量：80dB-120dB6.使用环境：温度-10℃—+55℃，相对湿度≤95%（40℃±2℃无凝露）7.编码方式：通过编码器可进行电编码，地址编码1-324任选8.接线方式：四线制：信号线+电源线</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302</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气体释放警报器</w:t>
            </w:r>
          </w:p>
        </w:tc>
        <w:tc>
          <w:tcPr>
            <w:tcW w:w="5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工作电压：总线24V，24VDC2.工作电流：静态时：总线耗电：≤500uA3.报警时：总线耗电电流≤4mA，DC24V消耗电流≤150mA4.闪光频率：1Hz-2Hz5.发光字体表面亮度：50cd/㎡-300cd/㎡6.点亮与非点亮时间比：≥3:27.声压级：75dB-120dB，变调周期：3S-5S8.使用环境：温度-10℃—+55℃，相对湿度≤95%（40℃±2℃无凝露）9.接线方式：四线制10.编码方式：通过编码器可进行电编码，地址编码1-324任选</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303</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紧急启停按钮</w:t>
            </w:r>
          </w:p>
        </w:tc>
        <w:tc>
          <w:tcPr>
            <w:tcW w:w="5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1.工作电压：24VDC(20VDC-28VDC)2.工作电流：工作电流≤30mA3.触电容量：＜2A/24VDC4.使用环境：温度-10℃—+55℃，相对湿度≤95%（40℃±2℃无凝露）5.接线方式：二线制</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304</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消防火灾自动报警控制器</w:t>
            </w:r>
          </w:p>
        </w:tc>
        <w:tc>
          <w:tcPr>
            <w:tcW w:w="5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智能多区控制器：24小时无人值守，智能型自动灭火系统1.工作电压：交流输入电压：AC220V±20%,50Hz2.交流输入功率：≤120W3.直流备电：DC24V  7.0AH（由两节DC12V7.0Ah串联构成），全封闭免维护蓄电池4.工作电流：直流24V电流输出电流；长期持续：6A；瞬间（小于3秒）：8A5.容量：探测器回路数目：1个回路，324个地址点6.使用环境：温度-10℃—+55℃，相对湿度≤95%（40℃±2℃无凝露）7.接线方式：无极性二线制</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305</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柜式七氟丙烷气体灭火装置</w:t>
            </w:r>
          </w:p>
        </w:tc>
        <w:tc>
          <w:tcPr>
            <w:tcW w:w="5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1.七氟丙烷40L柜式灭火装置2.驱动气体充装压力(20℃时)：2.5MPa3.灭火剂喷射时间：≤10s；4.七氟丙烷贮存容器容积：40L；5.灭火系统工作电源：AC 220V/50Hz，备用电源：DC 24V；6.功率消耗：警戒时≤15W，报警时≤30W；7.启动方式：自动、电气手动、机械应急操作</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306</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七氟丙烷灭火药剂</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highlight w:val="none"/>
              </w:rPr>
              <w:t>七氟丙烷（ HFC -227ea/FM200）具备无色、无味、低毒、不导电、不污染被保护对象，不会对财物和精密设施造成损坏。能以较低的灭火浓度，可靠的扑灭 B 、 C 类火灾及电器火灾；储存空间小，临界温度高，临界压力低，在常温下可液化储存；释放后不含粒子或油状残余物，对大气臭氧层无破坏作用（ ODP 值为零）符合环保要求。</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kg</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307</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机械型泄压口</w:t>
            </w:r>
          </w:p>
        </w:tc>
        <w:tc>
          <w:tcPr>
            <w:tcW w:w="5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1.泄压面积：0～0.04m2；2.开启压力：1050Pa±50Pa</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308</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启动信号接口模块</w:t>
            </w:r>
          </w:p>
        </w:tc>
        <w:tc>
          <w:tcPr>
            <w:tcW w:w="5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1.工作电压：总线电压：DC17V~DC24V；2.四线制，电子编码；3.控制输出：一组DC24V电源输出；4.工作电流：≤2A。</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309</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反馈信号接口模块</w:t>
            </w:r>
          </w:p>
        </w:tc>
        <w:tc>
          <w:tcPr>
            <w:tcW w:w="5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1.工作电压：总线电压：DC17V~DC24V；2.四线制，电子编码；3.控制输出：故障信号输出、报警信号输出、喷洒信号输出。</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310</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应急灯</w:t>
            </w:r>
          </w:p>
        </w:tc>
        <w:tc>
          <w:tcPr>
            <w:tcW w:w="5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1.工作电压：交流220V、50Hz，直流：36V；2.使用环境温度：0℃～50℃；3.输入电压:AC220V/50HZ4.光源类型: LED；5.应急时间:90min；6.工作模式:持续式；7.充电时间:≥24；8.面板：玻璃；框架铝合金；9.安装方式:挂壁式；10.开关类型：停电 自动亮；11.插头规格：三眼插头。</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311</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安全出口指示灯</w:t>
            </w:r>
          </w:p>
        </w:tc>
        <w:tc>
          <w:tcPr>
            <w:tcW w:w="5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1.工作电压：交流220V、50Hz；2.使用环境温度：0℃～50℃；3.输入电压:AC220V/50HZ4.功率:3W LED；5.应急时间:90min；6.工作模式:持续式；7.充电时间:≥24；8.面板：玻璃；框架铝合金；9.安装方式:挂壁式。</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312</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呼吸器</w:t>
            </w:r>
          </w:p>
        </w:tc>
        <w:tc>
          <w:tcPr>
            <w:tcW w:w="5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1.符合GB21976.7-2012标准要求 。2.防护时间：≥30 min。3.滤烟率≥95﹪。4.吸气阻力≤800pa,</w:t>
            </w:r>
            <w:r>
              <w:rPr>
                <w:rFonts w:hint="eastAsia" w:ascii="宋体" w:hAnsi="宋体" w:cs="宋体"/>
                <w:i w:val="0"/>
                <w:iCs w:val="0"/>
                <w:color w:val="auto"/>
                <w:kern w:val="0"/>
                <w:sz w:val="21"/>
                <w:szCs w:val="21"/>
                <w:highlight w:val="none"/>
                <w:u w:val="none"/>
                <w:lang w:val="en-US" w:eastAsia="zh-CN" w:bidi="ar"/>
              </w:rPr>
              <w:t>呼吸</w:t>
            </w:r>
            <w:r>
              <w:rPr>
                <w:rFonts w:hint="eastAsia" w:ascii="宋体" w:hAnsi="宋体" w:eastAsia="宋体" w:cs="宋体"/>
                <w:i w:val="0"/>
                <w:iCs w:val="0"/>
                <w:color w:val="auto"/>
                <w:kern w:val="0"/>
                <w:sz w:val="21"/>
                <w:szCs w:val="21"/>
                <w:highlight w:val="none"/>
                <w:u w:val="none"/>
                <w:lang w:val="en-US" w:eastAsia="zh-CN" w:bidi="ar"/>
              </w:rPr>
              <w:t>阻力≤300pa。5.环境温度：0℃-40℃。</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313</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排风机</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壁式轴流风机，配防雨罩，防虫网，止回阀，排风量≥1500立方米/小时。内接电动防火阀，气体灭火喷射前关闭电动防火阀，气体灭火完成后开启通风，带开关。</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314</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JDG管25</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含管件底盒杯梳等配件</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米</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16"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4.新风系统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315</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新风换气机</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全热交换，新风量≥800m3/h，风量高、低风量调节，液晶屏显示</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风管</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风管φ150，含管道吊件，1.2mm厚镀锌板，含保温棉。</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米</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317</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送风、排风口</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规格根据现场定制</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318</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外墙防雨百叶送风、排风风口</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规格根据现场定制，百叶风口为铝合金制作</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16"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5.防雷接地及配电系统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319</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防雷地线</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大楼钢筋抽取地线</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处</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320</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防雷模块</w:t>
            </w:r>
          </w:p>
        </w:tc>
        <w:tc>
          <w:tcPr>
            <w:tcW w:w="5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Ⅱ级试验电源电涌保护器，4模块结构；标称放电电流(8/20μs)：n：40kA,最大放电电流(8/20us)：max：20kA；</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321</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接地汇流排</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30×3mm 紫铜</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米</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322</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铜箔</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100*0.3MM</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米</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323</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配电柜</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1000*800*200mm配电箱，配置1个250A双电源切换开关、1个2级防雷器、2个200A3P空开、63A3P空开2个、40A3P空开1个，32A1P空开3个，含配电箱连接线、1个12为零线排、1个12位地线排。</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324</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电线50平方铜芯线</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50平方铜芯线用于地线处</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米</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325</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电线6平方铜芯线</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6平方铜芯线，用于地板、机柜、桥架等接地</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米</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326</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桥架300*150*1.2</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镀锌金属桥架300*150*1.2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含盖板、连接片、螺丝等配件</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米</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桥架200*100*1.2</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镀锌金属桥架200*100*1.2，含盖板、连接片、螺丝等配件</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米</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16" w:type="dxa"/>
            <w:gridSpan w:val="6"/>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设备间装饰装修工程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16"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A.11 天棚工程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328</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天面防尘漆</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水性树脂作为环保基料，环保型（天花及梁、墙沿上部防尘处理）</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平方米</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329</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天面保温材料</w:t>
            </w:r>
          </w:p>
        </w:tc>
        <w:tc>
          <w:tcPr>
            <w:tcW w:w="5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1.防火阻燃。2.20MM保温棉3.符合国标GB/T17794-1999。</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平方米</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330</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金属天花（微孔）</w:t>
            </w:r>
          </w:p>
        </w:tc>
        <w:tc>
          <w:tcPr>
            <w:tcW w:w="5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1.600*6002.吊顶板厚度≥0.8mm。3.背面贴履吸音无纺布。</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平方米</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16"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A.3 砌筑工程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331</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砖封门窗</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M5.0混合砂浆砌筑砼小型空心砌块墙190</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平方</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332</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设备间屏蔽隔墙</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M5.0混合砂浆砌筑砼小型空心砌块墙190</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平方</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16"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A.10 墙、柱面工程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333</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玻璃隔断</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防火，12NN包含玻璃隔断龙骨，玻璃门五金6.3*3.5m</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平方米</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334</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墙面轻钢龙骨基层</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75型轻钢龙骨75×45×1.2mm</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平方米</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335</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彩钢板墙板</w:t>
            </w:r>
          </w:p>
        </w:tc>
        <w:tc>
          <w:tcPr>
            <w:tcW w:w="5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彩钢板规格：1200*3000*0.6mm。彩钢板的内衬板为12mm防火石膏板所组成。</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平方米</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336</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彩钢板阴阳角装饰条</w:t>
            </w:r>
          </w:p>
        </w:tc>
        <w:tc>
          <w:tcPr>
            <w:tcW w:w="5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1.规格：3000mm*10mm*3m;2.表面材料：热溶镀锌外烤抗静电耐火漆，</w:t>
            </w:r>
            <w:r>
              <w:rPr>
                <w:rFonts w:hint="eastAsia" w:ascii="宋体" w:hAnsi="宋体" w:cs="宋体"/>
                <w:i w:val="0"/>
                <w:iCs w:val="0"/>
                <w:color w:val="auto"/>
                <w:kern w:val="0"/>
                <w:sz w:val="21"/>
                <w:szCs w:val="21"/>
                <w:highlight w:val="none"/>
                <w:u w:val="none"/>
                <w:lang w:val="en-US" w:eastAsia="zh-CN" w:bidi="ar"/>
              </w:rPr>
              <w:t>厚度</w:t>
            </w:r>
            <w:r>
              <w:rPr>
                <w:rFonts w:hint="eastAsia" w:ascii="宋体" w:hAnsi="宋体" w:eastAsia="宋体" w:cs="宋体"/>
                <w:i w:val="0"/>
                <w:iCs w:val="0"/>
                <w:color w:val="auto"/>
                <w:kern w:val="0"/>
                <w:sz w:val="21"/>
                <w:szCs w:val="21"/>
                <w:highlight w:val="none"/>
                <w:u w:val="none"/>
                <w:lang w:val="en-US" w:eastAsia="zh-CN" w:bidi="ar"/>
              </w:rPr>
              <w:t>≥1.0mm；3.与彩钢板颜色一致。4.防火等级：A1不燃级。</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米</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337</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不锈钢地脚线</w:t>
            </w:r>
          </w:p>
        </w:tc>
        <w:tc>
          <w:tcPr>
            <w:tcW w:w="5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1.规格：304不锈钢，100mm高，内衬9mm阻燃板做基础，要求符合相关国家标准；2.安装方便，经久耐用，不锈钢踢脚线在安装的时候十分方便；3.不锈钢的材质质地坚固，使用寿命长，无需日常维护；</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米</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338</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墙面防尘处材料</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纯丙烯酸乳液乳胶漆</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平方米</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339</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墙面保温棉</w:t>
            </w:r>
          </w:p>
        </w:tc>
        <w:tc>
          <w:tcPr>
            <w:tcW w:w="5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1.防火阻燃。2.保温棉厚度≥10mm。3.符合国标GB/T17794-1999。</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平方米</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16"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A.9 楼地面工程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340</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地面水泥砂浆找平</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20mm厚1:3水泥砂浆找平</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平方米</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341</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地面地坪漆</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环氧</w:t>
            </w:r>
            <w:r>
              <w:rPr>
                <w:rFonts w:hint="eastAsia" w:ascii="宋体" w:hAnsi="宋体" w:cs="宋体"/>
                <w:i w:val="0"/>
                <w:iCs w:val="0"/>
                <w:color w:val="auto"/>
                <w:kern w:val="0"/>
                <w:sz w:val="21"/>
                <w:szCs w:val="21"/>
                <w:highlight w:val="none"/>
                <w:u w:val="none"/>
                <w:lang w:val="en-US" w:eastAsia="zh-CN" w:bidi="ar"/>
              </w:rPr>
              <w:t>地坪漆</w:t>
            </w:r>
            <w:r>
              <w:rPr>
                <w:rFonts w:hint="eastAsia" w:ascii="宋体" w:hAnsi="宋体" w:eastAsia="宋体" w:cs="宋体"/>
                <w:i w:val="0"/>
                <w:iCs w:val="0"/>
                <w:color w:val="auto"/>
                <w:kern w:val="0"/>
                <w:sz w:val="21"/>
                <w:szCs w:val="21"/>
                <w:highlight w:val="none"/>
                <w:u w:val="none"/>
                <w:lang w:val="en-US" w:eastAsia="zh-CN" w:bidi="ar"/>
              </w:rPr>
              <w:t>刷2遍</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平方米</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342</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防静电活动地板</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600*600*35mm陶瓷面防静电活动地板，含支架、配件等。</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平方米</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343</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地面保温材料</w:t>
            </w:r>
          </w:p>
        </w:tc>
        <w:tc>
          <w:tcPr>
            <w:tcW w:w="5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1.防火阻燃。2.保温棉厚度≥20mm。3.符合国标GB/T17794-1999。</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平方米</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344</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地面保温层镀锌板</w:t>
            </w:r>
          </w:p>
        </w:tc>
        <w:tc>
          <w:tcPr>
            <w:tcW w:w="5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镀锌板厚度0.6mm</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平方米</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16"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A.12 门窗工程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345</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甲级钢制防火门</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1.规格：1500mm×2400mm；2.防火等级：甲级，符合有关防火规范</w:t>
            </w:r>
            <w:r>
              <w:rPr>
                <w:rFonts w:hint="eastAsia" w:ascii="宋体" w:hAnsi="宋体" w:cs="宋体"/>
                <w:i w:val="0"/>
                <w:iCs w:val="0"/>
                <w:color w:val="auto"/>
                <w:kern w:val="0"/>
                <w:sz w:val="21"/>
                <w:szCs w:val="21"/>
                <w:highlight w:val="none"/>
                <w:u w:val="none"/>
                <w:lang w:val="en-US" w:eastAsia="zh-CN" w:bidi="ar"/>
              </w:rPr>
              <w:t>（</w:t>
            </w:r>
            <w:r>
              <w:rPr>
                <w:rFonts w:ascii="Segoe UI" w:hAnsi="Segoe UI" w:eastAsia="Segoe UI" w:cs="Segoe UI"/>
                <w:i w:val="0"/>
                <w:iCs w:val="0"/>
                <w:caps w:val="0"/>
                <w:spacing w:val="0"/>
                <w:sz w:val="21"/>
                <w:szCs w:val="21"/>
                <w:shd w:val="clear" w:fill="FFFFFF"/>
              </w:rPr>
              <w:t>甲级防火规范</w:t>
            </w:r>
            <w:r>
              <w:rPr>
                <w:rFonts w:hint="eastAsia" w:ascii="Segoe UI" w:hAnsi="Segoe UI" w:eastAsia="宋体" w:cs="Segoe UI"/>
                <w:i w:val="0"/>
                <w:iCs w:val="0"/>
                <w:caps w:val="0"/>
                <w:spacing w:val="0"/>
                <w:sz w:val="21"/>
                <w:szCs w:val="21"/>
                <w:shd w:val="clear" w:fill="FFFFFF"/>
                <w:lang w:val="en-US" w:eastAsia="zh-CN"/>
              </w:rPr>
              <w:t>如</w:t>
            </w:r>
            <w:r>
              <w:rPr>
                <w:rFonts w:ascii="Segoe UI" w:hAnsi="Segoe UI" w:eastAsia="Segoe UI" w:cs="Segoe UI"/>
                <w:i w:val="0"/>
                <w:iCs w:val="0"/>
                <w:caps w:val="0"/>
                <w:spacing w:val="0"/>
                <w:sz w:val="21"/>
                <w:szCs w:val="21"/>
                <w:shd w:val="clear" w:fill="FFFFFF"/>
              </w:rPr>
              <w:t>《建筑设计防火规范》</w:t>
            </w:r>
            <w:r>
              <w:rPr>
                <w:rFonts w:hint="eastAsia" w:ascii="Segoe UI" w:hAnsi="Segoe UI" w:eastAsia="宋体" w:cs="Segoe UI"/>
                <w:i w:val="0"/>
                <w:iCs w:val="0"/>
                <w:caps w:val="0"/>
                <w:spacing w:val="0"/>
                <w:sz w:val="21"/>
                <w:szCs w:val="21"/>
                <w:shd w:val="clear" w:fill="FFFFFF"/>
                <w:lang w:val="en-US" w:eastAsia="zh-CN"/>
              </w:rPr>
              <w:t>等</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。3.材质：金属镀锌材质4.含门洞扩大、回补及修复。</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平方米</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346</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防火门防火铰链</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kern w:val="0"/>
                <w:sz w:val="21"/>
                <w:szCs w:val="21"/>
                <w:highlight w:val="none"/>
                <w:u w:val="none"/>
                <w:lang w:val="en-US" w:eastAsia="zh-CN" w:bidi="ar"/>
              </w:rPr>
              <w:t>防火门防火铰链</w:t>
            </w:r>
            <w:r>
              <w:rPr>
                <w:rFonts w:hint="eastAsia"/>
                <w:highlight w:val="none"/>
                <w:lang w:eastAsia="zh-CN"/>
              </w:rPr>
              <w:t>，</w:t>
            </w:r>
            <w:r>
              <w:rPr>
                <w:rFonts w:ascii="Arial" w:hAnsi="Arial" w:eastAsia="宋体" w:cs="Arial"/>
                <w:i w:val="0"/>
                <w:iCs w:val="0"/>
                <w:caps w:val="0"/>
                <w:color w:val="333333"/>
                <w:spacing w:val="0"/>
                <w:sz w:val="21"/>
                <w:szCs w:val="21"/>
                <w:highlight w:val="none"/>
                <w:shd w:val="clear" w:fill="FFFFFF"/>
              </w:rPr>
              <w:t>采用不锈钢材质制成，具</w:t>
            </w:r>
            <w:r>
              <w:rPr>
                <w:rFonts w:hint="eastAsia" w:ascii="Arial" w:hAnsi="Arial" w:eastAsia="宋体" w:cs="Arial"/>
                <w:i w:val="0"/>
                <w:iCs w:val="0"/>
                <w:caps w:val="0"/>
                <w:color w:val="333333"/>
                <w:spacing w:val="0"/>
                <w:sz w:val="21"/>
                <w:szCs w:val="21"/>
                <w:highlight w:val="none"/>
                <w:shd w:val="clear" w:fill="FFFFFF"/>
                <w:lang w:val="en-US" w:eastAsia="zh-CN"/>
              </w:rPr>
              <w:t>备</w:t>
            </w:r>
            <w:r>
              <w:rPr>
                <w:rFonts w:ascii="Arial" w:hAnsi="Arial" w:eastAsia="宋体" w:cs="Arial"/>
                <w:i w:val="0"/>
                <w:iCs w:val="0"/>
                <w:caps w:val="0"/>
                <w:color w:val="333333"/>
                <w:spacing w:val="0"/>
                <w:sz w:val="21"/>
                <w:szCs w:val="21"/>
                <w:highlight w:val="none"/>
                <w:shd w:val="clear" w:fill="FFFFFF"/>
              </w:rPr>
              <w:t>抗腐蚀和高强度</w:t>
            </w:r>
            <w:r>
              <w:rPr>
                <w:rFonts w:hint="eastAsia" w:ascii="Arial" w:hAnsi="Arial" w:eastAsia="宋体" w:cs="Arial"/>
                <w:i w:val="0"/>
                <w:iCs w:val="0"/>
                <w:caps w:val="0"/>
                <w:color w:val="333333"/>
                <w:spacing w:val="0"/>
                <w:sz w:val="21"/>
                <w:szCs w:val="21"/>
                <w:highlight w:val="none"/>
                <w:shd w:val="clear" w:fill="FFFFFF"/>
                <w:lang w:val="en-US" w:eastAsia="zh-CN"/>
              </w:rPr>
              <w:t>使用</w:t>
            </w:r>
            <w:r>
              <w:rPr>
                <w:rFonts w:ascii="Arial" w:hAnsi="Arial" w:eastAsia="宋体" w:cs="Arial"/>
                <w:i w:val="0"/>
                <w:iCs w:val="0"/>
                <w:caps w:val="0"/>
                <w:color w:val="333333"/>
                <w:spacing w:val="0"/>
                <w:sz w:val="21"/>
                <w:szCs w:val="21"/>
                <w:highlight w:val="none"/>
                <w:shd w:val="clear" w:fill="FFFFFF"/>
              </w:rPr>
              <w:t>。</w:t>
            </w:r>
            <w:r>
              <w:rPr>
                <w:rFonts w:hint="eastAsia" w:ascii="Arial" w:hAnsi="Arial" w:eastAsia="宋体" w:cs="Arial"/>
                <w:i w:val="0"/>
                <w:iCs w:val="0"/>
                <w:caps w:val="0"/>
                <w:color w:val="333333"/>
                <w:spacing w:val="0"/>
                <w:sz w:val="21"/>
                <w:szCs w:val="21"/>
                <w:highlight w:val="none"/>
                <w:shd w:val="clear" w:fill="FFFFFF"/>
                <w:lang w:val="en-US" w:eastAsia="zh-CN"/>
              </w:rPr>
              <w:t>能</w:t>
            </w:r>
            <w:r>
              <w:rPr>
                <w:rFonts w:ascii="Arial" w:hAnsi="Arial" w:eastAsia="宋体" w:cs="Arial"/>
                <w:i w:val="0"/>
                <w:iCs w:val="0"/>
                <w:caps w:val="0"/>
                <w:color w:val="333333"/>
                <w:spacing w:val="0"/>
                <w:sz w:val="21"/>
                <w:szCs w:val="21"/>
                <w:highlight w:val="none"/>
                <w:shd w:val="clear" w:fill="FFFFFF"/>
              </w:rPr>
              <w:t>长期使用且处于潮湿环境</w:t>
            </w:r>
            <w:r>
              <w:rPr>
                <w:rFonts w:hint="eastAsia" w:ascii="Arial" w:hAnsi="Arial" w:cs="Arial"/>
                <w:i w:val="0"/>
                <w:iCs w:val="0"/>
                <w:caps w:val="0"/>
                <w:color w:val="333333"/>
                <w:spacing w:val="0"/>
                <w:sz w:val="21"/>
                <w:szCs w:val="21"/>
                <w:highlight w:val="none"/>
                <w:shd w:val="clear" w:fill="FFFFFF"/>
                <w:lang w:val="en-US" w:eastAsia="zh-CN"/>
              </w:rPr>
              <w:t>使用</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副</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347</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闭门器</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kern w:val="0"/>
                <w:sz w:val="21"/>
                <w:szCs w:val="21"/>
                <w:highlight w:val="none"/>
                <w:u w:val="none"/>
                <w:lang w:val="en-US" w:eastAsia="zh-CN" w:bidi="ar"/>
              </w:rPr>
              <w:t>明装</w:t>
            </w:r>
            <w:r>
              <w:rPr>
                <w:rFonts w:hint="eastAsia"/>
                <w:highlight w:val="none"/>
                <w:lang w:eastAsia="zh-CN"/>
              </w:rPr>
              <w:t>，</w:t>
            </w:r>
            <w:r>
              <w:rPr>
                <w:rFonts w:ascii="Arial" w:hAnsi="Arial" w:eastAsia="宋体" w:cs="Arial"/>
                <w:i w:val="0"/>
                <w:iCs w:val="0"/>
                <w:caps w:val="0"/>
                <w:color w:val="333333"/>
                <w:spacing w:val="0"/>
                <w:sz w:val="21"/>
                <w:szCs w:val="21"/>
                <w:highlight w:val="none"/>
                <w:shd w:val="clear" w:fill="FFFFFF"/>
              </w:rPr>
              <w:t>采用不锈钢材质制成，具</w:t>
            </w:r>
            <w:r>
              <w:rPr>
                <w:rFonts w:hint="eastAsia" w:ascii="Arial" w:hAnsi="Arial" w:eastAsia="宋体" w:cs="Arial"/>
                <w:i w:val="0"/>
                <w:iCs w:val="0"/>
                <w:caps w:val="0"/>
                <w:color w:val="333333"/>
                <w:spacing w:val="0"/>
                <w:sz w:val="21"/>
                <w:szCs w:val="21"/>
                <w:highlight w:val="none"/>
                <w:shd w:val="clear" w:fill="FFFFFF"/>
                <w:lang w:val="en-US" w:eastAsia="zh-CN"/>
              </w:rPr>
              <w:t>备</w:t>
            </w:r>
            <w:r>
              <w:rPr>
                <w:rFonts w:ascii="Arial" w:hAnsi="Arial" w:eastAsia="宋体" w:cs="Arial"/>
                <w:i w:val="0"/>
                <w:iCs w:val="0"/>
                <w:caps w:val="0"/>
                <w:color w:val="333333"/>
                <w:spacing w:val="0"/>
                <w:sz w:val="21"/>
                <w:szCs w:val="21"/>
                <w:highlight w:val="none"/>
                <w:shd w:val="clear" w:fill="FFFFFF"/>
              </w:rPr>
              <w:t>抗腐蚀和高强度</w:t>
            </w:r>
            <w:r>
              <w:rPr>
                <w:rFonts w:hint="eastAsia" w:ascii="Arial" w:hAnsi="Arial" w:eastAsia="宋体" w:cs="Arial"/>
                <w:i w:val="0"/>
                <w:iCs w:val="0"/>
                <w:caps w:val="0"/>
                <w:color w:val="333333"/>
                <w:spacing w:val="0"/>
                <w:sz w:val="21"/>
                <w:szCs w:val="21"/>
                <w:highlight w:val="none"/>
                <w:shd w:val="clear" w:fill="FFFFFF"/>
                <w:lang w:val="en-US" w:eastAsia="zh-CN"/>
              </w:rPr>
              <w:t>使用</w:t>
            </w:r>
            <w:r>
              <w:rPr>
                <w:rFonts w:ascii="Arial" w:hAnsi="Arial" w:eastAsia="宋体" w:cs="Arial"/>
                <w:i w:val="0"/>
                <w:iCs w:val="0"/>
                <w:caps w:val="0"/>
                <w:color w:val="333333"/>
                <w:spacing w:val="0"/>
                <w:sz w:val="21"/>
                <w:szCs w:val="21"/>
                <w:highlight w:val="none"/>
                <w:shd w:val="clear" w:fill="FFFFFF"/>
              </w:rPr>
              <w:t>。</w:t>
            </w:r>
            <w:r>
              <w:rPr>
                <w:rFonts w:hint="eastAsia" w:ascii="Arial" w:hAnsi="Arial" w:eastAsia="宋体" w:cs="Arial"/>
                <w:i w:val="0"/>
                <w:iCs w:val="0"/>
                <w:caps w:val="0"/>
                <w:color w:val="333333"/>
                <w:spacing w:val="0"/>
                <w:sz w:val="21"/>
                <w:szCs w:val="21"/>
                <w:highlight w:val="none"/>
                <w:shd w:val="clear" w:fill="FFFFFF"/>
                <w:lang w:val="en-US" w:eastAsia="zh-CN"/>
              </w:rPr>
              <w:t>能</w:t>
            </w:r>
            <w:r>
              <w:rPr>
                <w:rFonts w:ascii="Arial" w:hAnsi="Arial" w:eastAsia="宋体" w:cs="Arial"/>
                <w:i w:val="0"/>
                <w:iCs w:val="0"/>
                <w:caps w:val="0"/>
                <w:color w:val="333333"/>
                <w:spacing w:val="0"/>
                <w:sz w:val="21"/>
                <w:szCs w:val="21"/>
                <w:highlight w:val="none"/>
                <w:shd w:val="clear" w:fill="FFFFFF"/>
              </w:rPr>
              <w:t>使用且处于潮湿环境</w:t>
            </w:r>
            <w:r>
              <w:rPr>
                <w:rFonts w:hint="eastAsia" w:ascii="Arial" w:hAnsi="Arial" w:cs="Arial"/>
                <w:i w:val="0"/>
                <w:iCs w:val="0"/>
                <w:caps w:val="0"/>
                <w:color w:val="333333"/>
                <w:spacing w:val="0"/>
                <w:sz w:val="21"/>
                <w:szCs w:val="21"/>
                <w:highlight w:val="none"/>
                <w:shd w:val="clear" w:fill="FFFFFF"/>
                <w:lang w:val="en-US" w:eastAsia="zh-CN"/>
              </w:rPr>
              <w:t>使用</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副</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348</w:t>
            </w:r>
          </w:p>
        </w:tc>
        <w:tc>
          <w:tcPr>
            <w:tcW w:w="17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防火锁</w:t>
            </w:r>
          </w:p>
        </w:tc>
        <w:tc>
          <w:tcPr>
            <w:tcW w:w="5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both"/>
              <w:textAlignment w:val="center"/>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kern w:val="0"/>
                <w:sz w:val="21"/>
                <w:szCs w:val="21"/>
                <w:highlight w:val="none"/>
                <w:u w:val="none"/>
                <w:lang w:val="en-US" w:eastAsia="zh-CN" w:bidi="ar"/>
              </w:rPr>
              <w:t>防火锁</w:t>
            </w:r>
            <w:r>
              <w:rPr>
                <w:rFonts w:hint="eastAsia"/>
                <w:highlight w:val="none"/>
                <w:lang w:eastAsia="zh-CN"/>
              </w:rPr>
              <w:t>，</w:t>
            </w:r>
            <w:r>
              <w:rPr>
                <w:rFonts w:ascii="Arial" w:hAnsi="Arial" w:eastAsia="宋体" w:cs="Arial"/>
                <w:i w:val="0"/>
                <w:iCs w:val="0"/>
                <w:caps w:val="0"/>
                <w:color w:val="333333"/>
                <w:spacing w:val="0"/>
                <w:sz w:val="21"/>
                <w:szCs w:val="21"/>
                <w:highlight w:val="none"/>
                <w:shd w:val="clear" w:fill="FFFFFF"/>
              </w:rPr>
              <w:t>采用不锈钢材质制成，具</w:t>
            </w:r>
            <w:r>
              <w:rPr>
                <w:rFonts w:hint="eastAsia" w:ascii="Arial" w:hAnsi="Arial" w:eastAsia="宋体" w:cs="Arial"/>
                <w:i w:val="0"/>
                <w:iCs w:val="0"/>
                <w:caps w:val="0"/>
                <w:color w:val="333333"/>
                <w:spacing w:val="0"/>
                <w:sz w:val="21"/>
                <w:szCs w:val="21"/>
                <w:highlight w:val="none"/>
                <w:shd w:val="clear" w:fill="FFFFFF"/>
                <w:lang w:val="en-US" w:eastAsia="zh-CN"/>
              </w:rPr>
              <w:t>备</w:t>
            </w:r>
            <w:r>
              <w:rPr>
                <w:rFonts w:ascii="Arial" w:hAnsi="Arial" w:eastAsia="宋体" w:cs="Arial"/>
                <w:i w:val="0"/>
                <w:iCs w:val="0"/>
                <w:caps w:val="0"/>
                <w:color w:val="333333"/>
                <w:spacing w:val="0"/>
                <w:sz w:val="21"/>
                <w:szCs w:val="21"/>
                <w:highlight w:val="none"/>
                <w:shd w:val="clear" w:fill="FFFFFF"/>
              </w:rPr>
              <w:t>抗腐蚀和高强度</w:t>
            </w:r>
            <w:r>
              <w:rPr>
                <w:rFonts w:hint="eastAsia" w:ascii="Arial" w:hAnsi="Arial" w:cs="Arial"/>
                <w:i w:val="0"/>
                <w:iCs w:val="0"/>
                <w:caps w:val="0"/>
                <w:color w:val="333333"/>
                <w:spacing w:val="0"/>
                <w:sz w:val="21"/>
                <w:szCs w:val="21"/>
                <w:highlight w:val="none"/>
                <w:shd w:val="clear" w:fill="FFFFFF"/>
                <w:lang w:eastAsia="zh-CN"/>
              </w:rPr>
              <w:t>，</w:t>
            </w:r>
            <w:r>
              <w:rPr>
                <w:rFonts w:ascii="Arial" w:hAnsi="Arial" w:eastAsia="宋体" w:cs="Arial"/>
                <w:i w:val="0"/>
                <w:iCs w:val="0"/>
                <w:caps w:val="0"/>
                <w:color w:val="333333"/>
                <w:spacing w:val="0"/>
                <w:sz w:val="21"/>
                <w:szCs w:val="21"/>
                <w:highlight w:val="none"/>
                <w:shd w:val="clear" w:fill="FFFFFF"/>
              </w:rPr>
              <w:t>防火性和安全性高，坚固耐用</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副</w:t>
            </w:r>
          </w:p>
        </w:tc>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16"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240" w:lineRule="auto"/>
              <w:ind w:firstLine="0" w:firstLineChars="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b/>
                <w:color w:val="auto"/>
                <w:szCs w:val="21"/>
                <w:highlight w:val="none"/>
                <w:lang w:val="en-US" w:eastAsia="zh-CN"/>
              </w:rPr>
              <w:t>二、</w:t>
            </w:r>
            <w:r>
              <w:rPr>
                <w:rFonts w:hint="eastAsia" w:ascii="宋体" w:hAnsi="宋体" w:eastAsia="宋体" w:cs="宋体"/>
                <w:b/>
                <w:color w:val="auto"/>
                <w:szCs w:val="21"/>
                <w:highlight w:val="none"/>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3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240" w:lineRule="auto"/>
              <w:ind w:firstLine="0" w:firstLineChars="0"/>
              <w:jc w:val="both"/>
              <w:textAlignment w:val="center"/>
              <w:rPr>
                <w:rFonts w:hint="eastAsia" w:ascii="宋体" w:hAnsi="宋体" w:eastAsia="宋体" w:cs="宋体"/>
                <w:i w:val="0"/>
                <w:iCs w:val="0"/>
                <w:color w:val="auto"/>
                <w:sz w:val="20"/>
                <w:szCs w:val="20"/>
                <w:highlight w:val="none"/>
                <w:u w:val="none"/>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交付时间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交付</w:t>
            </w:r>
            <w:r>
              <w:rPr>
                <w:rFonts w:hint="eastAsia" w:ascii="宋体" w:hAnsi="宋体" w:eastAsia="宋体" w:cs="宋体"/>
                <w:color w:val="auto"/>
                <w:szCs w:val="21"/>
                <w:highlight w:val="none"/>
              </w:rPr>
              <w:t>地点</w:t>
            </w:r>
            <w:r>
              <w:rPr>
                <w:rFonts w:hint="eastAsia" w:ascii="宋体" w:hAnsi="宋体" w:eastAsia="宋体" w:cs="宋体"/>
                <w:color w:val="auto"/>
                <w:szCs w:val="21"/>
                <w:highlight w:val="none"/>
                <w:lang w:val="en-US" w:eastAsia="zh-CN"/>
              </w:rPr>
              <w:t>和</w:t>
            </w:r>
            <w:r>
              <w:rPr>
                <w:rFonts w:hint="eastAsia" w:ascii="宋体" w:hAnsi="宋体" w:eastAsia="宋体" w:cs="宋体"/>
                <w:color w:val="auto"/>
                <w:kern w:val="0"/>
                <w:szCs w:val="21"/>
                <w:highlight w:val="none"/>
              </w:rPr>
              <w:t>交货方式</w:t>
            </w:r>
          </w:p>
        </w:tc>
        <w:tc>
          <w:tcPr>
            <w:tcW w:w="798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1. 交付时间：自签订合同之日起 </w:t>
            </w:r>
            <w:r>
              <w:rPr>
                <w:rFonts w:hint="eastAsia" w:ascii="宋体" w:hAnsi="宋体" w:eastAsia="宋体" w:cs="宋体"/>
                <w:color w:val="auto"/>
                <w:highlight w:val="none"/>
                <w:lang w:val="en-US" w:eastAsia="zh-CN"/>
              </w:rPr>
              <w:t>90</w:t>
            </w:r>
            <w:r>
              <w:rPr>
                <w:rFonts w:hint="eastAsia" w:ascii="宋体" w:hAnsi="宋体" w:eastAsia="宋体" w:cs="宋体"/>
                <w:color w:val="auto"/>
                <w:highlight w:val="none"/>
              </w:rPr>
              <w:t xml:space="preserve"> 个</w:t>
            </w:r>
            <w:r>
              <w:rPr>
                <w:rFonts w:hint="eastAsia" w:ascii="宋体" w:hAnsi="宋体" w:cs="宋体"/>
                <w:color w:val="auto"/>
                <w:highlight w:val="none"/>
                <w:lang w:val="en-US" w:eastAsia="zh-CN"/>
              </w:rPr>
              <w:t>日历</w:t>
            </w:r>
            <w:r>
              <w:rPr>
                <w:rFonts w:hint="eastAsia" w:ascii="宋体" w:hAnsi="宋体" w:eastAsia="宋体" w:cs="宋体"/>
                <w:color w:val="auto"/>
                <w:highlight w:val="none"/>
              </w:rPr>
              <w:t>日内交付使用。</w:t>
            </w:r>
          </w:p>
          <w:p>
            <w:pPr>
              <w:keepNext w:val="0"/>
              <w:keepLines w:val="0"/>
              <w:pageBreakBefore w:val="0"/>
              <w:widowControl/>
              <w:kinsoku/>
              <w:wordWrap/>
              <w:overflowPunct/>
              <w:topLinePunct w:val="0"/>
              <w:autoSpaceDE/>
              <w:autoSpaceDN/>
              <w:bidi w:val="0"/>
              <w:spacing w:line="240" w:lineRule="auto"/>
              <w:ind w:firstLine="0" w:firstLineChars="0"/>
              <w:jc w:val="both"/>
              <w:textAlignment w:val="center"/>
              <w:rPr>
                <w:rFonts w:hint="eastAsia" w:ascii="宋体" w:hAnsi="宋体" w:eastAsia="宋体" w:cs="宋体"/>
                <w:color w:val="auto"/>
                <w:highlight w:val="none"/>
              </w:rPr>
            </w:pPr>
            <w:r>
              <w:rPr>
                <w:rFonts w:hint="eastAsia" w:ascii="宋体" w:hAnsi="宋体" w:eastAsia="宋体" w:cs="宋体"/>
                <w:color w:val="auto"/>
                <w:highlight w:val="none"/>
              </w:rPr>
              <w:t>2. 交付地点：广西</w:t>
            </w:r>
            <w:r>
              <w:rPr>
                <w:rFonts w:hint="eastAsia" w:ascii="宋体" w:hAnsi="宋体" w:eastAsia="宋体" w:cs="宋体"/>
                <w:color w:val="auto"/>
                <w:highlight w:val="none"/>
                <w:lang w:val="en-US" w:eastAsia="zh-CN"/>
              </w:rPr>
              <w:t>河池</w:t>
            </w:r>
            <w:r>
              <w:rPr>
                <w:rFonts w:hint="eastAsia" w:ascii="宋体" w:hAnsi="宋体" w:eastAsia="宋体" w:cs="宋体"/>
                <w:color w:val="auto"/>
                <w:highlight w:val="none"/>
              </w:rPr>
              <w:t>市</w:t>
            </w:r>
            <w:r>
              <w:rPr>
                <w:rFonts w:hint="eastAsia" w:ascii="宋体" w:hAnsi="宋体" w:eastAsia="宋体" w:cs="宋体"/>
                <w:color w:val="auto"/>
                <w:highlight w:val="none"/>
                <w:lang w:val="en-US" w:eastAsia="zh-CN"/>
              </w:rPr>
              <w:t>大化</w:t>
            </w:r>
            <w:r>
              <w:rPr>
                <w:rFonts w:hint="eastAsia" w:ascii="宋体" w:hAnsi="宋体" w:eastAsia="宋体" w:cs="宋体"/>
                <w:color w:val="auto"/>
                <w:highlight w:val="none"/>
              </w:rPr>
              <w:t>县采购人指定地点。</w:t>
            </w:r>
          </w:p>
          <w:p>
            <w:pPr>
              <w:pStyle w:val="32"/>
              <w:keepNext w:val="0"/>
              <w:keepLines w:val="0"/>
              <w:pageBreakBefore w:val="0"/>
              <w:kinsoku/>
              <w:wordWrap/>
              <w:overflowPunct/>
              <w:topLinePunct w:val="0"/>
              <w:autoSpaceDE/>
              <w:autoSpaceDN/>
              <w:bidi w:val="0"/>
              <w:spacing w:line="240" w:lineRule="auto"/>
              <w:ind w:firstLine="0" w:firstLineChars="0"/>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kern w:val="2"/>
                <w:sz w:val="21"/>
                <w:szCs w:val="24"/>
                <w:highlight w:val="none"/>
                <w:lang w:val="en-US" w:eastAsia="zh-CN" w:bidi="ar-SA"/>
              </w:rPr>
              <w:t>3.交货方式：现场交货。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3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ind w:firstLine="0" w:firstLineChars="0"/>
              <w:rPr>
                <w:rFonts w:hint="eastAsia" w:ascii="宋体" w:hAnsi="宋体" w:eastAsia="宋体" w:cs="宋体"/>
                <w:i w:val="0"/>
                <w:iCs w:val="0"/>
                <w:color w:val="auto"/>
                <w:sz w:val="20"/>
                <w:szCs w:val="20"/>
                <w:highlight w:val="none"/>
                <w:u w:val="none"/>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合同签订时间</w:t>
            </w:r>
          </w:p>
        </w:tc>
        <w:tc>
          <w:tcPr>
            <w:tcW w:w="798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ind w:firstLine="0" w:firstLineChars="0"/>
              <w:jc w:val="left"/>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Cs w:val="21"/>
                <w:highlight w:val="none"/>
              </w:rPr>
              <w:t xml:space="preserve">自中标通知书发出之日起 </w:t>
            </w:r>
            <w:r>
              <w:rPr>
                <w:rFonts w:hint="eastAsia" w:ascii="宋体" w:hAnsi="宋体" w:eastAsia="宋体" w:cs="宋体"/>
                <w:color w:val="auto"/>
                <w:szCs w:val="21"/>
                <w:highlight w:val="none"/>
                <w:u w:val="single"/>
                <w:lang w:val="en-US" w:eastAsia="zh-CN"/>
              </w:rPr>
              <w:t>25</w:t>
            </w:r>
            <w:r>
              <w:rPr>
                <w:rFonts w:hint="eastAsia" w:ascii="宋体" w:hAnsi="宋体" w:eastAsia="宋体" w:cs="宋体"/>
                <w:color w:val="auto"/>
                <w:szCs w:val="21"/>
                <w:highlight w:val="none"/>
              </w:rPr>
              <w:t>日内</w:t>
            </w:r>
            <w:r>
              <w:rPr>
                <w:rFonts w:hint="eastAsia" w:ascii="宋体" w:hAnsi="宋体" w:eastAsia="宋体" w:cs="宋体"/>
                <w:i/>
                <w:color w:val="auto"/>
                <w:szCs w:val="21"/>
                <w:highlight w:val="none"/>
                <w:lang w:eastAsia="zh-CN"/>
              </w:rPr>
              <w:t>，</w:t>
            </w:r>
            <w:r>
              <w:rPr>
                <w:rFonts w:hint="eastAsia" w:ascii="宋体" w:hAnsi="宋体" w:eastAsia="宋体" w:cs="宋体"/>
                <w:color w:val="auto"/>
                <w:kern w:val="0"/>
                <w:szCs w:val="21"/>
                <w:highlight w:val="none"/>
              </w:rPr>
              <w:t>若因中标供应商自身原因未能在约定的时间内与采购人签订合同的，采购人将不再受理合同签订事宜，并终止项目合同签订，中标供应商自行承担由此产生的后果。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3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ind w:firstLine="0" w:firstLineChars="0"/>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highlight w:val="none"/>
              </w:rPr>
              <w:t>验收标准、规范</w:t>
            </w:r>
          </w:p>
        </w:tc>
        <w:tc>
          <w:tcPr>
            <w:tcW w:w="798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hd w:val="clear" w:color="auto" w:fill="FFFFFF"/>
              <w:kinsoku/>
              <w:wordWrap/>
              <w:overflowPunct/>
              <w:topLinePunct w:val="0"/>
              <w:autoSpaceDE/>
              <w:autoSpaceDN/>
              <w:bidi w:val="0"/>
              <w:spacing w:line="240" w:lineRule="auto"/>
              <w:ind w:firstLine="0" w:firstLineChars="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1.</w:t>
            </w:r>
            <w:r>
              <w:rPr>
                <w:rFonts w:hint="eastAsia" w:ascii="宋体" w:hAnsi="宋体" w:eastAsia="宋体" w:cs="宋体"/>
                <w:color w:val="auto"/>
                <w:szCs w:val="21"/>
                <w:highlight w:val="none"/>
              </w:rPr>
              <w:t>依据</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及</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 xml:space="preserve">承诺对服务项目进行验收。服务技术参数与采购合同一致，性能或指标达到规定的标准。 </w:t>
            </w:r>
          </w:p>
          <w:p>
            <w:pPr>
              <w:keepNext w:val="0"/>
              <w:keepLines w:val="0"/>
              <w:pageBreakBefore w:val="0"/>
              <w:widowControl/>
              <w:kinsoku/>
              <w:wordWrap/>
              <w:overflowPunct/>
              <w:topLinePunct w:val="0"/>
              <w:autoSpaceDE/>
              <w:autoSpaceDN/>
              <w:bidi w:val="0"/>
              <w:spacing w:line="240" w:lineRule="auto"/>
              <w:ind w:firstLine="0" w:firstLineChars="0"/>
              <w:jc w:val="left"/>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2.</w:t>
            </w: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lang w:val="en-US" w:eastAsia="zh-CN"/>
              </w:rPr>
              <w:t>安装后，</w:t>
            </w:r>
            <w:r>
              <w:rPr>
                <w:rFonts w:hint="eastAsia" w:ascii="宋体" w:hAnsi="宋体" w:eastAsia="宋体" w:cs="宋体"/>
                <w:color w:val="auto"/>
                <w:szCs w:val="21"/>
                <w:highlight w:val="none"/>
              </w:rPr>
              <w:t>测试或试运行期间所出现的问题得到解决，并运行或工作正常。</w:t>
            </w:r>
            <w:r>
              <w:rPr>
                <w:rFonts w:hint="eastAsia" w:ascii="宋体" w:hAnsi="宋体" w:eastAsia="宋体" w:cs="宋体"/>
                <w:color w:val="auto"/>
                <w:highlight w:val="none"/>
              </w:rPr>
              <w:t>正常稳定运行7个工作日以上，经双方现场测试，满足采购人系统技术参数要求并经采购人签字确认，才能通过验收。</w:t>
            </w:r>
            <w:r>
              <w:rPr>
                <w:rFonts w:hint="eastAsia" w:ascii="宋体" w:hAnsi="宋体" w:eastAsia="宋体" w:cs="宋体"/>
                <w:color w:val="auto"/>
                <w:szCs w:val="21"/>
                <w:highlight w:val="none"/>
              </w:rPr>
              <w:t xml:space="preserve"> </w:t>
            </w:r>
          </w:p>
          <w:p>
            <w:pPr>
              <w:keepNext w:val="0"/>
              <w:keepLines w:val="0"/>
              <w:pageBreakBefore w:val="0"/>
              <w:widowControl/>
              <w:shd w:val="clear" w:color="auto" w:fill="FFFFFF"/>
              <w:kinsoku/>
              <w:wordWrap/>
              <w:overflowPunct/>
              <w:topLinePunct w:val="0"/>
              <w:autoSpaceDE/>
              <w:autoSpaceDN/>
              <w:bidi w:val="0"/>
              <w:spacing w:line="240" w:lineRule="auto"/>
              <w:ind w:firstLine="0" w:firstLineChars="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3.</w:t>
            </w:r>
            <w:r>
              <w:rPr>
                <w:rFonts w:hint="eastAsia" w:ascii="宋体" w:hAnsi="宋体" w:eastAsia="宋体" w:cs="宋体"/>
                <w:color w:val="auto"/>
                <w:szCs w:val="21"/>
                <w:highlight w:val="none"/>
              </w:rPr>
              <w:t>验收时采购人、</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等项目相关方都必</w:t>
            </w:r>
            <w:bookmarkStart w:id="255" w:name="_GoBack"/>
            <w:r>
              <w:rPr>
                <w:rFonts w:hint="eastAsia" w:ascii="宋体" w:hAnsi="宋体" w:eastAsia="宋体" w:cs="宋体"/>
                <w:color w:val="auto"/>
                <w:szCs w:val="21"/>
                <w:highlight w:val="none"/>
              </w:rPr>
              <w:t>须</w:t>
            </w:r>
            <w:bookmarkEnd w:id="255"/>
            <w:r>
              <w:rPr>
                <w:rFonts w:hint="eastAsia" w:ascii="宋体" w:hAnsi="宋体" w:eastAsia="宋体" w:cs="宋体"/>
                <w:color w:val="auto"/>
                <w:szCs w:val="21"/>
                <w:highlight w:val="none"/>
              </w:rPr>
              <w:t>在现场（必要时邀请</w:t>
            </w:r>
            <w:r>
              <w:rPr>
                <w:rFonts w:hint="eastAsia" w:ascii="宋体" w:hAnsi="宋体" w:eastAsia="宋体" w:cs="宋体"/>
                <w:color w:val="auto"/>
                <w:szCs w:val="21"/>
                <w:highlight w:val="none"/>
                <w:lang w:val="en-US" w:eastAsia="zh-CN"/>
              </w:rPr>
              <w:t>国家认可的</w:t>
            </w:r>
            <w:r>
              <w:rPr>
                <w:rFonts w:hint="eastAsia" w:ascii="宋体" w:hAnsi="宋体" w:eastAsia="宋体" w:cs="宋体"/>
                <w:color w:val="auto"/>
                <w:szCs w:val="21"/>
                <w:highlight w:val="none"/>
              </w:rPr>
              <w:t>第三方权威机构进行验收），</w:t>
            </w:r>
            <w:r>
              <w:rPr>
                <w:rFonts w:hint="eastAsia" w:ascii="宋体" w:hAnsi="宋体" w:eastAsia="宋体" w:cs="宋体"/>
                <w:color w:val="auto"/>
                <w:highlight w:val="none"/>
              </w:rPr>
              <w:t>由采购人对照</w:t>
            </w:r>
            <w:r>
              <w:rPr>
                <w:rFonts w:hint="eastAsia" w:ascii="宋体" w:hAnsi="宋体" w:eastAsia="宋体" w:cs="宋体"/>
                <w:color w:val="auto"/>
                <w:highlight w:val="none"/>
                <w:lang w:eastAsia="zh-CN"/>
              </w:rPr>
              <w:t>采购文件</w:t>
            </w:r>
            <w:r>
              <w:rPr>
                <w:rFonts w:hint="eastAsia" w:ascii="宋体" w:hAnsi="宋体" w:eastAsia="宋体" w:cs="宋体"/>
                <w:color w:val="auto"/>
                <w:highlight w:val="none"/>
              </w:rPr>
              <w:t>的功能目标及服务指标全面核对检验，</w:t>
            </w:r>
            <w:r>
              <w:rPr>
                <w:rFonts w:hint="eastAsia" w:ascii="宋体" w:hAnsi="宋体" w:eastAsia="宋体" w:cs="宋体"/>
                <w:color w:val="auto"/>
                <w:szCs w:val="21"/>
                <w:highlight w:val="none"/>
              </w:rPr>
              <w:t>验收完毕后，作出验收结果报告；</w:t>
            </w:r>
            <w:r>
              <w:rPr>
                <w:rFonts w:hint="eastAsia" w:ascii="宋体" w:hAnsi="宋体" w:eastAsia="宋体" w:cs="宋体"/>
                <w:color w:val="auto"/>
                <w:highlight w:val="none"/>
              </w:rPr>
              <w:t>如不符合</w:t>
            </w:r>
            <w:r>
              <w:rPr>
                <w:rFonts w:hint="eastAsia" w:ascii="宋体" w:hAnsi="宋体" w:eastAsia="宋体" w:cs="宋体"/>
                <w:color w:val="auto"/>
                <w:highlight w:val="none"/>
                <w:lang w:eastAsia="zh-CN"/>
              </w:rPr>
              <w:t>采购文件</w:t>
            </w:r>
            <w:r>
              <w:rPr>
                <w:rFonts w:hint="eastAsia" w:ascii="宋体" w:hAnsi="宋体" w:eastAsia="宋体" w:cs="宋体"/>
                <w:color w:val="auto"/>
                <w:highlight w:val="none"/>
              </w:rPr>
              <w:t>的服务需求及要求以及提供虚假承诺的，按相关规定做不接受服务处理及违约处理，</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承担所有责任和费用，采购人保留进一步追究责任的权利。</w:t>
            </w:r>
          </w:p>
          <w:p>
            <w:pPr>
              <w:keepNext w:val="0"/>
              <w:keepLines w:val="0"/>
              <w:pageBreakBefore w:val="0"/>
              <w:widowControl/>
              <w:shd w:val="clear" w:color="auto" w:fill="FFFFFF"/>
              <w:kinsoku/>
              <w:wordWrap/>
              <w:overflowPunct/>
              <w:topLinePunct w:val="0"/>
              <w:autoSpaceDE/>
              <w:autoSpaceDN/>
              <w:bidi w:val="0"/>
              <w:spacing w:line="240" w:lineRule="auto"/>
              <w:ind w:firstLine="0" w:firstLineChars="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4.</w:t>
            </w:r>
            <w:r>
              <w:rPr>
                <w:rFonts w:hint="eastAsia" w:ascii="宋体" w:hAnsi="宋体" w:eastAsia="宋体" w:cs="宋体"/>
                <w:color w:val="auto"/>
                <w:szCs w:val="21"/>
                <w:highlight w:val="none"/>
              </w:rPr>
              <w:t>合同履行过程中，采购人按照本项目合同及</w:t>
            </w:r>
            <w:r>
              <w:rPr>
                <w:rFonts w:hint="eastAsia"/>
                <w:highlight w:val="none"/>
                <w:lang w:val="en-US" w:eastAsia="zh-CN"/>
              </w:rPr>
              <w:t>招标文件</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响应文件承诺进行验收（或委托具有</w:t>
            </w:r>
            <w:r>
              <w:rPr>
                <w:rFonts w:hint="eastAsia" w:ascii="宋体" w:hAnsi="宋体" w:eastAsia="宋体" w:cs="宋体"/>
                <w:color w:val="auto"/>
                <w:szCs w:val="21"/>
                <w:highlight w:val="none"/>
                <w:lang w:val="en-US" w:eastAsia="zh-CN"/>
              </w:rPr>
              <w:t>国家认可</w:t>
            </w:r>
            <w:r>
              <w:rPr>
                <w:rFonts w:hint="eastAsia" w:ascii="宋体" w:hAnsi="宋体" w:eastAsia="宋体" w:cs="宋体"/>
                <w:color w:val="auto"/>
                <w:szCs w:val="21"/>
                <w:highlight w:val="none"/>
              </w:rPr>
              <w:t>相应资质的第三方机构进行验收，</w:t>
            </w:r>
            <w:r>
              <w:rPr>
                <w:rFonts w:hint="eastAsia" w:ascii="宋体" w:hAnsi="宋体" w:eastAsia="宋体" w:cs="宋体"/>
                <w:color w:val="auto"/>
                <w:szCs w:val="21"/>
                <w:highlight w:val="none"/>
                <w:lang w:eastAsia="zh-CN"/>
              </w:rPr>
              <w:t>投标</w:t>
            </w:r>
            <w:r>
              <w:rPr>
                <w:rFonts w:hint="eastAsia" w:ascii="宋体" w:hAnsi="宋体" w:eastAsia="宋体" w:cs="宋体"/>
                <w:color w:val="auto"/>
                <w:szCs w:val="21"/>
                <w:highlight w:val="none"/>
              </w:rPr>
              <w:t>报价时应考虑报价风险），如货物验收不合格，由</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按采购人（或</w:t>
            </w:r>
            <w:r>
              <w:rPr>
                <w:rFonts w:hint="eastAsia" w:ascii="宋体" w:hAnsi="宋体" w:eastAsia="宋体" w:cs="宋体"/>
                <w:color w:val="auto"/>
                <w:szCs w:val="21"/>
                <w:highlight w:val="none"/>
                <w:lang w:val="en-US" w:eastAsia="zh-CN"/>
              </w:rPr>
              <w:t>具有国家认可相应资质的</w:t>
            </w:r>
            <w:r>
              <w:rPr>
                <w:rFonts w:hint="eastAsia" w:ascii="宋体" w:hAnsi="宋体" w:eastAsia="宋体" w:cs="宋体"/>
                <w:color w:val="auto"/>
                <w:szCs w:val="21"/>
                <w:highlight w:val="none"/>
              </w:rPr>
              <w:t>第三方验收机构）要求整改，</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不按要求整改或拒不整改的，采购人有权终止合同</w:t>
            </w:r>
            <w:r>
              <w:rPr>
                <w:rFonts w:hint="eastAsia" w:ascii="宋体" w:hAnsi="宋体" w:eastAsia="宋体" w:cs="宋体"/>
                <w:strike w:val="0"/>
                <w:dstrike w:val="0"/>
                <w:color w:val="auto"/>
                <w:szCs w:val="21"/>
                <w:highlight w:val="none"/>
              </w:rPr>
              <w:t>。</w:t>
            </w:r>
            <w:r>
              <w:rPr>
                <w:rFonts w:hint="eastAsia" w:ascii="宋体" w:hAnsi="宋体" w:eastAsia="宋体" w:cs="宋体"/>
                <w:color w:val="auto"/>
                <w:szCs w:val="21"/>
                <w:highlight w:val="none"/>
              </w:rPr>
              <w:t>如不符合采购文件项目需要及</w:t>
            </w:r>
            <w:r>
              <w:rPr>
                <w:rFonts w:hint="eastAsia" w:ascii="宋体" w:hAnsi="宋体" w:eastAsia="宋体" w:cs="宋体"/>
                <w:color w:val="auto"/>
                <w:szCs w:val="21"/>
                <w:highlight w:val="none"/>
                <w:lang w:eastAsia="zh-CN"/>
              </w:rPr>
              <w:t>技术参数要求</w:t>
            </w:r>
            <w:r>
              <w:rPr>
                <w:rFonts w:hint="eastAsia" w:ascii="宋体" w:hAnsi="宋体" w:eastAsia="宋体" w:cs="宋体"/>
                <w:color w:val="auto"/>
                <w:szCs w:val="21"/>
                <w:highlight w:val="none"/>
              </w:rPr>
              <w:t>以及提供虚假承诺的，按相关规定做违约处理，采购人依据相关法律规定追究</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的责任，由此带来的一切损失由</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 xml:space="preserve">自行承担。 </w:t>
            </w:r>
          </w:p>
          <w:p>
            <w:pPr>
              <w:keepNext w:val="0"/>
              <w:keepLines w:val="0"/>
              <w:pageBreakBefore w:val="0"/>
              <w:widowControl/>
              <w:shd w:val="clear" w:color="auto" w:fill="FFFFFF"/>
              <w:kinsoku/>
              <w:wordWrap/>
              <w:overflowPunct/>
              <w:topLinePunct w:val="0"/>
              <w:autoSpaceDE/>
              <w:autoSpaceDN/>
              <w:bidi w:val="0"/>
              <w:spacing w:line="240" w:lineRule="auto"/>
              <w:ind w:firstLine="0" w:firstLineChars="0"/>
              <w:rPr>
                <w:rFonts w:hint="eastAsia" w:ascii="宋体" w:hAnsi="宋体" w:eastAsia="宋体" w:cs="宋体"/>
                <w:i w:val="0"/>
                <w:iCs w:val="0"/>
                <w:color w:val="auto"/>
                <w:sz w:val="20"/>
                <w:szCs w:val="20"/>
                <w:highlight w:val="none"/>
                <w:u w:val="none"/>
              </w:rPr>
            </w:pPr>
            <w:r>
              <w:rPr>
                <w:rFonts w:hint="eastAsia" w:ascii="宋体" w:hAnsi="宋体" w:cs="宋体"/>
                <w:color w:val="auto"/>
                <w:szCs w:val="21"/>
                <w:highlight w:val="none"/>
                <w:lang w:eastAsia="zh-CN"/>
              </w:rPr>
              <w:t>5.</w:t>
            </w:r>
            <w:r>
              <w:rPr>
                <w:rFonts w:hint="eastAsia" w:ascii="宋体" w:hAnsi="宋体" w:eastAsia="宋体" w:cs="宋体"/>
                <w:color w:val="auto"/>
                <w:szCs w:val="21"/>
                <w:highlight w:val="none"/>
              </w:rPr>
              <w:t>其他验收要求按《关于印发广西壮族自治区政府采购项目履约验收管理办法的通知》[桂财采〔2015〕22号]以及《财政部关于进一步加强政府采购需求和履约验收管理的指导意见》[财库〔2016〕205号]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河池市及大化县相关验收</w:t>
            </w:r>
            <w:r>
              <w:rPr>
                <w:rFonts w:hint="eastAsia" w:ascii="宋体" w:hAnsi="宋体" w:cs="宋体"/>
                <w:color w:val="auto"/>
                <w:szCs w:val="21"/>
                <w:highlight w:val="none"/>
                <w:lang w:val="en-US" w:eastAsia="zh-CN"/>
              </w:rPr>
              <w:t>规定</w:t>
            </w:r>
            <w:r>
              <w:rPr>
                <w:rFonts w:hint="eastAsia" w:ascii="宋体" w:hAnsi="宋体" w:eastAsia="宋体" w:cs="宋体"/>
                <w:color w:val="auto"/>
                <w:szCs w:val="21"/>
                <w:highlight w:val="none"/>
                <w:lang w:val="en-US" w:eastAsia="zh-CN"/>
              </w:rPr>
              <w:t>执行定</w:t>
            </w:r>
            <w:r>
              <w:rPr>
                <w:rFonts w:hint="eastAsia" w:ascii="宋体" w:hAnsi="宋体" w:eastAsia="宋体" w:cs="宋体"/>
                <w:color w:val="auto"/>
                <w:szCs w:val="21"/>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3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ind w:firstLine="0" w:firstLineChars="0"/>
              <w:rPr>
                <w:rFonts w:hint="eastAsia" w:ascii="宋体" w:hAnsi="宋体" w:eastAsia="宋体" w:cs="宋体"/>
                <w:i w:val="0"/>
                <w:iCs w:val="0"/>
                <w:color w:val="auto"/>
                <w:sz w:val="20"/>
                <w:szCs w:val="20"/>
                <w:highlight w:val="none"/>
                <w:u w:val="none"/>
              </w:rPr>
            </w:pPr>
            <w:r>
              <w:rPr>
                <w:rFonts w:hint="eastAsia" w:ascii="宋体" w:hAnsi="宋体" w:cs="宋体"/>
                <w:color w:val="auto"/>
                <w:szCs w:val="21"/>
                <w:highlight w:val="none"/>
                <w:lang w:eastAsia="zh-CN"/>
              </w:rPr>
              <w:t>★</w:t>
            </w:r>
            <w:r>
              <w:rPr>
                <w:rFonts w:hint="eastAsia" w:ascii="宋体" w:hAnsi="宋体" w:eastAsia="宋体" w:cs="宋体"/>
                <w:color w:val="auto"/>
                <w:highlight w:val="none"/>
              </w:rPr>
              <w:t>售后服务要求</w:t>
            </w:r>
          </w:p>
        </w:tc>
        <w:tc>
          <w:tcPr>
            <w:tcW w:w="798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hd w:val="clear" w:color="auto" w:fill="FFFFFF"/>
              <w:kinsoku/>
              <w:wordWrap/>
              <w:overflowPunct/>
              <w:topLinePunct w:val="0"/>
              <w:autoSpaceDE/>
              <w:autoSpaceDN/>
              <w:bidi w:val="0"/>
              <w:spacing w:line="240" w:lineRule="auto"/>
              <w:ind w:firstLine="0" w:firstLineChars="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1.</w:t>
            </w:r>
            <w:r>
              <w:rPr>
                <w:rFonts w:hint="eastAsia" w:ascii="宋体" w:hAnsi="宋体" w:eastAsia="宋体" w:cs="宋体"/>
                <w:color w:val="auto"/>
                <w:szCs w:val="21"/>
                <w:highlight w:val="none"/>
              </w:rPr>
              <w:t>质量保证期：</w:t>
            </w:r>
            <w:r>
              <w:rPr>
                <w:rFonts w:hint="eastAsia" w:ascii="宋体" w:hAnsi="宋体" w:eastAsia="宋体" w:cs="宋体"/>
                <w:color w:val="auto"/>
                <w:sz w:val="21"/>
                <w:highlight w:val="none"/>
              </w:rPr>
              <w:t>按国家有关产品“三包”规定执行“三包”，质保期除特别注明外，最短不得少于1年（若厂家质保期超过1年的，按厂家规定全免费包修），质保期内全免费上门维修、免费更换零部件，终身维修。</w:t>
            </w:r>
          </w:p>
          <w:p>
            <w:pPr>
              <w:keepNext w:val="0"/>
              <w:keepLines w:val="0"/>
              <w:pageBreakBefore w:val="0"/>
              <w:widowControl/>
              <w:kinsoku/>
              <w:wordWrap/>
              <w:overflowPunct/>
              <w:topLinePunct w:val="0"/>
              <w:autoSpaceDE/>
              <w:autoSpaceDN/>
              <w:bidi w:val="0"/>
              <w:spacing w:line="240" w:lineRule="auto"/>
              <w:ind w:firstLine="0" w:firstLineChars="0"/>
              <w:jc w:val="left"/>
              <w:rPr>
                <w:rFonts w:hint="eastAsia" w:ascii="宋体" w:hAnsi="宋体" w:eastAsia="宋体" w:cs="宋体"/>
                <w:color w:val="auto"/>
                <w:highlight w:val="none"/>
                <w:lang w:eastAsia="zh-CN"/>
              </w:rPr>
            </w:pPr>
            <w:r>
              <w:rPr>
                <w:rFonts w:hint="eastAsia" w:ascii="宋体" w:hAnsi="宋体" w:cs="宋体"/>
                <w:color w:val="auto"/>
                <w:szCs w:val="21"/>
                <w:highlight w:val="none"/>
                <w:lang w:eastAsia="zh-CN"/>
              </w:rPr>
              <w:t>2.</w:t>
            </w:r>
            <w:r>
              <w:rPr>
                <w:rFonts w:hint="eastAsia" w:ascii="宋体" w:hAnsi="宋体" w:eastAsia="宋体" w:cs="宋体"/>
                <w:color w:val="auto"/>
                <w:highlight w:val="none"/>
              </w:rPr>
              <w:t>提供7×24小时热线电话服务，并提供故障申告途径及绿色通道，做到全方位响应，并指定专人负责上门受理调试日常维护及平时协助采购人维护</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检测等工作；提供365×24小时的售后服务响应</w:t>
            </w:r>
            <w:r>
              <w:rPr>
                <w:rFonts w:hint="eastAsia" w:ascii="宋体" w:hAnsi="宋体" w:eastAsia="宋体" w:cs="宋体"/>
                <w:color w:val="auto"/>
                <w:highlight w:val="none"/>
                <w:lang w:eastAsia="zh-CN"/>
              </w:rPr>
              <w:t>。</w:t>
            </w:r>
          </w:p>
          <w:p>
            <w:pPr>
              <w:keepNext w:val="0"/>
              <w:keepLines w:val="0"/>
              <w:pageBreakBefore w:val="0"/>
              <w:widowControl/>
              <w:kinsoku/>
              <w:wordWrap/>
              <w:overflowPunct/>
              <w:topLinePunct w:val="0"/>
              <w:autoSpaceDE/>
              <w:autoSpaceDN/>
              <w:bidi w:val="0"/>
              <w:spacing w:line="240" w:lineRule="auto"/>
              <w:ind w:firstLine="0" w:firstLineChars="0"/>
              <w:jc w:val="left"/>
              <w:rPr>
                <w:rFonts w:hint="eastAsia" w:ascii="宋体" w:hAnsi="宋体" w:eastAsia="宋体" w:cs="宋体"/>
                <w:color w:val="auto"/>
                <w:highlight w:val="none"/>
                <w:lang w:eastAsia="zh-CN"/>
              </w:rPr>
            </w:pPr>
            <w:r>
              <w:rPr>
                <w:rFonts w:hint="eastAsia" w:ascii="宋体" w:hAnsi="宋体" w:cs="宋体"/>
                <w:color w:val="auto"/>
                <w:highlight w:val="none"/>
                <w:lang w:eastAsia="zh-CN"/>
              </w:rPr>
              <w:t>3.</w:t>
            </w:r>
            <w:r>
              <w:rPr>
                <w:rFonts w:hint="eastAsia" w:ascii="宋体" w:hAnsi="宋体" w:eastAsia="宋体" w:cs="宋体"/>
                <w:color w:val="auto"/>
                <w:highlight w:val="none"/>
              </w:rPr>
              <w:t>保证</w:t>
            </w:r>
            <w:r>
              <w:rPr>
                <w:rFonts w:hint="eastAsia" w:ascii="宋体" w:hAnsi="宋体" w:eastAsia="宋体" w:cs="宋体"/>
                <w:color w:val="auto"/>
                <w:highlight w:val="none"/>
                <w:lang w:val="en-US" w:eastAsia="zh-CN"/>
              </w:rPr>
              <w:t>设备、</w:t>
            </w:r>
            <w:r>
              <w:rPr>
                <w:rFonts w:hint="eastAsia" w:ascii="宋体" w:hAnsi="宋体" w:eastAsia="宋体" w:cs="宋体"/>
                <w:color w:val="auto"/>
                <w:highlight w:val="none"/>
              </w:rPr>
              <w:t>系统的畅通，如果出现问题，必须在接到</w:t>
            </w:r>
            <w:r>
              <w:rPr>
                <w:rFonts w:hint="eastAsia" w:ascii="宋体" w:hAnsi="宋体" w:eastAsia="宋体" w:cs="宋体"/>
                <w:color w:val="auto"/>
                <w:highlight w:val="none"/>
                <w:lang w:val="en-US" w:eastAsia="zh-CN"/>
              </w:rPr>
              <w:t>通知</w:t>
            </w:r>
            <w:r>
              <w:rPr>
                <w:rFonts w:hint="eastAsia" w:ascii="宋体" w:hAnsi="宋体" w:eastAsia="宋体" w:cs="宋体"/>
                <w:color w:val="auto"/>
                <w:highlight w:val="none"/>
              </w:rPr>
              <w:t>后</w:t>
            </w:r>
            <w:r>
              <w:rPr>
                <w:rFonts w:hint="eastAsia" w:ascii="宋体" w:hAnsi="宋体" w:eastAsia="宋体" w:cs="宋体"/>
                <w:color w:val="auto"/>
                <w:highlight w:val="none"/>
                <w:lang w:val="en-US" w:eastAsia="zh-CN"/>
              </w:rPr>
              <w:t>30分钟内响应，</w:t>
            </w:r>
            <w:r>
              <w:rPr>
                <w:rFonts w:hint="eastAsia" w:ascii="宋体" w:hAnsi="宋体" w:cs="宋体"/>
                <w:color w:val="auto"/>
                <w:highlight w:val="none"/>
                <w:lang w:val="en-US" w:eastAsia="zh-CN"/>
              </w:rPr>
              <w:t>4</w:t>
            </w:r>
            <w:r>
              <w:rPr>
                <w:rFonts w:hint="eastAsia" w:ascii="宋体" w:hAnsi="宋体" w:eastAsia="宋体" w:cs="宋体"/>
                <w:color w:val="auto"/>
                <w:highlight w:val="none"/>
              </w:rPr>
              <w:t>个小时内到达现场，负责排除故障，直到系统恢复正常，如设备故障在6小时内无法解决的应免费提供备件，确保系统正常运行</w:t>
            </w:r>
            <w:r>
              <w:rPr>
                <w:rFonts w:hint="eastAsia" w:ascii="宋体" w:hAnsi="宋体" w:eastAsia="宋体" w:cs="宋体"/>
                <w:color w:val="auto"/>
                <w:highlight w:val="none"/>
                <w:lang w:eastAsia="zh-CN"/>
              </w:rPr>
              <w:t>。</w:t>
            </w:r>
          </w:p>
          <w:p>
            <w:pPr>
              <w:keepNext w:val="0"/>
              <w:keepLines w:val="0"/>
              <w:pageBreakBefore w:val="0"/>
              <w:widowControl/>
              <w:kinsoku/>
              <w:wordWrap/>
              <w:overflowPunct/>
              <w:topLinePunct w:val="0"/>
              <w:autoSpaceDE/>
              <w:autoSpaceDN/>
              <w:bidi w:val="0"/>
              <w:spacing w:line="240" w:lineRule="auto"/>
              <w:ind w:firstLine="0" w:firstLineChars="0"/>
              <w:jc w:val="left"/>
              <w:rPr>
                <w:rFonts w:hint="eastAsia" w:ascii="宋体" w:hAnsi="宋体" w:eastAsia="宋体" w:cs="宋体"/>
                <w:i w:val="0"/>
                <w:iCs w:val="0"/>
                <w:color w:val="auto"/>
                <w:sz w:val="20"/>
                <w:szCs w:val="20"/>
                <w:highlight w:val="none"/>
                <w:u w:val="none"/>
              </w:rPr>
            </w:pPr>
            <w:r>
              <w:rPr>
                <w:rFonts w:hint="eastAsia" w:ascii="宋体" w:hAnsi="宋体" w:cs="宋体"/>
                <w:color w:val="auto"/>
                <w:highlight w:val="none"/>
                <w:lang w:val="en-US" w:eastAsia="zh-CN"/>
              </w:rPr>
              <w:t>4.</w:t>
            </w:r>
            <w:r>
              <w:rPr>
                <w:rFonts w:hint="eastAsia" w:ascii="宋体" w:hAnsi="宋体" w:eastAsia="宋体" w:cs="宋体"/>
                <w:color w:val="auto"/>
                <w:highlight w:val="none"/>
              </w:rPr>
              <w:t>服务配套设备要求：</w:t>
            </w:r>
            <w:r>
              <w:rPr>
                <w:rFonts w:hint="eastAsia" w:ascii="宋体" w:hAnsi="宋体" w:eastAsia="宋体" w:cs="宋体"/>
                <w:color w:val="auto"/>
                <w:highlight w:val="none"/>
                <w:lang w:val="en-US" w:eastAsia="zh-CN"/>
              </w:rPr>
              <w:t>质保期内</w:t>
            </w:r>
            <w:r>
              <w:rPr>
                <w:rFonts w:hint="eastAsia" w:ascii="宋体" w:hAnsi="宋体" w:eastAsia="宋体" w:cs="宋体"/>
                <w:color w:val="auto"/>
                <w:highlight w:val="none"/>
              </w:rPr>
              <w:t>对系统进行维护测试所需要使用的工具及软件由</w:t>
            </w:r>
            <w:r>
              <w:rPr>
                <w:rFonts w:hint="eastAsia" w:ascii="宋体" w:hAnsi="宋体" w:eastAsia="宋体" w:cs="宋体"/>
                <w:color w:val="auto"/>
                <w:highlight w:val="none"/>
                <w:lang w:val="en-US" w:eastAsia="zh-CN"/>
              </w:rPr>
              <w:t>中标人</w:t>
            </w:r>
            <w:r>
              <w:rPr>
                <w:rFonts w:hint="eastAsia" w:ascii="宋体" w:hAnsi="宋体" w:eastAsia="宋体" w:cs="宋体"/>
                <w:color w:val="auto"/>
                <w:highlight w:val="none"/>
              </w:rPr>
              <w:t>自备，不能要求采购人另行采购或提供。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3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ind w:firstLine="0" w:firstLineChars="0"/>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highlight w:val="none"/>
              </w:rPr>
              <w:t>报价</w:t>
            </w:r>
          </w:p>
        </w:tc>
        <w:tc>
          <w:tcPr>
            <w:tcW w:w="798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ind w:firstLine="0" w:firstLineChars="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报价必须含以下部分，包括：</w:t>
            </w:r>
          </w:p>
          <w:p>
            <w:pPr>
              <w:keepNext w:val="0"/>
              <w:keepLines w:val="0"/>
              <w:pageBreakBefore w:val="0"/>
              <w:kinsoku/>
              <w:wordWrap/>
              <w:overflowPunct/>
              <w:topLinePunct w:val="0"/>
              <w:autoSpaceDE/>
              <w:autoSpaceDN/>
              <w:bidi w:val="0"/>
              <w:spacing w:line="240" w:lineRule="auto"/>
              <w:ind w:firstLine="0" w:firstLineChars="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rPr>
              <w:t>货物的价格；</w:t>
            </w:r>
          </w:p>
          <w:p>
            <w:pPr>
              <w:keepNext w:val="0"/>
              <w:keepLines w:val="0"/>
              <w:pageBreakBefore w:val="0"/>
              <w:kinsoku/>
              <w:wordWrap/>
              <w:overflowPunct/>
              <w:topLinePunct w:val="0"/>
              <w:autoSpaceDE/>
              <w:autoSpaceDN/>
              <w:bidi w:val="0"/>
              <w:spacing w:line="240" w:lineRule="auto"/>
              <w:ind w:firstLine="0" w:firstLineChars="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必要的保险费用和各项税金；</w:t>
            </w:r>
          </w:p>
          <w:p>
            <w:pPr>
              <w:keepNext w:val="0"/>
              <w:keepLines w:val="0"/>
              <w:pageBreakBefore w:val="0"/>
              <w:kinsoku/>
              <w:wordWrap/>
              <w:overflowPunct/>
              <w:topLinePunct w:val="0"/>
              <w:autoSpaceDE/>
              <w:autoSpaceDN/>
              <w:bidi w:val="0"/>
              <w:spacing w:line="240" w:lineRule="auto"/>
              <w:ind w:firstLine="0" w:firstLineChars="0"/>
              <w:jc w:val="left"/>
              <w:rPr>
                <w:rFonts w:hint="eastAsia" w:ascii="宋体" w:hAnsi="宋体" w:eastAsia="宋体" w:cs="宋体"/>
                <w:i w:val="0"/>
                <w:iCs w:val="0"/>
                <w:color w:val="auto"/>
                <w:sz w:val="20"/>
                <w:szCs w:val="20"/>
                <w:highlight w:val="none"/>
                <w:u w:val="none"/>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其他：如运输、装卸、安装、调试、培训、技术支持、售后服务等费用。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3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ind w:firstLine="0" w:firstLineChars="0"/>
              <w:rPr>
                <w:rFonts w:hint="eastAsia" w:ascii="宋体" w:hAnsi="宋体" w:eastAsia="宋体" w:cs="宋体"/>
                <w:i w:val="0"/>
                <w:iCs w:val="0"/>
                <w:color w:val="auto"/>
                <w:sz w:val="20"/>
                <w:szCs w:val="20"/>
                <w:highlight w:val="none"/>
                <w:u w:val="none"/>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付款</w:t>
            </w:r>
            <w:r>
              <w:rPr>
                <w:rFonts w:hint="eastAsia" w:ascii="宋体" w:hAnsi="宋体" w:eastAsia="宋体" w:cs="宋体"/>
                <w:color w:val="auto"/>
                <w:szCs w:val="21"/>
                <w:highlight w:val="none"/>
                <w:lang w:val="en-US" w:eastAsia="zh-CN"/>
              </w:rPr>
              <w:t>方式</w:t>
            </w:r>
          </w:p>
        </w:tc>
        <w:tc>
          <w:tcPr>
            <w:tcW w:w="798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ind w:firstLine="0" w:firstLineChars="0"/>
              <w:jc w:val="left"/>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kern w:val="0"/>
                <w:szCs w:val="21"/>
                <w:highlight w:val="none"/>
                <w:lang w:val="en-US" w:eastAsia="zh-CN"/>
              </w:rPr>
              <w:t>自合同签订之日起7个工作日内，支付预付款合同总金额的40%；综合布线完成及安防设备进场安装后7个工作日内，支付合同总金额的30%；验收合格交付使用后7个工作日内，支付合同总金额的30%。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3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ind w:firstLine="0" w:firstLineChars="0"/>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Cs w:val="21"/>
                <w:highlight w:val="none"/>
                <w:lang w:val="en-US" w:eastAsia="zh-CN"/>
              </w:rPr>
              <w:t>核心产品</w:t>
            </w:r>
          </w:p>
        </w:tc>
        <w:tc>
          <w:tcPr>
            <w:tcW w:w="798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tabs>
                <w:tab w:val="left" w:pos="180"/>
                <w:tab w:val="left" w:pos="1620"/>
              </w:tabs>
              <w:kinsoku/>
              <w:wordWrap/>
              <w:overflowPunct/>
              <w:topLinePunct w:val="0"/>
              <w:autoSpaceDE/>
              <w:autoSpaceDN/>
              <w:bidi w:val="0"/>
              <w:spacing w:line="240" w:lineRule="auto"/>
              <w:ind w:firstLine="0" w:firstLineChars="0"/>
              <w:rPr>
                <w:rFonts w:hint="eastAsia" w:ascii="宋体" w:hAnsi="宋体" w:eastAsia="宋体" w:cs="宋体"/>
                <w:color w:val="auto"/>
                <w:szCs w:val="21"/>
                <w:highlight w:val="none"/>
                <w:lang w:eastAsia="zh-CN"/>
              </w:rPr>
            </w:pPr>
            <w:r>
              <w:rPr>
                <w:rFonts w:hint="eastAsia" w:ascii="宋体" w:hAnsi="宋体" w:eastAsia="宋体" w:cs="宋体"/>
                <w:b/>
                <w:color w:val="auto"/>
                <w:szCs w:val="21"/>
                <w:highlight w:val="none"/>
                <w:u w:val="single"/>
                <w:lang w:val="en-US" w:eastAsia="zh-CN"/>
              </w:rPr>
              <w:t>本项目核心产品为</w:t>
            </w:r>
            <w:r>
              <w:rPr>
                <w:rFonts w:hint="eastAsia" w:ascii="宋体" w:hAnsi="宋体" w:cs="宋体"/>
                <w:b/>
                <w:color w:val="auto"/>
                <w:szCs w:val="21"/>
                <w:highlight w:val="none"/>
                <w:u w:val="single"/>
                <w:lang w:val="en-US" w:eastAsia="zh-CN"/>
              </w:rPr>
              <w:t xml:space="preserve"> 119项人脸识别摄像机 </w:t>
            </w:r>
            <w:r>
              <w:rPr>
                <w:rFonts w:hint="eastAsia" w:ascii="宋体" w:hAnsi="宋体" w:eastAsia="宋体" w:cs="宋体"/>
                <w:b/>
                <w:color w:val="auto"/>
                <w:szCs w:val="21"/>
                <w:highlight w:val="none"/>
                <w:u w:val="single"/>
                <w:lang w:eastAsia="zh-CN"/>
              </w:rPr>
              <w:t>。</w:t>
            </w:r>
          </w:p>
          <w:p>
            <w:pPr>
              <w:keepNext w:val="0"/>
              <w:keepLines w:val="0"/>
              <w:pageBreakBefore w:val="0"/>
              <w:tabs>
                <w:tab w:val="left" w:pos="180"/>
                <w:tab w:val="left" w:pos="1620"/>
              </w:tabs>
              <w:kinsoku/>
              <w:wordWrap/>
              <w:overflowPunct/>
              <w:topLinePunct w:val="0"/>
              <w:autoSpaceDE/>
              <w:autoSpaceDN/>
              <w:bidi w:val="0"/>
              <w:spacing w:line="240" w:lineRule="auto"/>
              <w:ind w:firstLine="0" w:firstLineChars="0"/>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Cs w:val="21"/>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3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ind w:firstLine="0" w:firstLineChars="0"/>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1"/>
                <w:highlight w:val="none"/>
              </w:rPr>
              <w:t>现场勘察</w:t>
            </w:r>
          </w:p>
        </w:tc>
        <w:tc>
          <w:tcPr>
            <w:tcW w:w="7985" w:type="dxa"/>
            <w:gridSpan w:val="4"/>
            <w:tcBorders>
              <w:top w:val="single" w:color="000000" w:sz="4" w:space="0"/>
              <w:left w:val="single" w:color="000000" w:sz="4" w:space="0"/>
              <w:bottom w:val="single" w:color="000000" w:sz="4" w:space="0"/>
              <w:right w:val="single" w:color="000000" w:sz="4" w:space="0"/>
            </w:tcBorders>
            <w:noWrap/>
            <w:vAlign w:val="center"/>
          </w:tcPr>
          <w:p>
            <w:pPr>
              <w:pStyle w:val="27"/>
              <w:keepNext w:val="0"/>
              <w:keepLines w:val="0"/>
              <w:pageBreakBefore w:val="0"/>
              <w:kinsoku/>
              <w:wordWrap/>
              <w:overflowPunct/>
              <w:topLinePunct w:val="0"/>
              <w:autoSpaceDE/>
              <w:autoSpaceDN/>
              <w:bidi w:val="0"/>
              <w:snapToGrid w:val="0"/>
              <w:spacing w:line="240" w:lineRule="auto"/>
              <w:ind w:firstLine="0" w:firstLineChars="0"/>
              <w:rPr>
                <w:rFonts w:hint="eastAsia" w:ascii="宋体" w:hAnsi="宋体" w:eastAsia="宋体" w:cs="宋体"/>
                <w:color w:val="auto"/>
                <w:sz w:val="21"/>
                <w:highlight w:val="none"/>
              </w:rPr>
            </w:pPr>
            <w:r>
              <w:rPr>
                <w:rFonts w:hint="eastAsia" w:hAnsi="宋体" w:cs="宋体"/>
                <w:color w:val="auto"/>
                <w:sz w:val="21"/>
                <w:highlight w:val="none"/>
                <w:lang w:eastAsia="zh-CN"/>
              </w:rPr>
              <w:t>1.</w:t>
            </w:r>
            <w:r>
              <w:rPr>
                <w:rFonts w:hint="eastAsia" w:ascii="宋体" w:hAnsi="宋体" w:eastAsia="宋体" w:cs="宋体"/>
                <w:color w:val="auto"/>
                <w:sz w:val="21"/>
                <w:highlight w:val="none"/>
              </w:rPr>
              <w:t>现场勘察</w:t>
            </w:r>
          </w:p>
          <w:p>
            <w:pPr>
              <w:pStyle w:val="2"/>
              <w:rPr>
                <w:rFonts w:hint="eastAsia" w:ascii="宋体" w:hAnsi="宋体" w:eastAsia="宋体" w:cs="宋体"/>
                <w:color w:val="auto"/>
                <w:spacing w:val="0"/>
                <w:kern w:val="2"/>
                <w:sz w:val="22"/>
                <w:szCs w:val="24"/>
                <w:highlight w:val="none"/>
                <w:lang w:val="en-US" w:eastAsia="zh-CN" w:bidi="ar-SA"/>
              </w:rPr>
            </w:pPr>
            <w:r>
              <w:rPr>
                <w:rFonts w:hint="eastAsia" w:ascii="宋体" w:hAnsi="宋体" w:eastAsia="宋体" w:cs="宋体"/>
                <w:color w:val="auto"/>
                <w:spacing w:val="0"/>
                <w:kern w:val="2"/>
                <w:sz w:val="22"/>
                <w:szCs w:val="24"/>
                <w:highlight w:val="none"/>
                <w:lang w:val="en-US" w:eastAsia="zh-CN" w:bidi="ar-SA"/>
              </w:rPr>
              <w:t>为保证报价符合采购需求，投标人应在大化瑶族自治县人民法院组织下</w:t>
            </w:r>
            <w:r>
              <w:rPr>
                <w:rFonts w:hint="eastAsia" w:ascii="宋体" w:hAnsi="宋体" w:cs="宋体"/>
                <w:color w:val="auto"/>
                <w:spacing w:val="0"/>
                <w:kern w:val="2"/>
                <w:sz w:val="22"/>
                <w:szCs w:val="24"/>
                <w:highlight w:val="none"/>
                <w:lang w:val="en-US" w:eastAsia="zh-CN" w:bidi="ar-SA"/>
              </w:rPr>
              <w:t>统一</w:t>
            </w:r>
            <w:r>
              <w:rPr>
                <w:rFonts w:hint="eastAsia" w:ascii="宋体" w:hAnsi="宋体" w:eastAsia="宋体" w:cs="宋体"/>
                <w:color w:val="auto"/>
                <w:spacing w:val="0"/>
                <w:kern w:val="2"/>
                <w:sz w:val="22"/>
                <w:szCs w:val="24"/>
                <w:highlight w:val="none"/>
                <w:lang w:val="en-US" w:eastAsia="zh-CN" w:bidi="ar-SA"/>
              </w:rPr>
              <w:t>进行实地勘查了解现场实际情况。供应商的现场踏勘实行自愿原则，车辆和勘察费用自理。现场勘查须携带的资料：供应商代表持获取采购文件回执函、单位介绍信原件或授权委托书、个人身份证原件。</w:t>
            </w:r>
          </w:p>
          <w:p>
            <w:pPr>
              <w:pStyle w:val="2"/>
              <w:rPr>
                <w:rFonts w:hint="eastAsia" w:ascii="宋体" w:hAnsi="宋体" w:eastAsia="宋体" w:cs="宋体"/>
                <w:color w:val="auto"/>
                <w:spacing w:val="0"/>
                <w:kern w:val="2"/>
                <w:sz w:val="22"/>
                <w:szCs w:val="24"/>
                <w:highlight w:val="none"/>
                <w:lang w:val="en-US" w:eastAsia="zh-CN" w:bidi="ar-SA"/>
              </w:rPr>
            </w:pPr>
            <w:r>
              <w:rPr>
                <w:rFonts w:hint="eastAsia" w:ascii="宋体" w:hAnsi="宋体" w:eastAsia="宋体" w:cs="宋体"/>
                <w:color w:val="auto"/>
                <w:spacing w:val="0"/>
                <w:kern w:val="2"/>
                <w:sz w:val="22"/>
                <w:szCs w:val="24"/>
                <w:highlight w:val="none"/>
                <w:lang w:val="en-US" w:eastAsia="zh-CN" w:bidi="ar-SA"/>
              </w:rPr>
              <w:t>踏勘时间：202</w:t>
            </w:r>
            <w:r>
              <w:rPr>
                <w:rFonts w:hint="eastAsia" w:ascii="宋体" w:hAnsi="宋体" w:cs="宋体"/>
                <w:color w:val="auto"/>
                <w:spacing w:val="0"/>
                <w:kern w:val="2"/>
                <w:sz w:val="22"/>
                <w:szCs w:val="24"/>
                <w:highlight w:val="none"/>
                <w:lang w:val="en-US" w:eastAsia="zh-CN" w:bidi="ar-SA"/>
              </w:rPr>
              <w:t>5</w:t>
            </w:r>
            <w:r>
              <w:rPr>
                <w:rFonts w:hint="eastAsia" w:ascii="宋体" w:hAnsi="宋体" w:eastAsia="宋体" w:cs="宋体"/>
                <w:color w:val="auto"/>
                <w:spacing w:val="0"/>
                <w:kern w:val="2"/>
                <w:sz w:val="22"/>
                <w:szCs w:val="24"/>
                <w:highlight w:val="none"/>
                <w:lang w:val="en-US" w:eastAsia="zh-CN" w:bidi="ar-SA"/>
              </w:rPr>
              <w:t>年</w:t>
            </w:r>
            <w:r>
              <w:rPr>
                <w:rFonts w:hint="eastAsia" w:ascii="宋体" w:hAnsi="宋体" w:cs="宋体"/>
                <w:color w:val="auto"/>
                <w:spacing w:val="0"/>
                <w:kern w:val="2"/>
                <w:sz w:val="22"/>
                <w:szCs w:val="24"/>
                <w:highlight w:val="none"/>
                <w:lang w:val="en-US" w:eastAsia="zh-CN" w:bidi="ar-SA"/>
              </w:rPr>
              <w:t xml:space="preserve">  </w:t>
            </w:r>
            <w:r>
              <w:rPr>
                <w:rFonts w:hint="eastAsia" w:ascii="宋体" w:hAnsi="宋体" w:eastAsia="宋体" w:cs="宋体"/>
                <w:color w:val="auto"/>
                <w:spacing w:val="0"/>
                <w:kern w:val="2"/>
                <w:sz w:val="22"/>
                <w:szCs w:val="24"/>
                <w:highlight w:val="none"/>
                <w:lang w:val="en-US" w:eastAsia="zh-CN" w:bidi="ar-SA"/>
              </w:rPr>
              <w:t>月</w:t>
            </w:r>
            <w:r>
              <w:rPr>
                <w:rFonts w:hint="eastAsia" w:ascii="宋体" w:hAnsi="宋体" w:cs="宋体"/>
                <w:color w:val="auto"/>
                <w:spacing w:val="0"/>
                <w:kern w:val="2"/>
                <w:sz w:val="22"/>
                <w:szCs w:val="24"/>
                <w:highlight w:val="none"/>
                <w:lang w:val="en-US" w:eastAsia="zh-CN" w:bidi="ar-SA"/>
              </w:rPr>
              <w:t xml:space="preserve">   </w:t>
            </w:r>
            <w:r>
              <w:rPr>
                <w:rFonts w:hint="eastAsia" w:ascii="宋体" w:hAnsi="宋体" w:eastAsia="宋体" w:cs="宋体"/>
                <w:color w:val="auto"/>
                <w:spacing w:val="0"/>
                <w:kern w:val="2"/>
                <w:sz w:val="22"/>
                <w:szCs w:val="24"/>
                <w:highlight w:val="none"/>
                <w:lang w:val="en-US" w:eastAsia="zh-CN" w:bidi="ar-SA"/>
              </w:rPr>
              <w:t>日上午</w:t>
            </w:r>
            <w:r>
              <w:rPr>
                <w:rFonts w:hint="eastAsia" w:ascii="宋体" w:hAnsi="宋体" w:cs="宋体"/>
                <w:color w:val="auto"/>
                <w:spacing w:val="0"/>
                <w:kern w:val="2"/>
                <w:sz w:val="22"/>
                <w:szCs w:val="24"/>
                <w:highlight w:val="none"/>
                <w:lang w:val="en-US" w:eastAsia="zh-CN" w:bidi="ar-SA"/>
              </w:rPr>
              <w:t xml:space="preserve">  </w:t>
            </w:r>
            <w:r>
              <w:rPr>
                <w:rFonts w:hint="eastAsia" w:ascii="宋体" w:hAnsi="宋体" w:eastAsia="宋体" w:cs="宋体"/>
                <w:color w:val="auto"/>
                <w:spacing w:val="0"/>
                <w:kern w:val="2"/>
                <w:sz w:val="22"/>
                <w:szCs w:val="24"/>
                <w:highlight w:val="none"/>
                <w:lang w:val="en-US" w:eastAsia="zh-CN" w:bidi="ar-SA"/>
              </w:rPr>
              <w:t>:</w:t>
            </w:r>
            <w:r>
              <w:rPr>
                <w:rFonts w:hint="eastAsia" w:ascii="宋体" w:hAnsi="宋体" w:cs="宋体"/>
                <w:color w:val="auto"/>
                <w:spacing w:val="0"/>
                <w:kern w:val="2"/>
                <w:sz w:val="22"/>
                <w:szCs w:val="24"/>
                <w:highlight w:val="none"/>
                <w:lang w:val="en-US" w:eastAsia="zh-CN" w:bidi="ar-SA"/>
              </w:rPr>
              <w:t xml:space="preserve">  </w:t>
            </w:r>
            <w:r>
              <w:rPr>
                <w:rFonts w:hint="eastAsia" w:ascii="宋体" w:hAnsi="宋体" w:eastAsia="宋体" w:cs="宋体"/>
                <w:color w:val="auto"/>
                <w:spacing w:val="0"/>
                <w:kern w:val="2"/>
                <w:sz w:val="22"/>
                <w:szCs w:val="24"/>
                <w:highlight w:val="none"/>
                <w:lang w:val="en-US" w:eastAsia="zh-CN" w:bidi="ar-SA"/>
              </w:rPr>
              <w:t>分（逾期不候）</w:t>
            </w:r>
          </w:p>
          <w:p>
            <w:pPr>
              <w:pStyle w:val="2"/>
              <w:rPr>
                <w:rFonts w:hint="eastAsia" w:ascii="宋体" w:hAnsi="宋体" w:eastAsia="宋体" w:cs="宋体"/>
                <w:color w:val="auto"/>
                <w:spacing w:val="0"/>
                <w:kern w:val="2"/>
                <w:sz w:val="22"/>
                <w:szCs w:val="24"/>
                <w:highlight w:val="none"/>
                <w:lang w:val="en-US" w:eastAsia="zh-CN" w:bidi="ar-SA"/>
              </w:rPr>
            </w:pPr>
            <w:r>
              <w:rPr>
                <w:rFonts w:hint="eastAsia" w:ascii="宋体" w:hAnsi="宋体" w:eastAsia="宋体" w:cs="宋体"/>
                <w:color w:val="auto"/>
                <w:spacing w:val="0"/>
                <w:kern w:val="2"/>
                <w:sz w:val="22"/>
                <w:szCs w:val="24"/>
                <w:highlight w:val="none"/>
                <w:lang w:val="en-US" w:eastAsia="zh-CN" w:bidi="ar-SA"/>
              </w:rPr>
              <w:t>集合地点：大化瑶族自治县人民法院审判法庭业务用房</w:t>
            </w:r>
            <w:r>
              <w:rPr>
                <w:rFonts w:hint="eastAsia" w:ascii="宋体" w:hAnsi="宋体" w:cs="宋体"/>
                <w:color w:val="auto"/>
                <w:spacing w:val="0"/>
                <w:kern w:val="2"/>
                <w:sz w:val="22"/>
                <w:szCs w:val="24"/>
                <w:highlight w:val="none"/>
                <w:lang w:val="en-US" w:eastAsia="zh-CN" w:bidi="ar-SA"/>
              </w:rPr>
              <w:t>项目所在地</w:t>
            </w:r>
          </w:p>
          <w:p>
            <w:pPr>
              <w:pStyle w:val="27"/>
              <w:keepNext w:val="0"/>
              <w:keepLines w:val="0"/>
              <w:pageBreakBefore w:val="0"/>
              <w:kinsoku/>
              <w:wordWrap/>
              <w:overflowPunct/>
              <w:topLinePunct w:val="0"/>
              <w:autoSpaceDE/>
              <w:autoSpaceDN/>
              <w:bidi w:val="0"/>
              <w:snapToGrid w:val="0"/>
              <w:spacing w:line="240" w:lineRule="auto"/>
              <w:ind w:firstLine="0" w:firstLineChars="0"/>
              <w:rPr>
                <w:rFonts w:hint="default" w:hAnsi="宋体" w:cs="宋体"/>
                <w:color w:val="auto"/>
                <w:spacing w:val="0"/>
                <w:kern w:val="2"/>
                <w:sz w:val="22"/>
                <w:szCs w:val="24"/>
                <w:highlight w:val="none"/>
                <w:lang w:val="en-US" w:eastAsia="zh-CN" w:bidi="ar-SA"/>
              </w:rPr>
            </w:pPr>
            <w:r>
              <w:rPr>
                <w:rFonts w:hint="eastAsia" w:ascii="宋体" w:hAnsi="宋体" w:eastAsia="宋体" w:cs="宋体"/>
                <w:color w:val="auto"/>
                <w:spacing w:val="0"/>
                <w:kern w:val="2"/>
                <w:sz w:val="22"/>
                <w:szCs w:val="24"/>
                <w:highlight w:val="none"/>
                <w:lang w:val="en-US" w:eastAsia="zh-CN" w:bidi="ar-SA"/>
              </w:rPr>
              <w:t>现场踏勘联系人及电话：</w:t>
            </w:r>
            <w:r>
              <w:rPr>
                <w:rFonts w:hint="eastAsia" w:hAnsi="宋体" w:cs="宋体"/>
                <w:color w:val="auto"/>
                <w:spacing w:val="0"/>
                <w:kern w:val="2"/>
                <w:sz w:val="22"/>
                <w:szCs w:val="24"/>
                <w:highlight w:val="none"/>
                <w:lang w:val="en-US" w:eastAsia="zh-CN" w:bidi="ar-SA"/>
              </w:rPr>
              <w:t xml:space="preserve"> 陆文珍  19977899066</w:t>
            </w:r>
          </w:p>
          <w:p>
            <w:pPr>
              <w:pStyle w:val="32"/>
              <w:keepNext w:val="0"/>
              <w:keepLines w:val="0"/>
              <w:pageBreakBefore w:val="0"/>
              <w:kinsoku/>
              <w:wordWrap/>
              <w:overflowPunct/>
              <w:topLinePunct w:val="0"/>
              <w:autoSpaceDE/>
              <w:autoSpaceDN/>
              <w:bidi w:val="0"/>
              <w:spacing w:line="240" w:lineRule="auto"/>
              <w:ind w:firstLine="0" w:firstLineChars="0"/>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3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ind w:firstLine="0" w:firstLineChars="0"/>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Cs w:val="21"/>
                <w:highlight w:val="none"/>
                <w:lang w:val="en-US" w:eastAsia="zh-CN"/>
              </w:rPr>
              <w:t>其它</w:t>
            </w:r>
          </w:p>
        </w:tc>
        <w:tc>
          <w:tcPr>
            <w:tcW w:w="798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hd w:val="clear" w:color="auto" w:fill="FFFFFF"/>
              <w:kinsoku/>
              <w:wordWrap/>
              <w:overflowPunct/>
              <w:topLinePunct w:val="0"/>
              <w:autoSpaceDE/>
              <w:autoSpaceDN/>
              <w:bidi w:val="0"/>
              <w:spacing w:line="240" w:lineRule="auto"/>
              <w:ind w:firstLine="0" w:firstLineChars="0"/>
              <w:rPr>
                <w:rFonts w:hint="eastAsia" w:ascii="宋体" w:hAnsi="宋体" w:eastAsia="宋体" w:cs="宋体"/>
                <w:color w:val="auto"/>
                <w:highlight w:val="none"/>
              </w:rPr>
            </w:pPr>
            <w:r>
              <w:rPr>
                <w:rFonts w:hint="eastAsia" w:ascii="宋体" w:hAnsi="宋体" w:cs="宋体"/>
                <w:color w:val="auto"/>
                <w:highlight w:val="none"/>
                <w:lang w:eastAsia="zh-CN"/>
              </w:rPr>
              <w:t>★1.</w:t>
            </w:r>
            <w:r>
              <w:rPr>
                <w:rFonts w:hint="eastAsia" w:ascii="宋体" w:hAnsi="宋体" w:eastAsia="宋体" w:cs="宋体"/>
                <w:color w:val="auto"/>
                <w:highlight w:val="none"/>
              </w:rPr>
              <w:t>本项目采购标的需执行国家相关标准、行业标准、地方标准</w:t>
            </w:r>
            <w:r>
              <w:rPr>
                <w:rFonts w:hint="eastAsia" w:ascii="宋体" w:hAnsi="宋体" w:cs="宋体"/>
                <w:color w:val="auto"/>
                <w:highlight w:val="none"/>
                <w:lang w:eastAsia="zh-CN"/>
              </w:rPr>
              <w:t>、</w:t>
            </w:r>
            <w:r>
              <w:rPr>
                <w:rFonts w:hint="eastAsia" w:ascii="宋体" w:hAnsi="宋体" w:cs="宋体"/>
                <w:color w:val="auto"/>
                <w:highlight w:val="none"/>
                <w:lang w:val="en-US" w:eastAsia="zh-CN"/>
              </w:rPr>
              <w:t>生产许可</w:t>
            </w:r>
            <w:r>
              <w:rPr>
                <w:rFonts w:hint="eastAsia" w:ascii="宋体" w:hAnsi="宋体" w:eastAsia="宋体" w:cs="宋体"/>
                <w:color w:val="auto"/>
                <w:highlight w:val="none"/>
              </w:rPr>
              <w:t>或其他强制性标准、规范等要求。</w:t>
            </w:r>
          </w:p>
          <w:p>
            <w:pPr>
              <w:keepNext w:val="0"/>
              <w:keepLines w:val="0"/>
              <w:pageBreakBefore w:val="0"/>
              <w:numPr>
                <w:ilvl w:val="0"/>
                <w:numId w:val="0"/>
              </w:numPr>
              <w:tabs>
                <w:tab w:val="left" w:pos="180"/>
                <w:tab w:val="left" w:pos="1620"/>
              </w:tabs>
              <w:kinsoku/>
              <w:wordWrap/>
              <w:overflowPunct/>
              <w:topLinePunct w:val="0"/>
              <w:autoSpaceDE/>
              <w:autoSpaceDN/>
              <w:bidi w:val="0"/>
              <w:spacing w:line="240" w:lineRule="auto"/>
              <w:ind w:left="0" w:leftChars="0" w:firstLine="0" w:firstLineChars="0"/>
              <w:rPr>
                <w:rFonts w:hint="eastAsia" w:ascii="宋体" w:hAnsi="宋体" w:eastAsia="宋体" w:cs="宋体"/>
                <w:i w:val="0"/>
                <w:iCs w:val="0"/>
                <w:color w:val="auto"/>
                <w:sz w:val="20"/>
                <w:szCs w:val="20"/>
                <w:highlight w:val="none"/>
                <w:u w:val="none"/>
              </w:rPr>
            </w:pPr>
            <w:r>
              <w:rPr>
                <w:rFonts w:hint="eastAsia" w:ascii="宋体" w:hAnsi="宋体" w:cs="宋体"/>
                <w:color w:val="auto"/>
                <w:kern w:val="2"/>
                <w:sz w:val="21"/>
                <w:szCs w:val="24"/>
                <w:highlight w:val="none"/>
                <w:lang w:val="en-US" w:eastAsia="zh-CN" w:bidi="ar-SA"/>
              </w:rPr>
              <w:t>2.</w:t>
            </w:r>
            <w:r>
              <w:rPr>
                <w:rFonts w:hint="eastAsia" w:ascii="宋体" w:hAnsi="宋体" w:eastAsia="宋体" w:cs="宋体"/>
                <w:color w:val="auto"/>
                <w:highlight w:val="none"/>
              </w:rPr>
              <w:t>投标人可在投标文件中提供投标产品对外公开的产品彩页或说明书（体现技术参数</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或</w:t>
            </w:r>
            <w:r>
              <w:rPr>
                <w:rFonts w:hint="eastAsia" w:ascii="宋体" w:hAnsi="宋体" w:cs="宋体"/>
                <w:b w:val="0"/>
                <w:bCs w:val="0"/>
                <w:color w:val="auto"/>
                <w:kern w:val="0"/>
                <w:szCs w:val="21"/>
                <w:highlight w:val="none"/>
                <w:lang w:eastAsia="zh-CN" w:bidi="ar"/>
              </w:rPr>
              <w:t>厂家证明或功能截图或国家认可的第三方检测报告</w:t>
            </w:r>
            <w:r>
              <w:rPr>
                <w:rFonts w:hint="eastAsia" w:ascii="宋体" w:hAnsi="宋体" w:eastAsia="宋体" w:cs="宋体"/>
                <w:color w:val="auto"/>
                <w:highlight w:val="none"/>
              </w:rPr>
              <w:t>，可以是从生产厂家网页下载的PDF或HTM文件或检测报告或生产厂家盖章的技术参数证明材料），以供评标时核对。当投标文件提供的仪器性能参数与该产品生产商提供的性能参数不符合时，以后者为准。</w:t>
            </w:r>
          </w:p>
        </w:tc>
      </w:tr>
    </w:tbl>
    <w:p>
      <w:pPr>
        <w:keepNext w:val="0"/>
        <w:keepLines w:val="0"/>
        <w:pageBreakBefore w:val="0"/>
        <w:kinsoku/>
        <w:wordWrap/>
        <w:overflowPunct/>
        <w:topLinePunct w:val="0"/>
        <w:autoSpaceDE/>
        <w:autoSpaceDN/>
        <w:bidi w:val="0"/>
        <w:ind w:firstLine="0" w:firstLineChars="0"/>
        <w:rPr>
          <w:rFonts w:hint="eastAsia" w:ascii="宋体" w:hAnsi="宋体"/>
          <w:color w:val="auto"/>
          <w:szCs w:val="21"/>
          <w:highlight w:val="none"/>
        </w:rPr>
      </w:pPr>
      <w:r>
        <w:rPr>
          <w:rFonts w:hint="eastAsia" w:ascii="宋体" w:hAnsi="宋体"/>
          <w:color w:val="auto"/>
          <w:szCs w:val="21"/>
          <w:highlight w:val="none"/>
        </w:rPr>
        <w:br w:type="page"/>
      </w:r>
    </w:p>
    <w:p>
      <w:pPr>
        <w:pStyle w:val="2"/>
        <w:rPr>
          <w:rFonts w:hint="eastAsia"/>
          <w:highlight w:val="none"/>
        </w:rPr>
      </w:pPr>
    </w:p>
    <w:p>
      <w:pPr>
        <w:ind w:firstLine="0" w:firstLineChars="0"/>
        <w:rPr>
          <w:rFonts w:hint="eastAsia"/>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rFonts w:hint="eastAsia"/>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rFonts w:hint="eastAsia"/>
          <w:color w:val="auto"/>
          <w:highlight w:val="none"/>
        </w:rPr>
      </w:pPr>
    </w:p>
    <w:p>
      <w:pPr>
        <w:pStyle w:val="46"/>
        <w:ind w:left="0" w:leftChars="0" w:right="0" w:rightChars="0" w:firstLine="0" w:firstLineChars="0"/>
        <w:jc w:val="center"/>
        <w:rPr>
          <w:color w:val="auto"/>
          <w:highlight w:val="none"/>
        </w:rPr>
      </w:pPr>
      <w:bookmarkStart w:id="75" w:name="_Toc91512285"/>
      <w:r>
        <w:rPr>
          <w:rFonts w:hint="eastAsia"/>
          <w:color w:val="auto"/>
          <w:highlight w:val="none"/>
        </w:rPr>
        <w:t>第三章  投标人须知及前附表</w:t>
      </w:r>
      <w:bookmarkEnd w:id="63"/>
      <w:bookmarkEnd w:id="75"/>
    </w:p>
    <w:p>
      <w:pPr>
        <w:pStyle w:val="6"/>
        <w:ind w:firstLine="0" w:firstLineChars="0"/>
        <w:jc w:val="center"/>
        <w:rPr>
          <w:rFonts w:ascii="宋体" w:hAnsi="宋体" w:eastAsia="宋体"/>
          <w:color w:val="auto"/>
          <w:kern w:val="44"/>
          <w:sz w:val="44"/>
          <w:szCs w:val="44"/>
          <w:highlight w:val="none"/>
        </w:rPr>
      </w:pPr>
      <w:r>
        <w:rPr>
          <w:rFonts w:ascii="方正小标宋_GBK" w:hAnsi="方正小标宋_GBK" w:eastAsia="方正小标宋_GBK"/>
          <w:color w:val="auto"/>
          <w:highlight w:val="none"/>
        </w:rPr>
        <w:br w:type="page"/>
      </w:r>
      <w:r>
        <w:rPr>
          <w:rFonts w:hint="eastAsia" w:ascii="宋体" w:hAnsi="宋体" w:eastAsia="宋体"/>
          <w:color w:val="auto"/>
          <w:kern w:val="44"/>
          <w:sz w:val="44"/>
          <w:szCs w:val="44"/>
          <w:highlight w:val="none"/>
        </w:rPr>
        <w:t>投标人须知前附表</w:t>
      </w:r>
    </w:p>
    <w:tbl>
      <w:tblPr>
        <w:tblStyle w:val="49"/>
        <w:tblpPr w:leftFromText="180" w:rightFromText="180" w:vertAnchor="text" w:horzAnchor="margin" w:tblpX="108" w:tblpY="39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92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ind w:firstLine="0" w:firstLineChars="0"/>
              <w:jc w:val="center"/>
              <w:rPr>
                <w:rFonts w:ascii="宋体" w:hAnsi="宋体"/>
                <w:b/>
                <w:color w:val="auto"/>
                <w:szCs w:val="21"/>
                <w:highlight w:val="none"/>
              </w:rPr>
            </w:pPr>
            <w:r>
              <w:rPr>
                <w:rFonts w:hint="eastAsia" w:ascii="宋体" w:hAnsi="宋体"/>
                <w:b/>
                <w:color w:val="auto"/>
                <w:szCs w:val="21"/>
                <w:highlight w:val="none"/>
              </w:rPr>
              <w:t>序号</w:t>
            </w:r>
          </w:p>
        </w:tc>
        <w:tc>
          <w:tcPr>
            <w:tcW w:w="92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ind w:firstLine="0" w:firstLineChars="0"/>
              <w:jc w:val="center"/>
              <w:rPr>
                <w:rFonts w:ascii="宋体" w:hAnsi="宋体"/>
                <w:b/>
                <w:color w:val="auto"/>
                <w:szCs w:val="21"/>
                <w:highlight w:val="none"/>
              </w:rPr>
            </w:pPr>
            <w:r>
              <w:rPr>
                <w:rFonts w:hint="eastAsia" w:ascii="宋体" w:hAnsi="宋体"/>
                <w:b/>
                <w:color w:val="auto"/>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7"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ind w:left="-424" w:leftChars="-202" w:firstLine="420"/>
              <w:jc w:val="center"/>
              <w:rPr>
                <w:color w:val="auto"/>
                <w:highlight w:val="none"/>
              </w:rPr>
            </w:pPr>
            <w:r>
              <w:rPr>
                <w:color w:val="auto"/>
                <w:highlight w:val="none"/>
              </w:rPr>
              <w:t>1</w:t>
            </w:r>
          </w:p>
        </w:tc>
        <w:tc>
          <w:tcPr>
            <w:tcW w:w="92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ind w:firstLine="8" w:firstLineChars="4"/>
              <w:rPr>
                <w:rStyle w:val="58"/>
                <w:rFonts w:hint="eastAsia" w:ascii="宋体" w:hAnsi="宋体" w:eastAsia="宋体" w:cs="Arial"/>
                <w:bCs/>
                <w:color w:val="auto"/>
                <w:szCs w:val="21"/>
                <w:highlight w:val="none"/>
                <w:u w:val="none"/>
                <w:lang w:eastAsia="zh-CN"/>
              </w:rPr>
            </w:pPr>
            <w:r>
              <w:rPr>
                <w:rFonts w:hAnsi="宋体"/>
                <w:color w:val="auto"/>
                <w:highlight w:val="none"/>
              </w:rPr>
              <w:fldChar w:fldCharType="begin"/>
            </w:r>
            <w:r>
              <w:rPr>
                <w:rFonts w:hAnsi="宋体"/>
                <w:color w:val="auto"/>
                <w:highlight w:val="none"/>
              </w:rPr>
              <w:instrText xml:space="preserve"> </w:instrText>
            </w:r>
            <w:r>
              <w:rPr>
                <w:rFonts w:hint="eastAsia" w:hAnsi="宋体"/>
                <w:color w:val="auto"/>
                <w:highlight w:val="none"/>
              </w:rPr>
              <w:instrText xml:space="preserve">HYPERLINK </w:instrText>
            </w:r>
            <w:r>
              <w:rPr>
                <w:rFonts w:hAnsi="宋体"/>
                <w:color w:val="auto"/>
                <w:highlight w:val="none"/>
              </w:rPr>
              <w:instrText xml:space="preserve"> \l "_一、总__则" </w:instrText>
            </w:r>
            <w:r>
              <w:rPr>
                <w:rFonts w:hAnsi="宋体"/>
                <w:color w:val="auto"/>
                <w:highlight w:val="none"/>
              </w:rPr>
              <w:fldChar w:fldCharType="separate"/>
            </w:r>
            <w:r>
              <w:rPr>
                <w:rStyle w:val="58"/>
                <w:rFonts w:hint="eastAsia" w:hAnsi="宋体"/>
                <w:color w:val="auto"/>
                <w:highlight w:val="none"/>
                <w:u w:val="none"/>
              </w:rPr>
              <w:t>项目名称：</w:t>
            </w:r>
            <w:r>
              <w:rPr>
                <w:rStyle w:val="58"/>
                <w:rFonts w:hint="eastAsia" w:hAnsi="宋体"/>
                <w:color w:val="auto"/>
                <w:highlight w:val="none"/>
                <w:u w:val="none"/>
                <w:lang w:eastAsia="zh-CN"/>
              </w:rPr>
              <w:t>大化瑶族自治县人民法院审判法庭业务用房信息化建设</w:t>
            </w:r>
          </w:p>
          <w:p>
            <w:pPr>
              <w:snapToGrid w:val="0"/>
              <w:spacing w:line="340" w:lineRule="exact"/>
              <w:ind w:firstLine="8" w:firstLineChars="4"/>
              <w:rPr>
                <w:rFonts w:hint="eastAsia" w:hAnsi="宋体" w:eastAsia="宋体"/>
                <w:color w:val="auto"/>
                <w:highlight w:val="none"/>
                <w:lang w:eastAsia="zh-CN"/>
              </w:rPr>
            </w:pPr>
            <w:r>
              <w:rPr>
                <w:rStyle w:val="58"/>
                <w:rFonts w:hint="eastAsia" w:ascii="宋体" w:hAnsi="宋体"/>
                <w:color w:val="auto"/>
                <w:highlight w:val="none"/>
                <w:u w:val="none"/>
              </w:rPr>
              <w:t>项目编号：</w:t>
            </w:r>
            <w:r>
              <w:rPr>
                <w:rFonts w:hAnsi="宋体"/>
                <w:color w:val="auto"/>
                <w:highlight w:val="none"/>
              </w:rPr>
              <w:fldChar w:fldCharType="end"/>
            </w:r>
            <w:r>
              <w:rPr>
                <w:rFonts w:hint="eastAsia" w:hAnsi="宋体"/>
                <w:color w:val="auto"/>
                <w:highlight w:val="none"/>
                <w:lang w:eastAsia="zh-CN"/>
              </w:rPr>
              <w:t>HCZC2025-G1-990090-QZSZ</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8"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ind w:left="-424" w:leftChars="-202" w:firstLine="420"/>
              <w:jc w:val="center"/>
              <w:rPr>
                <w:rFonts w:hint="eastAsia"/>
                <w:color w:val="auto"/>
                <w:highlight w:val="none"/>
              </w:rPr>
            </w:pPr>
            <w:r>
              <w:rPr>
                <w:color w:val="auto"/>
                <w:highlight w:val="none"/>
              </w:rPr>
              <w:t>2</w:t>
            </w:r>
          </w:p>
        </w:tc>
        <w:tc>
          <w:tcPr>
            <w:tcW w:w="921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8" w:firstLineChars="4"/>
              <w:rPr>
                <w:rStyle w:val="58"/>
                <w:rFonts w:ascii="宋体" w:hAnsi="宋体"/>
                <w:color w:val="auto"/>
                <w:highlight w:val="none"/>
                <w:u w:val="none"/>
              </w:rPr>
            </w:pPr>
            <w:r>
              <w:rPr>
                <w:rStyle w:val="58"/>
                <w:rFonts w:ascii="宋体" w:hAnsi="宋体"/>
                <w:color w:val="auto"/>
                <w:highlight w:val="none"/>
                <w:u w:val="none"/>
              </w:rPr>
              <w:fldChar w:fldCharType="begin"/>
            </w:r>
            <w:r>
              <w:rPr>
                <w:rStyle w:val="58"/>
                <w:rFonts w:ascii="宋体" w:hAnsi="宋体"/>
                <w:color w:val="auto"/>
                <w:highlight w:val="none"/>
                <w:u w:val="none"/>
              </w:rPr>
              <w:instrText xml:space="preserve"> </w:instrText>
            </w:r>
            <w:r>
              <w:rPr>
                <w:rStyle w:val="58"/>
                <w:rFonts w:hint="eastAsia" w:ascii="宋体" w:hAnsi="宋体"/>
                <w:color w:val="auto"/>
                <w:highlight w:val="none"/>
                <w:u w:val="none"/>
              </w:rPr>
              <w:instrText xml:space="preserve">HYPERLINK </w:instrText>
            </w:r>
            <w:r>
              <w:rPr>
                <w:rStyle w:val="58"/>
                <w:rFonts w:ascii="宋体" w:hAnsi="宋体"/>
                <w:color w:val="auto"/>
                <w:highlight w:val="none"/>
                <w:u w:val="none"/>
              </w:rPr>
              <w:instrText xml:space="preserve"> \l "_一、总__则" </w:instrText>
            </w:r>
            <w:r>
              <w:rPr>
                <w:rStyle w:val="58"/>
                <w:rFonts w:ascii="宋体" w:hAnsi="宋体"/>
                <w:color w:val="auto"/>
                <w:highlight w:val="none"/>
                <w:u w:val="none"/>
              </w:rPr>
              <w:fldChar w:fldCharType="separate"/>
            </w:r>
            <w:r>
              <w:rPr>
                <w:rStyle w:val="58"/>
                <w:rFonts w:hint="eastAsia" w:ascii="宋体" w:hAnsi="宋体"/>
                <w:color w:val="auto"/>
                <w:highlight w:val="none"/>
                <w:u w:val="none"/>
              </w:rPr>
              <w:t>投标人资格：</w:t>
            </w:r>
          </w:p>
          <w:p>
            <w:pPr>
              <w:spacing w:line="340" w:lineRule="exact"/>
              <w:ind w:firstLine="0" w:firstLineChars="0"/>
              <w:rPr>
                <w:rStyle w:val="58"/>
                <w:rFonts w:hint="eastAsia" w:ascii="宋体" w:hAnsi="宋体"/>
                <w:color w:val="auto"/>
                <w:highlight w:val="none"/>
                <w:u w:val="none"/>
              </w:rPr>
            </w:pPr>
            <w:r>
              <w:rPr>
                <w:rStyle w:val="58"/>
                <w:rFonts w:hint="eastAsia" w:ascii="宋体" w:hAnsi="宋体"/>
                <w:color w:val="auto"/>
                <w:highlight w:val="none"/>
                <w:u w:val="none"/>
              </w:rPr>
              <w:t>1.满足《中华人民共和国政府采购法》第二十二条规定</w:t>
            </w:r>
          </w:p>
          <w:p>
            <w:pPr>
              <w:spacing w:line="340" w:lineRule="exact"/>
              <w:ind w:firstLine="0" w:firstLineChars="0"/>
              <w:rPr>
                <w:rStyle w:val="58"/>
                <w:rFonts w:hint="eastAsia" w:ascii="宋体" w:hAnsi="宋体" w:eastAsia="宋体"/>
                <w:color w:val="auto"/>
                <w:highlight w:val="none"/>
                <w:u w:val="none"/>
                <w:lang w:eastAsia="zh-CN"/>
              </w:rPr>
            </w:pPr>
            <w:r>
              <w:rPr>
                <w:rStyle w:val="58"/>
                <w:rFonts w:hint="eastAsia" w:ascii="宋体" w:hAnsi="宋体"/>
                <w:color w:val="auto"/>
                <w:highlight w:val="none"/>
                <w:u w:val="none"/>
              </w:rPr>
              <w:t>2.落实政府采购政策需满足的资格要求：</w:t>
            </w:r>
            <w:r>
              <w:rPr>
                <w:rFonts w:hint="eastAsia"/>
                <w:highlight w:val="none"/>
                <w:lang w:eastAsia="zh-CN"/>
              </w:rPr>
              <w:t>无。</w:t>
            </w:r>
          </w:p>
          <w:p>
            <w:pPr>
              <w:spacing w:line="340" w:lineRule="exact"/>
              <w:ind w:firstLine="0" w:firstLineChars="0"/>
              <w:rPr>
                <w:rFonts w:ascii="宋体" w:hAnsi="宋体"/>
                <w:color w:val="auto"/>
                <w:highlight w:val="none"/>
              </w:rPr>
            </w:pPr>
            <w:r>
              <w:rPr>
                <w:rStyle w:val="58"/>
                <w:rFonts w:hint="eastAsia" w:ascii="宋体" w:hAnsi="宋体"/>
                <w:color w:val="auto"/>
                <w:highlight w:val="none"/>
                <w:u w:val="none"/>
              </w:rPr>
              <w:t>3.本项目的特定资格要求：无</w:t>
            </w:r>
            <w:r>
              <w:rPr>
                <w:rStyle w:val="58"/>
                <w:rFonts w:ascii="宋体" w:hAnsi="宋体"/>
                <w:color w:val="auto"/>
                <w:highlight w:val="none"/>
                <w:u w:val="none"/>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ind w:left="-424" w:leftChars="-202" w:firstLine="420"/>
              <w:jc w:val="center"/>
              <w:rPr>
                <w:color w:val="auto"/>
                <w:highlight w:val="none"/>
              </w:rPr>
            </w:pPr>
            <w:r>
              <w:rPr>
                <w:color w:val="auto"/>
                <w:highlight w:val="none"/>
              </w:rPr>
              <w:t>3</w:t>
            </w:r>
          </w:p>
        </w:tc>
        <w:tc>
          <w:tcPr>
            <w:tcW w:w="92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ind w:firstLine="8" w:firstLineChars="4"/>
              <w:rPr>
                <w:rFonts w:ascii="宋体" w:hAnsi="宋体"/>
                <w:color w:val="auto"/>
                <w:szCs w:val="21"/>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 </w:instrText>
            </w:r>
            <w:r>
              <w:rPr>
                <w:rFonts w:hint="eastAsia" w:ascii="宋体" w:hAnsi="宋体"/>
                <w:color w:val="auto"/>
                <w:szCs w:val="21"/>
                <w:highlight w:val="none"/>
              </w:rPr>
              <w:instrText xml:space="preserve">HYPERLINK </w:instrText>
            </w:r>
            <w:r>
              <w:rPr>
                <w:rFonts w:ascii="宋体" w:hAnsi="宋体"/>
                <w:color w:val="auto"/>
                <w:szCs w:val="21"/>
                <w:highlight w:val="none"/>
              </w:rPr>
              <w:instrText xml:space="preserve"> \l "_三、投标文件" </w:instrText>
            </w:r>
            <w:r>
              <w:rPr>
                <w:rFonts w:ascii="宋体" w:hAnsi="宋体"/>
                <w:color w:val="auto"/>
                <w:szCs w:val="21"/>
                <w:highlight w:val="none"/>
              </w:rPr>
              <w:fldChar w:fldCharType="separate"/>
            </w:r>
            <w:r>
              <w:rPr>
                <w:rStyle w:val="58"/>
                <w:rFonts w:hint="eastAsia" w:ascii="宋体" w:hAnsi="宋体"/>
                <w:color w:val="auto"/>
                <w:szCs w:val="21"/>
                <w:highlight w:val="none"/>
                <w:u w:val="none"/>
              </w:rPr>
              <w:t>投标文件组成</w:t>
            </w:r>
            <w:bookmarkStart w:id="76" w:name="_Hlt92979199"/>
            <w:r>
              <w:rPr>
                <w:rStyle w:val="58"/>
                <w:rFonts w:hint="eastAsia" w:ascii="宋体" w:hAnsi="宋体"/>
                <w:color w:val="auto"/>
                <w:szCs w:val="21"/>
                <w:highlight w:val="none"/>
                <w:u w:val="none"/>
              </w:rPr>
              <w:t>：</w:t>
            </w:r>
            <w:bookmarkEnd w:id="76"/>
            <w:r>
              <w:rPr>
                <w:rStyle w:val="58"/>
                <w:rFonts w:hint="eastAsia" w:ascii="宋体" w:hAnsi="宋体" w:cs="Arial"/>
                <w:color w:val="auto"/>
                <w:szCs w:val="21"/>
                <w:highlight w:val="none"/>
                <w:u w:val="none"/>
              </w:rPr>
              <w:t>资格</w:t>
            </w:r>
            <w:bookmarkStart w:id="77" w:name="_Hlt92979142"/>
            <w:r>
              <w:rPr>
                <w:rStyle w:val="58"/>
                <w:rFonts w:hint="eastAsia" w:ascii="宋体" w:hAnsi="宋体" w:cs="Arial"/>
                <w:color w:val="auto"/>
                <w:szCs w:val="21"/>
                <w:highlight w:val="none"/>
                <w:u w:val="none"/>
              </w:rPr>
              <w:t>文</w:t>
            </w:r>
            <w:bookmarkEnd w:id="77"/>
            <w:r>
              <w:rPr>
                <w:rStyle w:val="58"/>
                <w:rFonts w:hint="eastAsia" w:ascii="宋体" w:hAnsi="宋体" w:cs="Arial"/>
                <w:color w:val="auto"/>
                <w:szCs w:val="21"/>
                <w:highlight w:val="none"/>
                <w:u w:val="none"/>
              </w:rPr>
              <w:t>件、商务技术文件、</w:t>
            </w:r>
            <w:r>
              <w:rPr>
                <w:rStyle w:val="58"/>
                <w:rFonts w:hint="eastAsia" w:ascii="宋体" w:hAnsi="宋体"/>
                <w:color w:val="auto"/>
                <w:szCs w:val="21"/>
                <w:highlight w:val="none"/>
                <w:u w:val="none"/>
              </w:rPr>
              <w:t>报价文件。</w:t>
            </w:r>
            <w:r>
              <w:rPr>
                <w:rFonts w:ascii="宋体" w:hAnsi="宋体"/>
                <w:color w:val="auto"/>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ind w:left="-424" w:leftChars="-202" w:firstLine="420"/>
              <w:jc w:val="center"/>
              <w:rPr>
                <w:color w:val="auto"/>
                <w:highlight w:val="none"/>
              </w:rPr>
            </w:pPr>
            <w:r>
              <w:rPr>
                <w:color w:val="auto"/>
                <w:highlight w:val="none"/>
              </w:rPr>
              <w:t>4</w:t>
            </w:r>
          </w:p>
        </w:tc>
        <w:tc>
          <w:tcPr>
            <w:tcW w:w="92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ind w:firstLine="8" w:firstLineChars="4"/>
              <w:rPr>
                <w:rFonts w:hAnsi="宋体"/>
                <w:color w:val="auto"/>
                <w:highlight w:val="none"/>
              </w:rPr>
            </w:pPr>
            <w:r>
              <w:rPr>
                <w:rFonts w:hAnsi="宋体"/>
                <w:color w:val="auto"/>
                <w:highlight w:val="none"/>
              </w:rPr>
              <w:fldChar w:fldCharType="begin"/>
            </w:r>
            <w:r>
              <w:rPr>
                <w:rFonts w:hAnsi="宋体"/>
                <w:color w:val="auto"/>
                <w:highlight w:val="none"/>
              </w:rPr>
              <w:instrText xml:space="preserve"> </w:instrText>
            </w:r>
            <w:r>
              <w:rPr>
                <w:rFonts w:hint="eastAsia" w:hAnsi="宋体"/>
                <w:color w:val="auto"/>
                <w:highlight w:val="none"/>
              </w:rPr>
              <w:instrText xml:space="preserve">HYPERLINK </w:instrText>
            </w:r>
            <w:r>
              <w:rPr>
                <w:rFonts w:hAnsi="宋体"/>
                <w:color w:val="auto"/>
                <w:highlight w:val="none"/>
              </w:rPr>
              <w:instrText xml:space="preserve"> \l "_（五）投标报价" </w:instrText>
            </w:r>
            <w:r>
              <w:rPr>
                <w:rFonts w:hAnsi="宋体"/>
                <w:color w:val="auto"/>
                <w:highlight w:val="none"/>
              </w:rPr>
              <w:fldChar w:fldCharType="separate"/>
            </w:r>
            <w:r>
              <w:rPr>
                <w:rStyle w:val="58"/>
                <w:rFonts w:hint="eastAsia" w:hAnsi="宋体"/>
                <w:color w:val="auto"/>
                <w:highlight w:val="none"/>
                <w:u w:val="none"/>
              </w:rPr>
              <w:t>投标报价：投标人</w:t>
            </w:r>
            <w:r>
              <w:rPr>
                <w:rStyle w:val="58"/>
                <w:rFonts w:hint="eastAsia"/>
                <w:color w:val="auto"/>
                <w:highlight w:val="none"/>
                <w:u w:val="none"/>
              </w:rPr>
              <w:t>必须就本项目/标项货物及服务内容作完整唯一报价，否则投标无效。</w:t>
            </w:r>
            <w:r>
              <w:rPr>
                <w:rFonts w:hAnsi="宋体"/>
                <w:color w:val="auto"/>
                <w:highlight w:val="none"/>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ind w:left="-424" w:leftChars="-202" w:firstLine="420"/>
              <w:jc w:val="center"/>
              <w:rPr>
                <w:color w:val="auto"/>
                <w:highlight w:val="none"/>
              </w:rPr>
            </w:pPr>
            <w:r>
              <w:rPr>
                <w:color w:val="auto"/>
                <w:highlight w:val="none"/>
              </w:rPr>
              <w:t>5</w:t>
            </w:r>
          </w:p>
        </w:tc>
        <w:tc>
          <w:tcPr>
            <w:tcW w:w="92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ind w:firstLine="8" w:firstLineChars="4"/>
              <w:rPr>
                <w:rFonts w:hAnsi="宋体"/>
                <w:color w:val="auto"/>
                <w:highlight w:val="none"/>
              </w:rPr>
            </w:pPr>
            <w:r>
              <w:rPr>
                <w:rFonts w:hAnsi="宋体"/>
                <w:color w:val="auto"/>
                <w:highlight w:val="none"/>
              </w:rPr>
              <w:fldChar w:fldCharType="begin"/>
            </w:r>
            <w:r>
              <w:rPr>
                <w:rFonts w:hAnsi="宋体"/>
                <w:color w:val="auto"/>
                <w:highlight w:val="none"/>
              </w:rPr>
              <w:instrText xml:space="preserve"> </w:instrText>
            </w:r>
            <w:r>
              <w:rPr>
                <w:rFonts w:hint="eastAsia" w:hAnsi="宋体"/>
                <w:color w:val="auto"/>
                <w:highlight w:val="none"/>
              </w:rPr>
              <w:instrText xml:space="preserve">HYPERLINK </w:instrText>
            </w:r>
            <w:r>
              <w:rPr>
                <w:rFonts w:hAnsi="宋体"/>
                <w:color w:val="auto"/>
                <w:highlight w:val="none"/>
              </w:rPr>
              <w:instrText xml:space="preserve"> \l "_（六）投标文件有效期" </w:instrText>
            </w:r>
            <w:r>
              <w:rPr>
                <w:rFonts w:hAnsi="宋体"/>
                <w:color w:val="auto"/>
                <w:highlight w:val="none"/>
              </w:rPr>
              <w:fldChar w:fldCharType="separate"/>
            </w:r>
            <w:r>
              <w:rPr>
                <w:rStyle w:val="58"/>
                <w:rFonts w:hint="eastAsia" w:hAnsi="宋体"/>
                <w:color w:val="auto"/>
                <w:highlight w:val="none"/>
                <w:u w:val="none"/>
              </w:rPr>
              <w:t>投标有效</w:t>
            </w:r>
            <w:bookmarkStart w:id="78" w:name="_Hlt113541149"/>
            <w:bookmarkStart w:id="79" w:name="_Hlt113541150"/>
            <w:r>
              <w:rPr>
                <w:rStyle w:val="58"/>
                <w:rFonts w:hint="eastAsia" w:hAnsi="宋体"/>
                <w:color w:val="auto"/>
                <w:highlight w:val="none"/>
                <w:u w:val="none"/>
              </w:rPr>
              <w:t>期</w:t>
            </w:r>
            <w:bookmarkEnd w:id="78"/>
            <w:bookmarkEnd w:id="79"/>
            <w:r>
              <w:rPr>
                <w:rStyle w:val="58"/>
                <w:rFonts w:hint="eastAsia" w:hAnsi="宋体"/>
                <w:color w:val="auto"/>
                <w:highlight w:val="none"/>
                <w:u w:val="none"/>
              </w:rPr>
              <w:t>：9</w:t>
            </w:r>
            <w:r>
              <w:rPr>
                <w:rStyle w:val="58"/>
                <w:rFonts w:hAnsi="宋体"/>
                <w:color w:val="auto"/>
                <w:highlight w:val="none"/>
                <w:u w:val="none"/>
              </w:rPr>
              <w:t>0</w:t>
            </w:r>
            <w:bookmarkStart w:id="80" w:name="_Hlt113541412"/>
            <w:r>
              <w:rPr>
                <w:rStyle w:val="58"/>
                <w:rFonts w:hint="eastAsia" w:hAnsi="宋体"/>
                <w:color w:val="auto"/>
                <w:highlight w:val="none"/>
                <w:u w:val="none"/>
              </w:rPr>
              <w:t>天</w:t>
            </w:r>
            <w:bookmarkEnd w:id="80"/>
            <w:r>
              <w:rPr>
                <w:rFonts w:hAnsi="宋体"/>
                <w:color w:val="auto"/>
                <w:highlight w:val="none"/>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6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ind w:left="-424" w:leftChars="-202" w:firstLine="420"/>
              <w:jc w:val="center"/>
              <w:rPr>
                <w:rFonts w:hint="eastAsia" w:eastAsia="宋体"/>
                <w:color w:val="auto"/>
                <w:highlight w:val="none"/>
                <w:lang w:val="en-US" w:eastAsia="zh-CN"/>
              </w:rPr>
            </w:pPr>
            <w:r>
              <w:rPr>
                <w:rFonts w:hint="eastAsia"/>
                <w:color w:val="auto"/>
                <w:highlight w:val="none"/>
                <w:lang w:val="en-US" w:eastAsia="zh-CN"/>
              </w:rPr>
              <w:t>6</w:t>
            </w:r>
          </w:p>
        </w:tc>
        <w:tc>
          <w:tcPr>
            <w:tcW w:w="9214" w:type="dxa"/>
            <w:tcBorders>
              <w:top w:val="single" w:color="auto" w:sz="4" w:space="0"/>
              <w:left w:val="single" w:color="auto" w:sz="4" w:space="0"/>
              <w:bottom w:val="single" w:color="auto" w:sz="4" w:space="0"/>
              <w:right w:val="single" w:color="auto" w:sz="4" w:space="0"/>
            </w:tcBorders>
            <w:noWrap w:val="0"/>
            <w:vAlign w:val="center"/>
          </w:tcPr>
          <w:p>
            <w:pPr>
              <w:pStyle w:val="27"/>
              <w:ind w:firstLine="8" w:firstLineChars="4"/>
              <w:rPr>
                <w:color w:val="auto"/>
                <w:highlight w:val="none"/>
              </w:rPr>
            </w:pPr>
            <w:r>
              <w:rPr>
                <w:rFonts w:hint="eastAsia"/>
                <w:b/>
                <w:color w:val="auto"/>
                <w:highlight w:val="none"/>
              </w:rPr>
              <w:t>投标文件提交截止时间及开标时间：</w:t>
            </w:r>
            <w:r>
              <w:rPr>
                <w:rFonts w:hint="eastAsia" w:hAnsi="宋体" w:cs="Arial"/>
                <w:color w:val="auto"/>
                <w:highlight w:val="none"/>
              </w:rPr>
              <w:t>202</w:t>
            </w:r>
            <w:r>
              <w:rPr>
                <w:rFonts w:hint="eastAsia" w:hAnsi="宋体" w:cs="Arial"/>
                <w:color w:val="auto"/>
                <w:highlight w:val="none"/>
                <w:lang w:val="en-US" w:eastAsia="zh-CN"/>
              </w:rPr>
              <w:t>5</w:t>
            </w:r>
            <w:r>
              <w:rPr>
                <w:rFonts w:hint="eastAsia" w:hAnsi="宋体" w:cs="Arial"/>
                <w:color w:val="auto"/>
                <w:highlight w:val="none"/>
              </w:rPr>
              <w:t>年</w:t>
            </w:r>
            <w:r>
              <w:rPr>
                <w:rFonts w:hint="eastAsia" w:hAnsi="宋体" w:cs="Arial"/>
                <w:color w:val="auto"/>
                <w:highlight w:val="none"/>
                <w:lang w:val="en-US" w:eastAsia="zh-CN"/>
              </w:rPr>
              <w:t>7月  日</w:t>
            </w:r>
            <w:r>
              <w:rPr>
                <w:rFonts w:hint="eastAsia" w:hAnsi="宋体" w:cs="Arial"/>
                <w:color w:val="auto"/>
                <w:highlight w:val="none"/>
              </w:rPr>
              <w:t>09</w:t>
            </w:r>
            <w:r>
              <w:rPr>
                <w:rFonts w:hAnsi="宋体" w:cs="Arial"/>
                <w:color w:val="auto"/>
                <w:highlight w:val="none"/>
              </w:rPr>
              <w:t>:</w:t>
            </w:r>
            <w:r>
              <w:rPr>
                <w:rFonts w:hint="eastAsia" w:hAnsi="宋体" w:cs="Arial"/>
                <w:color w:val="auto"/>
                <w:highlight w:val="none"/>
              </w:rPr>
              <w:t>3</w:t>
            </w:r>
            <w:r>
              <w:rPr>
                <w:rFonts w:hAnsi="宋体" w:cs="Arial"/>
                <w:color w:val="auto"/>
                <w:highlight w:val="none"/>
              </w:rPr>
              <w:t>0</w:t>
            </w:r>
            <w:r>
              <w:rPr>
                <w:rFonts w:hint="eastAsia"/>
                <w:color w:val="auto"/>
                <w:highlight w:val="none"/>
              </w:rPr>
              <w:t>（北京时间）</w:t>
            </w:r>
          </w:p>
          <w:p>
            <w:pPr>
              <w:ind w:firstLine="8" w:firstLineChars="4"/>
              <w:rPr>
                <w:rFonts w:hint="eastAsia"/>
                <w:color w:val="auto"/>
                <w:szCs w:val="21"/>
                <w:highlight w:val="none"/>
              </w:rPr>
            </w:pPr>
            <w:r>
              <w:rPr>
                <w:rFonts w:hint="eastAsia"/>
                <w:color w:val="auto"/>
                <w:szCs w:val="21"/>
                <w:highlight w:val="none"/>
              </w:rPr>
              <w:t>投标地点(网址）：</w:t>
            </w:r>
            <w:r>
              <w:rPr>
                <w:rFonts w:hint="eastAsia" w:ascii="宋体" w:hAnsi="宋体" w:cs="Courier New"/>
                <w:color w:val="auto"/>
                <w:szCs w:val="21"/>
                <w:highlight w:val="none"/>
              </w:rPr>
              <w:t>请登录广西政府采购云平台投标客户端投标</w:t>
            </w:r>
          </w:p>
          <w:p>
            <w:pPr>
              <w:ind w:firstLine="8" w:firstLineChars="4"/>
              <w:rPr>
                <w:color w:val="auto"/>
                <w:szCs w:val="21"/>
                <w:highlight w:val="none"/>
              </w:rPr>
            </w:pPr>
            <w:r>
              <w:rPr>
                <w:rFonts w:hint="eastAsia"/>
                <w:color w:val="auto"/>
                <w:szCs w:val="21"/>
                <w:highlight w:val="none"/>
              </w:rPr>
              <w:t>开标地点：</w:t>
            </w:r>
            <w:r>
              <w:rPr>
                <w:rFonts w:hint="eastAsia"/>
                <w:color w:val="auto"/>
                <w:highlight w:val="none"/>
              </w:rPr>
              <w:t>广西钦州市金海湾东大</w:t>
            </w:r>
            <w:bookmarkStart w:id="81" w:name="_Hlt169688185"/>
            <w:r>
              <w:rPr>
                <w:rFonts w:hint="eastAsia"/>
                <w:color w:val="auto"/>
                <w:highlight w:val="none"/>
              </w:rPr>
              <w:t>街</w:t>
            </w:r>
            <w:bookmarkEnd w:id="81"/>
            <w:r>
              <w:rPr>
                <w:rFonts w:hint="eastAsia"/>
                <w:color w:val="auto"/>
                <w:highlight w:val="none"/>
              </w:rPr>
              <w:t>8号市</w:t>
            </w:r>
            <w:bookmarkStart w:id="82" w:name="_Hlt169688172"/>
            <w:bookmarkStart w:id="83" w:name="_Hlt169688171"/>
            <w:r>
              <w:rPr>
                <w:rFonts w:hint="eastAsia"/>
                <w:color w:val="auto"/>
                <w:highlight w:val="none"/>
              </w:rPr>
              <w:t>政</w:t>
            </w:r>
            <w:bookmarkEnd w:id="82"/>
            <w:bookmarkEnd w:id="83"/>
            <w:r>
              <w:rPr>
                <w:rFonts w:hint="eastAsia"/>
                <w:color w:val="auto"/>
                <w:highlight w:val="none"/>
              </w:rPr>
              <w:t>务服务中心三楼开标室</w:t>
            </w:r>
          </w:p>
          <w:p>
            <w:pPr>
              <w:ind w:firstLine="8" w:firstLineChars="4"/>
              <w:rPr>
                <w:rFonts w:hint="eastAsia"/>
                <w:b/>
                <w:bCs/>
                <w:color w:val="auto"/>
                <w:highlight w:val="none"/>
              </w:rPr>
            </w:pPr>
            <w:r>
              <w:rPr>
                <w:b/>
                <w:bCs/>
                <w:color w:val="auto"/>
                <w:highlight w:val="none"/>
              </w:rPr>
              <w:fldChar w:fldCharType="begin"/>
            </w:r>
            <w:r>
              <w:rPr>
                <w:rFonts w:hint="eastAsia"/>
                <w:b/>
                <w:bCs/>
                <w:color w:val="auto"/>
                <w:highlight w:val="none"/>
              </w:rPr>
              <w:instrText xml:space="preserve">HYPERLINK </w:instrText>
            </w:r>
            <w:r>
              <w:rPr>
                <w:b/>
                <w:bCs/>
                <w:color w:val="auto"/>
                <w:highlight w:val="none"/>
              </w:rPr>
              <w:instrText xml:space="preserve"> \l "</w:instrText>
            </w:r>
            <w:r>
              <w:rPr>
                <w:rFonts w:hint="eastAsia"/>
                <w:b/>
                <w:bCs/>
                <w:color w:val="auto"/>
                <w:highlight w:val="none"/>
              </w:rPr>
              <w:instrText xml:space="preserve">_四、开标</w:instrText>
            </w:r>
            <w:r>
              <w:rPr>
                <w:b/>
                <w:bCs/>
                <w:color w:val="auto"/>
                <w:highlight w:val="none"/>
              </w:rPr>
              <w:instrText xml:space="preserve">"</w:instrText>
            </w:r>
            <w:r>
              <w:rPr>
                <w:b/>
                <w:bCs/>
                <w:color w:val="auto"/>
                <w:highlight w:val="none"/>
              </w:rPr>
              <w:fldChar w:fldCharType="separate"/>
            </w:r>
            <w:r>
              <w:rPr>
                <w:rStyle w:val="58"/>
                <w:rFonts w:hint="eastAsia"/>
                <w:b/>
                <w:bCs/>
                <w:color w:val="auto"/>
                <w:highlight w:val="none"/>
                <w:u w:val="none"/>
              </w:rPr>
              <w:t>注：</w:t>
            </w:r>
            <w:bookmarkStart w:id="84" w:name="_Hlk90299755"/>
            <w:r>
              <w:rPr>
                <w:rStyle w:val="58"/>
                <w:rFonts w:hint="eastAsia"/>
                <w:b/>
                <w:bCs/>
                <w:color w:val="auto"/>
                <w:highlight w:val="none"/>
                <w:u w:val="none"/>
              </w:rPr>
              <w:t>投标人法定代表人或委</w:t>
            </w:r>
            <w:bookmarkStart w:id="85" w:name="_Hlt169688258"/>
            <w:r>
              <w:rPr>
                <w:rStyle w:val="58"/>
                <w:rFonts w:hint="eastAsia"/>
                <w:b/>
                <w:bCs/>
                <w:color w:val="auto"/>
                <w:highlight w:val="none"/>
                <w:u w:val="none"/>
              </w:rPr>
              <w:t>托</w:t>
            </w:r>
            <w:bookmarkEnd w:id="85"/>
            <w:r>
              <w:rPr>
                <w:rStyle w:val="58"/>
                <w:rFonts w:hint="eastAsia"/>
                <w:b/>
                <w:bCs/>
                <w:color w:val="auto"/>
                <w:highlight w:val="none"/>
                <w:u w:val="none"/>
              </w:rPr>
              <w:t>代理人须按时登录</w:t>
            </w:r>
            <w:r>
              <w:rPr>
                <w:rStyle w:val="58"/>
                <w:rFonts w:hint="eastAsia" w:hAnsi="宋体"/>
                <w:b/>
                <w:bCs/>
                <w:color w:val="auto"/>
                <w:highlight w:val="none"/>
                <w:u w:val="none"/>
              </w:rPr>
              <w:t>政采云远程开标大厅</w:t>
            </w:r>
            <w:r>
              <w:rPr>
                <w:rStyle w:val="58"/>
                <w:rFonts w:hint="eastAsia"/>
                <w:b/>
                <w:bCs/>
                <w:color w:val="auto"/>
                <w:highlight w:val="none"/>
                <w:u w:val="none"/>
              </w:rPr>
              <w:t>，保持全程在线并关注开标评标进度，评标期间评标委员会提出澄清等要求时，投标人须在规定时间内进行在线应答，否则按招标文件或政采云平台的相关规定执行。</w:t>
            </w:r>
            <w:bookmarkEnd w:id="84"/>
            <w:r>
              <w:rPr>
                <w:b/>
                <w:bCs/>
                <w:color w:val="auto"/>
                <w:highlight w:val="none"/>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ind w:left="-424" w:leftChars="-202" w:firstLine="420"/>
              <w:jc w:val="center"/>
              <w:rPr>
                <w:rFonts w:hint="eastAsia" w:eastAsia="宋体"/>
                <w:color w:val="auto"/>
                <w:highlight w:val="none"/>
                <w:lang w:val="en-US" w:eastAsia="zh-CN"/>
              </w:rPr>
            </w:pPr>
            <w:r>
              <w:rPr>
                <w:rFonts w:hint="eastAsia"/>
                <w:color w:val="auto"/>
                <w:highlight w:val="none"/>
                <w:lang w:val="en-US" w:eastAsia="zh-CN"/>
              </w:rPr>
              <w:t>7</w:t>
            </w:r>
          </w:p>
        </w:tc>
        <w:tc>
          <w:tcPr>
            <w:tcW w:w="921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40" w:lineRule="exact"/>
              <w:ind w:firstLine="0" w:firstLineChars="0"/>
              <w:textAlignment w:val="bottom"/>
              <w:rPr>
                <w:rFonts w:ascii="宋体" w:hAnsi="宋体"/>
                <w:color w:val="auto"/>
                <w:szCs w:val="21"/>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 </w:instrText>
            </w:r>
            <w:r>
              <w:rPr>
                <w:rFonts w:hint="eastAsia" w:ascii="宋体" w:hAnsi="宋体"/>
                <w:color w:val="auto"/>
                <w:szCs w:val="21"/>
                <w:highlight w:val="none"/>
              </w:rPr>
              <w:instrText xml:space="preserve">HYPERLINK </w:instrText>
            </w:r>
            <w:r>
              <w:rPr>
                <w:rFonts w:ascii="宋体" w:hAnsi="宋体"/>
                <w:color w:val="auto"/>
                <w:szCs w:val="21"/>
                <w:highlight w:val="none"/>
              </w:rPr>
              <w:instrText xml:space="preserve"> \l "_五、评标" </w:instrText>
            </w:r>
            <w:r>
              <w:rPr>
                <w:rFonts w:ascii="宋体" w:hAnsi="宋体"/>
                <w:color w:val="auto"/>
                <w:szCs w:val="21"/>
                <w:highlight w:val="none"/>
              </w:rPr>
              <w:fldChar w:fldCharType="separate"/>
            </w:r>
            <w:r>
              <w:rPr>
                <w:rStyle w:val="58"/>
                <w:rFonts w:hint="eastAsia" w:ascii="宋体" w:hAnsi="宋体"/>
                <w:color w:val="auto"/>
                <w:szCs w:val="21"/>
                <w:highlight w:val="none"/>
                <w:u w:val="none"/>
              </w:rPr>
              <w:t>评标</w:t>
            </w:r>
            <w:bookmarkStart w:id="86" w:name="_Hlt111715136"/>
            <w:bookmarkStart w:id="87" w:name="_Hlt111715137"/>
            <w:r>
              <w:rPr>
                <w:rStyle w:val="58"/>
                <w:rFonts w:hint="eastAsia" w:ascii="宋体" w:hAnsi="宋体"/>
                <w:color w:val="auto"/>
                <w:szCs w:val="21"/>
                <w:highlight w:val="none"/>
                <w:u w:val="none"/>
              </w:rPr>
              <w:t>方</w:t>
            </w:r>
            <w:bookmarkEnd w:id="86"/>
            <w:bookmarkEnd w:id="87"/>
            <w:r>
              <w:rPr>
                <w:rStyle w:val="58"/>
                <w:rFonts w:hint="eastAsia" w:ascii="宋体" w:hAnsi="宋体"/>
                <w:color w:val="auto"/>
                <w:szCs w:val="21"/>
                <w:highlight w:val="none"/>
                <w:u w:val="none"/>
              </w:rPr>
              <w:t>法：</w:t>
            </w:r>
            <w:r>
              <w:rPr>
                <w:rStyle w:val="58"/>
                <w:rFonts w:hint="eastAsia"/>
                <w:color w:val="auto"/>
                <w:highlight w:val="none"/>
                <w:u w:val="none"/>
              </w:rPr>
              <w:t>综合评分法</w:t>
            </w:r>
            <w:r>
              <w:rPr>
                <w:rFonts w:ascii="宋体" w:hAnsi="宋体"/>
                <w:color w:val="auto"/>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675" w:type="dxa"/>
            <w:noWrap w:val="0"/>
            <w:vAlign w:val="center"/>
          </w:tcPr>
          <w:p>
            <w:pPr>
              <w:ind w:left="-424" w:leftChars="-202" w:firstLine="420"/>
              <w:jc w:val="center"/>
              <w:rPr>
                <w:rFonts w:hint="default" w:eastAsia="宋体"/>
                <w:color w:val="auto"/>
                <w:highlight w:val="none"/>
                <w:lang w:val="en-US" w:eastAsia="zh-CN"/>
              </w:rPr>
            </w:pPr>
            <w:r>
              <w:rPr>
                <w:rFonts w:hint="eastAsia"/>
                <w:color w:val="auto"/>
                <w:highlight w:val="none"/>
                <w:lang w:val="en-US" w:eastAsia="zh-CN"/>
              </w:rPr>
              <w:t>8</w:t>
            </w:r>
          </w:p>
        </w:tc>
        <w:tc>
          <w:tcPr>
            <w:tcW w:w="9214" w:type="dxa"/>
            <w:noWrap w:val="0"/>
            <w:vAlign w:val="center"/>
          </w:tcPr>
          <w:p>
            <w:pPr>
              <w:pStyle w:val="27"/>
              <w:spacing w:line="340" w:lineRule="exact"/>
              <w:ind w:firstLine="8" w:firstLineChars="4"/>
              <w:rPr>
                <w:color w:val="auto"/>
                <w:highlight w:val="none"/>
              </w:rPr>
            </w:pPr>
            <w:bookmarkStart w:id="88" w:name="OLE_LINK5"/>
            <w:r>
              <w:rPr>
                <w:rFonts w:hAnsi="宋体"/>
                <w:color w:val="auto"/>
                <w:highlight w:val="none"/>
              </w:rPr>
              <w:fldChar w:fldCharType="begin"/>
            </w:r>
            <w:r>
              <w:rPr>
                <w:rFonts w:hAnsi="宋体"/>
                <w:color w:val="auto"/>
                <w:highlight w:val="none"/>
              </w:rPr>
              <w:instrText xml:space="preserve"> </w:instrText>
            </w:r>
            <w:r>
              <w:rPr>
                <w:rFonts w:hint="eastAsia" w:hAnsi="宋体"/>
                <w:color w:val="auto"/>
                <w:highlight w:val="none"/>
              </w:rPr>
              <w:instrText xml:space="preserve">HYPERLINK </w:instrText>
            </w:r>
            <w:r>
              <w:rPr>
                <w:rFonts w:hAnsi="宋体"/>
                <w:color w:val="auto"/>
                <w:highlight w:val="none"/>
              </w:rPr>
              <w:instrText xml:space="preserve"> \l "_九、其他事项" </w:instrText>
            </w:r>
            <w:r>
              <w:rPr>
                <w:rFonts w:hAnsi="宋体"/>
                <w:color w:val="auto"/>
                <w:highlight w:val="none"/>
              </w:rPr>
              <w:fldChar w:fldCharType="separate"/>
            </w:r>
            <w:r>
              <w:rPr>
                <w:rStyle w:val="58"/>
                <w:rFonts w:hint="eastAsia" w:hAnsi="宋体"/>
                <w:color w:val="auto"/>
                <w:highlight w:val="none"/>
                <w:u w:val="none"/>
              </w:rPr>
              <w:t>代理服务费：本中心按钦州市物价局“钦市价费﹝2013﹞4号”文件规定向中标人收取代理服务费。中标人应向本中心一次性付清代理服务费。</w:t>
            </w:r>
            <w:r>
              <w:rPr>
                <w:rFonts w:hAnsi="宋体"/>
                <w:color w:val="auto"/>
                <w:highlight w:val="none"/>
              </w:rPr>
              <w:fldChar w:fldCharType="end"/>
            </w:r>
            <w:bookmarkEnd w:id="88"/>
          </w:p>
        </w:tc>
      </w:tr>
    </w:tbl>
    <w:p>
      <w:pPr>
        <w:ind w:firstLine="0" w:firstLineChars="0"/>
        <w:jc w:val="left"/>
        <w:rPr>
          <w:color w:val="auto"/>
          <w:highlight w:val="none"/>
        </w:rPr>
      </w:pPr>
      <w:r>
        <w:rPr>
          <w:color w:val="auto"/>
          <w:highlight w:val="none"/>
        </w:rPr>
        <w:br w:type="page"/>
      </w:r>
      <w:bookmarkStart w:id="89" w:name="_Toc352578843"/>
      <w:bookmarkStart w:id="90" w:name="_Toc352578891"/>
      <w:bookmarkStart w:id="91" w:name="_Toc353785275"/>
      <w:bookmarkStart w:id="92" w:name="_Toc352700405"/>
      <w:bookmarkStart w:id="93" w:name="_Toc352578861"/>
    </w:p>
    <w:p>
      <w:pPr>
        <w:spacing w:line="520" w:lineRule="exact"/>
        <w:ind w:firstLine="0" w:firstLineChars="0"/>
        <w:jc w:val="center"/>
        <w:rPr>
          <w:rFonts w:ascii="仿宋_GB2312" w:hAnsi="宋体" w:eastAsia="仿宋_GB2312"/>
          <w:b/>
          <w:color w:val="auto"/>
          <w:sz w:val="44"/>
          <w:szCs w:val="44"/>
          <w:highlight w:val="none"/>
        </w:rPr>
      </w:pPr>
      <w:bookmarkStart w:id="94" w:name="_Hlk92374740"/>
      <w:r>
        <w:rPr>
          <w:rFonts w:hint="eastAsia"/>
          <w:b/>
          <w:color w:val="auto"/>
          <w:sz w:val="44"/>
          <w:szCs w:val="44"/>
          <w:highlight w:val="none"/>
        </w:rPr>
        <w:t>投标人须知</w:t>
      </w:r>
      <w:bookmarkEnd w:id="89"/>
      <w:bookmarkEnd w:id="90"/>
      <w:bookmarkEnd w:id="91"/>
      <w:bookmarkEnd w:id="92"/>
      <w:bookmarkEnd w:id="93"/>
    </w:p>
    <w:p>
      <w:pPr>
        <w:pStyle w:val="6"/>
        <w:spacing w:before="0" w:after="0" w:line="410" w:lineRule="exact"/>
        <w:ind w:firstLine="0" w:firstLineChars="0"/>
        <w:rPr>
          <w:rFonts w:hint="eastAsia" w:ascii="方正小标宋_GBK" w:eastAsia="方正小标宋_GBK"/>
          <w:color w:val="auto"/>
          <w:sz w:val="24"/>
          <w:szCs w:val="24"/>
          <w:highlight w:val="none"/>
        </w:rPr>
      </w:pPr>
      <w:bookmarkStart w:id="95" w:name="_一、总__则"/>
      <w:bookmarkEnd w:id="95"/>
      <w:bookmarkStart w:id="96" w:name="_Toc352700406"/>
      <w:bookmarkStart w:id="97" w:name="_Toc353785276"/>
      <w:r>
        <w:rPr>
          <w:rFonts w:hint="eastAsia" w:ascii="方正小标宋_GBK" w:eastAsia="方正小标宋_GBK"/>
          <w:color w:val="auto"/>
          <w:sz w:val="24"/>
          <w:szCs w:val="24"/>
          <w:highlight w:val="none"/>
        </w:rPr>
        <w:t>一、总  则</w:t>
      </w:r>
      <w:bookmarkEnd w:id="96"/>
      <w:bookmarkEnd w:id="97"/>
    </w:p>
    <w:p>
      <w:pPr>
        <w:spacing w:line="410" w:lineRule="exact"/>
        <w:ind w:firstLine="211" w:firstLineChars="100"/>
        <w:rPr>
          <w:b/>
          <w:bCs/>
          <w:color w:val="auto"/>
          <w:highlight w:val="none"/>
        </w:rPr>
      </w:pPr>
      <w:r>
        <w:rPr>
          <w:rFonts w:hint="eastAsia"/>
          <w:b/>
          <w:bCs/>
          <w:color w:val="auto"/>
          <w:highlight w:val="none"/>
        </w:rPr>
        <w:t>（一）适用范围</w:t>
      </w:r>
    </w:p>
    <w:p>
      <w:pPr>
        <w:spacing w:line="410" w:lineRule="exact"/>
        <w:ind w:firstLine="420"/>
        <w:rPr>
          <w:rFonts w:hint="eastAsia" w:eastAsia="宋体"/>
          <w:color w:val="auto"/>
          <w:highlight w:val="none"/>
          <w:lang w:eastAsia="zh-CN"/>
        </w:rPr>
      </w:pPr>
      <w:bookmarkStart w:id="98" w:name="_Toc353785278"/>
      <w:bookmarkStart w:id="99" w:name="_Toc254970528"/>
      <w:bookmarkStart w:id="100" w:name="_Toc254970669"/>
      <w:bookmarkStart w:id="101" w:name="_Toc352700408"/>
      <w:r>
        <w:rPr>
          <w:rFonts w:hint="eastAsia"/>
          <w:color w:val="auto"/>
          <w:highlight w:val="none"/>
        </w:rPr>
        <w:t>1</w:t>
      </w:r>
      <w:r>
        <w:rPr>
          <w:color w:val="auto"/>
          <w:highlight w:val="none"/>
        </w:rPr>
        <w:t>.</w:t>
      </w:r>
      <w:r>
        <w:rPr>
          <w:rFonts w:hint="eastAsia"/>
          <w:color w:val="auto"/>
          <w:highlight w:val="none"/>
        </w:rPr>
        <w:t>项目名称：</w:t>
      </w:r>
      <w:r>
        <w:rPr>
          <w:rFonts w:hint="eastAsia"/>
          <w:color w:val="auto"/>
          <w:highlight w:val="none"/>
          <w:lang w:eastAsia="zh-CN"/>
        </w:rPr>
        <w:t>大化瑶族自治县人民法院审判法庭业务用房信息化建设</w:t>
      </w:r>
    </w:p>
    <w:p>
      <w:pPr>
        <w:spacing w:line="410" w:lineRule="exact"/>
        <w:ind w:firstLine="420"/>
        <w:rPr>
          <w:rFonts w:hint="eastAsia" w:eastAsia="宋体"/>
          <w:color w:val="auto"/>
          <w:highlight w:val="none"/>
          <w:lang w:eastAsia="zh-CN"/>
        </w:rPr>
      </w:pPr>
      <w:r>
        <w:rPr>
          <w:color w:val="auto"/>
          <w:highlight w:val="none"/>
        </w:rPr>
        <w:t>2.</w:t>
      </w:r>
      <w:r>
        <w:rPr>
          <w:rFonts w:hint="eastAsia"/>
          <w:color w:val="auto"/>
          <w:highlight w:val="none"/>
        </w:rPr>
        <w:t>项目编号：</w:t>
      </w:r>
      <w:r>
        <w:rPr>
          <w:rFonts w:hint="eastAsia"/>
          <w:color w:val="auto"/>
          <w:highlight w:val="none"/>
          <w:lang w:eastAsia="zh-CN"/>
        </w:rPr>
        <w:t>HCZC2025-G1-990090-QZSZ</w:t>
      </w:r>
    </w:p>
    <w:p>
      <w:pPr>
        <w:spacing w:line="410" w:lineRule="exact"/>
        <w:ind w:firstLine="420"/>
        <w:rPr>
          <w:color w:val="auto"/>
          <w:highlight w:val="none"/>
        </w:rPr>
      </w:pPr>
      <w:r>
        <w:rPr>
          <w:rFonts w:hint="eastAsia"/>
          <w:color w:val="auto"/>
          <w:highlight w:val="none"/>
        </w:rPr>
        <w:t>本招标文件仅适用于上述项目的招标、投标、评标、定标、验收、合同履约、付款等行为（法律、法规另有规定的，从其规定）。</w:t>
      </w:r>
    </w:p>
    <w:p>
      <w:pPr>
        <w:spacing w:line="410" w:lineRule="exact"/>
        <w:ind w:firstLine="211" w:firstLineChars="100"/>
        <w:rPr>
          <w:b/>
          <w:bCs/>
          <w:color w:val="auto"/>
          <w:highlight w:val="none"/>
        </w:rPr>
      </w:pPr>
      <w:r>
        <w:rPr>
          <w:rFonts w:hint="eastAsia"/>
          <w:b/>
          <w:bCs/>
          <w:color w:val="auto"/>
          <w:highlight w:val="none"/>
        </w:rPr>
        <w:t>（二）定义</w:t>
      </w:r>
      <w:bookmarkEnd w:id="98"/>
      <w:bookmarkEnd w:id="99"/>
      <w:bookmarkEnd w:id="100"/>
      <w:bookmarkEnd w:id="101"/>
    </w:p>
    <w:p>
      <w:pPr>
        <w:pStyle w:val="27"/>
        <w:snapToGrid w:val="0"/>
        <w:spacing w:line="410" w:lineRule="exact"/>
        <w:ind w:firstLine="420"/>
        <w:rPr>
          <w:rFonts w:hAnsi="宋体"/>
          <w:color w:val="auto"/>
          <w:highlight w:val="none"/>
        </w:rPr>
      </w:pPr>
      <w:bookmarkStart w:id="102" w:name="_Hlk92374304"/>
      <w:r>
        <w:rPr>
          <w:rFonts w:hAnsi="宋体"/>
          <w:bCs/>
          <w:color w:val="auto"/>
          <w:highlight w:val="none"/>
        </w:rPr>
        <w:t>1.</w:t>
      </w:r>
      <w:r>
        <w:rPr>
          <w:rFonts w:hint="eastAsia" w:hAnsi="宋体"/>
          <w:bCs/>
          <w:color w:val="auto"/>
          <w:highlight w:val="none"/>
        </w:rPr>
        <w:t>“采购人”系指</w:t>
      </w:r>
      <w:r>
        <w:rPr>
          <w:rFonts w:hAnsi="宋体"/>
          <w:color w:val="auto"/>
          <w:highlight w:val="none"/>
        </w:rPr>
        <w:t>依法进行政府采购的国家机关、事业单位、团体组织</w:t>
      </w:r>
    </w:p>
    <w:p>
      <w:pPr>
        <w:pStyle w:val="27"/>
        <w:snapToGrid w:val="0"/>
        <w:spacing w:line="410" w:lineRule="exact"/>
        <w:ind w:firstLine="420"/>
        <w:rPr>
          <w:rFonts w:hAnsi="宋体"/>
          <w:bCs/>
          <w:color w:val="auto"/>
          <w:highlight w:val="none"/>
        </w:rPr>
      </w:pPr>
      <w:r>
        <w:rPr>
          <w:rFonts w:hAnsi="宋体"/>
          <w:bCs/>
          <w:color w:val="auto"/>
          <w:highlight w:val="none"/>
        </w:rPr>
        <w:t>2.</w:t>
      </w:r>
      <w:r>
        <w:rPr>
          <w:rFonts w:hint="eastAsia" w:hAnsi="宋体"/>
          <w:bCs/>
          <w:color w:val="auto"/>
          <w:highlight w:val="none"/>
        </w:rPr>
        <w:t>“投标人”系指向招标方提交投标文件的单位或自然人。</w:t>
      </w:r>
    </w:p>
    <w:p>
      <w:pPr>
        <w:pStyle w:val="27"/>
        <w:snapToGrid w:val="0"/>
        <w:spacing w:line="410" w:lineRule="exact"/>
        <w:ind w:firstLine="420"/>
        <w:rPr>
          <w:rFonts w:hAnsi="宋体"/>
          <w:bCs/>
          <w:color w:val="auto"/>
          <w:highlight w:val="none"/>
        </w:rPr>
      </w:pPr>
      <w:r>
        <w:rPr>
          <w:rFonts w:hAnsi="宋体"/>
          <w:bCs/>
          <w:color w:val="auto"/>
          <w:highlight w:val="none"/>
        </w:rPr>
        <w:t>3.</w:t>
      </w:r>
      <w:r>
        <w:rPr>
          <w:rFonts w:hint="eastAsia" w:hAnsi="宋体"/>
          <w:bCs/>
          <w:color w:val="auto"/>
          <w:highlight w:val="none"/>
        </w:rPr>
        <w:t>“采购代理机构”系指组织本次招标的钦州市政府采购中心（以下简称“本中心</w:t>
      </w:r>
      <w:r>
        <w:rPr>
          <w:rFonts w:hint="eastAsia" w:hAnsi="宋体"/>
          <w:bCs/>
          <w:color w:val="auto"/>
          <w:highlight w:val="none"/>
          <w:lang w:eastAsia="zh-CN"/>
        </w:rPr>
        <w:t>”</w:t>
      </w:r>
      <w:r>
        <w:rPr>
          <w:rFonts w:hint="eastAsia" w:hAnsi="宋体"/>
          <w:bCs/>
          <w:color w:val="auto"/>
          <w:highlight w:val="none"/>
        </w:rPr>
        <w:t>）。</w:t>
      </w:r>
    </w:p>
    <w:p>
      <w:pPr>
        <w:pStyle w:val="27"/>
        <w:snapToGrid w:val="0"/>
        <w:spacing w:line="410" w:lineRule="exact"/>
        <w:ind w:firstLine="420"/>
        <w:rPr>
          <w:rFonts w:hAnsi="宋体"/>
          <w:bCs/>
          <w:color w:val="auto"/>
          <w:highlight w:val="none"/>
        </w:rPr>
      </w:pPr>
      <w:r>
        <w:rPr>
          <w:rFonts w:hAnsi="宋体"/>
          <w:bCs/>
          <w:color w:val="auto"/>
          <w:highlight w:val="none"/>
        </w:rPr>
        <w:t>4.</w:t>
      </w:r>
      <w:r>
        <w:rPr>
          <w:rFonts w:hint="eastAsia" w:hAnsi="宋体"/>
          <w:bCs/>
          <w:color w:val="auto"/>
          <w:highlight w:val="none"/>
        </w:rPr>
        <w:t>“货物”系指各种形态和种类的物品，包括原材料、燃料、设备、产品等。</w:t>
      </w:r>
    </w:p>
    <w:p>
      <w:pPr>
        <w:pStyle w:val="27"/>
        <w:snapToGrid w:val="0"/>
        <w:spacing w:line="410" w:lineRule="exact"/>
        <w:ind w:firstLine="420"/>
        <w:rPr>
          <w:rFonts w:hAnsi="宋体"/>
          <w:bCs/>
          <w:color w:val="auto"/>
          <w:highlight w:val="none"/>
        </w:rPr>
      </w:pPr>
      <w:r>
        <w:rPr>
          <w:rFonts w:hAnsi="宋体"/>
          <w:bCs/>
          <w:color w:val="auto"/>
          <w:highlight w:val="none"/>
        </w:rPr>
        <w:t>5.</w:t>
      </w:r>
      <w:r>
        <w:rPr>
          <w:rFonts w:hint="eastAsia" w:hAnsi="宋体"/>
          <w:bCs/>
          <w:color w:val="auto"/>
          <w:highlight w:val="none"/>
        </w:rPr>
        <w:t>“服务”系指除货物和工程以外的其他政府采购对象。</w:t>
      </w:r>
    </w:p>
    <w:p>
      <w:pPr>
        <w:pStyle w:val="27"/>
        <w:snapToGrid w:val="0"/>
        <w:spacing w:line="410" w:lineRule="exact"/>
        <w:ind w:firstLine="420"/>
        <w:rPr>
          <w:rFonts w:hAnsi="宋体"/>
          <w:bCs/>
          <w:color w:val="auto"/>
          <w:highlight w:val="none"/>
        </w:rPr>
      </w:pPr>
      <w:r>
        <w:rPr>
          <w:rFonts w:hAnsi="宋体"/>
          <w:bCs/>
          <w:color w:val="auto"/>
          <w:highlight w:val="none"/>
        </w:rPr>
        <w:t>6.</w:t>
      </w:r>
      <w:r>
        <w:rPr>
          <w:rFonts w:hint="eastAsia" w:hAnsi="宋体"/>
          <w:bCs/>
          <w:color w:val="auto"/>
          <w:highlight w:val="none"/>
        </w:rPr>
        <w:t>“项目”系指投标人按招标文件规定向采购人提供的产品和服务。</w:t>
      </w:r>
    </w:p>
    <w:p>
      <w:pPr>
        <w:pStyle w:val="27"/>
        <w:snapToGrid w:val="0"/>
        <w:spacing w:line="410" w:lineRule="exact"/>
        <w:ind w:firstLine="420"/>
        <w:rPr>
          <w:rFonts w:hAnsi="宋体"/>
          <w:bCs/>
          <w:color w:val="auto"/>
          <w:highlight w:val="none"/>
        </w:rPr>
      </w:pPr>
      <w:r>
        <w:rPr>
          <w:rFonts w:hAnsi="宋体"/>
          <w:bCs/>
          <w:color w:val="auto"/>
          <w:highlight w:val="none"/>
        </w:rPr>
        <w:t>7.</w:t>
      </w:r>
      <w:r>
        <w:rPr>
          <w:rFonts w:hint="eastAsia" w:hAnsi="宋体"/>
          <w:bCs/>
          <w:color w:val="auto"/>
          <w:highlight w:val="none"/>
        </w:rPr>
        <w:t>“书面形式”</w:t>
      </w:r>
      <w:bookmarkEnd w:id="102"/>
      <w:r>
        <w:rPr>
          <w:rFonts w:hint="eastAsia" w:hAnsi="宋体"/>
          <w:bCs/>
          <w:color w:val="auto"/>
          <w:highlight w:val="none"/>
        </w:rPr>
        <w:t>是合同书、信件、电报、电传、传真等可以有形地表现所载内容的形式。</w:t>
      </w:r>
    </w:p>
    <w:p>
      <w:pPr>
        <w:spacing w:line="410" w:lineRule="exact"/>
        <w:ind w:firstLine="211" w:firstLineChars="100"/>
        <w:rPr>
          <w:b/>
          <w:bCs/>
          <w:color w:val="auto"/>
          <w:highlight w:val="none"/>
        </w:rPr>
      </w:pPr>
      <w:bookmarkStart w:id="103" w:name="_Toc353785279"/>
      <w:r>
        <w:rPr>
          <w:rFonts w:hint="eastAsia"/>
          <w:b/>
          <w:bCs/>
          <w:color w:val="auto"/>
          <w:highlight w:val="none"/>
        </w:rPr>
        <w:t>（三）投标人资格</w:t>
      </w:r>
      <w:bookmarkEnd w:id="103"/>
    </w:p>
    <w:p>
      <w:pPr>
        <w:spacing w:line="412" w:lineRule="exact"/>
        <w:ind w:firstLine="420"/>
        <w:rPr>
          <w:b/>
          <w:color w:val="auto"/>
          <w:highlight w:val="none"/>
        </w:rPr>
      </w:pPr>
      <w:bookmarkStart w:id="104" w:name="_Toc254970670"/>
      <w:bookmarkStart w:id="105" w:name="_Toc352700409"/>
      <w:bookmarkStart w:id="106" w:name="_Toc254970529"/>
      <w:bookmarkStart w:id="107" w:name="_Toc353785280"/>
      <w:bookmarkStart w:id="108" w:name="_Hlk92444465"/>
      <w:r>
        <w:rPr>
          <w:rFonts w:hint="eastAsia"/>
          <w:color w:val="auto"/>
          <w:highlight w:val="none"/>
        </w:rPr>
        <w:t>1.满足《中华人民共和国政府采购法》第二十二条规定</w:t>
      </w:r>
    </w:p>
    <w:p>
      <w:pPr>
        <w:spacing w:line="412" w:lineRule="exact"/>
        <w:ind w:firstLine="420"/>
        <w:rPr>
          <w:color w:val="auto"/>
          <w:highlight w:val="none"/>
        </w:rPr>
      </w:pPr>
      <w:r>
        <w:rPr>
          <w:rFonts w:hint="eastAsia"/>
          <w:color w:val="auto"/>
          <w:highlight w:val="none"/>
        </w:rPr>
        <w:t>2.落实政府采购政策需满足的资格要求：无</w:t>
      </w:r>
    </w:p>
    <w:p>
      <w:pPr>
        <w:spacing w:line="410" w:lineRule="exact"/>
        <w:ind w:firstLine="420"/>
        <w:rPr>
          <w:rFonts w:hint="eastAsia" w:ascii="宋体" w:hAnsi="宋体"/>
          <w:color w:val="auto"/>
          <w:highlight w:val="none"/>
        </w:rPr>
      </w:pPr>
      <w:r>
        <w:rPr>
          <w:rFonts w:hint="eastAsia"/>
          <w:color w:val="auto"/>
          <w:highlight w:val="none"/>
        </w:rPr>
        <w:t>3.本项目的特定资格要求：无</w:t>
      </w:r>
    </w:p>
    <w:p>
      <w:pPr>
        <w:spacing w:line="410" w:lineRule="exact"/>
        <w:ind w:firstLine="211" w:firstLineChars="100"/>
        <w:rPr>
          <w:b/>
          <w:bCs/>
          <w:color w:val="auto"/>
          <w:highlight w:val="none"/>
        </w:rPr>
      </w:pPr>
      <w:r>
        <w:rPr>
          <w:rFonts w:hint="eastAsia"/>
          <w:b/>
          <w:bCs/>
          <w:color w:val="auto"/>
          <w:highlight w:val="none"/>
        </w:rPr>
        <w:t>（四）采购方式</w:t>
      </w:r>
      <w:bookmarkEnd w:id="104"/>
      <w:bookmarkEnd w:id="105"/>
      <w:bookmarkEnd w:id="106"/>
      <w:bookmarkEnd w:id="107"/>
    </w:p>
    <w:p>
      <w:pPr>
        <w:snapToGrid w:val="0"/>
        <w:spacing w:line="410" w:lineRule="exact"/>
        <w:ind w:firstLine="420"/>
        <w:rPr>
          <w:rFonts w:ascii="宋体" w:hAnsi="宋体"/>
          <w:color w:val="auto"/>
          <w:szCs w:val="21"/>
          <w:highlight w:val="none"/>
        </w:rPr>
      </w:pPr>
      <w:r>
        <w:rPr>
          <w:rFonts w:hint="eastAsia" w:ascii="宋体" w:hAnsi="宋体"/>
          <w:color w:val="auto"/>
          <w:szCs w:val="21"/>
          <w:highlight w:val="none"/>
        </w:rPr>
        <w:t>公开招标方式。</w:t>
      </w:r>
    </w:p>
    <w:p>
      <w:pPr>
        <w:spacing w:line="410" w:lineRule="exact"/>
        <w:ind w:firstLine="211" w:firstLineChars="100"/>
        <w:rPr>
          <w:b/>
          <w:bCs/>
          <w:color w:val="auto"/>
          <w:highlight w:val="none"/>
        </w:rPr>
      </w:pPr>
      <w:bookmarkStart w:id="109" w:name="_Toc254970530"/>
      <w:bookmarkStart w:id="110" w:name="_Toc352700410"/>
      <w:bookmarkStart w:id="111" w:name="_Toc254970671"/>
      <w:bookmarkStart w:id="112" w:name="_Toc353785281"/>
      <w:r>
        <w:rPr>
          <w:rFonts w:hint="eastAsia"/>
          <w:b/>
          <w:bCs/>
          <w:color w:val="auto"/>
          <w:highlight w:val="none"/>
        </w:rPr>
        <w:t>（五）投标委托</w:t>
      </w:r>
      <w:bookmarkEnd w:id="109"/>
      <w:bookmarkEnd w:id="110"/>
      <w:bookmarkEnd w:id="111"/>
      <w:bookmarkEnd w:id="112"/>
    </w:p>
    <w:p>
      <w:pPr>
        <w:pStyle w:val="27"/>
        <w:snapToGrid w:val="0"/>
        <w:spacing w:line="410" w:lineRule="exact"/>
        <w:ind w:firstLine="420"/>
        <w:rPr>
          <w:rFonts w:hAnsi="宋体"/>
          <w:bCs/>
          <w:color w:val="auto"/>
          <w:highlight w:val="none"/>
        </w:rPr>
      </w:pPr>
      <w:r>
        <w:rPr>
          <w:rFonts w:hint="eastAsia" w:hAnsi="宋体"/>
          <w:bCs/>
          <w:color w:val="auto"/>
          <w:highlight w:val="none"/>
        </w:rPr>
        <w:t>委托投标的投标人须提供授权委托书（格式见第六章）。</w:t>
      </w:r>
    </w:p>
    <w:p>
      <w:pPr>
        <w:spacing w:line="410" w:lineRule="exact"/>
        <w:ind w:firstLine="211" w:firstLineChars="100"/>
        <w:rPr>
          <w:b/>
          <w:bCs/>
          <w:color w:val="auto"/>
          <w:highlight w:val="none"/>
        </w:rPr>
      </w:pPr>
      <w:bookmarkStart w:id="113" w:name="_Toc254970531"/>
      <w:bookmarkStart w:id="114" w:name="_Toc254970672"/>
      <w:bookmarkStart w:id="115" w:name="_Toc352700411"/>
      <w:bookmarkStart w:id="116" w:name="_Toc353785282"/>
      <w:r>
        <w:rPr>
          <w:rFonts w:hint="eastAsia"/>
          <w:b/>
          <w:bCs/>
          <w:color w:val="auto"/>
          <w:highlight w:val="none"/>
        </w:rPr>
        <w:t>（六）投标费用</w:t>
      </w:r>
      <w:bookmarkEnd w:id="113"/>
      <w:bookmarkEnd w:id="114"/>
      <w:bookmarkEnd w:id="115"/>
      <w:bookmarkEnd w:id="116"/>
    </w:p>
    <w:p>
      <w:pPr>
        <w:snapToGrid w:val="0"/>
        <w:spacing w:line="410" w:lineRule="exact"/>
        <w:ind w:firstLine="420"/>
        <w:rPr>
          <w:rFonts w:ascii="宋体" w:hAnsi="宋体"/>
          <w:color w:val="auto"/>
          <w:szCs w:val="21"/>
          <w:highlight w:val="none"/>
        </w:rPr>
      </w:pPr>
      <w:r>
        <w:rPr>
          <w:rFonts w:hint="eastAsia" w:ascii="宋体" w:hAnsi="宋体"/>
          <w:color w:val="auto"/>
          <w:szCs w:val="21"/>
          <w:highlight w:val="none"/>
        </w:rPr>
        <w:t>投标人自行承担所有与投标有关的全部费用。</w:t>
      </w:r>
    </w:p>
    <w:p>
      <w:pPr>
        <w:spacing w:line="410" w:lineRule="exact"/>
        <w:ind w:firstLine="211" w:firstLineChars="100"/>
        <w:rPr>
          <w:b/>
          <w:bCs/>
          <w:color w:val="auto"/>
          <w:highlight w:val="none"/>
        </w:rPr>
      </w:pPr>
      <w:bookmarkStart w:id="117" w:name="_Toc353785283"/>
      <w:bookmarkStart w:id="118" w:name="_Toc352700413"/>
      <w:r>
        <w:rPr>
          <w:rFonts w:hint="eastAsia"/>
          <w:b/>
          <w:bCs/>
          <w:color w:val="auto"/>
          <w:highlight w:val="none"/>
        </w:rPr>
        <w:t>（七）转包与分包</w:t>
      </w:r>
      <w:bookmarkEnd w:id="117"/>
      <w:bookmarkEnd w:id="118"/>
    </w:p>
    <w:p>
      <w:pPr>
        <w:snapToGrid w:val="0"/>
        <w:spacing w:line="410" w:lineRule="exact"/>
        <w:ind w:firstLine="420"/>
        <w:rPr>
          <w:rFonts w:ascii="宋体" w:hAnsi="宋体" w:cs="宋体"/>
          <w:color w:val="auto"/>
          <w:kern w:val="0"/>
          <w:szCs w:val="21"/>
          <w:highlight w:val="none"/>
        </w:rPr>
      </w:pPr>
      <w:r>
        <w:rPr>
          <w:rFonts w:ascii="宋体" w:hAnsi="宋体" w:cs="宋体"/>
          <w:color w:val="auto"/>
          <w:kern w:val="0"/>
          <w:szCs w:val="21"/>
          <w:highlight w:val="none"/>
        </w:rPr>
        <w:t>1.</w:t>
      </w:r>
      <w:r>
        <w:rPr>
          <w:rFonts w:hint="eastAsia" w:ascii="宋体" w:hAnsi="宋体" w:cs="宋体"/>
          <w:color w:val="auto"/>
          <w:kern w:val="0"/>
          <w:szCs w:val="21"/>
          <w:highlight w:val="none"/>
        </w:rPr>
        <w:t>本项目不允许转包。</w:t>
      </w:r>
    </w:p>
    <w:p>
      <w:pPr>
        <w:snapToGrid w:val="0"/>
        <w:spacing w:line="410" w:lineRule="exact"/>
        <w:ind w:firstLine="420"/>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采购人允许采用分包方式履行合同的，应当在采购文件中明确可以分包履行的具体内容、金额或者比例。采购合同分包履行的</w:t>
      </w:r>
      <w:r>
        <w:rPr>
          <w:rFonts w:hint="eastAsia" w:ascii="宋体" w:hAnsi="宋体"/>
          <w:color w:val="auto"/>
          <w:kern w:val="0"/>
          <w:szCs w:val="21"/>
          <w:highlight w:val="none"/>
        </w:rPr>
        <w:t>，中标人就采购项目和分包项目向采购人负责，分包供应商就分包项目承担责任。</w:t>
      </w:r>
    </w:p>
    <w:p>
      <w:pPr>
        <w:snapToGrid w:val="0"/>
        <w:spacing w:line="410" w:lineRule="exact"/>
        <w:ind w:firstLine="420"/>
        <w:rPr>
          <w:rFonts w:hint="eastAsia" w:ascii="宋体" w:hAnsi="宋体" w:cs="宋体"/>
          <w:color w:val="auto"/>
          <w:kern w:val="0"/>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依据《政府采购促进中小企业发展管理办法》规定享受扶持政策获得政府采购合同的，小微企业不得将合同分包给大中型企业，中型企业不得将合同分包给大型企业。</w:t>
      </w:r>
    </w:p>
    <w:bookmarkEnd w:id="108"/>
    <w:p>
      <w:pPr>
        <w:spacing w:line="410" w:lineRule="exact"/>
        <w:ind w:firstLine="211" w:firstLineChars="100"/>
        <w:rPr>
          <w:rFonts w:hint="eastAsia"/>
          <w:b/>
          <w:bCs/>
          <w:color w:val="auto"/>
          <w:highlight w:val="none"/>
        </w:rPr>
      </w:pPr>
      <w:bookmarkStart w:id="119" w:name="_Toc254970673"/>
      <w:bookmarkStart w:id="120" w:name="_Toc254970532"/>
      <w:bookmarkStart w:id="121" w:name="_Toc353785284"/>
      <w:bookmarkStart w:id="122" w:name="_Toc352700414"/>
      <w:bookmarkStart w:id="123" w:name="_Hlk92444771"/>
      <w:r>
        <w:rPr>
          <w:rFonts w:hint="eastAsia"/>
          <w:b/>
          <w:bCs/>
          <w:color w:val="auto"/>
          <w:highlight w:val="none"/>
        </w:rPr>
        <w:t>（八）特别说明：</w:t>
      </w:r>
      <w:bookmarkEnd w:id="119"/>
      <w:bookmarkEnd w:id="120"/>
      <w:bookmarkEnd w:id="121"/>
      <w:bookmarkEnd w:id="122"/>
    </w:p>
    <w:p>
      <w:pPr>
        <w:pStyle w:val="2"/>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关联供应商不得参加同一合同项下政府采购活动，否则投标文件将被视为无效：</w:t>
      </w:r>
    </w:p>
    <w:p>
      <w:pPr>
        <w:pStyle w:val="2"/>
        <w:rPr>
          <w:color w:val="auto"/>
          <w:highlight w:val="none"/>
        </w:rPr>
      </w:pPr>
    </w:p>
    <w:p>
      <w:pPr>
        <w:spacing w:line="410" w:lineRule="exact"/>
        <w:ind w:firstLine="210" w:firstLineChars="100"/>
        <w:rPr>
          <w:rFonts w:hint="eastAsia" w:ascii="宋体" w:hAnsi="宋体"/>
          <w:color w:val="auto"/>
          <w:highlight w:val="none"/>
        </w:rPr>
      </w:pPr>
      <w:bookmarkStart w:id="124" w:name="_Toc254970674"/>
      <w:bookmarkStart w:id="125" w:name="_Toc352700415"/>
      <w:bookmarkStart w:id="126" w:name="_Toc353785285"/>
      <w:bookmarkStart w:id="127" w:name="_Toc254970533"/>
      <w:r>
        <w:rPr>
          <w:rFonts w:hint="eastAsia" w:ascii="宋体" w:hAnsi="宋体"/>
          <w:color w:val="auto"/>
          <w:highlight w:val="none"/>
        </w:rPr>
        <w:t>1.单位负责人为同一人或者存在直接控股、管理关系的不同的投标人，不得参加同一合同项下的政府采购活动。</w:t>
      </w:r>
    </w:p>
    <w:p>
      <w:pPr>
        <w:spacing w:line="410" w:lineRule="exact"/>
        <w:ind w:firstLine="210" w:firstLineChars="100"/>
        <w:rPr>
          <w:rFonts w:hint="eastAsia" w:ascii="宋体" w:hAnsi="宋体"/>
          <w:color w:val="auto"/>
          <w:highlight w:val="none"/>
        </w:rPr>
      </w:pPr>
      <w:r>
        <w:rPr>
          <w:rFonts w:hint="eastAsia" w:ascii="宋体" w:hAnsi="宋体"/>
          <w:color w:val="auto"/>
          <w:highlight w:val="none"/>
        </w:rPr>
        <w:t>2.为采购项目提供整体设计、规范编制或者项目管理、监理、检测等服务的投标人，不得再参加该采购项目的其他采购活动。</w:t>
      </w:r>
    </w:p>
    <w:p>
      <w:pPr>
        <w:spacing w:line="410" w:lineRule="exact"/>
        <w:ind w:firstLine="211" w:firstLineChars="100"/>
        <w:rPr>
          <w:b/>
          <w:bCs/>
          <w:color w:val="auto"/>
          <w:highlight w:val="none"/>
        </w:rPr>
      </w:pPr>
      <w:r>
        <w:rPr>
          <w:rFonts w:hint="eastAsia"/>
          <w:b/>
          <w:bCs/>
          <w:color w:val="auto"/>
          <w:highlight w:val="none"/>
        </w:rPr>
        <w:t>（九）询问、质疑和投诉</w:t>
      </w:r>
      <w:bookmarkEnd w:id="124"/>
      <w:bookmarkEnd w:id="125"/>
      <w:bookmarkEnd w:id="126"/>
      <w:bookmarkEnd w:id="127"/>
    </w:p>
    <w:p>
      <w:pPr>
        <w:pStyle w:val="27"/>
        <w:snapToGrid w:val="0"/>
        <w:spacing w:line="410" w:lineRule="exact"/>
        <w:ind w:firstLine="420"/>
        <w:rPr>
          <w:rFonts w:hAnsi="宋体"/>
          <w:bCs/>
          <w:color w:val="auto"/>
          <w:highlight w:val="none"/>
        </w:rPr>
      </w:pPr>
      <w:r>
        <w:rPr>
          <w:rFonts w:hAnsi="宋体"/>
          <w:bCs/>
          <w:color w:val="auto"/>
          <w:highlight w:val="none"/>
        </w:rPr>
        <w:t>1.</w:t>
      </w:r>
      <w:r>
        <w:rPr>
          <w:rFonts w:hint="eastAsia" w:ascii="Arial" w:hAnsi="Arial" w:cs="Arial"/>
          <w:color w:val="auto"/>
          <w:kern w:val="0"/>
          <w:highlight w:val="none"/>
        </w:rPr>
        <w:t>投标人</w:t>
      </w:r>
      <w:r>
        <w:rPr>
          <w:rFonts w:ascii="Arial" w:hAnsi="Arial" w:cs="Arial"/>
          <w:color w:val="auto"/>
          <w:kern w:val="0"/>
          <w:highlight w:val="none"/>
        </w:rPr>
        <w:t>对政府采购活动事项有疑问的，可以向采购人</w:t>
      </w:r>
      <w:r>
        <w:rPr>
          <w:rFonts w:hint="eastAsia" w:ascii="Arial" w:hAnsi="Arial" w:cs="Arial"/>
          <w:color w:val="auto"/>
          <w:kern w:val="0"/>
          <w:highlight w:val="none"/>
        </w:rPr>
        <w:t>或本中心</w:t>
      </w:r>
      <w:r>
        <w:rPr>
          <w:rFonts w:ascii="Arial" w:hAnsi="Arial" w:cs="Arial"/>
          <w:color w:val="auto"/>
          <w:kern w:val="0"/>
          <w:highlight w:val="none"/>
        </w:rPr>
        <w:t>提出询问，采购人</w:t>
      </w:r>
      <w:r>
        <w:rPr>
          <w:rFonts w:hint="eastAsia" w:ascii="Arial" w:hAnsi="Arial" w:cs="Arial"/>
          <w:color w:val="auto"/>
          <w:kern w:val="0"/>
          <w:highlight w:val="none"/>
        </w:rPr>
        <w:t>或本中</w:t>
      </w:r>
      <w:r>
        <w:rPr>
          <w:rFonts w:hint="eastAsia" w:ascii="Arial" w:hAnsi="Arial" w:cs="Arial"/>
          <w:color w:val="auto"/>
          <w:kern w:val="0"/>
          <w:highlight w:val="none"/>
          <w:lang w:eastAsia="zh-CN"/>
        </w:rPr>
        <w:t>心应</w:t>
      </w:r>
      <w:r>
        <w:rPr>
          <w:rFonts w:hint="eastAsia" w:ascii="Arial" w:hAnsi="Arial" w:cs="Arial"/>
          <w:color w:val="auto"/>
          <w:kern w:val="0"/>
          <w:highlight w:val="none"/>
        </w:rPr>
        <w:t>当在3个工作日内对投标人依法提出的询问作出答复</w:t>
      </w:r>
      <w:r>
        <w:rPr>
          <w:rFonts w:ascii="Arial" w:hAnsi="Arial" w:cs="Arial"/>
          <w:color w:val="auto"/>
          <w:kern w:val="0"/>
          <w:highlight w:val="none"/>
        </w:rPr>
        <w:t>，但答复的内容不得涉及商业秘密。</w:t>
      </w:r>
    </w:p>
    <w:p>
      <w:pPr>
        <w:pStyle w:val="27"/>
        <w:snapToGrid w:val="0"/>
        <w:spacing w:line="410" w:lineRule="exact"/>
        <w:ind w:firstLine="420"/>
        <w:rPr>
          <w:rFonts w:hAnsi="宋体"/>
          <w:bCs/>
          <w:color w:val="auto"/>
          <w:highlight w:val="none"/>
        </w:rPr>
      </w:pPr>
      <w:r>
        <w:rPr>
          <w:rFonts w:hAnsi="宋体"/>
          <w:bCs/>
          <w:color w:val="auto"/>
          <w:highlight w:val="none"/>
        </w:rPr>
        <w:t>2.</w:t>
      </w:r>
      <w:r>
        <w:rPr>
          <w:rFonts w:hint="eastAsia" w:hAnsi="宋体"/>
          <w:bCs/>
          <w:color w:val="auto"/>
          <w:highlight w:val="none"/>
        </w:rPr>
        <w:t>投标人认为招标文件、招标过程或中标结果使自己的合法权益受到损害的，</w:t>
      </w:r>
      <w:r>
        <w:rPr>
          <w:rFonts w:hAnsi="宋体"/>
          <w:bCs/>
          <w:color w:val="auto"/>
          <w:highlight w:val="none"/>
        </w:rPr>
        <w:t>可以在知道或者应知其权益受到损害之日起7个工作日内</w:t>
      </w:r>
      <w:r>
        <w:rPr>
          <w:rFonts w:hint="eastAsia" w:hAnsi="宋体"/>
          <w:bCs/>
          <w:color w:val="auto"/>
          <w:highlight w:val="none"/>
        </w:rPr>
        <w:t>，</w:t>
      </w:r>
      <w:r>
        <w:rPr>
          <w:rFonts w:cs="Arial"/>
          <w:color w:val="auto"/>
          <w:highlight w:val="none"/>
        </w:rPr>
        <w:t>以书面形式</w:t>
      </w:r>
      <w:r>
        <w:rPr>
          <w:rFonts w:hint="eastAsia" w:cs="Arial"/>
          <w:color w:val="auto"/>
          <w:highlight w:val="none"/>
        </w:rPr>
        <w:t>（政采云平台）</w:t>
      </w:r>
      <w:r>
        <w:rPr>
          <w:rFonts w:cs="Arial"/>
          <w:color w:val="auto"/>
          <w:highlight w:val="none"/>
        </w:rPr>
        <w:t>向采购人、采购代理机构提出质疑。</w:t>
      </w:r>
      <w:r>
        <w:rPr>
          <w:rFonts w:hint="eastAsia" w:hAnsi="宋体"/>
          <w:bCs/>
          <w:color w:val="auto"/>
          <w:highlight w:val="none"/>
        </w:rPr>
        <w:t>投标人必须在法定质疑期内一次性提出针对同一采购程序环节的质疑。</w:t>
      </w:r>
      <w:r>
        <w:rPr>
          <w:rFonts w:hint="eastAsia" w:hAnsi="宋体" w:cs="宋体"/>
          <w:color w:val="auto"/>
          <w:highlight w:val="none"/>
        </w:rPr>
        <w:t>投标人应知其权益受到损害之日，是指：</w:t>
      </w:r>
    </w:p>
    <w:p>
      <w:pPr>
        <w:pStyle w:val="27"/>
        <w:adjustRightInd w:val="0"/>
        <w:snapToGrid w:val="0"/>
        <w:spacing w:line="410" w:lineRule="exact"/>
        <w:ind w:firstLine="308" w:firstLineChars="147"/>
        <w:rPr>
          <w:rFonts w:hAnsi="宋体"/>
          <w:bCs/>
          <w:color w:val="auto"/>
          <w:highlight w:val="none"/>
        </w:rPr>
      </w:pPr>
      <w:r>
        <w:rPr>
          <w:rFonts w:hint="eastAsia" w:hAnsi="宋体"/>
          <w:bCs/>
          <w:color w:val="auto"/>
          <w:highlight w:val="none"/>
        </w:rPr>
        <w:t>(</w:t>
      </w:r>
      <w:r>
        <w:rPr>
          <w:rFonts w:hAnsi="宋体"/>
          <w:bCs/>
          <w:color w:val="auto"/>
          <w:highlight w:val="none"/>
        </w:rPr>
        <w:t>1)</w:t>
      </w:r>
      <w:r>
        <w:rPr>
          <w:rFonts w:hint="eastAsia" w:hAnsi="宋体"/>
          <w:bCs/>
          <w:color w:val="auto"/>
          <w:highlight w:val="none"/>
        </w:rPr>
        <w:t>对招标文件提出质疑的，为获取招标文件之日；</w:t>
      </w:r>
    </w:p>
    <w:p>
      <w:pPr>
        <w:pStyle w:val="27"/>
        <w:adjustRightInd w:val="0"/>
        <w:snapToGrid w:val="0"/>
        <w:spacing w:line="410" w:lineRule="exact"/>
        <w:ind w:firstLine="308" w:firstLineChars="147"/>
        <w:rPr>
          <w:rFonts w:hint="eastAsia" w:hAnsi="宋体"/>
          <w:bCs/>
          <w:color w:val="auto"/>
          <w:highlight w:val="none"/>
        </w:rPr>
      </w:pPr>
      <w:r>
        <w:rPr>
          <w:rFonts w:hint="eastAsia" w:hAnsi="宋体"/>
          <w:bCs/>
          <w:color w:val="auto"/>
          <w:highlight w:val="none"/>
        </w:rPr>
        <w:t>(</w:t>
      </w:r>
      <w:r>
        <w:rPr>
          <w:rFonts w:hAnsi="宋体"/>
          <w:bCs/>
          <w:color w:val="auto"/>
          <w:highlight w:val="none"/>
        </w:rPr>
        <w:t>2)</w:t>
      </w:r>
      <w:r>
        <w:rPr>
          <w:rFonts w:hint="eastAsia" w:hAnsi="宋体"/>
          <w:bCs/>
          <w:color w:val="auto"/>
          <w:highlight w:val="none"/>
        </w:rPr>
        <w:t>对招标过程提出质疑的，为各采购程序环节结束之日；</w:t>
      </w:r>
    </w:p>
    <w:p>
      <w:pPr>
        <w:widowControl/>
        <w:adjustRightInd w:val="0"/>
        <w:snapToGrid w:val="0"/>
        <w:spacing w:line="410" w:lineRule="exact"/>
        <w:ind w:firstLine="102" w:firstLineChars="49"/>
        <w:jc w:val="left"/>
        <w:rPr>
          <w:rFonts w:ascii="宋体" w:hAnsi="宋体" w:cs="Courier New"/>
          <w:bCs/>
          <w:color w:val="auto"/>
          <w:szCs w:val="21"/>
          <w:highlight w:val="none"/>
        </w:rPr>
      </w:pPr>
      <w:r>
        <w:rPr>
          <w:rFonts w:hint="eastAsia" w:ascii="宋体" w:hAnsi="宋体" w:cs="Courier New"/>
          <w:bCs/>
          <w:color w:val="auto"/>
          <w:szCs w:val="21"/>
          <w:highlight w:val="none"/>
        </w:rPr>
        <w:t xml:space="preserve">  (</w:t>
      </w:r>
      <w:r>
        <w:rPr>
          <w:rFonts w:ascii="宋体" w:hAnsi="宋体" w:cs="Courier New"/>
          <w:bCs/>
          <w:color w:val="auto"/>
          <w:szCs w:val="21"/>
          <w:highlight w:val="none"/>
        </w:rPr>
        <w:t>3)</w:t>
      </w:r>
      <w:r>
        <w:rPr>
          <w:rFonts w:hint="eastAsia" w:ascii="宋体" w:hAnsi="宋体" w:cs="Courier New"/>
          <w:bCs/>
          <w:color w:val="auto"/>
          <w:szCs w:val="21"/>
          <w:highlight w:val="none"/>
        </w:rPr>
        <w:t>对中标结果提出质疑的，为中标结果公告期限届满之日。</w:t>
      </w:r>
    </w:p>
    <w:p>
      <w:pPr>
        <w:widowControl/>
        <w:adjustRightInd w:val="0"/>
        <w:snapToGrid w:val="0"/>
        <w:spacing w:line="410" w:lineRule="exact"/>
        <w:ind w:firstLine="420"/>
        <w:jc w:val="left"/>
        <w:rPr>
          <w:rFonts w:ascii="宋体" w:hAnsi="宋体" w:cs="Courier New"/>
          <w:bCs/>
          <w:color w:val="auto"/>
          <w:szCs w:val="21"/>
          <w:highlight w:val="none"/>
        </w:rPr>
      </w:pPr>
      <w:r>
        <w:rPr>
          <w:rFonts w:ascii="宋体" w:hAnsi="宋体" w:cs="Courier New"/>
          <w:bCs/>
          <w:color w:val="auto"/>
          <w:szCs w:val="21"/>
          <w:highlight w:val="none"/>
        </w:rPr>
        <w:t>3.</w:t>
      </w:r>
      <w:r>
        <w:rPr>
          <w:rFonts w:hint="eastAsia" w:hAnsi="宋体"/>
          <w:color w:val="auto"/>
          <w:highlight w:val="none"/>
        </w:rPr>
        <w:t>投标人对采购人、本中心质疑答复不满意或者采购人、本中心未在规定时间内作出答复的，可以在答复期满后十五个工作日内向同级采购监管部门投诉。</w:t>
      </w:r>
    </w:p>
    <w:p>
      <w:pPr>
        <w:pStyle w:val="27"/>
        <w:snapToGrid w:val="0"/>
        <w:spacing w:line="410" w:lineRule="exact"/>
        <w:ind w:firstLine="420"/>
        <w:rPr>
          <w:rFonts w:hAnsi="宋体"/>
          <w:bCs/>
          <w:color w:val="auto"/>
          <w:highlight w:val="none"/>
        </w:rPr>
      </w:pPr>
      <w:r>
        <w:rPr>
          <w:rFonts w:hAnsi="宋体"/>
          <w:bCs/>
          <w:color w:val="auto"/>
          <w:highlight w:val="none"/>
        </w:rPr>
        <w:t>4.</w:t>
      </w:r>
      <w:r>
        <w:rPr>
          <w:rFonts w:hint="eastAsia" w:hAnsi="宋体"/>
          <w:bCs/>
          <w:color w:val="auto"/>
          <w:highlight w:val="none"/>
        </w:rPr>
        <w:t>质疑、投诉应当采用书面形式，质疑书、投诉书均应明确阐述招标文件、招标过程或中标结果中使自己合法权益受到损害的实质性内容，提供相关事实、依据和证据及其来源或线索，便于有关单位调查、答复和处理。（质疑、投诉不接受传真形式）</w:t>
      </w:r>
    </w:p>
    <w:p>
      <w:pPr>
        <w:spacing w:line="410" w:lineRule="exact"/>
        <w:ind w:firstLine="420"/>
        <w:rPr>
          <w:color w:val="auto"/>
          <w:highlight w:val="none"/>
        </w:rPr>
      </w:pPr>
      <w:r>
        <w:rPr>
          <w:rFonts w:hint="eastAsia"/>
          <w:color w:val="auto"/>
          <w:highlight w:val="none"/>
        </w:rPr>
        <w:t>质疑部门联系方式：钦州市政府采购中心          0777-288600</w:t>
      </w:r>
      <w:r>
        <w:rPr>
          <w:color w:val="auto"/>
          <w:highlight w:val="none"/>
        </w:rPr>
        <w:t>2</w:t>
      </w:r>
    </w:p>
    <w:p>
      <w:pPr>
        <w:spacing w:line="410" w:lineRule="exact"/>
        <w:ind w:firstLine="420"/>
        <w:jc w:val="left"/>
        <w:rPr>
          <w:rFonts w:hint="default" w:eastAsia="宋体"/>
          <w:color w:val="auto"/>
          <w:highlight w:val="none"/>
          <w:lang w:val="en-US" w:eastAsia="zh-CN"/>
        </w:rPr>
      </w:pPr>
      <w:r>
        <w:rPr>
          <w:rFonts w:hint="eastAsia"/>
          <w:color w:val="auto"/>
          <w:highlight w:val="none"/>
        </w:rPr>
        <w:t>采购监管部门联系方式：</w:t>
      </w:r>
      <w:r>
        <w:rPr>
          <w:rFonts w:hint="eastAsia"/>
          <w:color w:val="auto"/>
          <w:highlight w:val="none"/>
          <w:lang w:val="en-US" w:eastAsia="zh-CN"/>
        </w:rPr>
        <w:t>河池市</w:t>
      </w:r>
      <w:r>
        <w:rPr>
          <w:rFonts w:hint="eastAsia"/>
          <w:color w:val="auto"/>
          <w:highlight w:val="none"/>
        </w:rPr>
        <w:t>财政局</w:t>
      </w:r>
      <w:r>
        <w:rPr>
          <w:rFonts w:hint="eastAsia"/>
          <w:color w:val="auto"/>
          <w:highlight w:val="none"/>
          <w:lang w:eastAsia="zh-CN"/>
        </w:rPr>
        <w:t>政府</w:t>
      </w:r>
      <w:r>
        <w:rPr>
          <w:rFonts w:hint="eastAsia"/>
          <w:color w:val="auto"/>
          <w:highlight w:val="none"/>
        </w:rPr>
        <w:t xml:space="preserve">    </w:t>
      </w:r>
      <w:r>
        <w:rPr>
          <w:rFonts w:hint="eastAsia"/>
          <w:color w:val="auto"/>
          <w:highlight w:val="none"/>
          <w:lang w:val="en-US" w:eastAsia="zh-CN"/>
        </w:rPr>
        <w:t>0778-2270025</w:t>
      </w:r>
    </w:p>
    <w:p>
      <w:pPr>
        <w:spacing w:line="410" w:lineRule="exact"/>
        <w:ind w:firstLine="211" w:firstLineChars="100"/>
        <w:rPr>
          <w:rFonts w:hAnsi="宋体"/>
          <w:color w:val="auto"/>
          <w:highlight w:val="none"/>
        </w:rPr>
      </w:pPr>
      <w:bookmarkStart w:id="128" w:name="_Hlk92793564"/>
      <w:r>
        <w:rPr>
          <w:rFonts w:hint="eastAsia"/>
          <w:b/>
          <w:bCs/>
          <w:color w:val="auto"/>
          <w:highlight w:val="none"/>
        </w:rPr>
        <w:t>（十）查询媒体</w:t>
      </w:r>
      <w:bookmarkEnd w:id="123"/>
      <w:bookmarkEnd w:id="128"/>
      <w:r>
        <w:rPr>
          <w:rFonts w:hint="eastAsia"/>
          <w:b/>
          <w:bCs/>
          <w:color w:val="auto"/>
          <w:highlight w:val="none"/>
        </w:rPr>
        <w:t>:</w:t>
      </w:r>
      <w:r>
        <w:rPr>
          <w:rFonts w:hAnsi="宋体"/>
          <w:color w:val="auto"/>
          <w:highlight w:val="none"/>
        </w:rPr>
        <w:fldChar w:fldCharType="begin"/>
      </w:r>
      <w:r>
        <w:rPr>
          <w:rFonts w:hAnsi="宋体"/>
          <w:color w:val="auto"/>
          <w:highlight w:val="none"/>
        </w:rPr>
        <w:instrText xml:space="preserve">HYPERLINK "http://www.ccgp.gov.cn/"</w:instrText>
      </w:r>
      <w:r>
        <w:rPr>
          <w:rFonts w:hAnsi="宋体"/>
          <w:color w:val="auto"/>
          <w:highlight w:val="none"/>
        </w:rPr>
        <w:fldChar w:fldCharType="separate"/>
      </w:r>
      <w:r>
        <w:rPr>
          <w:rStyle w:val="58"/>
          <w:rFonts w:hint="eastAsia" w:hAnsi="宋体"/>
          <w:color w:val="auto"/>
          <w:highlight w:val="none"/>
          <w:u w:val="none"/>
        </w:rPr>
        <w:t>中国政府采购网</w:t>
      </w:r>
      <w:r>
        <w:rPr>
          <w:rFonts w:hAnsi="宋体"/>
          <w:color w:val="auto"/>
          <w:highlight w:val="none"/>
        </w:rPr>
        <w:fldChar w:fldCharType="end"/>
      </w:r>
      <w:r>
        <w:rPr>
          <w:rFonts w:hint="eastAsia" w:hAnsi="宋体"/>
          <w:color w:val="auto"/>
          <w:highlight w:val="none"/>
        </w:rPr>
        <w:t>、</w:t>
      </w:r>
      <w:r>
        <w:rPr>
          <w:color w:val="auto"/>
          <w:highlight w:val="none"/>
        </w:rPr>
        <w:fldChar w:fldCharType="begin"/>
      </w:r>
      <w:r>
        <w:rPr>
          <w:color w:val="auto"/>
          <w:highlight w:val="none"/>
        </w:rPr>
        <w:instrText xml:space="preserve"> HYPERLINK "http://zfcg.gxzf.gov.cn/" </w:instrText>
      </w:r>
      <w:r>
        <w:rPr>
          <w:color w:val="auto"/>
          <w:highlight w:val="none"/>
        </w:rPr>
        <w:fldChar w:fldCharType="separate"/>
      </w:r>
      <w:r>
        <w:rPr>
          <w:rFonts w:hint="eastAsia" w:hAnsi="宋体"/>
          <w:color w:val="auto"/>
          <w:highlight w:val="none"/>
        </w:rPr>
        <w:t>广西政府采购网</w:t>
      </w:r>
      <w:r>
        <w:rPr>
          <w:rFonts w:hAnsi="宋体"/>
          <w:color w:val="auto"/>
          <w:highlight w:val="none"/>
        </w:rPr>
        <w:fldChar w:fldCharType="end"/>
      </w:r>
      <w:r>
        <w:rPr>
          <w:rFonts w:hint="eastAsia" w:hAnsi="宋体"/>
          <w:color w:val="auto"/>
          <w:highlight w:val="none"/>
        </w:rPr>
        <w:t>。</w:t>
      </w:r>
    </w:p>
    <w:p>
      <w:pPr>
        <w:spacing w:line="410" w:lineRule="exact"/>
        <w:ind w:firstLine="211" w:firstLineChars="100"/>
        <w:rPr>
          <w:rFonts w:hint="eastAsia"/>
          <w:b/>
          <w:bCs/>
          <w:color w:val="auto"/>
          <w:highlight w:val="none"/>
        </w:rPr>
      </w:pPr>
    </w:p>
    <w:p>
      <w:pPr>
        <w:pStyle w:val="6"/>
        <w:spacing w:before="0" w:after="0" w:line="410" w:lineRule="exact"/>
        <w:ind w:firstLine="0" w:firstLineChars="0"/>
        <w:rPr>
          <w:rFonts w:ascii="方正小标宋_GBK" w:eastAsia="方正小标宋_GBK"/>
          <w:color w:val="auto"/>
          <w:sz w:val="24"/>
          <w:szCs w:val="24"/>
          <w:highlight w:val="none"/>
        </w:rPr>
      </w:pPr>
      <w:bookmarkStart w:id="129" w:name="_Toc353785286"/>
      <w:bookmarkStart w:id="130" w:name="_Toc352700416"/>
      <w:r>
        <w:rPr>
          <w:rFonts w:hint="eastAsia" w:ascii="方正小标宋_GBK" w:eastAsia="方正小标宋_GBK"/>
          <w:color w:val="auto"/>
          <w:sz w:val="24"/>
          <w:szCs w:val="24"/>
          <w:highlight w:val="none"/>
        </w:rPr>
        <w:t>二、招标文件</w:t>
      </w:r>
      <w:bookmarkEnd w:id="129"/>
      <w:bookmarkEnd w:id="130"/>
    </w:p>
    <w:p>
      <w:pPr>
        <w:spacing w:line="410" w:lineRule="exact"/>
        <w:ind w:firstLine="211" w:firstLineChars="100"/>
        <w:rPr>
          <w:b/>
          <w:bCs/>
          <w:color w:val="auto"/>
          <w:highlight w:val="none"/>
        </w:rPr>
      </w:pPr>
      <w:bookmarkStart w:id="131" w:name="_Toc352700417"/>
      <w:bookmarkStart w:id="132" w:name="_Toc353785287"/>
      <w:r>
        <w:rPr>
          <w:rFonts w:hint="eastAsia"/>
          <w:b/>
          <w:bCs/>
          <w:color w:val="auto"/>
          <w:highlight w:val="none"/>
        </w:rPr>
        <w:t>（一）招标文件的组成</w:t>
      </w:r>
      <w:bookmarkEnd w:id="131"/>
      <w:bookmarkEnd w:id="132"/>
    </w:p>
    <w:p>
      <w:pPr>
        <w:pStyle w:val="27"/>
        <w:snapToGrid w:val="0"/>
        <w:spacing w:line="410" w:lineRule="exact"/>
        <w:ind w:firstLine="420"/>
        <w:rPr>
          <w:rFonts w:hAnsi="宋体"/>
          <w:color w:val="auto"/>
          <w:highlight w:val="none"/>
        </w:rPr>
      </w:pPr>
      <w:r>
        <w:rPr>
          <w:rFonts w:hint="eastAsia" w:hAnsi="宋体"/>
          <w:color w:val="auto"/>
          <w:highlight w:val="none"/>
        </w:rPr>
        <w:t>第一章 招标公告</w:t>
      </w:r>
    </w:p>
    <w:p>
      <w:pPr>
        <w:pStyle w:val="27"/>
        <w:snapToGrid w:val="0"/>
        <w:spacing w:line="410" w:lineRule="exact"/>
        <w:ind w:firstLine="420"/>
        <w:rPr>
          <w:rFonts w:hAnsi="宋体"/>
          <w:color w:val="auto"/>
          <w:highlight w:val="none"/>
        </w:rPr>
      </w:pPr>
      <w:r>
        <w:rPr>
          <w:rFonts w:hint="eastAsia" w:hAnsi="宋体"/>
          <w:color w:val="auto"/>
          <w:highlight w:val="none"/>
        </w:rPr>
        <w:t>第二章 项目需求</w:t>
      </w:r>
    </w:p>
    <w:p>
      <w:pPr>
        <w:pStyle w:val="27"/>
        <w:snapToGrid w:val="0"/>
        <w:spacing w:line="410" w:lineRule="exact"/>
        <w:ind w:firstLine="420"/>
        <w:rPr>
          <w:rFonts w:hAnsi="宋体"/>
          <w:color w:val="auto"/>
          <w:highlight w:val="none"/>
        </w:rPr>
      </w:pPr>
      <w:r>
        <w:rPr>
          <w:rFonts w:hint="eastAsia" w:hAnsi="宋体"/>
          <w:color w:val="auto"/>
          <w:highlight w:val="none"/>
        </w:rPr>
        <w:t>第三章 投标人须知及前附表</w:t>
      </w:r>
    </w:p>
    <w:p>
      <w:pPr>
        <w:pStyle w:val="27"/>
        <w:snapToGrid w:val="0"/>
        <w:spacing w:line="410" w:lineRule="exact"/>
        <w:ind w:firstLine="420"/>
        <w:rPr>
          <w:rFonts w:hAnsi="宋体"/>
          <w:color w:val="auto"/>
          <w:highlight w:val="none"/>
        </w:rPr>
      </w:pPr>
      <w:r>
        <w:rPr>
          <w:rFonts w:hint="eastAsia" w:hAnsi="宋体"/>
          <w:color w:val="auto"/>
          <w:highlight w:val="none"/>
        </w:rPr>
        <w:t>第四章 评定标准及推荐原则</w:t>
      </w:r>
    </w:p>
    <w:p>
      <w:pPr>
        <w:pStyle w:val="27"/>
        <w:snapToGrid w:val="0"/>
        <w:spacing w:line="410" w:lineRule="exact"/>
        <w:ind w:firstLine="420"/>
        <w:rPr>
          <w:rFonts w:hAnsi="宋体"/>
          <w:color w:val="auto"/>
          <w:highlight w:val="none"/>
        </w:rPr>
      </w:pPr>
      <w:r>
        <w:rPr>
          <w:rFonts w:hint="eastAsia" w:hAnsi="宋体"/>
          <w:color w:val="auto"/>
          <w:highlight w:val="none"/>
        </w:rPr>
        <w:t>第五章 政府采购合同主要条款</w:t>
      </w:r>
    </w:p>
    <w:p>
      <w:pPr>
        <w:pStyle w:val="27"/>
        <w:snapToGrid w:val="0"/>
        <w:spacing w:line="410" w:lineRule="exact"/>
        <w:ind w:firstLine="420"/>
        <w:rPr>
          <w:rFonts w:hAnsi="宋体"/>
          <w:color w:val="auto"/>
          <w:highlight w:val="none"/>
        </w:rPr>
      </w:pPr>
      <w:r>
        <w:rPr>
          <w:rFonts w:hint="eastAsia" w:hAnsi="宋体"/>
          <w:color w:val="auto"/>
          <w:highlight w:val="none"/>
        </w:rPr>
        <w:t>第六章 投标文件格式</w:t>
      </w:r>
    </w:p>
    <w:p>
      <w:pPr>
        <w:spacing w:line="410" w:lineRule="exact"/>
        <w:ind w:firstLine="211" w:firstLineChars="100"/>
        <w:rPr>
          <w:b/>
          <w:bCs/>
          <w:color w:val="auto"/>
          <w:highlight w:val="none"/>
        </w:rPr>
      </w:pPr>
      <w:bookmarkStart w:id="133" w:name="_Toc352700419"/>
      <w:bookmarkStart w:id="134" w:name="_Toc353785289"/>
      <w:r>
        <w:rPr>
          <w:rFonts w:hint="eastAsia"/>
          <w:b/>
          <w:bCs/>
          <w:color w:val="auto"/>
          <w:highlight w:val="none"/>
        </w:rPr>
        <w:t>（二）招标文件的澄清与修改</w:t>
      </w:r>
      <w:bookmarkEnd w:id="133"/>
      <w:bookmarkEnd w:id="134"/>
    </w:p>
    <w:p>
      <w:pPr>
        <w:pStyle w:val="27"/>
        <w:snapToGrid w:val="0"/>
        <w:spacing w:line="410" w:lineRule="exact"/>
        <w:ind w:firstLine="420"/>
        <w:jc w:val="left"/>
        <w:rPr>
          <w:color w:val="auto"/>
          <w:highlight w:val="none"/>
        </w:rPr>
      </w:pPr>
      <w:r>
        <w:rPr>
          <w:rFonts w:hAnsi="宋体"/>
          <w:color w:val="auto"/>
          <w:highlight w:val="none"/>
        </w:rPr>
        <w:t>1.</w:t>
      </w:r>
      <w:r>
        <w:rPr>
          <w:color w:val="auto"/>
          <w:highlight w:val="none"/>
        </w:rPr>
        <w:t>采购人</w:t>
      </w:r>
      <w:r>
        <w:rPr>
          <w:rFonts w:hint="eastAsia"/>
          <w:color w:val="auto"/>
          <w:highlight w:val="none"/>
        </w:rPr>
        <w:t>或者本中心</w:t>
      </w:r>
      <w:r>
        <w:rPr>
          <w:color w:val="auto"/>
          <w:highlight w:val="none"/>
        </w:rPr>
        <w:t>可以对已发出的招标文件进行必要的</w:t>
      </w:r>
      <w:bookmarkStart w:id="135" w:name="_Hlk92287343"/>
      <w:r>
        <w:rPr>
          <w:color w:val="auto"/>
          <w:highlight w:val="none"/>
        </w:rPr>
        <w:t>澄清或者修改</w:t>
      </w:r>
      <w:bookmarkEnd w:id="135"/>
      <w:r>
        <w:rPr>
          <w:color w:val="auto"/>
          <w:highlight w:val="none"/>
        </w:rPr>
        <w:t>，但不得改变采购标的和资格条件。澄清或者修改应当在原公告发布媒体上发布澄清公告。澄清或者修改的内容为招标文件的组成部分。</w:t>
      </w:r>
    </w:p>
    <w:p>
      <w:pPr>
        <w:pStyle w:val="27"/>
        <w:snapToGrid w:val="0"/>
        <w:spacing w:line="410" w:lineRule="exact"/>
        <w:ind w:firstLine="420"/>
        <w:jc w:val="left"/>
        <w:rPr>
          <w:rFonts w:hAnsi="宋体"/>
          <w:color w:val="auto"/>
          <w:highlight w:val="none"/>
        </w:rPr>
      </w:pPr>
      <w:r>
        <w:rPr>
          <w:rFonts w:hAnsi="宋体"/>
          <w:color w:val="auto"/>
          <w:highlight w:val="none"/>
        </w:rPr>
        <w:t>2.澄清或者修改的内容可能影响投标文件编制的，采购人或者采购代理机构应当在投标截止时间至少15日前，以</w:t>
      </w:r>
      <w:r>
        <w:rPr>
          <w:rFonts w:hint="eastAsia" w:hAnsi="宋体"/>
          <w:color w:val="auto"/>
          <w:highlight w:val="none"/>
        </w:rPr>
        <w:t>书面形式</w:t>
      </w:r>
      <w:r>
        <w:rPr>
          <w:rFonts w:hAnsi="宋体"/>
          <w:color w:val="auto"/>
          <w:highlight w:val="none"/>
        </w:rPr>
        <w:t>通知所有</w:t>
      </w:r>
      <w:r>
        <w:rPr>
          <w:rFonts w:hint="eastAsia" w:hAnsi="宋体"/>
          <w:color w:val="auto"/>
          <w:highlight w:val="none"/>
        </w:rPr>
        <w:t>依法</w:t>
      </w:r>
      <w:r>
        <w:rPr>
          <w:rFonts w:hAnsi="宋体"/>
          <w:color w:val="auto"/>
          <w:highlight w:val="none"/>
        </w:rPr>
        <w:t>获取招标文件的潜在投标人；不足15日的，采购人或者采购代理机构应当顺延提交投标文件的截止时间。</w:t>
      </w:r>
    </w:p>
    <w:p>
      <w:pPr>
        <w:pStyle w:val="27"/>
        <w:snapToGrid w:val="0"/>
        <w:spacing w:line="410" w:lineRule="exact"/>
        <w:ind w:firstLine="420"/>
        <w:jc w:val="left"/>
        <w:rPr>
          <w:rFonts w:hint="eastAsia" w:ascii="Arial" w:hAnsi="Arial" w:cs="Arial"/>
          <w:color w:val="auto"/>
          <w:highlight w:val="none"/>
        </w:rPr>
      </w:pPr>
      <w:bookmarkStart w:id="136" w:name="_Hlk92446337"/>
      <w:r>
        <w:rPr>
          <w:rFonts w:hAnsi="宋体"/>
          <w:color w:val="auto"/>
          <w:highlight w:val="none"/>
        </w:rPr>
        <w:t>3.</w:t>
      </w:r>
      <w:r>
        <w:rPr>
          <w:rFonts w:ascii="Arial" w:hAnsi="Arial" w:cs="Arial"/>
          <w:color w:val="auto"/>
          <w:highlight w:val="none"/>
        </w:rPr>
        <w:t>提供期限届满后，获取招标文件的潜在投标人不足3家的，</w:t>
      </w:r>
      <w:r>
        <w:rPr>
          <w:rFonts w:hint="eastAsia" w:ascii="Arial" w:hAnsi="Arial" w:cs="Arial"/>
          <w:color w:val="auto"/>
          <w:highlight w:val="none"/>
        </w:rPr>
        <w:t>本中心</w:t>
      </w:r>
      <w:r>
        <w:rPr>
          <w:rFonts w:ascii="Arial" w:hAnsi="Arial" w:cs="Arial"/>
          <w:color w:val="auto"/>
          <w:highlight w:val="none"/>
        </w:rPr>
        <w:t>可以顺延提供期限，并予公告。</w:t>
      </w:r>
    </w:p>
    <w:bookmarkEnd w:id="136"/>
    <w:p>
      <w:pPr>
        <w:pStyle w:val="6"/>
        <w:spacing w:before="0" w:after="0" w:line="410" w:lineRule="exact"/>
        <w:ind w:firstLine="0" w:firstLineChars="0"/>
        <w:rPr>
          <w:rFonts w:ascii="方正小标宋_GBK" w:eastAsia="方正小标宋_GBK"/>
          <w:b w:val="0"/>
          <w:color w:val="auto"/>
          <w:sz w:val="24"/>
          <w:szCs w:val="24"/>
          <w:highlight w:val="none"/>
        </w:rPr>
      </w:pPr>
      <w:bookmarkStart w:id="137" w:name="_三、投标文件"/>
      <w:bookmarkEnd w:id="137"/>
      <w:bookmarkStart w:id="138" w:name="_Toc254970535"/>
      <w:bookmarkStart w:id="139" w:name="_Toc352700420"/>
      <w:bookmarkStart w:id="140" w:name="_Toc254970676"/>
      <w:bookmarkStart w:id="141" w:name="_Toc353785290"/>
      <w:r>
        <w:rPr>
          <w:rFonts w:hint="eastAsia" w:ascii="方正小标宋_GBK" w:eastAsia="方正小标宋_GBK"/>
          <w:b w:val="0"/>
          <w:color w:val="auto"/>
          <w:sz w:val="24"/>
          <w:szCs w:val="24"/>
          <w:highlight w:val="none"/>
        </w:rPr>
        <w:t>三、</w:t>
      </w:r>
      <w:bookmarkStart w:id="142" w:name="_Hlk92446512"/>
      <w:r>
        <w:rPr>
          <w:rFonts w:hint="eastAsia" w:ascii="方正小标宋_GBK" w:eastAsia="方正小标宋_GBK"/>
          <w:b w:val="0"/>
          <w:color w:val="auto"/>
          <w:sz w:val="24"/>
          <w:szCs w:val="24"/>
          <w:highlight w:val="none"/>
        </w:rPr>
        <w:t>投标文件</w:t>
      </w:r>
      <w:bookmarkEnd w:id="138"/>
      <w:bookmarkEnd w:id="139"/>
      <w:bookmarkEnd w:id="140"/>
      <w:bookmarkEnd w:id="141"/>
    </w:p>
    <w:p>
      <w:pPr>
        <w:spacing w:line="410" w:lineRule="exact"/>
        <w:ind w:firstLine="211" w:firstLineChars="100"/>
        <w:rPr>
          <w:rFonts w:hint="eastAsia" w:hAnsi="宋体"/>
          <w:b/>
          <w:bCs/>
          <w:color w:val="auto"/>
          <w:highlight w:val="none"/>
        </w:rPr>
      </w:pPr>
      <w:bookmarkStart w:id="143" w:name="_Toc254970677"/>
      <w:bookmarkStart w:id="144" w:name="_Toc254970536"/>
      <w:bookmarkStart w:id="145" w:name="_Toc352700421"/>
      <w:bookmarkStart w:id="146" w:name="_Toc353785291"/>
      <w:r>
        <w:rPr>
          <w:rFonts w:hint="eastAsia" w:hAnsi="宋体"/>
          <w:b/>
          <w:bCs/>
          <w:color w:val="auto"/>
          <w:highlight w:val="none"/>
        </w:rPr>
        <w:t>（一）投标人的风险</w:t>
      </w:r>
    </w:p>
    <w:p>
      <w:pPr>
        <w:spacing w:line="410" w:lineRule="exact"/>
        <w:ind w:firstLine="420"/>
        <w:rPr>
          <w:rFonts w:hAnsi="宋体"/>
          <w:color w:val="auto"/>
          <w:highlight w:val="none"/>
        </w:rPr>
      </w:pPr>
      <w:r>
        <w:rPr>
          <w:rFonts w:hAnsi="宋体"/>
          <w:color w:val="auto"/>
          <w:highlight w:val="none"/>
        </w:rPr>
        <w:t>1.</w:t>
      </w:r>
      <w:r>
        <w:rPr>
          <w:rFonts w:hint="eastAsia" w:hAnsi="宋体"/>
          <w:color w:val="auto"/>
          <w:highlight w:val="none"/>
        </w:rPr>
        <w:t>投标人应仔细阅读招标文件的全部内容，按照招标文件的要求提交投标文件，并对所提供的全部资料的真实性承担法律责任。</w:t>
      </w:r>
    </w:p>
    <w:p>
      <w:pPr>
        <w:spacing w:line="410" w:lineRule="exact"/>
        <w:ind w:firstLine="420"/>
        <w:rPr>
          <w:rFonts w:hint="eastAsia" w:hAnsi="宋体"/>
          <w:color w:val="auto"/>
          <w:highlight w:val="none"/>
        </w:rPr>
      </w:pPr>
      <w:r>
        <w:rPr>
          <w:rFonts w:hAnsi="宋体"/>
          <w:color w:val="auto"/>
          <w:highlight w:val="none"/>
        </w:rPr>
        <w:t>2.</w:t>
      </w:r>
      <w:r>
        <w:rPr>
          <w:rFonts w:hint="eastAsia" w:hAnsi="宋体"/>
          <w:color w:val="auto"/>
          <w:highlight w:val="none"/>
        </w:rPr>
        <w:t>投标人在投标活动中提供任何虚假材料的，评标委员会将报财政部门查处。</w:t>
      </w:r>
    </w:p>
    <w:bookmarkEnd w:id="142"/>
    <w:p>
      <w:pPr>
        <w:snapToGrid w:val="0"/>
        <w:spacing w:line="410" w:lineRule="exact"/>
        <w:ind w:firstLine="211" w:firstLineChars="100"/>
        <w:rPr>
          <w:rFonts w:ascii="宋体" w:hAnsi="宋体"/>
          <w:b/>
          <w:color w:val="auto"/>
          <w:szCs w:val="21"/>
          <w:highlight w:val="none"/>
        </w:rPr>
      </w:pPr>
      <w:bookmarkStart w:id="147" w:name="_Hlk92446638"/>
      <w:r>
        <w:rPr>
          <w:rFonts w:hint="eastAsia" w:hAnsi="宋体"/>
          <w:b/>
          <w:bCs/>
          <w:color w:val="auto"/>
          <w:highlight w:val="none"/>
        </w:rPr>
        <w:t>（二）</w:t>
      </w:r>
      <w:r>
        <w:rPr>
          <w:rFonts w:hint="eastAsia" w:ascii="宋体" w:hAnsi="宋体"/>
          <w:b/>
          <w:color w:val="auto"/>
          <w:szCs w:val="21"/>
          <w:highlight w:val="none"/>
        </w:rPr>
        <w:t>投标文件的组成</w:t>
      </w:r>
    </w:p>
    <w:p>
      <w:pPr>
        <w:snapToGrid w:val="0"/>
        <w:spacing w:line="410" w:lineRule="exact"/>
        <w:ind w:firstLine="422"/>
        <w:rPr>
          <w:rFonts w:hint="eastAsia" w:ascii="宋体" w:hAnsi="宋体"/>
          <w:b/>
          <w:color w:val="auto"/>
          <w:szCs w:val="21"/>
          <w:highlight w:val="none"/>
        </w:rPr>
      </w:pPr>
      <w:bookmarkStart w:id="148" w:name="_Hlk92285760"/>
      <w:r>
        <w:rPr>
          <w:rFonts w:ascii="宋体" w:hAnsi="宋体"/>
          <w:b/>
          <w:color w:val="auto"/>
          <w:szCs w:val="21"/>
          <w:highlight w:val="none"/>
        </w:rPr>
        <w:t>1.</w:t>
      </w:r>
      <w:r>
        <w:rPr>
          <w:rFonts w:hint="eastAsia" w:ascii="宋体" w:hAnsi="宋体"/>
          <w:b/>
          <w:color w:val="auto"/>
          <w:szCs w:val="21"/>
          <w:highlight w:val="none"/>
        </w:rPr>
        <w:t>资格文件：</w:t>
      </w:r>
    </w:p>
    <w:p>
      <w:pPr>
        <w:tabs>
          <w:tab w:val="left" w:pos="3870"/>
          <w:tab w:val="left" w:pos="4085"/>
        </w:tabs>
        <w:snapToGrid w:val="0"/>
        <w:spacing w:line="410" w:lineRule="exact"/>
        <w:ind w:firstLine="420"/>
        <w:rPr>
          <w:rFonts w:hint="eastAsia" w:ascii="宋体" w:hAnsi="宋体"/>
          <w:color w:val="auto"/>
          <w:szCs w:val="21"/>
          <w:highlight w:val="none"/>
        </w:rPr>
      </w:pPr>
      <w:r>
        <w:rPr>
          <w:rFonts w:hint="eastAsia" w:ascii="宋体" w:hAnsi="宋体" w:cs="宋体"/>
          <w:bCs/>
          <w:color w:val="auto"/>
          <w:kern w:val="0"/>
          <w:szCs w:val="21"/>
          <w:highlight w:val="none"/>
        </w:rPr>
        <w:t>★</w:t>
      </w:r>
      <w:bookmarkStart w:id="149" w:name="_Hlk90369149"/>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法人或者其他组织的营业执照等证明文件</w:t>
      </w:r>
    </w:p>
    <w:bookmarkEnd w:id="149"/>
    <w:p>
      <w:pPr>
        <w:tabs>
          <w:tab w:val="left" w:pos="3870"/>
          <w:tab w:val="left" w:pos="4085"/>
        </w:tabs>
        <w:snapToGrid w:val="0"/>
        <w:spacing w:line="410" w:lineRule="exact"/>
        <w:ind w:firstLine="420"/>
        <w:rPr>
          <w:rFonts w:hAnsi="宋体"/>
          <w:color w:val="auto"/>
          <w:highlight w:val="none"/>
        </w:rPr>
      </w:pPr>
      <w:r>
        <w:rPr>
          <w:rFonts w:hint="eastAsia" w:ascii="宋体" w:hAnsi="宋体" w:cs="宋体"/>
          <w:bCs/>
          <w:color w:val="auto"/>
          <w:kern w:val="0"/>
          <w:szCs w:val="21"/>
          <w:highlight w:val="none"/>
        </w:rPr>
        <w:t>★(</w:t>
      </w:r>
      <w:r>
        <w:rPr>
          <w:rFonts w:ascii="宋体" w:hAnsi="宋体" w:cs="宋体"/>
          <w:bCs/>
          <w:color w:val="auto"/>
          <w:kern w:val="0"/>
          <w:szCs w:val="21"/>
          <w:highlight w:val="none"/>
        </w:rPr>
        <w:t>2)</w:t>
      </w:r>
      <w:r>
        <w:rPr>
          <w:rFonts w:hint="eastAsia" w:ascii="宋体" w:hAnsi="宋体"/>
          <w:color w:val="auto"/>
          <w:szCs w:val="21"/>
          <w:highlight w:val="none"/>
        </w:rPr>
        <w:t>投标人具备参加政府采购活动条件的承诺书</w:t>
      </w:r>
      <w:r>
        <w:rPr>
          <w:rFonts w:hint="eastAsia" w:ascii="宋体" w:hAnsi="宋体" w:cs="宋体"/>
          <w:color w:val="auto"/>
          <w:szCs w:val="21"/>
          <w:highlight w:val="none"/>
        </w:rPr>
        <w:t>(格式见第六章</w:t>
      </w:r>
      <w:r>
        <w:rPr>
          <w:rFonts w:ascii="宋体" w:hAnsi="宋体" w:cs="宋体"/>
          <w:color w:val="auto"/>
          <w:szCs w:val="21"/>
          <w:highlight w:val="none"/>
        </w:rPr>
        <w:t>）</w:t>
      </w:r>
    </w:p>
    <w:p>
      <w:pPr>
        <w:tabs>
          <w:tab w:val="left" w:pos="3870"/>
          <w:tab w:val="left" w:pos="4085"/>
        </w:tabs>
        <w:snapToGrid w:val="0"/>
        <w:spacing w:line="410" w:lineRule="exact"/>
        <w:ind w:firstLine="420"/>
        <w:rPr>
          <w:rFonts w:hint="eastAsia" w:hAnsi="宋体"/>
          <w:color w:val="auto"/>
          <w:highlight w:val="none"/>
        </w:rPr>
      </w:pPr>
      <w:bookmarkStart w:id="150" w:name="OLE_LINK12"/>
      <w:r>
        <w:rPr>
          <w:rFonts w:hint="eastAsia" w:ascii="宋体" w:hAnsi="宋体" w:cs="宋体"/>
          <w:bCs/>
          <w:color w:val="auto"/>
          <w:kern w:val="0"/>
          <w:szCs w:val="21"/>
          <w:highlight w:val="none"/>
        </w:rPr>
        <w:t>★</w:t>
      </w:r>
      <w:bookmarkEnd w:id="150"/>
      <w:r>
        <w:rPr>
          <w:rFonts w:hint="eastAsia" w:ascii="宋体" w:hAnsi="宋体" w:cs="宋体"/>
          <w:bCs/>
          <w:color w:val="auto"/>
          <w:kern w:val="0"/>
          <w:szCs w:val="21"/>
          <w:highlight w:val="none"/>
        </w:rPr>
        <w:t>(</w:t>
      </w:r>
      <w:r>
        <w:rPr>
          <w:rFonts w:ascii="宋体" w:hAnsi="宋体" w:cs="宋体"/>
          <w:bCs/>
          <w:color w:val="auto"/>
          <w:kern w:val="0"/>
          <w:szCs w:val="21"/>
          <w:highlight w:val="none"/>
        </w:rPr>
        <w:t>3)</w:t>
      </w:r>
      <w:r>
        <w:rPr>
          <w:rFonts w:hint="eastAsia" w:hAnsi="宋体"/>
          <w:color w:val="auto"/>
          <w:highlight w:val="none"/>
        </w:rPr>
        <w:t>参加政府采购活动前3年内在经营活动中没有重大违法记录的书面声明(格式见第六章)</w:t>
      </w:r>
    </w:p>
    <w:p>
      <w:pPr>
        <w:snapToGrid w:val="0"/>
        <w:spacing w:line="410" w:lineRule="exact"/>
        <w:ind w:firstLine="422"/>
        <w:rPr>
          <w:rFonts w:hint="eastAsia" w:ascii="宋体" w:hAnsi="宋体"/>
          <w:color w:val="auto"/>
          <w:szCs w:val="21"/>
          <w:highlight w:val="none"/>
        </w:rPr>
      </w:pPr>
      <w:r>
        <w:rPr>
          <w:rFonts w:ascii="宋体" w:hAnsi="宋体"/>
          <w:b/>
          <w:color w:val="auto"/>
          <w:szCs w:val="21"/>
          <w:highlight w:val="none"/>
        </w:rPr>
        <w:t>2.</w:t>
      </w:r>
      <w:r>
        <w:rPr>
          <w:rFonts w:hint="eastAsia" w:ascii="宋体" w:hAnsi="宋体"/>
          <w:b/>
          <w:color w:val="auto"/>
          <w:szCs w:val="21"/>
          <w:highlight w:val="none"/>
        </w:rPr>
        <w:t>商务技术文件：</w:t>
      </w:r>
    </w:p>
    <w:p>
      <w:pPr>
        <w:tabs>
          <w:tab w:val="left" w:pos="3870"/>
          <w:tab w:val="left" w:pos="4085"/>
        </w:tabs>
        <w:snapToGrid w:val="0"/>
        <w:spacing w:line="410" w:lineRule="exact"/>
        <w:ind w:firstLine="420"/>
        <w:rPr>
          <w:rFonts w:hint="eastAsia" w:ascii="宋体" w:hAnsi="宋体"/>
          <w:color w:val="auto"/>
          <w:szCs w:val="21"/>
          <w:highlight w:val="none"/>
        </w:rPr>
      </w:pPr>
      <w:r>
        <w:rPr>
          <w:rFonts w:hint="eastAsia" w:ascii="宋体" w:hAnsi="宋体" w:cs="宋体"/>
          <w:bCs/>
          <w:color w:val="auto"/>
          <w:kern w:val="0"/>
          <w:szCs w:val="21"/>
          <w:highlight w:val="none"/>
        </w:rPr>
        <w:t>★</w:t>
      </w:r>
      <w:r>
        <w:rPr>
          <w:rFonts w:ascii="宋体" w:hAnsi="宋体"/>
          <w:color w:val="auto"/>
          <w:szCs w:val="21"/>
          <w:highlight w:val="none"/>
        </w:rPr>
        <w:t>(1)</w:t>
      </w:r>
      <w:r>
        <w:rPr>
          <w:rFonts w:hint="eastAsia" w:ascii="宋体" w:hAnsi="宋体"/>
          <w:color w:val="auto"/>
          <w:szCs w:val="21"/>
          <w:highlight w:val="none"/>
        </w:rPr>
        <w:t>投标函（格式见第六章）</w:t>
      </w:r>
    </w:p>
    <w:p>
      <w:pPr>
        <w:tabs>
          <w:tab w:val="left" w:pos="3870"/>
          <w:tab w:val="left" w:pos="4085"/>
        </w:tabs>
        <w:snapToGrid w:val="0"/>
        <w:spacing w:line="410" w:lineRule="exact"/>
        <w:ind w:firstLine="420"/>
        <w:rPr>
          <w:rFonts w:ascii="宋体" w:hAnsi="宋体"/>
          <w:color w:val="auto"/>
          <w:szCs w:val="21"/>
          <w:highlight w:val="none"/>
        </w:rPr>
      </w:pPr>
      <w:r>
        <w:rPr>
          <w:rFonts w:hint="eastAsia" w:ascii="宋体" w:hAnsi="宋体" w:cs="宋体"/>
          <w:bCs/>
          <w:color w:val="auto"/>
          <w:kern w:val="0"/>
          <w:szCs w:val="21"/>
          <w:highlight w:val="none"/>
        </w:rPr>
        <w:t>★</w:t>
      </w: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法定代表人身份证</w:t>
      </w:r>
    </w:p>
    <w:p>
      <w:pPr>
        <w:snapToGrid w:val="0"/>
        <w:spacing w:line="410" w:lineRule="exact"/>
        <w:ind w:firstLine="417" w:firstLineChars="199"/>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法定代表人授权委托书和代理人身份证（委托代理时必须提供，格式见第六章）</w:t>
      </w:r>
    </w:p>
    <w:p>
      <w:pPr>
        <w:snapToGrid w:val="0"/>
        <w:spacing w:line="410" w:lineRule="exact"/>
        <w:ind w:firstLine="420" w:firstLineChars="199"/>
        <w:rPr>
          <w:rFonts w:hint="eastAsia" w:ascii="宋体" w:hAnsi="宋体"/>
          <w:color w:val="auto"/>
          <w:szCs w:val="21"/>
          <w:highlight w:val="none"/>
        </w:rPr>
      </w:pPr>
      <w:r>
        <w:rPr>
          <w:rFonts w:hint="eastAsia" w:ascii="宋体" w:hAnsi="宋体"/>
          <w:b/>
          <w:color w:val="auto"/>
          <w:szCs w:val="21"/>
          <w:highlight w:val="none"/>
        </w:rPr>
        <w:t>★</w:t>
      </w:r>
      <w:r>
        <w:rPr>
          <w:rFonts w:hint="eastAsia" w:ascii="宋体" w:hAnsi="宋体"/>
          <w:color w:val="auto"/>
          <w:szCs w:val="21"/>
          <w:highlight w:val="none"/>
        </w:rPr>
        <w:t>(</w:t>
      </w:r>
      <w:r>
        <w:rPr>
          <w:rFonts w:ascii="宋体" w:hAnsi="宋体"/>
          <w:color w:val="auto"/>
          <w:szCs w:val="21"/>
          <w:highlight w:val="none"/>
        </w:rPr>
        <w:t>4)</w:t>
      </w:r>
      <w:r>
        <w:rPr>
          <w:rFonts w:ascii="宋体" w:hAnsi="宋体"/>
          <w:color w:val="auto"/>
          <w:highlight w:val="none"/>
        </w:rPr>
        <w:t>商务响应表(格式见第六章)</w:t>
      </w:r>
    </w:p>
    <w:p>
      <w:pPr>
        <w:snapToGrid w:val="0"/>
        <w:spacing w:line="410" w:lineRule="exact"/>
        <w:ind w:firstLine="420" w:firstLineChars="199"/>
        <w:rPr>
          <w:rFonts w:ascii="宋体" w:hAnsi="宋体"/>
          <w:color w:val="auto"/>
          <w:highlight w:val="none"/>
        </w:rPr>
      </w:pPr>
      <w:r>
        <w:rPr>
          <w:rFonts w:hint="eastAsia" w:ascii="宋体" w:hAnsi="宋体"/>
          <w:b/>
          <w:color w:val="auto"/>
          <w:szCs w:val="21"/>
          <w:highlight w:val="none"/>
        </w:rPr>
        <w:t>★</w:t>
      </w: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技术响应表</w:t>
      </w:r>
      <w:bookmarkStart w:id="151" w:name="_Hlk92285954"/>
      <w:r>
        <w:rPr>
          <w:rFonts w:ascii="宋体" w:hAnsi="宋体"/>
          <w:color w:val="auto"/>
          <w:highlight w:val="none"/>
        </w:rPr>
        <w:t>(格式见第六章)</w:t>
      </w:r>
      <w:bookmarkEnd w:id="151"/>
    </w:p>
    <w:p>
      <w:pPr>
        <w:snapToGrid w:val="0"/>
        <w:spacing w:line="410" w:lineRule="exact"/>
        <w:ind w:firstLine="420" w:firstLineChars="199"/>
        <w:rPr>
          <w:rFonts w:ascii="宋体" w:hAnsi="宋体"/>
          <w:color w:val="auto"/>
          <w:szCs w:val="21"/>
          <w:highlight w:val="none"/>
        </w:rPr>
      </w:pPr>
      <w:r>
        <w:rPr>
          <w:rFonts w:hint="eastAsia" w:ascii="宋体" w:hAnsi="宋体"/>
          <w:b/>
          <w:color w:val="auto"/>
          <w:szCs w:val="21"/>
          <w:highlight w:val="none"/>
        </w:rPr>
        <w:t>★</w:t>
      </w: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《项目需求》中要求必须提供的材料</w:t>
      </w:r>
    </w:p>
    <w:p>
      <w:pPr>
        <w:snapToGrid w:val="0"/>
        <w:spacing w:line="410" w:lineRule="exact"/>
        <w:ind w:firstLine="627" w:firstLineChars="299"/>
        <w:rPr>
          <w:rFonts w:ascii="宋体" w:hAnsi="宋体"/>
          <w:strike/>
          <w:dstrike w:val="0"/>
          <w:color w:val="auto"/>
          <w:highlight w:val="none"/>
        </w:rPr>
      </w:pPr>
      <w:r>
        <w:rPr>
          <w:rFonts w:hint="eastAsia" w:ascii="宋体" w:hAnsi="宋体"/>
          <w:color w:val="auto"/>
          <w:highlight w:val="none"/>
        </w:rPr>
        <w:t>(7</w:t>
      </w:r>
      <w:r>
        <w:rPr>
          <w:rFonts w:ascii="宋体" w:hAnsi="宋体"/>
          <w:color w:val="auto"/>
          <w:highlight w:val="none"/>
        </w:rPr>
        <w:t>)</w:t>
      </w:r>
      <w:r>
        <w:rPr>
          <w:rFonts w:hint="eastAsia" w:ascii="宋体" w:hAnsi="宋体"/>
          <w:color w:val="auto"/>
          <w:highlight w:val="none"/>
        </w:rPr>
        <w:t>项目实施</w:t>
      </w:r>
      <w:r>
        <w:rPr>
          <w:rFonts w:hint="eastAsia" w:ascii="宋体" w:hAnsi="宋体" w:cs="宋体"/>
          <w:color w:val="auto"/>
          <w:szCs w:val="21"/>
          <w:highlight w:val="none"/>
        </w:rPr>
        <w:t>方案</w:t>
      </w:r>
      <w:r>
        <w:rPr>
          <w:rFonts w:hint="eastAsia" w:ascii="宋体" w:hAnsi="宋体"/>
          <w:strike w:val="0"/>
          <w:dstrike w:val="0"/>
          <w:color w:val="auto"/>
          <w:highlight w:val="none"/>
        </w:rPr>
        <w:t>（</w:t>
      </w:r>
      <w:r>
        <w:rPr>
          <w:rFonts w:hint="eastAsia" w:ascii="宋体" w:cs="宋体"/>
          <w:strike w:val="0"/>
          <w:dstrike w:val="0"/>
          <w:color w:val="auto"/>
          <w:kern w:val="0"/>
          <w:szCs w:val="21"/>
          <w:highlight w:val="none"/>
        </w:rPr>
        <w:t>根据项目需求及《评定标准及推荐原则》的要求提供，格式自拟</w:t>
      </w:r>
      <w:r>
        <w:rPr>
          <w:rFonts w:hint="eastAsia" w:ascii="宋体" w:hAnsi="宋体"/>
          <w:strike w:val="0"/>
          <w:dstrike w:val="0"/>
          <w:color w:val="auto"/>
          <w:highlight w:val="none"/>
        </w:rPr>
        <w:t>）</w:t>
      </w:r>
    </w:p>
    <w:p>
      <w:pPr>
        <w:snapToGrid w:val="0"/>
        <w:spacing w:line="410" w:lineRule="exact"/>
        <w:rPr>
          <w:rFonts w:hint="eastAsia" w:ascii="宋体" w:cs="宋体"/>
          <w:color w:val="auto"/>
          <w:kern w:val="0"/>
          <w:szCs w:val="21"/>
          <w:highlight w:val="none"/>
        </w:rPr>
      </w:pPr>
      <w:r>
        <w:rPr>
          <w:rFonts w:hint="eastAsia" w:ascii="宋体" w:hAnsi="宋体" w:cs="宋体"/>
          <w:bCs/>
          <w:color w:val="auto"/>
          <w:kern w:val="0"/>
          <w:szCs w:val="21"/>
          <w:highlight w:val="none"/>
        </w:rPr>
        <w:t>★</w:t>
      </w:r>
      <w:r>
        <w:rPr>
          <w:rFonts w:hint="eastAsia" w:ascii="宋体" w:hAnsi="宋体"/>
          <w:color w:val="auto"/>
          <w:szCs w:val="21"/>
          <w:highlight w:val="none"/>
        </w:rPr>
        <w:t>(8</w:t>
      </w:r>
      <w:r>
        <w:rPr>
          <w:rFonts w:ascii="宋体" w:hAnsi="宋体"/>
          <w:color w:val="auto"/>
          <w:szCs w:val="21"/>
          <w:highlight w:val="none"/>
        </w:rPr>
        <w:t>)</w:t>
      </w:r>
      <w:r>
        <w:rPr>
          <w:rFonts w:hint="eastAsia" w:ascii="宋体" w:hAnsi="宋体"/>
          <w:color w:val="auto"/>
          <w:highlight w:val="none"/>
        </w:rPr>
        <w:t>售后服务</w:t>
      </w:r>
      <w:r>
        <w:rPr>
          <w:rFonts w:hint="eastAsia" w:ascii="宋体" w:hAnsi="宋体" w:cs="宋体"/>
          <w:color w:val="auto"/>
          <w:szCs w:val="21"/>
          <w:highlight w:val="none"/>
        </w:rPr>
        <w:t>方案</w:t>
      </w:r>
      <w:r>
        <w:rPr>
          <w:rFonts w:hint="eastAsia" w:ascii="宋体" w:hAnsi="宋体"/>
          <w:color w:val="auto"/>
          <w:highlight w:val="none"/>
        </w:rPr>
        <w:t>（</w:t>
      </w:r>
      <w:r>
        <w:rPr>
          <w:rFonts w:hint="eastAsia" w:ascii="宋体" w:cs="宋体"/>
          <w:color w:val="auto"/>
          <w:kern w:val="0"/>
          <w:szCs w:val="21"/>
          <w:highlight w:val="none"/>
        </w:rPr>
        <w:t>根据项目需求及《评定标准及推荐原则》的要求提供，格式自拟</w:t>
      </w:r>
      <w:r>
        <w:rPr>
          <w:rFonts w:hint="eastAsia" w:ascii="宋体" w:hAnsi="宋体"/>
          <w:color w:val="auto"/>
          <w:highlight w:val="none"/>
        </w:rPr>
        <w:t>）</w:t>
      </w:r>
    </w:p>
    <w:p>
      <w:pPr>
        <w:snapToGrid w:val="0"/>
        <w:spacing w:line="410" w:lineRule="exact"/>
        <w:ind w:firstLine="630" w:firstLineChars="300"/>
        <w:rPr>
          <w:rFonts w:hint="eastAsia" w:ascii="宋体" w:hAnsi="宋体" w:eastAsia="宋体"/>
          <w:color w:val="auto"/>
          <w:szCs w:val="21"/>
          <w:highlight w:val="none"/>
          <w:lang w:eastAsia="zh-CN"/>
        </w:rPr>
      </w:pPr>
      <w:r>
        <w:rPr>
          <w:rFonts w:hint="eastAsia" w:ascii="宋体" w:hAnsi="宋体"/>
          <w:color w:val="auto"/>
          <w:szCs w:val="21"/>
          <w:highlight w:val="none"/>
        </w:rPr>
        <w:t>(9</w:t>
      </w:r>
      <w:r>
        <w:rPr>
          <w:rFonts w:ascii="宋体" w:hAnsi="宋体"/>
          <w:color w:val="auto"/>
          <w:szCs w:val="21"/>
          <w:highlight w:val="none"/>
        </w:rPr>
        <w:t>)</w:t>
      </w:r>
      <w:r>
        <w:rPr>
          <w:rFonts w:hint="eastAsia" w:ascii="宋体" w:cs="宋体"/>
          <w:color w:val="auto"/>
          <w:kern w:val="0"/>
          <w:szCs w:val="21"/>
          <w:highlight w:val="none"/>
        </w:rPr>
        <w:t>投标人认为有必要提供的声明或材料</w:t>
      </w:r>
    </w:p>
    <w:p>
      <w:pPr>
        <w:snapToGrid w:val="0"/>
        <w:spacing w:line="410" w:lineRule="exact"/>
        <w:ind w:firstLine="422"/>
        <w:rPr>
          <w:rFonts w:hint="eastAsia" w:ascii="宋体" w:hAnsi="宋体"/>
          <w:b/>
          <w:color w:val="auto"/>
          <w:szCs w:val="21"/>
          <w:highlight w:val="none"/>
        </w:rPr>
      </w:pPr>
      <w:r>
        <w:rPr>
          <w:rFonts w:ascii="宋体" w:hAnsi="宋体"/>
          <w:b/>
          <w:color w:val="auto"/>
          <w:szCs w:val="21"/>
          <w:highlight w:val="none"/>
        </w:rPr>
        <w:t>3.</w:t>
      </w:r>
      <w:r>
        <w:rPr>
          <w:rFonts w:hint="eastAsia" w:ascii="宋体" w:hAnsi="宋体"/>
          <w:b/>
          <w:color w:val="auto"/>
          <w:szCs w:val="21"/>
          <w:highlight w:val="none"/>
        </w:rPr>
        <w:t>报价文件</w:t>
      </w:r>
    </w:p>
    <w:p>
      <w:pPr>
        <w:snapToGrid w:val="0"/>
        <w:spacing w:line="410" w:lineRule="exact"/>
        <w:ind w:firstLine="422"/>
        <w:rPr>
          <w:rFonts w:hint="eastAsia" w:ascii="宋体" w:hAnsi="宋体" w:eastAsia="宋体"/>
          <w:b/>
          <w:color w:val="auto"/>
          <w:szCs w:val="21"/>
          <w:highlight w:val="none"/>
          <w:lang w:eastAsia="zh-CN"/>
        </w:rPr>
      </w:pPr>
      <w:r>
        <w:rPr>
          <w:rFonts w:hint="eastAsia" w:ascii="宋体" w:hAnsi="宋体"/>
          <w:b/>
          <w:color w:val="auto"/>
          <w:szCs w:val="21"/>
          <w:highlight w:val="none"/>
        </w:rPr>
        <w:t>★</w:t>
      </w:r>
      <w:r>
        <w:rPr>
          <w:rFonts w:hint="eastAsia" w:ascii="宋体" w:hAnsi="宋体"/>
          <w:bCs/>
          <w:color w:val="auto"/>
          <w:szCs w:val="21"/>
          <w:highlight w:val="none"/>
        </w:rPr>
        <w:t>(</w:t>
      </w:r>
      <w:r>
        <w:rPr>
          <w:rFonts w:ascii="宋体" w:hAnsi="宋体"/>
          <w:bCs/>
          <w:color w:val="auto"/>
          <w:szCs w:val="21"/>
          <w:highlight w:val="none"/>
        </w:rPr>
        <w:t>1)</w:t>
      </w:r>
      <w:r>
        <w:rPr>
          <w:rFonts w:hint="eastAsia" w:ascii="宋体" w:hAnsi="宋体"/>
          <w:color w:val="auto"/>
          <w:szCs w:val="21"/>
          <w:highlight w:val="none"/>
        </w:rPr>
        <w:t>开标一览表(格式见第六章</w:t>
      </w:r>
      <w:r>
        <w:rPr>
          <w:rFonts w:hint="eastAsia" w:ascii="宋体" w:hAnsi="宋体"/>
          <w:color w:val="auto"/>
          <w:szCs w:val="21"/>
          <w:highlight w:val="none"/>
          <w:lang w:eastAsia="zh-CN"/>
        </w:rPr>
        <w:t>）</w:t>
      </w:r>
    </w:p>
    <w:p>
      <w:pPr>
        <w:snapToGrid w:val="0"/>
        <w:spacing w:line="410" w:lineRule="exact"/>
        <w:ind w:firstLine="422"/>
        <w:rPr>
          <w:rFonts w:hint="eastAsia" w:ascii="宋体" w:hAnsi="宋体"/>
          <w:color w:val="auto"/>
          <w:highlight w:val="none"/>
        </w:rPr>
      </w:pPr>
      <w:r>
        <w:rPr>
          <w:rFonts w:hint="eastAsia" w:ascii="宋体" w:hAnsi="宋体"/>
          <w:b/>
          <w:color w:val="auto"/>
          <w:szCs w:val="21"/>
          <w:highlight w:val="none"/>
        </w:rPr>
        <w:t>★</w:t>
      </w:r>
      <w:r>
        <w:rPr>
          <w:rFonts w:hint="eastAsia" w:ascii="宋体" w:hAnsi="宋体"/>
          <w:bCs/>
          <w:color w:val="auto"/>
          <w:szCs w:val="21"/>
          <w:highlight w:val="none"/>
        </w:rPr>
        <w:t>(</w:t>
      </w:r>
      <w:r>
        <w:rPr>
          <w:rFonts w:ascii="宋体" w:hAnsi="宋体"/>
          <w:bCs/>
          <w:color w:val="auto"/>
          <w:szCs w:val="21"/>
          <w:highlight w:val="none"/>
        </w:rPr>
        <w:t>2)</w:t>
      </w:r>
      <w:bookmarkStart w:id="152" w:name="_Hlk92265738"/>
      <w:r>
        <w:rPr>
          <w:rFonts w:hint="eastAsia" w:ascii="宋体" w:hAnsi="宋体"/>
          <w:bCs/>
          <w:color w:val="auto"/>
          <w:szCs w:val="21"/>
          <w:highlight w:val="none"/>
        </w:rPr>
        <w:t>报价明细表</w:t>
      </w:r>
      <w:bookmarkEnd w:id="152"/>
      <w:r>
        <w:rPr>
          <w:rFonts w:hint="eastAsia" w:ascii="宋体" w:hAnsi="宋体"/>
          <w:bCs/>
          <w:color w:val="auto"/>
          <w:szCs w:val="21"/>
          <w:highlight w:val="none"/>
        </w:rPr>
        <w:t>(格式见第六章)</w:t>
      </w:r>
    </w:p>
    <w:bookmarkEnd w:id="148"/>
    <w:p>
      <w:pPr>
        <w:snapToGrid w:val="0"/>
        <w:spacing w:line="410" w:lineRule="exact"/>
        <w:ind w:firstLine="420"/>
        <w:rPr>
          <w:rFonts w:ascii="宋体" w:hAnsi="宋体"/>
          <w:color w:val="auto"/>
          <w:szCs w:val="21"/>
          <w:highlight w:val="none"/>
        </w:rPr>
      </w:pPr>
      <w:r>
        <w:rPr>
          <w:rFonts w:hint="eastAsia" w:ascii="宋体" w:hAnsi="宋体"/>
          <w:color w:val="auto"/>
          <w:szCs w:val="21"/>
          <w:highlight w:val="none"/>
        </w:rPr>
        <w:t>注：标注★号的材料均为必须提供的材料须由投标人加盖公章，授权委托书必须由法定代表人签名，报价文件还须由法定代表人或授权代表签名，否则视为无效投标文件。</w:t>
      </w:r>
    </w:p>
    <w:bookmarkEnd w:id="143"/>
    <w:bookmarkEnd w:id="144"/>
    <w:bookmarkEnd w:id="145"/>
    <w:bookmarkEnd w:id="146"/>
    <w:bookmarkEnd w:id="147"/>
    <w:p>
      <w:pPr>
        <w:spacing w:line="410" w:lineRule="exact"/>
        <w:ind w:firstLine="211" w:firstLineChars="100"/>
        <w:rPr>
          <w:rFonts w:ascii="宋体" w:hAnsi="宋体"/>
          <w:b/>
          <w:bCs/>
          <w:color w:val="auto"/>
          <w:szCs w:val="21"/>
          <w:highlight w:val="none"/>
        </w:rPr>
      </w:pPr>
      <w:bookmarkStart w:id="153" w:name="_Hlk90906323"/>
      <w:bookmarkStart w:id="154" w:name="_Hlk92447223"/>
      <w:r>
        <w:rPr>
          <w:rFonts w:hint="eastAsia" w:ascii="宋体" w:hAnsi="宋体"/>
          <w:b/>
          <w:color w:val="auto"/>
          <w:szCs w:val="21"/>
          <w:highlight w:val="none"/>
        </w:rPr>
        <w:t>（三）</w:t>
      </w:r>
      <w:bookmarkStart w:id="155" w:name="_Toc352700422"/>
      <w:bookmarkStart w:id="156" w:name="_Toc254970678"/>
      <w:bookmarkStart w:id="157" w:name="_Toc353785292"/>
      <w:bookmarkStart w:id="158" w:name="_Toc254970537"/>
      <w:r>
        <w:rPr>
          <w:rFonts w:hint="eastAsia" w:ascii="宋体" w:hAnsi="宋体"/>
          <w:b/>
          <w:bCs/>
          <w:color w:val="auto"/>
          <w:szCs w:val="21"/>
          <w:highlight w:val="none"/>
        </w:rPr>
        <w:t>投标文件的编制、签署及加密</w:t>
      </w:r>
    </w:p>
    <w:p>
      <w:pPr>
        <w:spacing w:line="410" w:lineRule="exact"/>
        <w:ind w:firstLine="42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投标人应认真阅读、并充分理解招标文件的全部内容(包括所有的补充、修改内容)，承诺履行其各项条款的规定并按要求编制，投标文件应为电子文件或扫描件(样品除外)。</w:t>
      </w:r>
    </w:p>
    <w:p>
      <w:pPr>
        <w:spacing w:line="410" w:lineRule="exact"/>
        <w:ind w:firstLine="42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投标人应通过广西政府采购云平台客户端编制加密投标文件。</w:t>
      </w:r>
    </w:p>
    <w:p>
      <w:pPr>
        <w:spacing w:line="410" w:lineRule="exact"/>
        <w:ind w:firstLine="42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投标文件由资格文件、商务技术文件和报价文件组成，投标人应按规定的顺序编制并标注页码、准确设置评审关联点，未设置或未正确设置关联点而导致投标文件被误读、漏读或者查找不到相关响应内容的责任和后果由投标人承担。</w:t>
      </w:r>
    </w:p>
    <w:p>
      <w:pPr>
        <w:spacing w:line="410" w:lineRule="exact"/>
        <w:ind w:firstLine="0" w:firstLineChars="0"/>
        <w:rPr>
          <w:rFonts w:ascii="宋体" w:hAnsi="宋体"/>
          <w:b/>
          <w:bCs/>
          <w:color w:val="auto"/>
          <w:szCs w:val="21"/>
          <w:highlight w:val="none"/>
        </w:rPr>
      </w:pPr>
      <w:r>
        <w:rPr>
          <w:rFonts w:ascii="宋体" w:hAnsi="宋体"/>
          <w:color w:val="auto"/>
          <w:szCs w:val="21"/>
          <w:highlight w:val="none"/>
        </w:rPr>
        <w:tab/>
      </w:r>
      <w:r>
        <w:rPr>
          <w:rFonts w:ascii="宋体" w:hAnsi="宋体"/>
          <w:b/>
          <w:bCs/>
          <w:color w:val="auto"/>
          <w:szCs w:val="21"/>
          <w:highlight w:val="none"/>
        </w:rPr>
        <w:t>4.</w:t>
      </w:r>
      <w:r>
        <w:rPr>
          <w:rFonts w:hint="eastAsia" w:ascii="宋体" w:hAnsi="宋体"/>
          <w:b/>
          <w:bCs/>
          <w:color w:val="auto"/>
          <w:szCs w:val="21"/>
          <w:highlight w:val="none"/>
        </w:rPr>
        <w:t>投标文件由投标人在规定位置由法定代表人或授权委托人签名（可为电子签名）、填写投标人名称，并加盖公章(简称“盖章”，可为电子公章)，投标人名称应写全称。</w:t>
      </w:r>
    </w:p>
    <w:p>
      <w:pPr>
        <w:snapToGrid w:val="0"/>
        <w:spacing w:line="410" w:lineRule="exact"/>
        <w:ind w:firstLine="210" w:firstLineChars="100"/>
        <w:rPr>
          <w:rFonts w:ascii="宋体" w:hAnsi="宋体"/>
          <w:b/>
          <w:bCs/>
          <w:color w:val="auto"/>
          <w:szCs w:val="21"/>
          <w:highlight w:val="none"/>
        </w:rPr>
      </w:pPr>
      <w:r>
        <w:rPr>
          <w:rFonts w:ascii="宋体" w:hAnsi="宋体"/>
          <w:color w:val="auto"/>
          <w:szCs w:val="21"/>
          <w:highlight w:val="none"/>
        </w:rPr>
        <w:tab/>
      </w:r>
      <w:r>
        <w:rPr>
          <w:rFonts w:ascii="宋体" w:hAnsi="宋体"/>
          <w:color w:val="auto"/>
          <w:szCs w:val="21"/>
          <w:highlight w:val="none"/>
        </w:rPr>
        <w:t>5.</w:t>
      </w:r>
      <w:r>
        <w:rPr>
          <w:rFonts w:hint="eastAsia" w:ascii="宋体" w:hAnsi="宋体"/>
          <w:color w:val="auto"/>
          <w:szCs w:val="21"/>
          <w:highlight w:val="none"/>
        </w:rPr>
        <w:t>投标文件内容不完整、编排混乱、不清晰等原因导致被误读或漏读的责任和后果由投标人承担。</w:t>
      </w:r>
    </w:p>
    <w:bookmarkEnd w:id="153"/>
    <w:p>
      <w:pPr>
        <w:spacing w:line="410" w:lineRule="exact"/>
        <w:ind w:firstLine="211" w:firstLineChars="100"/>
        <w:rPr>
          <w:color w:val="auto"/>
          <w:highlight w:val="none"/>
        </w:rPr>
      </w:pPr>
      <w:r>
        <w:rPr>
          <w:rFonts w:hint="eastAsia"/>
          <w:b/>
          <w:bCs/>
          <w:color w:val="auto"/>
          <w:highlight w:val="none"/>
        </w:rPr>
        <w:t>（四）投标文件的语言及计量</w:t>
      </w:r>
      <w:bookmarkEnd w:id="155"/>
      <w:bookmarkEnd w:id="156"/>
      <w:bookmarkEnd w:id="157"/>
      <w:bookmarkEnd w:id="158"/>
    </w:p>
    <w:p>
      <w:pPr>
        <w:snapToGrid w:val="0"/>
        <w:spacing w:line="410" w:lineRule="exact"/>
        <w:ind w:firstLine="42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投标文件以及投标人与采购人、本中心就有关投标事宜的所有来往函电，均应以中文汉语书写。除签名、盖章、专用名称等特殊情形外，以中文汉语以外的文字表述的视为无效文件。</w:t>
      </w:r>
    </w:p>
    <w:p>
      <w:pPr>
        <w:snapToGrid w:val="0"/>
        <w:spacing w:line="410" w:lineRule="exact"/>
        <w:ind w:firstLine="42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投标计量单位，招标文件已有明确规定的，使用招标文件规定的计量单位；招标文件没有规定的，应采用中华人民共和国法定计量单位（货币单位：人民币元），否则视为无效投标文件。</w:t>
      </w:r>
    </w:p>
    <w:bookmarkEnd w:id="154"/>
    <w:p>
      <w:pPr>
        <w:pStyle w:val="6"/>
        <w:spacing w:before="0" w:after="0" w:line="410" w:lineRule="exact"/>
        <w:ind w:firstLine="211" w:firstLineChars="100"/>
        <w:rPr>
          <w:rFonts w:ascii="宋体" w:hAnsi="宋体" w:eastAsia="宋体"/>
          <w:color w:val="auto"/>
          <w:sz w:val="21"/>
          <w:szCs w:val="21"/>
          <w:highlight w:val="none"/>
        </w:rPr>
      </w:pPr>
      <w:bookmarkStart w:id="159" w:name="_（五）投标报价"/>
      <w:bookmarkEnd w:id="159"/>
      <w:bookmarkStart w:id="160" w:name="_Toc254970538"/>
      <w:bookmarkStart w:id="161" w:name="_Toc352700423"/>
      <w:bookmarkStart w:id="162" w:name="_Toc353785293"/>
      <w:bookmarkStart w:id="163" w:name="_Toc254970679"/>
      <w:bookmarkStart w:id="164" w:name="_Hlk92447977"/>
      <w:r>
        <w:rPr>
          <w:rFonts w:hint="eastAsia" w:ascii="宋体" w:hAnsi="宋体" w:eastAsia="宋体"/>
          <w:color w:val="auto"/>
          <w:sz w:val="21"/>
          <w:szCs w:val="21"/>
          <w:highlight w:val="none"/>
        </w:rPr>
        <w:t>（五）投标报价</w:t>
      </w:r>
      <w:bookmarkEnd w:id="160"/>
      <w:bookmarkEnd w:id="161"/>
      <w:bookmarkEnd w:id="162"/>
      <w:bookmarkEnd w:id="163"/>
    </w:p>
    <w:p>
      <w:pPr>
        <w:pStyle w:val="27"/>
        <w:snapToGrid w:val="0"/>
        <w:spacing w:line="410" w:lineRule="exact"/>
        <w:ind w:firstLine="420"/>
        <w:rPr>
          <w:rFonts w:hAnsi="宋体"/>
          <w:color w:val="auto"/>
          <w:highlight w:val="none"/>
        </w:rPr>
      </w:pPr>
      <w:r>
        <w:rPr>
          <w:rFonts w:hAnsi="宋体"/>
          <w:color w:val="auto"/>
          <w:highlight w:val="none"/>
        </w:rPr>
        <w:t>1.</w:t>
      </w:r>
      <w:r>
        <w:rPr>
          <w:rFonts w:hint="eastAsia" w:hAnsi="宋体"/>
          <w:color w:val="auto"/>
          <w:highlight w:val="none"/>
        </w:rPr>
        <w:t>招标文件中未列明，而投标人认为必需的费用也须列入总报价。在合同实施时，采购人将不予支付中标人没有列入总报价的费用，并认为此项费用已包含在总报价中。</w:t>
      </w:r>
    </w:p>
    <w:p>
      <w:pPr>
        <w:pStyle w:val="27"/>
        <w:snapToGrid w:val="0"/>
        <w:spacing w:line="410" w:lineRule="exact"/>
        <w:ind w:firstLine="420"/>
        <w:rPr>
          <w:color w:val="auto"/>
          <w:highlight w:val="none"/>
        </w:rPr>
      </w:pPr>
      <w:r>
        <w:rPr>
          <w:rFonts w:hAnsi="宋体"/>
          <w:color w:val="auto"/>
          <w:highlight w:val="none"/>
        </w:rPr>
        <w:t>2.</w:t>
      </w:r>
      <w:r>
        <w:rPr>
          <w:rFonts w:hint="eastAsia" w:hAnsi="宋体"/>
          <w:color w:val="auto"/>
          <w:highlight w:val="none"/>
        </w:rPr>
        <w:t>投标报价应按招标文件中相关附表格式填写。投标人</w:t>
      </w:r>
      <w:r>
        <w:rPr>
          <w:rFonts w:hint="eastAsia"/>
          <w:color w:val="auto"/>
          <w:highlight w:val="none"/>
        </w:rPr>
        <w:t>必须就《项目需求》的内容作完整唯一报价。</w:t>
      </w:r>
    </w:p>
    <w:p>
      <w:pPr>
        <w:tabs>
          <w:tab w:val="left" w:pos="525"/>
        </w:tabs>
        <w:snapToGrid w:val="0"/>
        <w:spacing w:line="410" w:lineRule="exact"/>
        <w:ind w:firstLine="42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投标文件每标项只允许有一个总报价，有选择的或有条件的报价视为无效投标文件。</w:t>
      </w:r>
    </w:p>
    <w:p>
      <w:pPr>
        <w:pStyle w:val="6"/>
        <w:spacing w:before="0" w:after="0" w:line="410" w:lineRule="exact"/>
        <w:ind w:firstLine="211" w:firstLineChars="100"/>
        <w:rPr>
          <w:rFonts w:ascii="宋体" w:hAnsi="宋体" w:eastAsia="宋体"/>
          <w:color w:val="auto"/>
          <w:sz w:val="21"/>
          <w:szCs w:val="21"/>
          <w:highlight w:val="none"/>
        </w:rPr>
      </w:pPr>
      <w:bookmarkStart w:id="165" w:name="_（六）投标文件有效期"/>
      <w:bookmarkEnd w:id="165"/>
      <w:bookmarkStart w:id="166" w:name="_Toc352700424"/>
      <w:bookmarkStart w:id="167" w:name="_Toc353785294"/>
      <w:r>
        <w:rPr>
          <w:rFonts w:hint="eastAsia" w:ascii="宋体" w:hAnsi="宋体" w:eastAsia="宋体"/>
          <w:color w:val="auto"/>
          <w:sz w:val="21"/>
          <w:szCs w:val="21"/>
          <w:highlight w:val="none"/>
        </w:rPr>
        <w:t>（六）投标有效期</w:t>
      </w:r>
      <w:bookmarkEnd w:id="164"/>
      <w:bookmarkEnd w:id="166"/>
      <w:bookmarkEnd w:id="167"/>
      <w:bookmarkStart w:id="168" w:name="_（七）投标保证金"/>
      <w:bookmarkEnd w:id="168"/>
      <w:bookmarkStart w:id="169" w:name="_Toc352700425"/>
      <w:bookmarkStart w:id="170" w:name="_Toc353785295"/>
      <w:bookmarkStart w:id="171" w:name="_Toc254970541"/>
      <w:bookmarkStart w:id="172" w:name="_Toc254970682"/>
      <w:bookmarkStart w:id="173" w:name="_Hlk92448848"/>
    </w:p>
    <w:p>
      <w:pPr>
        <w:spacing w:line="410" w:lineRule="exact"/>
        <w:ind w:firstLine="420"/>
        <w:rPr>
          <w:color w:val="auto"/>
          <w:highlight w:val="none"/>
        </w:rPr>
      </w:pPr>
      <w:r>
        <w:rPr>
          <w:rFonts w:hint="eastAsia"/>
          <w:color w:val="auto"/>
          <w:highlight w:val="none"/>
        </w:rPr>
        <w:t>投标有效期从提交投标文件的截止之日起算。投标文件中承诺的投标有效期应当不少于9</w:t>
      </w:r>
      <w:r>
        <w:rPr>
          <w:color w:val="auto"/>
          <w:highlight w:val="none"/>
        </w:rPr>
        <w:t>0</w:t>
      </w:r>
      <w:r>
        <w:rPr>
          <w:rFonts w:hint="eastAsia"/>
          <w:color w:val="auto"/>
          <w:highlight w:val="none"/>
        </w:rPr>
        <w:t>天。</w:t>
      </w:r>
    </w:p>
    <w:p>
      <w:pPr>
        <w:pStyle w:val="6"/>
        <w:spacing w:before="0" w:after="0" w:line="410" w:lineRule="exact"/>
        <w:ind w:firstLine="211" w:firstLineChars="100"/>
        <w:rPr>
          <w:rFonts w:ascii="宋体" w:hAnsi="宋体" w:eastAsia="宋体"/>
          <w:color w:val="auto"/>
          <w:sz w:val="21"/>
          <w:szCs w:val="21"/>
          <w:highlight w:val="none"/>
        </w:rPr>
      </w:pPr>
      <w:r>
        <w:rPr>
          <w:rFonts w:hint="eastAsia" w:ascii="宋体" w:hAnsi="宋体" w:eastAsia="宋体"/>
          <w:color w:val="auto"/>
          <w:sz w:val="21"/>
          <w:szCs w:val="21"/>
          <w:highlight w:val="none"/>
        </w:rPr>
        <w:t>（七）投标保证金</w:t>
      </w:r>
      <w:bookmarkEnd w:id="169"/>
      <w:bookmarkEnd w:id="170"/>
      <w:bookmarkEnd w:id="171"/>
      <w:bookmarkEnd w:id="172"/>
    </w:p>
    <w:bookmarkEnd w:id="173"/>
    <w:p>
      <w:pPr>
        <w:keepNext w:val="0"/>
        <w:keepLines w:val="0"/>
        <w:pageBreakBefore w:val="0"/>
        <w:widowControl w:val="0"/>
        <w:kinsoku/>
        <w:wordWrap/>
        <w:overflowPunct/>
        <w:topLinePunct w:val="0"/>
        <w:autoSpaceDE/>
        <w:autoSpaceDN/>
        <w:bidi w:val="0"/>
        <w:adjustRightInd/>
        <w:snapToGrid/>
        <w:spacing w:line="410" w:lineRule="exact"/>
        <w:ind w:firstLine="422" w:firstLineChars="200"/>
        <w:textAlignment w:val="auto"/>
        <w:rPr>
          <w:rFonts w:hint="eastAsia"/>
          <w:b/>
          <w:bCs/>
          <w:color w:val="auto"/>
          <w:highlight w:val="none"/>
        </w:rPr>
      </w:pPr>
      <w:r>
        <w:rPr>
          <w:rFonts w:hint="eastAsia"/>
          <w:b/>
          <w:bCs/>
          <w:color w:val="auto"/>
          <w:highlight w:val="none"/>
        </w:rPr>
        <w:t>本项目免收</w:t>
      </w:r>
      <w:r>
        <w:rPr>
          <w:rFonts w:hint="eastAsia"/>
          <w:b/>
          <w:bCs/>
          <w:color w:val="auto"/>
          <w:highlight w:val="none"/>
          <w:lang w:val="en-US" w:eastAsia="zh-CN"/>
        </w:rPr>
        <w:t>投标</w:t>
      </w:r>
      <w:r>
        <w:rPr>
          <w:rFonts w:hint="eastAsia"/>
          <w:b/>
          <w:bCs/>
          <w:color w:val="auto"/>
          <w:highlight w:val="none"/>
        </w:rPr>
        <w:t>保证金。</w:t>
      </w:r>
    </w:p>
    <w:p>
      <w:pPr>
        <w:spacing w:line="410" w:lineRule="exact"/>
        <w:ind w:firstLine="211" w:firstLineChars="100"/>
        <w:rPr>
          <w:b/>
          <w:bCs/>
          <w:color w:val="auto"/>
          <w:highlight w:val="none"/>
        </w:rPr>
      </w:pPr>
      <w:r>
        <w:rPr>
          <w:rFonts w:hint="eastAsia"/>
          <w:b/>
          <w:bCs/>
          <w:color w:val="auto"/>
          <w:highlight w:val="none"/>
        </w:rPr>
        <w:t>（八）投标文件的上传、提交、修改、撤回</w:t>
      </w:r>
    </w:p>
    <w:p>
      <w:pPr>
        <w:snapToGrid w:val="0"/>
        <w:spacing w:line="410" w:lineRule="exact"/>
        <w:ind w:firstLine="420"/>
        <w:rPr>
          <w:rFonts w:hint="eastAsia" w:ascii="宋体" w:hAnsi="宋体"/>
          <w:color w:val="auto"/>
          <w:szCs w:val="21"/>
          <w:highlight w:val="none"/>
        </w:rPr>
      </w:pPr>
      <w:bookmarkStart w:id="174" w:name="_Toc353785297"/>
      <w:bookmarkStart w:id="175" w:name="_Toc352700427"/>
      <w:r>
        <w:rPr>
          <w:rFonts w:ascii="宋体" w:hAnsi="宋体"/>
          <w:color w:val="auto"/>
          <w:szCs w:val="21"/>
          <w:highlight w:val="none"/>
        </w:rPr>
        <w:t>1.</w:t>
      </w:r>
      <w:r>
        <w:rPr>
          <w:rFonts w:hint="eastAsia" w:ascii="宋体" w:hAnsi="宋体"/>
          <w:color w:val="auto"/>
          <w:szCs w:val="21"/>
          <w:highlight w:val="none"/>
        </w:rPr>
        <w:t>投标文件的上传和提交:投标人须将编制好的加密投标文件上传至政府采购云平台，并在投标文件提交截止时间前提交，否则</w:t>
      </w:r>
      <w:bookmarkStart w:id="176" w:name="_Hlk91772691"/>
      <w:r>
        <w:rPr>
          <w:rFonts w:hint="eastAsia" w:ascii="宋体" w:hAnsi="宋体"/>
          <w:color w:val="auto"/>
          <w:szCs w:val="21"/>
          <w:highlight w:val="none"/>
        </w:rPr>
        <w:t>政府采购云平台</w:t>
      </w:r>
      <w:bookmarkEnd w:id="176"/>
      <w:r>
        <w:rPr>
          <w:rFonts w:hint="eastAsia" w:ascii="宋体" w:hAnsi="宋体"/>
          <w:color w:val="auto"/>
          <w:szCs w:val="21"/>
          <w:highlight w:val="none"/>
        </w:rPr>
        <w:t>将予以拒收。投标文件提交成功后，投标人可自行打印投标文件接收回执。</w:t>
      </w:r>
    </w:p>
    <w:p>
      <w:pPr>
        <w:snapToGrid w:val="0"/>
        <w:spacing w:line="410" w:lineRule="exact"/>
        <w:ind w:firstLine="42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投标文件的修改和撤回：投标人在投标文件提交截止时间前可对投标文件进行补充、修改或者撤回。补充或者修改投标文件的，应当先行撤回原投标文件，补充、修改后重新上传、提交。投标文件提交截止时间前未完成重新提交的，视为撤回投标文件，投标文件提交截止时间后提交投标文件的，政府采购云平台将予以拒收。投标文件提交截止时间后，投标人不得撤回、修改投标文件。补充、修改的内容应当按照招标文件要求签署、盖章，作为投标文件的组成部分。</w:t>
      </w:r>
    </w:p>
    <w:p>
      <w:pPr>
        <w:snapToGrid w:val="0"/>
        <w:spacing w:line="410" w:lineRule="exact"/>
        <w:ind w:firstLine="420"/>
        <w:rPr>
          <w:rFonts w:hint="eastAsia" w:ascii="宋体" w:hAnsi="宋体"/>
          <w:color w:val="auto"/>
          <w:szCs w:val="21"/>
          <w:highlight w:val="none"/>
        </w:rPr>
      </w:pPr>
    </w:p>
    <w:p>
      <w:pPr>
        <w:pStyle w:val="6"/>
        <w:spacing w:before="0" w:after="0" w:line="410" w:lineRule="exact"/>
        <w:ind w:firstLine="0" w:firstLineChars="0"/>
        <w:rPr>
          <w:rFonts w:hint="eastAsia" w:ascii="方正小标宋_GBK" w:eastAsia="方正小标宋_GBK"/>
          <w:b w:val="0"/>
          <w:bCs w:val="0"/>
          <w:color w:val="auto"/>
          <w:sz w:val="24"/>
          <w:szCs w:val="24"/>
          <w:highlight w:val="none"/>
        </w:rPr>
      </w:pPr>
      <w:bookmarkStart w:id="177" w:name="_四、开标"/>
      <w:bookmarkEnd w:id="177"/>
      <w:r>
        <w:rPr>
          <w:rFonts w:hint="eastAsia" w:ascii="方正小标宋_GBK" w:eastAsia="方正小标宋_GBK"/>
          <w:b w:val="0"/>
          <w:bCs w:val="0"/>
          <w:color w:val="auto"/>
          <w:sz w:val="24"/>
          <w:szCs w:val="24"/>
          <w:highlight w:val="none"/>
        </w:rPr>
        <w:t>四、开标</w:t>
      </w:r>
      <w:bookmarkStart w:id="178" w:name="_Toc353785300"/>
      <w:bookmarkStart w:id="179" w:name="_Toc352700430"/>
    </w:p>
    <w:bookmarkEnd w:id="178"/>
    <w:bookmarkEnd w:id="179"/>
    <w:p>
      <w:pPr>
        <w:spacing w:line="410" w:lineRule="exact"/>
        <w:ind w:firstLine="210" w:firstLineChars="100"/>
        <w:rPr>
          <w:rFonts w:ascii="方正小标宋_GBK" w:hAnsi="Arial" w:eastAsia="方正小标宋_GBK"/>
          <w:bCs/>
          <w:color w:val="auto"/>
          <w:sz w:val="24"/>
          <w:highlight w:val="none"/>
        </w:rPr>
      </w:pPr>
      <w:r>
        <w:rPr>
          <w:rFonts w:hint="eastAsia"/>
          <w:color w:val="auto"/>
          <w:highlight w:val="none"/>
        </w:rPr>
        <w:t>（一）本中心将在投标文件提交截止时间后在</w:t>
      </w:r>
      <w:bookmarkStart w:id="180" w:name="_Hlk90300735"/>
      <w:r>
        <w:rPr>
          <w:rFonts w:hint="eastAsia"/>
          <w:color w:val="auto"/>
          <w:highlight w:val="none"/>
        </w:rPr>
        <w:t>政采云远程开标大厅</w:t>
      </w:r>
      <w:bookmarkEnd w:id="180"/>
      <w:r>
        <w:rPr>
          <w:rFonts w:hint="eastAsia"/>
          <w:color w:val="auto"/>
          <w:highlight w:val="none"/>
        </w:rPr>
        <w:t>进行开标，投标人法定代表人或委托代理人须按时登录</w:t>
      </w:r>
      <w:bookmarkStart w:id="181" w:name="_Hlk90300780"/>
      <w:r>
        <w:rPr>
          <w:rFonts w:hint="eastAsia"/>
          <w:color w:val="auto"/>
          <w:highlight w:val="none"/>
        </w:rPr>
        <w:t>政采云远程开标大厅</w:t>
      </w:r>
      <w:bookmarkEnd w:id="181"/>
      <w:r>
        <w:rPr>
          <w:rFonts w:hint="eastAsia"/>
          <w:color w:val="auto"/>
          <w:highlight w:val="none"/>
        </w:rPr>
        <w:t>（政府采购云平台-应用中心-项目采购-开标评标），保持全程在线并关注开标评标进度，评标期间评标委员会提出澄清等要求时，投标人须在规定时间内进行应答，否则按招标文件或政采云平台的相关规定执行。</w:t>
      </w:r>
      <w:bookmarkStart w:id="182" w:name="_Toc353785301"/>
      <w:bookmarkStart w:id="183" w:name="_Toc352700431"/>
    </w:p>
    <w:p>
      <w:pPr>
        <w:spacing w:line="410" w:lineRule="exact"/>
        <w:ind w:firstLine="210" w:firstLineChars="100"/>
        <w:rPr>
          <w:rFonts w:ascii="方正小标宋_GBK" w:hAnsi="Arial" w:eastAsia="方正小标宋_GBK"/>
          <w:bCs/>
          <w:color w:val="auto"/>
          <w:sz w:val="24"/>
          <w:highlight w:val="none"/>
        </w:rPr>
      </w:pPr>
      <w:r>
        <w:rPr>
          <w:rFonts w:hint="eastAsia"/>
          <w:color w:val="auto"/>
          <w:highlight w:val="none"/>
        </w:rPr>
        <w:t>（二）开标程序</w:t>
      </w:r>
      <w:bookmarkEnd w:id="182"/>
      <w:bookmarkEnd w:id="183"/>
    </w:p>
    <w:p>
      <w:pPr>
        <w:spacing w:line="410" w:lineRule="exact"/>
        <w:ind w:left="420" w:firstLine="0" w:firstLineChars="0"/>
        <w:rPr>
          <w:color w:val="auto"/>
          <w:highlight w:val="none"/>
        </w:rPr>
      </w:pPr>
      <w:r>
        <w:rPr>
          <w:color w:val="auto"/>
          <w:highlight w:val="none"/>
        </w:rPr>
        <w:t>1.</w:t>
      </w:r>
      <w:r>
        <w:rPr>
          <w:rFonts w:hint="eastAsia"/>
          <w:color w:val="auto"/>
          <w:highlight w:val="none"/>
        </w:rPr>
        <w:t>开标会由本中心主持；</w:t>
      </w:r>
    </w:p>
    <w:p>
      <w:pPr>
        <w:spacing w:line="410" w:lineRule="exact"/>
        <w:ind w:firstLine="420"/>
        <w:rPr>
          <w:color w:val="auto"/>
          <w:highlight w:val="none"/>
        </w:rPr>
      </w:pPr>
      <w:r>
        <w:rPr>
          <w:color w:val="auto"/>
          <w:highlight w:val="none"/>
        </w:rPr>
        <w:t>2.</w:t>
      </w:r>
      <w:r>
        <w:rPr>
          <w:rFonts w:hint="eastAsia"/>
          <w:b/>
          <w:bCs/>
          <w:color w:val="auto"/>
          <w:highlight w:val="none"/>
        </w:rPr>
        <w:t>解密：</w:t>
      </w:r>
      <w:r>
        <w:rPr>
          <w:rFonts w:hint="eastAsia"/>
          <w:color w:val="auto"/>
          <w:highlight w:val="none"/>
        </w:rPr>
        <w:t>投标文件提交时间截止后，我中心将向各提交投标文件的投标人发出电子加密投标文件解密通知，投标人代表应当在接到解密通知后30分钟内对已加密的电子投标文件进行在线解密。投标人未在规定时间内完成解密的，政府采购云平台视为投标人自主放弃投标。</w:t>
      </w:r>
    </w:p>
    <w:p>
      <w:pPr>
        <w:spacing w:line="410" w:lineRule="exact"/>
        <w:ind w:firstLine="420"/>
        <w:rPr>
          <w:color w:val="auto"/>
          <w:highlight w:val="none"/>
        </w:rPr>
      </w:pPr>
      <w:r>
        <w:rPr>
          <w:rFonts w:hint="eastAsia"/>
          <w:color w:val="auto"/>
          <w:highlight w:val="none"/>
        </w:rPr>
        <w:t>注：当招标项目(或分标</w:t>
      </w:r>
      <w:r>
        <w:rPr>
          <w:color w:val="auto"/>
          <w:highlight w:val="none"/>
        </w:rPr>
        <w:t>)</w:t>
      </w:r>
      <w:r>
        <w:rPr>
          <w:rFonts w:hint="eastAsia"/>
          <w:color w:val="auto"/>
          <w:highlight w:val="none"/>
        </w:rPr>
        <w:t>的投标人不足3家的，不开标。</w:t>
      </w:r>
    </w:p>
    <w:p>
      <w:pPr>
        <w:spacing w:line="410" w:lineRule="exact"/>
        <w:ind w:firstLine="211" w:firstLineChars="100"/>
        <w:rPr>
          <w:b/>
          <w:bCs/>
          <w:color w:val="auto"/>
          <w:highlight w:val="none"/>
        </w:rPr>
      </w:pPr>
      <w:r>
        <w:rPr>
          <w:rFonts w:hint="eastAsia"/>
          <w:b/>
          <w:bCs/>
          <w:color w:val="auto"/>
          <w:highlight w:val="none"/>
        </w:rPr>
        <w:t>（三）资格审查</w:t>
      </w:r>
    </w:p>
    <w:p>
      <w:pPr>
        <w:spacing w:line="410" w:lineRule="exact"/>
        <w:ind w:firstLine="420"/>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采购人依法对投标人的资格进行审查，招标项目(或分标)</w:t>
      </w:r>
      <w:r>
        <w:rPr>
          <w:rFonts w:ascii="Arial" w:hAnsi="Arial" w:cs="Arial"/>
          <w:color w:val="auto"/>
          <w:highlight w:val="none"/>
        </w:rPr>
        <w:t>合格投标人不足3家的，不评标</w:t>
      </w:r>
      <w:r>
        <w:rPr>
          <w:rFonts w:hint="eastAsia" w:ascii="宋体" w:hAnsi="宋体"/>
          <w:color w:val="auto"/>
          <w:szCs w:val="21"/>
          <w:highlight w:val="none"/>
        </w:rPr>
        <w:t>。</w:t>
      </w:r>
    </w:p>
    <w:p>
      <w:pPr>
        <w:spacing w:line="410" w:lineRule="exact"/>
        <w:ind w:firstLine="420"/>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资格性审查时，如发现下列情形之一的，投标文件将被视为无效：</w:t>
      </w:r>
    </w:p>
    <w:p>
      <w:pPr>
        <w:spacing w:line="410" w:lineRule="exact"/>
        <w:ind w:firstLine="420"/>
        <w:rPr>
          <w:rFonts w:hint="eastAsia" w:ascii="宋体" w:hAnsi="宋体"/>
          <w:color w:val="auto"/>
          <w:szCs w:val="21"/>
          <w:highlight w:val="none"/>
        </w:rPr>
      </w:pPr>
      <w:r>
        <w:rPr>
          <w:rFonts w:hint="eastAsia" w:ascii="宋体" w:hAnsi="宋体"/>
          <w:color w:val="auto"/>
          <w:szCs w:val="21"/>
          <w:highlight w:val="none"/>
        </w:rPr>
        <w:t>(1)超越了按照法律法规规定必须获得行政许可或者行政审批的经营范围的；</w:t>
      </w:r>
    </w:p>
    <w:p>
      <w:pPr>
        <w:spacing w:line="410" w:lineRule="exact"/>
        <w:ind w:firstLine="420"/>
        <w:rPr>
          <w:rFonts w:hint="eastAsia" w:ascii="宋体" w:hAnsi="宋体"/>
          <w:color w:val="auto"/>
          <w:szCs w:val="21"/>
          <w:highlight w:val="none"/>
        </w:rPr>
      </w:pPr>
      <w:r>
        <w:rPr>
          <w:rFonts w:hint="eastAsia" w:ascii="宋体" w:hAnsi="宋体"/>
          <w:color w:val="auto"/>
          <w:szCs w:val="21"/>
          <w:highlight w:val="none"/>
        </w:rPr>
        <w:t>(2)资格证明文件不全的，或者不符合招标文件标明的资格要求的；</w:t>
      </w:r>
    </w:p>
    <w:p>
      <w:pPr>
        <w:snapToGrid w:val="0"/>
        <w:spacing w:line="410" w:lineRule="exact"/>
        <w:ind w:firstLine="420"/>
        <w:jc w:val="left"/>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采购人或本中心将通过信用中国网站（www.creditchina.gov.cn）、中国政府采购网（www.ccgp.gov.cn）等渠道查询供应商的信用信息记录。供应商被列入失信被执行人、重大税收违法案件当事人名单、政府采购严重违法失信行为记录名单且有效期在投标文件递交截止时间的，将被拒绝参与本项目政府采购活动。</w:t>
      </w:r>
    </w:p>
    <w:p>
      <w:pPr>
        <w:pStyle w:val="6"/>
        <w:spacing w:before="0" w:after="0" w:line="410" w:lineRule="exact"/>
        <w:ind w:firstLine="0" w:firstLineChars="0"/>
        <w:rPr>
          <w:rFonts w:hint="eastAsia" w:ascii="方正小标宋_GBK" w:eastAsia="方正小标宋_GBK"/>
          <w:b w:val="0"/>
          <w:bCs w:val="0"/>
          <w:color w:val="auto"/>
          <w:sz w:val="24"/>
          <w:szCs w:val="24"/>
          <w:highlight w:val="none"/>
        </w:rPr>
      </w:pPr>
      <w:bookmarkStart w:id="184" w:name="_五、评标"/>
      <w:bookmarkEnd w:id="184"/>
      <w:bookmarkStart w:id="185" w:name="_Toc254970686"/>
      <w:bookmarkStart w:id="186" w:name="_Toc353785302"/>
      <w:bookmarkStart w:id="187" w:name="_Toc352700432"/>
      <w:bookmarkStart w:id="188" w:name="_Toc254970545"/>
      <w:r>
        <w:rPr>
          <w:rFonts w:hint="eastAsia" w:ascii="方正小标宋_GBK" w:eastAsia="方正小标宋_GBK"/>
          <w:b w:val="0"/>
          <w:bCs w:val="0"/>
          <w:color w:val="auto"/>
          <w:sz w:val="24"/>
          <w:szCs w:val="24"/>
          <w:highlight w:val="none"/>
        </w:rPr>
        <w:t>五、评标</w:t>
      </w:r>
      <w:bookmarkEnd w:id="185"/>
      <w:bookmarkEnd w:id="186"/>
      <w:bookmarkEnd w:id="187"/>
      <w:bookmarkEnd w:id="188"/>
    </w:p>
    <w:p>
      <w:pPr>
        <w:snapToGrid w:val="0"/>
        <w:spacing w:line="410" w:lineRule="exact"/>
        <w:ind w:firstLine="211" w:firstLineChars="100"/>
        <w:rPr>
          <w:rFonts w:ascii="宋体" w:hAnsi="宋体"/>
          <w:b/>
          <w:bCs/>
          <w:color w:val="auto"/>
          <w:szCs w:val="21"/>
          <w:highlight w:val="none"/>
        </w:rPr>
      </w:pPr>
      <w:bookmarkStart w:id="189" w:name="_Toc352700433"/>
      <w:bookmarkStart w:id="190" w:name="_Toc353785303"/>
      <w:r>
        <w:rPr>
          <w:rFonts w:hint="eastAsia" w:ascii="宋体" w:hAnsi="宋体"/>
          <w:b/>
          <w:bCs/>
          <w:color w:val="auto"/>
          <w:szCs w:val="21"/>
          <w:highlight w:val="none"/>
        </w:rPr>
        <w:t>（一）评标原则：</w:t>
      </w:r>
    </w:p>
    <w:p>
      <w:pPr>
        <w:snapToGrid w:val="0"/>
        <w:spacing w:line="410" w:lineRule="exact"/>
        <w:ind w:firstLine="42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评标委员会必须公平、公正、客观，不带任何倾向性和启发性；不得向外界透露任何与评标有关的内容；任何单位和个人不得干扰、影响评标的正常进行；评标委员会及有关工作人员不得私下接触投标人。</w:t>
      </w:r>
    </w:p>
    <w:p>
      <w:pPr>
        <w:snapToGrid w:val="0"/>
        <w:spacing w:line="410" w:lineRule="exact"/>
        <w:ind w:firstLine="420"/>
        <w:rPr>
          <w:rFonts w:ascii="宋体" w:hAnsi="宋体" w:cs="Courier New"/>
          <w:color w:val="auto"/>
          <w:szCs w:val="21"/>
          <w:highlight w:val="none"/>
        </w:rPr>
      </w:pPr>
      <w:r>
        <w:rPr>
          <w:rFonts w:ascii="宋体" w:hAnsi="宋体"/>
          <w:color w:val="auto"/>
          <w:szCs w:val="21"/>
          <w:highlight w:val="none"/>
        </w:rPr>
        <w:t>2.</w:t>
      </w:r>
      <w:r>
        <w:rPr>
          <w:rFonts w:hint="eastAsia" w:ascii="宋体" w:hAnsi="宋体" w:cs="Courier New"/>
          <w:color w:val="auto"/>
          <w:szCs w:val="21"/>
          <w:highlight w:val="none"/>
        </w:rPr>
        <w:t>本项目采用不公开方式评标，评标的依据为招标文件和投标文件。</w:t>
      </w:r>
    </w:p>
    <w:p>
      <w:pPr>
        <w:snapToGrid w:val="0"/>
        <w:spacing w:line="410" w:lineRule="exact"/>
        <w:ind w:firstLine="420"/>
        <w:rPr>
          <w:rFonts w:hint="eastAsia" w:ascii="宋体" w:hAnsi="宋体"/>
          <w:color w:val="auto"/>
          <w:szCs w:val="21"/>
          <w:highlight w:val="none"/>
        </w:rPr>
      </w:pPr>
      <w:r>
        <w:rPr>
          <w:rFonts w:hint="eastAsia" w:ascii="宋体" w:hAnsi="宋体" w:cs="Courier New"/>
          <w:color w:val="auto"/>
          <w:szCs w:val="21"/>
          <w:highlight w:val="none"/>
        </w:rPr>
        <w:t>3</w:t>
      </w:r>
      <w:r>
        <w:rPr>
          <w:rFonts w:ascii="宋体" w:hAnsi="宋体" w:cs="Courier New"/>
          <w:color w:val="auto"/>
          <w:szCs w:val="21"/>
          <w:highlight w:val="none"/>
        </w:rPr>
        <w:t>.</w:t>
      </w:r>
      <w:r>
        <w:rPr>
          <w:rFonts w:hint="eastAsia" w:ascii="宋体" w:hAnsi="宋体" w:cs="宋体"/>
          <w:color w:val="auto"/>
          <w:szCs w:val="21"/>
          <w:highlight w:val="none"/>
        </w:rPr>
        <w:t>评标方法：综合评分法，即满足招标文件全部实质性要求且按照评审因素的量化指标评审得分最高的供应商为中标候选人。</w:t>
      </w:r>
    </w:p>
    <w:p>
      <w:pPr>
        <w:snapToGrid w:val="0"/>
        <w:spacing w:line="410" w:lineRule="exact"/>
        <w:ind w:firstLine="211" w:firstLineChars="100"/>
        <w:rPr>
          <w:rFonts w:ascii="宋体" w:hAnsi="宋体"/>
          <w:b/>
          <w:bCs/>
          <w:color w:val="auto"/>
          <w:szCs w:val="21"/>
          <w:highlight w:val="none"/>
        </w:rPr>
      </w:pPr>
      <w:r>
        <w:rPr>
          <w:rFonts w:hint="eastAsia"/>
          <w:b/>
          <w:bCs/>
          <w:color w:val="auto"/>
          <w:highlight w:val="none"/>
        </w:rPr>
        <w:t>（二）组建评标委员会</w:t>
      </w:r>
    </w:p>
    <w:p>
      <w:pPr>
        <w:snapToGrid w:val="0"/>
        <w:spacing w:line="410" w:lineRule="exact"/>
        <w:ind w:firstLine="420"/>
        <w:rPr>
          <w:rFonts w:hint="eastAsia" w:ascii="宋体" w:hAnsi="宋体"/>
          <w:color w:val="auto"/>
          <w:szCs w:val="21"/>
          <w:highlight w:val="none"/>
        </w:rPr>
      </w:pPr>
      <w:r>
        <w:rPr>
          <w:rFonts w:ascii="宋体" w:hAnsi="宋体" w:cs="Courier New"/>
          <w:bCs/>
          <w:color w:val="auto"/>
          <w:szCs w:val="21"/>
          <w:highlight w:val="none"/>
        </w:rPr>
        <w:t>评标委员会由采购人代表和评审专家组成，成员人数应当为</w:t>
      </w:r>
      <w:r>
        <w:rPr>
          <w:rFonts w:hint="eastAsia" w:ascii="宋体" w:hAnsi="宋体" w:cs="Courier New"/>
          <w:bCs/>
          <w:color w:val="auto"/>
          <w:szCs w:val="21"/>
          <w:highlight w:val="none"/>
        </w:rPr>
        <w:t>5</w:t>
      </w:r>
      <w:r>
        <w:rPr>
          <w:rFonts w:ascii="宋体" w:hAnsi="宋体" w:cs="Courier New"/>
          <w:bCs/>
          <w:color w:val="auto"/>
          <w:szCs w:val="21"/>
          <w:highlight w:val="none"/>
        </w:rPr>
        <w:t>人以上单数，其中评审专家不得少于成员总数的三分之二。</w:t>
      </w:r>
      <w:bookmarkEnd w:id="189"/>
      <w:bookmarkEnd w:id="190"/>
    </w:p>
    <w:p>
      <w:pPr>
        <w:spacing w:line="410" w:lineRule="exact"/>
        <w:ind w:firstLine="211" w:firstLineChars="100"/>
        <w:rPr>
          <w:rFonts w:hint="eastAsia" w:ascii="宋体" w:hAnsi="宋体" w:cs="Courier New"/>
          <w:color w:val="auto"/>
          <w:szCs w:val="21"/>
          <w:highlight w:val="none"/>
        </w:rPr>
      </w:pPr>
      <w:r>
        <w:rPr>
          <w:rFonts w:hint="eastAsia" w:ascii="宋体" w:hAnsi="宋体"/>
          <w:b/>
          <w:bCs/>
          <w:color w:val="auto"/>
          <w:szCs w:val="21"/>
          <w:highlight w:val="none"/>
        </w:rPr>
        <w:t>（三）符合性审查</w:t>
      </w:r>
    </w:p>
    <w:p>
      <w:pPr>
        <w:snapToGrid w:val="0"/>
        <w:spacing w:line="410" w:lineRule="exact"/>
        <w:ind w:firstLine="420"/>
        <w:rPr>
          <w:rFonts w:ascii="宋体" w:hAnsi="宋体"/>
          <w:color w:val="auto"/>
          <w:szCs w:val="21"/>
          <w:highlight w:val="none"/>
        </w:rPr>
      </w:pPr>
      <w:r>
        <w:rPr>
          <w:rFonts w:hint="eastAsia" w:ascii="宋体" w:hAnsi="宋体"/>
          <w:color w:val="auto"/>
          <w:szCs w:val="21"/>
          <w:highlight w:val="none"/>
        </w:rPr>
        <w:t>评标委员会对符合资格的投标人投标文件进行符合性审查，以确定其是否满足招标文件的实质性要求。</w:t>
      </w:r>
    </w:p>
    <w:p>
      <w:pPr>
        <w:snapToGrid w:val="0"/>
        <w:spacing w:line="410" w:lineRule="exact"/>
        <w:ind w:firstLine="422"/>
        <w:rPr>
          <w:rFonts w:hint="eastAsia" w:ascii="宋体" w:hAnsi="宋体"/>
          <w:b/>
          <w:bCs/>
          <w:color w:val="auto"/>
          <w:szCs w:val="21"/>
          <w:highlight w:val="none"/>
        </w:rPr>
      </w:pPr>
      <w:r>
        <w:rPr>
          <w:rFonts w:ascii="宋体" w:hAnsi="宋体"/>
          <w:b/>
          <w:bCs/>
          <w:color w:val="auto"/>
          <w:szCs w:val="21"/>
          <w:highlight w:val="none"/>
        </w:rPr>
        <w:t>1.</w:t>
      </w:r>
      <w:r>
        <w:rPr>
          <w:rFonts w:hint="eastAsia" w:ascii="宋体" w:hAnsi="宋体"/>
          <w:b/>
          <w:bCs/>
          <w:color w:val="auto"/>
          <w:szCs w:val="21"/>
          <w:highlight w:val="none"/>
        </w:rPr>
        <w:t>符合性审查时，如发现下列情形之一的，投标文件将被视为无效：</w:t>
      </w:r>
    </w:p>
    <w:p>
      <w:pPr>
        <w:snapToGrid w:val="0"/>
        <w:spacing w:line="410" w:lineRule="exact"/>
        <w:ind w:firstLine="422"/>
        <w:rPr>
          <w:rFonts w:ascii="宋体" w:hAnsi="宋体"/>
          <w:b/>
          <w:bCs/>
          <w:color w:val="auto"/>
          <w:szCs w:val="21"/>
          <w:highlight w:val="none"/>
        </w:rPr>
      </w:pPr>
      <w:r>
        <w:rPr>
          <w:rFonts w:hint="eastAsia" w:ascii="宋体" w:hAnsi="宋体"/>
          <w:b/>
          <w:bCs/>
          <w:color w:val="auto"/>
          <w:szCs w:val="21"/>
          <w:highlight w:val="none"/>
        </w:rPr>
        <w:t>(</w:t>
      </w:r>
      <w:r>
        <w:rPr>
          <w:rFonts w:ascii="宋体" w:hAnsi="宋体"/>
          <w:b/>
          <w:bCs/>
          <w:color w:val="auto"/>
          <w:szCs w:val="21"/>
          <w:highlight w:val="none"/>
        </w:rPr>
        <w:t>1)</w:t>
      </w:r>
      <w:r>
        <w:rPr>
          <w:rFonts w:hint="eastAsia" w:ascii="宋体" w:hAnsi="宋体"/>
          <w:b/>
          <w:bCs/>
          <w:color w:val="auto"/>
          <w:szCs w:val="21"/>
          <w:highlight w:val="none"/>
        </w:rPr>
        <w:t>商务评审:</w:t>
      </w:r>
    </w:p>
    <w:p>
      <w:pPr>
        <w:snapToGrid w:val="0"/>
        <w:spacing w:line="410" w:lineRule="exact"/>
        <w:ind w:firstLine="525" w:firstLineChars="250"/>
        <w:rPr>
          <w:rFonts w:ascii="宋体" w:hAnsi="宋体"/>
          <w:color w:val="auto"/>
          <w:szCs w:val="21"/>
          <w:highlight w:val="none"/>
        </w:rPr>
      </w:pPr>
      <w:r>
        <w:rPr>
          <w:rFonts w:hint="eastAsia" w:ascii="宋体" w:hAnsi="宋体"/>
          <w:color w:val="auto"/>
          <w:szCs w:val="21"/>
          <w:highlight w:val="none"/>
        </w:rPr>
        <w:t>①投标文件未按投标文件编制要求提供或内容虚假的</w:t>
      </w:r>
    </w:p>
    <w:p>
      <w:pPr>
        <w:snapToGrid w:val="0"/>
        <w:spacing w:line="410" w:lineRule="exact"/>
        <w:ind w:firstLine="525" w:firstLineChars="250"/>
        <w:rPr>
          <w:rFonts w:hint="eastAsia" w:ascii="宋体" w:hAnsi="宋体"/>
          <w:color w:val="auto"/>
          <w:szCs w:val="21"/>
          <w:highlight w:val="none"/>
        </w:rPr>
      </w:pPr>
      <w:r>
        <w:rPr>
          <w:rFonts w:hint="eastAsia" w:ascii="宋体" w:hAnsi="宋体"/>
          <w:color w:val="auto"/>
          <w:szCs w:val="21"/>
          <w:highlight w:val="none"/>
        </w:rPr>
        <w:t>②投标文件无法定代表人或其委托代理人签署、未提供授权委托书，或未按规定盖章的；</w:t>
      </w:r>
    </w:p>
    <w:p>
      <w:pPr>
        <w:snapToGrid w:val="0"/>
        <w:spacing w:line="410" w:lineRule="exact"/>
        <w:ind w:firstLine="525" w:firstLineChars="250"/>
        <w:rPr>
          <w:rFonts w:ascii="宋体" w:hAnsi="宋体"/>
          <w:color w:val="auto"/>
          <w:szCs w:val="21"/>
          <w:highlight w:val="none"/>
        </w:rPr>
      </w:pPr>
      <w:r>
        <w:rPr>
          <w:rFonts w:hint="eastAsia" w:ascii="宋体" w:hAnsi="宋体"/>
          <w:color w:val="auto"/>
          <w:szCs w:val="21"/>
          <w:highlight w:val="none"/>
        </w:rPr>
        <w:t>③投标人代表未能出具身份证明或与法定代表人委托代理人身份不符的；</w:t>
      </w:r>
    </w:p>
    <w:p>
      <w:pPr>
        <w:snapToGrid w:val="0"/>
        <w:spacing w:line="410" w:lineRule="exact"/>
        <w:ind w:firstLine="525" w:firstLineChars="250"/>
        <w:rPr>
          <w:rFonts w:hint="eastAsia" w:ascii="宋体" w:hAnsi="宋体"/>
          <w:color w:val="auto"/>
          <w:szCs w:val="21"/>
          <w:highlight w:val="none"/>
        </w:rPr>
      </w:pPr>
      <w:r>
        <w:rPr>
          <w:rFonts w:hint="eastAsia" w:ascii="宋体" w:hAnsi="宋体"/>
          <w:color w:val="auto"/>
          <w:szCs w:val="21"/>
          <w:highlight w:val="none"/>
        </w:rPr>
        <w:t>④投</w:t>
      </w:r>
      <w:bookmarkStart w:id="191" w:name="_Hlk112423038"/>
      <w:r>
        <w:rPr>
          <w:rFonts w:hint="eastAsia" w:ascii="宋体" w:hAnsi="宋体"/>
          <w:color w:val="auto"/>
          <w:szCs w:val="21"/>
          <w:highlight w:val="none"/>
        </w:rPr>
        <w:t>标有效期、交货时间、质保期等不允许偏离的实质性要求和条件不能满足招标文件要求的；</w:t>
      </w:r>
      <w:bookmarkEnd w:id="191"/>
    </w:p>
    <w:p>
      <w:pPr>
        <w:snapToGrid w:val="0"/>
        <w:spacing w:line="410" w:lineRule="exact"/>
        <w:ind w:firstLine="525" w:firstLineChars="250"/>
        <w:rPr>
          <w:rFonts w:hint="eastAsia" w:ascii="宋体" w:hAnsi="宋体"/>
          <w:color w:val="auto"/>
          <w:szCs w:val="21"/>
          <w:highlight w:val="none"/>
        </w:rPr>
      </w:pPr>
      <w:r>
        <w:rPr>
          <w:rFonts w:hint="eastAsia" w:ascii="宋体" w:hAnsi="宋体"/>
          <w:color w:val="auto"/>
          <w:szCs w:val="21"/>
          <w:highlight w:val="none"/>
        </w:rPr>
        <w:t>⑤投标文件的实质性内容未使用中文表述、意思表述不明确、前后矛盾或者使用计量单位不符合招标文件要求的；</w:t>
      </w:r>
    </w:p>
    <w:p>
      <w:pPr>
        <w:snapToGrid w:val="0"/>
        <w:spacing w:line="410" w:lineRule="exact"/>
        <w:ind w:firstLine="525" w:firstLineChars="250"/>
        <w:rPr>
          <w:rFonts w:hint="eastAsia" w:ascii="宋体" w:hAnsi="宋体"/>
          <w:color w:val="auto"/>
          <w:szCs w:val="21"/>
          <w:highlight w:val="none"/>
        </w:rPr>
      </w:pPr>
      <w:r>
        <w:rPr>
          <w:rFonts w:hint="eastAsia" w:ascii="宋体" w:hAnsi="宋体"/>
          <w:color w:val="auto"/>
          <w:szCs w:val="21"/>
          <w:highlight w:val="none"/>
        </w:rPr>
        <w:t>⑥未实质性响应招标文件要求或者投标文件有采购人不能接受的附加条件的；</w:t>
      </w:r>
    </w:p>
    <w:p>
      <w:pPr>
        <w:snapToGrid w:val="0"/>
        <w:spacing w:line="410" w:lineRule="exact"/>
        <w:ind w:firstLine="422"/>
        <w:rPr>
          <w:rFonts w:ascii="宋体" w:hAnsi="宋体"/>
          <w:b/>
          <w:bCs/>
          <w:color w:val="auto"/>
          <w:szCs w:val="21"/>
          <w:highlight w:val="none"/>
        </w:rPr>
      </w:pPr>
      <w:r>
        <w:rPr>
          <w:rFonts w:hint="eastAsia" w:ascii="宋体" w:hAnsi="宋体"/>
          <w:b/>
          <w:bCs/>
          <w:color w:val="auto"/>
          <w:szCs w:val="21"/>
          <w:highlight w:val="none"/>
        </w:rPr>
        <w:t>(</w:t>
      </w:r>
      <w:r>
        <w:rPr>
          <w:rFonts w:ascii="宋体" w:hAnsi="宋体"/>
          <w:b/>
          <w:bCs/>
          <w:color w:val="auto"/>
          <w:szCs w:val="21"/>
          <w:highlight w:val="none"/>
        </w:rPr>
        <w:t>2)</w:t>
      </w:r>
      <w:r>
        <w:rPr>
          <w:rFonts w:hint="eastAsia" w:ascii="宋体" w:hAnsi="宋体"/>
          <w:b/>
          <w:bCs/>
          <w:color w:val="auto"/>
          <w:szCs w:val="21"/>
          <w:highlight w:val="none"/>
        </w:rPr>
        <w:t>技术评审：</w:t>
      </w:r>
    </w:p>
    <w:p>
      <w:pPr>
        <w:snapToGrid w:val="0"/>
        <w:spacing w:line="410" w:lineRule="exact"/>
        <w:ind w:firstLine="505" w:firstLineChars="250"/>
        <w:rPr>
          <w:rFonts w:ascii="宋体" w:hAnsi="宋体"/>
          <w:color w:val="auto"/>
          <w:spacing w:val="-4"/>
          <w:szCs w:val="21"/>
          <w:highlight w:val="none"/>
        </w:rPr>
      </w:pPr>
      <w:r>
        <w:rPr>
          <w:rFonts w:hint="eastAsia" w:ascii="宋体" w:hAnsi="宋体"/>
          <w:color w:val="auto"/>
          <w:spacing w:val="-4"/>
          <w:szCs w:val="21"/>
          <w:highlight w:val="none"/>
        </w:rPr>
        <w:t>①</w:t>
      </w:r>
      <w:r>
        <w:rPr>
          <w:rFonts w:hint="eastAsia" w:ascii="宋体" w:hAnsi="宋体"/>
          <w:color w:val="auto"/>
          <w:szCs w:val="21"/>
          <w:highlight w:val="none"/>
        </w:rPr>
        <w:t>未提供或未如实提供货物技术参数或服务响应，或投标文件标明的响应或偏离与事实不符的；</w:t>
      </w:r>
    </w:p>
    <w:p>
      <w:pPr>
        <w:snapToGrid w:val="0"/>
        <w:spacing w:line="410" w:lineRule="exact"/>
        <w:ind w:firstLine="505" w:firstLineChars="250"/>
        <w:rPr>
          <w:rFonts w:ascii="宋体" w:hAnsi="宋体"/>
          <w:color w:val="auto"/>
          <w:spacing w:val="-4"/>
          <w:szCs w:val="21"/>
          <w:highlight w:val="none"/>
        </w:rPr>
      </w:pPr>
      <w:r>
        <w:rPr>
          <w:rFonts w:hint="eastAsia" w:ascii="宋体" w:hAnsi="宋体"/>
          <w:color w:val="auto"/>
          <w:spacing w:val="-4"/>
          <w:szCs w:val="21"/>
          <w:highlight w:val="none"/>
        </w:rPr>
        <w:t>②明显不符合招标文件要求的质量标准，或者与招标文件中的技术指标、功能、服务事项发生实质性较大偏离，已不符合采购人需求的；</w:t>
      </w:r>
    </w:p>
    <w:p>
      <w:pPr>
        <w:snapToGrid w:val="0"/>
        <w:spacing w:line="410" w:lineRule="exact"/>
        <w:ind w:firstLine="505" w:firstLineChars="250"/>
        <w:rPr>
          <w:rFonts w:hint="eastAsia" w:ascii="宋体" w:hAnsi="宋体"/>
          <w:color w:val="auto"/>
          <w:spacing w:val="-4"/>
          <w:szCs w:val="21"/>
          <w:highlight w:val="none"/>
        </w:rPr>
      </w:pPr>
      <w:r>
        <w:rPr>
          <w:rFonts w:hint="eastAsia" w:ascii="宋体" w:hAnsi="宋体"/>
          <w:color w:val="auto"/>
          <w:spacing w:val="-4"/>
          <w:szCs w:val="21"/>
          <w:highlight w:val="none"/>
        </w:rPr>
        <w:t>③投标文件技术方案不明确，存在一个或一个以上备选（替代）投标方案的。</w:t>
      </w:r>
    </w:p>
    <w:p>
      <w:pPr>
        <w:snapToGrid w:val="0"/>
        <w:spacing w:line="410" w:lineRule="exact"/>
        <w:ind w:firstLine="422"/>
        <w:rPr>
          <w:rFonts w:ascii="宋体" w:hAnsi="宋体"/>
          <w:b/>
          <w:bCs/>
          <w:color w:val="auto"/>
          <w:szCs w:val="21"/>
          <w:highlight w:val="none"/>
        </w:rPr>
      </w:pPr>
      <w:r>
        <w:rPr>
          <w:rFonts w:hint="eastAsia" w:ascii="宋体" w:hAnsi="宋体"/>
          <w:b/>
          <w:bCs/>
          <w:color w:val="auto"/>
          <w:szCs w:val="21"/>
          <w:highlight w:val="none"/>
        </w:rPr>
        <w:t>(</w:t>
      </w:r>
      <w:r>
        <w:rPr>
          <w:rFonts w:ascii="宋体" w:hAnsi="宋体"/>
          <w:b/>
          <w:bCs/>
          <w:color w:val="auto"/>
          <w:szCs w:val="21"/>
          <w:highlight w:val="none"/>
        </w:rPr>
        <w:t>3)</w:t>
      </w:r>
      <w:r>
        <w:rPr>
          <w:rFonts w:hint="eastAsia" w:ascii="宋体" w:hAnsi="宋体"/>
          <w:b/>
          <w:bCs/>
          <w:color w:val="auto"/>
          <w:szCs w:val="21"/>
          <w:highlight w:val="none"/>
        </w:rPr>
        <w:t>报价评审：</w:t>
      </w:r>
    </w:p>
    <w:p>
      <w:pPr>
        <w:snapToGrid w:val="0"/>
        <w:spacing w:line="410" w:lineRule="exact"/>
        <w:ind w:firstLine="505" w:firstLineChars="250"/>
        <w:rPr>
          <w:rFonts w:ascii="宋体" w:hAnsi="宋体"/>
          <w:color w:val="auto"/>
          <w:spacing w:val="-4"/>
          <w:szCs w:val="21"/>
          <w:highlight w:val="none"/>
        </w:rPr>
      </w:pPr>
      <w:r>
        <w:rPr>
          <w:rFonts w:hint="eastAsia" w:ascii="宋体" w:hAnsi="宋体"/>
          <w:color w:val="auto"/>
          <w:spacing w:val="-4"/>
          <w:szCs w:val="21"/>
          <w:highlight w:val="none"/>
        </w:rPr>
        <w:t>①</w:t>
      </w:r>
      <w:r>
        <w:rPr>
          <w:rFonts w:ascii="宋体" w:hAnsi="宋体"/>
          <w:color w:val="auto"/>
          <w:spacing w:val="-4"/>
          <w:szCs w:val="21"/>
          <w:highlight w:val="none"/>
        </w:rPr>
        <w:t>报价超过招标文件中规定的预算金额或者最高限价的</w:t>
      </w:r>
      <w:r>
        <w:rPr>
          <w:rFonts w:hint="eastAsia" w:ascii="宋体" w:hAnsi="宋体"/>
          <w:color w:val="auto"/>
          <w:spacing w:val="-4"/>
          <w:szCs w:val="21"/>
          <w:highlight w:val="none"/>
        </w:rPr>
        <w:t>；</w:t>
      </w:r>
    </w:p>
    <w:p>
      <w:pPr>
        <w:snapToGrid w:val="0"/>
        <w:spacing w:line="410" w:lineRule="exact"/>
        <w:ind w:firstLine="505" w:firstLineChars="250"/>
        <w:rPr>
          <w:rFonts w:ascii="宋体" w:hAnsi="宋体"/>
          <w:color w:val="auto"/>
          <w:spacing w:val="-4"/>
          <w:szCs w:val="21"/>
          <w:highlight w:val="none"/>
        </w:rPr>
      </w:pPr>
      <w:r>
        <w:rPr>
          <w:rFonts w:hint="eastAsia" w:ascii="宋体" w:hAnsi="宋体"/>
          <w:color w:val="auto"/>
          <w:spacing w:val="-4"/>
          <w:szCs w:val="21"/>
          <w:highlight w:val="none"/>
        </w:rPr>
        <w:t>②未采用人民币报价或者未按照招标文件标明的币种报价的；</w:t>
      </w:r>
    </w:p>
    <w:p>
      <w:pPr>
        <w:snapToGrid w:val="0"/>
        <w:spacing w:line="410" w:lineRule="exact"/>
        <w:ind w:firstLine="505" w:firstLineChars="250"/>
        <w:rPr>
          <w:rFonts w:ascii="宋体" w:hAnsi="宋体"/>
          <w:color w:val="auto"/>
          <w:spacing w:val="-4"/>
          <w:szCs w:val="21"/>
          <w:highlight w:val="none"/>
        </w:rPr>
      </w:pPr>
      <w:r>
        <w:rPr>
          <w:rFonts w:hint="eastAsia" w:ascii="宋体" w:hAnsi="宋体"/>
          <w:color w:val="auto"/>
          <w:spacing w:val="-4"/>
          <w:szCs w:val="21"/>
          <w:highlight w:val="none"/>
        </w:rPr>
        <w:t>③投标报价具有选择性；</w:t>
      </w:r>
    </w:p>
    <w:p>
      <w:pPr>
        <w:snapToGrid w:val="0"/>
        <w:spacing w:line="410" w:lineRule="exact"/>
        <w:ind w:firstLine="505" w:firstLineChars="250"/>
        <w:rPr>
          <w:rFonts w:ascii="宋体" w:hAnsi="宋体"/>
          <w:color w:val="auto"/>
          <w:spacing w:val="-4"/>
          <w:szCs w:val="21"/>
          <w:highlight w:val="none"/>
        </w:rPr>
      </w:pPr>
      <w:r>
        <w:rPr>
          <w:rFonts w:hint="eastAsia" w:ascii="宋体" w:hAnsi="宋体"/>
          <w:color w:val="auto"/>
          <w:spacing w:val="-4"/>
          <w:szCs w:val="21"/>
          <w:highlight w:val="none"/>
        </w:rPr>
        <w:t>④</w:t>
      </w:r>
      <w:r>
        <w:rPr>
          <w:rFonts w:hint="eastAsia" w:ascii="宋体" w:hAnsi="宋体" w:cs="Courier New"/>
          <w:color w:val="auto"/>
          <w:szCs w:val="21"/>
          <w:highlight w:val="none"/>
        </w:rPr>
        <w:t>评标委员会认为投标人的报价明显低于其他通过符合性审查投标人的报价，有可能影响产品质量或者不能诚信履约的，投标人不能证明其报价合理性的</w:t>
      </w:r>
      <w:r>
        <w:rPr>
          <w:rFonts w:hint="eastAsia" w:ascii="宋体" w:hAnsi="宋体"/>
          <w:color w:val="auto"/>
          <w:spacing w:val="-4"/>
          <w:szCs w:val="21"/>
          <w:highlight w:val="none"/>
        </w:rPr>
        <w:t>；</w:t>
      </w:r>
    </w:p>
    <w:p>
      <w:pPr>
        <w:snapToGrid w:val="0"/>
        <w:spacing w:line="410" w:lineRule="exact"/>
        <w:ind w:firstLine="505" w:firstLineChars="250"/>
        <w:rPr>
          <w:rFonts w:hint="eastAsia" w:ascii="宋体" w:hAnsi="宋体"/>
          <w:color w:val="auto"/>
          <w:spacing w:val="-4"/>
          <w:szCs w:val="21"/>
          <w:highlight w:val="none"/>
        </w:rPr>
      </w:pPr>
      <w:r>
        <w:rPr>
          <w:rFonts w:hint="eastAsia" w:ascii="宋体" w:hAnsi="宋体"/>
          <w:color w:val="auto"/>
          <w:spacing w:val="-4"/>
          <w:szCs w:val="21"/>
          <w:highlight w:val="none"/>
        </w:rPr>
        <w:t>⑤</w:t>
      </w:r>
      <w:r>
        <w:rPr>
          <w:rFonts w:hint="eastAsia" w:ascii="宋体" w:hAnsi="宋体"/>
          <w:color w:val="auto"/>
          <w:szCs w:val="21"/>
          <w:highlight w:val="none"/>
        </w:rPr>
        <w:t>投标人在政采云平台制作投标文件时填写的报价金额与解密后“电子加密投标文件”中报价金额不一致的，以解密后“电子加密投标文件”中报价金额为准，投标人拒绝接受此调整的，视为无效投标文件。</w:t>
      </w:r>
    </w:p>
    <w:p>
      <w:pPr>
        <w:snapToGrid w:val="0"/>
        <w:spacing w:line="410" w:lineRule="exact"/>
        <w:ind w:firstLine="211" w:firstLineChars="100"/>
        <w:rPr>
          <w:rFonts w:ascii="宋体" w:hAnsi="宋体"/>
          <w:b/>
          <w:bCs/>
          <w:color w:val="auto"/>
          <w:szCs w:val="21"/>
          <w:highlight w:val="none"/>
        </w:rPr>
      </w:pPr>
      <w:r>
        <w:rPr>
          <w:rFonts w:hint="eastAsia" w:ascii="宋体" w:hAnsi="宋体"/>
          <w:b/>
          <w:bCs/>
          <w:color w:val="auto"/>
          <w:szCs w:val="21"/>
          <w:highlight w:val="none"/>
        </w:rPr>
        <w:t>（四）比较与评价</w:t>
      </w:r>
    </w:p>
    <w:p>
      <w:pPr>
        <w:snapToGrid w:val="0"/>
        <w:spacing w:line="410" w:lineRule="exact"/>
        <w:ind w:firstLine="420"/>
        <w:rPr>
          <w:rFonts w:ascii="宋体" w:hAnsi="宋体"/>
          <w:color w:val="auto"/>
          <w:szCs w:val="21"/>
          <w:highlight w:val="none"/>
        </w:rPr>
      </w:pPr>
      <w:r>
        <w:rPr>
          <w:rFonts w:ascii="宋体" w:hAnsi="宋体"/>
          <w:color w:val="auto"/>
          <w:szCs w:val="21"/>
          <w:highlight w:val="none"/>
        </w:rPr>
        <w:t>1.</w:t>
      </w:r>
      <w:r>
        <w:rPr>
          <w:rFonts w:hint="eastAsia" w:ascii="宋体" w:hAnsi="Courier New" w:cs="Courier New"/>
          <w:color w:val="auto"/>
          <w:szCs w:val="21"/>
          <w:highlight w:val="none"/>
        </w:rPr>
        <w:t>评分细则：</w:t>
      </w:r>
      <w:bookmarkStart w:id="192" w:name="_Hlk92463857"/>
      <w:r>
        <w:rPr>
          <w:rFonts w:hint="eastAsia" w:ascii="宋体" w:hAnsi="Courier New" w:cs="Courier New"/>
          <w:color w:val="auto"/>
          <w:szCs w:val="21"/>
          <w:highlight w:val="none"/>
        </w:rPr>
        <w:t>详见第四章《评定标准及推荐原则》</w:t>
      </w:r>
      <w:bookmarkEnd w:id="192"/>
      <w:r>
        <w:rPr>
          <w:rFonts w:hint="eastAsia" w:ascii="宋体" w:hAnsi="Courier New" w:cs="Courier New"/>
          <w:color w:val="auto"/>
          <w:szCs w:val="21"/>
          <w:highlight w:val="none"/>
        </w:rPr>
        <w:t>。</w:t>
      </w:r>
    </w:p>
    <w:p>
      <w:pPr>
        <w:snapToGrid w:val="0"/>
        <w:spacing w:line="410" w:lineRule="exact"/>
        <w:ind w:firstLine="42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评标委员会按评分细则对各投标人的投标文件进行评价打分，由政府采购云平台进行计算。</w:t>
      </w:r>
    </w:p>
    <w:p>
      <w:pPr>
        <w:snapToGrid w:val="0"/>
        <w:spacing w:line="410" w:lineRule="exact"/>
        <w:ind w:firstLine="420"/>
        <w:rPr>
          <w:rFonts w:hint="eastAsia" w:ascii="宋体" w:hAnsi="宋体"/>
          <w:color w:val="auto"/>
          <w:szCs w:val="21"/>
          <w:highlight w:val="none"/>
        </w:rPr>
      </w:pPr>
      <w:bookmarkStart w:id="193" w:name="_Hlk90303998"/>
      <w:r>
        <w:rPr>
          <w:rFonts w:ascii="宋体" w:hAnsi="宋体"/>
          <w:color w:val="auto"/>
          <w:szCs w:val="21"/>
          <w:highlight w:val="none"/>
        </w:rPr>
        <w:t>2.</w:t>
      </w:r>
      <w:r>
        <w:rPr>
          <w:rFonts w:hint="eastAsia" w:ascii="宋体" w:hAnsi="宋体"/>
          <w:color w:val="auto"/>
          <w:szCs w:val="21"/>
          <w:highlight w:val="none"/>
        </w:rPr>
        <w:t>评标委员会</w:t>
      </w:r>
      <w:bookmarkEnd w:id="193"/>
      <w:r>
        <w:rPr>
          <w:rFonts w:hint="eastAsia" w:ascii="宋体" w:hAnsi="宋体"/>
          <w:color w:val="auto"/>
          <w:szCs w:val="21"/>
          <w:highlight w:val="none"/>
        </w:rPr>
        <w:t>完成评标后,由政府采购云平台对各投标人各项得分进行汇总，计算各投标人最终得分。评标委员会按推荐原则推荐中标候选人同时形成评标报告。</w:t>
      </w:r>
      <w:bookmarkStart w:id="194" w:name="_Toc352700436"/>
      <w:bookmarkStart w:id="195" w:name="_Toc353785306"/>
    </w:p>
    <w:p>
      <w:pPr>
        <w:snapToGrid w:val="0"/>
        <w:spacing w:line="410" w:lineRule="exact"/>
        <w:ind w:firstLine="211" w:firstLineChars="100"/>
        <w:rPr>
          <w:rFonts w:ascii="宋体" w:hAnsi="宋体"/>
          <w:b/>
          <w:bCs/>
          <w:color w:val="auto"/>
          <w:szCs w:val="32"/>
          <w:highlight w:val="none"/>
        </w:rPr>
      </w:pPr>
      <w:r>
        <w:rPr>
          <w:rFonts w:hint="eastAsia" w:ascii="宋体" w:hAnsi="宋体"/>
          <w:b/>
          <w:bCs/>
          <w:color w:val="auto"/>
          <w:szCs w:val="32"/>
          <w:highlight w:val="none"/>
        </w:rPr>
        <w:t>（五）澄清问题的形式</w:t>
      </w:r>
      <w:bookmarkEnd w:id="194"/>
      <w:bookmarkEnd w:id="195"/>
    </w:p>
    <w:p>
      <w:pPr>
        <w:spacing w:line="410" w:lineRule="exact"/>
        <w:ind w:firstLine="420"/>
        <w:rPr>
          <w:color w:val="auto"/>
          <w:highlight w:val="none"/>
        </w:rPr>
      </w:pPr>
      <w:bookmarkStart w:id="196" w:name="_Toc353785307"/>
      <w:bookmarkStart w:id="197" w:name="_Toc352700437"/>
      <w:r>
        <w:rPr>
          <w:rFonts w:hint="eastAsia"/>
          <w:color w:val="auto"/>
          <w:highlight w:val="none"/>
        </w:rPr>
        <w:t>对于投标文件中含义不明确、同类问题表述不一致或者有明显文字和计算错误的内容，评标委员会应当以书面形式要求投标人作出必要的</w:t>
      </w:r>
      <w:bookmarkStart w:id="198" w:name="_Hlk92457660"/>
      <w:r>
        <w:rPr>
          <w:rFonts w:hint="eastAsia"/>
          <w:color w:val="auto"/>
          <w:highlight w:val="none"/>
        </w:rPr>
        <w:t>澄清、说明或者补正</w:t>
      </w:r>
      <w:bookmarkEnd w:id="198"/>
      <w:r>
        <w:rPr>
          <w:rFonts w:hint="eastAsia"/>
          <w:color w:val="auto"/>
          <w:highlight w:val="none"/>
        </w:rPr>
        <w:t>。投标人的澄清、说明或者补正应当采用书面形式，并加盖公章，或者由法定代表人或其授权的代表签名。投标人的澄清、说明或者补正不得超出投标文件的范围或者改变投标文件的实质性内容。</w:t>
      </w:r>
    </w:p>
    <w:p>
      <w:pPr>
        <w:spacing w:line="410" w:lineRule="exact"/>
        <w:ind w:firstLine="211" w:firstLineChars="100"/>
        <w:rPr>
          <w:b/>
          <w:bCs/>
          <w:color w:val="auto"/>
          <w:highlight w:val="none"/>
        </w:rPr>
      </w:pPr>
      <w:r>
        <w:rPr>
          <w:rFonts w:hint="eastAsia"/>
          <w:b/>
          <w:bCs/>
          <w:color w:val="auto"/>
          <w:highlight w:val="none"/>
        </w:rPr>
        <w:t>（六）错误修正</w:t>
      </w:r>
      <w:bookmarkEnd w:id="196"/>
      <w:bookmarkEnd w:id="197"/>
    </w:p>
    <w:p>
      <w:pPr>
        <w:snapToGrid w:val="0"/>
        <w:spacing w:line="410" w:lineRule="exact"/>
        <w:ind w:firstLine="420"/>
        <w:rPr>
          <w:rFonts w:hint="eastAsia" w:ascii="宋体" w:hAnsi="宋体" w:cs="Courier New"/>
          <w:color w:val="auto"/>
          <w:szCs w:val="21"/>
          <w:highlight w:val="none"/>
        </w:rPr>
      </w:pPr>
      <w:r>
        <w:rPr>
          <w:rFonts w:hint="eastAsia" w:ascii="宋体" w:hAnsi="宋体" w:cs="Courier New"/>
          <w:color w:val="auto"/>
          <w:szCs w:val="21"/>
          <w:highlight w:val="none"/>
        </w:rPr>
        <w:t>投标文件报价出现前后不一致的，除招标文件另有规定外，按照下列规定修正：</w:t>
      </w:r>
    </w:p>
    <w:p>
      <w:pPr>
        <w:snapToGrid w:val="0"/>
        <w:spacing w:line="410" w:lineRule="exact"/>
        <w:ind w:firstLine="420"/>
        <w:rPr>
          <w:rFonts w:hint="eastAsia" w:ascii="宋体" w:hAnsi="宋体" w:cs="Courier New"/>
          <w:color w:val="auto"/>
          <w:szCs w:val="21"/>
          <w:highlight w:val="none"/>
        </w:rPr>
      </w:pPr>
      <w:r>
        <w:rPr>
          <w:rFonts w:hint="eastAsia" w:ascii="宋体" w:hAnsi="宋体" w:cs="Courier New"/>
          <w:color w:val="auto"/>
          <w:szCs w:val="21"/>
          <w:highlight w:val="none"/>
        </w:rPr>
        <w:t>1</w:t>
      </w:r>
      <w:r>
        <w:rPr>
          <w:rFonts w:ascii="宋体" w:hAnsi="宋体" w:cs="Courier New"/>
          <w:color w:val="auto"/>
          <w:szCs w:val="21"/>
          <w:highlight w:val="none"/>
        </w:rPr>
        <w:t>.</w:t>
      </w:r>
      <w:r>
        <w:rPr>
          <w:rFonts w:hint="eastAsia" w:ascii="宋体" w:hAnsi="宋体" w:cs="Courier New"/>
          <w:color w:val="auto"/>
          <w:szCs w:val="21"/>
          <w:highlight w:val="none"/>
        </w:rPr>
        <w:t>投标文件中开标一览表内容</w:t>
      </w:r>
      <w:bookmarkStart w:id="199" w:name="_Hlk92464203"/>
      <w:r>
        <w:rPr>
          <w:rFonts w:hint="eastAsia" w:ascii="宋体" w:hAnsi="宋体" w:cs="Courier New"/>
          <w:color w:val="auto"/>
          <w:szCs w:val="21"/>
          <w:highlight w:val="none"/>
        </w:rPr>
        <w:t>与投标文件中相应内容不一致的</w:t>
      </w:r>
      <w:bookmarkEnd w:id="199"/>
      <w:r>
        <w:rPr>
          <w:rFonts w:hint="eastAsia" w:ascii="宋体" w:hAnsi="宋体" w:cs="Courier New"/>
          <w:color w:val="auto"/>
          <w:szCs w:val="21"/>
          <w:highlight w:val="none"/>
        </w:rPr>
        <w:t>，以开标一览表为准；</w:t>
      </w:r>
    </w:p>
    <w:p>
      <w:pPr>
        <w:snapToGrid w:val="0"/>
        <w:spacing w:line="410" w:lineRule="exact"/>
        <w:ind w:firstLine="420"/>
        <w:rPr>
          <w:rFonts w:hint="eastAsia" w:ascii="宋体" w:hAnsi="宋体" w:cs="Courier New"/>
          <w:color w:val="auto"/>
          <w:szCs w:val="21"/>
          <w:highlight w:val="none"/>
        </w:rPr>
      </w:pPr>
      <w:r>
        <w:rPr>
          <w:rFonts w:hint="eastAsia" w:ascii="宋体" w:hAnsi="宋体" w:cs="Courier New"/>
          <w:color w:val="auto"/>
          <w:szCs w:val="21"/>
          <w:highlight w:val="none"/>
        </w:rPr>
        <w:t>2</w:t>
      </w:r>
      <w:r>
        <w:rPr>
          <w:rFonts w:ascii="宋体" w:hAnsi="宋体" w:cs="Courier New"/>
          <w:color w:val="auto"/>
          <w:szCs w:val="21"/>
          <w:highlight w:val="none"/>
        </w:rPr>
        <w:t>.</w:t>
      </w:r>
      <w:r>
        <w:rPr>
          <w:rFonts w:hint="eastAsia" w:ascii="宋体" w:hAnsi="宋体" w:cs="Courier New"/>
          <w:color w:val="auto"/>
          <w:szCs w:val="21"/>
          <w:highlight w:val="none"/>
        </w:rPr>
        <w:t>大写金额和小写金额不一致的，以大写金额为准；</w:t>
      </w:r>
    </w:p>
    <w:p>
      <w:pPr>
        <w:snapToGrid w:val="0"/>
        <w:spacing w:line="410" w:lineRule="exact"/>
        <w:ind w:firstLine="420"/>
        <w:rPr>
          <w:rFonts w:hint="eastAsia" w:ascii="宋体" w:hAnsi="宋体" w:cs="Courier New"/>
          <w:color w:val="auto"/>
          <w:szCs w:val="21"/>
          <w:highlight w:val="none"/>
        </w:rPr>
      </w:pPr>
      <w:r>
        <w:rPr>
          <w:rFonts w:hint="eastAsia" w:ascii="宋体" w:hAnsi="宋体" w:cs="Courier New"/>
          <w:color w:val="auto"/>
          <w:szCs w:val="21"/>
          <w:highlight w:val="none"/>
        </w:rPr>
        <w:t>3</w:t>
      </w:r>
      <w:r>
        <w:rPr>
          <w:rFonts w:ascii="宋体" w:hAnsi="宋体" w:cs="Courier New"/>
          <w:color w:val="auto"/>
          <w:szCs w:val="21"/>
          <w:highlight w:val="none"/>
        </w:rPr>
        <w:t>.</w:t>
      </w:r>
      <w:r>
        <w:rPr>
          <w:rFonts w:hint="eastAsia" w:ascii="宋体" w:hAnsi="宋体" w:cs="Courier New"/>
          <w:color w:val="auto"/>
          <w:szCs w:val="21"/>
          <w:highlight w:val="none"/>
        </w:rPr>
        <w:t>单价金额小数点或者百分比有明显错位的，以开标一览表的总价为准，并修改单价；</w:t>
      </w:r>
    </w:p>
    <w:p>
      <w:pPr>
        <w:snapToGrid w:val="0"/>
        <w:spacing w:line="410" w:lineRule="exact"/>
        <w:ind w:firstLine="420"/>
        <w:rPr>
          <w:rFonts w:hint="eastAsia" w:ascii="宋体" w:hAnsi="宋体" w:cs="Courier New"/>
          <w:color w:val="auto"/>
          <w:szCs w:val="21"/>
          <w:highlight w:val="none"/>
        </w:rPr>
      </w:pPr>
      <w:r>
        <w:rPr>
          <w:rFonts w:hint="eastAsia" w:ascii="宋体" w:hAnsi="宋体" w:cs="Courier New"/>
          <w:color w:val="auto"/>
          <w:szCs w:val="21"/>
          <w:highlight w:val="none"/>
        </w:rPr>
        <w:t>4</w:t>
      </w:r>
      <w:r>
        <w:rPr>
          <w:rFonts w:ascii="宋体" w:hAnsi="宋体" w:cs="Courier New"/>
          <w:color w:val="auto"/>
          <w:szCs w:val="21"/>
          <w:highlight w:val="none"/>
        </w:rPr>
        <w:t>.</w:t>
      </w:r>
      <w:r>
        <w:rPr>
          <w:rFonts w:hint="eastAsia" w:ascii="宋体" w:hAnsi="宋体" w:cs="Courier New"/>
          <w:color w:val="auto"/>
          <w:szCs w:val="21"/>
          <w:highlight w:val="none"/>
        </w:rPr>
        <w:t>总价金额与按单价汇总金额不一致的，以单价金额计算结果为准。</w:t>
      </w:r>
    </w:p>
    <w:p>
      <w:pPr>
        <w:snapToGrid w:val="0"/>
        <w:spacing w:line="410" w:lineRule="exact"/>
        <w:ind w:firstLine="420"/>
        <w:rPr>
          <w:rFonts w:hint="eastAsia" w:ascii="宋体" w:hAnsi="宋体" w:cs="Courier New"/>
          <w:color w:val="auto"/>
          <w:szCs w:val="21"/>
          <w:highlight w:val="none"/>
        </w:rPr>
      </w:pPr>
      <w:r>
        <w:rPr>
          <w:rFonts w:hint="eastAsia" w:ascii="宋体" w:hAnsi="宋体" w:cs="Courier New"/>
          <w:color w:val="auto"/>
          <w:szCs w:val="21"/>
          <w:highlight w:val="none"/>
        </w:rPr>
        <w:t>同时出现两种以上不一致的，按照前款规定的顺序修正。修正后的报价按照澄清、说明或者补正的规定经投标人确认后产生约束力，投标人不确认的，其投标无效。</w:t>
      </w:r>
    </w:p>
    <w:bookmarkEnd w:id="174"/>
    <w:bookmarkEnd w:id="175"/>
    <w:p>
      <w:pPr>
        <w:pStyle w:val="27"/>
        <w:spacing w:line="410" w:lineRule="exact"/>
        <w:ind w:firstLine="211" w:firstLineChars="100"/>
        <w:rPr>
          <w:rFonts w:hint="eastAsia" w:hAnsi="宋体"/>
          <w:b/>
          <w:color w:val="auto"/>
          <w:highlight w:val="none"/>
        </w:rPr>
      </w:pPr>
      <w:bookmarkStart w:id="200" w:name="_Toc254970685"/>
      <w:bookmarkStart w:id="201" w:name="_Toc353785299"/>
      <w:bookmarkStart w:id="202" w:name="_Toc352700429"/>
      <w:bookmarkStart w:id="203" w:name="_Toc254970544"/>
      <w:r>
        <w:rPr>
          <w:rFonts w:hint="eastAsia" w:hAnsi="宋体"/>
          <w:b/>
          <w:color w:val="auto"/>
          <w:highlight w:val="none"/>
        </w:rPr>
        <w:t>（七）核心产品相同品牌产品投标、串通投标、恶意串通行为的说明：</w:t>
      </w:r>
    </w:p>
    <w:p>
      <w:pPr>
        <w:spacing w:line="410" w:lineRule="exact"/>
        <w:ind w:firstLine="420"/>
        <w:rPr>
          <w:rFonts w:hint="eastAsia" w:ascii="宋体" w:hAnsi="宋体"/>
          <w:color w:val="auto"/>
          <w:highlight w:val="none"/>
        </w:rPr>
      </w:pPr>
      <w:r>
        <w:rPr>
          <w:rFonts w:ascii="宋体" w:hAnsi="宋体"/>
          <w:color w:val="auto"/>
          <w:highlight w:val="none"/>
        </w:rPr>
        <w:t>1.</w:t>
      </w:r>
      <w:r>
        <w:rPr>
          <w:rFonts w:hint="eastAsia" w:ascii="宋体" w:hAnsi="宋体"/>
          <w:color w:val="auto"/>
          <w:highlight w:val="none"/>
        </w:rPr>
        <w:t>本项目不同投标人提供相同品牌的核心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10" w:lineRule="exact"/>
        <w:ind w:firstLine="420"/>
        <w:rPr>
          <w:rFonts w:hint="eastAsia" w:ascii="宋体" w:hAnsi="宋体"/>
          <w:color w:val="auto"/>
          <w:highlight w:val="none"/>
        </w:rPr>
      </w:pPr>
      <w:r>
        <w:rPr>
          <w:rFonts w:ascii="宋体" w:hAnsi="宋体"/>
          <w:color w:val="auto"/>
          <w:highlight w:val="none"/>
        </w:rPr>
        <w:t>2.</w:t>
      </w:r>
      <w:r>
        <w:rPr>
          <w:rFonts w:hint="eastAsia" w:ascii="宋体" w:hAnsi="宋体"/>
          <w:color w:val="auto"/>
          <w:highlight w:val="none"/>
        </w:rPr>
        <w:t>有下列情形之一的视为供应商相互串通投标，投标文件将被视为无效：</w:t>
      </w:r>
    </w:p>
    <w:p>
      <w:pPr>
        <w:spacing w:line="410" w:lineRule="exact"/>
        <w:ind w:firstLine="420"/>
        <w:rPr>
          <w:rFonts w:hint="eastAsia" w:ascii="宋体" w:hAnsi="宋体" w:eastAsia="宋体"/>
          <w:color w:val="auto"/>
          <w:highlight w:val="none"/>
          <w:lang w:eastAsia="zh-CN"/>
        </w:rPr>
      </w:pPr>
      <w:r>
        <w:rPr>
          <w:rFonts w:hint="eastAsia" w:ascii="宋体" w:hAnsi="宋体"/>
          <w:color w:val="auto"/>
          <w:highlight w:val="none"/>
        </w:rPr>
        <w:t>(</w:t>
      </w:r>
      <w:r>
        <w:rPr>
          <w:rFonts w:ascii="宋体" w:hAnsi="宋体"/>
          <w:color w:val="auto"/>
          <w:highlight w:val="none"/>
        </w:rPr>
        <w:t>1)不同投标人的投标文件由同一单位或者个人编制</w:t>
      </w:r>
      <w:bookmarkStart w:id="204" w:name="OLE_LINK10"/>
      <w:r>
        <w:rPr>
          <w:rFonts w:hint="eastAsia" w:ascii="宋体" w:hAnsi="宋体"/>
          <w:color w:val="auto"/>
          <w:highlight w:val="none"/>
          <w:lang w:eastAsia="zh-CN"/>
        </w:rPr>
        <w:t>；</w:t>
      </w:r>
      <w:r>
        <w:rPr>
          <w:rFonts w:hint="eastAsia" w:ascii="宋体" w:hAnsi="宋体"/>
          <w:color w:val="auto"/>
          <w:highlight w:val="none"/>
        </w:rPr>
        <w:t>或不同投标人报名的IP地址一致的</w:t>
      </w:r>
      <w:r>
        <w:rPr>
          <w:rFonts w:hint="eastAsia" w:ascii="宋体" w:hAnsi="宋体"/>
          <w:color w:val="auto"/>
          <w:highlight w:val="none"/>
          <w:lang w:eastAsia="zh-CN"/>
        </w:rPr>
        <w:t>；</w:t>
      </w:r>
      <w:bookmarkEnd w:id="204"/>
    </w:p>
    <w:p>
      <w:pPr>
        <w:spacing w:line="410" w:lineRule="exact"/>
        <w:ind w:firstLine="420"/>
        <w:rPr>
          <w:rFonts w:ascii="宋体" w:hAnsi="宋体"/>
          <w:color w:val="auto"/>
          <w:highlight w:val="none"/>
        </w:rPr>
      </w:pPr>
      <w:r>
        <w:rPr>
          <w:rFonts w:hint="eastAsia" w:ascii="宋体" w:hAnsi="宋体"/>
          <w:color w:val="auto"/>
          <w:highlight w:val="none"/>
        </w:rPr>
        <w:t>(</w:t>
      </w:r>
      <w:r>
        <w:rPr>
          <w:rFonts w:ascii="宋体" w:hAnsi="宋体"/>
          <w:color w:val="auto"/>
          <w:highlight w:val="none"/>
        </w:rPr>
        <w:t>2)不同投标人委托同一单位或者个人办理投标事宜；</w:t>
      </w:r>
    </w:p>
    <w:p>
      <w:pPr>
        <w:spacing w:line="410" w:lineRule="exact"/>
        <w:ind w:firstLine="420"/>
        <w:rPr>
          <w:rFonts w:ascii="宋体" w:hAnsi="宋体"/>
          <w:color w:val="auto"/>
          <w:highlight w:val="none"/>
        </w:rPr>
      </w:pPr>
      <w:r>
        <w:rPr>
          <w:rFonts w:hint="eastAsia" w:ascii="宋体" w:hAnsi="宋体"/>
          <w:color w:val="auto"/>
          <w:highlight w:val="none"/>
        </w:rPr>
        <w:t>(</w:t>
      </w:r>
      <w:r>
        <w:rPr>
          <w:rFonts w:ascii="宋体" w:hAnsi="宋体"/>
          <w:color w:val="auto"/>
          <w:highlight w:val="none"/>
        </w:rPr>
        <w:t>3)不同投标人的投标文件载明的项目管理成员或者联系人员为同一人；</w:t>
      </w:r>
    </w:p>
    <w:p>
      <w:pPr>
        <w:spacing w:line="410" w:lineRule="exact"/>
        <w:ind w:firstLine="420"/>
        <w:rPr>
          <w:rFonts w:ascii="宋体" w:hAnsi="宋体"/>
          <w:color w:val="auto"/>
          <w:highlight w:val="none"/>
        </w:rPr>
      </w:pPr>
      <w:r>
        <w:rPr>
          <w:rFonts w:hint="eastAsia" w:ascii="宋体" w:hAnsi="宋体"/>
          <w:color w:val="auto"/>
          <w:highlight w:val="none"/>
        </w:rPr>
        <w:t>(</w:t>
      </w:r>
      <w:r>
        <w:rPr>
          <w:rFonts w:ascii="宋体" w:hAnsi="宋体"/>
          <w:color w:val="auto"/>
          <w:highlight w:val="none"/>
        </w:rPr>
        <w:t>4)不同投标人的投标文件异常一致或者投标报价呈规律性差异；</w:t>
      </w:r>
    </w:p>
    <w:p>
      <w:pPr>
        <w:spacing w:line="410" w:lineRule="exact"/>
        <w:ind w:firstLine="420"/>
        <w:rPr>
          <w:rFonts w:ascii="宋体" w:hAnsi="宋体"/>
          <w:color w:val="auto"/>
          <w:highlight w:val="none"/>
        </w:rPr>
      </w:pPr>
      <w:r>
        <w:rPr>
          <w:rFonts w:hint="eastAsia" w:ascii="宋体" w:hAnsi="宋体"/>
          <w:color w:val="auto"/>
          <w:highlight w:val="none"/>
        </w:rPr>
        <w:t>(</w:t>
      </w:r>
      <w:r>
        <w:rPr>
          <w:rFonts w:ascii="宋体" w:hAnsi="宋体"/>
          <w:color w:val="auto"/>
          <w:highlight w:val="none"/>
        </w:rPr>
        <w:t>5)不同投标人的投标文件相互混装；</w:t>
      </w:r>
    </w:p>
    <w:p>
      <w:pPr>
        <w:spacing w:line="410" w:lineRule="exact"/>
        <w:ind w:firstLine="420"/>
        <w:rPr>
          <w:rFonts w:hint="eastAsia" w:ascii="宋体" w:hAnsi="宋体"/>
          <w:color w:val="auto"/>
          <w:highlight w:val="none"/>
        </w:rPr>
      </w:pPr>
      <w:r>
        <w:rPr>
          <w:rFonts w:ascii="宋体" w:hAnsi="宋体"/>
          <w:color w:val="auto"/>
          <w:highlight w:val="none"/>
        </w:rPr>
        <w:t>3.</w:t>
      </w:r>
      <w:r>
        <w:rPr>
          <w:rFonts w:hint="eastAsia" w:ascii="宋体" w:hAnsi="宋体"/>
          <w:color w:val="auto"/>
          <w:highlight w:val="none"/>
        </w:rPr>
        <w:t>供应商有下列情形之一的，属于</w:t>
      </w:r>
      <w:bookmarkStart w:id="205" w:name="_Hlk90304995"/>
      <w:r>
        <w:rPr>
          <w:rFonts w:hint="eastAsia" w:ascii="宋体" w:hAnsi="宋体"/>
          <w:color w:val="auto"/>
          <w:highlight w:val="none"/>
        </w:rPr>
        <w:t>恶意串通</w:t>
      </w:r>
      <w:bookmarkEnd w:id="205"/>
      <w:r>
        <w:rPr>
          <w:rFonts w:hint="eastAsia" w:ascii="宋体" w:hAnsi="宋体"/>
          <w:color w:val="auto"/>
          <w:highlight w:val="none"/>
        </w:rPr>
        <w:t>：</w:t>
      </w:r>
    </w:p>
    <w:p>
      <w:pPr>
        <w:spacing w:line="410" w:lineRule="exact"/>
        <w:ind w:firstLine="420"/>
        <w:rPr>
          <w:rFonts w:hint="eastAsia" w:ascii="宋体" w:hAns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供应商直接或者间接从采购人或者采购代理机构处获得其他供应商的相关信息并修改其投标文件：</w:t>
      </w:r>
    </w:p>
    <w:p>
      <w:pPr>
        <w:spacing w:line="410" w:lineRule="exact"/>
        <w:ind w:firstLine="420"/>
        <w:rPr>
          <w:rFonts w:hint="eastAsia" w:ascii="宋体" w:hAns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供应商按照采购人或者采购代理机构的授意撤换、修改投标文件；</w:t>
      </w:r>
    </w:p>
    <w:p>
      <w:pPr>
        <w:spacing w:line="410" w:lineRule="exact"/>
        <w:ind w:firstLine="0" w:firstLineChars="0"/>
        <w:rPr>
          <w:rFonts w:hint="eastAsia" w:ascii="宋体" w:hAnsi="宋体"/>
          <w:color w:val="auto"/>
          <w:highlight w:val="none"/>
        </w:rPr>
      </w:pPr>
      <w:r>
        <w:rPr>
          <w:rFonts w:ascii="宋体" w:hAnsi="宋体"/>
          <w:color w:val="auto"/>
          <w:highlight w:val="none"/>
        </w:rPr>
        <w:tab/>
      </w: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供应商之间协商报价、技术方案等投标文件的实质性内容；</w:t>
      </w:r>
    </w:p>
    <w:p>
      <w:pPr>
        <w:spacing w:line="410" w:lineRule="exact"/>
        <w:ind w:firstLine="420"/>
        <w:rPr>
          <w:rFonts w:hint="eastAsia" w:ascii="宋体" w:hAns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属于同一集团、协会、商会等组织成员的供应商按照该组织要求协同参加政府采购活动；</w:t>
      </w:r>
    </w:p>
    <w:p>
      <w:pPr>
        <w:spacing w:line="410" w:lineRule="exact"/>
        <w:ind w:firstLine="420"/>
        <w:rPr>
          <w:rFonts w:hint="eastAsia" w:ascii="宋体" w:hAns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供应商之间事先约定一致抬高或者压低报价，或者在采购项目中事先约定轮流以高价位或者低价位成交，或者事先约定由某一特定供应商成交，然后再参加投标；</w:t>
      </w:r>
    </w:p>
    <w:p>
      <w:pPr>
        <w:spacing w:line="410" w:lineRule="exact"/>
        <w:ind w:firstLine="420"/>
        <w:rPr>
          <w:rFonts w:hint="eastAsia" w:ascii="宋体" w:hAnsi="宋体"/>
          <w:color w:val="auto"/>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供应商之间商定部分供应商放弃参加政府采购活动或者放弃成交；</w:t>
      </w:r>
    </w:p>
    <w:p>
      <w:pPr>
        <w:spacing w:line="410" w:lineRule="exact"/>
        <w:ind w:firstLine="420"/>
        <w:rPr>
          <w:rFonts w:hint="eastAsia" w:ascii="宋体" w:hAnsi="宋体"/>
          <w:color w:val="auto"/>
          <w:highlight w:val="none"/>
        </w:rPr>
      </w:pPr>
      <w:r>
        <w:rPr>
          <w:rFonts w:hint="eastAsia" w:ascii="宋体" w:hAnsi="宋体"/>
          <w:color w:val="auto"/>
          <w:highlight w:val="none"/>
        </w:rPr>
        <w:t>(</w:t>
      </w:r>
      <w:r>
        <w:rPr>
          <w:rFonts w:ascii="宋体" w:hAnsi="宋体"/>
          <w:color w:val="auto"/>
          <w:highlight w:val="none"/>
        </w:rPr>
        <w:t>7)</w:t>
      </w:r>
      <w:r>
        <w:rPr>
          <w:rFonts w:hint="eastAsia" w:ascii="宋体" w:hAnsi="宋体"/>
          <w:color w:val="auto"/>
          <w:highlight w:val="none"/>
        </w:rPr>
        <w:t>供应商与采购人或者采购代理机构之间、供应商相互之间，为谋求特定供应商成交或者排斥其他供应商的其他串通行为。</w:t>
      </w:r>
    </w:p>
    <w:p>
      <w:pPr>
        <w:pStyle w:val="27"/>
        <w:spacing w:line="410" w:lineRule="exact"/>
        <w:ind w:firstLine="211" w:firstLineChars="100"/>
        <w:rPr>
          <w:rFonts w:hAnsi="宋体"/>
          <w:b/>
          <w:color w:val="auto"/>
          <w:highlight w:val="none"/>
        </w:rPr>
      </w:pPr>
      <w:r>
        <w:rPr>
          <w:rFonts w:hint="eastAsia" w:hAnsi="宋体"/>
          <w:b/>
          <w:color w:val="auto"/>
          <w:highlight w:val="none"/>
        </w:rPr>
        <w:t>（八）废标</w:t>
      </w:r>
    </w:p>
    <w:p>
      <w:pPr>
        <w:pStyle w:val="27"/>
        <w:spacing w:line="410" w:lineRule="exact"/>
        <w:ind w:firstLine="420"/>
        <w:rPr>
          <w:rFonts w:hAnsi="宋体"/>
          <w:color w:val="auto"/>
          <w:highlight w:val="none"/>
        </w:rPr>
      </w:pPr>
      <w:r>
        <w:rPr>
          <w:rFonts w:hAnsi="宋体"/>
          <w:color w:val="auto"/>
          <w:highlight w:val="none"/>
        </w:rPr>
        <w:t>出现下列情形之一的，应予废标：</w:t>
      </w:r>
    </w:p>
    <w:p>
      <w:pPr>
        <w:pStyle w:val="27"/>
        <w:spacing w:line="410" w:lineRule="exact"/>
        <w:ind w:firstLine="420"/>
        <w:rPr>
          <w:rFonts w:hAnsi="宋体"/>
          <w:color w:val="auto"/>
          <w:highlight w:val="none"/>
        </w:rPr>
      </w:pPr>
      <w:r>
        <w:rPr>
          <w:rFonts w:hint="eastAsia" w:hAnsi="宋体"/>
          <w:color w:val="auto"/>
          <w:highlight w:val="none"/>
        </w:rPr>
        <w:t>1</w:t>
      </w:r>
      <w:r>
        <w:rPr>
          <w:rFonts w:hAnsi="宋体"/>
          <w:color w:val="auto"/>
          <w:highlight w:val="none"/>
        </w:rPr>
        <w:t>.符合专业条件的供应商或者对招标文件作实质响应的供应商不足三家的；</w:t>
      </w:r>
    </w:p>
    <w:p>
      <w:pPr>
        <w:pStyle w:val="27"/>
        <w:spacing w:line="410" w:lineRule="exact"/>
        <w:ind w:firstLine="420"/>
        <w:rPr>
          <w:rFonts w:hAnsi="宋体"/>
          <w:color w:val="auto"/>
          <w:highlight w:val="none"/>
        </w:rPr>
      </w:pPr>
      <w:r>
        <w:rPr>
          <w:rFonts w:hint="eastAsia" w:hAnsi="宋体"/>
          <w:color w:val="auto"/>
          <w:highlight w:val="none"/>
        </w:rPr>
        <w:t>2</w:t>
      </w:r>
      <w:r>
        <w:rPr>
          <w:rFonts w:hAnsi="宋体"/>
          <w:color w:val="auto"/>
          <w:highlight w:val="none"/>
        </w:rPr>
        <w:t>.出现影响采购公正的违法、违规行为的；</w:t>
      </w:r>
    </w:p>
    <w:p>
      <w:pPr>
        <w:pStyle w:val="27"/>
        <w:spacing w:line="410" w:lineRule="exact"/>
        <w:ind w:firstLine="420"/>
        <w:rPr>
          <w:rFonts w:hAnsi="宋体"/>
          <w:color w:val="auto"/>
          <w:highlight w:val="none"/>
        </w:rPr>
      </w:pPr>
      <w:r>
        <w:rPr>
          <w:rFonts w:hint="eastAsia" w:hAnsi="宋体"/>
          <w:color w:val="auto"/>
          <w:highlight w:val="none"/>
        </w:rPr>
        <w:t>3</w:t>
      </w:r>
      <w:r>
        <w:rPr>
          <w:rFonts w:hAnsi="宋体"/>
          <w:color w:val="auto"/>
          <w:highlight w:val="none"/>
        </w:rPr>
        <w:t>.投标人的报价均超过了采购预算，采购人不能支付的；</w:t>
      </w:r>
    </w:p>
    <w:p>
      <w:pPr>
        <w:pStyle w:val="27"/>
        <w:spacing w:line="410" w:lineRule="exact"/>
        <w:ind w:firstLine="420"/>
        <w:rPr>
          <w:rFonts w:hAnsi="宋体"/>
          <w:color w:val="auto"/>
          <w:highlight w:val="none"/>
        </w:rPr>
      </w:pPr>
      <w:r>
        <w:rPr>
          <w:rFonts w:hint="eastAsia" w:hAnsi="宋体"/>
          <w:color w:val="auto"/>
          <w:highlight w:val="none"/>
        </w:rPr>
        <w:t>4</w:t>
      </w:r>
      <w:r>
        <w:rPr>
          <w:rFonts w:hAnsi="宋体"/>
          <w:color w:val="auto"/>
          <w:highlight w:val="none"/>
        </w:rPr>
        <w:t>.因重大变故，采购任务取消的。</w:t>
      </w:r>
      <w:bookmarkEnd w:id="200"/>
      <w:bookmarkEnd w:id="201"/>
      <w:bookmarkEnd w:id="202"/>
      <w:bookmarkEnd w:id="203"/>
    </w:p>
    <w:p>
      <w:pPr>
        <w:spacing w:line="410" w:lineRule="exact"/>
        <w:ind w:firstLine="211" w:firstLineChars="100"/>
        <w:rPr>
          <w:b/>
          <w:bCs/>
          <w:color w:val="auto"/>
          <w:highlight w:val="none"/>
        </w:rPr>
      </w:pPr>
      <w:bookmarkStart w:id="206" w:name="_Toc352700439"/>
      <w:bookmarkStart w:id="207" w:name="_Toc353785309"/>
      <w:r>
        <w:rPr>
          <w:rFonts w:hint="eastAsia"/>
          <w:b/>
          <w:bCs/>
          <w:color w:val="auto"/>
          <w:highlight w:val="none"/>
        </w:rPr>
        <w:t>（</w:t>
      </w:r>
      <w:r>
        <w:rPr>
          <w:rFonts w:hint="eastAsia" w:hAnsi="宋体"/>
          <w:b/>
          <w:color w:val="auto"/>
          <w:highlight w:val="none"/>
        </w:rPr>
        <w:t>九</w:t>
      </w:r>
      <w:r>
        <w:rPr>
          <w:rFonts w:hint="eastAsia"/>
          <w:b/>
          <w:bCs/>
          <w:color w:val="auto"/>
          <w:highlight w:val="none"/>
        </w:rPr>
        <w:t>）评标过程的监控</w:t>
      </w:r>
      <w:bookmarkEnd w:id="206"/>
      <w:bookmarkEnd w:id="207"/>
    </w:p>
    <w:p>
      <w:pPr>
        <w:snapToGrid w:val="0"/>
        <w:spacing w:line="410" w:lineRule="exact"/>
        <w:ind w:firstLine="420"/>
        <w:rPr>
          <w:rFonts w:hAnsi="宋体"/>
          <w:color w:val="auto"/>
          <w:highlight w:val="none"/>
        </w:rPr>
      </w:pPr>
      <w:r>
        <w:rPr>
          <w:rFonts w:hint="eastAsia" w:hAnsi="宋体"/>
          <w:color w:val="auto"/>
          <w:highlight w:val="none"/>
        </w:rPr>
        <w:t>本项目评标过程实行全程录音、录像监控，投标人在评标过程中所进行的试图影响评标结果的不公正活动，可能导致其投标无效。</w:t>
      </w:r>
    </w:p>
    <w:p>
      <w:pPr>
        <w:snapToGrid w:val="0"/>
        <w:spacing w:line="410" w:lineRule="exact"/>
        <w:ind w:firstLine="420"/>
        <w:rPr>
          <w:rFonts w:hint="eastAsia" w:ascii="宋体" w:hAnsi="宋体"/>
          <w:color w:val="auto"/>
          <w:szCs w:val="21"/>
          <w:highlight w:val="none"/>
        </w:rPr>
      </w:pPr>
    </w:p>
    <w:p>
      <w:pPr>
        <w:pStyle w:val="6"/>
        <w:spacing w:before="0" w:after="0" w:line="410" w:lineRule="exact"/>
        <w:ind w:firstLine="0" w:firstLineChars="0"/>
        <w:rPr>
          <w:rFonts w:ascii="方正小标宋_GBK" w:eastAsia="方正小标宋_GBK"/>
          <w:b w:val="0"/>
          <w:color w:val="auto"/>
          <w:sz w:val="24"/>
          <w:szCs w:val="24"/>
          <w:highlight w:val="none"/>
        </w:rPr>
      </w:pPr>
      <w:bookmarkStart w:id="208" w:name="_Toc254970687"/>
      <w:bookmarkStart w:id="209" w:name="_Toc254970546"/>
      <w:bookmarkStart w:id="210" w:name="_Toc353785310"/>
      <w:bookmarkStart w:id="211" w:name="_Toc352700440"/>
      <w:r>
        <w:rPr>
          <w:rFonts w:hint="eastAsia" w:ascii="方正小标宋_GBK" w:eastAsia="方正小标宋_GBK"/>
          <w:b w:val="0"/>
          <w:color w:val="auto"/>
          <w:sz w:val="24"/>
          <w:szCs w:val="24"/>
          <w:highlight w:val="none"/>
        </w:rPr>
        <w:t>六、评标结果</w:t>
      </w:r>
      <w:bookmarkEnd w:id="208"/>
      <w:bookmarkEnd w:id="209"/>
      <w:bookmarkEnd w:id="210"/>
      <w:bookmarkEnd w:id="211"/>
    </w:p>
    <w:p>
      <w:pPr>
        <w:pStyle w:val="27"/>
        <w:spacing w:line="410" w:lineRule="exact"/>
        <w:ind w:firstLine="210" w:firstLineChars="100"/>
        <w:rPr>
          <w:rFonts w:hAnsi="宋体"/>
          <w:color w:val="auto"/>
          <w:highlight w:val="none"/>
        </w:rPr>
      </w:pPr>
      <w:r>
        <w:rPr>
          <w:rFonts w:hint="eastAsia" w:hAnsi="宋体"/>
          <w:bCs/>
          <w:color w:val="auto"/>
          <w:highlight w:val="none"/>
        </w:rPr>
        <w:t>（一）</w:t>
      </w:r>
      <w:r>
        <w:rPr>
          <w:rFonts w:hint="eastAsia" w:hAnsi="宋体"/>
          <w:color w:val="auto"/>
          <w:highlight w:val="none"/>
        </w:rPr>
        <w:t>本中心将在评标结束后2个工作日内将评标报告</w:t>
      </w:r>
      <w:r>
        <w:rPr>
          <w:rFonts w:hint="eastAsia" w:hAnsi="宋体"/>
          <w:color w:val="auto"/>
          <w:highlight w:val="none"/>
          <w:lang w:eastAsia="zh-CN"/>
        </w:rPr>
        <w:t>送达</w:t>
      </w:r>
      <w:r>
        <w:rPr>
          <w:rFonts w:hint="eastAsia" w:hAnsi="宋体"/>
          <w:color w:val="auto"/>
          <w:highlight w:val="none"/>
        </w:rPr>
        <w:t>采购人，采购人在5个工作日内按照评标报告中推荐的中标候选供应商顺序确定中标人。中标候选人并列的，由采购人或者采购人委托评标委员会按照招标文件规定的方式确定中标人；招标文件未规定的，采取随机抽取的方式确定。采购人也可以授权评标委员会直接确定中标人。</w:t>
      </w:r>
    </w:p>
    <w:p>
      <w:pPr>
        <w:snapToGrid w:val="0"/>
        <w:spacing w:line="410" w:lineRule="exact"/>
        <w:ind w:firstLine="210" w:firstLineChars="100"/>
        <w:rPr>
          <w:rFonts w:ascii="宋体" w:hAnsi="宋体"/>
          <w:color w:val="auto"/>
          <w:highlight w:val="none"/>
        </w:rPr>
      </w:pPr>
      <w:r>
        <w:rPr>
          <w:rFonts w:hint="eastAsia"/>
          <w:color w:val="auto"/>
          <w:highlight w:val="none"/>
        </w:rPr>
        <w:t>（二）中标人确定后，本中心</w:t>
      </w:r>
      <w:r>
        <w:rPr>
          <w:rFonts w:hint="eastAsia" w:ascii="宋体" w:hAnsi="宋体"/>
          <w:color w:val="auto"/>
          <w:highlight w:val="none"/>
        </w:rPr>
        <w:t>在省级以上财政部门指定的媒体上公告中标结果，</w:t>
      </w:r>
      <w:r>
        <w:rPr>
          <w:rFonts w:hint="eastAsia" w:hAnsi="宋体"/>
          <w:color w:val="auto"/>
          <w:highlight w:val="none"/>
        </w:rPr>
        <w:t>同时向中标人发出中标通知书</w:t>
      </w:r>
      <w:r>
        <w:rPr>
          <w:rFonts w:hint="eastAsia" w:ascii="宋体" w:hAnsi="宋体"/>
          <w:color w:val="auto"/>
          <w:highlight w:val="none"/>
        </w:rPr>
        <w:t>。</w:t>
      </w:r>
    </w:p>
    <w:p>
      <w:pPr>
        <w:pStyle w:val="27"/>
        <w:spacing w:line="410" w:lineRule="exact"/>
        <w:ind w:firstLine="210" w:firstLineChars="100"/>
        <w:rPr>
          <w:rFonts w:hint="eastAsia" w:hAnsi="宋体"/>
          <w:color w:val="auto"/>
          <w:highlight w:val="none"/>
        </w:rPr>
      </w:pPr>
      <w:r>
        <w:rPr>
          <w:rFonts w:hint="eastAsia" w:hAnsi="宋体"/>
          <w:color w:val="auto"/>
          <w:highlight w:val="none"/>
        </w:rPr>
        <w:t>（三）</w:t>
      </w:r>
      <w:bookmarkStart w:id="212" w:name="_Toc353785311"/>
      <w:bookmarkStart w:id="213" w:name="_Toc352700441"/>
      <w:r>
        <w:rPr>
          <w:rFonts w:hint="eastAsia" w:hAnsi="宋体"/>
          <w:color w:val="auto"/>
          <w:highlight w:val="none"/>
        </w:rPr>
        <w:t>中标通知书发出后，采购人不得违法改变中标结果，中标人无正当理由不得放弃中标。</w:t>
      </w:r>
    </w:p>
    <w:p>
      <w:pPr>
        <w:pStyle w:val="27"/>
        <w:spacing w:line="410" w:lineRule="exact"/>
        <w:ind w:firstLine="210" w:firstLineChars="100"/>
        <w:rPr>
          <w:rFonts w:hint="eastAsia" w:hAnsi="宋体"/>
          <w:color w:val="auto"/>
          <w:highlight w:val="none"/>
        </w:rPr>
      </w:pPr>
    </w:p>
    <w:p>
      <w:pPr>
        <w:pStyle w:val="6"/>
        <w:spacing w:before="0" w:after="0" w:line="410" w:lineRule="exact"/>
        <w:ind w:firstLine="0" w:firstLineChars="0"/>
        <w:rPr>
          <w:rFonts w:ascii="方正小标宋_GBK" w:eastAsia="方正小标宋_GBK"/>
          <w:b w:val="0"/>
          <w:color w:val="auto"/>
          <w:sz w:val="24"/>
          <w:szCs w:val="24"/>
          <w:highlight w:val="none"/>
        </w:rPr>
      </w:pPr>
      <w:r>
        <w:rPr>
          <w:rFonts w:hint="eastAsia" w:ascii="方正小标宋_GBK" w:eastAsia="方正小标宋_GBK"/>
          <w:b w:val="0"/>
          <w:color w:val="auto"/>
          <w:sz w:val="24"/>
          <w:szCs w:val="24"/>
          <w:highlight w:val="none"/>
        </w:rPr>
        <w:t>七、签订合同</w:t>
      </w:r>
      <w:bookmarkEnd w:id="212"/>
      <w:bookmarkEnd w:id="213"/>
    </w:p>
    <w:p>
      <w:pPr>
        <w:pStyle w:val="27"/>
        <w:spacing w:line="410" w:lineRule="exact"/>
        <w:ind w:firstLine="210" w:firstLineChars="100"/>
        <w:rPr>
          <w:rFonts w:hAnsi="宋体"/>
          <w:color w:val="auto"/>
          <w:highlight w:val="none"/>
        </w:rPr>
      </w:pPr>
      <w:r>
        <w:rPr>
          <w:rFonts w:hint="eastAsia" w:hAnsi="宋体" w:cs="Times New Roman"/>
          <w:color w:val="auto"/>
          <w:szCs w:val="32"/>
          <w:highlight w:val="none"/>
        </w:rPr>
        <w:t>（一）</w:t>
      </w:r>
      <w:r>
        <w:rPr>
          <w:rFonts w:hint="eastAsia" w:hAnsi="宋体"/>
          <w:color w:val="auto"/>
          <w:highlight w:val="none"/>
        </w:rPr>
        <w:t>采购人应当自中标通知书发出之日起15日内，按照招标文件和中标人投标文件的规定，与中标人签订书面合同。所签订的合同不得对招标文件确定的事项和中标人投标文件作实质性修改。</w:t>
      </w:r>
    </w:p>
    <w:p>
      <w:pPr>
        <w:pStyle w:val="27"/>
        <w:spacing w:line="410" w:lineRule="exact"/>
        <w:ind w:firstLine="210" w:firstLineChars="100"/>
        <w:rPr>
          <w:rFonts w:hAnsi="宋体"/>
          <w:color w:val="auto"/>
          <w:highlight w:val="none"/>
        </w:rPr>
      </w:pPr>
      <w:r>
        <w:rPr>
          <w:rFonts w:hint="eastAsia" w:hAnsi="宋体"/>
          <w:color w:val="auto"/>
          <w:highlight w:val="none"/>
        </w:rPr>
        <w:t>（二）中标通知书对采购人和中标人均具有法律效力。中标通知书发出后，采购人改变中标结果的，或者中标人放弃中标项目的，应当依法承担法律责任。</w:t>
      </w:r>
    </w:p>
    <w:p>
      <w:pPr>
        <w:pStyle w:val="27"/>
        <w:spacing w:line="410" w:lineRule="exact"/>
        <w:ind w:firstLine="210" w:firstLineChars="100"/>
        <w:rPr>
          <w:rFonts w:hAnsi="宋体"/>
          <w:color w:val="auto"/>
          <w:highlight w:val="none"/>
        </w:rPr>
      </w:pPr>
      <w:r>
        <w:rPr>
          <w:rFonts w:hint="eastAsia" w:hAnsi="宋体"/>
          <w:color w:val="auto"/>
          <w:highlight w:val="none"/>
        </w:rPr>
        <w:t>（三）</w:t>
      </w:r>
      <w:r>
        <w:rPr>
          <w:rFonts w:hint="eastAsia" w:hAnsi="宋体" w:cs="宋体"/>
          <w:color w:val="auto"/>
          <w:kern w:val="0"/>
          <w:highlight w:val="none"/>
        </w:rPr>
        <w:t>中标人可凭成交通知书或政府采购合同等在内的相关材料、信息，通过中征应收账款融资服务平台向银行业金融机构在线申请</w:t>
      </w:r>
      <w:r>
        <w:rPr>
          <w:rFonts w:hAnsi="宋体" w:cs="宋体"/>
          <w:color w:val="auto"/>
          <w:kern w:val="0"/>
          <w:highlight w:val="none"/>
        </w:rPr>
        <w:t>“</w:t>
      </w:r>
      <w:r>
        <w:rPr>
          <w:rFonts w:hint="eastAsia" w:hAnsi="宋体" w:cs="宋体"/>
          <w:color w:val="auto"/>
          <w:kern w:val="0"/>
          <w:highlight w:val="none"/>
        </w:rPr>
        <w:t>政采贷”融资。</w:t>
      </w:r>
    </w:p>
    <w:p>
      <w:pPr>
        <w:pStyle w:val="27"/>
        <w:spacing w:line="410" w:lineRule="exact"/>
        <w:ind w:firstLine="210" w:firstLineChars="100"/>
        <w:rPr>
          <w:rFonts w:hAnsi="宋体"/>
          <w:color w:val="auto"/>
          <w:highlight w:val="none"/>
        </w:rPr>
      </w:pPr>
      <w:r>
        <w:rPr>
          <w:rFonts w:hint="eastAsia" w:hAnsi="宋体"/>
          <w:color w:val="auto"/>
          <w:highlight w:val="none"/>
        </w:rPr>
        <w:t>（四）中标人拒绝与采购人签订合同的，采购人可以按照评标报告推荐的中标候选人名单排序，确定下一候选人为中标人，也可以重新开展政府采购活动。</w:t>
      </w:r>
    </w:p>
    <w:p>
      <w:pPr>
        <w:pStyle w:val="27"/>
        <w:spacing w:line="410" w:lineRule="exact"/>
        <w:ind w:firstLine="210" w:firstLineChars="100"/>
        <w:rPr>
          <w:rFonts w:hint="eastAsia" w:hAnsi="宋体"/>
          <w:color w:val="auto"/>
          <w:highlight w:val="none"/>
        </w:rPr>
      </w:pPr>
      <w:r>
        <w:rPr>
          <w:rFonts w:hint="eastAsia" w:hAnsi="宋体"/>
          <w:color w:val="auto"/>
          <w:highlight w:val="none"/>
        </w:rPr>
        <w:t>（五）采购人与中标人应当根据合同的约定依法履行合同义务。政府采购合同的履行、违约责任和解决争议的方法等适用《中华人民共和国民法典》。</w:t>
      </w:r>
    </w:p>
    <w:p>
      <w:pPr>
        <w:pStyle w:val="27"/>
        <w:spacing w:line="410" w:lineRule="exact"/>
        <w:ind w:firstLine="0" w:firstLineChars="0"/>
        <w:rPr>
          <w:rFonts w:hint="eastAsia" w:hAnsi="宋体"/>
          <w:color w:val="auto"/>
          <w:highlight w:val="none"/>
        </w:rPr>
      </w:pPr>
    </w:p>
    <w:p>
      <w:pPr>
        <w:spacing w:line="410" w:lineRule="exact"/>
        <w:ind w:firstLine="0" w:firstLineChars="0"/>
        <w:rPr>
          <w:rFonts w:ascii="方正小标宋_GBK" w:eastAsia="方正小标宋_GBK"/>
          <w:b/>
          <w:color w:val="auto"/>
          <w:sz w:val="24"/>
          <w:highlight w:val="none"/>
        </w:rPr>
      </w:pPr>
      <w:bookmarkStart w:id="214" w:name="_Toc352315998"/>
      <w:bookmarkStart w:id="215" w:name="_Toc352700445"/>
      <w:bookmarkStart w:id="216" w:name="_Toc353785315"/>
      <w:r>
        <w:rPr>
          <w:rFonts w:hint="eastAsia" w:ascii="方正小标宋_GBK" w:eastAsia="方正小标宋_GBK"/>
          <w:b/>
          <w:color w:val="auto"/>
          <w:sz w:val="24"/>
          <w:highlight w:val="none"/>
        </w:rPr>
        <w:t>八、适用法律</w:t>
      </w:r>
    </w:p>
    <w:p>
      <w:pPr>
        <w:spacing w:line="410" w:lineRule="exact"/>
        <w:ind w:firstLine="210" w:firstLineChars="100"/>
        <w:rPr>
          <w:rFonts w:ascii="宋体" w:hAnsi="宋体"/>
          <w:color w:val="auto"/>
          <w:szCs w:val="21"/>
          <w:highlight w:val="none"/>
        </w:rPr>
      </w:pPr>
      <w:r>
        <w:rPr>
          <w:rFonts w:hint="eastAsia" w:ascii="宋体" w:hAnsi="宋体"/>
          <w:color w:val="auto"/>
          <w:szCs w:val="21"/>
          <w:highlight w:val="none"/>
        </w:rPr>
        <w:t>本项目采购活动适用于《中华人民共和国政府采购法》及其实施条例、《政府采购货物和服务招标投标管理办法》等规定。</w:t>
      </w:r>
    </w:p>
    <w:p>
      <w:pPr>
        <w:spacing w:line="410" w:lineRule="exact"/>
        <w:ind w:firstLine="0" w:firstLineChars="0"/>
        <w:rPr>
          <w:rFonts w:hint="eastAsia" w:ascii="宋体" w:hAnsi="宋体"/>
          <w:color w:val="auto"/>
          <w:szCs w:val="21"/>
          <w:highlight w:val="none"/>
        </w:rPr>
      </w:pPr>
    </w:p>
    <w:p>
      <w:pPr>
        <w:pStyle w:val="6"/>
        <w:spacing w:before="0" w:after="0" w:line="410" w:lineRule="exact"/>
        <w:ind w:firstLine="0" w:firstLineChars="0"/>
        <w:rPr>
          <w:rFonts w:ascii="方正小标宋_GBK" w:eastAsia="方正小标宋_GBK"/>
          <w:b w:val="0"/>
          <w:color w:val="auto"/>
          <w:sz w:val="24"/>
          <w:szCs w:val="24"/>
          <w:highlight w:val="none"/>
        </w:rPr>
      </w:pPr>
      <w:bookmarkStart w:id="217" w:name="_九、其他事项"/>
      <w:bookmarkEnd w:id="217"/>
      <w:r>
        <w:rPr>
          <w:rFonts w:hint="eastAsia" w:ascii="方正小标宋_GBK" w:eastAsia="方正小标宋_GBK"/>
          <w:b w:val="0"/>
          <w:color w:val="auto"/>
          <w:sz w:val="24"/>
          <w:szCs w:val="24"/>
          <w:highlight w:val="none"/>
        </w:rPr>
        <w:t>九、其他事项</w:t>
      </w:r>
      <w:bookmarkEnd w:id="214"/>
      <w:bookmarkEnd w:id="215"/>
      <w:bookmarkEnd w:id="216"/>
    </w:p>
    <w:p>
      <w:pPr>
        <w:pStyle w:val="27"/>
        <w:spacing w:line="410" w:lineRule="exact"/>
        <w:ind w:firstLine="210" w:firstLineChars="100"/>
        <w:rPr>
          <w:rFonts w:hAnsi="宋体"/>
          <w:bCs/>
          <w:color w:val="auto"/>
          <w:highlight w:val="none"/>
        </w:rPr>
      </w:pPr>
      <w:r>
        <w:rPr>
          <w:rFonts w:hint="eastAsia" w:hAnsi="宋体"/>
          <w:bCs/>
          <w:color w:val="auto"/>
          <w:highlight w:val="none"/>
        </w:rPr>
        <w:t>（一）代理服务费</w:t>
      </w:r>
    </w:p>
    <w:p>
      <w:pPr>
        <w:pStyle w:val="27"/>
        <w:spacing w:line="410" w:lineRule="exact"/>
        <w:ind w:firstLine="420"/>
        <w:rPr>
          <w:rFonts w:hAnsi="宋体"/>
          <w:color w:val="auto"/>
          <w:highlight w:val="none"/>
        </w:rPr>
      </w:pPr>
      <w:r>
        <w:rPr>
          <w:rFonts w:hAnsi="宋体"/>
          <w:color w:val="auto"/>
          <w:highlight w:val="none"/>
        </w:rPr>
        <w:t>1.</w:t>
      </w:r>
      <w:bookmarkStart w:id="218" w:name="_Hlk92466646"/>
      <w:r>
        <w:rPr>
          <w:rFonts w:hint="eastAsia" w:hAnsi="宋体"/>
          <w:color w:val="auto"/>
          <w:highlight w:val="none"/>
        </w:rPr>
        <w:t>本中心按钦州市物价局“钦市价费﹝2013﹞4号”文件规定向中标人收取代理服务费，中标人须向本中心一次付清代理服务费。</w:t>
      </w:r>
      <w:bookmarkEnd w:id="218"/>
    </w:p>
    <w:p>
      <w:pPr>
        <w:pStyle w:val="27"/>
        <w:spacing w:line="410" w:lineRule="exact"/>
        <w:ind w:firstLine="420"/>
        <w:rPr>
          <w:rFonts w:hAnsi="宋体"/>
          <w:bCs/>
          <w:color w:val="auto"/>
          <w:highlight w:val="none"/>
        </w:rPr>
      </w:pPr>
      <w:r>
        <w:rPr>
          <w:rFonts w:hAnsi="宋体"/>
          <w:bCs/>
          <w:color w:val="auto"/>
          <w:highlight w:val="none"/>
        </w:rPr>
        <w:t>2.</w:t>
      </w:r>
      <w:bookmarkStart w:id="219" w:name="_Hlk92466736"/>
      <w:r>
        <w:rPr>
          <w:rFonts w:hint="eastAsia" w:hAnsi="宋体"/>
          <w:bCs/>
          <w:color w:val="auto"/>
          <w:highlight w:val="none"/>
        </w:rPr>
        <w:t>代理服务收费标准：</w:t>
      </w:r>
      <w:bookmarkEnd w:id="219"/>
    </w:p>
    <w:tbl>
      <w:tblPr>
        <w:tblStyle w:val="49"/>
        <w:tblW w:w="0" w:type="auto"/>
        <w:tblInd w:w="534" w:type="dxa"/>
        <w:tblLayout w:type="fixed"/>
        <w:tblCellMar>
          <w:top w:w="0" w:type="dxa"/>
          <w:left w:w="108" w:type="dxa"/>
          <w:bottom w:w="0" w:type="dxa"/>
          <w:right w:w="108" w:type="dxa"/>
        </w:tblCellMar>
      </w:tblPr>
      <w:tblGrid>
        <w:gridCol w:w="3255"/>
        <w:gridCol w:w="1899"/>
        <w:gridCol w:w="1980"/>
        <w:gridCol w:w="1980"/>
      </w:tblGrid>
      <w:tr>
        <w:tblPrEx>
          <w:tblCellMar>
            <w:top w:w="0" w:type="dxa"/>
            <w:left w:w="108" w:type="dxa"/>
            <w:bottom w:w="0" w:type="dxa"/>
            <w:right w:w="108" w:type="dxa"/>
          </w:tblCellMar>
        </w:tblPrEx>
        <w:trPr>
          <w:trHeight w:val="1870" w:hRule="atLeast"/>
        </w:trPr>
        <w:tc>
          <w:tcPr>
            <w:tcW w:w="3255" w:type="dxa"/>
            <w:tcBorders>
              <w:top w:val="single" w:color="auto" w:sz="4" w:space="0"/>
              <w:left w:val="single" w:color="000000" w:sz="4" w:space="0"/>
              <w:bottom w:val="single" w:color="000000" w:sz="4" w:space="0"/>
              <w:right w:val="single" w:color="000000" w:sz="4" w:space="0"/>
              <w:tl2br w:val="single" w:color="auto" w:sz="4" w:space="0"/>
            </w:tcBorders>
            <w:noWrap w:val="0"/>
            <w:vAlign w:val="top"/>
          </w:tcPr>
          <w:p>
            <w:pPr>
              <w:widowControl/>
              <w:ind w:firstLine="420"/>
              <w:rPr>
                <w:rFonts w:hint="eastAsia" w:ascii="宋体" w:hAnsi="宋体"/>
                <w:color w:val="auto"/>
                <w:kern w:val="0"/>
                <w:szCs w:val="21"/>
                <w:highlight w:val="none"/>
              </w:rPr>
            </w:pPr>
            <w:r>
              <w:rPr>
                <w:rFonts w:ascii="宋体" w:hAnsi="宋体"/>
                <w:color w:val="auto"/>
                <w:kern w:val="0"/>
                <w:szCs w:val="21"/>
                <w:highlight w:val="none"/>
              </w:rPr>
              <mc:AlternateContent>
                <mc:Choice Requires="wps">
                  <w:drawing>
                    <wp:anchor distT="0" distB="0" distL="114300" distR="114300" simplePos="0" relativeHeight="251659264" behindDoc="0" locked="0" layoutInCell="1" allowOverlap="1">
                      <wp:simplePos x="0" y="0"/>
                      <wp:positionH relativeFrom="column">
                        <wp:posOffset>1051560</wp:posOffset>
                      </wp:positionH>
                      <wp:positionV relativeFrom="paragraph">
                        <wp:posOffset>8255</wp:posOffset>
                      </wp:positionV>
                      <wp:extent cx="914400" cy="1273810"/>
                      <wp:effectExtent l="5080" t="3810" r="20320" b="17780"/>
                      <wp:wrapNone/>
                      <wp:docPr id="1" name="Line 2"/>
                      <wp:cNvGraphicFramePr/>
                      <a:graphic xmlns:a="http://schemas.openxmlformats.org/drawingml/2006/main">
                        <a:graphicData uri="http://schemas.microsoft.com/office/word/2010/wordprocessingShape">
                          <wps:wsp>
                            <wps:cNvCnPr/>
                            <wps:spPr>
                              <a:xfrm>
                                <a:off x="0" y="0"/>
                                <a:ext cx="914400" cy="12738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82.8pt;margin-top:0.65pt;height:100.3pt;width:72pt;z-index:251659264;mso-width-relative:page;mso-height-relative:page;" filled="f" stroked="t" coordsize="21600,21600" o:gfxdata="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ExngzWAAAACQEAAA8A&#10;AAAAAAAAAQAgAAAAIgAAAGRycy9kb3ducmV2LnhtbFBLAQIUABQAAAAIAIdO4kAdHVfq4AEAAN4D&#10;AAAOAAAAAAAAAAEAIAAAACUBAABkcnMvZTJvRG9jLnhtbFBLBQYAAAAABgAGAFkBAAB3BQAAAAA=&#10;">
                      <v:fill on="f" focussize="0,0"/>
                      <v:stroke color="#000000" joinstyle="round"/>
                      <v:imagedata o:title=""/>
                      <o:lock v:ext="edit" aspectratio="f"/>
                    </v:line>
                  </w:pict>
                </mc:Fallback>
              </mc:AlternateConten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服务类型</w:t>
            </w:r>
          </w:p>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费率</w:t>
            </w:r>
          </w:p>
          <w:p>
            <w:pPr>
              <w:widowControl/>
              <w:ind w:left="2" w:firstLine="420"/>
              <w:jc w:val="left"/>
              <w:rPr>
                <w:rFonts w:ascii="宋体" w:hAnsi="宋体"/>
                <w:color w:val="auto"/>
                <w:kern w:val="0"/>
                <w:szCs w:val="21"/>
                <w:highlight w:val="none"/>
              </w:rPr>
            </w:pPr>
          </w:p>
          <w:p>
            <w:pPr>
              <w:widowControl/>
              <w:ind w:firstLine="0" w:firstLineChars="0"/>
              <w:jc w:val="left"/>
              <w:rPr>
                <w:rFonts w:ascii="宋体" w:hAnsi="宋体"/>
                <w:color w:val="auto"/>
                <w:kern w:val="0"/>
                <w:szCs w:val="21"/>
                <w:highlight w:val="none"/>
              </w:rPr>
            </w:pPr>
          </w:p>
          <w:p>
            <w:pPr>
              <w:widowControl/>
              <w:ind w:firstLine="0" w:firstLineChars="0"/>
              <w:jc w:val="left"/>
              <w:rPr>
                <w:rFonts w:ascii="宋体" w:hAnsi="宋体"/>
                <w:color w:val="auto"/>
                <w:kern w:val="0"/>
                <w:szCs w:val="21"/>
                <w:highlight w:val="none"/>
              </w:rPr>
            </w:pPr>
            <w:r>
              <w:rPr>
                <w:rFonts w:hint="eastAsia" w:ascii="宋体" w:hAnsi="宋体"/>
                <w:color w:val="auto"/>
                <w:kern w:val="0"/>
                <w:szCs w:val="21"/>
                <w:highlight w:val="none"/>
              </w:rPr>
              <w:t>中标金额（万元）</w:t>
            </w:r>
          </w:p>
        </w:tc>
        <w:tc>
          <w:tcPr>
            <w:tcW w:w="1899" w:type="dxa"/>
            <w:tcBorders>
              <w:top w:val="single" w:color="000000" w:sz="4" w:space="0"/>
              <w:left w:val="nil"/>
              <w:right w:val="single" w:color="auto" w:sz="4" w:space="0"/>
            </w:tcBorders>
            <w:noWrap w:val="0"/>
            <w:vAlign w:val="center"/>
          </w:tcPr>
          <w:p>
            <w:pPr>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货物招标</w:t>
            </w:r>
          </w:p>
        </w:tc>
        <w:tc>
          <w:tcPr>
            <w:tcW w:w="1980" w:type="dxa"/>
            <w:tcBorders>
              <w:top w:val="single" w:color="000000" w:sz="4" w:space="0"/>
              <w:left w:val="single" w:color="auto" w:sz="4" w:space="0"/>
              <w:right w:val="single" w:color="auto" w:sz="4" w:space="0"/>
            </w:tcBorders>
            <w:noWrap w:val="0"/>
            <w:vAlign w:val="center"/>
          </w:tcPr>
          <w:p>
            <w:pPr>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服务招标</w:t>
            </w:r>
          </w:p>
        </w:tc>
        <w:tc>
          <w:tcPr>
            <w:tcW w:w="1980" w:type="dxa"/>
            <w:tcBorders>
              <w:top w:val="single" w:color="000000" w:sz="4" w:space="0"/>
              <w:left w:val="single" w:color="auto" w:sz="4" w:space="0"/>
              <w:right w:val="single" w:color="000000" w:sz="4" w:space="0"/>
            </w:tcBorders>
            <w:noWrap w:val="0"/>
            <w:vAlign w:val="center"/>
          </w:tcPr>
          <w:p>
            <w:pPr>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工程招标</w:t>
            </w:r>
          </w:p>
        </w:tc>
      </w:tr>
      <w:tr>
        <w:tblPrEx>
          <w:tblCellMar>
            <w:top w:w="0" w:type="dxa"/>
            <w:left w:w="108" w:type="dxa"/>
            <w:bottom w:w="0" w:type="dxa"/>
            <w:right w:w="108" w:type="dxa"/>
          </w:tblCellMar>
        </w:tblPrEx>
        <w:trPr>
          <w:trHeight w:val="397" w:hRule="atLeast"/>
        </w:trPr>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420"/>
              <w:jc w:val="center"/>
              <w:rPr>
                <w:rFonts w:ascii="宋体" w:hAnsi="宋体"/>
                <w:color w:val="auto"/>
                <w:kern w:val="0"/>
                <w:szCs w:val="21"/>
                <w:highlight w:val="none"/>
              </w:rPr>
            </w:pPr>
            <w:r>
              <w:rPr>
                <w:rFonts w:hint="eastAsia" w:ascii="宋体" w:hAnsi="宋体"/>
                <w:color w:val="auto"/>
                <w:kern w:val="0"/>
                <w:szCs w:val="21"/>
                <w:highlight w:val="none"/>
              </w:rPr>
              <w:t>100以下</w:t>
            </w:r>
          </w:p>
        </w:tc>
        <w:tc>
          <w:tcPr>
            <w:tcW w:w="1899" w:type="dxa"/>
            <w:tcBorders>
              <w:top w:val="single" w:color="000000" w:sz="4" w:space="0"/>
              <w:left w:val="nil"/>
              <w:bottom w:val="single" w:color="000000"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1.2%</w:t>
            </w:r>
          </w:p>
        </w:tc>
        <w:tc>
          <w:tcPr>
            <w:tcW w:w="1980" w:type="dxa"/>
            <w:tcBorders>
              <w:top w:val="single" w:color="000000" w:sz="4" w:space="0"/>
              <w:left w:val="nil"/>
              <w:bottom w:val="single" w:color="000000"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1.2%</w:t>
            </w:r>
          </w:p>
        </w:tc>
        <w:tc>
          <w:tcPr>
            <w:tcW w:w="1980" w:type="dxa"/>
            <w:tcBorders>
              <w:top w:val="single" w:color="000000" w:sz="4" w:space="0"/>
              <w:left w:val="nil"/>
              <w:bottom w:val="single" w:color="000000"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0.8%</w:t>
            </w:r>
          </w:p>
        </w:tc>
      </w:tr>
      <w:tr>
        <w:tblPrEx>
          <w:tblCellMar>
            <w:top w:w="0" w:type="dxa"/>
            <w:left w:w="108" w:type="dxa"/>
            <w:bottom w:w="0" w:type="dxa"/>
            <w:right w:w="108" w:type="dxa"/>
          </w:tblCellMar>
        </w:tblPrEx>
        <w:trPr>
          <w:trHeight w:val="458" w:hRule="atLeast"/>
        </w:trPr>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420"/>
              <w:jc w:val="center"/>
              <w:rPr>
                <w:rFonts w:ascii="宋体" w:hAnsi="宋体"/>
                <w:color w:val="auto"/>
                <w:kern w:val="0"/>
                <w:szCs w:val="21"/>
                <w:highlight w:val="none"/>
              </w:rPr>
            </w:pPr>
            <w:r>
              <w:rPr>
                <w:rFonts w:hint="eastAsia" w:ascii="宋体" w:hAnsi="宋体"/>
                <w:color w:val="auto"/>
                <w:kern w:val="0"/>
                <w:szCs w:val="21"/>
                <w:highlight w:val="none"/>
              </w:rPr>
              <w:t>100-500</w:t>
            </w:r>
          </w:p>
        </w:tc>
        <w:tc>
          <w:tcPr>
            <w:tcW w:w="1899" w:type="dxa"/>
            <w:tcBorders>
              <w:top w:val="single" w:color="000000" w:sz="4" w:space="0"/>
              <w:left w:val="nil"/>
              <w:bottom w:val="single" w:color="000000"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0.88%</w:t>
            </w:r>
          </w:p>
        </w:tc>
        <w:tc>
          <w:tcPr>
            <w:tcW w:w="1980" w:type="dxa"/>
            <w:tcBorders>
              <w:top w:val="single" w:color="000000" w:sz="4" w:space="0"/>
              <w:left w:val="nil"/>
              <w:bottom w:val="single" w:color="000000"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0.64%</w:t>
            </w:r>
          </w:p>
        </w:tc>
        <w:tc>
          <w:tcPr>
            <w:tcW w:w="1980" w:type="dxa"/>
            <w:tcBorders>
              <w:top w:val="single" w:color="000000" w:sz="4" w:space="0"/>
              <w:left w:val="nil"/>
              <w:bottom w:val="single" w:color="000000"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0.56%</w:t>
            </w:r>
          </w:p>
        </w:tc>
      </w:tr>
      <w:tr>
        <w:tblPrEx>
          <w:tblCellMar>
            <w:top w:w="0" w:type="dxa"/>
            <w:left w:w="108" w:type="dxa"/>
            <w:bottom w:w="0" w:type="dxa"/>
            <w:right w:w="108" w:type="dxa"/>
          </w:tblCellMar>
        </w:tblPrEx>
        <w:trPr>
          <w:trHeight w:val="464" w:hRule="atLeast"/>
        </w:trPr>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451" w:firstLineChars="215"/>
              <w:jc w:val="center"/>
              <w:rPr>
                <w:rFonts w:ascii="宋体" w:hAnsi="宋体"/>
                <w:color w:val="auto"/>
                <w:kern w:val="0"/>
                <w:szCs w:val="21"/>
                <w:highlight w:val="none"/>
              </w:rPr>
            </w:pPr>
            <w:r>
              <w:rPr>
                <w:rFonts w:hint="eastAsia" w:ascii="宋体" w:hAnsi="宋体"/>
                <w:color w:val="auto"/>
                <w:kern w:val="0"/>
                <w:szCs w:val="21"/>
                <w:highlight w:val="none"/>
              </w:rPr>
              <w:t>500-1000</w:t>
            </w:r>
          </w:p>
        </w:tc>
        <w:tc>
          <w:tcPr>
            <w:tcW w:w="1899" w:type="dxa"/>
            <w:tcBorders>
              <w:top w:val="single" w:color="000000" w:sz="4" w:space="0"/>
              <w:left w:val="nil"/>
              <w:bottom w:val="single" w:color="000000"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0.64%</w:t>
            </w:r>
          </w:p>
        </w:tc>
        <w:tc>
          <w:tcPr>
            <w:tcW w:w="1980" w:type="dxa"/>
            <w:tcBorders>
              <w:top w:val="single" w:color="000000" w:sz="4" w:space="0"/>
              <w:left w:val="nil"/>
              <w:bottom w:val="single" w:color="000000"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0.36%</w:t>
            </w:r>
          </w:p>
        </w:tc>
        <w:tc>
          <w:tcPr>
            <w:tcW w:w="1980" w:type="dxa"/>
            <w:tcBorders>
              <w:top w:val="single" w:color="000000" w:sz="4" w:space="0"/>
              <w:left w:val="nil"/>
              <w:bottom w:val="single" w:color="000000"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0.44%</w:t>
            </w:r>
          </w:p>
        </w:tc>
      </w:tr>
      <w:tr>
        <w:tblPrEx>
          <w:tblCellMar>
            <w:top w:w="0" w:type="dxa"/>
            <w:left w:w="108" w:type="dxa"/>
            <w:bottom w:w="0" w:type="dxa"/>
            <w:right w:w="108" w:type="dxa"/>
          </w:tblCellMar>
        </w:tblPrEx>
        <w:trPr>
          <w:trHeight w:val="456" w:hRule="atLeast"/>
        </w:trPr>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420"/>
              <w:jc w:val="center"/>
              <w:rPr>
                <w:rFonts w:ascii="宋体" w:hAnsi="宋体"/>
                <w:color w:val="auto"/>
                <w:kern w:val="0"/>
                <w:szCs w:val="21"/>
                <w:highlight w:val="none"/>
              </w:rPr>
            </w:pPr>
            <w:r>
              <w:rPr>
                <w:rFonts w:hint="eastAsia" w:ascii="宋体" w:hAnsi="宋体"/>
                <w:color w:val="auto"/>
                <w:kern w:val="0"/>
                <w:szCs w:val="21"/>
                <w:highlight w:val="none"/>
              </w:rPr>
              <w:t>1000-5000</w:t>
            </w:r>
          </w:p>
        </w:tc>
        <w:tc>
          <w:tcPr>
            <w:tcW w:w="1899" w:type="dxa"/>
            <w:tcBorders>
              <w:top w:val="single" w:color="000000" w:sz="4" w:space="0"/>
              <w:left w:val="nil"/>
              <w:bottom w:val="single" w:color="000000"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0.4%</w:t>
            </w:r>
          </w:p>
        </w:tc>
        <w:tc>
          <w:tcPr>
            <w:tcW w:w="1980" w:type="dxa"/>
            <w:tcBorders>
              <w:top w:val="single" w:color="000000" w:sz="4" w:space="0"/>
              <w:left w:val="nil"/>
              <w:bottom w:val="single" w:color="000000"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0.2%</w:t>
            </w:r>
          </w:p>
        </w:tc>
        <w:tc>
          <w:tcPr>
            <w:tcW w:w="1980" w:type="dxa"/>
            <w:tcBorders>
              <w:top w:val="single" w:color="000000" w:sz="4" w:space="0"/>
              <w:left w:val="nil"/>
              <w:bottom w:val="single" w:color="000000"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0.28%</w:t>
            </w:r>
          </w:p>
        </w:tc>
      </w:tr>
      <w:tr>
        <w:tblPrEx>
          <w:tblCellMar>
            <w:top w:w="0" w:type="dxa"/>
            <w:left w:w="108" w:type="dxa"/>
            <w:bottom w:w="0" w:type="dxa"/>
            <w:right w:w="108" w:type="dxa"/>
          </w:tblCellMar>
        </w:tblPrEx>
        <w:trPr>
          <w:trHeight w:val="448" w:hRule="atLeast"/>
        </w:trPr>
        <w:tc>
          <w:tcPr>
            <w:tcW w:w="3255" w:type="dxa"/>
            <w:tcBorders>
              <w:top w:val="single" w:color="000000" w:sz="4" w:space="0"/>
              <w:left w:val="single" w:color="000000" w:sz="4" w:space="0"/>
              <w:bottom w:val="single" w:color="auto" w:sz="4" w:space="0"/>
              <w:right w:val="single" w:color="000000" w:sz="4" w:space="0"/>
            </w:tcBorders>
            <w:noWrap w:val="0"/>
            <w:vAlign w:val="center"/>
          </w:tcPr>
          <w:p>
            <w:pPr>
              <w:widowControl/>
              <w:ind w:firstLine="420"/>
              <w:jc w:val="center"/>
              <w:rPr>
                <w:rFonts w:ascii="宋体" w:hAnsi="宋体"/>
                <w:color w:val="auto"/>
                <w:kern w:val="0"/>
                <w:szCs w:val="21"/>
                <w:highlight w:val="none"/>
              </w:rPr>
            </w:pPr>
            <w:r>
              <w:rPr>
                <w:rFonts w:hint="eastAsia" w:ascii="宋体" w:hAnsi="宋体"/>
                <w:color w:val="auto"/>
                <w:kern w:val="0"/>
                <w:szCs w:val="21"/>
                <w:highlight w:val="none"/>
              </w:rPr>
              <w:t>5000-10000</w:t>
            </w:r>
          </w:p>
        </w:tc>
        <w:tc>
          <w:tcPr>
            <w:tcW w:w="1899" w:type="dxa"/>
            <w:tcBorders>
              <w:top w:val="single" w:color="000000" w:sz="4" w:space="0"/>
              <w:left w:val="nil"/>
              <w:bottom w:val="single" w:color="auto"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0.2%</w:t>
            </w:r>
          </w:p>
        </w:tc>
        <w:tc>
          <w:tcPr>
            <w:tcW w:w="1980" w:type="dxa"/>
            <w:tcBorders>
              <w:top w:val="single" w:color="000000" w:sz="4" w:space="0"/>
              <w:left w:val="nil"/>
              <w:bottom w:val="single" w:color="auto"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0.08%</w:t>
            </w:r>
          </w:p>
        </w:tc>
        <w:tc>
          <w:tcPr>
            <w:tcW w:w="1980" w:type="dxa"/>
            <w:tcBorders>
              <w:top w:val="single" w:color="000000" w:sz="4" w:space="0"/>
              <w:left w:val="nil"/>
              <w:bottom w:val="single" w:color="auto"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0.16%</w:t>
            </w:r>
          </w:p>
        </w:tc>
      </w:tr>
      <w:tr>
        <w:tblPrEx>
          <w:tblCellMar>
            <w:top w:w="0" w:type="dxa"/>
            <w:left w:w="108" w:type="dxa"/>
            <w:bottom w:w="0" w:type="dxa"/>
            <w:right w:w="108" w:type="dxa"/>
          </w:tblCellMar>
        </w:tblPrEx>
        <w:trPr>
          <w:trHeight w:val="455" w:hRule="atLeast"/>
        </w:trPr>
        <w:tc>
          <w:tcPr>
            <w:tcW w:w="3255" w:type="dxa"/>
            <w:tcBorders>
              <w:top w:val="single" w:color="auto" w:sz="4" w:space="0"/>
              <w:left w:val="single" w:color="000000" w:sz="4" w:space="0"/>
              <w:bottom w:val="single" w:color="000000" w:sz="4" w:space="0"/>
              <w:right w:val="single" w:color="000000" w:sz="4" w:space="0"/>
            </w:tcBorders>
            <w:noWrap w:val="0"/>
            <w:vAlign w:val="center"/>
          </w:tcPr>
          <w:p>
            <w:pPr>
              <w:ind w:firstLine="420"/>
              <w:jc w:val="center"/>
              <w:rPr>
                <w:rFonts w:ascii="宋体" w:hAnsi="宋体"/>
                <w:color w:val="auto"/>
                <w:kern w:val="0"/>
                <w:szCs w:val="21"/>
                <w:highlight w:val="none"/>
              </w:rPr>
            </w:pPr>
            <w:r>
              <w:rPr>
                <w:rFonts w:hint="eastAsia" w:ascii="宋体" w:hAnsi="宋体"/>
                <w:color w:val="auto"/>
                <w:kern w:val="0"/>
                <w:szCs w:val="21"/>
                <w:highlight w:val="none"/>
              </w:rPr>
              <w:t>10000-50000</w:t>
            </w:r>
          </w:p>
        </w:tc>
        <w:tc>
          <w:tcPr>
            <w:tcW w:w="1899" w:type="dxa"/>
            <w:tcBorders>
              <w:top w:val="single" w:color="auto" w:sz="4" w:space="0"/>
              <w:left w:val="nil"/>
              <w:bottom w:val="single" w:color="000000" w:sz="4" w:space="0"/>
              <w:right w:val="single" w:color="000000" w:sz="4" w:space="0"/>
            </w:tcBorders>
            <w:noWrap w:val="0"/>
            <w:vAlign w:val="center"/>
          </w:tcPr>
          <w:p>
            <w:pPr>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0.04%</w:t>
            </w:r>
          </w:p>
        </w:tc>
        <w:tc>
          <w:tcPr>
            <w:tcW w:w="1980" w:type="dxa"/>
            <w:tcBorders>
              <w:top w:val="single" w:color="auto" w:sz="4" w:space="0"/>
              <w:left w:val="nil"/>
              <w:bottom w:val="single" w:color="000000" w:sz="4" w:space="0"/>
              <w:right w:val="single" w:color="000000" w:sz="4" w:space="0"/>
            </w:tcBorders>
            <w:noWrap w:val="0"/>
            <w:vAlign w:val="center"/>
          </w:tcPr>
          <w:p>
            <w:pPr>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0.04%</w:t>
            </w:r>
          </w:p>
        </w:tc>
        <w:tc>
          <w:tcPr>
            <w:tcW w:w="1980" w:type="dxa"/>
            <w:tcBorders>
              <w:top w:val="single" w:color="auto" w:sz="4" w:space="0"/>
              <w:left w:val="nil"/>
              <w:bottom w:val="single" w:color="000000" w:sz="4" w:space="0"/>
              <w:right w:val="single" w:color="000000" w:sz="4" w:space="0"/>
            </w:tcBorders>
            <w:noWrap w:val="0"/>
            <w:vAlign w:val="center"/>
          </w:tcPr>
          <w:p>
            <w:pPr>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0.04%</w:t>
            </w:r>
          </w:p>
        </w:tc>
      </w:tr>
      <w:tr>
        <w:tblPrEx>
          <w:tblCellMar>
            <w:top w:w="0" w:type="dxa"/>
            <w:left w:w="108" w:type="dxa"/>
            <w:bottom w:w="0" w:type="dxa"/>
            <w:right w:w="108" w:type="dxa"/>
          </w:tblCellMar>
        </w:tblPrEx>
        <w:trPr>
          <w:trHeight w:val="460" w:hRule="atLeast"/>
        </w:trPr>
        <w:tc>
          <w:tcPr>
            <w:tcW w:w="3255" w:type="dxa"/>
            <w:tcBorders>
              <w:top w:val="single" w:color="000000" w:sz="4" w:space="0"/>
              <w:left w:val="single" w:color="000000" w:sz="4" w:space="0"/>
              <w:bottom w:val="single" w:color="auto" w:sz="4" w:space="0"/>
              <w:right w:val="single" w:color="000000" w:sz="4" w:space="0"/>
            </w:tcBorders>
            <w:noWrap w:val="0"/>
            <w:vAlign w:val="center"/>
          </w:tcPr>
          <w:p>
            <w:pPr>
              <w:widowControl/>
              <w:ind w:firstLine="420"/>
              <w:jc w:val="center"/>
              <w:rPr>
                <w:rFonts w:ascii="宋体" w:hAnsi="宋体"/>
                <w:color w:val="auto"/>
                <w:kern w:val="0"/>
                <w:szCs w:val="21"/>
                <w:highlight w:val="none"/>
              </w:rPr>
            </w:pPr>
            <w:r>
              <w:rPr>
                <w:rFonts w:hint="eastAsia" w:ascii="宋体" w:hAnsi="宋体"/>
                <w:color w:val="auto"/>
                <w:kern w:val="0"/>
                <w:szCs w:val="21"/>
                <w:highlight w:val="none"/>
              </w:rPr>
              <w:t>50000-100000</w:t>
            </w:r>
          </w:p>
        </w:tc>
        <w:tc>
          <w:tcPr>
            <w:tcW w:w="1899" w:type="dxa"/>
            <w:tcBorders>
              <w:top w:val="single" w:color="000000" w:sz="4" w:space="0"/>
              <w:left w:val="nil"/>
              <w:bottom w:val="single" w:color="auto"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0.028%</w:t>
            </w:r>
          </w:p>
        </w:tc>
        <w:tc>
          <w:tcPr>
            <w:tcW w:w="1980" w:type="dxa"/>
            <w:tcBorders>
              <w:top w:val="single" w:color="000000" w:sz="4" w:space="0"/>
              <w:left w:val="nil"/>
              <w:bottom w:val="single" w:color="auto"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0.028%</w:t>
            </w:r>
          </w:p>
        </w:tc>
        <w:tc>
          <w:tcPr>
            <w:tcW w:w="1980" w:type="dxa"/>
            <w:tcBorders>
              <w:top w:val="single" w:color="000000" w:sz="4" w:space="0"/>
              <w:left w:val="nil"/>
              <w:bottom w:val="single" w:color="auto"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0.028%</w:t>
            </w:r>
          </w:p>
        </w:tc>
      </w:tr>
      <w:tr>
        <w:tblPrEx>
          <w:tblCellMar>
            <w:top w:w="0" w:type="dxa"/>
            <w:left w:w="108" w:type="dxa"/>
            <w:bottom w:w="0" w:type="dxa"/>
            <w:right w:w="108" w:type="dxa"/>
          </w:tblCellMar>
        </w:tblPrEx>
        <w:trPr>
          <w:trHeight w:val="466" w:hRule="atLeast"/>
        </w:trPr>
        <w:tc>
          <w:tcPr>
            <w:tcW w:w="3255" w:type="dxa"/>
            <w:tcBorders>
              <w:top w:val="single" w:color="auto" w:sz="4" w:space="0"/>
              <w:left w:val="single" w:color="000000" w:sz="4" w:space="0"/>
              <w:bottom w:val="single" w:color="auto" w:sz="4" w:space="0"/>
              <w:right w:val="single" w:color="000000" w:sz="4" w:space="0"/>
            </w:tcBorders>
            <w:noWrap w:val="0"/>
            <w:vAlign w:val="center"/>
          </w:tcPr>
          <w:p>
            <w:pPr>
              <w:ind w:firstLine="420"/>
              <w:jc w:val="center"/>
              <w:rPr>
                <w:rFonts w:ascii="宋体" w:hAnsi="宋体"/>
                <w:color w:val="auto"/>
                <w:kern w:val="0"/>
                <w:szCs w:val="21"/>
                <w:highlight w:val="none"/>
              </w:rPr>
            </w:pPr>
            <w:r>
              <w:rPr>
                <w:rFonts w:hint="eastAsia" w:ascii="宋体" w:hAnsi="宋体"/>
                <w:color w:val="auto"/>
                <w:kern w:val="0"/>
                <w:szCs w:val="21"/>
                <w:highlight w:val="none"/>
              </w:rPr>
              <w:t>100000-500000</w:t>
            </w:r>
          </w:p>
        </w:tc>
        <w:tc>
          <w:tcPr>
            <w:tcW w:w="1899" w:type="dxa"/>
            <w:tcBorders>
              <w:top w:val="single" w:color="auto" w:sz="4" w:space="0"/>
              <w:left w:val="nil"/>
              <w:bottom w:val="single" w:color="auto" w:sz="4" w:space="0"/>
              <w:right w:val="single" w:color="000000" w:sz="4" w:space="0"/>
            </w:tcBorders>
            <w:noWrap w:val="0"/>
            <w:vAlign w:val="center"/>
          </w:tcPr>
          <w:p>
            <w:pPr>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0.0064%</w:t>
            </w:r>
          </w:p>
        </w:tc>
        <w:tc>
          <w:tcPr>
            <w:tcW w:w="1980" w:type="dxa"/>
            <w:tcBorders>
              <w:top w:val="single" w:color="auto" w:sz="4" w:space="0"/>
              <w:left w:val="nil"/>
              <w:bottom w:val="single" w:color="auto" w:sz="4" w:space="0"/>
              <w:right w:val="single" w:color="000000" w:sz="4" w:space="0"/>
            </w:tcBorders>
            <w:noWrap w:val="0"/>
            <w:vAlign w:val="center"/>
          </w:tcPr>
          <w:p>
            <w:pPr>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0.0064%</w:t>
            </w:r>
          </w:p>
        </w:tc>
        <w:tc>
          <w:tcPr>
            <w:tcW w:w="1980" w:type="dxa"/>
            <w:tcBorders>
              <w:top w:val="single" w:color="auto" w:sz="4" w:space="0"/>
              <w:left w:val="nil"/>
              <w:bottom w:val="single" w:color="auto" w:sz="4" w:space="0"/>
              <w:right w:val="single" w:color="000000" w:sz="4" w:space="0"/>
            </w:tcBorders>
            <w:noWrap w:val="0"/>
            <w:vAlign w:val="center"/>
          </w:tcPr>
          <w:p>
            <w:pPr>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0.0064%</w:t>
            </w:r>
          </w:p>
        </w:tc>
      </w:tr>
      <w:tr>
        <w:tblPrEx>
          <w:tblCellMar>
            <w:top w:w="0" w:type="dxa"/>
            <w:left w:w="108" w:type="dxa"/>
            <w:bottom w:w="0" w:type="dxa"/>
            <w:right w:w="108" w:type="dxa"/>
          </w:tblCellMar>
        </w:tblPrEx>
        <w:trPr>
          <w:trHeight w:val="444" w:hRule="atLeast"/>
        </w:trPr>
        <w:tc>
          <w:tcPr>
            <w:tcW w:w="3255" w:type="dxa"/>
            <w:tcBorders>
              <w:top w:val="single" w:color="auto" w:sz="4" w:space="0"/>
              <w:left w:val="single" w:color="000000" w:sz="4" w:space="0"/>
              <w:bottom w:val="single" w:color="000000" w:sz="4" w:space="0"/>
              <w:right w:val="single" w:color="000000" w:sz="4" w:space="0"/>
            </w:tcBorders>
            <w:noWrap w:val="0"/>
            <w:vAlign w:val="center"/>
          </w:tcPr>
          <w:p>
            <w:pPr>
              <w:ind w:firstLine="420"/>
              <w:jc w:val="center"/>
              <w:rPr>
                <w:rFonts w:ascii="宋体" w:hAnsi="宋体"/>
                <w:color w:val="auto"/>
                <w:kern w:val="0"/>
                <w:szCs w:val="21"/>
                <w:highlight w:val="none"/>
              </w:rPr>
            </w:pPr>
            <w:r>
              <w:rPr>
                <w:rFonts w:hint="eastAsia" w:ascii="宋体" w:hAnsi="宋体"/>
                <w:color w:val="auto"/>
                <w:kern w:val="0"/>
                <w:szCs w:val="21"/>
                <w:highlight w:val="none"/>
              </w:rPr>
              <w:t>500000-1000000</w:t>
            </w:r>
          </w:p>
        </w:tc>
        <w:tc>
          <w:tcPr>
            <w:tcW w:w="1899" w:type="dxa"/>
            <w:tcBorders>
              <w:top w:val="single" w:color="auto" w:sz="4" w:space="0"/>
              <w:left w:val="nil"/>
              <w:bottom w:val="single" w:color="000000" w:sz="4" w:space="0"/>
              <w:right w:val="single" w:color="000000" w:sz="4" w:space="0"/>
            </w:tcBorders>
            <w:noWrap w:val="0"/>
            <w:vAlign w:val="center"/>
          </w:tcPr>
          <w:p>
            <w:pPr>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0.0048%</w:t>
            </w:r>
          </w:p>
        </w:tc>
        <w:tc>
          <w:tcPr>
            <w:tcW w:w="1980" w:type="dxa"/>
            <w:tcBorders>
              <w:top w:val="single" w:color="auto" w:sz="4" w:space="0"/>
              <w:left w:val="nil"/>
              <w:bottom w:val="single" w:color="000000" w:sz="4" w:space="0"/>
              <w:right w:val="single" w:color="000000" w:sz="4" w:space="0"/>
            </w:tcBorders>
            <w:noWrap w:val="0"/>
            <w:vAlign w:val="center"/>
          </w:tcPr>
          <w:p>
            <w:pPr>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0.0048%</w:t>
            </w:r>
          </w:p>
        </w:tc>
        <w:tc>
          <w:tcPr>
            <w:tcW w:w="1980" w:type="dxa"/>
            <w:tcBorders>
              <w:top w:val="single" w:color="auto" w:sz="4" w:space="0"/>
              <w:left w:val="nil"/>
              <w:bottom w:val="single" w:color="000000" w:sz="4" w:space="0"/>
              <w:right w:val="single" w:color="000000" w:sz="4" w:space="0"/>
            </w:tcBorders>
            <w:noWrap w:val="0"/>
            <w:vAlign w:val="center"/>
          </w:tcPr>
          <w:p>
            <w:pPr>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0.0048%</w:t>
            </w:r>
          </w:p>
        </w:tc>
      </w:tr>
      <w:tr>
        <w:tblPrEx>
          <w:tblCellMar>
            <w:top w:w="0" w:type="dxa"/>
            <w:left w:w="108" w:type="dxa"/>
            <w:bottom w:w="0" w:type="dxa"/>
            <w:right w:w="108" w:type="dxa"/>
          </w:tblCellMar>
        </w:tblPrEx>
        <w:trPr>
          <w:trHeight w:val="464" w:hRule="atLeast"/>
        </w:trPr>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420"/>
              <w:jc w:val="center"/>
              <w:rPr>
                <w:rFonts w:ascii="宋体" w:hAnsi="宋体"/>
                <w:color w:val="auto"/>
                <w:kern w:val="0"/>
                <w:szCs w:val="21"/>
                <w:highlight w:val="none"/>
              </w:rPr>
            </w:pPr>
            <w:r>
              <w:rPr>
                <w:rFonts w:hint="eastAsia" w:ascii="宋体" w:hAnsi="宋体"/>
                <w:color w:val="auto"/>
                <w:kern w:val="0"/>
                <w:szCs w:val="21"/>
                <w:highlight w:val="none"/>
              </w:rPr>
              <w:t>1000000以上</w:t>
            </w:r>
          </w:p>
        </w:tc>
        <w:tc>
          <w:tcPr>
            <w:tcW w:w="1899" w:type="dxa"/>
            <w:tcBorders>
              <w:top w:val="single" w:color="000000" w:sz="4" w:space="0"/>
              <w:left w:val="nil"/>
              <w:bottom w:val="single" w:color="000000"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0.0032%</w:t>
            </w:r>
          </w:p>
        </w:tc>
        <w:tc>
          <w:tcPr>
            <w:tcW w:w="1980" w:type="dxa"/>
            <w:tcBorders>
              <w:top w:val="single" w:color="000000" w:sz="4" w:space="0"/>
              <w:left w:val="nil"/>
              <w:bottom w:val="single" w:color="000000"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0.0032%</w:t>
            </w:r>
          </w:p>
        </w:tc>
        <w:tc>
          <w:tcPr>
            <w:tcW w:w="1980" w:type="dxa"/>
            <w:tcBorders>
              <w:top w:val="single" w:color="000000" w:sz="4" w:space="0"/>
              <w:left w:val="nil"/>
              <w:bottom w:val="single" w:color="000000"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0.0032%</w:t>
            </w:r>
          </w:p>
        </w:tc>
      </w:tr>
    </w:tbl>
    <w:p>
      <w:pPr>
        <w:pStyle w:val="27"/>
        <w:spacing w:line="400" w:lineRule="atLeast"/>
        <w:ind w:firstLine="315" w:firstLineChars="150"/>
        <w:rPr>
          <w:rFonts w:hAnsi="宋体"/>
          <w:color w:val="auto"/>
          <w:highlight w:val="none"/>
        </w:rPr>
      </w:pPr>
      <w:r>
        <w:rPr>
          <w:rFonts w:hAnsi="宋体"/>
          <w:color w:val="auto"/>
          <w:highlight w:val="none"/>
        </w:rPr>
        <w:tab/>
      </w:r>
      <w:bookmarkStart w:id="220" w:name="_Hlk92466755"/>
      <w:r>
        <w:rPr>
          <w:rFonts w:hint="eastAsia" w:hAnsi="宋体"/>
          <w:color w:val="auto"/>
          <w:highlight w:val="none"/>
        </w:rPr>
        <w:t>注：代理服务收费按差额定率累进法计算</w:t>
      </w:r>
      <w:bookmarkEnd w:id="220"/>
      <w:r>
        <w:rPr>
          <w:rFonts w:hint="eastAsia" w:hAnsi="宋体"/>
          <w:color w:val="auto"/>
          <w:highlight w:val="none"/>
        </w:rPr>
        <w:t>。</w:t>
      </w:r>
    </w:p>
    <w:p>
      <w:pPr>
        <w:spacing w:line="410" w:lineRule="exact"/>
        <w:ind w:firstLine="420"/>
        <w:rPr>
          <w:rFonts w:hint="eastAsia" w:ascii="宋体" w:hAnsi="宋体" w:cs="Courier New"/>
          <w:color w:val="auto"/>
          <w:szCs w:val="21"/>
          <w:highlight w:val="none"/>
        </w:rPr>
      </w:pPr>
      <w:r>
        <w:rPr>
          <w:rFonts w:hint="eastAsia" w:ascii="宋体" w:hAnsi="宋体" w:cs="Courier New"/>
          <w:color w:val="auto"/>
          <w:szCs w:val="21"/>
          <w:highlight w:val="none"/>
        </w:rPr>
        <w:t>3.缴纳代理服务费银行账户：</w:t>
      </w:r>
    </w:p>
    <w:p>
      <w:pPr>
        <w:spacing w:line="410" w:lineRule="exact"/>
        <w:ind w:left="420" w:firstLine="210" w:firstLineChars="100"/>
        <w:rPr>
          <w:rFonts w:hint="eastAsia" w:ascii="宋体" w:hAnsi="宋体" w:cs="Courier New"/>
          <w:color w:val="auto"/>
          <w:szCs w:val="21"/>
          <w:highlight w:val="none"/>
        </w:rPr>
      </w:pPr>
      <w:r>
        <w:rPr>
          <w:rFonts w:hint="eastAsia" w:ascii="宋体" w:hAnsi="宋体" w:cs="Courier New"/>
          <w:color w:val="auto"/>
          <w:szCs w:val="21"/>
          <w:highlight w:val="none"/>
        </w:rPr>
        <w:t>开户名称:钦州市政府采购中心</w:t>
      </w:r>
    </w:p>
    <w:p>
      <w:pPr>
        <w:spacing w:line="410" w:lineRule="exact"/>
        <w:ind w:firstLine="630" w:firstLineChars="300"/>
        <w:rPr>
          <w:rFonts w:hint="eastAsia" w:ascii="宋体" w:hAnsi="宋体" w:cs="Courier New"/>
          <w:color w:val="auto"/>
          <w:szCs w:val="21"/>
          <w:highlight w:val="none"/>
        </w:rPr>
      </w:pPr>
      <w:r>
        <w:rPr>
          <w:rFonts w:hint="eastAsia" w:ascii="宋体" w:hAnsi="宋体" w:cs="Courier New"/>
          <w:color w:val="auto"/>
          <w:szCs w:val="21"/>
          <w:highlight w:val="none"/>
        </w:rPr>
        <w:t>开户银行:兴业银行钦州支行</w:t>
      </w:r>
    </w:p>
    <w:p>
      <w:pPr>
        <w:spacing w:line="410" w:lineRule="exact"/>
        <w:ind w:firstLine="630" w:firstLineChars="300"/>
        <w:rPr>
          <w:rFonts w:hint="eastAsia" w:ascii="仿宋_GB2312" w:hAnsi="宋体" w:eastAsia="仿宋_GB2312" w:cs="Courier New"/>
          <w:b/>
          <w:color w:val="auto"/>
          <w:sz w:val="28"/>
          <w:szCs w:val="28"/>
          <w:highlight w:val="none"/>
        </w:rPr>
      </w:pPr>
      <w:r>
        <w:rPr>
          <w:rFonts w:hint="eastAsia" w:ascii="宋体" w:hAnsi="宋体" w:cs="Courier New"/>
          <w:color w:val="auto"/>
          <w:szCs w:val="21"/>
          <w:highlight w:val="none"/>
        </w:rPr>
        <w:t>银行账号:554010100100129709</w:t>
      </w:r>
    </w:p>
    <w:p>
      <w:pPr>
        <w:pStyle w:val="27"/>
        <w:spacing w:line="400" w:lineRule="atLeast"/>
        <w:ind w:firstLine="210" w:firstLineChars="100"/>
        <w:rPr>
          <w:rFonts w:hAnsi="宋体"/>
          <w:bCs/>
          <w:color w:val="auto"/>
          <w:highlight w:val="none"/>
        </w:rPr>
      </w:pPr>
      <w:r>
        <w:rPr>
          <w:rFonts w:hint="eastAsia" w:hAnsi="宋体"/>
          <w:bCs/>
          <w:color w:val="auto"/>
          <w:highlight w:val="none"/>
        </w:rPr>
        <w:t>（二）解释权：</w:t>
      </w:r>
      <w:bookmarkStart w:id="221" w:name="_Hlk92466777"/>
      <w:r>
        <w:rPr>
          <w:rFonts w:hint="eastAsia" w:hAnsi="宋体"/>
          <w:bCs/>
          <w:color w:val="auto"/>
          <w:spacing w:val="-4"/>
          <w:highlight w:val="none"/>
        </w:rPr>
        <w:t>本招标文件解释权属本中心</w:t>
      </w:r>
      <w:bookmarkEnd w:id="221"/>
      <w:r>
        <w:rPr>
          <w:rFonts w:hint="eastAsia" w:hAnsi="宋体"/>
          <w:bCs/>
          <w:color w:val="auto"/>
          <w:spacing w:val="-4"/>
          <w:highlight w:val="none"/>
        </w:rPr>
        <w:t>。</w:t>
      </w:r>
    </w:p>
    <w:p>
      <w:pPr>
        <w:pStyle w:val="27"/>
        <w:spacing w:line="400" w:lineRule="atLeast"/>
        <w:ind w:firstLine="210" w:firstLineChars="100"/>
        <w:rPr>
          <w:rFonts w:hAnsi="宋体"/>
          <w:bCs/>
          <w:color w:val="auto"/>
          <w:highlight w:val="none"/>
        </w:rPr>
      </w:pPr>
      <w:r>
        <w:rPr>
          <w:rFonts w:hint="eastAsia" w:hAnsi="宋体"/>
          <w:bCs/>
          <w:color w:val="auto"/>
          <w:highlight w:val="none"/>
        </w:rPr>
        <w:t>（三）有关事宜</w:t>
      </w:r>
    </w:p>
    <w:p>
      <w:pPr>
        <w:pStyle w:val="27"/>
        <w:spacing w:line="400" w:lineRule="atLeast"/>
        <w:ind w:firstLine="0" w:firstLineChars="0"/>
        <w:rPr>
          <w:rFonts w:hAnsi="宋体"/>
          <w:color w:val="auto"/>
          <w:highlight w:val="none"/>
        </w:rPr>
      </w:pPr>
      <w:r>
        <w:rPr>
          <w:rFonts w:hAnsi="宋体"/>
          <w:color w:val="auto"/>
          <w:highlight w:val="none"/>
        </w:rPr>
        <w:tab/>
      </w:r>
      <w:r>
        <w:rPr>
          <w:rFonts w:hint="eastAsia" w:hAnsi="宋体"/>
          <w:color w:val="auto"/>
          <w:highlight w:val="none"/>
        </w:rPr>
        <w:t>所有与本招标文件有关的函件请按下列通讯地址联系：</w:t>
      </w:r>
    </w:p>
    <w:p>
      <w:pPr>
        <w:pStyle w:val="27"/>
        <w:spacing w:line="400" w:lineRule="atLeast"/>
        <w:ind w:firstLine="420"/>
        <w:rPr>
          <w:rFonts w:hAnsi="宋体"/>
          <w:color w:val="auto"/>
          <w:highlight w:val="none"/>
        </w:rPr>
      </w:pPr>
      <w:bookmarkStart w:id="222" w:name="_Hlk92466867"/>
      <w:r>
        <w:rPr>
          <w:rFonts w:hint="eastAsia" w:hAnsi="宋体"/>
          <w:color w:val="auto"/>
          <w:highlight w:val="none"/>
        </w:rPr>
        <w:t>钦州市政府采购中心</w:t>
      </w:r>
    </w:p>
    <w:p>
      <w:pPr>
        <w:pStyle w:val="27"/>
        <w:tabs>
          <w:tab w:val="left" w:pos="1990"/>
        </w:tabs>
        <w:spacing w:line="400" w:lineRule="atLeast"/>
        <w:ind w:firstLine="420"/>
        <w:rPr>
          <w:rFonts w:hAnsi="宋体"/>
          <w:color w:val="auto"/>
          <w:highlight w:val="none"/>
          <w:u w:val="single"/>
        </w:rPr>
      </w:pPr>
      <w:r>
        <w:rPr>
          <w:rFonts w:hint="eastAsia" w:hAnsi="宋体"/>
          <w:color w:val="auto"/>
          <w:highlight w:val="none"/>
        </w:rPr>
        <w:t>邮政编码：535000</w:t>
      </w:r>
    </w:p>
    <w:p>
      <w:pPr>
        <w:pStyle w:val="27"/>
        <w:tabs>
          <w:tab w:val="left" w:pos="1990"/>
        </w:tabs>
        <w:spacing w:line="400" w:lineRule="atLeast"/>
        <w:ind w:firstLine="420"/>
        <w:rPr>
          <w:rFonts w:hAnsi="宋体"/>
          <w:color w:val="auto"/>
          <w:spacing w:val="-4"/>
          <w:highlight w:val="none"/>
        </w:rPr>
      </w:pPr>
      <w:r>
        <w:rPr>
          <w:rFonts w:hint="eastAsia" w:hAnsi="宋体"/>
          <w:color w:val="auto"/>
          <w:highlight w:val="none"/>
        </w:rPr>
        <w:t>通讯地址：</w:t>
      </w:r>
      <w:r>
        <w:rPr>
          <w:rFonts w:hint="eastAsia" w:ascii="Times New Roman" w:hAnsi="Times New Roman" w:cs="Times New Roman"/>
          <w:color w:val="auto"/>
          <w:szCs w:val="24"/>
          <w:highlight w:val="none"/>
        </w:rPr>
        <w:t>钦州市金海湾东大街8号</w:t>
      </w:r>
    </w:p>
    <w:bookmarkEnd w:id="94"/>
    <w:bookmarkEnd w:id="222"/>
    <w:p>
      <w:pPr>
        <w:widowControl/>
        <w:spacing w:line="400" w:lineRule="atLeast"/>
        <w:ind w:firstLine="420"/>
        <w:jc w:val="left"/>
        <w:rPr>
          <w:color w:val="auto"/>
          <w:highlight w:val="none"/>
        </w:rPr>
      </w:pPr>
      <w:bookmarkStart w:id="223" w:name="_Hlk108515537"/>
      <w:r>
        <w:rPr>
          <w:rFonts w:hint="eastAsia" w:hAnsi="宋体"/>
          <w:color w:val="auto"/>
          <w:highlight w:val="none"/>
        </w:rPr>
        <w:t>钦州市政府采购中心联系方式</w:t>
      </w:r>
      <w:r>
        <w:rPr>
          <w:rFonts w:hint="eastAsia"/>
          <w:color w:val="auto"/>
          <w:highlight w:val="none"/>
        </w:rPr>
        <w:t>：</w:t>
      </w:r>
    </w:p>
    <w:p>
      <w:pPr>
        <w:widowControl/>
        <w:spacing w:line="400" w:lineRule="atLeast"/>
        <w:ind w:firstLine="420"/>
        <w:jc w:val="left"/>
        <w:rPr>
          <w:color w:val="auto"/>
          <w:highlight w:val="none"/>
        </w:rPr>
      </w:pPr>
      <w:r>
        <w:rPr>
          <w:rFonts w:hint="eastAsia"/>
          <w:color w:val="auto"/>
          <w:highlight w:val="none"/>
        </w:rPr>
        <w:t>(1)采购部(采购文件)</w:t>
      </w:r>
    </w:p>
    <w:p>
      <w:pPr>
        <w:widowControl/>
        <w:spacing w:line="400" w:lineRule="atLeast"/>
        <w:ind w:firstLine="420"/>
        <w:jc w:val="left"/>
        <w:rPr>
          <w:color w:val="auto"/>
          <w:highlight w:val="none"/>
        </w:rPr>
      </w:pPr>
      <w:r>
        <w:rPr>
          <w:rFonts w:hint="eastAsia"/>
          <w:color w:val="auto"/>
          <w:highlight w:val="none"/>
        </w:rPr>
        <w:t>联系人：</w:t>
      </w:r>
      <w:r>
        <w:rPr>
          <w:rFonts w:hint="eastAsia"/>
          <w:color w:val="auto"/>
          <w:highlight w:val="none"/>
          <w:lang w:val="en-US" w:eastAsia="zh-CN"/>
        </w:rPr>
        <w:t>黄忠秀</w:t>
      </w:r>
      <w:r>
        <w:rPr>
          <w:rFonts w:hint="eastAsia"/>
          <w:color w:val="auto"/>
          <w:highlight w:val="none"/>
        </w:rPr>
        <w:t xml:space="preserve"> </w:t>
      </w:r>
      <w:r>
        <w:rPr>
          <w:color w:val="auto"/>
          <w:highlight w:val="none"/>
        </w:rPr>
        <w:t xml:space="preserve"> </w:t>
      </w:r>
      <w:r>
        <w:rPr>
          <w:rFonts w:hint="eastAsia"/>
          <w:color w:val="auto"/>
          <w:highlight w:val="none"/>
        </w:rPr>
        <w:t xml:space="preserve"> 联系方式：0777-2886022</w:t>
      </w:r>
    </w:p>
    <w:p>
      <w:pPr>
        <w:widowControl/>
        <w:spacing w:line="400" w:lineRule="atLeast"/>
        <w:ind w:firstLine="420"/>
        <w:jc w:val="left"/>
        <w:rPr>
          <w:color w:val="auto"/>
          <w:highlight w:val="none"/>
        </w:rPr>
      </w:pPr>
      <w:r>
        <w:rPr>
          <w:rFonts w:hint="eastAsia"/>
          <w:color w:val="auto"/>
          <w:highlight w:val="none"/>
        </w:rPr>
        <w:t>(2)综合二部(保证金、开标、评标、中标及合同管理)</w:t>
      </w:r>
    </w:p>
    <w:p>
      <w:pPr>
        <w:widowControl/>
        <w:spacing w:line="400" w:lineRule="atLeast"/>
        <w:ind w:firstLine="420"/>
        <w:jc w:val="left"/>
        <w:rPr>
          <w:color w:val="auto"/>
          <w:highlight w:val="none"/>
        </w:rPr>
      </w:pPr>
      <w:r>
        <w:rPr>
          <w:rFonts w:hint="eastAsia"/>
          <w:color w:val="auto"/>
          <w:highlight w:val="none"/>
        </w:rPr>
        <w:t xml:space="preserve">联系人：陈启梅、陈侃 </w:t>
      </w:r>
      <w:r>
        <w:rPr>
          <w:color w:val="auto"/>
          <w:highlight w:val="none"/>
        </w:rPr>
        <w:t xml:space="preserve">  </w:t>
      </w:r>
      <w:r>
        <w:rPr>
          <w:rFonts w:hint="eastAsia"/>
          <w:color w:val="auto"/>
          <w:highlight w:val="none"/>
        </w:rPr>
        <w:t>联系方式：0777-2886006</w:t>
      </w:r>
    </w:p>
    <w:p>
      <w:pPr>
        <w:widowControl/>
        <w:spacing w:line="400" w:lineRule="atLeast"/>
        <w:ind w:firstLine="420"/>
        <w:jc w:val="left"/>
        <w:rPr>
          <w:color w:val="auto"/>
          <w:highlight w:val="none"/>
        </w:rPr>
      </w:pPr>
      <w:r>
        <w:rPr>
          <w:rFonts w:hint="eastAsia"/>
          <w:color w:val="auto"/>
          <w:highlight w:val="none"/>
        </w:rPr>
        <w:t>(</w:t>
      </w:r>
      <w:r>
        <w:rPr>
          <w:color w:val="auto"/>
          <w:highlight w:val="none"/>
        </w:rPr>
        <w:t>3)</w:t>
      </w:r>
      <w:r>
        <w:rPr>
          <w:rFonts w:hint="eastAsia"/>
          <w:color w:val="auto"/>
          <w:highlight w:val="none"/>
        </w:rPr>
        <w:t>邮箱：qzzfcgzx@126.com</w:t>
      </w:r>
    </w:p>
    <w:p>
      <w:pPr>
        <w:widowControl/>
        <w:spacing w:line="400" w:lineRule="atLeast"/>
        <w:ind w:left="0" w:leftChars="0" w:firstLine="0" w:firstLineChars="0"/>
        <w:jc w:val="left"/>
        <w:rPr>
          <w:color w:val="auto"/>
          <w:highlight w:val="none"/>
        </w:rPr>
      </w:pPr>
      <w:r>
        <w:rPr>
          <w:color w:val="auto"/>
          <w:highlight w:val="none"/>
        </w:rPr>
        <w:t>(4)</w:t>
      </w:r>
      <w:r>
        <w:rPr>
          <w:rFonts w:hint="eastAsia"/>
          <w:color w:val="auto"/>
          <w:highlight w:val="none"/>
        </w:rPr>
        <w:t>政采云技术支持热线：</w:t>
      </w:r>
      <w:r>
        <w:rPr>
          <w:rFonts w:hAnsi="宋体"/>
          <w:color w:val="auto"/>
          <w:highlight w:val="none"/>
        </w:rPr>
        <w:t>95763</w:t>
      </w:r>
    </w:p>
    <w:bookmarkEnd w:id="223"/>
    <w:p>
      <w:pPr>
        <w:ind w:firstLine="420"/>
        <w:rPr>
          <w:color w:val="auto"/>
          <w:highlight w:val="none"/>
        </w:rPr>
      </w:pPr>
      <w:r>
        <w:rPr>
          <w:color w:val="auto"/>
          <w:highlight w:val="none"/>
        </w:rPr>
        <w:br w:type="page"/>
      </w:r>
    </w:p>
    <w:p>
      <w:pPr>
        <w:ind w:firstLine="420"/>
        <w:rPr>
          <w:color w:val="auto"/>
          <w:highlight w:val="none"/>
        </w:rPr>
      </w:pPr>
    </w:p>
    <w:p>
      <w:pPr>
        <w:ind w:firstLine="420"/>
        <w:rPr>
          <w:color w:val="auto"/>
          <w:highlight w:val="none"/>
        </w:rPr>
      </w:pPr>
    </w:p>
    <w:p>
      <w:pPr>
        <w:ind w:firstLine="420"/>
        <w:rPr>
          <w:rFonts w:hint="eastAsia"/>
          <w:color w:val="auto"/>
          <w:highlight w:val="none"/>
        </w:rPr>
      </w:pPr>
    </w:p>
    <w:p>
      <w:pPr>
        <w:ind w:firstLine="420"/>
        <w:rPr>
          <w:color w:val="auto"/>
          <w:highlight w:val="none"/>
        </w:rPr>
      </w:pPr>
    </w:p>
    <w:p>
      <w:pPr>
        <w:ind w:firstLine="420"/>
        <w:rPr>
          <w:color w:val="auto"/>
          <w:highlight w:val="none"/>
        </w:rPr>
      </w:pPr>
    </w:p>
    <w:p>
      <w:pPr>
        <w:ind w:firstLine="420"/>
        <w:rPr>
          <w:color w:val="auto"/>
          <w:highlight w:val="none"/>
        </w:rPr>
      </w:pPr>
    </w:p>
    <w:p>
      <w:pPr>
        <w:ind w:firstLine="420"/>
        <w:rPr>
          <w:color w:val="auto"/>
          <w:highlight w:val="none"/>
        </w:rPr>
      </w:pPr>
    </w:p>
    <w:p>
      <w:pPr>
        <w:ind w:firstLine="420"/>
        <w:rPr>
          <w:color w:val="auto"/>
          <w:highlight w:val="none"/>
        </w:rPr>
      </w:pPr>
    </w:p>
    <w:p>
      <w:pPr>
        <w:ind w:firstLine="420"/>
        <w:rPr>
          <w:color w:val="auto"/>
          <w:highlight w:val="none"/>
        </w:rPr>
      </w:pPr>
    </w:p>
    <w:p>
      <w:pPr>
        <w:ind w:firstLine="420"/>
        <w:rPr>
          <w:rFonts w:hint="eastAsia"/>
          <w:color w:val="auto"/>
          <w:highlight w:val="none"/>
        </w:rPr>
      </w:pPr>
    </w:p>
    <w:p>
      <w:pPr>
        <w:ind w:firstLine="420"/>
        <w:rPr>
          <w:rFonts w:hint="eastAsia"/>
          <w:color w:val="auto"/>
          <w:highlight w:val="none"/>
        </w:rPr>
      </w:pPr>
    </w:p>
    <w:p>
      <w:pPr>
        <w:pStyle w:val="46"/>
        <w:ind w:left="0" w:leftChars="0" w:right="0" w:rightChars="0" w:firstLine="0" w:firstLineChars="0"/>
        <w:jc w:val="center"/>
        <w:rPr>
          <w:color w:val="auto"/>
          <w:highlight w:val="none"/>
        </w:rPr>
      </w:pPr>
      <w:bookmarkStart w:id="224" w:name="_Toc91512286"/>
      <w:r>
        <w:rPr>
          <w:rFonts w:hint="eastAsia"/>
          <w:color w:val="auto"/>
          <w:highlight w:val="none"/>
        </w:rPr>
        <w:t xml:space="preserve">第四章  </w:t>
      </w:r>
      <w:bookmarkEnd w:id="224"/>
      <w:r>
        <w:rPr>
          <w:rFonts w:hint="eastAsia"/>
          <w:color w:val="auto"/>
          <w:highlight w:val="none"/>
        </w:rPr>
        <w:t>评定标准及推荐原则</w:t>
      </w:r>
    </w:p>
    <w:p>
      <w:pPr>
        <w:ind w:firstLine="0" w:firstLineChars="0"/>
        <w:rPr>
          <w:color w:val="auto"/>
          <w:highlight w:val="none"/>
        </w:rPr>
      </w:pPr>
      <w:r>
        <w:rPr>
          <w:color w:val="auto"/>
          <w:highlight w:val="none"/>
        </w:rPr>
        <w:br w:type="page"/>
      </w:r>
      <w:bookmarkStart w:id="225" w:name="_Hlk92268453"/>
    </w:p>
    <w:bookmarkEnd w:id="225"/>
    <w:p>
      <w:pPr>
        <w:spacing w:line="380" w:lineRule="exact"/>
        <w:ind w:firstLine="0" w:firstLineChars="0"/>
        <w:jc w:val="center"/>
        <w:rPr>
          <w:rFonts w:ascii="宋体" w:hAnsi="宋体"/>
          <w:b/>
          <w:color w:val="auto"/>
          <w:sz w:val="32"/>
          <w:szCs w:val="32"/>
          <w:highlight w:val="none"/>
        </w:rPr>
      </w:pPr>
      <w:r>
        <w:rPr>
          <w:rFonts w:hint="eastAsia" w:ascii="宋体" w:hAnsi="宋体"/>
          <w:b/>
          <w:color w:val="auto"/>
          <w:sz w:val="32"/>
          <w:highlight w:val="none"/>
        </w:rPr>
        <w:t>评定标准和推荐原则</w:t>
      </w:r>
    </w:p>
    <w:p>
      <w:pPr>
        <w:pStyle w:val="27"/>
        <w:spacing w:line="500" w:lineRule="exact"/>
        <w:ind w:firstLine="0" w:firstLineChars="0"/>
        <w:jc w:val="left"/>
        <w:rPr>
          <w:rFonts w:hAnsi="宋体"/>
          <w:b/>
          <w:bCs/>
          <w:color w:val="auto"/>
          <w:highlight w:val="none"/>
        </w:rPr>
      </w:pPr>
      <w:r>
        <w:rPr>
          <w:rFonts w:hint="eastAsia" w:hAnsi="宋体"/>
          <w:b/>
          <w:bCs/>
          <w:color w:val="auto"/>
          <w:highlight w:val="none"/>
        </w:rPr>
        <w:t>一、评标原则</w:t>
      </w:r>
    </w:p>
    <w:p>
      <w:pPr>
        <w:pStyle w:val="27"/>
        <w:spacing w:line="500" w:lineRule="exact"/>
        <w:ind w:firstLine="210" w:firstLineChars="100"/>
        <w:jc w:val="left"/>
        <w:rPr>
          <w:rFonts w:hAnsi="宋体"/>
          <w:color w:val="auto"/>
          <w:highlight w:val="none"/>
        </w:rPr>
      </w:pPr>
      <w:r>
        <w:rPr>
          <w:rFonts w:hint="eastAsia" w:hAnsi="宋体"/>
          <w:color w:val="auto"/>
          <w:highlight w:val="none"/>
        </w:rPr>
        <w:t>（一）评标依据：评标委员会将以招投标文件为评标依据，</w:t>
      </w:r>
      <w:r>
        <w:rPr>
          <w:rFonts w:hAnsi="宋体"/>
          <w:color w:val="auto"/>
          <w:highlight w:val="none"/>
        </w:rPr>
        <w:t>对投标人的投标报价、</w:t>
      </w:r>
      <w:r>
        <w:rPr>
          <w:rFonts w:hint="eastAsia" w:hAnsi="宋体"/>
          <w:bCs/>
          <w:color w:val="auto"/>
          <w:highlight w:val="none"/>
        </w:rPr>
        <w:t>技术商务资信</w:t>
      </w:r>
      <w:r>
        <w:rPr>
          <w:rFonts w:hAnsi="宋体"/>
          <w:color w:val="auto"/>
          <w:highlight w:val="none"/>
        </w:rPr>
        <w:t>等方面内容</w:t>
      </w:r>
      <w:r>
        <w:rPr>
          <w:rFonts w:hint="eastAsia" w:hAnsi="宋体"/>
          <w:color w:val="auto"/>
          <w:highlight w:val="none"/>
        </w:rPr>
        <w:t>进行评价。</w:t>
      </w:r>
    </w:p>
    <w:p>
      <w:pPr>
        <w:pStyle w:val="27"/>
        <w:spacing w:line="500" w:lineRule="exact"/>
        <w:ind w:firstLine="210" w:firstLineChars="100"/>
        <w:jc w:val="left"/>
        <w:rPr>
          <w:rFonts w:hAnsi="宋体"/>
          <w:color w:val="auto"/>
          <w:highlight w:val="none"/>
        </w:rPr>
      </w:pPr>
      <w:r>
        <w:rPr>
          <w:rFonts w:hint="eastAsia" w:hAnsi="宋体"/>
          <w:color w:val="auto"/>
          <w:highlight w:val="none"/>
        </w:rPr>
        <w:t>（二）评标委员会组成：由采购人代表和评审专家组成，成员人数应当为5人以上单数，其中评审专家的人数不得少于成员总数的三分之二。</w:t>
      </w:r>
    </w:p>
    <w:p>
      <w:pPr>
        <w:pStyle w:val="27"/>
        <w:spacing w:line="500" w:lineRule="exact"/>
        <w:ind w:firstLine="210" w:firstLineChars="100"/>
        <w:jc w:val="left"/>
        <w:rPr>
          <w:rFonts w:hAnsi="宋体"/>
          <w:color w:val="auto"/>
          <w:highlight w:val="none"/>
        </w:rPr>
      </w:pPr>
      <w:r>
        <w:rPr>
          <w:rFonts w:hint="eastAsia" w:hAnsi="宋体"/>
          <w:color w:val="auto"/>
          <w:highlight w:val="none"/>
        </w:rPr>
        <w:t>（三）评分方式：评标委员会各成员独立对每个投标人的投标文件进行评价。</w:t>
      </w:r>
    </w:p>
    <w:p>
      <w:pPr>
        <w:pStyle w:val="27"/>
        <w:spacing w:line="500" w:lineRule="exact"/>
        <w:ind w:firstLine="0" w:firstLineChars="0"/>
        <w:jc w:val="left"/>
        <w:rPr>
          <w:rFonts w:hAnsi="宋体"/>
          <w:b/>
          <w:bCs/>
          <w:color w:val="auto"/>
          <w:highlight w:val="none"/>
        </w:rPr>
      </w:pPr>
      <w:r>
        <w:rPr>
          <w:rFonts w:hint="eastAsia" w:hAnsi="宋体"/>
          <w:b/>
          <w:bCs/>
          <w:color w:val="auto"/>
          <w:highlight w:val="none"/>
        </w:rPr>
        <w:t>二、评分细则</w:t>
      </w:r>
    </w:p>
    <w:p>
      <w:pPr>
        <w:spacing w:line="500" w:lineRule="exact"/>
        <w:ind w:firstLine="210" w:firstLineChars="100"/>
        <w:jc w:val="left"/>
        <w:rPr>
          <w:rFonts w:ascii="宋体" w:hAnsi="宋体" w:cs="Courier New"/>
          <w:color w:val="auto"/>
          <w:szCs w:val="21"/>
          <w:highlight w:val="none"/>
        </w:rPr>
      </w:pPr>
      <w:r>
        <w:rPr>
          <w:rFonts w:hint="eastAsia" w:ascii="宋体" w:hAnsi="宋体" w:cs="Courier New"/>
          <w:color w:val="auto"/>
          <w:szCs w:val="21"/>
          <w:highlight w:val="none"/>
        </w:rPr>
        <w:t>综合评分法：对满足招标文件全部实质性要求的投标人投标文件</w:t>
      </w:r>
      <w:r>
        <w:rPr>
          <w:rFonts w:ascii="宋体" w:hAnsi="宋体" w:cs="Arial"/>
          <w:color w:val="auto"/>
          <w:szCs w:val="21"/>
          <w:highlight w:val="none"/>
        </w:rPr>
        <w:t>按照评审因素的量化指标评审</w:t>
      </w:r>
      <w:r>
        <w:rPr>
          <w:rFonts w:hint="eastAsia" w:ascii="宋体" w:hAnsi="宋体" w:cs="Arial"/>
          <w:color w:val="auto"/>
          <w:szCs w:val="21"/>
          <w:highlight w:val="none"/>
        </w:rPr>
        <w:t>并汇总(</w:t>
      </w:r>
      <w:r>
        <w:rPr>
          <w:rFonts w:hint="eastAsia" w:ascii="宋体" w:hAnsi="宋体" w:cs="Courier New"/>
          <w:color w:val="auto"/>
          <w:szCs w:val="21"/>
          <w:highlight w:val="none"/>
        </w:rPr>
        <w:t>四舍五入取至百分位)。</w:t>
      </w:r>
    </w:p>
    <w:p>
      <w:pPr>
        <w:spacing w:line="500" w:lineRule="exact"/>
        <w:ind w:firstLine="211" w:firstLineChars="100"/>
        <w:rPr>
          <w:rFonts w:ascii="宋体" w:hAnsi="宋体"/>
          <w:b/>
          <w:bCs/>
          <w:color w:val="auto"/>
          <w:highlight w:val="none"/>
        </w:rPr>
      </w:pPr>
      <w:r>
        <w:rPr>
          <w:rFonts w:hint="eastAsia" w:ascii="宋体" w:hAnsi="宋体"/>
          <w:b/>
          <w:bCs/>
          <w:color w:val="auto"/>
          <w:highlight w:val="none"/>
        </w:rPr>
        <w:t>（一）报价分（</w:t>
      </w:r>
      <w:r>
        <w:rPr>
          <w:rFonts w:hint="eastAsia" w:ascii="宋体" w:hAnsi="宋体"/>
          <w:b/>
          <w:bCs/>
          <w:color w:val="auto"/>
          <w:highlight w:val="none"/>
          <w:lang w:val="en-US" w:eastAsia="zh-CN"/>
        </w:rPr>
        <w:t>30</w:t>
      </w:r>
      <w:r>
        <w:rPr>
          <w:rFonts w:hint="eastAsia" w:ascii="宋体" w:hAnsi="宋体"/>
          <w:b/>
          <w:bCs/>
          <w:color w:val="auto"/>
          <w:highlight w:val="none"/>
        </w:rPr>
        <w:t>分）</w:t>
      </w:r>
    </w:p>
    <w:p>
      <w:pPr>
        <w:spacing w:line="500" w:lineRule="exact"/>
        <w:ind w:firstLine="420"/>
        <w:jc w:val="left"/>
        <w:rPr>
          <w:rFonts w:hint="eastAsia" w:ascii="宋体" w:hAnsi="宋体" w:cs="Courier New"/>
          <w:color w:val="auto"/>
          <w:szCs w:val="21"/>
          <w:highlight w:val="none"/>
        </w:rPr>
      </w:pPr>
      <w:r>
        <w:rPr>
          <w:rFonts w:hint="eastAsia" w:ascii="宋体" w:hAnsi="宋体" w:cs="Courier New"/>
          <w:color w:val="auto"/>
          <w:szCs w:val="21"/>
          <w:highlight w:val="none"/>
        </w:rPr>
        <w:tab/>
      </w:r>
      <w:r>
        <w:rPr>
          <w:rFonts w:hint="eastAsia" w:ascii="宋体" w:hAnsi="宋体" w:cs="Courier New"/>
          <w:color w:val="auto"/>
          <w:szCs w:val="21"/>
          <w:highlight w:val="none"/>
        </w:rPr>
        <w:t>1.投标人的价格分统一按照下列公式计算：</w:t>
      </w:r>
    </w:p>
    <w:p>
      <w:pPr>
        <w:spacing w:line="500" w:lineRule="exact"/>
        <w:ind w:firstLine="422"/>
        <w:jc w:val="left"/>
        <w:rPr>
          <w:rFonts w:hint="eastAsia" w:ascii="宋体" w:hAnsi="宋体" w:cs="Courier New"/>
          <w:b/>
          <w:color w:val="auto"/>
          <w:szCs w:val="21"/>
          <w:highlight w:val="none"/>
        </w:rPr>
      </w:pPr>
      <w:r>
        <w:rPr>
          <w:rFonts w:hint="eastAsia" w:ascii="宋体" w:hAnsi="宋体" w:cs="Courier New"/>
          <w:b/>
          <w:color w:val="auto"/>
          <w:szCs w:val="21"/>
          <w:highlight w:val="none"/>
        </w:rPr>
        <w:tab/>
      </w:r>
      <w:r>
        <w:rPr>
          <w:rFonts w:hint="eastAsia" w:ascii="宋体" w:hAnsi="宋体" w:cs="Courier New"/>
          <w:b/>
          <w:color w:val="auto"/>
          <w:szCs w:val="21"/>
          <w:highlight w:val="none"/>
        </w:rPr>
        <w:t>某投标人价格分=（评标基准价/某投标人评标价）×</w:t>
      </w:r>
      <w:r>
        <w:rPr>
          <w:rFonts w:hint="eastAsia" w:ascii="宋体" w:hAnsi="宋体" w:cs="Courier New"/>
          <w:b/>
          <w:color w:val="auto"/>
          <w:szCs w:val="21"/>
          <w:highlight w:val="none"/>
          <w:lang w:val="en-US" w:eastAsia="zh-CN"/>
        </w:rPr>
        <w:t>30</w:t>
      </w:r>
      <w:r>
        <w:rPr>
          <w:rFonts w:hint="eastAsia" w:ascii="宋体" w:hAnsi="宋体" w:cs="Courier New"/>
          <w:b/>
          <w:color w:val="auto"/>
          <w:szCs w:val="21"/>
          <w:highlight w:val="none"/>
        </w:rPr>
        <w:t>分</w:t>
      </w:r>
    </w:p>
    <w:p>
      <w:pPr>
        <w:widowControl/>
        <w:spacing w:line="500" w:lineRule="exact"/>
        <w:ind w:firstLine="420"/>
        <w:jc w:val="left"/>
        <w:rPr>
          <w:rFonts w:hint="eastAsia" w:ascii="宋体" w:hAnsi="宋体" w:cs="Courier New"/>
          <w:color w:val="auto"/>
          <w:szCs w:val="21"/>
          <w:highlight w:val="none"/>
        </w:rPr>
      </w:pPr>
      <w:r>
        <w:rPr>
          <w:rFonts w:hint="eastAsia" w:ascii="宋体" w:hAnsi="宋体" w:cs="Courier New"/>
          <w:color w:val="auto"/>
          <w:szCs w:val="21"/>
          <w:highlight w:val="none"/>
        </w:rPr>
        <w:t>注：</w:t>
      </w:r>
    </w:p>
    <w:p>
      <w:pPr>
        <w:widowControl/>
        <w:spacing w:line="500" w:lineRule="exact"/>
        <w:ind w:firstLine="420"/>
        <w:jc w:val="left"/>
        <w:rPr>
          <w:rFonts w:hint="eastAsia" w:ascii="宋体" w:hAnsi="宋体" w:cs="Courier New"/>
          <w:color w:val="auto"/>
          <w:szCs w:val="21"/>
          <w:highlight w:val="none"/>
        </w:rPr>
      </w:pPr>
      <w:r>
        <w:rPr>
          <w:rFonts w:hint="eastAsia" w:ascii="宋体" w:hAnsi="宋体" w:cs="Courier New"/>
          <w:color w:val="auto"/>
          <w:szCs w:val="21"/>
          <w:highlight w:val="none"/>
        </w:rPr>
        <w:t>投标人提供的全部货物符合《政府采购促进中小企业发展管理办法》（财库﹝2020﹞46号）规定，并在投标文件中提供《中小企业声明函》（格式见第六章，投标人须对声明的真实性负责）。评审中将对小微型企业报价给予20%的扣除，扣除后的价格为评标价。</w:t>
      </w:r>
    </w:p>
    <w:p>
      <w:pPr>
        <w:widowControl/>
        <w:spacing w:line="500" w:lineRule="exact"/>
        <w:ind w:firstLine="420"/>
        <w:jc w:val="left"/>
        <w:rPr>
          <w:rFonts w:hint="eastAsia" w:ascii="宋体" w:hAnsi="宋体" w:cs="Courier New"/>
          <w:color w:val="auto"/>
          <w:szCs w:val="21"/>
          <w:highlight w:val="none"/>
        </w:rPr>
      </w:pPr>
      <w:r>
        <w:rPr>
          <w:rFonts w:hint="eastAsia" w:ascii="宋体" w:hAnsi="宋体" w:cs="Courier New"/>
          <w:color w:val="auto"/>
          <w:szCs w:val="21"/>
          <w:highlight w:val="none"/>
        </w:rPr>
        <w:t>投标人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widowControl/>
        <w:spacing w:line="500" w:lineRule="exact"/>
        <w:ind w:firstLine="420"/>
        <w:jc w:val="left"/>
        <w:rPr>
          <w:rFonts w:hint="eastAsia" w:ascii="宋体" w:hAnsi="宋体" w:cs="Courier New"/>
          <w:color w:val="auto"/>
          <w:szCs w:val="21"/>
          <w:highlight w:val="none"/>
        </w:rPr>
      </w:pPr>
      <w:r>
        <w:rPr>
          <w:rFonts w:hint="eastAsia" w:ascii="宋体" w:hAnsi="宋体" w:cs="Courier New"/>
          <w:color w:val="auto"/>
          <w:szCs w:val="21"/>
          <w:highlight w:val="none"/>
        </w:rPr>
        <w:t>投标人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格式见第六章），并对声明的真实性负责。残疾人福利性单位属于小型、微型企业的，不重复享受政策。</w:t>
      </w:r>
    </w:p>
    <w:p>
      <w:pPr>
        <w:widowControl/>
        <w:spacing w:line="500" w:lineRule="exact"/>
        <w:ind w:firstLine="420"/>
        <w:jc w:val="left"/>
        <w:rPr>
          <w:rFonts w:hint="eastAsia" w:ascii="宋体" w:hAnsi="宋体" w:cs="Courier New"/>
          <w:color w:val="auto"/>
          <w:szCs w:val="21"/>
          <w:highlight w:val="none"/>
        </w:rPr>
      </w:pPr>
      <w:r>
        <w:rPr>
          <w:rFonts w:hint="eastAsia" w:ascii="宋体" w:hAnsi="宋体" w:cs="Courier New"/>
          <w:color w:val="auto"/>
          <w:highlight w:val="none"/>
        </w:rPr>
        <w:t>投标人获得政策性价格扣除的，评标价</w:t>
      </w:r>
      <w:r>
        <w:rPr>
          <w:rFonts w:ascii="宋体" w:hAnsi="宋体" w:cs="Courier New"/>
          <w:color w:val="auto"/>
          <w:highlight w:val="none"/>
        </w:rPr>
        <w:t>=</w:t>
      </w:r>
      <w:r>
        <w:rPr>
          <w:rFonts w:hint="eastAsia" w:ascii="宋体" w:hAnsi="宋体" w:cs="Courier New"/>
          <w:color w:val="auto"/>
          <w:highlight w:val="none"/>
        </w:rPr>
        <w:t>投标报价×（</w:t>
      </w:r>
      <w:r>
        <w:rPr>
          <w:rFonts w:ascii="宋体" w:hAnsi="宋体" w:cs="Courier New"/>
          <w:color w:val="auto"/>
          <w:highlight w:val="none"/>
        </w:rPr>
        <w:t>1-</w:t>
      </w:r>
      <w:r>
        <w:rPr>
          <w:rFonts w:hint="eastAsia" w:ascii="宋体" w:hAnsi="宋体" w:cs="Courier New"/>
          <w:color w:val="auto"/>
          <w:highlight w:val="none"/>
        </w:rPr>
        <w:t>2</w:t>
      </w:r>
      <w:r>
        <w:rPr>
          <w:rFonts w:ascii="宋体" w:hAnsi="宋体" w:cs="Courier New"/>
          <w:color w:val="auto"/>
          <w:highlight w:val="none"/>
        </w:rPr>
        <w:t>0%</w:t>
      </w:r>
      <w:r>
        <w:rPr>
          <w:rFonts w:hint="eastAsia" w:ascii="宋体" w:hAnsi="宋体" w:cs="Courier New"/>
          <w:color w:val="auto"/>
          <w:highlight w:val="none"/>
        </w:rPr>
        <w:t>），否则评标价</w:t>
      </w:r>
      <w:r>
        <w:rPr>
          <w:rFonts w:ascii="宋体" w:hAnsi="宋体" w:cs="Courier New"/>
          <w:color w:val="auto"/>
          <w:highlight w:val="none"/>
        </w:rPr>
        <w:t>=</w:t>
      </w:r>
      <w:r>
        <w:rPr>
          <w:rFonts w:hint="eastAsia" w:ascii="宋体" w:hAnsi="宋体" w:cs="Courier New"/>
          <w:color w:val="auto"/>
          <w:highlight w:val="none"/>
        </w:rPr>
        <w:t>投标报价。满足招标文件全部实质性要求的投标人最低评标价为评标基准价。评标价仅作评标时使用，中标金额＝投标报价。</w:t>
      </w:r>
    </w:p>
    <w:p>
      <w:pPr>
        <w:widowControl/>
        <w:spacing w:line="500" w:lineRule="exact"/>
        <w:ind w:firstLine="420"/>
        <w:jc w:val="left"/>
        <w:rPr>
          <w:rFonts w:hint="eastAsia" w:ascii="宋体" w:hAnsi="宋体" w:cs="Courier New"/>
          <w:color w:val="auto"/>
          <w:szCs w:val="21"/>
          <w:highlight w:val="none"/>
          <w:u w:val="none"/>
        </w:rPr>
      </w:pPr>
      <w:r>
        <w:rPr>
          <w:rFonts w:hint="eastAsia" w:ascii="宋体" w:hAnsi="宋体" w:cs="Courier New"/>
          <w:color w:val="auto"/>
          <w:szCs w:val="21"/>
          <w:highlight w:val="none"/>
          <w:u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numPr>
          <w:ilvl w:val="0"/>
          <w:numId w:val="20"/>
        </w:numPr>
        <w:spacing w:line="500" w:lineRule="exact"/>
        <w:ind w:firstLine="282" w:firstLineChars="134"/>
        <w:rPr>
          <w:rFonts w:hint="eastAsia" w:ascii="宋体" w:hAnsi="宋体" w:cs="宋体"/>
          <w:b/>
          <w:bCs/>
          <w:color w:val="auto"/>
          <w:spacing w:val="-12"/>
          <w:kern w:val="0"/>
          <w:szCs w:val="21"/>
          <w:highlight w:val="none"/>
          <w:u w:val="none"/>
        </w:rPr>
      </w:pPr>
      <w:r>
        <w:rPr>
          <w:rFonts w:hint="eastAsia" w:ascii="宋体" w:hAnsi="宋体" w:cs="宋体"/>
          <w:b/>
          <w:bCs/>
          <w:color w:val="auto"/>
          <w:kern w:val="0"/>
          <w:szCs w:val="21"/>
          <w:highlight w:val="none"/>
          <w:u w:val="none"/>
        </w:rPr>
        <w:t>技术商务资信分</w:t>
      </w:r>
      <w:r>
        <w:rPr>
          <w:rFonts w:hint="eastAsia" w:ascii="宋体" w:hAnsi="宋体" w:cs="宋体"/>
          <w:b/>
          <w:bCs/>
          <w:color w:val="auto"/>
          <w:spacing w:val="-12"/>
          <w:kern w:val="0"/>
          <w:szCs w:val="21"/>
          <w:highlight w:val="none"/>
          <w:u w:val="none"/>
        </w:rPr>
        <w:t>（</w:t>
      </w:r>
      <w:r>
        <w:rPr>
          <w:rFonts w:hint="eastAsia" w:ascii="宋体" w:hAnsi="宋体" w:cs="宋体"/>
          <w:b/>
          <w:bCs/>
          <w:color w:val="auto"/>
          <w:spacing w:val="-12"/>
          <w:kern w:val="0"/>
          <w:szCs w:val="21"/>
          <w:highlight w:val="none"/>
          <w:u w:val="none"/>
          <w:lang w:val="en-US" w:eastAsia="zh-CN"/>
        </w:rPr>
        <w:t>70</w:t>
      </w:r>
      <w:r>
        <w:rPr>
          <w:rFonts w:hint="eastAsia" w:ascii="宋体" w:hAnsi="宋体" w:cs="宋体"/>
          <w:b/>
          <w:bCs/>
          <w:color w:val="auto"/>
          <w:spacing w:val="-12"/>
          <w:kern w:val="0"/>
          <w:szCs w:val="21"/>
          <w:highlight w:val="none"/>
          <w:u w:val="none"/>
        </w:rPr>
        <w:t>分）</w:t>
      </w:r>
    </w:p>
    <w:p>
      <w:pPr>
        <w:numPr>
          <w:ilvl w:val="0"/>
          <w:numId w:val="0"/>
        </w:numPr>
        <w:spacing w:line="500" w:lineRule="exact"/>
        <w:rPr>
          <w:rFonts w:hint="eastAsia" w:ascii="宋体" w:hAnsi="宋体" w:cs="宋体"/>
          <w:b w:val="0"/>
          <w:bCs w:val="0"/>
          <w:color w:val="auto"/>
          <w:kern w:val="0"/>
          <w:szCs w:val="21"/>
          <w:highlight w:val="none"/>
          <w:lang w:eastAsia="zh-CN" w:bidi="ar"/>
        </w:rPr>
      </w:pPr>
      <w:r>
        <w:rPr>
          <w:rFonts w:hint="eastAsia" w:ascii="宋体" w:hAnsi="宋体" w:cs="宋体"/>
          <w:b w:val="0"/>
          <w:bCs w:val="0"/>
          <w:color w:val="auto"/>
          <w:kern w:val="0"/>
          <w:szCs w:val="21"/>
          <w:highlight w:val="none"/>
          <w:lang w:val="en-US" w:eastAsia="zh-CN" w:bidi="ar"/>
        </w:rPr>
        <w:t>1</w:t>
      </w:r>
      <w:r>
        <w:rPr>
          <w:rFonts w:hint="eastAsia" w:ascii="宋体" w:hAnsi="宋体" w:cs="宋体"/>
          <w:b w:val="0"/>
          <w:bCs w:val="0"/>
          <w:color w:val="auto"/>
          <w:kern w:val="0"/>
          <w:szCs w:val="21"/>
          <w:highlight w:val="none"/>
          <w:lang w:eastAsia="zh-CN" w:bidi="ar"/>
        </w:rPr>
        <w:t>.技术性能分（满分3</w:t>
      </w:r>
      <w:r>
        <w:rPr>
          <w:rFonts w:hint="eastAsia" w:ascii="宋体" w:hAnsi="宋体" w:cs="宋体"/>
          <w:b w:val="0"/>
          <w:bCs w:val="0"/>
          <w:color w:val="auto"/>
          <w:kern w:val="0"/>
          <w:szCs w:val="21"/>
          <w:highlight w:val="none"/>
          <w:lang w:val="en-US" w:eastAsia="zh-CN" w:bidi="ar"/>
        </w:rPr>
        <w:t>0</w:t>
      </w:r>
      <w:r>
        <w:rPr>
          <w:rFonts w:hint="eastAsia" w:ascii="宋体" w:hAnsi="宋体" w:cs="宋体"/>
          <w:b w:val="0"/>
          <w:bCs w:val="0"/>
          <w:color w:val="auto"/>
          <w:kern w:val="0"/>
          <w:szCs w:val="21"/>
          <w:highlight w:val="none"/>
          <w:lang w:eastAsia="zh-CN" w:bidi="ar"/>
        </w:rPr>
        <w:t>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auto"/>
          <w:kern w:val="0"/>
          <w:szCs w:val="21"/>
          <w:highlight w:val="none"/>
          <w:lang w:eastAsia="zh-CN" w:bidi="ar"/>
        </w:rPr>
      </w:pPr>
      <w:r>
        <w:rPr>
          <w:rFonts w:hint="eastAsia" w:ascii="宋体" w:hAnsi="宋体" w:cs="宋体"/>
          <w:b w:val="0"/>
          <w:bCs w:val="0"/>
          <w:color w:val="auto"/>
          <w:kern w:val="0"/>
          <w:szCs w:val="21"/>
          <w:highlight w:val="none"/>
          <w:lang w:eastAsia="zh-CN" w:bidi="ar"/>
        </w:rPr>
        <w:t>投标人所提供的产品均能满足招标文件中的技术参数要求，项目采购需求一览表中标注“▲”号的技术参数，为重要技术指标、功能条款，将作为货物性能评审依据。标注“▲”号的参数完全满足招标文件全部要求，且能提供包括但不限于厂家证明或功能截图或国家认可的第三方检测报告并加盖供应商公章。</w:t>
      </w:r>
      <w:r>
        <w:rPr>
          <w:rFonts w:hint="eastAsia" w:ascii="宋体" w:hAnsi="宋体" w:cs="宋体"/>
          <w:b w:val="0"/>
          <w:bCs w:val="0"/>
          <w:color w:val="auto"/>
          <w:kern w:val="0"/>
          <w:szCs w:val="21"/>
          <w:highlight w:val="none"/>
          <w:lang w:val="en-US" w:eastAsia="zh-CN" w:bidi="ar"/>
        </w:rPr>
        <w:t>每提供一项得0.75分，总分30</w:t>
      </w:r>
      <w:r>
        <w:rPr>
          <w:rFonts w:hint="eastAsia" w:ascii="宋体" w:hAnsi="宋体" w:cs="宋体"/>
          <w:b w:val="0"/>
          <w:bCs w:val="0"/>
          <w:color w:val="auto"/>
          <w:kern w:val="0"/>
          <w:szCs w:val="21"/>
          <w:highlight w:val="none"/>
          <w:lang w:eastAsia="zh-CN" w:bidi="ar"/>
        </w:rPr>
        <w:t>分，标注“▲”号的参数出现负偏离或无法提供包括但不限于厂家证明或功能截图或国家认可的第三方检测报告并加盖供应商公章的不得分。</w:t>
      </w:r>
    </w:p>
    <w:p>
      <w:pPr>
        <w:numPr>
          <w:ilvl w:val="0"/>
          <w:numId w:val="0"/>
        </w:numPr>
        <w:spacing w:line="500" w:lineRule="exact"/>
        <w:rPr>
          <w:rFonts w:hint="eastAsia" w:ascii="宋体" w:hAnsi="宋体" w:cs="宋体"/>
          <w:b w:val="0"/>
          <w:bCs w:val="0"/>
          <w:color w:val="auto"/>
          <w:kern w:val="0"/>
          <w:szCs w:val="21"/>
          <w:highlight w:val="none"/>
          <w:lang w:eastAsia="zh-CN" w:bidi="ar"/>
        </w:rPr>
      </w:pPr>
      <w:r>
        <w:rPr>
          <w:rFonts w:hint="eastAsia" w:ascii="宋体" w:hAnsi="宋体" w:cs="宋体"/>
          <w:b w:val="0"/>
          <w:bCs w:val="0"/>
          <w:color w:val="auto"/>
          <w:kern w:val="0"/>
          <w:szCs w:val="21"/>
          <w:highlight w:val="none"/>
          <w:lang w:eastAsia="zh-CN" w:bidi="ar"/>
        </w:rPr>
        <w:t>说明：标注“▲”的内容在投标文件中逐点应答出检测（验）报告具体位置，如技术要求偏离表中的投标响应与佐证材料不一致的，以佐证材料为准。</w:t>
      </w:r>
    </w:p>
    <w:p>
      <w:pPr>
        <w:numPr>
          <w:ilvl w:val="0"/>
          <w:numId w:val="0"/>
        </w:numPr>
        <w:spacing w:line="500" w:lineRule="exact"/>
        <w:rPr>
          <w:rFonts w:hint="eastAsia" w:ascii="宋体" w:hAnsi="宋体" w:cs="宋体"/>
          <w:b w:val="0"/>
          <w:bCs w:val="0"/>
          <w:color w:val="auto"/>
          <w:kern w:val="0"/>
          <w:szCs w:val="21"/>
          <w:highlight w:val="none"/>
          <w:lang w:eastAsia="zh-CN" w:bidi="ar"/>
        </w:rPr>
      </w:pPr>
      <w:r>
        <w:rPr>
          <w:rFonts w:hint="eastAsia" w:ascii="宋体" w:hAnsi="宋体" w:cs="宋体"/>
          <w:b w:val="0"/>
          <w:bCs w:val="0"/>
          <w:color w:val="auto"/>
          <w:kern w:val="0"/>
          <w:szCs w:val="21"/>
          <w:highlight w:val="none"/>
          <w:lang w:val="en-US" w:eastAsia="zh-CN" w:bidi="ar"/>
        </w:rPr>
        <w:t>2</w:t>
      </w:r>
      <w:r>
        <w:rPr>
          <w:rFonts w:hint="eastAsia" w:ascii="宋体" w:hAnsi="宋体" w:cs="宋体"/>
          <w:b w:val="0"/>
          <w:bCs w:val="0"/>
          <w:color w:val="auto"/>
          <w:kern w:val="0"/>
          <w:szCs w:val="21"/>
          <w:highlight w:val="none"/>
          <w:lang w:eastAsia="zh-CN" w:bidi="ar"/>
        </w:rPr>
        <w:t>.项目实施方案（满分1</w:t>
      </w:r>
      <w:r>
        <w:rPr>
          <w:rFonts w:hint="eastAsia" w:ascii="宋体" w:hAnsi="宋体" w:cs="宋体"/>
          <w:b w:val="0"/>
          <w:bCs w:val="0"/>
          <w:color w:val="auto"/>
          <w:kern w:val="0"/>
          <w:szCs w:val="21"/>
          <w:highlight w:val="none"/>
          <w:lang w:val="en-US" w:eastAsia="zh-CN" w:bidi="ar"/>
        </w:rPr>
        <w:t>5</w:t>
      </w:r>
      <w:r>
        <w:rPr>
          <w:rFonts w:hint="eastAsia" w:ascii="宋体" w:hAnsi="宋体" w:cs="宋体"/>
          <w:b w:val="0"/>
          <w:bCs w:val="0"/>
          <w:color w:val="auto"/>
          <w:kern w:val="0"/>
          <w:szCs w:val="21"/>
          <w:highlight w:val="none"/>
          <w:lang w:eastAsia="zh-CN" w:bidi="ar"/>
        </w:rPr>
        <w:t>分）</w:t>
      </w:r>
    </w:p>
    <w:p>
      <w:pPr>
        <w:numPr>
          <w:ilvl w:val="0"/>
          <w:numId w:val="0"/>
        </w:numPr>
        <w:spacing w:line="500" w:lineRule="exact"/>
        <w:rPr>
          <w:rFonts w:hint="eastAsia" w:ascii="宋体" w:hAnsi="宋体" w:cs="宋体"/>
          <w:b w:val="0"/>
          <w:bCs w:val="0"/>
          <w:color w:val="auto"/>
          <w:kern w:val="0"/>
          <w:szCs w:val="21"/>
          <w:highlight w:val="none"/>
          <w:lang w:eastAsia="zh-CN" w:bidi="ar"/>
        </w:rPr>
      </w:pPr>
      <w:r>
        <w:rPr>
          <w:rFonts w:hint="eastAsia" w:ascii="宋体" w:hAnsi="宋体" w:cs="宋体"/>
          <w:b w:val="0"/>
          <w:bCs w:val="0"/>
          <w:color w:val="auto"/>
          <w:kern w:val="0"/>
          <w:szCs w:val="21"/>
          <w:highlight w:val="none"/>
          <w:lang w:eastAsia="zh-CN" w:bidi="ar"/>
        </w:rPr>
        <w:t>一档（</w:t>
      </w:r>
      <w:r>
        <w:rPr>
          <w:rFonts w:hint="eastAsia" w:ascii="宋体" w:hAnsi="宋体" w:cs="宋体"/>
          <w:b w:val="0"/>
          <w:bCs w:val="0"/>
          <w:color w:val="auto"/>
          <w:kern w:val="0"/>
          <w:szCs w:val="21"/>
          <w:highlight w:val="none"/>
          <w:lang w:val="en-US" w:eastAsia="zh-CN" w:bidi="ar"/>
        </w:rPr>
        <w:t>8</w:t>
      </w:r>
      <w:r>
        <w:rPr>
          <w:rFonts w:hint="eastAsia" w:ascii="宋体" w:hAnsi="宋体" w:cs="宋体"/>
          <w:b w:val="0"/>
          <w:bCs w:val="0"/>
          <w:color w:val="auto"/>
          <w:kern w:val="0"/>
          <w:szCs w:val="21"/>
          <w:highlight w:val="none"/>
          <w:lang w:eastAsia="zh-CN" w:bidi="ar"/>
        </w:rPr>
        <w:t>分）：提供了项目实施方案</w:t>
      </w:r>
      <w:r>
        <w:rPr>
          <w:rFonts w:hint="eastAsia" w:ascii="宋体" w:hAnsi="宋体" w:cs="宋体"/>
          <w:b w:val="0"/>
          <w:bCs w:val="0"/>
          <w:strike w:val="0"/>
          <w:color w:val="auto"/>
          <w:kern w:val="0"/>
          <w:szCs w:val="21"/>
          <w:highlight w:val="none"/>
          <w:lang w:eastAsia="zh-CN" w:bidi="ar"/>
        </w:rPr>
        <w:t>，</w:t>
      </w:r>
      <w:r>
        <w:rPr>
          <w:rFonts w:hint="eastAsia" w:ascii="宋体" w:hAnsi="宋体" w:cs="宋体"/>
          <w:b w:val="0"/>
          <w:bCs w:val="0"/>
          <w:color w:val="auto"/>
          <w:kern w:val="0"/>
          <w:szCs w:val="21"/>
          <w:highlight w:val="none"/>
          <w:lang w:eastAsia="zh-CN" w:bidi="ar"/>
        </w:rPr>
        <w:t>仅对招标技术参数内容进行响应的；</w:t>
      </w:r>
    </w:p>
    <w:p>
      <w:pPr>
        <w:numPr>
          <w:ilvl w:val="0"/>
          <w:numId w:val="0"/>
        </w:numPr>
        <w:spacing w:line="500" w:lineRule="exact"/>
        <w:rPr>
          <w:rFonts w:hint="eastAsia" w:ascii="宋体" w:hAnsi="宋体" w:cs="宋体"/>
          <w:b w:val="0"/>
          <w:bCs w:val="0"/>
          <w:color w:val="auto"/>
          <w:kern w:val="0"/>
          <w:szCs w:val="21"/>
          <w:highlight w:val="none"/>
          <w:lang w:eastAsia="zh-CN" w:bidi="ar"/>
        </w:rPr>
      </w:pPr>
      <w:r>
        <w:rPr>
          <w:rFonts w:hint="eastAsia" w:ascii="宋体" w:hAnsi="宋体" w:cs="宋体"/>
          <w:b w:val="0"/>
          <w:bCs w:val="0"/>
          <w:color w:val="auto"/>
          <w:kern w:val="0"/>
          <w:szCs w:val="21"/>
          <w:highlight w:val="none"/>
          <w:lang w:eastAsia="zh-CN" w:bidi="ar"/>
        </w:rPr>
        <w:t>二档（</w:t>
      </w:r>
      <w:r>
        <w:rPr>
          <w:rFonts w:hint="eastAsia" w:ascii="宋体" w:hAnsi="宋体" w:cs="宋体"/>
          <w:b w:val="0"/>
          <w:bCs w:val="0"/>
          <w:color w:val="auto"/>
          <w:kern w:val="0"/>
          <w:szCs w:val="21"/>
          <w:highlight w:val="none"/>
          <w:lang w:val="en-US" w:eastAsia="zh-CN" w:bidi="ar"/>
        </w:rPr>
        <w:t>12</w:t>
      </w:r>
      <w:r>
        <w:rPr>
          <w:rFonts w:hint="eastAsia" w:ascii="宋体" w:hAnsi="宋体" w:cs="宋体"/>
          <w:b w:val="0"/>
          <w:bCs w:val="0"/>
          <w:color w:val="auto"/>
          <w:kern w:val="0"/>
          <w:szCs w:val="21"/>
          <w:highlight w:val="none"/>
          <w:lang w:eastAsia="zh-CN" w:bidi="ar"/>
        </w:rPr>
        <w:t>分）：在满足一档要求的基础上，提供实施方案，能对项目实施进度管理及控制计划、项目人员组成及职责、工期管理的描述；</w:t>
      </w:r>
    </w:p>
    <w:p>
      <w:pPr>
        <w:numPr>
          <w:ilvl w:val="0"/>
          <w:numId w:val="0"/>
        </w:numPr>
        <w:spacing w:line="500" w:lineRule="exact"/>
        <w:rPr>
          <w:rFonts w:hint="eastAsia" w:ascii="宋体" w:hAnsi="宋体" w:cs="宋体"/>
          <w:b w:val="0"/>
          <w:bCs w:val="0"/>
          <w:color w:val="auto"/>
          <w:kern w:val="0"/>
          <w:szCs w:val="21"/>
          <w:highlight w:val="none"/>
          <w:lang w:eastAsia="zh-CN" w:bidi="ar"/>
        </w:rPr>
      </w:pPr>
      <w:r>
        <w:rPr>
          <w:rFonts w:hint="eastAsia" w:ascii="宋体" w:hAnsi="宋体" w:cs="宋体"/>
          <w:b w:val="0"/>
          <w:bCs w:val="0"/>
          <w:color w:val="auto"/>
          <w:kern w:val="0"/>
          <w:szCs w:val="21"/>
          <w:highlight w:val="none"/>
          <w:lang w:eastAsia="zh-CN" w:bidi="ar"/>
        </w:rPr>
        <w:t>三档（1</w:t>
      </w:r>
      <w:r>
        <w:rPr>
          <w:rFonts w:hint="eastAsia" w:ascii="宋体" w:hAnsi="宋体" w:cs="宋体"/>
          <w:b w:val="0"/>
          <w:bCs w:val="0"/>
          <w:color w:val="auto"/>
          <w:kern w:val="0"/>
          <w:szCs w:val="21"/>
          <w:highlight w:val="none"/>
          <w:lang w:val="en-US" w:eastAsia="zh-CN" w:bidi="ar"/>
        </w:rPr>
        <w:t>5</w:t>
      </w:r>
      <w:r>
        <w:rPr>
          <w:rFonts w:hint="eastAsia" w:ascii="宋体" w:hAnsi="宋体" w:cs="宋体"/>
          <w:b w:val="0"/>
          <w:bCs w:val="0"/>
          <w:color w:val="auto"/>
          <w:kern w:val="0"/>
          <w:szCs w:val="21"/>
          <w:highlight w:val="none"/>
          <w:lang w:eastAsia="zh-CN" w:bidi="ar"/>
        </w:rPr>
        <w:t>分）：在满足二档要求的基础上，提供实施方案，能对项目实施进度管理及控制计划、项目人员组成及职责、工期管理、技术路线</w:t>
      </w:r>
      <w:r>
        <w:rPr>
          <w:rFonts w:hint="eastAsia" w:ascii="宋体" w:hAnsi="宋体" w:cs="宋体"/>
          <w:b w:val="0"/>
          <w:bCs w:val="0"/>
          <w:color w:val="auto"/>
          <w:kern w:val="0"/>
          <w:szCs w:val="21"/>
          <w:highlight w:val="none"/>
          <w:lang w:val="en-US" w:eastAsia="zh-CN" w:bidi="ar"/>
        </w:rPr>
        <w:t>清晰、</w:t>
      </w:r>
      <w:r>
        <w:rPr>
          <w:rFonts w:hint="eastAsia" w:ascii="宋体" w:hAnsi="宋体" w:cs="宋体"/>
          <w:b w:val="0"/>
          <w:bCs w:val="0"/>
          <w:color w:val="auto"/>
          <w:kern w:val="0"/>
          <w:szCs w:val="21"/>
          <w:highlight w:val="none"/>
          <w:lang w:eastAsia="zh-CN" w:bidi="ar"/>
        </w:rPr>
        <w:t>技术服务、技术培训的服务内容和措施、项目质量管理计划、风险控制、</w:t>
      </w:r>
      <w:r>
        <w:rPr>
          <w:rFonts w:hint="eastAsia" w:ascii="宋体" w:hAnsi="宋体" w:cs="宋体"/>
          <w:b w:val="0"/>
          <w:bCs w:val="0"/>
          <w:color w:val="auto"/>
          <w:kern w:val="0"/>
          <w:szCs w:val="21"/>
          <w:highlight w:val="none"/>
          <w:lang w:val="en-US" w:eastAsia="zh-CN" w:bidi="ar"/>
        </w:rPr>
        <w:t>清晰的</w:t>
      </w:r>
      <w:r>
        <w:rPr>
          <w:rFonts w:hint="eastAsia" w:ascii="宋体" w:hAnsi="宋体" w:cs="宋体"/>
          <w:b w:val="0"/>
          <w:bCs w:val="0"/>
          <w:color w:val="auto"/>
          <w:kern w:val="0"/>
          <w:szCs w:val="21"/>
          <w:highlight w:val="none"/>
          <w:lang w:eastAsia="zh-CN" w:bidi="ar"/>
        </w:rPr>
        <w:t>点位布局图纸</w:t>
      </w:r>
      <w:r>
        <w:rPr>
          <w:rFonts w:hint="eastAsia" w:ascii="宋体" w:hAnsi="宋体" w:cs="宋体"/>
          <w:b w:val="0"/>
          <w:bCs w:val="0"/>
          <w:color w:val="auto"/>
          <w:kern w:val="0"/>
          <w:szCs w:val="21"/>
          <w:highlight w:val="none"/>
          <w:lang w:val="en-US" w:eastAsia="zh-CN" w:bidi="ar"/>
        </w:rPr>
        <w:t>(根据现场实际勘察情况）</w:t>
      </w:r>
      <w:r>
        <w:rPr>
          <w:rFonts w:hint="eastAsia" w:ascii="宋体" w:hAnsi="宋体" w:cs="宋体"/>
          <w:b w:val="0"/>
          <w:bCs w:val="0"/>
          <w:color w:val="auto"/>
          <w:kern w:val="0"/>
          <w:szCs w:val="21"/>
          <w:highlight w:val="none"/>
          <w:lang w:eastAsia="zh-CN" w:bidi="ar"/>
        </w:rPr>
        <w:t>，安装、调试方案等方面提出详细</w:t>
      </w:r>
      <w:r>
        <w:rPr>
          <w:rFonts w:hint="eastAsia" w:ascii="宋体" w:hAnsi="宋体" w:cs="宋体"/>
          <w:b w:val="0"/>
          <w:bCs w:val="0"/>
          <w:color w:val="auto"/>
          <w:kern w:val="0"/>
          <w:szCs w:val="21"/>
          <w:highlight w:val="none"/>
          <w:lang w:val="en-US" w:eastAsia="zh-CN" w:bidi="ar"/>
        </w:rPr>
        <w:t>明确的</w:t>
      </w:r>
      <w:r>
        <w:rPr>
          <w:rFonts w:hint="eastAsia" w:ascii="宋体" w:hAnsi="宋体" w:cs="宋体"/>
          <w:b w:val="0"/>
          <w:bCs w:val="0"/>
          <w:color w:val="auto"/>
          <w:kern w:val="0"/>
          <w:szCs w:val="21"/>
          <w:highlight w:val="none"/>
          <w:lang w:eastAsia="zh-CN" w:bidi="ar"/>
        </w:rPr>
        <w:t>流程项目实施方案，清楚的表明对本项目的熟悉程度，实施周期在规定时间以内。</w:t>
      </w:r>
    </w:p>
    <w:p>
      <w:pPr>
        <w:numPr>
          <w:ilvl w:val="0"/>
          <w:numId w:val="0"/>
        </w:numPr>
        <w:spacing w:line="500" w:lineRule="exact"/>
        <w:rPr>
          <w:rFonts w:hint="eastAsia" w:ascii="宋体" w:hAnsi="宋体" w:cs="宋体"/>
          <w:b w:val="0"/>
          <w:bCs w:val="0"/>
          <w:color w:val="auto"/>
          <w:kern w:val="0"/>
          <w:szCs w:val="21"/>
          <w:highlight w:val="none"/>
          <w:lang w:eastAsia="zh-CN" w:bidi="ar"/>
        </w:rPr>
      </w:pPr>
      <w:r>
        <w:rPr>
          <w:rFonts w:hint="eastAsia" w:ascii="宋体" w:hAnsi="宋体" w:cs="宋体"/>
          <w:b w:val="0"/>
          <w:bCs w:val="0"/>
          <w:color w:val="auto"/>
          <w:kern w:val="0"/>
          <w:szCs w:val="21"/>
          <w:highlight w:val="none"/>
          <w:lang w:eastAsia="zh-CN" w:bidi="ar"/>
        </w:rPr>
        <w:t>注：未提供或不符合招标文件基本要求的（不进档）不得分。</w:t>
      </w:r>
    </w:p>
    <w:p>
      <w:pPr>
        <w:numPr>
          <w:ilvl w:val="0"/>
          <w:numId w:val="0"/>
        </w:numPr>
        <w:spacing w:line="500" w:lineRule="exact"/>
        <w:rPr>
          <w:rFonts w:hint="eastAsia" w:ascii="宋体" w:hAnsi="宋体" w:cs="宋体"/>
          <w:b w:val="0"/>
          <w:bCs w:val="0"/>
          <w:color w:val="auto"/>
          <w:kern w:val="0"/>
          <w:szCs w:val="21"/>
          <w:highlight w:val="none"/>
          <w:lang w:eastAsia="zh-CN" w:bidi="ar"/>
        </w:rPr>
      </w:pPr>
      <w:r>
        <w:rPr>
          <w:rFonts w:hint="eastAsia" w:ascii="宋体" w:hAnsi="宋体" w:cs="宋体"/>
          <w:b w:val="0"/>
          <w:bCs w:val="0"/>
          <w:color w:val="auto"/>
          <w:kern w:val="0"/>
          <w:szCs w:val="21"/>
          <w:highlight w:val="none"/>
          <w:lang w:val="en-US" w:eastAsia="zh-CN" w:bidi="ar"/>
        </w:rPr>
        <w:t>3</w:t>
      </w:r>
      <w:r>
        <w:rPr>
          <w:rFonts w:hint="eastAsia" w:ascii="宋体" w:hAnsi="宋体" w:cs="宋体"/>
          <w:b w:val="0"/>
          <w:bCs w:val="0"/>
          <w:color w:val="auto"/>
          <w:kern w:val="0"/>
          <w:szCs w:val="21"/>
          <w:highlight w:val="none"/>
          <w:lang w:eastAsia="zh-CN" w:bidi="ar"/>
        </w:rPr>
        <w:t>.售后服务分（满分1</w:t>
      </w:r>
      <w:r>
        <w:rPr>
          <w:rFonts w:hint="eastAsia" w:ascii="宋体" w:hAnsi="宋体" w:cs="宋体"/>
          <w:b w:val="0"/>
          <w:bCs w:val="0"/>
          <w:color w:val="auto"/>
          <w:kern w:val="0"/>
          <w:szCs w:val="21"/>
          <w:highlight w:val="none"/>
          <w:lang w:val="en-US" w:eastAsia="zh-CN" w:bidi="ar"/>
        </w:rPr>
        <w:t>5</w:t>
      </w:r>
      <w:r>
        <w:rPr>
          <w:rFonts w:hint="eastAsia" w:ascii="宋体" w:hAnsi="宋体" w:cs="宋体"/>
          <w:b w:val="0"/>
          <w:bCs w:val="0"/>
          <w:color w:val="auto"/>
          <w:kern w:val="0"/>
          <w:szCs w:val="21"/>
          <w:highlight w:val="none"/>
          <w:lang w:eastAsia="zh-CN" w:bidi="ar"/>
        </w:rPr>
        <w:t>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auto"/>
          <w:kern w:val="0"/>
          <w:szCs w:val="21"/>
          <w:highlight w:val="none"/>
          <w:lang w:eastAsia="zh-CN" w:bidi="ar"/>
        </w:rPr>
      </w:pPr>
      <w:r>
        <w:rPr>
          <w:rFonts w:hint="eastAsia" w:ascii="宋体" w:hAnsi="宋体" w:cs="宋体"/>
          <w:b w:val="0"/>
          <w:bCs w:val="0"/>
          <w:color w:val="auto"/>
          <w:kern w:val="0"/>
          <w:szCs w:val="21"/>
          <w:highlight w:val="none"/>
          <w:lang w:eastAsia="zh-CN" w:bidi="ar"/>
        </w:rPr>
        <w:t>评委根据招标文件售后服务要求并结合投标人售后服务方案内容的完整性、可行性、保质期、到达故障现场时间、故障出现解决方案、免费技术培训方案、保修期外维修方案等由评委独立打分，确定各投标人所属档次，由评委在相应档次内独立打分。</w:t>
      </w:r>
    </w:p>
    <w:p>
      <w:pPr>
        <w:numPr>
          <w:ilvl w:val="0"/>
          <w:numId w:val="0"/>
        </w:numPr>
        <w:spacing w:line="500" w:lineRule="exact"/>
        <w:rPr>
          <w:rFonts w:hint="eastAsia" w:ascii="宋体" w:hAnsi="宋体" w:cs="宋体"/>
          <w:b w:val="0"/>
          <w:bCs w:val="0"/>
          <w:strike w:val="0"/>
          <w:color w:val="auto"/>
          <w:kern w:val="0"/>
          <w:szCs w:val="21"/>
          <w:highlight w:val="none"/>
          <w:lang w:eastAsia="zh-CN" w:bidi="ar"/>
        </w:rPr>
      </w:pPr>
      <w:r>
        <w:rPr>
          <w:rFonts w:hint="eastAsia" w:ascii="宋体" w:hAnsi="宋体" w:cs="宋体"/>
          <w:b w:val="0"/>
          <w:bCs w:val="0"/>
          <w:color w:val="auto"/>
          <w:kern w:val="0"/>
          <w:szCs w:val="21"/>
          <w:highlight w:val="none"/>
          <w:lang w:eastAsia="zh-CN" w:bidi="ar"/>
        </w:rPr>
        <w:t>一档（</w:t>
      </w:r>
      <w:r>
        <w:rPr>
          <w:rFonts w:hint="eastAsia" w:ascii="宋体" w:hAnsi="宋体" w:cs="宋体"/>
          <w:b w:val="0"/>
          <w:bCs w:val="0"/>
          <w:color w:val="auto"/>
          <w:kern w:val="0"/>
          <w:szCs w:val="21"/>
          <w:highlight w:val="none"/>
          <w:lang w:val="en-US" w:eastAsia="zh-CN" w:bidi="ar"/>
        </w:rPr>
        <w:t>6</w:t>
      </w:r>
      <w:r>
        <w:rPr>
          <w:rFonts w:hint="eastAsia" w:ascii="宋体" w:hAnsi="宋体" w:cs="宋体"/>
          <w:b w:val="0"/>
          <w:bCs w:val="0"/>
          <w:color w:val="auto"/>
          <w:kern w:val="0"/>
          <w:szCs w:val="21"/>
          <w:highlight w:val="none"/>
          <w:lang w:eastAsia="zh-CN" w:bidi="ar"/>
        </w:rPr>
        <w:t>分）：</w:t>
      </w:r>
      <w:r>
        <w:rPr>
          <w:rFonts w:hint="eastAsia" w:ascii="宋体" w:hAnsi="宋体" w:cs="宋体"/>
          <w:b w:val="0"/>
          <w:bCs w:val="0"/>
          <w:strike w:val="0"/>
          <w:dstrike w:val="0"/>
          <w:color w:val="auto"/>
          <w:kern w:val="0"/>
          <w:szCs w:val="21"/>
          <w:highlight w:val="none"/>
          <w:lang w:eastAsia="zh-CN" w:bidi="ar"/>
        </w:rPr>
        <w:t>提供针对本项目的售后服务方案，方案中包含质保期内及质保期外的售后服务方案及承诺。</w:t>
      </w:r>
    </w:p>
    <w:p>
      <w:pPr>
        <w:numPr>
          <w:ilvl w:val="0"/>
          <w:numId w:val="0"/>
        </w:numPr>
        <w:spacing w:line="500" w:lineRule="exact"/>
        <w:rPr>
          <w:rFonts w:hint="eastAsia" w:ascii="宋体" w:hAnsi="宋体" w:cs="宋体"/>
          <w:b w:val="0"/>
          <w:bCs w:val="0"/>
          <w:color w:val="auto"/>
          <w:kern w:val="0"/>
          <w:szCs w:val="21"/>
          <w:highlight w:val="none"/>
          <w:lang w:eastAsia="zh-CN" w:bidi="ar"/>
        </w:rPr>
      </w:pPr>
      <w:r>
        <w:rPr>
          <w:rFonts w:hint="eastAsia" w:ascii="宋体" w:hAnsi="宋体" w:cs="宋体"/>
          <w:b w:val="0"/>
          <w:bCs w:val="0"/>
          <w:color w:val="auto"/>
          <w:kern w:val="0"/>
          <w:szCs w:val="21"/>
          <w:highlight w:val="none"/>
          <w:lang w:eastAsia="zh-CN" w:bidi="ar"/>
        </w:rPr>
        <w:t>二档（</w:t>
      </w:r>
      <w:r>
        <w:rPr>
          <w:rFonts w:hint="eastAsia" w:ascii="宋体" w:hAnsi="宋体" w:cs="宋体"/>
          <w:b w:val="0"/>
          <w:bCs w:val="0"/>
          <w:color w:val="auto"/>
          <w:kern w:val="0"/>
          <w:szCs w:val="21"/>
          <w:highlight w:val="none"/>
          <w:lang w:val="en-US" w:eastAsia="zh-CN" w:bidi="ar"/>
        </w:rPr>
        <w:t>10</w:t>
      </w:r>
      <w:r>
        <w:rPr>
          <w:rFonts w:hint="eastAsia" w:ascii="宋体" w:hAnsi="宋体" w:cs="宋体"/>
          <w:b w:val="0"/>
          <w:bCs w:val="0"/>
          <w:color w:val="auto"/>
          <w:kern w:val="0"/>
          <w:szCs w:val="21"/>
          <w:highlight w:val="none"/>
          <w:lang w:eastAsia="zh-CN" w:bidi="ar"/>
        </w:rPr>
        <w:t>分）：满足一档的情况下，售后服务方案</w:t>
      </w:r>
      <w:r>
        <w:rPr>
          <w:rFonts w:hint="eastAsia" w:ascii="宋体" w:hAnsi="宋体" w:cs="宋体"/>
          <w:b w:val="0"/>
          <w:bCs w:val="0"/>
          <w:color w:val="auto"/>
          <w:kern w:val="0"/>
          <w:szCs w:val="21"/>
          <w:highlight w:val="none"/>
          <w:lang w:val="en-US" w:eastAsia="zh-CN" w:bidi="ar"/>
        </w:rPr>
        <w:t>有完整的</w:t>
      </w:r>
      <w:r>
        <w:rPr>
          <w:rFonts w:hint="eastAsia" w:ascii="宋体" w:hAnsi="宋体" w:cs="宋体"/>
          <w:b w:val="0"/>
          <w:bCs w:val="0"/>
          <w:color w:val="auto"/>
          <w:kern w:val="0"/>
          <w:szCs w:val="21"/>
          <w:highlight w:val="none"/>
          <w:lang w:eastAsia="zh-CN" w:bidi="ar"/>
        </w:rPr>
        <w:t>售后服务体系，售后服务响应机制、维护维修方案和措施，保障响应措施较有力，且为保证货物售后服务质量，投标人或投标人所投的投标产品厂商具有充足的售后资源及规范的管理制度，提供相关证明材料复印件并加盖公章。</w:t>
      </w:r>
    </w:p>
    <w:p>
      <w:pPr>
        <w:numPr>
          <w:ilvl w:val="0"/>
          <w:numId w:val="0"/>
        </w:numPr>
        <w:spacing w:line="500" w:lineRule="exact"/>
        <w:rPr>
          <w:rFonts w:hint="eastAsia" w:ascii="宋体" w:hAnsi="宋体" w:cs="宋体"/>
          <w:b w:val="0"/>
          <w:bCs w:val="0"/>
          <w:color w:val="auto"/>
          <w:kern w:val="0"/>
          <w:szCs w:val="21"/>
          <w:highlight w:val="none"/>
          <w:lang w:eastAsia="zh-CN" w:bidi="ar"/>
        </w:rPr>
      </w:pPr>
      <w:r>
        <w:rPr>
          <w:rFonts w:hint="eastAsia" w:ascii="宋体" w:hAnsi="宋体" w:cs="宋体"/>
          <w:b w:val="0"/>
          <w:bCs w:val="0"/>
          <w:color w:val="auto"/>
          <w:kern w:val="0"/>
          <w:szCs w:val="21"/>
          <w:highlight w:val="none"/>
          <w:lang w:eastAsia="zh-CN" w:bidi="ar"/>
        </w:rPr>
        <w:t>三档（1</w:t>
      </w:r>
      <w:r>
        <w:rPr>
          <w:rFonts w:hint="eastAsia" w:ascii="宋体" w:hAnsi="宋体" w:cs="宋体"/>
          <w:b w:val="0"/>
          <w:bCs w:val="0"/>
          <w:color w:val="auto"/>
          <w:kern w:val="0"/>
          <w:szCs w:val="21"/>
          <w:highlight w:val="none"/>
          <w:lang w:val="en-US" w:eastAsia="zh-CN" w:bidi="ar"/>
        </w:rPr>
        <w:t>5</w:t>
      </w:r>
      <w:r>
        <w:rPr>
          <w:rFonts w:hint="eastAsia" w:ascii="宋体" w:hAnsi="宋体" w:cs="宋体"/>
          <w:b w:val="0"/>
          <w:bCs w:val="0"/>
          <w:color w:val="auto"/>
          <w:kern w:val="0"/>
          <w:szCs w:val="21"/>
          <w:highlight w:val="none"/>
          <w:lang w:eastAsia="zh-CN" w:bidi="ar"/>
        </w:rPr>
        <w:t>分）：满足二档的情况下，售后服务方案论述</w:t>
      </w:r>
      <w:r>
        <w:rPr>
          <w:rFonts w:hint="eastAsia" w:ascii="宋体" w:hAnsi="宋体" w:cs="宋体"/>
          <w:b w:val="0"/>
          <w:bCs w:val="0"/>
          <w:color w:val="auto"/>
          <w:kern w:val="0"/>
          <w:szCs w:val="21"/>
          <w:highlight w:val="none"/>
          <w:lang w:val="en-US" w:eastAsia="zh-CN" w:bidi="ar"/>
        </w:rPr>
        <w:t>清晰</w:t>
      </w:r>
      <w:r>
        <w:rPr>
          <w:rFonts w:hint="eastAsia" w:ascii="宋体" w:hAnsi="宋体" w:cs="宋体"/>
          <w:b w:val="0"/>
          <w:bCs w:val="0"/>
          <w:color w:val="auto"/>
          <w:kern w:val="0"/>
          <w:szCs w:val="21"/>
          <w:highlight w:val="none"/>
          <w:lang w:eastAsia="zh-CN" w:bidi="ar"/>
        </w:rPr>
        <w:t>，售后服务人员配备合理；故障响应及达到故障现场时间优于采购要求，对系统的维护提供整体维护解决方案和运行维护应急预案，提供一站式、全面、专业的本地化维护服务，提供系统维护信息档案管理，有免费培训计划和定期回访计划，方案优秀且投标人或投标人所投的投标产品厂商能保障产品的技术、质量指标和提升服务水平的。</w:t>
      </w:r>
    </w:p>
    <w:p>
      <w:pPr>
        <w:numPr>
          <w:ilvl w:val="0"/>
          <w:numId w:val="0"/>
        </w:numPr>
        <w:spacing w:line="500" w:lineRule="exact"/>
        <w:rPr>
          <w:rFonts w:hint="eastAsia" w:ascii="宋体" w:hAnsi="宋体" w:cs="宋体"/>
          <w:b w:val="0"/>
          <w:bCs w:val="0"/>
          <w:color w:val="auto"/>
          <w:kern w:val="0"/>
          <w:szCs w:val="21"/>
          <w:highlight w:val="none"/>
          <w:lang w:eastAsia="zh-CN" w:bidi="ar"/>
        </w:rPr>
      </w:pPr>
      <w:r>
        <w:rPr>
          <w:rFonts w:hint="eastAsia" w:ascii="宋体" w:hAnsi="宋体" w:cs="宋体"/>
          <w:b w:val="0"/>
          <w:bCs w:val="0"/>
          <w:color w:val="auto"/>
          <w:kern w:val="0"/>
          <w:szCs w:val="21"/>
          <w:highlight w:val="none"/>
          <w:lang w:eastAsia="zh-CN" w:bidi="ar"/>
        </w:rPr>
        <w:t>注：未提供或不符合招标文件基本要求的（不进档）不得分。</w:t>
      </w:r>
    </w:p>
    <w:p>
      <w:pPr>
        <w:numPr>
          <w:ilvl w:val="0"/>
          <w:numId w:val="0"/>
        </w:numPr>
        <w:spacing w:line="500" w:lineRule="exact"/>
        <w:rPr>
          <w:rFonts w:hint="eastAsia" w:ascii="宋体" w:hAnsi="宋体" w:cs="宋体"/>
          <w:b w:val="0"/>
          <w:bCs w:val="0"/>
          <w:color w:val="auto"/>
          <w:kern w:val="0"/>
          <w:szCs w:val="21"/>
          <w:highlight w:val="none"/>
          <w:lang w:eastAsia="zh-CN" w:bidi="ar"/>
        </w:rPr>
      </w:pPr>
      <w:r>
        <w:rPr>
          <w:rFonts w:hint="eastAsia" w:ascii="宋体" w:hAnsi="宋体" w:cs="宋体"/>
          <w:b w:val="0"/>
          <w:bCs w:val="0"/>
          <w:color w:val="auto"/>
          <w:kern w:val="0"/>
          <w:szCs w:val="21"/>
          <w:highlight w:val="none"/>
          <w:lang w:val="en-US" w:eastAsia="zh-CN" w:bidi="ar"/>
        </w:rPr>
        <w:t>4</w:t>
      </w:r>
      <w:r>
        <w:rPr>
          <w:rFonts w:hint="eastAsia" w:ascii="宋体" w:hAnsi="宋体" w:cs="宋体"/>
          <w:b w:val="0"/>
          <w:bCs w:val="0"/>
          <w:color w:val="auto"/>
          <w:kern w:val="0"/>
          <w:szCs w:val="21"/>
          <w:highlight w:val="none"/>
          <w:lang w:eastAsia="zh-CN" w:bidi="ar"/>
        </w:rPr>
        <w:t>.业绩分（满分</w:t>
      </w:r>
      <w:r>
        <w:rPr>
          <w:rFonts w:hint="eastAsia" w:ascii="宋体" w:hAnsi="宋体" w:cs="宋体"/>
          <w:b w:val="0"/>
          <w:bCs w:val="0"/>
          <w:color w:val="auto"/>
          <w:kern w:val="0"/>
          <w:szCs w:val="21"/>
          <w:highlight w:val="none"/>
          <w:lang w:val="en-US" w:eastAsia="zh-CN" w:bidi="ar"/>
        </w:rPr>
        <w:t>5</w:t>
      </w:r>
      <w:r>
        <w:rPr>
          <w:rFonts w:hint="eastAsia" w:ascii="宋体" w:hAnsi="宋体" w:cs="宋体"/>
          <w:b w:val="0"/>
          <w:bCs w:val="0"/>
          <w:color w:val="auto"/>
          <w:kern w:val="0"/>
          <w:szCs w:val="21"/>
          <w:highlight w:val="none"/>
          <w:lang w:eastAsia="zh-CN" w:bidi="ar"/>
        </w:rPr>
        <w:t>分）</w:t>
      </w:r>
    </w:p>
    <w:p>
      <w:pPr>
        <w:pStyle w:val="20"/>
        <w:rPr>
          <w:rFonts w:hint="eastAsia" w:ascii="宋体" w:hAnsi="宋体" w:cs="宋体"/>
          <w:b w:val="0"/>
          <w:bCs w:val="0"/>
          <w:color w:val="auto"/>
          <w:kern w:val="0"/>
          <w:szCs w:val="21"/>
          <w:highlight w:val="none"/>
          <w:lang w:eastAsia="zh-CN" w:bidi="ar"/>
        </w:rPr>
      </w:pPr>
      <w:r>
        <w:rPr>
          <w:rFonts w:hint="eastAsia" w:ascii="宋体" w:hAnsi="宋体" w:cs="宋体"/>
          <w:b w:val="0"/>
          <w:bCs w:val="0"/>
          <w:color w:val="auto"/>
          <w:kern w:val="0"/>
          <w:szCs w:val="21"/>
          <w:highlight w:val="none"/>
          <w:lang w:eastAsia="zh-CN" w:bidi="ar"/>
        </w:rPr>
        <w:t>投标人在投标文件中</w:t>
      </w:r>
      <w:r>
        <w:rPr>
          <w:rFonts w:hint="eastAsia" w:ascii="宋体" w:hAnsi="宋体" w:cs="宋体"/>
          <w:b w:val="0"/>
          <w:bCs w:val="0"/>
          <w:strike w:val="0"/>
          <w:dstrike w:val="0"/>
          <w:color w:val="auto"/>
          <w:kern w:val="0"/>
          <w:szCs w:val="21"/>
          <w:highlight w:val="none"/>
          <w:lang w:eastAsia="zh-CN" w:bidi="ar"/>
        </w:rPr>
        <w:t>提供</w:t>
      </w:r>
      <w:r>
        <w:rPr>
          <w:rFonts w:hint="eastAsia"/>
          <w:highlight w:val="none"/>
          <w:lang w:val="en-US" w:eastAsia="zh-CN"/>
        </w:rPr>
        <w:t>投标人自2021年以来具有类似项目合同的，</w:t>
      </w:r>
      <w:r>
        <w:rPr>
          <w:rFonts w:hint="eastAsia" w:ascii="宋体" w:hAnsi="宋体" w:cs="宋体"/>
          <w:b w:val="0"/>
          <w:bCs w:val="0"/>
          <w:color w:val="auto"/>
          <w:kern w:val="0"/>
          <w:szCs w:val="21"/>
          <w:highlight w:val="none"/>
          <w:lang w:eastAsia="zh-CN" w:bidi="ar"/>
        </w:rPr>
        <w:t>每提供一份，得1分，</w:t>
      </w:r>
      <w:r>
        <w:rPr>
          <w:rFonts w:hint="eastAsia" w:ascii="宋体" w:hAnsi="宋体" w:cs="宋体"/>
          <w:b w:val="0"/>
          <w:bCs w:val="0"/>
          <w:color w:val="auto"/>
          <w:kern w:val="0"/>
          <w:szCs w:val="21"/>
          <w:highlight w:val="none"/>
          <w:lang w:val="en-US" w:eastAsia="zh-CN" w:bidi="ar"/>
        </w:rPr>
        <w:t>本项满分5分</w:t>
      </w:r>
      <w:r>
        <w:rPr>
          <w:rFonts w:hint="eastAsia" w:ascii="宋体" w:hAnsi="宋体" w:cs="宋体"/>
          <w:b w:val="0"/>
          <w:bCs w:val="0"/>
          <w:color w:val="auto"/>
          <w:kern w:val="0"/>
          <w:szCs w:val="21"/>
          <w:highlight w:val="none"/>
          <w:lang w:eastAsia="zh-CN" w:bidi="ar"/>
        </w:rPr>
        <w:t>。</w:t>
      </w:r>
    </w:p>
    <w:p>
      <w:pPr>
        <w:numPr>
          <w:ilvl w:val="0"/>
          <w:numId w:val="0"/>
        </w:numPr>
        <w:spacing w:line="500" w:lineRule="exact"/>
        <w:rPr>
          <w:rFonts w:hint="eastAsia" w:ascii="宋体" w:hAnsi="宋体" w:eastAsia="宋体" w:cs="宋体"/>
          <w:b w:val="0"/>
          <w:bCs w:val="0"/>
          <w:color w:val="auto"/>
          <w:kern w:val="0"/>
          <w:szCs w:val="21"/>
          <w:highlight w:val="none"/>
          <w:lang w:eastAsia="zh-CN" w:bidi="ar"/>
        </w:rPr>
      </w:pPr>
      <w:r>
        <w:rPr>
          <w:rFonts w:hint="eastAsia" w:ascii="宋体" w:hAnsi="宋体" w:cs="宋体"/>
          <w:b w:val="0"/>
          <w:bCs w:val="0"/>
          <w:color w:val="auto"/>
          <w:kern w:val="0"/>
          <w:szCs w:val="21"/>
          <w:highlight w:val="none"/>
          <w:lang w:val="en-US" w:eastAsia="zh-CN" w:bidi="ar"/>
        </w:rPr>
        <w:t>5</w:t>
      </w:r>
      <w:r>
        <w:rPr>
          <w:rFonts w:hint="eastAsia" w:ascii="宋体" w:hAnsi="宋体" w:eastAsia="宋体" w:cs="宋体"/>
          <w:b w:val="0"/>
          <w:bCs w:val="0"/>
          <w:color w:val="auto"/>
          <w:kern w:val="0"/>
          <w:szCs w:val="21"/>
          <w:highlight w:val="none"/>
          <w:lang w:val="en-US" w:eastAsia="zh-CN" w:bidi="ar"/>
        </w:rPr>
        <w:t>.</w:t>
      </w:r>
      <w:r>
        <w:rPr>
          <w:rFonts w:hint="eastAsia" w:ascii="宋体" w:hAnsi="宋体" w:eastAsia="宋体" w:cs="宋体"/>
          <w:b w:val="0"/>
          <w:bCs w:val="0"/>
          <w:color w:val="auto"/>
          <w:kern w:val="0"/>
          <w:szCs w:val="21"/>
          <w:highlight w:val="none"/>
          <w:lang w:eastAsia="zh-CN" w:bidi="ar"/>
        </w:rPr>
        <w:t>政策分（节能、环保产品等）满分</w:t>
      </w:r>
      <w:r>
        <w:rPr>
          <w:rFonts w:hint="eastAsia" w:ascii="宋体" w:hAnsi="宋体" w:cs="宋体"/>
          <w:b w:val="0"/>
          <w:bCs w:val="0"/>
          <w:color w:val="auto"/>
          <w:kern w:val="0"/>
          <w:szCs w:val="21"/>
          <w:highlight w:val="none"/>
          <w:lang w:val="en-US" w:eastAsia="zh-CN" w:bidi="ar"/>
        </w:rPr>
        <w:t>5</w:t>
      </w:r>
      <w:r>
        <w:rPr>
          <w:rFonts w:hint="eastAsia" w:ascii="宋体" w:hAnsi="宋体" w:eastAsia="宋体" w:cs="宋体"/>
          <w:b w:val="0"/>
          <w:bCs w:val="0"/>
          <w:color w:val="auto"/>
          <w:kern w:val="0"/>
          <w:szCs w:val="21"/>
          <w:highlight w:val="none"/>
          <w:lang w:eastAsia="zh-CN" w:bidi="ar"/>
        </w:rPr>
        <w:t>分</w:t>
      </w:r>
    </w:p>
    <w:p>
      <w:pPr>
        <w:numPr>
          <w:ilvl w:val="0"/>
          <w:numId w:val="0"/>
        </w:numPr>
        <w:spacing w:line="500" w:lineRule="exact"/>
        <w:rPr>
          <w:rFonts w:hint="eastAsia" w:ascii="宋体" w:hAnsi="宋体" w:eastAsia="宋体" w:cs="宋体"/>
          <w:kern w:val="0"/>
          <w:sz w:val="21"/>
          <w:szCs w:val="21"/>
          <w:highlight w:val="none"/>
          <w:lang w:bidi="ar-SA"/>
        </w:rPr>
      </w:pPr>
      <w:r>
        <w:rPr>
          <w:rFonts w:hint="eastAsia" w:ascii="宋体" w:hAnsi="宋体" w:eastAsia="宋体" w:cs="宋体"/>
          <w:b w:val="0"/>
          <w:bCs w:val="0"/>
          <w:color w:val="auto"/>
          <w:kern w:val="0"/>
          <w:szCs w:val="21"/>
          <w:highlight w:val="none"/>
          <w:lang w:eastAsia="zh-CN" w:bidi="ar"/>
        </w:rPr>
        <w:t>（1）投标人提供的产品通过节能产品认证</w:t>
      </w:r>
      <w:r>
        <w:rPr>
          <w:rFonts w:hint="eastAsia" w:ascii="宋体" w:hAnsi="宋体" w:cs="宋体"/>
          <w:b w:val="0"/>
          <w:bCs w:val="0"/>
          <w:color w:val="auto"/>
          <w:kern w:val="0"/>
          <w:szCs w:val="21"/>
          <w:highlight w:val="none"/>
          <w:lang w:eastAsia="zh-CN" w:bidi="ar"/>
        </w:rPr>
        <w:t>的</w:t>
      </w:r>
      <w:r>
        <w:rPr>
          <w:rFonts w:hint="eastAsia" w:ascii="宋体" w:hAnsi="宋体" w:eastAsia="宋体" w:cs="宋体"/>
          <w:b w:val="0"/>
          <w:bCs w:val="0"/>
          <w:color w:val="auto"/>
          <w:kern w:val="0"/>
          <w:szCs w:val="21"/>
          <w:highlight w:val="none"/>
          <w:lang w:eastAsia="zh-CN" w:bidi="ar"/>
        </w:rPr>
        <w:t>，得</w:t>
      </w:r>
      <w:r>
        <w:rPr>
          <w:rFonts w:hint="eastAsia" w:ascii="宋体" w:hAnsi="宋体" w:eastAsia="宋体" w:cs="宋体"/>
          <w:b w:val="0"/>
          <w:bCs w:val="0"/>
          <w:color w:val="auto"/>
          <w:kern w:val="0"/>
          <w:szCs w:val="21"/>
          <w:highlight w:val="none"/>
          <w:lang w:val="en-US" w:eastAsia="zh-CN" w:bidi="ar"/>
        </w:rPr>
        <w:t>2</w:t>
      </w:r>
      <w:r>
        <w:rPr>
          <w:rFonts w:hint="eastAsia" w:ascii="宋体" w:hAnsi="宋体" w:eastAsia="宋体" w:cs="宋体"/>
          <w:b w:val="0"/>
          <w:bCs w:val="0"/>
          <w:color w:val="auto"/>
          <w:kern w:val="0"/>
          <w:szCs w:val="21"/>
          <w:highlight w:val="none"/>
          <w:lang w:eastAsia="zh-CN" w:bidi="ar"/>
        </w:rPr>
        <w:t>分。（投标时须提供</w:t>
      </w:r>
      <w:r>
        <w:rPr>
          <w:rFonts w:hint="eastAsia" w:ascii="宋体" w:hAnsi="宋体" w:eastAsia="宋体" w:cs="宋体"/>
          <w:kern w:val="0"/>
          <w:sz w:val="21"/>
          <w:szCs w:val="21"/>
          <w:highlight w:val="none"/>
          <w:lang w:bidi="ar-SA"/>
        </w:rPr>
        <w:t>国家确定的认证机构出具的、处于有效期之内的有效的节能产品认证证书复印件并加盖投标人公章。适用于非强制采购节能产品）</w:t>
      </w:r>
    </w:p>
    <w:p>
      <w:pPr>
        <w:pStyle w:val="20"/>
        <w:ind w:left="0" w:leftChars="0" w:firstLine="0" w:firstLineChars="0"/>
        <w:rPr>
          <w:rFonts w:hint="eastAsia" w:ascii="宋体" w:hAnsi="宋体" w:eastAsia="宋体" w:cs="宋体"/>
          <w:kern w:val="0"/>
          <w:sz w:val="21"/>
          <w:szCs w:val="21"/>
          <w:highlight w:val="none"/>
          <w:lang w:bidi="ar-SA"/>
        </w:rPr>
      </w:pPr>
      <w:r>
        <w:rPr>
          <w:rFonts w:hint="eastAsia" w:ascii="宋体" w:hAnsi="宋体" w:eastAsia="宋体" w:cs="宋体"/>
          <w:kern w:val="0"/>
          <w:sz w:val="21"/>
          <w:szCs w:val="21"/>
          <w:highlight w:val="none"/>
          <w:lang w:bidi="ar-SA"/>
        </w:rPr>
        <w:t>（2）投标人提供的产品通过环境标志产品认证的，得</w:t>
      </w:r>
      <w:r>
        <w:rPr>
          <w:rFonts w:hint="eastAsia" w:ascii="宋体" w:hAnsi="宋体" w:eastAsia="宋体" w:cs="宋体"/>
          <w:kern w:val="0"/>
          <w:sz w:val="21"/>
          <w:szCs w:val="21"/>
          <w:highlight w:val="none"/>
          <w:lang w:val="en-US" w:eastAsia="zh-CN" w:bidi="ar-SA"/>
        </w:rPr>
        <w:t>1</w:t>
      </w:r>
      <w:r>
        <w:rPr>
          <w:rFonts w:hint="eastAsia" w:ascii="宋体" w:hAnsi="宋体" w:eastAsia="宋体" w:cs="宋体"/>
          <w:kern w:val="0"/>
          <w:sz w:val="21"/>
          <w:szCs w:val="21"/>
          <w:highlight w:val="none"/>
          <w:lang w:bidi="ar-SA"/>
        </w:rPr>
        <w:t>分。（投标时须提供国家确定的认证机构出具的、处于有效期之内的有效的环保产品认证证书复印件并加盖投标人公章。）</w:t>
      </w:r>
    </w:p>
    <w:p>
      <w:pPr>
        <w:pStyle w:val="20"/>
        <w:ind w:left="0" w:leftChars="0" w:firstLine="0" w:firstLineChars="0"/>
        <w:rPr>
          <w:rFonts w:hint="default" w:ascii="宋体" w:hAnsi="宋体" w:eastAsia="宋体" w:cs="宋体"/>
          <w:kern w:val="0"/>
          <w:sz w:val="21"/>
          <w:szCs w:val="21"/>
          <w:highlight w:val="none"/>
          <w:lang w:val="en-US" w:eastAsia="zh-CN" w:bidi="ar-SA"/>
        </w:rPr>
      </w:pPr>
      <w:r>
        <w:rPr>
          <w:rFonts w:hint="eastAsia" w:ascii="宋体" w:hAnsi="宋体" w:cs="宋体"/>
          <w:kern w:val="0"/>
          <w:sz w:val="21"/>
          <w:szCs w:val="21"/>
          <w:highlight w:val="none"/>
          <w:lang w:eastAsia="zh-CN" w:bidi="ar-SA"/>
        </w:rPr>
        <w:t>（</w:t>
      </w:r>
      <w:r>
        <w:rPr>
          <w:rFonts w:hint="eastAsia" w:ascii="宋体" w:hAnsi="宋体" w:cs="宋体"/>
          <w:kern w:val="0"/>
          <w:sz w:val="21"/>
          <w:szCs w:val="21"/>
          <w:highlight w:val="none"/>
          <w:lang w:val="en-US" w:eastAsia="zh-CN" w:bidi="ar-SA"/>
        </w:rPr>
        <w:t>1</w:t>
      </w:r>
      <w:r>
        <w:rPr>
          <w:rFonts w:hint="eastAsia" w:ascii="宋体" w:hAnsi="宋体" w:cs="宋体"/>
          <w:kern w:val="0"/>
          <w:sz w:val="21"/>
          <w:szCs w:val="21"/>
          <w:highlight w:val="none"/>
          <w:lang w:eastAsia="zh-CN" w:bidi="ar-SA"/>
        </w:rPr>
        <w:t>）（</w:t>
      </w:r>
      <w:r>
        <w:rPr>
          <w:rFonts w:hint="eastAsia" w:ascii="宋体" w:hAnsi="宋体" w:cs="宋体"/>
          <w:kern w:val="0"/>
          <w:sz w:val="21"/>
          <w:szCs w:val="21"/>
          <w:highlight w:val="none"/>
          <w:lang w:val="en-US" w:eastAsia="zh-CN" w:bidi="ar-SA"/>
        </w:rPr>
        <w:t>2</w:t>
      </w:r>
      <w:r>
        <w:rPr>
          <w:rFonts w:hint="eastAsia" w:ascii="宋体" w:hAnsi="宋体" w:cs="宋体"/>
          <w:kern w:val="0"/>
          <w:sz w:val="21"/>
          <w:szCs w:val="21"/>
          <w:highlight w:val="none"/>
          <w:lang w:eastAsia="zh-CN" w:bidi="ar-SA"/>
        </w:rPr>
        <w:t>）</w:t>
      </w:r>
      <w:r>
        <w:rPr>
          <w:rFonts w:hint="eastAsia" w:ascii="宋体" w:hAnsi="宋体" w:cs="宋体"/>
          <w:kern w:val="0"/>
          <w:sz w:val="21"/>
          <w:szCs w:val="21"/>
          <w:highlight w:val="none"/>
          <w:lang w:val="en-US" w:eastAsia="zh-CN" w:bidi="ar-SA"/>
        </w:rPr>
        <w:t>项累计加分不超过5分。</w:t>
      </w:r>
    </w:p>
    <w:p>
      <w:pPr>
        <w:numPr>
          <w:ilvl w:val="0"/>
          <w:numId w:val="0"/>
        </w:numPr>
        <w:spacing w:line="500" w:lineRule="exact"/>
        <w:rPr>
          <w:rFonts w:hint="eastAsia" w:ascii="宋体" w:hAnsi="宋体"/>
          <w:b/>
          <w:bCs/>
          <w:color w:val="auto"/>
          <w:highlight w:val="none"/>
          <w:u w:val="none"/>
        </w:rPr>
      </w:pPr>
      <w:r>
        <w:rPr>
          <w:rFonts w:hint="eastAsia" w:ascii="宋体" w:hAnsi="宋体"/>
          <w:b/>
          <w:bCs/>
          <w:color w:val="auto"/>
          <w:highlight w:val="none"/>
          <w:u w:val="none"/>
        </w:rPr>
        <w:t>三、总得分=价格分+技术商务资信分</w:t>
      </w:r>
    </w:p>
    <w:p>
      <w:pPr>
        <w:spacing w:line="500" w:lineRule="exact"/>
        <w:ind w:firstLine="0" w:firstLineChars="0"/>
        <w:rPr>
          <w:rFonts w:ascii="宋体" w:hAnsi="宋体"/>
          <w:b/>
          <w:bCs/>
          <w:color w:val="auto"/>
          <w:highlight w:val="none"/>
          <w:u w:val="none"/>
        </w:rPr>
      </w:pPr>
      <w:r>
        <w:rPr>
          <w:rFonts w:hint="eastAsia" w:ascii="宋体" w:hAnsi="宋体"/>
          <w:b/>
          <w:bCs/>
          <w:color w:val="auto"/>
          <w:highlight w:val="none"/>
          <w:u w:val="none"/>
        </w:rPr>
        <w:t>四、中标候选人推荐原则</w:t>
      </w:r>
    </w:p>
    <w:p>
      <w:pPr>
        <w:spacing w:line="500" w:lineRule="exact"/>
        <w:ind w:firstLine="0" w:firstLineChars="0"/>
        <w:rPr>
          <w:rFonts w:hint="eastAsia" w:ascii="宋体" w:hAnsi="宋体"/>
          <w:color w:val="auto"/>
          <w:highlight w:val="none"/>
        </w:rPr>
      </w:pPr>
      <w:r>
        <w:rPr>
          <w:rFonts w:ascii="宋体" w:hAnsi="宋体"/>
          <w:color w:val="auto"/>
          <w:highlight w:val="none"/>
          <w:u w:val="none"/>
        </w:rPr>
        <w:tab/>
      </w:r>
      <w:r>
        <w:rPr>
          <w:rFonts w:hint="eastAsia" w:ascii="宋体" w:hAnsi="宋体"/>
          <w:color w:val="auto"/>
          <w:highlight w:val="none"/>
          <w:u w:val="none"/>
        </w:rPr>
        <w:t>评标委员会将根据</w:t>
      </w:r>
      <w:r>
        <w:rPr>
          <w:rFonts w:ascii="宋体" w:hAnsi="宋体"/>
          <w:color w:val="auto"/>
          <w:highlight w:val="none"/>
          <w:u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rPr>
          <w:color w:val="auto"/>
          <w:highlight w:val="none"/>
        </w:rPr>
      </w:pPr>
    </w:p>
    <w:p>
      <w:pPr>
        <w:pStyle w:val="27"/>
        <w:spacing w:line="420" w:lineRule="exact"/>
        <w:ind w:firstLine="0" w:firstLineChars="0"/>
        <w:jc w:val="left"/>
        <w:rPr>
          <w:color w:val="auto"/>
          <w:highlight w:val="none"/>
        </w:rPr>
      </w:pPr>
      <w:r>
        <w:rPr>
          <w:rFonts w:hint="eastAsia" w:ascii="宋体" w:hAnsi="宋体"/>
          <w:color w:val="auto"/>
          <w:highlight w:val="none"/>
        </w:rPr>
        <w:br w:type="page"/>
      </w: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rFonts w:hint="eastAsia"/>
          <w:color w:val="auto"/>
          <w:highlight w:val="none"/>
        </w:rPr>
      </w:pPr>
    </w:p>
    <w:p>
      <w:pPr>
        <w:ind w:firstLine="0" w:firstLineChars="0"/>
        <w:rPr>
          <w:rFonts w:hint="eastAsia"/>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rFonts w:hint="eastAsia"/>
          <w:color w:val="auto"/>
          <w:highlight w:val="none"/>
        </w:rPr>
      </w:pPr>
    </w:p>
    <w:p>
      <w:pPr>
        <w:pStyle w:val="46"/>
        <w:ind w:left="0" w:leftChars="0" w:right="0" w:rightChars="0" w:firstLine="0" w:firstLineChars="0"/>
        <w:jc w:val="center"/>
        <w:rPr>
          <w:color w:val="auto"/>
          <w:highlight w:val="none"/>
        </w:rPr>
      </w:pPr>
      <w:bookmarkStart w:id="226" w:name="_Toc91512287"/>
      <w:r>
        <w:rPr>
          <w:rFonts w:hint="eastAsia"/>
          <w:color w:val="auto"/>
          <w:highlight w:val="none"/>
        </w:rPr>
        <w:t xml:space="preserve">第五章 </w:t>
      </w:r>
      <w:r>
        <w:rPr>
          <w:color w:val="auto"/>
          <w:highlight w:val="none"/>
        </w:rPr>
        <w:t xml:space="preserve"> </w:t>
      </w:r>
      <w:r>
        <w:rPr>
          <w:rFonts w:hint="eastAsia"/>
          <w:color w:val="auto"/>
          <w:highlight w:val="none"/>
        </w:rPr>
        <w:t>政府采购合同主要条款</w:t>
      </w:r>
      <w:bookmarkEnd w:id="226"/>
    </w:p>
    <w:p>
      <w:pPr>
        <w:ind w:firstLine="480"/>
        <w:jc w:val="center"/>
        <w:rPr>
          <w:color w:val="auto"/>
          <w:sz w:val="24"/>
          <w:highlight w:val="none"/>
        </w:rPr>
      </w:pPr>
      <w:bookmarkStart w:id="227" w:name="_Toc389638324"/>
      <w:r>
        <w:rPr>
          <w:rFonts w:hint="eastAsia"/>
          <w:color w:val="auto"/>
          <w:sz w:val="24"/>
          <w:highlight w:val="none"/>
        </w:rPr>
        <w:t>（拟签订文本）</w:t>
      </w:r>
      <w:bookmarkEnd w:id="227"/>
    </w:p>
    <w:p>
      <w:pPr>
        <w:pStyle w:val="27"/>
        <w:ind w:firstLine="0" w:firstLineChars="0"/>
        <w:jc w:val="left"/>
        <w:rPr>
          <w:color w:val="auto"/>
          <w:highlight w:val="none"/>
        </w:rPr>
      </w:pPr>
      <w:r>
        <w:rPr>
          <w:color w:val="auto"/>
          <w:highlight w:val="none"/>
        </w:rPr>
        <w:br w:type="page"/>
      </w:r>
    </w:p>
    <w:p>
      <w:pPr>
        <w:spacing w:line="600" w:lineRule="exact"/>
        <w:ind w:firstLine="420"/>
        <w:jc w:val="center"/>
        <w:rPr>
          <w:color w:val="auto"/>
          <w:highlight w:val="none"/>
        </w:rPr>
      </w:pPr>
    </w:p>
    <w:p>
      <w:pPr>
        <w:spacing w:line="600" w:lineRule="exact"/>
        <w:ind w:firstLine="884"/>
        <w:jc w:val="center"/>
        <w:rPr>
          <w:rFonts w:hint="eastAsia" w:ascii="宋体" w:hAnsi="宋体" w:cs="宋体"/>
          <w:b/>
          <w:bCs/>
          <w:color w:val="auto"/>
          <w:spacing w:val="-20"/>
          <w:kern w:val="44"/>
          <w:sz w:val="48"/>
          <w:szCs w:val="48"/>
          <w:highlight w:val="none"/>
        </w:rPr>
      </w:pPr>
      <w:r>
        <w:rPr>
          <w:rFonts w:hint="eastAsia" w:ascii="宋体" w:hAnsi="宋体" w:cs="宋体"/>
          <w:b/>
          <w:bCs/>
          <w:color w:val="auto"/>
          <w:spacing w:val="-20"/>
          <w:kern w:val="44"/>
          <w:sz w:val="48"/>
          <w:szCs w:val="48"/>
          <w:highlight w:val="none"/>
          <w:u w:val="single"/>
        </w:rPr>
        <w:t xml:space="preserve">           </w:t>
      </w:r>
      <w:r>
        <w:rPr>
          <w:rFonts w:hint="eastAsia" w:ascii="宋体" w:hAnsi="宋体" w:cs="宋体"/>
          <w:b/>
          <w:bCs/>
          <w:color w:val="auto"/>
          <w:spacing w:val="-20"/>
          <w:kern w:val="44"/>
          <w:sz w:val="48"/>
          <w:szCs w:val="48"/>
          <w:highlight w:val="none"/>
        </w:rPr>
        <w:t>政府采购货物买卖合同</w:t>
      </w:r>
    </w:p>
    <w:p>
      <w:pPr>
        <w:ind w:firstLine="420"/>
        <w:rPr>
          <w:color w:val="auto"/>
          <w:highlight w:val="none"/>
        </w:rPr>
      </w:pPr>
    </w:p>
    <w:p>
      <w:pPr>
        <w:ind w:firstLine="420"/>
        <w:rPr>
          <w:color w:val="auto"/>
          <w:highlight w:val="none"/>
        </w:rPr>
      </w:pPr>
    </w:p>
    <w:p>
      <w:pPr>
        <w:ind w:firstLine="420"/>
        <w:rPr>
          <w:color w:val="auto"/>
          <w:highlight w:val="none"/>
        </w:rPr>
      </w:pPr>
    </w:p>
    <w:p>
      <w:pPr>
        <w:ind w:firstLine="420"/>
        <w:rPr>
          <w:color w:val="auto"/>
          <w:highlight w:val="none"/>
        </w:rPr>
      </w:pPr>
    </w:p>
    <w:p>
      <w:pPr>
        <w:ind w:firstLine="420"/>
        <w:rPr>
          <w:color w:val="auto"/>
          <w:highlight w:val="none"/>
        </w:rPr>
      </w:pPr>
    </w:p>
    <w:p>
      <w:pPr>
        <w:ind w:firstLine="420"/>
        <w:rPr>
          <w:color w:val="auto"/>
          <w:highlight w:val="none"/>
        </w:rPr>
      </w:pPr>
    </w:p>
    <w:p>
      <w:pPr>
        <w:ind w:firstLine="420"/>
        <w:rPr>
          <w:color w:val="auto"/>
          <w:highlight w:val="none"/>
        </w:rPr>
      </w:pPr>
    </w:p>
    <w:p>
      <w:pPr>
        <w:ind w:firstLine="420"/>
        <w:rPr>
          <w:color w:val="auto"/>
          <w:highlight w:val="none"/>
        </w:rPr>
      </w:pPr>
    </w:p>
    <w:p>
      <w:pPr>
        <w:spacing w:line="360" w:lineRule="auto"/>
        <w:ind w:left="420" w:leftChars="200" w:firstLine="1600" w:firstLineChars="500"/>
        <w:rPr>
          <w:color w:val="auto"/>
          <w:sz w:val="32"/>
          <w:szCs w:val="32"/>
          <w:highlight w:val="none"/>
        </w:rPr>
      </w:pPr>
      <w:r>
        <w:rPr>
          <w:rFonts w:hint="eastAsia" w:ascii="宋体" w:hAnsi="宋体" w:cs="宋体"/>
          <w:color w:val="auto"/>
          <w:kern w:val="0"/>
          <w:sz w:val="32"/>
          <w:szCs w:val="32"/>
          <w:highlight w:val="none"/>
        </w:rPr>
        <w:t>项目名称：</w:t>
      </w:r>
      <w:r>
        <w:rPr>
          <w:rFonts w:hint="eastAsia"/>
          <w:color w:val="auto"/>
          <w:sz w:val="32"/>
          <w:szCs w:val="32"/>
          <w:highlight w:val="none"/>
          <w:u w:val="single"/>
        </w:rPr>
        <w:t xml:space="preserve">                            </w:t>
      </w:r>
    </w:p>
    <w:p>
      <w:pPr>
        <w:spacing w:line="360" w:lineRule="auto"/>
        <w:ind w:left="420" w:leftChars="200" w:firstLine="1600" w:firstLineChars="500"/>
        <w:rPr>
          <w:color w:val="auto"/>
          <w:sz w:val="32"/>
          <w:szCs w:val="32"/>
          <w:highlight w:val="none"/>
          <w:u w:val="single"/>
        </w:rPr>
      </w:pPr>
      <w:r>
        <w:rPr>
          <w:rFonts w:hint="eastAsia"/>
          <w:color w:val="auto"/>
          <w:sz w:val="32"/>
          <w:szCs w:val="32"/>
          <w:highlight w:val="none"/>
        </w:rPr>
        <w:t>合同编号：</w:t>
      </w:r>
      <w:r>
        <w:rPr>
          <w:rFonts w:hint="eastAsia"/>
          <w:color w:val="auto"/>
          <w:sz w:val="32"/>
          <w:szCs w:val="32"/>
          <w:highlight w:val="none"/>
          <w:u w:val="single"/>
        </w:rPr>
        <w:t xml:space="preserve">                            </w:t>
      </w:r>
    </w:p>
    <w:p>
      <w:pPr>
        <w:spacing w:line="360" w:lineRule="auto"/>
        <w:ind w:left="420" w:leftChars="200" w:firstLine="1600" w:firstLineChars="500"/>
        <w:rPr>
          <w:color w:val="auto"/>
          <w:sz w:val="32"/>
          <w:szCs w:val="32"/>
          <w:highlight w:val="none"/>
        </w:rPr>
      </w:pPr>
      <w:r>
        <w:rPr>
          <w:rFonts w:hint="eastAsia"/>
          <w:color w:val="auto"/>
          <w:sz w:val="32"/>
          <w:szCs w:val="32"/>
          <w:highlight w:val="none"/>
        </w:rPr>
        <w:t>甲    方：</w:t>
      </w:r>
      <w:r>
        <w:rPr>
          <w:rFonts w:hint="eastAsia"/>
          <w:color w:val="auto"/>
          <w:sz w:val="32"/>
          <w:szCs w:val="32"/>
          <w:highlight w:val="none"/>
          <w:u w:val="single"/>
        </w:rPr>
        <w:t xml:space="preserve">                            </w:t>
      </w:r>
    </w:p>
    <w:p>
      <w:pPr>
        <w:spacing w:line="360" w:lineRule="auto"/>
        <w:ind w:left="420" w:leftChars="200" w:firstLine="1600" w:firstLineChars="500"/>
        <w:rPr>
          <w:color w:val="auto"/>
          <w:sz w:val="32"/>
          <w:szCs w:val="32"/>
          <w:highlight w:val="none"/>
          <w:u w:val="single"/>
        </w:rPr>
      </w:pPr>
      <w:r>
        <w:rPr>
          <w:rFonts w:hint="eastAsia"/>
          <w:color w:val="auto"/>
          <w:sz w:val="32"/>
          <w:szCs w:val="32"/>
          <w:highlight w:val="none"/>
        </w:rPr>
        <w:t>乙    方：</w:t>
      </w:r>
      <w:r>
        <w:rPr>
          <w:rFonts w:hint="eastAsia"/>
          <w:color w:val="auto"/>
          <w:sz w:val="32"/>
          <w:szCs w:val="32"/>
          <w:highlight w:val="none"/>
          <w:u w:val="single"/>
        </w:rPr>
        <w:t xml:space="preserve">                            </w:t>
      </w:r>
    </w:p>
    <w:p>
      <w:pPr>
        <w:spacing w:line="360" w:lineRule="auto"/>
        <w:ind w:left="420" w:leftChars="200" w:firstLine="1600" w:firstLineChars="500"/>
        <w:rPr>
          <w:color w:val="auto"/>
          <w:sz w:val="32"/>
          <w:szCs w:val="32"/>
          <w:highlight w:val="none"/>
        </w:rPr>
      </w:pPr>
      <w:r>
        <w:rPr>
          <w:rFonts w:hint="eastAsia"/>
          <w:color w:val="auto"/>
          <w:sz w:val="32"/>
          <w:szCs w:val="32"/>
          <w:highlight w:val="none"/>
        </w:rPr>
        <w:t>签订时间：</w:t>
      </w:r>
      <w:r>
        <w:rPr>
          <w:rFonts w:hint="eastAsia"/>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u w:val="single"/>
        </w:rPr>
        <w:t xml:space="preserve">           </w:t>
      </w:r>
    </w:p>
    <w:p>
      <w:pPr>
        <w:ind w:firstLine="420"/>
        <w:rPr>
          <w:color w:val="auto"/>
          <w:highlight w:val="none"/>
        </w:rPr>
      </w:pPr>
    </w:p>
    <w:p>
      <w:pPr>
        <w:ind w:firstLine="880"/>
        <w:rPr>
          <w:color w:val="auto"/>
          <w:highlight w:val="none"/>
        </w:rPr>
      </w:pPr>
      <w:r>
        <w:rPr>
          <w:rFonts w:eastAsia="黑体"/>
          <w:color w:val="auto"/>
          <w:sz w:val="44"/>
          <w:szCs w:val="44"/>
          <w:highlight w:val="none"/>
        </w:rPr>
        <w:br w:type="page"/>
      </w:r>
    </w:p>
    <w:p>
      <w:pPr>
        <w:spacing w:line="460" w:lineRule="exact"/>
        <w:ind w:firstLine="880"/>
        <w:jc w:val="center"/>
        <w:rPr>
          <w:rFonts w:eastAsia="黑体"/>
          <w:color w:val="auto"/>
          <w:sz w:val="44"/>
          <w:szCs w:val="44"/>
          <w:highlight w:val="none"/>
        </w:rPr>
      </w:pPr>
      <w:r>
        <w:rPr>
          <w:rFonts w:hint="eastAsia" w:eastAsia="黑体"/>
          <w:color w:val="auto"/>
          <w:sz w:val="44"/>
          <w:szCs w:val="44"/>
          <w:highlight w:val="none"/>
        </w:rPr>
        <w:t>使 用 说 明</w:t>
      </w:r>
    </w:p>
    <w:p>
      <w:pPr>
        <w:ind w:firstLine="420"/>
        <w:rPr>
          <w:color w:val="auto"/>
          <w:highlight w:val="none"/>
        </w:rPr>
      </w:pPr>
    </w:p>
    <w:p>
      <w:pPr>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1.本合同标准文本适用于购买现成货物的采购项目，不包括需要供应商定制开发、创新研发的货物采购项目。</w:t>
      </w:r>
    </w:p>
    <w:p>
      <w:pPr>
        <w:ind w:firstLine="560"/>
        <w:rPr>
          <w:rFonts w:eastAsia="黑体"/>
          <w:color w:val="auto"/>
          <w:sz w:val="28"/>
          <w:szCs w:val="28"/>
          <w:highlight w:val="none"/>
        </w:rPr>
      </w:pPr>
      <w:r>
        <w:rPr>
          <w:rFonts w:hint="eastAsia" w:ascii="仿宋_GB2312" w:hAnsi="仿宋_GB2312" w:eastAsia="仿宋_GB2312" w:cs="仿宋_GB2312"/>
          <w:color w:val="auto"/>
          <w:sz w:val="28"/>
          <w:szCs w:val="28"/>
          <w:highlight w:val="none"/>
        </w:rPr>
        <w:t>2.本合同标准文本为政府采购货物买卖合同编制提供参考，可以结合采购项目具体情况，对文本作必要的调整修订后使用。</w:t>
      </w:r>
    </w:p>
    <w:p>
      <w:pPr>
        <w:ind w:firstLine="56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3.本合同标准文本各条款中，如涉及填写多家供应商、制造商，多种采购标的、分包主要内容等信息的，可根据采购项目具体情况添加信息项。</w:t>
      </w:r>
    </w:p>
    <w:p>
      <w:pPr>
        <w:ind w:firstLine="0" w:firstLineChars="0"/>
        <w:rPr>
          <w:rFonts w:hint="eastAsia" w:ascii="仿宋_GB2312" w:hAnsi="仿宋_GB2312" w:eastAsia="仿宋_GB2312" w:cs="仿宋_GB2312"/>
          <w:color w:val="auto"/>
          <w:sz w:val="28"/>
          <w:szCs w:val="28"/>
          <w:highlight w:val="none"/>
        </w:rPr>
      </w:pPr>
      <w:bookmarkStart w:id="228" w:name="_Toc22209"/>
    </w:p>
    <w:p>
      <w:pPr>
        <w:keepNext/>
        <w:keepLines/>
        <w:adjustRightInd w:val="0"/>
        <w:snapToGrid w:val="0"/>
        <w:ind w:firstLine="560"/>
        <w:jc w:val="center"/>
        <w:outlineLvl w:val="1"/>
        <w:rPr>
          <w:rFonts w:hint="eastAsia" w:ascii="黑体" w:hAnsi="华文中宋" w:eastAsia="黑体"/>
          <w:color w:val="auto"/>
          <w:sz w:val="28"/>
          <w:szCs w:val="28"/>
          <w:highlight w:val="none"/>
        </w:rPr>
      </w:pPr>
      <w:r>
        <w:rPr>
          <w:rFonts w:hint="eastAsia" w:ascii="黑体" w:hAnsi="黑体" w:eastAsia="黑体"/>
          <w:color w:val="auto"/>
          <w:sz w:val="28"/>
          <w:szCs w:val="28"/>
          <w:highlight w:val="none"/>
        </w:rPr>
        <w:t xml:space="preserve">第一节 </w:t>
      </w:r>
      <w:r>
        <w:rPr>
          <w:rFonts w:hint="eastAsia" w:ascii="黑体" w:hAnsi="华文中宋" w:eastAsia="黑体"/>
          <w:color w:val="auto"/>
          <w:sz w:val="28"/>
          <w:szCs w:val="28"/>
          <w:highlight w:val="none"/>
        </w:rPr>
        <w:t>政府采购合同协议书</w:t>
      </w:r>
      <w:bookmarkEnd w:id="228"/>
    </w:p>
    <w:p>
      <w:pPr>
        <w:keepNext/>
        <w:keepLines/>
        <w:adjustRightInd w:val="0"/>
        <w:snapToGrid w:val="0"/>
        <w:ind w:firstLine="560"/>
        <w:jc w:val="center"/>
        <w:outlineLvl w:val="1"/>
        <w:rPr>
          <w:rFonts w:hint="eastAsia" w:ascii="黑体" w:hAnsi="华文中宋" w:eastAsia="黑体"/>
          <w:color w:val="auto"/>
          <w:sz w:val="28"/>
          <w:szCs w:val="28"/>
          <w:highlight w:val="none"/>
        </w:rPr>
      </w:pPr>
    </w:p>
    <w:p>
      <w:pPr>
        <w:adjustRightInd w:val="0"/>
        <w:snapToGrid w:val="0"/>
        <w:spacing w:line="420" w:lineRule="exact"/>
        <w:ind w:firstLine="420"/>
        <w:rPr>
          <w:rFonts w:hint="eastAsia" w:ascii="宋体" w:hAnsi="宋体"/>
          <w:color w:val="auto"/>
          <w:szCs w:val="21"/>
          <w:highlight w:val="none"/>
        </w:rPr>
      </w:pPr>
      <w:r>
        <w:rPr>
          <w:rFonts w:hint="eastAsia" w:ascii="宋体" w:hAnsi="宋体"/>
          <w:color w:val="auto"/>
          <w:szCs w:val="21"/>
          <w:highlight w:val="none"/>
        </w:rPr>
        <w:t>甲方（全称）：</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（采购人、受采购人委托签订合同的单位或采购文件约定的合同甲方） </w:t>
      </w:r>
    </w:p>
    <w:p>
      <w:pPr>
        <w:adjustRightInd w:val="0"/>
        <w:snapToGrid w:val="0"/>
        <w:spacing w:line="420" w:lineRule="exact"/>
        <w:ind w:firstLine="420"/>
        <w:rPr>
          <w:rFonts w:hint="eastAsia" w:ascii="宋体" w:hAnsi="宋体"/>
          <w:color w:val="auto"/>
          <w:szCs w:val="21"/>
          <w:highlight w:val="none"/>
        </w:rPr>
      </w:pPr>
      <w:r>
        <w:rPr>
          <w:rFonts w:hint="eastAsia" w:ascii="宋体" w:hAnsi="宋体"/>
          <w:color w:val="auto"/>
          <w:szCs w:val="21"/>
          <w:highlight w:val="none"/>
        </w:rPr>
        <w:t>乙方1（全称）：</w:t>
      </w:r>
      <w:r>
        <w:rPr>
          <w:rFonts w:hint="eastAsia" w:ascii="宋体" w:hAnsi="宋体"/>
          <w:color w:val="auto"/>
          <w:szCs w:val="21"/>
          <w:highlight w:val="none"/>
          <w:u w:val="single"/>
        </w:rPr>
        <w:t xml:space="preserve">                </w:t>
      </w:r>
      <w:r>
        <w:rPr>
          <w:rFonts w:hint="eastAsia" w:ascii="宋体" w:hAnsi="宋体"/>
          <w:color w:val="auto"/>
          <w:szCs w:val="21"/>
          <w:highlight w:val="none"/>
        </w:rPr>
        <w:t>（供应商）</w:t>
      </w:r>
    </w:p>
    <w:p>
      <w:pPr>
        <w:adjustRightInd w:val="0"/>
        <w:snapToGrid w:val="0"/>
        <w:spacing w:line="420" w:lineRule="exact"/>
        <w:ind w:firstLine="420"/>
        <w:rPr>
          <w:rFonts w:hint="eastAsia" w:ascii="宋体" w:hAnsi="宋体"/>
          <w:color w:val="auto"/>
          <w:szCs w:val="21"/>
          <w:highlight w:val="none"/>
        </w:rPr>
      </w:pPr>
      <w:r>
        <w:rPr>
          <w:rFonts w:hint="eastAsia" w:ascii="宋体" w:hAnsi="宋体"/>
          <w:color w:val="auto"/>
          <w:szCs w:val="21"/>
          <w:highlight w:val="none"/>
        </w:rPr>
        <w:t>乙方2（全称）：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pPr>
        <w:adjustRightInd w:val="0"/>
        <w:snapToGrid w:val="0"/>
        <w:spacing w:line="420" w:lineRule="exact"/>
        <w:ind w:firstLine="420"/>
        <w:rPr>
          <w:rFonts w:hint="eastAsia" w:ascii="宋体" w:hAnsi="宋体"/>
          <w:color w:val="auto"/>
          <w:szCs w:val="21"/>
          <w:highlight w:val="none"/>
        </w:rPr>
      </w:pPr>
      <w:r>
        <w:rPr>
          <w:rFonts w:hint="eastAsia"/>
          <w:color w:val="auto"/>
          <w:highlight w:val="none"/>
        </w:rPr>
        <w:t>乙方</w:t>
      </w:r>
      <w:r>
        <w:rPr>
          <w:rFonts w:hint="eastAsia" w:ascii="宋体" w:hAnsi="宋体"/>
          <w:color w:val="auto"/>
          <w:szCs w:val="21"/>
          <w:highlight w:val="none"/>
        </w:rPr>
        <w:t>3</w:t>
      </w:r>
      <w:r>
        <w:rPr>
          <w:rFonts w:hint="eastAsia"/>
          <w:color w:val="auto"/>
          <w:highlight w:val="none"/>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pPr>
        <w:spacing w:line="420" w:lineRule="exact"/>
        <w:ind w:firstLine="420"/>
        <w:rPr>
          <w:color w:val="auto"/>
          <w:highlight w:val="none"/>
        </w:rPr>
      </w:pPr>
    </w:p>
    <w:p>
      <w:pPr>
        <w:adjustRightInd w:val="0"/>
        <w:snapToGrid w:val="0"/>
        <w:spacing w:line="420" w:lineRule="exact"/>
        <w:ind w:firstLine="420"/>
        <w:rPr>
          <w:rFonts w:hint="eastAsia" w:ascii="宋体" w:hAnsi="宋体"/>
          <w:color w:val="auto"/>
          <w:szCs w:val="21"/>
          <w:highlight w:val="none"/>
        </w:rPr>
      </w:pPr>
      <w:r>
        <w:rPr>
          <w:rFonts w:hint="eastAsia" w:ascii="宋体" w:hAnsi="宋体"/>
          <w:color w:val="auto"/>
          <w:szCs w:val="21"/>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pPr>
        <w:numPr>
          <w:ilvl w:val="0"/>
          <w:numId w:val="21"/>
        </w:numPr>
        <w:adjustRightInd w:val="0"/>
        <w:snapToGrid w:val="0"/>
        <w:spacing w:line="420" w:lineRule="exact"/>
        <w:ind w:firstLine="422"/>
        <w:rPr>
          <w:rFonts w:hint="eastAsia" w:ascii="宋体" w:hAnsi="宋体"/>
          <w:b/>
          <w:color w:val="auto"/>
          <w:szCs w:val="21"/>
          <w:highlight w:val="none"/>
        </w:rPr>
      </w:pPr>
      <w:r>
        <w:rPr>
          <w:rFonts w:hint="eastAsia" w:ascii="宋体" w:hAnsi="宋体"/>
          <w:b/>
          <w:color w:val="auto"/>
          <w:szCs w:val="21"/>
          <w:highlight w:val="none"/>
        </w:rPr>
        <w:t>项目信息</w:t>
      </w:r>
    </w:p>
    <w:p>
      <w:pPr>
        <w:adjustRightInd w:val="0"/>
        <w:snapToGrid w:val="0"/>
        <w:spacing w:line="420" w:lineRule="exact"/>
        <w:ind w:firstLine="210" w:firstLineChars="100"/>
        <w:rPr>
          <w:rFonts w:hint="eastAsia" w:ascii="宋体" w:hAnsi="宋体"/>
          <w:color w:val="auto"/>
          <w:szCs w:val="21"/>
          <w:highlight w:val="none"/>
          <w:u w:val="single"/>
        </w:rPr>
      </w:pPr>
      <w:r>
        <w:rPr>
          <w:rFonts w:hint="eastAsia" w:ascii="宋体" w:hAnsi="宋体"/>
          <w:color w:val="auto"/>
          <w:szCs w:val="21"/>
          <w:highlight w:val="none"/>
        </w:rPr>
        <w:t>（1）采购项目名称：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tabs>
          <w:tab w:val="left" w:pos="999"/>
        </w:tabs>
        <w:adjustRightInd w:val="0"/>
        <w:snapToGrid w:val="0"/>
        <w:spacing w:line="420" w:lineRule="exact"/>
        <w:ind w:firstLine="0" w:firstLineChars="0"/>
        <w:rPr>
          <w:rFonts w:hint="eastAsia" w:ascii="宋体" w:hAnsi="宋体"/>
          <w:color w:val="auto"/>
          <w:szCs w:val="21"/>
          <w:highlight w:val="none"/>
        </w:rPr>
      </w:pPr>
      <w:r>
        <w:rPr>
          <w:rFonts w:hint="eastAsia" w:ascii="宋体" w:hAnsi="宋体"/>
          <w:color w:val="auto"/>
          <w:szCs w:val="21"/>
          <w:highlight w:val="none"/>
        </w:rPr>
        <w:t xml:space="preserve">       采购项目编号：</w:t>
      </w:r>
      <w:r>
        <w:rPr>
          <w:rFonts w:ascii="宋体" w:hAnsi="宋体"/>
          <w:color w:val="auto"/>
          <w:szCs w:val="21"/>
          <w:highlight w:val="none"/>
          <w:u w:val="single"/>
        </w:rPr>
        <w:t xml:space="preserve">                                          </w:t>
      </w:r>
    </w:p>
    <w:p>
      <w:pPr>
        <w:adjustRightInd w:val="0"/>
        <w:snapToGrid w:val="0"/>
        <w:spacing w:line="420" w:lineRule="exact"/>
        <w:ind w:firstLine="199" w:firstLineChars="95"/>
        <w:rPr>
          <w:rFonts w:hint="eastAsia" w:ascii="宋体" w:hAnsi="宋体"/>
          <w:color w:val="auto"/>
          <w:szCs w:val="21"/>
          <w:highlight w:val="none"/>
        </w:rPr>
      </w:pPr>
      <w:r>
        <w:rPr>
          <w:rFonts w:hint="eastAsia" w:ascii="宋体" w:hAnsi="宋体"/>
          <w:color w:val="auto"/>
          <w:szCs w:val="21"/>
          <w:highlight w:val="none"/>
        </w:rPr>
        <w:t>（2）采购计划编号：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pPr>
        <w:adjustRightInd w:val="0"/>
        <w:snapToGrid w:val="0"/>
        <w:spacing w:line="420" w:lineRule="exact"/>
        <w:ind w:firstLine="199" w:firstLineChars="95"/>
        <w:rPr>
          <w:rFonts w:hint="eastAsia" w:ascii="宋体" w:hAnsi="宋体"/>
          <w:color w:val="auto"/>
          <w:szCs w:val="21"/>
          <w:highlight w:val="none"/>
        </w:rPr>
      </w:pPr>
      <w:r>
        <w:rPr>
          <w:rFonts w:hint="eastAsia" w:ascii="宋体" w:hAnsi="宋体"/>
          <w:color w:val="auto"/>
          <w:szCs w:val="21"/>
          <w:highlight w:val="none"/>
        </w:rPr>
        <w:t>（3）项目内容：</w:t>
      </w:r>
    </w:p>
    <w:p>
      <w:pPr>
        <w:adjustRightInd w:val="0"/>
        <w:snapToGrid w:val="0"/>
        <w:spacing w:line="420" w:lineRule="exact"/>
        <w:ind w:firstLine="420"/>
        <w:rPr>
          <w:rFonts w:hint="eastAsia" w:ascii="宋体" w:hAnsi="宋体"/>
          <w:color w:val="auto"/>
          <w:szCs w:val="21"/>
          <w:highlight w:val="none"/>
        </w:rPr>
      </w:pPr>
      <w:r>
        <w:rPr>
          <w:rFonts w:hint="eastAsia" w:ascii="宋体" w:hAnsi="宋体"/>
          <w:color w:val="auto"/>
          <w:szCs w:val="21"/>
          <w:highlight w:val="none"/>
        </w:rPr>
        <w:t xml:space="preserve">   采购标的及数量（台/套</w:t>
      </w:r>
      <w:r>
        <w:rPr>
          <w:rFonts w:ascii="宋体" w:hAnsi="宋体"/>
          <w:color w:val="auto"/>
          <w:szCs w:val="21"/>
          <w:highlight w:val="none"/>
          <w:lang w:val="en"/>
        </w:rPr>
        <w:t>/</w:t>
      </w:r>
      <w:r>
        <w:rPr>
          <w:rFonts w:hint="eastAsia" w:ascii="宋体" w:hAnsi="宋体"/>
          <w:color w:val="auto"/>
          <w:szCs w:val="21"/>
          <w:highlight w:val="none"/>
          <w:lang w:val="en"/>
        </w:rPr>
        <w:t>个</w:t>
      </w:r>
      <w:r>
        <w:rPr>
          <w:rFonts w:ascii="宋体" w:hAnsi="宋体"/>
          <w:color w:val="auto"/>
          <w:szCs w:val="21"/>
          <w:highlight w:val="none"/>
          <w:lang w:val="en"/>
        </w:rPr>
        <w:t>/</w:t>
      </w:r>
      <w:r>
        <w:rPr>
          <w:rFonts w:hint="eastAsia" w:ascii="宋体" w:hAnsi="宋体"/>
          <w:color w:val="auto"/>
          <w:szCs w:val="21"/>
          <w:highlight w:val="none"/>
          <w:lang w:val="en"/>
        </w:rPr>
        <w:t>架</w:t>
      </w:r>
      <w:r>
        <w:rPr>
          <w:rFonts w:ascii="宋体" w:hAnsi="宋体"/>
          <w:color w:val="auto"/>
          <w:szCs w:val="21"/>
          <w:highlight w:val="none"/>
          <w:lang w:val="en"/>
        </w:rPr>
        <w:t>/</w:t>
      </w:r>
      <w:r>
        <w:rPr>
          <w:rFonts w:hint="eastAsia" w:ascii="宋体" w:hAnsi="宋体"/>
          <w:color w:val="auto"/>
          <w:szCs w:val="21"/>
          <w:highlight w:val="none"/>
          <w:lang w:val="en"/>
        </w:rPr>
        <w:t>组等</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adjustRightInd w:val="0"/>
        <w:snapToGrid w:val="0"/>
        <w:spacing w:line="420" w:lineRule="exact"/>
        <w:ind w:firstLine="420"/>
        <w:rPr>
          <w:rFonts w:hint="eastAsia" w:ascii="宋体" w:hAnsi="宋体" w:cs="宋体"/>
          <w:color w:val="auto"/>
          <w:szCs w:val="21"/>
          <w:highlight w:val="none"/>
          <w:lang w:val="en"/>
        </w:rPr>
      </w:pPr>
      <w:r>
        <w:rPr>
          <w:rFonts w:hint="eastAsia" w:ascii="宋体" w:hAnsi="宋体"/>
          <w:color w:val="auto"/>
          <w:szCs w:val="21"/>
          <w:highlight w:val="none"/>
        </w:rPr>
        <w:t xml:space="preserve">   </w:t>
      </w:r>
      <w:r>
        <w:rPr>
          <w:rFonts w:hint="eastAsia" w:ascii="宋体" w:hAnsi="宋体" w:cs="宋体"/>
          <w:color w:val="auto"/>
          <w:szCs w:val="21"/>
          <w:highlight w:val="none"/>
        </w:rPr>
        <w:t>品牌：</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lang w:val="en"/>
        </w:rPr>
        <w:t xml:space="preserve">     </w:t>
      </w:r>
      <w:r>
        <w:rPr>
          <w:rFonts w:hint="eastAsia" w:ascii="宋体" w:hAnsi="宋体" w:cs="宋体"/>
          <w:color w:val="auto"/>
          <w:szCs w:val="21"/>
          <w:highlight w:val="none"/>
        </w:rPr>
        <w:t>规格型号：</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p>
    <w:p>
      <w:pPr>
        <w:adjustRightInd w:val="0"/>
        <w:snapToGrid w:val="0"/>
        <w:spacing w:line="420" w:lineRule="exact"/>
        <w:ind w:firstLine="735" w:firstLineChars="350"/>
        <w:rPr>
          <w:rFonts w:hint="eastAsia" w:ascii="宋体" w:hAnsi="宋体" w:cs="宋体"/>
          <w:color w:val="auto"/>
          <w:szCs w:val="21"/>
          <w:highlight w:val="none"/>
          <w:lang w:val="en"/>
        </w:rPr>
      </w:pPr>
      <w:r>
        <w:rPr>
          <w:rFonts w:hint="eastAsia" w:ascii="宋体" w:hAnsi="宋体"/>
          <w:color w:val="auto"/>
          <w:szCs w:val="21"/>
          <w:highlight w:val="none"/>
        </w:rPr>
        <w:t>采购标的的技术要求、商务要求具体见附件。</w:t>
      </w:r>
    </w:p>
    <w:p>
      <w:pPr>
        <w:adjustRightInd w:val="0"/>
        <w:snapToGrid w:val="0"/>
        <w:spacing w:line="420" w:lineRule="exact"/>
        <w:ind w:firstLine="735" w:firstLineChars="350"/>
        <w:rPr>
          <w:rFonts w:hint="eastAsia" w:ascii="宋体" w:hAnsi="宋体" w:cs="宋体"/>
          <w:color w:val="auto"/>
          <w:szCs w:val="21"/>
          <w:highlight w:val="none"/>
        </w:rPr>
      </w:pPr>
      <w:r>
        <w:rPr>
          <w:rFonts w:hint="eastAsia" w:ascii="汉仪书宋二S" w:hAnsi="汉仪书宋二S" w:eastAsia="汉仪书宋二S" w:cs="汉仪书宋二S"/>
          <w:color w:val="auto"/>
          <w:szCs w:val="21"/>
          <w:highlight w:val="none"/>
        </w:rPr>
        <w:t>①</w:t>
      </w:r>
      <w:r>
        <w:rPr>
          <w:rFonts w:hint="eastAsia" w:ascii="宋体" w:hAnsi="宋体" w:cs="宋体"/>
          <w:color w:val="auto"/>
          <w:szCs w:val="21"/>
          <w:highlight w:val="none"/>
        </w:rPr>
        <w:t>涉及信息类产品，请填写该产品关键部件的品牌、型号：</w:t>
      </w:r>
    </w:p>
    <w:p>
      <w:pPr>
        <w:adjustRightInd w:val="0"/>
        <w:snapToGrid w:val="0"/>
        <w:spacing w:line="420" w:lineRule="exact"/>
        <w:ind w:firstLine="420"/>
        <w:rPr>
          <w:rFonts w:hint="eastAsia" w:ascii="宋体" w:hAnsi="宋体" w:cs="宋体"/>
          <w:color w:val="auto"/>
          <w:kern w:val="0"/>
          <w:szCs w:val="21"/>
          <w:highlight w:val="none"/>
          <w:u w:val="single"/>
        </w:rPr>
      </w:pPr>
      <w:r>
        <w:rPr>
          <w:rFonts w:hint="eastAsia" w:ascii="宋体" w:hAnsi="宋体" w:cs="宋体"/>
          <w:color w:val="auto"/>
          <w:szCs w:val="21"/>
          <w:highlight w:val="none"/>
        </w:rPr>
        <w:t xml:space="preserve">   标的名称：</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lang w:val="en"/>
        </w:rPr>
        <w:t xml:space="preserve">               </w:t>
      </w:r>
      <w:r>
        <w:rPr>
          <w:rFonts w:hint="eastAsia" w:ascii="宋体" w:hAnsi="宋体" w:cs="宋体"/>
          <w:color w:val="auto"/>
          <w:kern w:val="0"/>
          <w:szCs w:val="21"/>
          <w:highlight w:val="none"/>
          <w:u w:val="single"/>
        </w:rPr>
        <w:t xml:space="preserve">    </w:t>
      </w:r>
    </w:p>
    <w:p>
      <w:pPr>
        <w:adjustRightInd w:val="0"/>
        <w:snapToGrid w:val="0"/>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 xml:space="preserve">   关键部件：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品牌：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型号：</w:t>
      </w:r>
      <w:r>
        <w:rPr>
          <w:rFonts w:hint="eastAsia" w:ascii="宋体" w:hAnsi="宋体" w:cs="宋体"/>
          <w:color w:val="auto"/>
          <w:szCs w:val="21"/>
          <w:highlight w:val="none"/>
          <w:u w:val="single"/>
        </w:rPr>
        <w:t xml:space="preserve">          </w:t>
      </w:r>
    </w:p>
    <w:p>
      <w:pPr>
        <w:widowControl/>
        <w:autoSpaceDE w:val="0"/>
        <w:autoSpaceDN w:val="0"/>
        <w:adjustRightInd w:val="0"/>
        <w:spacing w:line="42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关键部件</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品牌：</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型号：</w:t>
      </w:r>
      <w:r>
        <w:rPr>
          <w:rFonts w:hint="eastAsia" w:ascii="宋体" w:hAnsi="宋体" w:cs="宋体"/>
          <w:color w:val="auto"/>
          <w:kern w:val="0"/>
          <w:szCs w:val="21"/>
          <w:highlight w:val="none"/>
          <w:u w:val="single"/>
        </w:rPr>
        <w:t xml:space="preserve">          </w:t>
      </w:r>
    </w:p>
    <w:p>
      <w:pPr>
        <w:widowControl/>
        <w:autoSpaceDE w:val="0"/>
        <w:autoSpaceDN w:val="0"/>
        <w:adjustRightInd w:val="0"/>
        <w:spacing w:line="42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关键部件：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品牌：</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型号：</w:t>
      </w:r>
      <w:r>
        <w:rPr>
          <w:rFonts w:hint="eastAsia" w:ascii="宋体" w:hAnsi="宋体" w:cs="宋体"/>
          <w:color w:val="auto"/>
          <w:kern w:val="0"/>
          <w:szCs w:val="21"/>
          <w:highlight w:val="none"/>
          <w:u w:val="single"/>
        </w:rPr>
        <w:t xml:space="preserve">          </w:t>
      </w:r>
    </w:p>
    <w:p>
      <w:pPr>
        <w:widowControl/>
        <w:autoSpaceDE w:val="0"/>
        <w:autoSpaceDN w:val="0"/>
        <w:adjustRightInd w:val="0"/>
        <w:snapToGrid w:val="0"/>
        <w:spacing w:line="420" w:lineRule="exact"/>
        <w:ind w:firstLine="0" w:firstLineChars="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（注：关键部件是指财政部会同有关部门发布的政府采购需求标准规定的需要通过国家有关部门指定的测评机构开展的安全可靠测评的软硬件，如CPU芯片、操作系统、数据库等。）</w:t>
      </w:r>
    </w:p>
    <w:p>
      <w:pPr>
        <w:widowControl/>
        <w:autoSpaceDE w:val="0"/>
        <w:autoSpaceDN w:val="0"/>
        <w:adjustRightInd w:val="0"/>
        <w:snapToGrid w:val="0"/>
        <w:spacing w:line="420" w:lineRule="exact"/>
        <w:ind w:firstLine="0" w:firstLineChars="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汉仪书宋二S" w:hAnsi="汉仪书宋二S" w:eastAsia="汉仪书宋二S" w:cs="汉仪书宋二S"/>
          <w:color w:val="auto"/>
          <w:kern w:val="0"/>
          <w:szCs w:val="21"/>
          <w:highlight w:val="none"/>
        </w:rPr>
        <w:t>②</w:t>
      </w:r>
      <w:r>
        <w:rPr>
          <w:rFonts w:hint="eastAsia" w:ascii="宋体" w:hAnsi="宋体" w:cs="宋体"/>
          <w:color w:val="auto"/>
          <w:kern w:val="0"/>
          <w:szCs w:val="21"/>
          <w:highlight w:val="none"/>
        </w:rPr>
        <w:t>涉及车辆采购，请填写是否属于新能源汽车：</w:t>
      </w:r>
    </w:p>
    <w:p>
      <w:pPr>
        <w:widowControl/>
        <w:autoSpaceDE w:val="0"/>
        <w:autoSpaceDN w:val="0"/>
        <w:adjustRightInd w:val="0"/>
        <w:snapToGrid w:val="0"/>
        <w:spacing w:line="420" w:lineRule="exact"/>
        <w:ind w:firstLine="0" w:firstLineChars="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是，《政府采购品目分类目录》底级品目名称：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数量：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金额：</w:t>
      </w:r>
      <w:r>
        <w:rPr>
          <w:rFonts w:hint="eastAsia" w:ascii="宋体" w:hAnsi="宋体" w:cs="宋体"/>
          <w:color w:val="auto"/>
          <w:kern w:val="0"/>
          <w:szCs w:val="21"/>
          <w:highlight w:val="none"/>
          <w:u w:val="single"/>
        </w:rPr>
        <w:t xml:space="preserve">          </w:t>
      </w:r>
    </w:p>
    <w:p>
      <w:pPr>
        <w:widowControl/>
        <w:autoSpaceDE w:val="0"/>
        <w:autoSpaceDN w:val="0"/>
        <w:adjustRightInd w:val="0"/>
        <w:snapToGrid w:val="0"/>
        <w:spacing w:line="420" w:lineRule="exact"/>
        <w:ind w:firstLine="0" w:firstLineChars="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否</w:t>
      </w:r>
    </w:p>
    <w:p>
      <w:pPr>
        <w:widowControl/>
        <w:autoSpaceDE w:val="0"/>
        <w:autoSpaceDN w:val="0"/>
        <w:adjustRightInd w:val="0"/>
        <w:snapToGrid w:val="0"/>
        <w:spacing w:line="420" w:lineRule="exact"/>
        <w:ind w:firstLine="0" w:firstLineChars="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ascii="宋体" w:hAnsi="宋体" w:cs="宋体"/>
          <w:color w:val="auto"/>
          <w:kern w:val="0"/>
          <w:szCs w:val="21"/>
          <w:highlight w:val="none"/>
          <w:lang w:val="en"/>
        </w:rPr>
        <w:t>4</w:t>
      </w:r>
      <w:r>
        <w:rPr>
          <w:rFonts w:hint="eastAsia" w:ascii="宋体" w:hAnsi="宋体" w:cs="宋体"/>
          <w:color w:val="auto"/>
          <w:kern w:val="0"/>
          <w:szCs w:val="21"/>
          <w:highlight w:val="none"/>
        </w:rPr>
        <w:t>）政府采购组织形式：</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 xml:space="preserve">政府集中采购  </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 xml:space="preserve">部门集中采购  </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分散采购</w:t>
      </w:r>
    </w:p>
    <w:p>
      <w:pPr>
        <w:widowControl/>
        <w:autoSpaceDE w:val="0"/>
        <w:autoSpaceDN w:val="0"/>
        <w:adjustRightInd w:val="0"/>
        <w:snapToGrid w:val="0"/>
        <w:spacing w:line="420" w:lineRule="exact"/>
        <w:ind w:firstLine="283" w:firstLineChars="135"/>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lang w:val="en"/>
        </w:rPr>
        <w:t>5</w:t>
      </w:r>
      <w:r>
        <w:rPr>
          <w:rFonts w:hint="eastAsia" w:ascii="宋体" w:hAnsi="宋体" w:cs="宋体"/>
          <w:color w:val="auto"/>
          <w:kern w:val="0"/>
          <w:szCs w:val="21"/>
          <w:highlight w:val="none"/>
        </w:rPr>
        <w:t>）政府采购方式：</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 xml:space="preserve">公开招标 </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 xml:space="preserve">邀请招标 </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 xml:space="preserve">竞争性谈判 </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竞争性磋商</w:t>
      </w:r>
    </w:p>
    <w:p>
      <w:pPr>
        <w:widowControl/>
        <w:autoSpaceDE w:val="0"/>
        <w:autoSpaceDN w:val="0"/>
        <w:adjustRightInd w:val="0"/>
        <w:snapToGrid w:val="0"/>
        <w:spacing w:line="420" w:lineRule="exact"/>
        <w:ind w:firstLine="420" w:firstLineChars="0"/>
        <w:jc w:val="left"/>
        <w:rPr>
          <w:rFonts w:hint="eastAsia" w:ascii="宋体" w:hAnsi="宋体" w:cs="宋体"/>
          <w:color w:val="auto"/>
          <w:kern w:val="0"/>
          <w:szCs w:val="21"/>
          <w:highlight w:val="none"/>
          <w:u w:val="single"/>
        </w:rPr>
      </w:pPr>
      <w:r>
        <w:rPr>
          <w:rFonts w:hint="eastAsia" w:ascii="宋体" w:hAnsi="宋体" w:eastAsia="华文楷体" w:cs="宋体"/>
          <w:color w:val="auto"/>
          <w:kern w:val="0"/>
          <w:sz w:val="22"/>
          <w:szCs w:val="21"/>
          <w:highlight w:val="none"/>
        </w:rPr>
        <w:t xml:space="preserve">                 </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 xml:space="preserve">询价 </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 xml:space="preserve">单一来源 </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 xml:space="preserve">框架协议 </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其他：</w:t>
      </w:r>
      <w:r>
        <w:rPr>
          <w:rFonts w:hint="eastAsia" w:ascii="宋体" w:hAnsi="宋体" w:cs="宋体"/>
          <w:color w:val="auto"/>
          <w:kern w:val="0"/>
          <w:szCs w:val="21"/>
          <w:highlight w:val="none"/>
          <w:u w:val="single"/>
        </w:rPr>
        <w:t xml:space="preserve">          </w:t>
      </w:r>
    </w:p>
    <w:p>
      <w:pPr>
        <w:widowControl/>
        <w:autoSpaceDE w:val="0"/>
        <w:autoSpaceDN w:val="0"/>
        <w:adjustRightInd w:val="0"/>
        <w:snapToGrid w:val="0"/>
        <w:spacing w:line="420" w:lineRule="exact"/>
        <w:ind w:firstLine="283" w:firstLineChars="135"/>
        <w:jc w:val="left"/>
        <w:rPr>
          <w:rFonts w:hint="eastAsia" w:ascii="宋体" w:hAnsi="宋体"/>
          <w:color w:val="auto"/>
          <w:szCs w:val="21"/>
          <w:highlight w:val="none"/>
        </w:rPr>
      </w:pPr>
      <w:r>
        <w:rPr>
          <w:rFonts w:hint="eastAsia" w:ascii="宋体" w:hAnsi="宋体" w:cs="华文楷体"/>
          <w:color w:val="auto"/>
          <w:kern w:val="0"/>
          <w:szCs w:val="21"/>
          <w:highlight w:val="none"/>
        </w:rPr>
        <w:t>（6）</w:t>
      </w:r>
      <w:r>
        <w:rPr>
          <w:rFonts w:hint="eastAsia" w:ascii="宋体" w:hAnsi="宋体"/>
          <w:color w:val="auto"/>
          <w:szCs w:val="21"/>
          <w:highlight w:val="none"/>
        </w:rPr>
        <w:t>中标（成交）采购标的制造商是否为中小企业：</w:t>
      </w:r>
      <w:r>
        <w:rPr>
          <w:rFonts w:hint="eastAsia" w:ascii="宋体" w:hAnsi="宋体"/>
          <w:color w:val="auto"/>
          <w:szCs w:val="21"/>
          <w:highlight w:val="none"/>
        </w:rPr>
        <w:sym w:font="Wingdings" w:char="00A8"/>
      </w:r>
      <w:r>
        <w:rPr>
          <w:rFonts w:hint="eastAsia" w:ascii="宋体" w:hAnsi="宋体"/>
          <w:color w:val="auto"/>
          <w:szCs w:val="21"/>
          <w:highlight w:val="none"/>
        </w:rPr>
        <w:t xml:space="preserve">是  </w:t>
      </w:r>
      <w:r>
        <w:rPr>
          <w:rFonts w:hint="eastAsia" w:ascii="宋体" w:hAnsi="宋体"/>
          <w:color w:val="auto"/>
          <w:szCs w:val="21"/>
          <w:highlight w:val="none"/>
        </w:rPr>
        <w:sym w:font="Wingdings" w:char="00A8"/>
      </w:r>
      <w:r>
        <w:rPr>
          <w:rFonts w:hint="eastAsia" w:ascii="宋体" w:hAnsi="宋体"/>
          <w:color w:val="auto"/>
          <w:szCs w:val="21"/>
          <w:highlight w:val="none"/>
        </w:rPr>
        <w:t>否</w:t>
      </w:r>
    </w:p>
    <w:p>
      <w:pPr>
        <w:adjustRightInd w:val="0"/>
        <w:snapToGrid w:val="0"/>
        <w:spacing w:line="420" w:lineRule="exact"/>
        <w:ind w:firstLine="0" w:firstLineChars="0"/>
        <w:rPr>
          <w:rFonts w:hint="eastAsia" w:ascii="宋体" w:hAnsi="宋体"/>
          <w:iCs/>
          <w:color w:val="auto"/>
          <w:szCs w:val="21"/>
          <w:highlight w:val="none"/>
        </w:rPr>
      </w:pPr>
      <w:r>
        <w:rPr>
          <w:rFonts w:hint="eastAsia" w:ascii="宋体" w:hAnsi="宋体"/>
          <w:color w:val="auto"/>
          <w:szCs w:val="21"/>
          <w:highlight w:val="none"/>
        </w:rPr>
        <w:t xml:space="preserve">        本合同是否为专门面向中小企业的采购合同（中小企业预留合同）：</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pPr>
        <w:adjustRightInd w:val="0"/>
        <w:snapToGrid w:val="0"/>
        <w:spacing w:line="420" w:lineRule="exact"/>
        <w:ind w:firstLine="0" w:firstLineChars="0"/>
        <w:rPr>
          <w:rFonts w:hint="eastAsia" w:ascii="宋体" w:hAnsi="宋体"/>
          <w:iCs/>
          <w:color w:val="auto"/>
          <w:szCs w:val="21"/>
          <w:highlight w:val="none"/>
        </w:rPr>
      </w:pPr>
      <w:r>
        <w:rPr>
          <w:rFonts w:hint="eastAsia"/>
          <w:color w:val="auto"/>
          <w:highlight w:val="none"/>
        </w:rPr>
        <w:t xml:space="preserve">        若本项目不专门面向中小企业采购，是否给予小微企业评审优惠：</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pPr>
        <w:adjustRightInd w:val="0"/>
        <w:snapToGrid w:val="0"/>
        <w:spacing w:line="420" w:lineRule="exact"/>
        <w:ind w:firstLine="0" w:firstLineChars="0"/>
        <w:rPr>
          <w:rFonts w:hint="eastAsia" w:ascii="宋体" w:hAnsi="宋体"/>
          <w:iCs/>
          <w:color w:val="auto"/>
          <w:szCs w:val="21"/>
          <w:highlight w:val="none"/>
        </w:rPr>
      </w:pPr>
      <w:r>
        <w:rPr>
          <w:rFonts w:hint="eastAsia"/>
          <w:color w:val="auto"/>
          <w:highlight w:val="none"/>
        </w:rPr>
        <w:t xml:space="preserve">        中标（成交）采购标的制造商是否为残疾人福利性单位：</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pPr>
        <w:snapToGrid w:val="0"/>
        <w:spacing w:line="420" w:lineRule="exact"/>
        <w:ind w:firstLine="420"/>
        <w:rPr>
          <w:color w:val="auto"/>
          <w:highlight w:val="none"/>
        </w:rPr>
      </w:pPr>
      <w:r>
        <w:rPr>
          <w:rFonts w:hint="eastAsia"/>
          <w:color w:val="auto"/>
          <w:highlight w:val="none"/>
        </w:rPr>
        <w:t xml:space="preserve">        中标（成交）采购标的制造商是否为监狱企业：</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pPr>
        <w:adjustRightInd w:val="0"/>
        <w:snapToGrid w:val="0"/>
        <w:spacing w:line="420" w:lineRule="exact"/>
        <w:ind w:firstLine="409" w:firstLineChars="195"/>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lang w:val="en"/>
        </w:rPr>
        <w:t>7</w:t>
      </w:r>
      <w:r>
        <w:rPr>
          <w:rFonts w:ascii="宋体" w:hAnsi="宋体"/>
          <w:color w:val="auto"/>
          <w:szCs w:val="21"/>
          <w:highlight w:val="none"/>
        </w:rPr>
        <w:t>）</w:t>
      </w:r>
      <w:r>
        <w:rPr>
          <w:rFonts w:hint="eastAsia" w:ascii="宋体" w:hAnsi="宋体"/>
          <w:color w:val="auto"/>
          <w:szCs w:val="21"/>
          <w:highlight w:val="none"/>
        </w:rPr>
        <w:t>合同是否分包：</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pPr>
        <w:adjustRightInd w:val="0"/>
        <w:snapToGrid w:val="0"/>
        <w:spacing w:line="420" w:lineRule="exact"/>
        <w:ind w:firstLine="840" w:firstLineChars="400"/>
        <w:rPr>
          <w:rFonts w:hint="eastAsia" w:ascii="宋体" w:hAnsi="宋体"/>
          <w:color w:val="auto"/>
          <w:szCs w:val="21"/>
          <w:highlight w:val="none"/>
          <w:u w:val="single"/>
        </w:rPr>
      </w:pPr>
      <w:r>
        <w:rPr>
          <w:rFonts w:hint="eastAsia" w:ascii="宋体" w:hAnsi="宋体"/>
          <w:color w:val="auto"/>
          <w:szCs w:val="21"/>
          <w:highlight w:val="none"/>
        </w:rPr>
        <w:t>分包主要内容：</w:t>
      </w:r>
      <w:r>
        <w:rPr>
          <w:rFonts w:hint="eastAsia" w:ascii="宋体" w:hAnsi="宋体"/>
          <w:color w:val="auto"/>
          <w:szCs w:val="21"/>
          <w:highlight w:val="none"/>
          <w:u w:val="single"/>
        </w:rPr>
        <w:t xml:space="preserve">                                                         </w:t>
      </w:r>
    </w:p>
    <w:p>
      <w:pPr>
        <w:adjustRightInd w:val="0"/>
        <w:snapToGrid w:val="0"/>
        <w:spacing w:line="420" w:lineRule="exact"/>
        <w:ind w:firstLine="840" w:firstLineChars="400"/>
        <w:rPr>
          <w:rFonts w:hint="eastAsia" w:ascii="宋体" w:hAnsi="宋体"/>
          <w:color w:val="auto"/>
          <w:szCs w:val="21"/>
          <w:highlight w:val="none"/>
        </w:rPr>
      </w:pPr>
      <w:r>
        <w:rPr>
          <w:rFonts w:hint="eastAsia" w:ascii="宋体" w:hAnsi="宋体"/>
          <w:color w:val="auto"/>
          <w:szCs w:val="21"/>
          <w:highlight w:val="none"/>
        </w:rPr>
        <w:t>分包供应商/制造商名称（如供应商和制造商不同，请分别填写）：</w:t>
      </w:r>
    </w:p>
    <w:p>
      <w:pPr>
        <w:adjustRightInd w:val="0"/>
        <w:snapToGrid w:val="0"/>
        <w:spacing w:line="420" w:lineRule="exact"/>
        <w:ind w:firstLine="840" w:firstLineChars="400"/>
        <w:rPr>
          <w:rFonts w:hint="eastAsia" w:ascii="宋体" w:hAnsi="宋体"/>
          <w:color w:val="auto"/>
          <w:szCs w:val="21"/>
          <w:highlight w:val="none"/>
          <w:u w:val="singl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pPr>
        <w:adjustRightInd w:val="0"/>
        <w:snapToGrid w:val="0"/>
        <w:spacing w:line="420" w:lineRule="exact"/>
        <w:ind w:firstLine="840" w:firstLineChars="400"/>
        <w:rPr>
          <w:rFonts w:hint="eastAsia" w:ascii="宋体" w:hAnsi="宋体"/>
          <w:color w:val="auto"/>
          <w:szCs w:val="21"/>
          <w:highlight w:val="none"/>
        </w:rPr>
      </w:pPr>
      <w:r>
        <w:rPr>
          <w:rFonts w:hint="eastAsia" w:ascii="宋体" w:hAnsi="宋体"/>
          <w:color w:val="auto"/>
          <w:szCs w:val="21"/>
          <w:highlight w:val="none"/>
        </w:rPr>
        <w:t>分包供应商/制造商类型（如果供应商和制造商不同，只填写制造商类型）：</w:t>
      </w:r>
    </w:p>
    <w:p>
      <w:pPr>
        <w:adjustRightInd w:val="0"/>
        <w:snapToGrid w:val="0"/>
        <w:spacing w:line="420" w:lineRule="exact"/>
        <w:ind w:firstLine="840" w:firstLineChars="400"/>
        <w:rPr>
          <w:rFonts w:hint="eastAsia" w:ascii="宋体" w:hAnsi="宋体"/>
          <w:iCs/>
          <w:color w:val="auto"/>
          <w:szCs w:val="21"/>
          <w:highlight w:val="none"/>
        </w:rPr>
      </w:pP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大型企业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中型企业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小微型企业</w:t>
      </w:r>
    </w:p>
    <w:p>
      <w:pPr>
        <w:adjustRightInd w:val="0"/>
        <w:snapToGrid w:val="0"/>
        <w:spacing w:line="420" w:lineRule="exact"/>
        <w:ind w:firstLine="735" w:firstLineChars="350"/>
        <w:rPr>
          <w:rFonts w:eastAsia="华文楷体"/>
          <w:color w:val="auto"/>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残疾人福利性单位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监狱企业 </w:t>
      </w:r>
      <w:r>
        <w:rPr>
          <w:rFonts w:hint="eastAsia" w:ascii="宋体" w:hAnsi="宋体"/>
          <w:iCs/>
          <w:color w:val="auto"/>
          <w:szCs w:val="21"/>
          <w:highlight w:val="none"/>
        </w:rPr>
        <w:sym w:font="Wingdings" w:char="00A8"/>
      </w:r>
      <w:r>
        <w:rPr>
          <w:rFonts w:hint="eastAsia" w:ascii="宋体" w:hAnsi="宋体"/>
          <w:iCs/>
          <w:color w:val="auto"/>
          <w:szCs w:val="21"/>
          <w:highlight w:val="none"/>
        </w:rPr>
        <w:t>其他</w:t>
      </w:r>
    </w:p>
    <w:p>
      <w:pPr>
        <w:adjustRightInd w:val="0"/>
        <w:snapToGrid w:val="0"/>
        <w:spacing w:line="420" w:lineRule="exact"/>
        <w:ind w:firstLine="0" w:firstLineChars="0"/>
        <w:rPr>
          <w:rFonts w:hint="eastAsia" w:ascii="宋体" w:hAnsi="宋体" w:cs="宋体"/>
          <w:iCs/>
          <w:color w:val="auto"/>
          <w:szCs w:val="21"/>
          <w:highlight w:val="none"/>
        </w:rPr>
      </w:pPr>
      <w:r>
        <w:rPr>
          <w:rFonts w:hint="eastAsia" w:ascii="宋体" w:hAnsi="宋体"/>
          <w:color w:val="auto"/>
          <w:szCs w:val="21"/>
          <w:highlight w:val="none"/>
        </w:rPr>
        <w:t xml:space="preserve">   </w:t>
      </w:r>
      <w:r>
        <w:rPr>
          <w:rFonts w:hint="eastAsia" w:ascii="宋体" w:hAnsi="宋体" w:cs="宋体"/>
          <w:color w:val="auto"/>
          <w:szCs w:val="21"/>
          <w:highlight w:val="none"/>
        </w:rPr>
        <w:t>（</w:t>
      </w:r>
      <w:r>
        <w:rPr>
          <w:rFonts w:ascii="宋体" w:hAnsi="宋体" w:cs="宋体"/>
          <w:color w:val="auto"/>
          <w:szCs w:val="21"/>
          <w:highlight w:val="none"/>
          <w:lang w:val="en"/>
        </w:rPr>
        <w:t>8</w:t>
      </w:r>
      <w:r>
        <w:rPr>
          <w:rFonts w:hint="eastAsia" w:ascii="宋体" w:hAnsi="宋体" w:cs="宋体"/>
          <w:color w:val="auto"/>
          <w:szCs w:val="21"/>
          <w:highlight w:val="none"/>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pPr>
        <w:widowControl/>
        <w:tabs>
          <w:tab w:val="left" w:pos="1340"/>
        </w:tabs>
        <w:autoSpaceDE w:val="0"/>
        <w:autoSpaceDN w:val="0"/>
        <w:adjustRightInd w:val="0"/>
        <w:spacing w:line="420" w:lineRule="exact"/>
        <w:ind w:firstLine="42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 xml:space="preserve">    外商投资企业类型：</w:t>
      </w:r>
      <w:r>
        <w:rPr>
          <w:rFonts w:hint="eastAsia" w:ascii="宋体" w:hAnsi="宋体" w:cs="宋体"/>
          <w:iCs/>
          <w:color w:val="auto"/>
          <w:kern w:val="0"/>
          <w:szCs w:val="21"/>
          <w:highlight w:val="none"/>
        </w:rPr>
        <w:sym w:font="Wingdings" w:char="00A8"/>
      </w:r>
      <w:r>
        <w:rPr>
          <w:rFonts w:hint="eastAsia" w:ascii="宋体" w:hAnsi="宋体" w:cs="宋体"/>
          <w:color w:val="auto"/>
          <w:kern w:val="0"/>
          <w:szCs w:val="21"/>
          <w:highlight w:val="none"/>
        </w:rPr>
        <w:t xml:space="preserve">全部由外国投资者投资  </w:t>
      </w:r>
      <w:r>
        <w:rPr>
          <w:rFonts w:hint="eastAsia" w:ascii="宋体" w:hAnsi="宋体" w:cs="宋体"/>
          <w:iCs/>
          <w:color w:val="auto"/>
          <w:kern w:val="0"/>
          <w:szCs w:val="21"/>
          <w:highlight w:val="none"/>
        </w:rPr>
        <w:sym w:font="Wingdings" w:char="00A8"/>
      </w:r>
      <w:r>
        <w:rPr>
          <w:rFonts w:hint="eastAsia" w:ascii="宋体" w:hAnsi="宋体" w:cs="宋体"/>
          <w:iCs/>
          <w:color w:val="auto"/>
          <w:kern w:val="0"/>
          <w:szCs w:val="21"/>
          <w:highlight w:val="none"/>
        </w:rPr>
        <w:t>部分由外国投资者投资</w:t>
      </w:r>
    </w:p>
    <w:p>
      <w:pPr>
        <w:adjustRightInd w:val="0"/>
        <w:snapToGrid w:val="0"/>
        <w:spacing w:line="420" w:lineRule="exact"/>
        <w:ind w:firstLine="304" w:firstLineChars="145"/>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lang w:val="en"/>
        </w:rPr>
        <w:t>9</w:t>
      </w:r>
      <w:r>
        <w:rPr>
          <w:rFonts w:hint="eastAsia" w:ascii="宋体" w:hAnsi="宋体" w:cs="宋体"/>
          <w:color w:val="auto"/>
          <w:szCs w:val="21"/>
          <w:highlight w:val="none"/>
        </w:rPr>
        <w:t>）是否涉及进口产品：</w:t>
      </w:r>
    </w:p>
    <w:p>
      <w:pPr>
        <w:adjustRightInd w:val="0"/>
        <w:snapToGrid w:val="0"/>
        <w:spacing w:line="420" w:lineRule="exact"/>
        <w:ind w:firstLine="735" w:firstLineChars="350"/>
        <w:rPr>
          <w:rFonts w:hint="eastAsia" w:ascii="宋体" w:hAnsi="宋体" w:cs="宋体"/>
          <w:color w:val="auto"/>
          <w:szCs w:val="21"/>
          <w:highlight w:val="none"/>
          <w:u w:val="single"/>
        </w:rPr>
      </w:pPr>
      <w:r>
        <w:rPr>
          <w:rFonts w:hint="eastAsia" w:ascii="宋体" w:hAnsi="宋体" w:cs="宋体"/>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是，《政府采购品目分类目录》底级品目名称：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金额：</w:t>
      </w:r>
      <w:r>
        <w:rPr>
          <w:rFonts w:hint="eastAsia" w:ascii="宋体" w:hAnsi="宋体" w:cs="宋体"/>
          <w:color w:val="auto"/>
          <w:szCs w:val="21"/>
          <w:highlight w:val="none"/>
          <w:u w:val="single"/>
        </w:rPr>
        <w:t xml:space="preserve">            </w:t>
      </w:r>
    </w:p>
    <w:p>
      <w:pPr>
        <w:adjustRightInd w:val="0"/>
        <w:snapToGrid w:val="0"/>
        <w:spacing w:line="420" w:lineRule="exact"/>
        <w:ind w:firstLine="840" w:firstLineChars="400"/>
        <w:rPr>
          <w:rFonts w:hint="eastAsia" w:ascii="宋体" w:hAnsi="宋体"/>
          <w:color w:val="auto"/>
          <w:szCs w:val="21"/>
          <w:highlight w:val="none"/>
        </w:rPr>
      </w:pPr>
      <w:r>
        <w:rPr>
          <w:rFonts w:hint="eastAsia" w:ascii="宋体" w:hAnsi="宋体" w:cs="宋体"/>
          <w:color w:val="auto"/>
          <w:szCs w:val="21"/>
          <w:highlight w:val="none"/>
        </w:rPr>
        <w:t>国别：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品牌：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规格型号：</w:t>
      </w:r>
      <w:r>
        <w:rPr>
          <w:rFonts w:hint="eastAsia" w:ascii="宋体" w:hAnsi="宋体" w:cs="宋体"/>
          <w:color w:val="auto"/>
          <w:szCs w:val="21"/>
          <w:highlight w:val="none"/>
          <w:u w:val="single"/>
        </w:rPr>
        <w:t xml:space="preserve">                  </w:t>
      </w:r>
    </w:p>
    <w:p>
      <w:pPr>
        <w:adjustRightInd w:val="0"/>
        <w:snapToGrid w:val="0"/>
        <w:spacing w:line="420" w:lineRule="exact"/>
        <w:ind w:firstLine="840" w:firstLineChars="400"/>
        <w:rPr>
          <w:rFonts w:hint="eastAsia"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否</w:t>
      </w:r>
    </w:p>
    <w:p>
      <w:pPr>
        <w:tabs>
          <w:tab w:val="left" w:pos="740"/>
        </w:tabs>
        <w:adjustRightInd w:val="0"/>
        <w:snapToGrid w:val="0"/>
        <w:spacing w:line="420" w:lineRule="exact"/>
        <w:ind w:firstLine="0" w:firstLineChars="0"/>
        <w:rPr>
          <w:rFonts w:hint="eastAsia" w:ascii="宋体" w:hAnsi="宋体"/>
          <w:color w:val="auto"/>
          <w:szCs w:val="21"/>
          <w:highlight w:val="none"/>
        </w:rPr>
      </w:pPr>
      <w:r>
        <w:rPr>
          <w:rFonts w:hint="eastAsia" w:ascii="宋体" w:hAnsi="宋体"/>
          <w:color w:val="auto"/>
          <w:szCs w:val="21"/>
          <w:highlight w:val="none"/>
        </w:rPr>
        <w:t xml:space="preserve">   （1</w:t>
      </w:r>
      <w:r>
        <w:rPr>
          <w:rFonts w:ascii="宋体" w:hAnsi="宋体"/>
          <w:color w:val="auto"/>
          <w:szCs w:val="21"/>
          <w:highlight w:val="none"/>
          <w:lang w:val="en"/>
        </w:rPr>
        <w:t>0</w:t>
      </w:r>
      <w:r>
        <w:rPr>
          <w:rFonts w:hint="eastAsia" w:ascii="宋体" w:hAnsi="宋体"/>
          <w:color w:val="auto"/>
          <w:szCs w:val="21"/>
          <w:highlight w:val="none"/>
        </w:rPr>
        <w:t>）是否涉及节能产品：</w:t>
      </w:r>
    </w:p>
    <w:p>
      <w:pPr>
        <w:tabs>
          <w:tab w:val="left" w:pos="740"/>
        </w:tabs>
        <w:adjustRightInd w:val="0"/>
        <w:snapToGrid w:val="0"/>
        <w:spacing w:line="420" w:lineRule="exact"/>
        <w:ind w:firstLine="0" w:firstLineChars="0"/>
        <w:rPr>
          <w:rFonts w:hint="eastAsia" w:ascii="宋体" w:hAnsi="宋体"/>
          <w:iCs/>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是，《节能产品政府采购品目清单》的底级品目名称：</w:t>
      </w:r>
      <w:r>
        <w:rPr>
          <w:rFonts w:hint="eastAsia" w:ascii="宋体" w:hAnsi="宋体"/>
          <w:color w:val="auto"/>
          <w:szCs w:val="21"/>
          <w:highlight w:val="none"/>
          <w:u w:val="single"/>
        </w:rPr>
        <w:t xml:space="preserve">                      </w:t>
      </w:r>
    </w:p>
    <w:p>
      <w:pPr>
        <w:tabs>
          <w:tab w:val="left" w:pos="740"/>
        </w:tabs>
        <w:adjustRightInd w:val="0"/>
        <w:snapToGrid w:val="0"/>
        <w:spacing w:line="420" w:lineRule="exact"/>
        <w:ind w:firstLine="0" w:firstLineChars="0"/>
        <w:rPr>
          <w:rFonts w:hint="eastAsia"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r>
        <w:rPr>
          <w:rFonts w:hint="eastAsia" w:ascii="宋体" w:hAnsi="宋体"/>
          <w:color w:val="auto"/>
          <w:szCs w:val="21"/>
          <w:highlight w:val="none"/>
        </w:rPr>
        <w:sym w:font="Wingdings" w:char="00A8"/>
      </w:r>
      <w:r>
        <w:rPr>
          <w:rFonts w:hint="eastAsia" w:ascii="宋体" w:hAnsi="宋体"/>
          <w:color w:val="auto"/>
          <w:szCs w:val="21"/>
          <w:highlight w:val="none"/>
        </w:rPr>
        <w:t>否</w:t>
      </w:r>
    </w:p>
    <w:p>
      <w:pPr>
        <w:tabs>
          <w:tab w:val="left" w:pos="740"/>
        </w:tabs>
        <w:adjustRightInd w:val="0"/>
        <w:snapToGrid w:val="0"/>
        <w:spacing w:line="420" w:lineRule="exact"/>
        <w:ind w:firstLine="0" w:firstLineChars="0"/>
        <w:rPr>
          <w:rFonts w:hint="eastAsia" w:ascii="宋体" w:hAnsi="宋体"/>
          <w:color w:val="auto"/>
          <w:szCs w:val="21"/>
          <w:highlight w:val="none"/>
        </w:rPr>
      </w:pPr>
      <w:r>
        <w:rPr>
          <w:rFonts w:hint="eastAsia" w:ascii="宋体" w:hAnsi="宋体"/>
          <w:color w:val="auto"/>
          <w:szCs w:val="21"/>
          <w:highlight w:val="none"/>
        </w:rPr>
        <w:t xml:space="preserve">        是否涉及环境标志产品：</w:t>
      </w:r>
    </w:p>
    <w:p>
      <w:pPr>
        <w:tabs>
          <w:tab w:val="left" w:pos="740"/>
        </w:tabs>
        <w:adjustRightInd w:val="0"/>
        <w:snapToGrid w:val="0"/>
        <w:spacing w:line="420" w:lineRule="exact"/>
        <w:ind w:firstLine="0" w:firstLineChars="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是，《环境标志产品政府采购品目清单》的底级品目名称：</w:t>
      </w:r>
      <w:r>
        <w:rPr>
          <w:rFonts w:hint="eastAsia" w:ascii="宋体" w:hAnsi="宋体"/>
          <w:color w:val="auto"/>
          <w:szCs w:val="21"/>
          <w:highlight w:val="none"/>
          <w:u w:val="single"/>
        </w:rPr>
        <w:t xml:space="preserve">                  </w:t>
      </w:r>
    </w:p>
    <w:p>
      <w:pPr>
        <w:tabs>
          <w:tab w:val="left" w:pos="740"/>
        </w:tabs>
        <w:adjustRightInd w:val="0"/>
        <w:snapToGrid w:val="0"/>
        <w:spacing w:line="420" w:lineRule="exact"/>
        <w:ind w:firstLine="0" w:firstLineChars="0"/>
        <w:rPr>
          <w:rFonts w:hint="eastAsia"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r>
        <w:rPr>
          <w:rFonts w:hint="eastAsia" w:ascii="宋体" w:hAnsi="宋体"/>
          <w:color w:val="auto"/>
          <w:szCs w:val="21"/>
          <w:highlight w:val="none"/>
        </w:rPr>
        <w:sym w:font="Wingdings" w:char="00A8"/>
      </w:r>
      <w:r>
        <w:rPr>
          <w:rFonts w:hint="eastAsia" w:ascii="宋体" w:hAnsi="宋体"/>
          <w:color w:val="auto"/>
          <w:szCs w:val="21"/>
          <w:highlight w:val="none"/>
        </w:rPr>
        <w:t>否</w:t>
      </w:r>
    </w:p>
    <w:p>
      <w:pPr>
        <w:widowControl/>
        <w:autoSpaceDE w:val="0"/>
        <w:autoSpaceDN w:val="0"/>
        <w:adjustRightInd w:val="0"/>
        <w:snapToGrid w:val="0"/>
        <w:spacing w:line="420" w:lineRule="exact"/>
        <w:ind w:firstLine="0" w:firstLineChars="0"/>
        <w:jc w:val="left"/>
        <w:rPr>
          <w:rFonts w:hint="eastAsia" w:ascii="宋体" w:hAnsi="宋体"/>
          <w:color w:val="auto"/>
          <w:szCs w:val="21"/>
          <w:highlight w:val="none"/>
        </w:rPr>
      </w:pPr>
      <w:r>
        <w:rPr>
          <w:rFonts w:hint="eastAsia" w:ascii="宋体" w:hAnsi="宋体" w:eastAsia="华文楷体" w:cs="华文楷体"/>
          <w:color w:val="auto"/>
          <w:kern w:val="0"/>
          <w:szCs w:val="21"/>
          <w:highlight w:val="none"/>
        </w:rPr>
        <w:t xml:space="preserve">        </w:t>
      </w:r>
      <w:r>
        <w:rPr>
          <w:rFonts w:hint="eastAsia" w:ascii="宋体" w:hAnsi="宋体"/>
          <w:color w:val="auto"/>
          <w:szCs w:val="21"/>
          <w:highlight w:val="none"/>
        </w:rPr>
        <w:t xml:space="preserve">是否涉及绿色产品： </w:t>
      </w:r>
    </w:p>
    <w:p>
      <w:pPr>
        <w:widowControl/>
        <w:autoSpaceDE w:val="0"/>
        <w:autoSpaceDN w:val="0"/>
        <w:adjustRightInd w:val="0"/>
        <w:spacing w:line="420" w:lineRule="exact"/>
        <w:ind w:firstLine="420"/>
        <w:jc w:val="left"/>
        <w:rPr>
          <w:rFonts w:hint="eastAsia" w:ascii="宋体" w:hAnsi="宋体" w:cs="华文楷体"/>
          <w:color w:val="auto"/>
          <w:kern w:val="0"/>
          <w:sz w:val="22"/>
          <w:szCs w:val="21"/>
          <w:highlight w:val="none"/>
          <w:u w:val="singl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是，绿色产品政府采购相关政策确定的底级品目名称：</w:t>
      </w:r>
      <w:r>
        <w:rPr>
          <w:rFonts w:hint="eastAsia" w:ascii="宋体" w:hAnsi="宋体" w:cs="华文楷体"/>
          <w:color w:val="auto"/>
          <w:kern w:val="0"/>
          <w:sz w:val="22"/>
          <w:szCs w:val="21"/>
          <w:highlight w:val="none"/>
          <w:u w:val="single"/>
        </w:rPr>
        <w:t xml:space="preserve">                      </w:t>
      </w:r>
    </w:p>
    <w:p>
      <w:pPr>
        <w:tabs>
          <w:tab w:val="left" w:pos="740"/>
        </w:tabs>
        <w:adjustRightInd w:val="0"/>
        <w:snapToGrid w:val="0"/>
        <w:spacing w:line="420" w:lineRule="exact"/>
        <w:ind w:firstLine="0" w:firstLineChars="0"/>
        <w:rPr>
          <w:rFonts w:hint="eastAsia"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r>
        <w:rPr>
          <w:rFonts w:hint="eastAsia" w:ascii="宋体" w:hAnsi="宋体"/>
          <w:color w:val="auto"/>
          <w:szCs w:val="21"/>
          <w:highlight w:val="none"/>
        </w:rPr>
        <w:sym w:font="Wingdings" w:char="00A8"/>
      </w:r>
      <w:r>
        <w:rPr>
          <w:rFonts w:hint="eastAsia" w:ascii="宋体" w:hAnsi="宋体"/>
          <w:color w:val="auto"/>
          <w:szCs w:val="21"/>
          <w:highlight w:val="none"/>
        </w:rPr>
        <w:t>否</w:t>
      </w:r>
    </w:p>
    <w:p>
      <w:pPr>
        <w:adjustRightInd w:val="0"/>
        <w:snapToGrid w:val="0"/>
        <w:spacing w:line="420" w:lineRule="exact"/>
        <w:ind w:firstLine="315" w:firstLineChars="150"/>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lang w:val="en"/>
        </w:rPr>
        <w:t>1</w:t>
      </w:r>
      <w:r>
        <w:rPr>
          <w:rFonts w:hint="eastAsia" w:ascii="宋体" w:hAnsi="宋体"/>
          <w:color w:val="auto"/>
          <w:szCs w:val="21"/>
          <w:highlight w:val="none"/>
        </w:rPr>
        <w:t>）涉及商品包装和快递包装的，是否参考《商品包装政府采购需求标准（试行）》、《快递包装政府采购需求标准（试行）》明确产品及相关快递服务的具体包装要求：</w:t>
      </w:r>
      <w:r>
        <w:rPr>
          <w:rFonts w:hint="eastAsia" w:ascii="宋体" w:hAnsi="宋体"/>
          <w:color w:val="auto"/>
          <w:szCs w:val="21"/>
          <w:highlight w:val="none"/>
        </w:rPr>
        <w:sym w:font="Wingdings" w:char="00A8"/>
      </w:r>
      <w:r>
        <w:rPr>
          <w:rFonts w:hint="eastAsia" w:ascii="宋体" w:hAnsi="宋体"/>
          <w:color w:val="auto"/>
          <w:szCs w:val="21"/>
          <w:highlight w:val="none"/>
        </w:rPr>
        <w:t xml:space="preserve">是  </w:t>
      </w:r>
      <w:r>
        <w:rPr>
          <w:rFonts w:hint="eastAsia" w:ascii="宋体" w:hAnsi="宋体"/>
          <w:color w:val="auto"/>
          <w:szCs w:val="21"/>
          <w:highlight w:val="none"/>
        </w:rPr>
        <w:sym w:font="Wingdings" w:char="00A8"/>
      </w:r>
      <w:r>
        <w:rPr>
          <w:rFonts w:hint="eastAsia" w:ascii="宋体" w:hAnsi="宋体"/>
          <w:color w:val="auto"/>
          <w:szCs w:val="21"/>
          <w:highlight w:val="none"/>
        </w:rPr>
        <w:t xml:space="preserve">否  </w:t>
      </w:r>
      <w:r>
        <w:rPr>
          <w:rFonts w:hint="eastAsia" w:ascii="宋体" w:hAnsi="宋体"/>
          <w:color w:val="auto"/>
          <w:szCs w:val="21"/>
          <w:highlight w:val="none"/>
        </w:rPr>
        <w:sym w:font="Wingdings" w:char="00A8"/>
      </w:r>
      <w:r>
        <w:rPr>
          <w:rFonts w:hint="eastAsia" w:ascii="宋体" w:hAnsi="宋体"/>
          <w:color w:val="auto"/>
          <w:szCs w:val="21"/>
          <w:highlight w:val="none"/>
        </w:rPr>
        <w:t>不涉及</w:t>
      </w:r>
    </w:p>
    <w:p>
      <w:pPr>
        <w:numPr>
          <w:ilvl w:val="0"/>
          <w:numId w:val="21"/>
        </w:numPr>
        <w:adjustRightInd w:val="0"/>
        <w:snapToGrid w:val="0"/>
        <w:spacing w:line="420" w:lineRule="exact"/>
        <w:ind w:firstLine="422"/>
        <w:rPr>
          <w:rFonts w:hint="eastAsia" w:ascii="宋体" w:hAnsi="宋体"/>
          <w:b/>
          <w:color w:val="auto"/>
          <w:szCs w:val="21"/>
          <w:highlight w:val="none"/>
        </w:rPr>
      </w:pPr>
      <w:r>
        <w:rPr>
          <w:rFonts w:hint="eastAsia" w:ascii="宋体" w:hAnsi="宋体"/>
          <w:b/>
          <w:color w:val="auto"/>
          <w:szCs w:val="21"/>
          <w:highlight w:val="none"/>
        </w:rPr>
        <w:t>合同金额</w:t>
      </w:r>
    </w:p>
    <w:p>
      <w:pPr>
        <w:adjustRightInd w:val="0"/>
        <w:snapToGrid w:val="0"/>
        <w:spacing w:line="420" w:lineRule="exact"/>
        <w:ind w:firstLine="420"/>
        <w:rPr>
          <w:rFonts w:hint="eastAsia" w:ascii="宋体" w:hAnsi="宋体"/>
          <w:color w:val="auto"/>
          <w:szCs w:val="21"/>
          <w:highlight w:val="none"/>
        </w:rPr>
      </w:pPr>
      <w:r>
        <w:rPr>
          <w:rFonts w:hint="eastAsia" w:ascii="宋体" w:hAnsi="宋体"/>
          <w:color w:val="auto"/>
          <w:szCs w:val="21"/>
          <w:highlight w:val="none"/>
        </w:rPr>
        <w:t>（1）合同金额小写：</w:t>
      </w:r>
      <w:r>
        <w:rPr>
          <w:rFonts w:hint="eastAsia" w:ascii="宋体" w:hAnsi="宋体"/>
          <w:color w:val="auto"/>
          <w:szCs w:val="21"/>
          <w:highlight w:val="none"/>
          <w:u w:val="single"/>
        </w:rPr>
        <w:t xml:space="preserve">                                                          </w:t>
      </w:r>
    </w:p>
    <w:p>
      <w:pPr>
        <w:adjustRightInd w:val="0"/>
        <w:snapToGrid w:val="0"/>
        <w:spacing w:line="420" w:lineRule="exact"/>
        <w:ind w:firstLine="420"/>
        <w:rPr>
          <w:rFonts w:hint="eastAsia" w:ascii="宋体" w:hAnsi="宋体"/>
          <w:color w:val="auto"/>
          <w:szCs w:val="21"/>
          <w:highlight w:val="none"/>
          <w:u w:val="single"/>
        </w:rPr>
      </w:pPr>
      <w:r>
        <w:rPr>
          <w:rFonts w:hint="eastAsia" w:ascii="宋体" w:hAnsi="宋体"/>
          <w:color w:val="auto"/>
          <w:szCs w:val="21"/>
          <w:highlight w:val="none"/>
        </w:rPr>
        <w:t xml:space="preserve">                 大写：</w:t>
      </w:r>
      <w:r>
        <w:rPr>
          <w:rFonts w:hint="eastAsia" w:ascii="宋体" w:hAnsi="宋体"/>
          <w:color w:val="auto"/>
          <w:szCs w:val="21"/>
          <w:highlight w:val="none"/>
          <w:u w:val="single"/>
        </w:rPr>
        <w:t xml:space="preserve">                                                      </w:t>
      </w:r>
    </w:p>
    <w:p>
      <w:pPr>
        <w:adjustRightInd w:val="0"/>
        <w:snapToGrid w:val="0"/>
        <w:spacing w:line="420" w:lineRule="exact"/>
        <w:ind w:firstLine="420"/>
        <w:rPr>
          <w:rFonts w:hint="eastAsia" w:ascii="宋体" w:hAnsi="宋体"/>
          <w:color w:val="auto"/>
          <w:szCs w:val="21"/>
          <w:highlight w:val="none"/>
        </w:rPr>
      </w:pPr>
      <w:r>
        <w:rPr>
          <w:rFonts w:hint="eastAsia" w:ascii="宋体" w:hAnsi="宋体"/>
          <w:color w:val="auto"/>
          <w:szCs w:val="21"/>
          <w:highlight w:val="none"/>
        </w:rPr>
        <w:t xml:space="preserve">         分包金额（如有）小写：</w:t>
      </w:r>
      <w:r>
        <w:rPr>
          <w:rFonts w:hint="eastAsia" w:ascii="宋体" w:hAnsi="宋体"/>
          <w:color w:val="auto"/>
          <w:szCs w:val="21"/>
          <w:highlight w:val="none"/>
          <w:u w:val="single"/>
        </w:rPr>
        <w:t xml:space="preserve">                                              </w:t>
      </w:r>
    </w:p>
    <w:p>
      <w:pPr>
        <w:adjustRightInd w:val="0"/>
        <w:snapToGrid w:val="0"/>
        <w:spacing w:line="420" w:lineRule="exact"/>
        <w:ind w:firstLine="420"/>
        <w:rPr>
          <w:rFonts w:hint="eastAsia" w:ascii="宋体" w:hAnsi="宋体"/>
          <w:color w:val="auto"/>
          <w:szCs w:val="21"/>
          <w:highlight w:val="none"/>
          <w:u w:val="single"/>
        </w:rPr>
      </w:pPr>
      <w:r>
        <w:rPr>
          <w:rFonts w:hint="eastAsia" w:ascii="宋体" w:hAnsi="宋体"/>
          <w:color w:val="auto"/>
          <w:szCs w:val="21"/>
          <w:highlight w:val="none"/>
        </w:rPr>
        <w:t xml:space="preserve">                 大写：</w:t>
      </w:r>
      <w:r>
        <w:rPr>
          <w:rFonts w:hint="eastAsia" w:ascii="宋体" w:hAnsi="宋体"/>
          <w:color w:val="auto"/>
          <w:szCs w:val="21"/>
          <w:highlight w:val="none"/>
          <w:u w:val="single"/>
        </w:rPr>
        <w:t xml:space="preserve">                                                      </w:t>
      </w:r>
    </w:p>
    <w:p>
      <w:pPr>
        <w:adjustRightInd w:val="0"/>
        <w:snapToGrid w:val="0"/>
        <w:spacing w:line="420" w:lineRule="exact"/>
        <w:ind w:firstLine="420"/>
        <w:rPr>
          <w:rFonts w:hint="eastAsia" w:ascii="宋体" w:hAnsi="宋体"/>
          <w:color w:val="auto"/>
          <w:szCs w:val="21"/>
          <w:highlight w:val="none"/>
        </w:rPr>
      </w:pPr>
      <w:r>
        <w:rPr>
          <w:rFonts w:hint="eastAsia" w:ascii="宋体" w:hAnsi="宋体"/>
          <w:color w:val="auto"/>
          <w:szCs w:val="21"/>
          <w:highlight w:val="none"/>
        </w:rPr>
        <w:t xml:space="preserve">    （注：固定单价合同应填写单价和最高限价）</w:t>
      </w:r>
    </w:p>
    <w:p>
      <w:pPr>
        <w:adjustRightInd w:val="0"/>
        <w:snapToGrid w:val="0"/>
        <w:spacing w:line="420" w:lineRule="exact"/>
        <w:ind w:firstLine="0" w:firstLineChars="0"/>
        <w:rPr>
          <w:rFonts w:hint="eastAsia" w:ascii="宋体" w:hAnsi="宋体"/>
          <w:color w:val="auto"/>
          <w:szCs w:val="21"/>
          <w:highlight w:val="none"/>
        </w:rPr>
      </w:pPr>
      <w:r>
        <w:rPr>
          <w:rFonts w:hint="eastAsia" w:ascii="宋体" w:hAnsi="宋体"/>
          <w:color w:val="auto"/>
          <w:szCs w:val="21"/>
          <w:highlight w:val="none"/>
        </w:rPr>
        <w:t xml:space="preserve">    （2）合同定价方式（采用组合定价方式的，可以勾选多项）：</w:t>
      </w:r>
    </w:p>
    <w:p>
      <w:pPr>
        <w:adjustRightInd w:val="0"/>
        <w:snapToGrid w:val="0"/>
        <w:spacing w:line="420" w:lineRule="exact"/>
        <w:ind w:firstLine="420"/>
        <w:rPr>
          <w:rFonts w:hint="eastAsia"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固定总价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固定单价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固定费率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成本补偿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绩效激励 </w:t>
      </w:r>
      <w:r>
        <w:rPr>
          <w:rFonts w:hint="eastAsia" w:ascii="宋体" w:hAnsi="宋体"/>
          <w:iCs/>
          <w:color w:val="auto"/>
          <w:szCs w:val="21"/>
          <w:highlight w:val="none"/>
        </w:rPr>
        <w:sym w:font="Wingdings" w:char="00A8"/>
      </w:r>
      <w:r>
        <w:rPr>
          <w:rFonts w:hint="eastAsia" w:ascii="宋体" w:hAnsi="宋体"/>
          <w:iCs/>
          <w:color w:val="auto"/>
          <w:szCs w:val="21"/>
          <w:highlight w:val="none"/>
        </w:rPr>
        <w:t>其他</w:t>
      </w:r>
      <w:r>
        <w:rPr>
          <w:rFonts w:hint="eastAsia" w:ascii="宋体" w:hAnsi="宋体"/>
          <w:color w:val="auto"/>
          <w:szCs w:val="21"/>
          <w:highlight w:val="none"/>
          <w:u w:val="single"/>
        </w:rPr>
        <w:t xml:space="preserve">           </w:t>
      </w:r>
    </w:p>
    <w:p>
      <w:pPr>
        <w:spacing w:line="420" w:lineRule="exact"/>
        <w:ind w:firstLine="420"/>
        <w:rPr>
          <w:color w:val="auto"/>
          <w:szCs w:val="21"/>
          <w:highlight w:val="none"/>
        </w:rPr>
      </w:pPr>
      <w:r>
        <w:rPr>
          <w:rFonts w:hint="eastAsia" w:ascii="宋体" w:hAnsi="宋体"/>
          <w:color w:val="auto"/>
          <w:szCs w:val="21"/>
          <w:highlight w:val="none"/>
        </w:rPr>
        <w:t>（3）付款方式（按项目实际勾选填写）：</w:t>
      </w:r>
    </w:p>
    <w:p>
      <w:pPr>
        <w:adjustRightInd w:val="0"/>
        <w:snapToGrid w:val="0"/>
        <w:spacing w:line="420" w:lineRule="exact"/>
        <w:ind w:firstLine="630" w:firstLineChars="300"/>
        <w:rPr>
          <w:rFonts w:hint="eastAsia"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全额付款：</w:t>
      </w:r>
      <w:r>
        <w:rPr>
          <w:rFonts w:hint="eastAsia" w:ascii="宋体" w:hAnsi="宋体"/>
          <w:color w:val="auto"/>
          <w:szCs w:val="21"/>
          <w:highlight w:val="none"/>
          <w:u w:val="single"/>
        </w:rPr>
        <w:t xml:space="preserve">     （应明确一次性支付合同款项的条件）                    </w:t>
      </w:r>
    </w:p>
    <w:p>
      <w:pPr>
        <w:snapToGrid w:val="0"/>
        <w:spacing w:line="420" w:lineRule="exact"/>
        <w:ind w:firstLine="630" w:firstLineChars="300"/>
        <w:rPr>
          <w:color w:val="auto"/>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分期付款：</w:t>
      </w:r>
      <w:r>
        <w:rPr>
          <w:rFonts w:hint="eastAsia" w:ascii="宋体" w:hAnsi="宋体"/>
          <w:color w:val="auto"/>
          <w:szCs w:val="21"/>
          <w:highlight w:val="none"/>
          <w:u w:val="single"/>
        </w:rPr>
        <w:t xml:space="preserve">  （应明确分期支付合同款项的各期比例和支付条件，各期支付条件应与分期履约验收情况挂钩）</w:t>
      </w:r>
      <w:r>
        <w:rPr>
          <w:rFonts w:hint="eastAsia" w:ascii="宋体" w:hAnsi="宋体"/>
          <w:color w:val="auto"/>
          <w:szCs w:val="21"/>
          <w:highlight w:val="none"/>
        </w:rPr>
        <w:t>，其中涉及预付款的：</w:t>
      </w:r>
      <w:r>
        <w:rPr>
          <w:rFonts w:hint="eastAsia" w:ascii="宋体" w:hAnsi="宋体"/>
          <w:color w:val="auto"/>
          <w:szCs w:val="21"/>
          <w:highlight w:val="none"/>
          <w:u w:val="single"/>
        </w:rPr>
        <w:t xml:space="preserve"> （应明确预付款的支付比例和支付条件）</w:t>
      </w:r>
    </w:p>
    <w:p>
      <w:pPr>
        <w:adjustRightInd w:val="0"/>
        <w:snapToGrid w:val="0"/>
        <w:spacing w:line="420" w:lineRule="exact"/>
        <w:ind w:firstLine="630" w:firstLineChars="300"/>
        <w:rPr>
          <w:rFonts w:hint="eastAsia"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成本补偿：</w:t>
      </w:r>
      <w:r>
        <w:rPr>
          <w:rFonts w:hint="eastAsia" w:ascii="宋体" w:hAnsi="宋体"/>
          <w:color w:val="auto"/>
          <w:szCs w:val="21"/>
          <w:highlight w:val="none"/>
          <w:u w:val="single"/>
        </w:rPr>
        <w:t xml:space="preserve">      （应明确按照成本补偿方式的支付方式和支付条件）      </w:t>
      </w:r>
    </w:p>
    <w:p>
      <w:pPr>
        <w:adjustRightInd w:val="0"/>
        <w:snapToGrid w:val="0"/>
        <w:spacing w:line="420" w:lineRule="exact"/>
        <w:ind w:firstLine="630" w:firstLineChars="300"/>
        <w:rPr>
          <w:rFonts w:hint="eastAsia"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绩效激励：</w:t>
      </w:r>
      <w:r>
        <w:rPr>
          <w:rFonts w:hint="eastAsia" w:ascii="宋体" w:hAnsi="宋体"/>
          <w:color w:val="auto"/>
          <w:szCs w:val="21"/>
          <w:highlight w:val="none"/>
          <w:u w:val="single"/>
        </w:rPr>
        <w:t xml:space="preserve">      （应明确按照绩效激励方式的支付方式和支付条件）      </w:t>
      </w:r>
    </w:p>
    <w:p>
      <w:pPr>
        <w:numPr>
          <w:ilvl w:val="0"/>
          <w:numId w:val="21"/>
        </w:numPr>
        <w:adjustRightInd w:val="0"/>
        <w:snapToGrid w:val="0"/>
        <w:spacing w:line="420" w:lineRule="exact"/>
        <w:ind w:firstLine="422"/>
        <w:rPr>
          <w:rFonts w:hint="eastAsia" w:ascii="宋体" w:hAnsi="宋体"/>
          <w:b/>
          <w:color w:val="auto"/>
          <w:szCs w:val="21"/>
          <w:highlight w:val="none"/>
          <w:u w:val="single"/>
        </w:rPr>
      </w:pPr>
      <w:r>
        <w:rPr>
          <w:rFonts w:hint="eastAsia" w:ascii="宋体" w:hAnsi="宋体"/>
          <w:b/>
          <w:color w:val="auto"/>
          <w:szCs w:val="21"/>
          <w:highlight w:val="none"/>
        </w:rPr>
        <w:t>合同履行</w:t>
      </w:r>
    </w:p>
    <w:p>
      <w:pPr>
        <w:adjustRightInd w:val="0"/>
        <w:snapToGrid w:val="0"/>
        <w:spacing w:line="420" w:lineRule="exact"/>
        <w:ind w:firstLine="199" w:firstLineChars="95"/>
        <w:rPr>
          <w:rFonts w:hint="eastAsia" w:ascii="宋体" w:hAnsi="宋体" w:cs="宋体"/>
          <w:color w:val="auto"/>
          <w:szCs w:val="21"/>
          <w:highlight w:val="none"/>
        </w:rPr>
      </w:pPr>
      <w:r>
        <w:rPr>
          <w:rFonts w:hint="eastAsia" w:ascii="宋体" w:hAnsi="宋体" w:cs="宋体"/>
          <w:color w:val="auto"/>
          <w:szCs w:val="21"/>
          <w:highlight w:val="none"/>
        </w:rPr>
        <w:t>（1）起始日期：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日，完成日期：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adjustRightInd w:val="0"/>
        <w:snapToGrid w:val="0"/>
        <w:spacing w:line="420" w:lineRule="exact"/>
        <w:ind w:firstLine="199" w:firstLineChars="95"/>
        <w:rPr>
          <w:rFonts w:hint="eastAsia" w:ascii="宋体" w:hAnsi="宋体" w:cs="宋体"/>
          <w:color w:val="auto"/>
          <w:szCs w:val="21"/>
          <w:highlight w:val="none"/>
          <w:u w:val="single"/>
        </w:rPr>
      </w:pPr>
      <w:r>
        <w:rPr>
          <w:rFonts w:hint="eastAsia" w:ascii="宋体" w:hAnsi="宋体" w:cs="宋体"/>
          <w:color w:val="auto"/>
          <w:szCs w:val="21"/>
          <w:highlight w:val="none"/>
        </w:rPr>
        <w:t>（2）履约地点</w:t>
      </w:r>
      <w:r>
        <w:rPr>
          <w:rFonts w:hint="eastAsia" w:ascii="宋体" w:hAnsi="宋体" w:cs="宋体"/>
          <w:bCs/>
          <w:color w:val="auto"/>
          <w:szCs w:val="21"/>
          <w:highlight w:val="none"/>
        </w:rPr>
        <w:t>：</w:t>
      </w:r>
      <w:r>
        <w:rPr>
          <w:rFonts w:hint="eastAsia" w:ascii="宋体" w:hAnsi="宋体" w:cs="宋体"/>
          <w:color w:val="auto"/>
          <w:szCs w:val="21"/>
          <w:highlight w:val="none"/>
          <w:u w:val="single"/>
        </w:rPr>
        <w:t xml:space="preserve">                                            </w:t>
      </w:r>
    </w:p>
    <w:p>
      <w:pPr>
        <w:adjustRightInd w:val="0"/>
        <w:snapToGrid w:val="0"/>
        <w:spacing w:line="420" w:lineRule="exact"/>
        <w:ind w:firstLine="199" w:firstLineChars="95"/>
        <w:rPr>
          <w:rFonts w:hint="eastAsia" w:ascii="宋体" w:hAnsi="宋体" w:cs="宋体"/>
          <w:color w:val="auto"/>
          <w:szCs w:val="21"/>
          <w:highlight w:val="none"/>
        </w:rPr>
      </w:pPr>
      <w:r>
        <w:rPr>
          <w:rFonts w:hint="eastAsia" w:ascii="宋体" w:hAnsi="宋体" w:cs="宋体"/>
          <w:bCs/>
          <w:color w:val="auto"/>
          <w:szCs w:val="21"/>
          <w:highlight w:val="none"/>
        </w:rPr>
        <w:t>（3）履约担保：</w:t>
      </w:r>
      <w:r>
        <w:rPr>
          <w:rFonts w:hint="eastAsia" w:ascii="宋体" w:hAnsi="宋体" w:cs="宋体"/>
          <w:color w:val="auto"/>
          <w:highlight w:val="none"/>
        </w:rPr>
        <w:t>是否收取履约保证金：</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否</w:t>
      </w:r>
    </w:p>
    <w:p>
      <w:pPr>
        <w:widowControl/>
        <w:autoSpaceDE w:val="0"/>
        <w:autoSpaceDN w:val="0"/>
        <w:adjustRightInd w:val="0"/>
        <w:spacing w:line="420" w:lineRule="exact"/>
        <w:ind w:firstLine="440"/>
        <w:jc w:val="left"/>
        <w:rPr>
          <w:rFonts w:hint="eastAsia" w:ascii="宋体" w:hAnsi="宋体" w:cs="宋体"/>
          <w:color w:val="auto"/>
          <w:kern w:val="0"/>
          <w:szCs w:val="21"/>
          <w:highlight w:val="none"/>
        </w:rPr>
      </w:pPr>
      <w:r>
        <w:rPr>
          <w:rFonts w:hint="eastAsia" w:ascii="宋体" w:hAnsi="宋体" w:eastAsia="华文楷体" w:cs="宋体"/>
          <w:bCs/>
          <w:color w:val="auto"/>
          <w:kern w:val="0"/>
          <w:sz w:val="22"/>
          <w:szCs w:val="21"/>
          <w:highlight w:val="none"/>
        </w:rPr>
        <w:t xml:space="preserve"> </w:t>
      </w:r>
      <w:r>
        <w:rPr>
          <w:rFonts w:hint="eastAsia" w:ascii="宋体" w:hAnsi="宋体" w:cs="宋体"/>
          <w:color w:val="auto"/>
          <w:kern w:val="0"/>
          <w:szCs w:val="21"/>
          <w:highlight w:val="none"/>
        </w:rPr>
        <w:t xml:space="preserve">  收取履约保证金形式：</w:t>
      </w:r>
      <w:r>
        <w:rPr>
          <w:rFonts w:hint="eastAsia" w:ascii="宋体" w:hAnsi="宋体" w:cs="宋体"/>
          <w:bCs/>
          <w:color w:val="auto"/>
          <w:kern w:val="0"/>
          <w:szCs w:val="21"/>
          <w:highlight w:val="none"/>
          <w:u w:val="single"/>
        </w:rPr>
        <w:t xml:space="preserve">                                  </w:t>
      </w:r>
    </w:p>
    <w:p>
      <w:pPr>
        <w:widowControl/>
        <w:autoSpaceDE w:val="0"/>
        <w:autoSpaceDN w:val="0"/>
        <w:adjustRightInd w:val="0"/>
        <w:spacing w:line="42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收取履约保证金金额：</w:t>
      </w:r>
      <w:r>
        <w:rPr>
          <w:rFonts w:hint="eastAsia" w:ascii="宋体" w:hAnsi="宋体" w:cs="宋体"/>
          <w:bCs/>
          <w:color w:val="auto"/>
          <w:kern w:val="0"/>
          <w:szCs w:val="21"/>
          <w:highlight w:val="none"/>
          <w:u w:val="single"/>
        </w:rPr>
        <w:t xml:space="preserve">                                  </w:t>
      </w:r>
    </w:p>
    <w:p>
      <w:pPr>
        <w:snapToGrid w:val="0"/>
        <w:spacing w:line="420" w:lineRule="exact"/>
        <w:ind w:firstLine="420"/>
        <w:rPr>
          <w:rFonts w:hint="eastAsia" w:ascii="宋体" w:hAnsi="宋体" w:cs="宋体"/>
          <w:color w:val="auto"/>
          <w:highlight w:val="none"/>
        </w:rPr>
      </w:pPr>
      <w:r>
        <w:rPr>
          <w:rFonts w:hint="eastAsia" w:ascii="宋体" w:hAnsi="宋体" w:cs="宋体"/>
          <w:bCs/>
          <w:color w:val="auto"/>
          <w:szCs w:val="21"/>
          <w:highlight w:val="none"/>
        </w:rPr>
        <w:t xml:space="preserve">   履约担保期限：</w:t>
      </w:r>
      <w:r>
        <w:rPr>
          <w:rFonts w:hint="eastAsia" w:ascii="宋体" w:hAnsi="宋体" w:cs="宋体"/>
          <w:bCs/>
          <w:color w:val="auto"/>
          <w:szCs w:val="21"/>
          <w:highlight w:val="none"/>
          <w:u w:val="single"/>
        </w:rPr>
        <w:t xml:space="preserve">                                        </w:t>
      </w:r>
    </w:p>
    <w:p>
      <w:pPr>
        <w:adjustRightInd w:val="0"/>
        <w:snapToGrid w:val="0"/>
        <w:spacing w:line="420" w:lineRule="exact"/>
        <w:ind w:firstLine="199" w:firstLineChars="95"/>
        <w:rPr>
          <w:rFonts w:hint="eastAsia" w:ascii="宋体" w:hAnsi="宋体" w:cs="宋体"/>
          <w:bCs/>
          <w:color w:val="auto"/>
          <w:szCs w:val="21"/>
          <w:highlight w:val="none"/>
        </w:rPr>
      </w:pPr>
      <w:r>
        <w:rPr>
          <w:rFonts w:hint="eastAsia" w:ascii="宋体" w:hAnsi="宋体" w:cs="宋体"/>
          <w:bCs/>
          <w:color w:val="auto"/>
          <w:szCs w:val="21"/>
          <w:highlight w:val="none"/>
        </w:rPr>
        <w:t>（4）分期履行要求：</w:t>
      </w:r>
      <w:r>
        <w:rPr>
          <w:rFonts w:hint="eastAsia" w:ascii="宋体" w:hAnsi="宋体" w:cs="宋体"/>
          <w:bCs/>
          <w:color w:val="auto"/>
          <w:szCs w:val="21"/>
          <w:highlight w:val="none"/>
          <w:u w:val="single"/>
        </w:rPr>
        <w:t xml:space="preserve">                                        </w:t>
      </w:r>
    </w:p>
    <w:p>
      <w:pPr>
        <w:adjustRightInd w:val="0"/>
        <w:snapToGrid w:val="0"/>
        <w:spacing w:line="420" w:lineRule="exact"/>
        <w:ind w:firstLine="199" w:firstLineChars="95"/>
        <w:rPr>
          <w:rFonts w:hint="eastAsia" w:ascii="宋体" w:hAnsi="宋体" w:cs="宋体"/>
          <w:color w:val="auto"/>
          <w:szCs w:val="21"/>
          <w:highlight w:val="none"/>
          <w:u w:val="single"/>
        </w:rPr>
      </w:pPr>
      <w:r>
        <w:rPr>
          <w:rFonts w:hint="eastAsia" w:ascii="宋体" w:hAnsi="宋体" w:cs="宋体"/>
          <w:bCs/>
          <w:color w:val="auto"/>
          <w:szCs w:val="21"/>
          <w:highlight w:val="none"/>
        </w:rPr>
        <w:t>（5）风险处置措施和替代方案：</w:t>
      </w:r>
      <w:r>
        <w:rPr>
          <w:rFonts w:hint="eastAsia" w:ascii="宋体" w:hAnsi="宋体" w:cs="宋体"/>
          <w:color w:val="auto"/>
          <w:szCs w:val="21"/>
          <w:highlight w:val="none"/>
          <w:u w:val="single"/>
        </w:rPr>
        <w:t xml:space="preserve">                              </w:t>
      </w:r>
    </w:p>
    <w:p>
      <w:pPr>
        <w:numPr>
          <w:ilvl w:val="0"/>
          <w:numId w:val="21"/>
        </w:numPr>
        <w:adjustRightInd w:val="0"/>
        <w:snapToGrid w:val="0"/>
        <w:spacing w:line="420" w:lineRule="exact"/>
        <w:ind w:firstLine="422"/>
        <w:rPr>
          <w:rFonts w:hint="eastAsia" w:ascii="宋体" w:hAnsi="宋体"/>
          <w:b/>
          <w:color w:val="auto"/>
          <w:szCs w:val="21"/>
          <w:highlight w:val="none"/>
        </w:rPr>
      </w:pPr>
      <w:r>
        <w:rPr>
          <w:rFonts w:hint="eastAsia" w:ascii="宋体" w:hAnsi="宋体"/>
          <w:b/>
          <w:color w:val="auto"/>
          <w:szCs w:val="21"/>
          <w:highlight w:val="none"/>
        </w:rPr>
        <w:t>合同验收</w:t>
      </w:r>
    </w:p>
    <w:p>
      <w:pPr>
        <w:adjustRightInd w:val="0"/>
        <w:snapToGrid w:val="0"/>
        <w:spacing w:line="420" w:lineRule="exact"/>
        <w:ind w:firstLine="210" w:firstLineChars="100"/>
        <w:rPr>
          <w:rFonts w:hint="eastAsia" w:ascii="宋体" w:hAnsi="宋体"/>
          <w:bCs/>
          <w:color w:val="auto"/>
          <w:szCs w:val="21"/>
          <w:highlight w:val="none"/>
        </w:rPr>
      </w:pPr>
      <w:r>
        <w:rPr>
          <w:rFonts w:hint="eastAsia" w:ascii="宋体" w:hAnsi="宋体"/>
          <w:bCs/>
          <w:color w:val="auto"/>
          <w:szCs w:val="21"/>
          <w:highlight w:val="none"/>
        </w:rPr>
        <w:t>（1）验收组织方式：</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自行组织 </w:t>
      </w:r>
      <w:r>
        <w:rPr>
          <w:rFonts w:hint="eastAsia" w:ascii="宋体" w:hAnsi="宋体" w:cs="宋体"/>
          <w:color w:val="auto"/>
          <w:szCs w:val="21"/>
          <w:highlight w:val="none"/>
        </w:rPr>
        <w:sym w:font="Wingdings" w:char="00A8"/>
      </w:r>
      <w:r>
        <w:rPr>
          <w:rFonts w:hint="eastAsia" w:ascii="宋体" w:hAnsi="宋体"/>
          <w:bCs/>
          <w:color w:val="auto"/>
          <w:szCs w:val="21"/>
          <w:highlight w:val="none"/>
        </w:rPr>
        <w:t>委托第三方组织</w:t>
      </w:r>
    </w:p>
    <w:p>
      <w:pPr>
        <w:adjustRightInd w:val="0"/>
        <w:snapToGrid w:val="0"/>
        <w:spacing w:line="420" w:lineRule="exact"/>
        <w:ind w:firstLine="420"/>
        <w:rPr>
          <w:rFonts w:hint="eastAsia" w:ascii="宋体" w:hAnsi="宋体"/>
          <w:bCs/>
          <w:color w:val="auto"/>
          <w:szCs w:val="21"/>
          <w:highlight w:val="none"/>
        </w:rPr>
      </w:pPr>
      <w:r>
        <w:rPr>
          <w:rFonts w:hint="eastAsia" w:ascii="宋体" w:hAnsi="宋体"/>
          <w:bCs/>
          <w:color w:val="auto"/>
          <w:szCs w:val="21"/>
          <w:highlight w:val="none"/>
        </w:rPr>
        <w:t xml:space="preserve">        验收主体：</w:t>
      </w:r>
      <w:r>
        <w:rPr>
          <w:rFonts w:hint="eastAsia" w:ascii="宋体" w:hAnsi="宋体"/>
          <w:bCs/>
          <w:color w:val="auto"/>
          <w:szCs w:val="21"/>
          <w:highlight w:val="none"/>
          <w:u w:val="single"/>
        </w:rPr>
        <w:t xml:space="preserve">                                    </w:t>
      </w:r>
    </w:p>
    <w:p>
      <w:pPr>
        <w:adjustRightInd w:val="0"/>
        <w:snapToGrid w:val="0"/>
        <w:spacing w:line="420" w:lineRule="exact"/>
        <w:ind w:firstLine="420"/>
        <w:rPr>
          <w:rFonts w:hint="eastAsia" w:ascii="宋体" w:hAnsi="宋体"/>
          <w:bCs/>
          <w:color w:val="auto"/>
          <w:szCs w:val="21"/>
          <w:highlight w:val="none"/>
        </w:rPr>
      </w:pPr>
      <w:r>
        <w:rPr>
          <w:rFonts w:hint="eastAsia" w:ascii="宋体" w:hAnsi="宋体"/>
          <w:bCs/>
          <w:color w:val="auto"/>
          <w:szCs w:val="21"/>
          <w:highlight w:val="none"/>
        </w:rPr>
        <w:t xml:space="preserve">        是否邀请本项目的其他供应商参加验收：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pPr>
        <w:adjustRightInd w:val="0"/>
        <w:snapToGrid w:val="0"/>
        <w:spacing w:line="420" w:lineRule="exact"/>
        <w:ind w:firstLine="840" w:firstLineChars="400"/>
        <w:rPr>
          <w:rFonts w:hint="eastAsia" w:ascii="宋体" w:hAnsi="宋体"/>
          <w:bCs/>
          <w:color w:val="auto"/>
          <w:szCs w:val="21"/>
          <w:highlight w:val="none"/>
        </w:rPr>
      </w:pPr>
      <w:r>
        <w:rPr>
          <w:rFonts w:hint="eastAsia" w:ascii="宋体" w:hAnsi="宋体"/>
          <w:bCs/>
          <w:color w:val="auto"/>
          <w:szCs w:val="21"/>
          <w:highlight w:val="none"/>
        </w:rPr>
        <w:t>是否邀请专家参加验收：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pPr>
        <w:adjustRightInd w:val="0"/>
        <w:snapToGrid w:val="0"/>
        <w:spacing w:line="420" w:lineRule="exact"/>
        <w:ind w:firstLine="840" w:firstLineChars="400"/>
        <w:rPr>
          <w:rFonts w:hint="eastAsia" w:ascii="宋体" w:hAnsi="宋体"/>
          <w:bCs/>
          <w:color w:val="auto"/>
          <w:szCs w:val="21"/>
          <w:highlight w:val="none"/>
        </w:rPr>
      </w:pPr>
      <w:r>
        <w:rPr>
          <w:rFonts w:hint="eastAsia" w:ascii="宋体" w:hAnsi="宋体"/>
          <w:bCs/>
          <w:color w:val="auto"/>
          <w:szCs w:val="21"/>
          <w:highlight w:val="none"/>
        </w:rPr>
        <w:t>是否邀请服务对象参加验收：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pPr>
        <w:adjustRightInd w:val="0"/>
        <w:snapToGrid w:val="0"/>
        <w:spacing w:line="420" w:lineRule="exact"/>
        <w:ind w:firstLine="840" w:firstLineChars="400"/>
        <w:rPr>
          <w:rFonts w:hint="eastAsia" w:ascii="宋体" w:hAnsi="宋体"/>
          <w:bCs/>
          <w:color w:val="auto"/>
          <w:szCs w:val="21"/>
          <w:highlight w:val="none"/>
        </w:rPr>
      </w:pPr>
      <w:r>
        <w:rPr>
          <w:rFonts w:hint="eastAsia" w:ascii="宋体" w:hAnsi="宋体"/>
          <w:bCs/>
          <w:color w:val="auto"/>
          <w:szCs w:val="21"/>
          <w:highlight w:val="none"/>
        </w:rPr>
        <w:t>是否邀请第三方检测机构参加验收：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pPr>
        <w:adjustRightInd w:val="0"/>
        <w:snapToGrid w:val="0"/>
        <w:spacing w:line="420" w:lineRule="exact"/>
        <w:ind w:firstLine="840" w:firstLineChars="400"/>
        <w:rPr>
          <w:rFonts w:hint="eastAsia" w:ascii="宋体" w:hAnsi="宋体"/>
          <w:bCs/>
          <w:color w:val="auto"/>
          <w:szCs w:val="21"/>
          <w:highlight w:val="none"/>
        </w:rPr>
      </w:pPr>
      <w:r>
        <w:rPr>
          <w:rFonts w:hint="eastAsia" w:ascii="宋体" w:hAnsi="宋体"/>
          <w:bCs/>
          <w:color w:val="auto"/>
          <w:szCs w:val="21"/>
          <w:highlight w:val="none"/>
        </w:rPr>
        <w:t>是否进行抽查检测：</w:t>
      </w:r>
      <w:r>
        <w:rPr>
          <w:rFonts w:hint="eastAsia" w:ascii="宋体" w:hAnsi="宋体" w:cs="宋体"/>
          <w:color w:val="auto"/>
          <w:szCs w:val="21"/>
          <w:highlight w:val="none"/>
        </w:rPr>
        <w:sym w:font="Wingdings" w:char="00A8"/>
      </w:r>
      <w:r>
        <w:rPr>
          <w:rFonts w:hint="eastAsia" w:ascii="宋体" w:hAnsi="宋体"/>
          <w:bCs/>
          <w:color w:val="auto"/>
          <w:szCs w:val="21"/>
          <w:highlight w:val="none"/>
        </w:rPr>
        <w:t>是，抽查比例：</w:t>
      </w:r>
      <w:r>
        <w:rPr>
          <w:rFonts w:hint="eastAsia" w:ascii="宋体" w:hAnsi="宋体"/>
          <w:bCs/>
          <w:color w:val="auto"/>
          <w:szCs w:val="21"/>
          <w:highlight w:val="none"/>
          <w:u w:val="single"/>
        </w:rPr>
        <w:t xml:space="preserve">        </w:t>
      </w: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pPr>
        <w:adjustRightInd w:val="0"/>
        <w:snapToGrid w:val="0"/>
        <w:spacing w:line="420" w:lineRule="exact"/>
        <w:ind w:firstLine="840" w:firstLineChars="400"/>
        <w:rPr>
          <w:rFonts w:hint="eastAsia" w:ascii="宋体" w:hAnsi="宋体"/>
          <w:bCs/>
          <w:color w:val="auto"/>
          <w:szCs w:val="21"/>
          <w:highlight w:val="none"/>
          <w:u w:val="single"/>
        </w:rPr>
      </w:pPr>
      <w:r>
        <w:rPr>
          <w:rFonts w:hint="eastAsia" w:ascii="宋体" w:hAnsi="宋体"/>
          <w:bCs/>
          <w:color w:val="auto"/>
          <w:szCs w:val="21"/>
          <w:highlight w:val="none"/>
        </w:rPr>
        <w:t>是否存在破坏性检测：</w:t>
      </w:r>
      <w:r>
        <w:rPr>
          <w:rFonts w:hint="eastAsia" w:ascii="宋体" w:hAnsi="宋体" w:cs="宋体"/>
          <w:color w:val="auto"/>
          <w:szCs w:val="21"/>
          <w:highlight w:val="none"/>
        </w:rPr>
        <w:sym w:font="Wingdings" w:char="00A8"/>
      </w:r>
      <w:r>
        <w:rPr>
          <w:rFonts w:hint="eastAsia" w:ascii="宋体" w:hAnsi="宋体"/>
          <w:bCs/>
          <w:color w:val="auto"/>
          <w:szCs w:val="21"/>
          <w:highlight w:val="none"/>
        </w:rPr>
        <w:t>是，</w:t>
      </w:r>
      <w:r>
        <w:rPr>
          <w:rFonts w:hint="eastAsia" w:ascii="宋体" w:hAnsi="宋体"/>
          <w:bCs/>
          <w:color w:val="auto"/>
          <w:szCs w:val="21"/>
          <w:highlight w:val="none"/>
          <w:u w:val="single"/>
        </w:rPr>
        <w:t>（应明确对被破坏的检测产品的处理方式）</w:t>
      </w: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pPr>
        <w:adjustRightInd w:val="0"/>
        <w:snapToGrid w:val="0"/>
        <w:spacing w:line="420" w:lineRule="exact"/>
        <w:ind w:firstLine="840" w:firstLineChars="400"/>
        <w:rPr>
          <w:rFonts w:hint="eastAsia" w:ascii="宋体" w:hAnsi="宋体"/>
          <w:bCs/>
          <w:color w:val="auto"/>
          <w:szCs w:val="21"/>
          <w:highlight w:val="none"/>
          <w:u w:val="single"/>
        </w:rPr>
      </w:pPr>
      <w:r>
        <w:rPr>
          <w:rFonts w:hint="eastAsia" w:ascii="宋体" w:hAnsi="宋体"/>
          <w:bCs/>
          <w:color w:val="auto"/>
          <w:szCs w:val="21"/>
          <w:highlight w:val="none"/>
        </w:rPr>
        <w:t>验收组织的其他事项：</w:t>
      </w:r>
      <w:r>
        <w:rPr>
          <w:rFonts w:hint="eastAsia" w:ascii="宋体" w:hAnsi="宋体"/>
          <w:bCs/>
          <w:color w:val="auto"/>
          <w:szCs w:val="21"/>
          <w:highlight w:val="none"/>
          <w:u w:val="single"/>
        </w:rPr>
        <w:t xml:space="preserve">                                  </w:t>
      </w:r>
    </w:p>
    <w:p>
      <w:pPr>
        <w:adjustRightInd w:val="0"/>
        <w:snapToGrid w:val="0"/>
        <w:spacing w:line="420" w:lineRule="exact"/>
        <w:ind w:firstLine="210" w:firstLineChars="100"/>
        <w:rPr>
          <w:rFonts w:hint="eastAsia" w:ascii="宋体" w:hAnsi="宋体"/>
          <w:bCs/>
          <w:color w:val="auto"/>
          <w:szCs w:val="21"/>
          <w:highlight w:val="none"/>
          <w:u w:val="single"/>
        </w:rPr>
      </w:pPr>
      <w:r>
        <w:rPr>
          <w:rFonts w:hint="eastAsia" w:ascii="宋体" w:hAnsi="宋体"/>
          <w:bCs/>
          <w:color w:val="auto"/>
          <w:szCs w:val="21"/>
          <w:highlight w:val="none"/>
        </w:rPr>
        <w:t>（2）履约验收时间：</w:t>
      </w:r>
      <w:r>
        <w:rPr>
          <w:rFonts w:hint="eastAsia" w:ascii="宋体" w:hAnsi="宋体"/>
          <w:bCs/>
          <w:color w:val="auto"/>
          <w:szCs w:val="21"/>
          <w:highlight w:val="none"/>
          <w:u w:val="single"/>
        </w:rPr>
        <w:t xml:space="preserve">（计划于何时验收/供应商提出验收申请之日起   日内组织验收） </w:t>
      </w:r>
    </w:p>
    <w:p>
      <w:pPr>
        <w:adjustRightInd w:val="0"/>
        <w:snapToGrid w:val="0"/>
        <w:spacing w:line="420" w:lineRule="exact"/>
        <w:ind w:firstLine="210" w:firstLineChars="100"/>
        <w:rPr>
          <w:rFonts w:hint="eastAsia" w:ascii="宋体" w:hAnsi="宋体"/>
          <w:bCs/>
          <w:color w:val="auto"/>
          <w:szCs w:val="21"/>
          <w:highlight w:val="none"/>
        </w:rPr>
      </w:pPr>
      <w:r>
        <w:rPr>
          <w:rFonts w:hint="eastAsia" w:ascii="宋体" w:hAnsi="宋体"/>
          <w:bCs/>
          <w:color w:val="auto"/>
          <w:szCs w:val="21"/>
          <w:highlight w:val="none"/>
        </w:rPr>
        <w:t>（3）履约验收方式：</w:t>
      </w:r>
      <w:r>
        <w:rPr>
          <w:rFonts w:hint="eastAsia" w:ascii="宋体" w:hAnsi="宋体" w:cs="宋体"/>
          <w:color w:val="auto"/>
          <w:szCs w:val="21"/>
          <w:highlight w:val="none"/>
        </w:rPr>
        <w:sym w:font="Wingdings" w:char="00A8"/>
      </w:r>
      <w:r>
        <w:rPr>
          <w:rFonts w:hint="eastAsia" w:ascii="宋体" w:hAnsi="宋体"/>
          <w:bCs/>
          <w:color w:val="auto"/>
          <w:szCs w:val="21"/>
          <w:highlight w:val="none"/>
        </w:rPr>
        <w:t>一次性验收</w:t>
      </w:r>
    </w:p>
    <w:p>
      <w:pPr>
        <w:adjustRightInd w:val="0"/>
        <w:snapToGrid w:val="0"/>
        <w:spacing w:line="420" w:lineRule="exact"/>
        <w:ind w:firstLine="420"/>
        <w:rPr>
          <w:rFonts w:hint="eastAsia" w:ascii="宋体" w:hAnsi="宋体"/>
          <w:bCs/>
          <w:color w:val="auto"/>
          <w:szCs w:val="21"/>
          <w:highlight w:val="none"/>
        </w:rPr>
      </w:pP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分期/分项验收：</w:t>
      </w:r>
      <w:r>
        <w:rPr>
          <w:rFonts w:hint="eastAsia" w:ascii="宋体" w:hAnsi="宋体"/>
          <w:bCs/>
          <w:color w:val="auto"/>
          <w:szCs w:val="21"/>
          <w:highlight w:val="none"/>
          <w:u w:val="single"/>
        </w:rPr>
        <w:t xml:space="preserve">   （应明确分期</w:t>
      </w:r>
      <w:r>
        <w:rPr>
          <w:rFonts w:ascii="宋体" w:hAnsi="宋体"/>
          <w:bCs/>
          <w:color w:val="auto"/>
          <w:szCs w:val="21"/>
          <w:highlight w:val="none"/>
          <w:u w:val="single"/>
          <w:lang w:val="en"/>
        </w:rPr>
        <w:t>/</w:t>
      </w:r>
      <w:r>
        <w:rPr>
          <w:rFonts w:hint="eastAsia" w:ascii="宋体" w:hAnsi="宋体"/>
          <w:bCs/>
          <w:color w:val="auto"/>
          <w:szCs w:val="21"/>
          <w:highlight w:val="none"/>
          <w:u w:val="single"/>
          <w:lang w:val="en"/>
        </w:rPr>
        <w:t>分项验收的工作安排</w:t>
      </w:r>
      <w:r>
        <w:rPr>
          <w:rFonts w:hint="eastAsia" w:ascii="宋体" w:hAnsi="宋体"/>
          <w:bCs/>
          <w:color w:val="auto"/>
          <w:szCs w:val="21"/>
          <w:highlight w:val="none"/>
          <w:u w:val="single"/>
        </w:rPr>
        <w:t xml:space="preserve">）   </w:t>
      </w:r>
    </w:p>
    <w:p>
      <w:pPr>
        <w:adjustRightInd w:val="0"/>
        <w:snapToGrid w:val="0"/>
        <w:spacing w:line="420" w:lineRule="exact"/>
        <w:ind w:firstLine="210" w:firstLineChars="100"/>
        <w:rPr>
          <w:rFonts w:hint="eastAsia" w:ascii="宋体" w:hAnsi="宋体"/>
          <w:bCs/>
          <w:color w:val="auto"/>
          <w:szCs w:val="21"/>
          <w:highlight w:val="none"/>
        </w:rPr>
      </w:pPr>
      <w:r>
        <w:rPr>
          <w:rFonts w:hint="eastAsia" w:ascii="宋体" w:hAnsi="宋体"/>
          <w:bCs/>
          <w:color w:val="auto"/>
          <w:szCs w:val="21"/>
          <w:highlight w:val="none"/>
        </w:rPr>
        <w:t>（4）履约验收程序：</w:t>
      </w:r>
      <w:r>
        <w:rPr>
          <w:rFonts w:hint="eastAsia" w:ascii="宋体" w:hAnsi="宋体"/>
          <w:bCs/>
          <w:color w:val="auto"/>
          <w:szCs w:val="21"/>
          <w:highlight w:val="none"/>
          <w:u w:val="single"/>
        </w:rPr>
        <w:t xml:space="preserve">                                                        </w:t>
      </w:r>
    </w:p>
    <w:p>
      <w:pPr>
        <w:adjustRightInd w:val="0"/>
        <w:snapToGrid w:val="0"/>
        <w:spacing w:line="420" w:lineRule="exact"/>
        <w:ind w:firstLine="210" w:firstLineChars="100"/>
        <w:rPr>
          <w:rFonts w:hint="eastAsia" w:ascii="宋体" w:hAnsi="宋体"/>
          <w:bCs/>
          <w:color w:val="auto"/>
          <w:szCs w:val="21"/>
          <w:highlight w:val="none"/>
          <w:u w:val="single"/>
        </w:rPr>
      </w:pPr>
      <w:r>
        <w:rPr>
          <w:rFonts w:hint="eastAsia" w:ascii="宋体" w:hAnsi="宋体"/>
          <w:bCs/>
          <w:color w:val="auto"/>
          <w:szCs w:val="21"/>
          <w:highlight w:val="none"/>
        </w:rPr>
        <w:t>（5）履约验收的内容：</w:t>
      </w:r>
      <w:r>
        <w:rPr>
          <w:rFonts w:hint="eastAsia" w:ascii="宋体" w:hAnsi="宋体"/>
          <w:bCs/>
          <w:color w:val="auto"/>
          <w:szCs w:val="21"/>
          <w:highlight w:val="none"/>
          <w:u w:val="single"/>
        </w:rPr>
        <w:t xml:space="preserve"> （应当包括每一项技术和商务要求的履约情况，特别是落实政府采购扶持中小企业，支持绿色发展和乡村振兴等政策情况）                                       </w:t>
      </w:r>
    </w:p>
    <w:p>
      <w:pPr>
        <w:adjustRightInd w:val="0"/>
        <w:snapToGrid w:val="0"/>
        <w:spacing w:line="420" w:lineRule="exact"/>
        <w:ind w:firstLine="210" w:firstLineChars="100"/>
        <w:rPr>
          <w:rFonts w:hint="eastAsia" w:ascii="宋体" w:hAnsi="宋体"/>
          <w:bCs/>
          <w:color w:val="auto"/>
          <w:szCs w:val="21"/>
          <w:highlight w:val="none"/>
          <w:u w:val="single"/>
        </w:rPr>
      </w:pPr>
      <w:r>
        <w:rPr>
          <w:rFonts w:hint="eastAsia" w:ascii="宋体" w:hAnsi="宋体"/>
          <w:bCs/>
          <w:color w:val="auto"/>
          <w:szCs w:val="21"/>
          <w:highlight w:val="none"/>
        </w:rPr>
        <w:t>（6）履约验收标准：</w:t>
      </w:r>
      <w:r>
        <w:rPr>
          <w:rFonts w:hint="eastAsia" w:ascii="宋体" w:hAnsi="宋体"/>
          <w:bCs/>
          <w:color w:val="auto"/>
          <w:szCs w:val="21"/>
          <w:highlight w:val="none"/>
          <w:u w:val="single"/>
        </w:rPr>
        <w:t xml:space="preserve">                                                        </w:t>
      </w:r>
    </w:p>
    <w:p>
      <w:pPr>
        <w:widowControl/>
        <w:autoSpaceDE w:val="0"/>
        <w:autoSpaceDN w:val="0"/>
        <w:adjustRightInd w:val="0"/>
        <w:spacing w:line="420" w:lineRule="exact"/>
        <w:ind w:firstLine="210" w:firstLineChars="100"/>
        <w:jc w:val="left"/>
        <w:rPr>
          <w:rFonts w:hint="eastAsia" w:ascii="宋体" w:hAnsi="宋体" w:cs="宋体"/>
          <w:color w:val="auto"/>
          <w:kern w:val="0"/>
          <w:szCs w:val="21"/>
          <w:highlight w:val="none"/>
        </w:rPr>
      </w:pPr>
      <w:r>
        <w:rPr>
          <w:rFonts w:hint="eastAsia" w:ascii="宋体" w:hAnsi="宋体" w:cs="宋体"/>
          <w:bCs/>
          <w:color w:val="auto"/>
          <w:kern w:val="0"/>
          <w:szCs w:val="21"/>
          <w:highlight w:val="none"/>
        </w:rPr>
        <w:t>（7）是否以采购活动中供应商提供的样品作为参考：</w:t>
      </w:r>
      <w:r>
        <w:rPr>
          <w:rFonts w:hint="eastAsia" w:ascii="宋体" w:hAnsi="宋体" w:cs="宋体"/>
          <w:color w:val="auto"/>
          <w:kern w:val="0"/>
          <w:szCs w:val="21"/>
          <w:highlight w:val="none"/>
        </w:rPr>
        <w:sym w:font="Wingdings" w:char="00A8"/>
      </w:r>
      <w:r>
        <w:rPr>
          <w:rFonts w:hint="eastAsia" w:ascii="宋体" w:hAnsi="宋体" w:cs="宋体"/>
          <w:bCs/>
          <w:color w:val="auto"/>
          <w:kern w:val="0"/>
          <w:szCs w:val="21"/>
          <w:highlight w:val="none"/>
        </w:rPr>
        <w:t xml:space="preserve">是  </w:t>
      </w:r>
      <w:r>
        <w:rPr>
          <w:rFonts w:hint="eastAsia" w:ascii="宋体" w:hAnsi="宋体" w:cs="宋体"/>
          <w:color w:val="auto"/>
          <w:kern w:val="0"/>
          <w:szCs w:val="21"/>
          <w:highlight w:val="none"/>
        </w:rPr>
        <w:sym w:font="Wingdings" w:char="00A8"/>
      </w:r>
      <w:r>
        <w:rPr>
          <w:rFonts w:hint="eastAsia" w:ascii="宋体" w:hAnsi="宋体" w:cs="宋体"/>
          <w:bCs/>
          <w:color w:val="auto"/>
          <w:kern w:val="0"/>
          <w:szCs w:val="21"/>
          <w:highlight w:val="none"/>
        </w:rPr>
        <w:t>否</w:t>
      </w:r>
    </w:p>
    <w:p>
      <w:pPr>
        <w:adjustRightInd w:val="0"/>
        <w:snapToGrid w:val="0"/>
        <w:spacing w:line="420" w:lineRule="exact"/>
        <w:ind w:firstLine="210" w:firstLineChars="100"/>
        <w:rPr>
          <w:rFonts w:hint="eastAsia" w:ascii="宋体" w:hAnsi="宋体" w:cs="宋体"/>
          <w:bCs/>
          <w:color w:val="auto"/>
          <w:szCs w:val="21"/>
          <w:highlight w:val="none"/>
          <w:u w:val="single"/>
        </w:rPr>
      </w:pPr>
      <w:r>
        <w:rPr>
          <w:rFonts w:hint="eastAsia" w:ascii="宋体" w:hAnsi="宋体" w:cs="宋体"/>
          <w:bCs/>
          <w:color w:val="auto"/>
          <w:szCs w:val="21"/>
          <w:highlight w:val="none"/>
        </w:rPr>
        <w:t>（8）履约验收其他事项：</w:t>
      </w:r>
      <w:r>
        <w:rPr>
          <w:rFonts w:hint="eastAsia" w:ascii="宋体" w:hAnsi="宋体" w:cs="宋体"/>
          <w:bCs/>
          <w:color w:val="auto"/>
          <w:szCs w:val="21"/>
          <w:highlight w:val="none"/>
          <w:u w:val="single"/>
        </w:rPr>
        <w:t xml:space="preserve">               （产权过户登记等）                   </w:t>
      </w:r>
    </w:p>
    <w:p>
      <w:pPr>
        <w:numPr>
          <w:ilvl w:val="0"/>
          <w:numId w:val="21"/>
        </w:numPr>
        <w:adjustRightInd w:val="0"/>
        <w:snapToGrid w:val="0"/>
        <w:spacing w:line="420" w:lineRule="exact"/>
        <w:ind w:firstLine="422"/>
        <w:rPr>
          <w:rFonts w:hint="eastAsia" w:ascii="宋体" w:hAnsi="宋体"/>
          <w:b/>
          <w:color w:val="auto"/>
          <w:szCs w:val="21"/>
          <w:highlight w:val="none"/>
        </w:rPr>
      </w:pPr>
      <w:r>
        <w:rPr>
          <w:rFonts w:hint="eastAsia" w:ascii="宋体" w:hAnsi="宋体"/>
          <w:b/>
          <w:color w:val="auto"/>
          <w:szCs w:val="21"/>
          <w:highlight w:val="none"/>
        </w:rPr>
        <w:t>组成合同的文件</w:t>
      </w:r>
    </w:p>
    <w:p>
      <w:pPr>
        <w:adjustRightInd w:val="0"/>
        <w:snapToGrid w:val="0"/>
        <w:spacing w:line="420" w:lineRule="exact"/>
        <w:ind w:firstLine="420"/>
        <w:rPr>
          <w:rFonts w:hint="eastAsia" w:ascii="宋体" w:hAnsi="宋体"/>
          <w:color w:val="auto"/>
          <w:szCs w:val="21"/>
          <w:highlight w:val="none"/>
        </w:rPr>
      </w:pPr>
      <w:r>
        <w:rPr>
          <w:rFonts w:hint="eastAsia" w:ascii="宋体" w:hAnsi="宋体"/>
          <w:color w:val="auto"/>
          <w:szCs w:val="21"/>
          <w:highlight w:val="none"/>
        </w:rPr>
        <w:t>本协议书与下列文件一起构成合同文件，如下述文件之间有任何抵触、矛盾或歧义，应按以下顺序解释：</w:t>
      </w:r>
    </w:p>
    <w:p>
      <w:pPr>
        <w:adjustRightInd w:val="0"/>
        <w:snapToGrid w:val="0"/>
        <w:spacing w:line="420" w:lineRule="exact"/>
        <w:ind w:firstLine="210" w:firstLineChars="100"/>
        <w:rPr>
          <w:rFonts w:hint="eastAsia" w:ascii="宋体" w:hAnsi="宋体"/>
          <w:color w:val="auto"/>
          <w:szCs w:val="21"/>
          <w:highlight w:val="none"/>
        </w:rPr>
      </w:pPr>
      <w:r>
        <w:rPr>
          <w:rFonts w:hint="eastAsia" w:ascii="宋体" w:hAnsi="宋体"/>
          <w:color w:val="auto"/>
          <w:szCs w:val="21"/>
          <w:highlight w:val="none"/>
        </w:rPr>
        <w:t>（1）政府采购合同协议书及其变更、补充协议</w:t>
      </w:r>
    </w:p>
    <w:p>
      <w:pPr>
        <w:adjustRightInd w:val="0"/>
        <w:snapToGrid w:val="0"/>
        <w:spacing w:line="420" w:lineRule="exact"/>
        <w:ind w:firstLine="210" w:firstLineChars="100"/>
        <w:rPr>
          <w:rFonts w:hint="eastAsia" w:ascii="宋体" w:hAnsi="宋体"/>
          <w:color w:val="auto"/>
          <w:szCs w:val="21"/>
          <w:highlight w:val="none"/>
        </w:rPr>
      </w:pPr>
      <w:r>
        <w:rPr>
          <w:rFonts w:hint="eastAsia" w:ascii="宋体" w:hAnsi="宋体"/>
          <w:color w:val="auto"/>
          <w:szCs w:val="21"/>
          <w:highlight w:val="none"/>
        </w:rPr>
        <w:t>（2）政府采购合同专用条款</w:t>
      </w:r>
    </w:p>
    <w:p>
      <w:pPr>
        <w:adjustRightInd w:val="0"/>
        <w:snapToGrid w:val="0"/>
        <w:spacing w:line="420" w:lineRule="exact"/>
        <w:ind w:firstLine="210" w:firstLineChars="100"/>
        <w:rPr>
          <w:rFonts w:hint="eastAsia" w:ascii="宋体" w:hAnsi="宋体"/>
          <w:color w:val="auto"/>
          <w:szCs w:val="21"/>
          <w:highlight w:val="none"/>
        </w:rPr>
      </w:pPr>
      <w:r>
        <w:rPr>
          <w:rFonts w:hint="eastAsia" w:ascii="宋体" w:hAnsi="宋体"/>
          <w:color w:val="auto"/>
          <w:szCs w:val="21"/>
          <w:highlight w:val="none"/>
        </w:rPr>
        <w:t>（3）政府采购合同通用条款</w:t>
      </w:r>
    </w:p>
    <w:p>
      <w:pPr>
        <w:adjustRightInd w:val="0"/>
        <w:snapToGrid w:val="0"/>
        <w:spacing w:line="420" w:lineRule="exact"/>
        <w:ind w:firstLine="210" w:firstLineChars="100"/>
        <w:rPr>
          <w:rFonts w:hint="eastAsia" w:ascii="宋体" w:hAnsi="宋体"/>
          <w:color w:val="auto"/>
          <w:szCs w:val="21"/>
          <w:highlight w:val="none"/>
        </w:rPr>
      </w:pPr>
      <w:r>
        <w:rPr>
          <w:rFonts w:hint="eastAsia" w:ascii="宋体" w:hAnsi="宋体"/>
          <w:color w:val="auto"/>
          <w:szCs w:val="21"/>
          <w:highlight w:val="none"/>
        </w:rPr>
        <w:t>（4）中标（成交）通知书</w:t>
      </w:r>
    </w:p>
    <w:p>
      <w:pPr>
        <w:adjustRightInd w:val="0"/>
        <w:snapToGrid w:val="0"/>
        <w:spacing w:line="420" w:lineRule="exact"/>
        <w:ind w:firstLine="210" w:firstLineChars="100"/>
        <w:rPr>
          <w:rFonts w:hint="eastAsia" w:ascii="宋体" w:hAnsi="宋体"/>
          <w:color w:val="auto"/>
          <w:szCs w:val="21"/>
          <w:highlight w:val="none"/>
        </w:rPr>
      </w:pPr>
      <w:r>
        <w:rPr>
          <w:rFonts w:hint="eastAsia" w:ascii="宋体" w:hAnsi="宋体"/>
          <w:color w:val="auto"/>
          <w:szCs w:val="21"/>
          <w:highlight w:val="none"/>
        </w:rPr>
        <w:t>（5）投标（响应）文件</w:t>
      </w:r>
    </w:p>
    <w:p>
      <w:pPr>
        <w:adjustRightInd w:val="0"/>
        <w:snapToGrid w:val="0"/>
        <w:spacing w:line="420" w:lineRule="exact"/>
        <w:ind w:firstLine="210" w:firstLineChars="100"/>
        <w:rPr>
          <w:rFonts w:hint="eastAsia" w:ascii="宋体" w:hAnsi="宋体"/>
          <w:color w:val="auto"/>
          <w:szCs w:val="21"/>
          <w:highlight w:val="none"/>
        </w:rPr>
      </w:pPr>
      <w:r>
        <w:rPr>
          <w:rFonts w:hint="eastAsia" w:ascii="宋体" w:hAnsi="宋体"/>
          <w:color w:val="auto"/>
          <w:szCs w:val="21"/>
          <w:highlight w:val="none"/>
        </w:rPr>
        <w:t>（6）采购文件</w:t>
      </w:r>
    </w:p>
    <w:p>
      <w:pPr>
        <w:adjustRightInd w:val="0"/>
        <w:snapToGrid w:val="0"/>
        <w:spacing w:line="420" w:lineRule="exact"/>
        <w:ind w:firstLine="210" w:firstLineChars="100"/>
        <w:rPr>
          <w:rFonts w:hint="eastAsia" w:ascii="宋体" w:hAnsi="宋体"/>
          <w:color w:val="auto"/>
          <w:szCs w:val="21"/>
          <w:highlight w:val="none"/>
        </w:rPr>
      </w:pPr>
      <w:r>
        <w:rPr>
          <w:rFonts w:hint="eastAsia" w:ascii="宋体" w:hAnsi="宋体"/>
          <w:color w:val="auto"/>
          <w:szCs w:val="21"/>
          <w:highlight w:val="none"/>
        </w:rPr>
        <w:t>（7）有关技术文件，图纸</w:t>
      </w:r>
    </w:p>
    <w:p>
      <w:pPr>
        <w:widowControl/>
        <w:autoSpaceDE w:val="0"/>
        <w:autoSpaceDN w:val="0"/>
        <w:adjustRightInd w:val="0"/>
        <w:spacing w:line="420" w:lineRule="exact"/>
        <w:ind w:firstLine="210" w:firstLineChars="100"/>
        <w:jc w:val="left"/>
        <w:rPr>
          <w:rFonts w:hint="eastAsia" w:ascii="宋体" w:hAnsi="宋体" w:cs="宋体"/>
          <w:color w:val="auto"/>
          <w:szCs w:val="21"/>
          <w:highlight w:val="none"/>
        </w:rPr>
      </w:pPr>
      <w:r>
        <w:rPr>
          <w:rFonts w:hint="eastAsia" w:ascii="宋体" w:hAnsi="宋体" w:cs="宋体"/>
          <w:color w:val="auto"/>
          <w:kern w:val="0"/>
          <w:szCs w:val="21"/>
          <w:highlight w:val="none"/>
        </w:rPr>
        <w:t>（8）</w:t>
      </w:r>
      <w:r>
        <w:rPr>
          <w:rFonts w:hint="eastAsia" w:ascii="宋体" w:hAnsi="宋体" w:cs="宋体"/>
          <w:color w:val="auto"/>
          <w:szCs w:val="21"/>
          <w:highlight w:val="none"/>
        </w:rPr>
        <w:t>国家法律、行政法规和规章制度规定或合同约定的作为合同组成部分的其他文件</w:t>
      </w:r>
    </w:p>
    <w:p>
      <w:pPr>
        <w:numPr>
          <w:ilvl w:val="0"/>
          <w:numId w:val="21"/>
        </w:numPr>
        <w:adjustRightInd w:val="0"/>
        <w:snapToGrid w:val="0"/>
        <w:spacing w:line="420" w:lineRule="exact"/>
        <w:ind w:firstLine="422"/>
        <w:rPr>
          <w:rFonts w:hint="eastAsia" w:ascii="宋体" w:hAnsi="宋体"/>
          <w:b/>
          <w:color w:val="auto"/>
          <w:szCs w:val="21"/>
          <w:highlight w:val="none"/>
        </w:rPr>
      </w:pPr>
      <w:r>
        <w:rPr>
          <w:rFonts w:hint="eastAsia" w:ascii="宋体" w:hAnsi="宋体"/>
          <w:b/>
          <w:color w:val="auto"/>
          <w:szCs w:val="21"/>
          <w:highlight w:val="none"/>
        </w:rPr>
        <w:t>合同生效</w:t>
      </w:r>
    </w:p>
    <w:p>
      <w:pPr>
        <w:adjustRightInd w:val="0"/>
        <w:snapToGrid w:val="0"/>
        <w:spacing w:line="420" w:lineRule="exact"/>
        <w:ind w:firstLine="420"/>
        <w:rPr>
          <w:rFonts w:hint="eastAsia" w:ascii="宋体" w:hAnsi="宋体"/>
          <w:color w:val="auto"/>
          <w:szCs w:val="21"/>
          <w:highlight w:val="none"/>
        </w:rPr>
      </w:pPr>
      <w:r>
        <w:rPr>
          <w:rFonts w:hint="eastAsia" w:ascii="宋体" w:hAnsi="宋体"/>
          <w:color w:val="auto"/>
          <w:szCs w:val="21"/>
          <w:highlight w:val="none"/>
        </w:rPr>
        <w:t>本合同自</w:t>
      </w:r>
      <w:r>
        <w:rPr>
          <w:rFonts w:hint="eastAsia" w:ascii="宋体" w:hAnsi="宋体"/>
          <w:color w:val="auto"/>
          <w:szCs w:val="21"/>
          <w:highlight w:val="none"/>
          <w:u w:val="single"/>
        </w:rPr>
        <w:t xml:space="preserve">                                                                </w:t>
      </w:r>
      <w:r>
        <w:rPr>
          <w:rFonts w:hint="eastAsia" w:ascii="宋体" w:hAnsi="宋体"/>
          <w:color w:val="auto"/>
          <w:szCs w:val="21"/>
          <w:highlight w:val="none"/>
        </w:rPr>
        <w:t>生效。</w:t>
      </w:r>
    </w:p>
    <w:p>
      <w:pPr>
        <w:numPr>
          <w:ilvl w:val="0"/>
          <w:numId w:val="21"/>
        </w:numPr>
        <w:adjustRightInd w:val="0"/>
        <w:snapToGrid w:val="0"/>
        <w:spacing w:line="420" w:lineRule="exact"/>
        <w:ind w:firstLine="422"/>
        <w:rPr>
          <w:rFonts w:hint="eastAsia" w:ascii="宋体" w:hAnsi="宋体"/>
          <w:b/>
          <w:color w:val="auto"/>
          <w:szCs w:val="21"/>
          <w:highlight w:val="none"/>
        </w:rPr>
      </w:pPr>
      <w:r>
        <w:rPr>
          <w:rFonts w:hint="eastAsia" w:ascii="宋体" w:hAnsi="宋体"/>
          <w:b/>
          <w:color w:val="auto"/>
          <w:szCs w:val="21"/>
          <w:highlight w:val="none"/>
        </w:rPr>
        <w:t>合同份数</w:t>
      </w:r>
    </w:p>
    <w:p>
      <w:pPr>
        <w:adjustRightInd w:val="0"/>
        <w:snapToGrid w:val="0"/>
        <w:spacing w:line="420" w:lineRule="exact"/>
        <w:ind w:firstLine="420"/>
        <w:rPr>
          <w:rFonts w:hint="eastAsia" w:ascii="宋体" w:hAnsi="宋体"/>
          <w:color w:val="auto"/>
          <w:szCs w:val="21"/>
          <w:highlight w:val="none"/>
        </w:rPr>
      </w:pPr>
      <w:r>
        <w:rPr>
          <w:rFonts w:hint="eastAsia" w:ascii="宋体" w:hAnsi="宋体"/>
          <w:color w:val="auto"/>
          <w:szCs w:val="21"/>
          <w:highlight w:val="none"/>
        </w:rPr>
        <w:t>本合同一式</w:t>
      </w:r>
      <w:r>
        <w:rPr>
          <w:rFonts w:hint="eastAsia" w:ascii="宋体" w:hAnsi="宋体"/>
          <w:color w:val="auto"/>
          <w:szCs w:val="21"/>
          <w:highlight w:val="none"/>
          <w:u w:val="single"/>
        </w:rPr>
        <w:t xml:space="preserve">     </w:t>
      </w:r>
      <w:r>
        <w:rPr>
          <w:rFonts w:hint="eastAsia" w:ascii="宋体" w:hAnsi="宋体"/>
          <w:color w:val="auto"/>
          <w:szCs w:val="21"/>
          <w:highlight w:val="none"/>
        </w:rPr>
        <w:t>份，甲方执</w:t>
      </w:r>
      <w:r>
        <w:rPr>
          <w:rFonts w:hint="eastAsia" w:ascii="宋体" w:hAnsi="宋体"/>
          <w:color w:val="auto"/>
          <w:szCs w:val="21"/>
          <w:highlight w:val="none"/>
          <w:u w:val="single"/>
        </w:rPr>
        <w:t xml:space="preserve">     </w:t>
      </w:r>
      <w:r>
        <w:rPr>
          <w:rFonts w:hint="eastAsia" w:ascii="宋体" w:hAnsi="宋体"/>
          <w:color w:val="auto"/>
          <w:szCs w:val="21"/>
          <w:highlight w:val="none"/>
        </w:rPr>
        <w:t>份，乙方执</w:t>
      </w:r>
      <w:r>
        <w:rPr>
          <w:rFonts w:hint="eastAsia" w:ascii="宋体" w:hAnsi="宋体"/>
          <w:color w:val="auto"/>
          <w:szCs w:val="21"/>
          <w:highlight w:val="none"/>
          <w:u w:val="single"/>
        </w:rPr>
        <w:t xml:space="preserve">     </w:t>
      </w:r>
      <w:r>
        <w:rPr>
          <w:rFonts w:hint="eastAsia" w:ascii="宋体" w:hAnsi="宋体"/>
          <w:color w:val="auto"/>
          <w:szCs w:val="21"/>
          <w:highlight w:val="none"/>
        </w:rPr>
        <w:t>份，均具有同等法律效力。</w:t>
      </w:r>
    </w:p>
    <w:p>
      <w:pPr>
        <w:adjustRightInd w:val="0"/>
        <w:snapToGrid w:val="0"/>
        <w:spacing w:line="420" w:lineRule="exact"/>
        <w:ind w:firstLine="420"/>
        <w:rPr>
          <w:rFonts w:hint="eastAsia" w:ascii="宋体" w:hAnsi="宋体"/>
          <w:color w:val="auto"/>
          <w:szCs w:val="21"/>
          <w:highlight w:val="none"/>
        </w:rPr>
      </w:pPr>
      <w:r>
        <w:rPr>
          <w:rFonts w:hint="eastAsia" w:ascii="宋体" w:hAnsi="宋体"/>
          <w:color w:val="auto"/>
          <w:szCs w:val="21"/>
          <w:highlight w:val="none"/>
        </w:rPr>
        <w:t>合同订立时间：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adjustRightInd w:val="0"/>
        <w:snapToGrid w:val="0"/>
        <w:spacing w:line="420" w:lineRule="exact"/>
        <w:ind w:firstLine="420"/>
        <w:rPr>
          <w:rFonts w:hint="eastAsia" w:ascii="宋体" w:hAnsi="宋体"/>
          <w:color w:val="auto"/>
          <w:szCs w:val="21"/>
          <w:highlight w:val="none"/>
        </w:rPr>
      </w:pPr>
      <w:r>
        <w:rPr>
          <w:rFonts w:hint="eastAsia" w:ascii="宋体" w:hAnsi="宋体"/>
          <w:color w:val="auto"/>
          <w:szCs w:val="21"/>
          <w:highlight w:val="none"/>
        </w:rPr>
        <w:t>合同订立地点：</w:t>
      </w:r>
      <w:r>
        <w:rPr>
          <w:rFonts w:hint="eastAsia" w:ascii="宋体" w:hAnsi="宋体"/>
          <w:color w:val="auto"/>
          <w:szCs w:val="21"/>
          <w:highlight w:val="none"/>
          <w:u w:val="single"/>
        </w:rPr>
        <w:t xml:space="preserve">                               </w:t>
      </w:r>
    </w:p>
    <w:p>
      <w:pPr>
        <w:adjustRightInd w:val="0"/>
        <w:snapToGrid w:val="0"/>
        <w:spacing w:line="420" w:lineRule="exact"/>
        <w:ind w:firstLine="420"/>
        <w:rPr>
          <w:color w:val="auto"/>
          <w:highlight w:val="none"/>
        </w:rPr>
      </w:pPr>
      <w:r>
        <w:rPr>
          <w:rFonts w:hint="eastAsia" w:ascii="宋体" w:hAnsi="宋体"/>
          <w:color w:val="auto"/>
          <w:szCs w:val="21"/>
          <w:highlight w:val="none"/>
        </w:rPr>
        <w:t>附件：具体标的及其技术要求和商务要求、联合协议、分包意向协议等。</w:t>
      </w:r>
    </w:p>
    <w:p>
      <w:pPr>
        <w:widowControl/>
        <w:spacing w:line="420" w:lineRule="exact"/>
        <w:ind w:firstLine="420"/>
        <w:jc w:val="left"/>
        <w:rPr>
          <w:color w:val="auto"/>
          <w:szCs w:val="21"/>
          <w:highlight w:val="none"/>
        </w:rPr>
      </w:pPr>
      <w:r>
        <w:rPr>
          <w:color w:val="auto"/>
          <w:szCs w:val="21"/>
          <w:highlight w:val="none"/>
        </w:rPr>
        <w:br w:type="page"/>
      </w:r>
    </w:p>
    <w:tbl>
      <w:tblPr>
        <w:tblStyle w:val="49"/>
        <w:tblW w:w="0" w:type="auto"/>
        <w:tblInd w:w="113"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250"/>
        <w:gridCol w:w="2869"/>
        <w:gridCol w:w="2354"/>
        <w:gridCol w:w="2517"/>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054" w:hRule="atLeast"/>
        </w:trPr>
        <w:tc>
          <w:tcPr>
            <w:tcW w:w="5119" w:type="dxa"/>
            <w:gridSpan w:val="2"/>
            <w:tcBorders>
              <w:bottom w:val="single" w:color="auto" w:sz="2" w:space="0"/>
              <w:right w:val="single" w:color="auto" w:sz="2" w:space="0"/>
            </w:tcBorders>
            <w:noWrap w:val="0"/>
            <w:vAlign w:val="center"/>
          </w:tcPr>
          <w:p>
            <w:pPr>
              <w:adjustRightInd w:val="0"/>
              <w:snapToGrid w:val="0"/>
              <w:spacing w:line="300" w:lineRule="exact"/>
              <w:ind w:firstLine="420"/>
              <w:jc w:val="center"/>
              <w:rPr>
                <w:color w:val="auto"/>
                <w:highlight w:val="none"/>
              </w:rPr>
            </w:pPr>
            <w:r>
              <w:rPr>
                <w:color w:val="auto"/>
                <w:szCs w:val="21"/>
                <w:highlight w:val="none"/>
              </w:rPr>
              <w:t>甲方</w:t>
            </w:r>
            <w:r>
              <w:rPr>
                <w:rFonts w:hint="eastAsia"/>
                <w:color w:val="auto"/>
                <w:szCs w:val="21"/>
                <w:highlight w:val="none"/>
              </w:rPr>
              <w:t>（采购人</w:t>
            </w:r>
            <w:r>
              <w:rPr>
                <w:rFonts w:hint="eastAsia" w:ascii="宋体" w:hAnsi="宋体"/>
                <w:color w:val="auto"/>
                <w:szCs w:val="21"/>
                <w:highlight w:val="none"/>
              </w:rPr>
              <w:t>、受采购人委托签订合同的单位或</w:t>
            </w:r>
            <w:r>
              <w:rPr>
                <w:rFonts w:hint="eastAsia"/>
                <w:color w:val="auto"/>
                <w:szCs w:val="21"/>
                <w:highlight w:val="none"/>
              </w:rPr>
              <w:t>采购文件约定的合同甲方）</w:t>
            </w:r>
          </w:p>
        </w:tc>
        <w:tc>
          <w:tcPr>
            <w:tcW w:w="4871" w:type="dxa"/>
            <w:gridSpan w:val="2"/>
            <w:tcBorders>
              <w:left w:val="single" w:color="auto" w:sz="2" w:space="0"/>
              <w:bottom w:val="single" w:color="auto" w:sz="2" w:space="0"/>
            </w:tcBorders>
            <w:noWrap w:val="0"/>
            <w:vAlign w:val="center"/>
          </w:tcPr>
          <w:p>
            <w:pPr>
              <w:adjustRightInd w:val="0"/>
              <w:snapToGrid w:val="0"/>
              <w:spacing w:line="300" w:lineRule="exact"/>
              <w:ind w:firstLine="420"/>
              <w:jc w:val="center"/>
              <w:rPr>
                <w:color w:val="auto"/>
                <w:highlight w:val="none"/>
              </w:rPr>
            </w:pPr>
            <w:r>
              <w:rPr>
                <w:color w:val="auto"/>
                <w:szCs w:val="21"/>
                <w:highlight w:val="none"/>
              </w:rPr>
              <w:t>乙方</w:t>
            </w:r>
            <w:r>
              <w:rPr>
                <w:rFonts w:hint="eastAsia"/>
                <w:color w:val="auto"/>
                <w:szCs w:val="21"/>
                <w:highlight w:val="none"/>
              </w:rPr>
              <w:t>（供应商）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832" w:hRule="atLeast"/>
        </w:trPr>
        <w:tc>
          <w:tcPr>
            <w:tcW w:w="2250" w:type="dxa"/>
            <w:tcBorders>
              <w:top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color w:val="auto"/>
                <w:szCs w:val="21"/>
                <w:highlight w:val="none"/>
              </w:rPr>
              <w:t>单位名称</w:t>
            </w:r>
            <w:r>
              <w:rPr>
                <w:rFonts w:hint="eastAsia"/>
                <w:color w:val="auto"/>
                <w:szCs w:val="21"/>
                <w:highlight w:val="none"/>
              </w:rPr>
              <w:t>（公章或合同章）</w:t>
            </w:r>
          </w:p>
        </w:tc>
        <w:tc>
          <w:tcPr>
            <w:tcW w:w="286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p>
        </w:tc>
        <w:tc>
          <w:tcPr>
            <w:tcW w:w="2354"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color w:val="auto"/>
                <w:szCs w:val="21"/>
                <w:highlight w:val="none"/>
              </w:rPr>
              <w:t>单位名称</w:t>
            </w:r>
            <w:r>
              <w:rPr>
                <w:rFonts w:hint="eastAsia"/>
                <w:color w:val="auto"/>
                <w:szCs w:val="21"/>
                <w:highlight w:val="none"/>
              </w:rPr>
              <w:t>（公章或合同章）</w:t>
            </w:r>
          </w:p>
        </w:tc>
        <w:tc>
          <w:tcPr>
            <w:tcW w:w="2517" w:type="dxa"/>
            <w:tcBorders>
              <w:top w:val="single" w:color="auto" w:sz="2" w:space="0"/>
              <w:left w:val="single" w:color="auto" w:sz="2" w:space="0"/>
              <w:bottom w:val="single" w:color="auto" w:sz="2" w:space="0"/>
            </w:tcBorders>
            <w:noWrap w:val="0"/>
            <w:vAlign w:val="center"/>
          </w:tcPr>
          <w:p>
            <w:pPr>
              <w:adjustRightInd w:val="0"/>
              <w:snapToGrid w:val="0"/>
              <w:spacing w:line="300" w:lineRule="exact"/>
              <w:ind w:firstLine="500"/>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2250" w:type="dxa"/>
            <w:vMerge w:val="restart"/>
            <w:tcBorders>
              <w:top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color w:val="auto"/>
                <w:szCs w:val="21"/>
                <w:highlight w:val="none"/>
              </w:rPr>
              <w:t>法定代表人</w:t>
            </w:r>
          </w:p>
          <w:p>
            <w:pPr>
              <w:adjustRightInd w:val="0"/>
              <w:snapToGrid w:val="0"/>
              <w:spacing w:line="300" w:lineRule="exact"/>
              <w:ind w:firstLine="100" w:firstLineChars="48"/>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869" w:type="dxa"/>
            <w:vMerge w:val="restart"/>
            <w:tcBorders>
              <w:top w:val="single" w:color="auto" w:sz="2" w:space="0"/>
              <w:left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p>
        </w:tc>
        <w:tc>
          <w:tcPr>
            <w:tcW w:w="2354" w:type="dxa"/>
            <w:tcBorders>
              <w:top w:val="single" w:color="auto" w:sz="2" w:space="0"/>
              <w:left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color w:val="auto"/>
                <w:szCs w:val="21"/>
                <w:highlight w:val="none"/>
              </w:rPr>
              <w:t>法定代表人</w:t>
            </w:r>
          </w:p>
          <w:p>
            <w:pPr>
              <w:adjustRightInd w:val="0"/>
              <w:snapToGrid w:val="0"/>
              <w:spacing w:line="300" w:lineRule="exact"/>
              <w:ind w:firstLine="420"/>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517" w:type="dxa"/>
            <w:tcBorders>
              <w:top w:val="single" w:color="auto" w:sz="2" w:space="0"/>
              <w:left w:val="single" w:color="auto" w:sz="2" w:space="0"/>
              <w:bottom w:val="single" w:color="auto" w:sz="2" w:space="0"/>
            </w:tcBorders>
            <w:noWrap w:val="0"/>
            <w:vAlign w:val="center"/>
          </w:tcPr>
          <w:p>
            <w:pPr>
              <w:adjustRightInd w:val="0"/>
              <w:snapToGrid w:val="0"/>
              <w:spacing w:line="300" w:lineRule="exact"/>
              <w:ind w:firstLine="42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vMerge w:val="continue"/>
            <w:tcBorders>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p>
        </w:tc>
        <w:tc>
          <w:tcPr>
            <w:tcW w:w="2869" w:type="dxa"/>
            <w:vMerge w:val="continue"/>
            <w:tcBorders>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p>
        </w:tc>
        <w:tc>
          <w:tcPr>
            <w:tcW w:w="2354"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rFonts w:hint="eastAsia"/>
                <w:color w:val="auto"/>
                <w:szCs w:val="21"/>
                <w:highlight w:val="none"/>
              </w:rPr>
              <w:t>拥有者性别</w:t>
            </w:r>
          </w:p>
        </w:tc>
        <w:tc>
          <w:tcPr>
            <w:tcW w:w="2517" w:type="dxa"/>
            <w:tcBorders>
              <w:top w:val="single" w:color="auto" w:sz="2" w:space="0"/>
              <w:left w:val="single" w:color="auto" w:sz="2" w:space="0"/>
              <w:bottom w:val="single" w:color="auto" w:sz="2" w:space="0"/>
            </w:tcBorders>
            <w:noWrap w:val="0"/>
            <w:vAlign w:val="center"/>
          </w:tcPr>
          <w:p>
            <w:pPr>
              <w:adjustRightInd w:val="0"/>
              <w:snapToGrid w:val="0"/>
              <w:spacing w:line="300" w:lineRule="exact"/>
              <w:ind w:firstLine="500"/>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250" w:type="dxa"/>
            <w:tcBorders>
              <w:top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rFonts w:hint="eastAsia"/>
                <w:color w:val="auto"/>
                <w:szCs w:val="21"/>
                <w:highlight w:val="none"/>
              </w:rPr>
              <w:t>住  所</w:t>
            </w:r>
          </w:p>
        </w:tc>
        <w:tc>
          <w:tcPr>
            <w:tcW w:w="286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p>
        </w:tc>
        <w:tc>
          <w:tcPr>
            <w:tcW w:w="2354"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rFonts w:hint="eastAsia"/>
                <w:color w:val="auto"/>
                <w:szCs w:val="21"/>
                <w:highlight w:val="none"/>
              </w:rPr>
              <w:t>住  所</w:t>
            </w:r>
          </w:p>
        </w:tc>
        <w:tc>
          <w:tcPr>
            <w:tcW w:w="2517" w:type="dxa"/>
            <w:tcBorders>
              <w:top w:val="single" w:color="auto" w:sz="2" w:space="0"/>
              <w:left w:val="single" w:color="auto" w:sz="2" w:space="0"/>
              <w:bottom w:val="single" w:color="auto" w:sz="2" w:space="0"/>
            </w:tcBorders>
            <w:noWrap w:val="0"/>
            <w:vAlign w:val="center"/>
          </w:tcPr>
          <w:p>
            <w:pPr>
              <w:adjustRightInd w:val="0"/>
              <w:snapToGrid w:val="0"/>
              <w:spacing w:line="300" w:lineRule="exact"/>
              <w:ind w:firstLine="500"/>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250" w:type="dxa"/>
            <w:tcBorders>
              <w:top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color w:val="auto"/>
                <w:szCs w:val="21"/>
                <w:highlight w:val="none"/>
              </w:rPr>
              <w:t>联 系 人</w:t>
            </w:r>
          </w:p>
        </w:tc>
        <w:tc>
          <w:tcPr>
            <w:tcW w:w="286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p>
        </w:tc>
        <w:tc>
          <w:tcPr>
            <w:tcW w:w="2354"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color w:val="auto"/>
                <w:szCs w:val="21"/>
                <w:highlight w:val="none"/>
              </w:rPr>
              <w:t>联 系 人</w:t>
            </w:r>
          </w:p>
        </w:tc>
        <w:tc>
          <w:tcPr>
            <w:tcW w:w="2517" w:type="dxa"/>
            <w:tcBorders>
              <w:top w:val="single" w:color="auto" w:sz="2" w:space="0"/>
              <w:left w:val="single" w:color="auto" w:sz="2" w:space="0"/>
              <w:bottom w:val="single" w:color="auto" w:sz="2" w:space="0"/>
            </w:tcBorders>
            <w:noWrap w:val="0"/>
            <w:vAlign w:val="center"/>
          </w:tcPr>
          <w:p>
            <w:pPr>
              <w:adjustRightInd w:val="0"/>
              <w:snapToGrid w:val="0"/>
              <w:spacing w:line="300" w:lineRule="exact"/>
              <w:ind w:firstLine="500"/>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250" w:type="dxa"/>
            <w:tcBorders>
              <w:top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color w:val="auto"/>
                <w:szCs w:val="21"/>
                <w:highlight w:val="none"/>
              </w:rPr>
              <w:t>联系电话</w:t>
            </w:r>
          </w:p>
        </w:tc>
        <w:tc>
          <w:tcPr>
            <w:tcW w:w="286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p>
        </w:tc>
        <w:tc>
          <w:tcPr>
            <w:tcW w:w="2354"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color w:val="auto"/>
                <w:szCs w:val="21"/>
                <w:highlight w:val="none"/>
              </w:rPr>
              <w:t>联系电话</w:t>
            </w:r>
          </w:p>
        </w:tc>
        <w:tc>
          <w:tcPr>
            <w:tcW w:w="2517" w:type="dxa"/>
            <w:tcBorders>
              <w:top w:val="single" w:color="auto" w:sz="2" w:space="0"/>
              <w:left w:val="single" w:color="auto" w:sz="2" w:space="0"/>
              <w:bottom w:val="single" w:color="auto" w:sz="2" w:space="0"/>
            </w:tcBorders>
            <w:noWrap w:val="0"/>
            <w:vAlign w:val="center"/>
          </w:tcPr>
          <w:p>
            <w:pPr>
              <w:adjustRightInd w:val="0"/>
              <w:snapToGrid w:val="0"/>
              <w:spacing w:line="300" w:lineRule="exact"/>
              <w:ind w:firstLine="500"/>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250" w:type="dxa"/>
            <w:tcBorders>
              <w:top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rFonts w:hint="eastAsia"/>
                <w:color w:val="auto"/>
                <w:szCs w:val="21"/>
                <w:highlight w:val="none"/>
              </w:rPr>
              <w:t>通信地址</w:t>
            </w:r>
          </w:p>
        </w:tc>
        <w:tc>
          <w:tcPr>
            <w:tcW w:w="286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p>
        </w:tc>
        <w:tc>
          <w:tcPr>
            <w:tcW w:w="2354"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rFonts w:hint="eastAsia"/>
                <w:color w:val="auto"/>
                <w:szCs w:val="21"/>
                <w:highlight w:val="none"/>
              </w:rPr>
              <w:t>通信地址</w:t>
            </w:r>
          </w:p>
        </w:tc>
        <w:tc>
          <w:tcPr>
            <w:tcW w:w="2517" w:type="dxa"/>
            <w:tcBorders>
              <w:top w:val="single" w:color="auto" w:sz="2" w:space="0"/>
              <w:left w:val="single" w:color="auto" w:sz="2" w:space="0"/>
              <w:bottom w:val="single" w:color="auto" w:sz="2" w:space="0"/>
            </w:tcBorders>
            <w:noWrap w:val="0"/>
            <w:vAlign w:val="center"/>
          </w:tcPr>
          <w:p>
            <w:pPr>
              <w:adjustRightInd w:val="0"/>
              <w:snapToGrid w:val="0"/>
              <w:spacing w:line="300" w:lineRule="exact"/>
              <w:ind w:firstLine="500"/>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250" w:type="dxa"/>
            <w:tcBorders>
              <w:top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color w:val="auto"/>
                <w:szCs w:val="21"/>
                <w:highlight w:val="none"/>
              </w:rPr>
              <w:t>邮政编码</w:t>
            </w:r>
          </w:p>
        </w:tc>
        <w:tc>
          <w:tcPr>
            <w:tcW w:w="286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p>
        </w:tc>
        <w:tc>
          <w:tcPr>
            <w:tcW w:w="2354"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color w:val="auto"/>
                <w:szCs w:val="21"/>
                <w:highlight w:val="none"/>
              </w:rPr>
              <w:t>邮政编码</w:t>
            </w:r>
          </w:p>
        </w:tc>
        <w:tc>
          <w:tcPr>
            <w:tcW w:w="2517" w:type="dxa"/>
            <w:tcBorders>
              <w:top w:val="single" w:color="auto" w:sz="2" w:space="0"/>
              <w:left w:val="single" w:color="auto" w:sz="2" w:space="0"/>
              <w:bottom w:val="single" w:color="auto" w:sz="2" w:space="0"/>
            </w:tcBorders>
            <w:noWrap w:val="0"/>
            <w:vAlign w:val="center"/>
          </w:tcPr>
          <w:p>
            <w:pPr>
              <w:adjustRightInd w:val="0"/>
              <w:snapToGrid w:val="0"/>
              <w:spacing w:line="300" w:lineRule="exact"/>
              <w:ind w:firstLine="500"/>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250" w:type="dxa"/>
            <w:tcBorders>
              <w:top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rFonts w:hint="eastAsia"/>
                <w:color w:val="auto"/>
                <w:szCs w:val="21"/>
                <w:highlight w:val="none"/>
              </w:rPr>
              <w:t>电子邮箱</w:t>
            </w:r>
          </w:p>
        </w:tc>
        <w:tc>
          <w:tcPr>
            <w:tcW w:w="286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p>
        </w:tc>
        <w:tc>
          <w:tcPr>
            <w:tcW w:w="2354"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rFonts w:hint="eastAsia"/>
                <w:color w:val="auto"/>
                <w:szCs w:val="21"/>
                <w:highlight w:val="none"/>
              </w:rPr>
              <w:t>电子邮箱</w:t>
            </w:r>
          </w:p>
        </w:tc>
        <w:tc>
          <w:tcPr>
            <w:tcW w:w="2517" w:type="dxa"/>
            <w:tcBorders>
              <w:top w:val="single" w:color="auto" w:sz="2" w:space="0"/>
              <w:left w:val="single" w:color="auto" w:sz="2" w:space="0"/>
              <w:bottom w:val="single" w:color="auto" w:sz="2" w:space="0"/>
            </w:tcBorders>
            <w:noWrap w:val="0"/>
            <w:vAlign w:val="center"/>
          </w:tcPr>
          <w:p>
            <w:pPr>
              <w:adjustRightInd w:val="0"/>
              <w:snapToGrid w:val="0"/>
              <w:spacing w:line="300" w:lineRule="exact"/>
              <w:ind w:firstLine="500"/>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250" w:type="dxa"/>
            <w:tcBorders>
              <w:top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rFonts w:hint="eastAsia"/>
                <w:color w:val="auto"/>
                <w:szCs w:val="21"/>
                <w:highlight w:val="none"/>
              </w:rPr>
              <w:t>统一社会信用代码</w:t>
            </w:r>
          </w:p>
        </w:tc>
        <w:tc>
          <w:tcPr>
            <w:tcW w:w="286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p>
        </w:tc>
        <w:tc>
          <w:tcPr>
            <w:tcW w:w="2354"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rFonts w:hint="eastAsia"/>
                <w:color w:val="auto"/>
                <w:szCs w:val="21"/>
                <w:highlight w:val="none"/>
              </w:rPr>
              <w:t>统一社会信用代码</w:t>
            </w:r>
          </w:p>
        </w:tc>
        <w:tc>
          <w:tcPr>
            <w:tcW w:w="2517" w:type="dxa"/>
            <w:tcBorders>
              <w:top w:val="single" w:color="auto" w:sz="2" w:space="0"/>
              <w:left w:val="single" w:color="auto" w:sz="2" w:space="0"/>
              <w:bottom w:val="single" w:color="auto" w:sz="2" w:space="0"/>
            </w:tcBorders>
            <w:noWrap w:val="0"/>
            <w:vAlign w:val="center"/>
          </w:tcPr>
          <w:p>
            <w:pPr>
              <w:adjustRightInd w:val="0"/>
              <w:snapToGrid w:val="0"/>
              <w:spacing w:line="300" w:lineRule="exact"/>
              <w:ind w:firstLine="500"/>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250" w:type="dxa"/>
            <w:tcBorders>
              <w:top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color w:val="auto"/>
                <w:szCs w:val="21"/>
                <w:highlight w:val="none"/>
              </w:rPr>
              <w:t>开户名称</w:t>
            </w:r>
          </w:p>
        </w:tc>
        <w:tc>
          <w:tcPr>
            <w:tcW w:w="286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p>
        </w:tc>
        <w:tc>
          <w:tcPr>
            <w:tcW w:w="2354"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color w:val="auto"/>
                <w:szCs w:val="21"/>
                <w:highlight w:val="none"/>
              </w:rPr>
              <w:t>开户名称</w:t>
            </w:r>
          </w:p>
        </w:tc>
        <w:tc>
          <w:tcPr>
            <w:tcW w:w="2517" w:type="dxa"/>
            <w:tcBorders>
              <w:top w:val="single" w:color="auto" w:sz="2" w:space="0"/>
              <w:left w:val="single" w:color="auto" w:sz="2" w:space="0"/>
              <w:bottom w:val="single" w:color="auto" w:sz="2" w:space="0"/>
            </w:tcBorders>
            <w:noWrap w:val="0"/>
            <w:vAlign w:val="center"/>
          </w:tcPr>
          <w:p>
            <w:pPr>
              <w:adjustRightInd w:val="0"/>
              <w:snapToGrid w:val="0"/>
              <w:spacing w:line="300" w:lineRule="exact"/>
              <w:ind w:firstLine="500"/>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250" w:type="dxa"/>
            <w:tcBorders>
              <w:top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color w:val="auto"/>
                <w:szCs w:val="21"/>
                <w:highlight w:val="none"/>
              </w:rPr>
              <w:t>开户银行</w:t>
            </w:r>
          </w:p>
        </w:tc>
        <w:tc>
          <w:tcPr>
            <w:tcW w:w="286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p>
        </w:tc>
        <w:tc>
          <w:tcPr>
            <w:tcW w:w="2354"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color w:val="auto"/>
                <w:szCs w:val="21"/>
                <w:highlight w:val="none"/>
              </w:rPr>
              <w:t>开户银行</w:t>
            </w:r>
          </w:p>
        </w:tc>
        <w:tc>
          <w:tcPr>
            <w:tcW w:w="2517" w:type="dxa"/>
            <w:tcBorders>
              <w:top w:val="single" w:color="auto" w:sz="2" w:space="0"/>
              <w:left w:val="single" w:color="auto" w:sz="2" w:space="0"/>
              <w:bottom w:val="single" w:color="auto" w:sz="2" w:space="0"/>
            </w:tcBorders>
            <w:noWrap w:val="0"/>
            <w:vAlign w:val="center"/>
          </w:tcPr>
          <w:p>
            <w:pPr>
              <w:adjustRightInd w:val="0"/>
              <w:snapToGrid w:val="0"/>
              <w:spacing w:line="300" w:lineRule="exact"/>
              <w:ind w:firstLine="500"/>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250" w:type="dxa"/>
            <w:tcBorders>
              <w:top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color w:val="auto"/>
                <w:szCs w:val="21"/>
                <w:highlight w:val="none"/>
              </w:rPr>
              <w:t>银行账号</w:t>
            </w:r>
          </w:p>
        </w:tc>
        <w:tc>
          <w:tcPr>
            <w:tcW w:w="286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p>
        </w:tc>
        <w:tc>
          <w:tcPr>
            <w:tcW w:w="2354"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color w:val="auto"/>
                <w:szCs w:val="21"/>
                <w:highlight w:val="none"/>
              </w:rPr>
              <w:t>银行账号</w:t>
            </w:r>
          </w:p>
        </w:tc>
        <w:tc>
          <w:tcPr>
            <w:tcW w:w="2517" w:type="dxa"/>
            <w:tcBorders>
              <w:top w:val="single" w:color="auto" w:sz="2" w:space="0"/>
              <w:left w:val="single" w:color="auto" w:sz="2" w:space="0"/>
              <w:bottom w:val="single" w:color="auto" w:sz="2" w:space="0"/>
            </w:tcBorders>
            <w:noWrap w:val="0"/>
            <w:vAlign w:val="center"/>
          </w:tcPr>
          <w:p>
            <w:pPr>
              <w:adjustRightInd w:val="0"/>
              <w:snapToGrid w:val="0"/>
              <w:spacing w:line="300" w:lineRule="exact"/>
              <w:ind w:firstLine="500"/>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45" w:hRule="atLeast"/>
        </w:trPr>
        <w:tc>
          <w:tcPr>
            <w:tcW w:w="9990" w:type="dxa"/>
            <w:gridSpan w:val="4"/>
            <w:tcBorders>
              <w:top w:val="single" w:color="auto" w:sz="2" w:space="0"/>
            </w:tcBorders>
            <w:noWrap w:val="0"/>
            <w:vAlign w:val="center"/>
          </w:tcPr>
          <w:p>
            <w:pPr>
              <w:adjustRightInd w:val="0"/>
              <w:snapToGrid w:val="0"/>
              <w:spacing w:before="156" w:beforeLines="50" w:line="360" w:lineRule="auto"/>
              <w:ind w:firstLine="420"/>
              <w:jc w:val="left"/>
              <w:rPr>
                <w:color w:val="auto"/>
                <w:spacing w:val="20"/>
                <w:szCs w:val="21"/>
                <w:highlight w:val="none"/>
              </w:rPr>
            </w:pPr>
            <w:r>
              <w:rPr>
                <w:rFonts w:hint="eastAsia" w:ascii="宋体" w:hAnsi="宋体"/>
                <w:color w:val="auto"/>
                <w:szCs w:val="21"/>
                <w:highlight w:val="none"/>
              </w:rPr>
              <w:t>注：涉及联合体或其他合同主体的信息应按上表格式加列。</w:t>
            </w:r>
          </w:p>
        </w:tc>
      </w:tr>
    </w:tbl>
    <w:p>
      <w:pPr>
        <w:keepNext/>
        <w:keepLines/>
        <w:adjustRightInd w:val="0"/>
        <w:snapToGrid w:val="0"/>
        <w:spacing w:before="156" w:beforeLines="50" w:line="360" w:lineRule="auto"/>
        <w:ind w:firstLine="422"/>
        <w:jc w:val="center"/>
        <w:outlineLvl w:val="1"/>
        <w:rPr>
          <w:rFonts w:hint="eastAsia" w:ascii="黑体" w:hAnsi="黑体" w:eastAsia="黑体"/>
          <w:b/>
          <w:bCs/>
          <w:color w:val="auto"/>
          <w:sz w:val="28"/>
          <w:szCs w:val="28"/>
          <w:highlight w:val="none"/>
        </w:rPr>
      </w:pPr>
      <w:r>
        <w:rPr>
          <w:rFonts w:ascii="宋体" w:hAnsi="宋体"/>
          <w:b/>
          <w:bCs/>
          <w:color w:val="auto"/>
          <w:szCs w:val="21"/>
          <w:highlight w:val="none"/>
          <w:u w:val="single"/>
        </w:rPr>
        <w:br w:type="page"/>
      </w:r>
      <w:bookmarkStart w:id="229" w:name="_Toc27624"/>
      <w:r>
        <w:rPr>
          <w:rFonts w:hint="eastAsia" w:ascii="黑体" w:hAnsi="黑体" w:eastAsia="黑体"/>
          <w:color w:val="auto"/>
          <w:sz w:val="28"/>
          <w:szCs w:val="28"/>
          <w:highlight w:val="none"/>
        </w:rPr>
        <w:t>第二节 政府采购合同通用条款</w:t>
      </w:r>
      <w:bookmarkEnd w:id="229"/>
    </w:p>
    <w:p>
      <w:pPr>
        <w:tabs>
          <w:tab w:val="left" w:pos="8820"/>
          <w:tab w:val="left" w:pos="9345"/>
          <w:tab w:val="left" w:pos="9765"/>
        </w:tabs>
        <w:adjustRightInd w:val="0"/>
        <w:snapToGrid w:val="0"/>
        <w:spacing w:line="460" w:lineRule="exact"/>
        <w:ind w:firstLine="482"/>
        <w:jc w:val="left"/>
        <w:rPr>
          <w:rFonts w:hint="eastAsia" w:ascii="宋体" w:hAnsi="宋体"/>
          <w:b/>
          <w:bCs/>
          <w:color w:val="auto"/>
          <w:sz w:val="24"/>
          <w:highlight w:val="none"/>
        </w:rPr>
      </w:pPr>
      <w:r>
        <w:rPr>
          <w:rFonts w:hint="eastAsia" w:ascii="宋体" w:hAnsi="宋体"/>
          <w:b/>
          <w:color w:val="auto"/>
          <w:sz w:val="24"/>
          <w:highlight w:val="none"/>
        </w:rPr>
        <w:t xml:space="preserve">1. </w:t>
      </w:r>
      <w:r>
        <w:rPr>
          <w:rFonts w:hint="eastAsia" w:ascii="宋体" w:hAnsi="宋体"/>
          <w:b/>
          <w:bCs/>
          <w:color w:val="auto"/>
          <w:sz w:val="24"/>
          <w:highlight w:val="none"/>
        </w:rPr>
        <w:t>定义</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1.1合同当事人</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（1）采购人（以下称甲方）是指使用财政性资金，通过政府采购方式向供应商购买货物及其相关服务的国家机关、事业单位、团体组织。</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（2）供应商（以下称乙方）是指参加政府采购活动并且中标（成交），向采购人提供合同约定的货物及其相关服务的法人、非法人组织或者自然人。</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cs="宋体"/>
          <w:bCs/>
          <w:color w:val="auto"/>
          <w:szCs w:val="21"/>
          <w:highlight w:val="none"/>
        </w:rPr>
        <w:t>依法参与合同缔结或履行，享有权利、承担义务的合同当事人</w:t>
      </w:r>
      <w:r>
        <w:rPr>
          <w:rFonts w:hint="eastAsia" w:ascii="宋体" w:hAnsi="宋体"/>
          <w:color w:val="auto"/>
          <w:szCs w:val="21"/>
          <w:highlight w:val="none"/>
        </w:rPr>
        <w:t>。</w:t>
      </w:r>
    </w:p>
    <w:p>
      <w:pPr>
        <w:tabs>
          <w:tab w:val="left" w:pos="570"/>
          <w:tab w:val="left" w:pos="9240"/>
          <w:tab w:val="left" w:pos="9555"/>
        </w:tabs>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1.2本合同下列术语应解释为：</w:t>
      </w:r>
    </w:p>
    <w:p>
      <w:pPr>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（1）“合同”系指</w:t>
      </w:r>
      <w:r>
        <w:rPr>
          <w:rFonts w:hint="eastAsia" w:ascii="宋体" w:hAnsi="宋体" w:cs="宋体"/>
          <w:bCs/>
          <w:color w:val="auto"/>
          <w:szCs w:val="21"/>
          <w:highlight w:val="none"/>
        </w:rPr>
        <w:t>合同当事人意思表示达成一致的任何协议，包括签署的</w:t>
      </w:r>
      <w:r>
        <w:rPr>
          <w:rFonts w:hint="eastAsia" w:ascii="宋体" w:hAnsi="宋体"/>
          <w:color w:val="auto"/>
          <w:szCs w:val="21"/>
          <w:highlight w:val="none"/>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auto"/>
          <w:szCs w:val="21"/>
          <w:highlight w:val="none"/>
        </w:rPr>
        <w:t>国家法律、行政法规和规章制度规定或合同约定的作为合同组成部分的其他文件</w:t>
      </w:r>
      <w:r>
        <w:rPr>
          <w:rFonts w:hint="eastAsia" w:ascii="宋体" w:hAnsi="宋体"/>
          <w:color w:val="auto"/>
          <w:szCs w:val="21"/>
          <w:highlight w:val="none"/>
        </w:rPr>
        <w:t>。</w:t>
      </w:r>
    </w:p>
    <w:p>
      <w:pPr>
        <w:tabs>
          <w:tab w:val="left" w:pos="570"/>
          <w:tab w:val="left" w:pos="9240"/>
          <w:tab w:val="left" w:pos="9555"/>
        </w:tabs>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（2）“合同价款”系指根据本合同规定乙方在全面履行合同义务后甲方应支付给乙方的价款。</w:t>
      </w:r>
    </w:p>
    <w:p>
      <w:pPr>
        <w:tabs>
          <w:tab w:val="left" w:pos="570"/>
          <w:tab w:val="left" w:pos="9240"/>
          <w:tab w:val="left" w:pos="9555"/>
        </w:tabs>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（3）“货物”系指乙方根据本合同规定须向甲方提供的各种形态和种类的物品，包括原材料、设备、产品（包括软件）及相关的其</w:t>
      </w:r>
      <w:r>
        <w:rPr>
          <w:rFonts w:hint="eastAsia" w:ascii="宋体" w:hAnsi="宋体"/>
          <w:color w:val="auto"/>
          <w:szCs w:val="21"/>
          <w:highlight w:val="none"/>
          <w:lang w:val="en-US" w:eastAsia="zh-CN"/>
        </w:rPr>
        <w:t>他</w:t>
      </w:r>
      <w:r>
        <w:rPr>
          <w:rFonts w:hint="eastAsia" w:ascii="宋体" w:hAnsi="宋体"/>
          <w:color w:val="auto"/>
          <w:szCs w:val="21"/>
          <w:highlight w:val="none"/>
        </w:rPr>
        <w:t>备品备件、工具、手册及</w:t>
      </w:r>
      <w:r>
        <w:rPr>
          <w:rFonts w:ascii="宋体" w:hAnsi="宋体"/>
          <w:color w:val="auto"/>
          <w:szCs w:val="21"/>
          <w:highlight w:val="none"/>
          <w:lang w:val="en"/>
        </w:rPr>
        <w:t>其他</w:t>
      </w:r>
      <w:r>
        <w:rPr>
          <w:rFonts w:hint="eastAsia" w:ascii="宋体" w:hAnsi="宋体"/>
          <w:color w:val="auto"/>
          <w:szCs w:val="21"/>
          <w:highlight w:val="none"/>
        </w:rPr>
        <w:t>技术资料和材料等。</w:t>
      </w:r>
    </w:p>
    <w:p>
      <w:pPr>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（4）“相关服务”系指根据合同规定，乙方应提供的与货物有关的技术、管理和</w:t>
      </w:r>
      <w:r>
        <w:rPr>
          <w:rFonts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服务，包括但不限于：管理和质量保证、运输、保险、检验、现场准备、安装、集成、调试、培训、维修、废弃处置、技术支持等以及合同中规定乙方应承担的</w:t>
      </w:r>
      <w:r>
        <w:rPr>
          <w:rFonts w:ascii="宋体" w:hAnsi="宋体"/>
          <w:color w:val="auto"/>
          <w:szCs w:val="21"/>
          <w:highlight w:val="none"/>
          <w:lang w:val="en"/>
        </w:rPr>
        <w:t>其他</w:t>
      </w:r>
      <w:r>
        <w:rPr>
          <w:rFonts w:hint="eastAsia" w:ascii="宋体" w:hAnsi="宋体"/>
          <w:color w:val="auto"/>
          <w:szCs w:val="21"/>
          <w:highlight w:val="none"/>
        </w:rPr>
        <w:t>义务。</w:t>
      </w:r>
    </w:p>
    <w:p>
      <w:pPr>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（5）“分包”系指中标（成交）供应商按采购文件、投标（响应）文件的规定，根据分包意向协议，将中标（成交）项目中的部分履约内容，分给具有相应资质条件的供应商履行合同的行为。</w:t>
      </w:r>
    </w:p>
    <w:p>
      <w:pPr>
        <w:tabs>
          <w:tab w:val="left" w:pos="570"/>
          <w:tab w:val="left" w:pos="9240"/>
          <w:tab w:val="left" w:pos="9555"/>
        </w:tabs>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pPr>
        <w:tabs>
          <w:tab w:val="left" w:pos="570"/>
          <w:tab w:val="left" w:pos="9240"/>
          <w:tab w:val="left" w:pos="9555"/>
        </w:tabs>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（7）其他术语解释，见【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pPr>
        <w:numPr>
          <w:ilvl w:val="0"/>
          <w:numId w:val="22"/>
        </w:numPr>
        <w:autoSpaceDE w:val="0"/>
        <w:autoSpaceDN w:val="0"/>
        <w:adjustRightInd w:val="0"/>
        <w:snapToGrid w:val="0"/>
        <w:spacing w:line="460" w:lineRule="exact"/>
        <w:ind w:firstLine="482"/>
        <w:jc w:val="left"/>
        <w:rPr>
          <w:rFonts w:hint="eastAsia" w:ascii="宋体" w:hAnsi="宋体"/>
          <w:b/>
          <w:bCs/>
          <w:color w:val="auto"/>
          <w:sz w:val="24"/>
          <w:highlight w:val="none"/>
        </w:rPr>
      </w:pPr>
      <w:r>
        <w:rPr>
          <w:rFonts w:hint="eastAsia" w:ascii="宋体" w:hAnsi="宋体"/>
          <w:b/>
          <w:color w:val="auto"/>
          <w:sz w:val="24"/>
          <w:highlight w:val="none"/>
        </w:rPr>
        <w:t>合同标的及金额</w:t>
      </w:r>
    </w:p>
    <w:p>
      <w:pPr>
        <w:autoSpaceDE w:val="0"/>
        <w:autoSpaceDN w:val="0"/>
        <w:adjustRightInd w:val="0"/>
        <w:snapToGrid w:val="0"/>
        <w:spacing w:line="460" w:lineRule="exact"/>
        <w:ind w:firstLine="420"/>
        <w:jc w:val="left"/>
        <w:rPr>
          <w:rFonts w:hint="eastAsia" w:ascii="宋体" w:hAnsi="宋体"/>
          <w:b/>
          <w:bCs/>
          <w:i/>
          <w:iCs/>
          <w:color w:val="auto"/>
          <w:szCs w:val="21"/>
          <w:highlight w:val="none"/>
        </w:rPr>
      </w:pPr>
      <w:r>
        <w:rPr>
          <w:rFonts w:hint="eastAsia" w:ascii="宋体" w:hAnsi="宋体"/>
          <w:color w:val="auto"/>
          <w:szCs w:val="21"/>
          <w:highlight w:val="none"/>
        </w:rPr>
        <w:t>2.1 合同标的及金额应与中标（成交）结果一致。乙方为履行本合同而发生的所有费用均应包含在合同价款中，甲方不再另行支付</w:t>
      </w:r>
      <w:r>
        <w:rPr>
          <w:rFonts w:ascii="宋体" w:hAnsi="宋体"/>
          <w:color w:val="auto"/>
          <w:szCs w:val="21"/>
          <w:highlight w:val="none"/>
          <w:lang w:val="en"/>
        </w:rPr>
        <w:t>其他</w:t>
      </w:r>
      <w:r>
        <w:rPr>
          <w:rFonts w:hint="eastAsia" w:ascii="宋体" w:hAnsi="宋体"/>
          <w:color w:val="auto"/>
          <w:szCs w:val="21"/>
          <w:highlight w:val="none"/>
        </w:rPr>
        <w:t>任何费用。</w:t>
      </w:r>
    </w:p>
    <w:p>
      <w:pPr>
        <w:adjustRightInd w:val="0"/>
        <w:snapToGrid w:val="0"/>
        <w:spacing w:line="460" w:lineRule="exact"/>
        <w:ind w:firstLine="482"/>
        <w:jc w:val="left"/>
        <w:rPr>
          <w:rFonts w:hint="eastAsia" w:ascii="宋体" w:hAnsi="宋体"/>
          <w:b/>
          <w:color w:val="auto"/>
          <w:sz w:val="24"/>
          <w:highlight w:val="none"/>
        </w:rPr>
      </w:pPr>
      <w:r>
        <w:rPr>
          <w:rFonts w:hint="eastAsia" w:ascii="宋体" w:hAnsi="宋体"/>
          <w:b/>
          <w:color w:val="auto"/>
          <w:sz w:val="24"/>
          <w:highlight w:val="none"/>
        </w:rPr>
        <w:t>3. 履行合同的时间、地点和方式</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 xml:space="preserve">3.1 </w:t>
      </w:r>
      <w:r>
        <w:rPr>
          <w:rFonts w:hint="eastAsia" w:ascii="宋体" w:hAnsi="宋体" w:cs="宋体"/>
          <w:color w:val="auto"/>
          <w:szCs w:val="21"/>
          <w:highlight w:val="none"/>
        </w:rPr>
        <w:t>乙方应当在约定的时间、地点，按照约定方式履行合同。</w:t>
      </w:r>
    </w:p>
    <w:p>
      <w:pPr>
        <w:autoSpaceDE w:val="0"/>
        <w:autoSpaceDN w:val="0"/>
        <w:adjustRightInd w:val="0"/>
        <w:snapToGrid w:val="0"/>
        <w:spacing w:line="460" w:lineRule="exact"/>
        <w:ind w:firstLine="482"/>
        <w:jc w:val="left"/>
        <w:rPr>
          <w:rFonts w:hint="eastAsia" w:ascii="宋体" w:hAnsi="宋体"/>
          <w:b/>
          <w:bCs/>
          <w:color w:val="auto"/>
          <w:sz w:val="24"/>
          <w:highlight w:val="none"/>
        </w:rPr>
      </w:pPr>
      <w:r>
        <w:rPr>
          <w:rFonts w:hint="eastAsia" w:ascii="宋体" w:hAnsi="宋体"/>
          <w:b/>
          <w:bCs/>
          <w:color w:val="auto"/>
          <w:sz w:val="24"/>
          <w:highlight w:val="none"/>
        </w:rPr>
        <w:t>4. 甲方的权利和义务</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4.1</w:t>
      </w:r>
      <w:r>
        <w:rPr>
          <w:rFonts w:ascii="宋体" w:hAnsi="宋体"/>
          <w:color w:val="auto"/>
          <w:szCs w:val="21"/>
          <w:highlight w:val="none"/>
        </w:rPr>
        <w:t xml:space="preserve"> 签署合同后，甲方</w:t>
      </w:r>
      <w:r>
        <w:rPr>
          <w:rFonts w:hint="eastAsia" w:ascii="宋体" w:hAnsi="宋体"/>
          <w:color w:val="auto"/>
          <w:szCs w:val="21"/>
          <w:highlight w:val="none"/>
        </w:rPr>
        <w:t>应</w:t>
      </w:r>
      <w:r>
        <w:rPr>
          <w:rFonts w:ascii="宋体" w:hAnsi="宋体"/>
          <w:color w:val="auto"/>
          <w:szCs w:val="21"/>
          <w:highlight w:val="none"/>
        </w:rPr>
        <w:t>确定</w:t>
      </w:r>
      <w:r>
        <w:rPr>
          <w:rFonts w:hint="eastAsia" w:ascii="宋体" w:hAnsi="宋体"/>
          <w:color w:val="auto"/>
          <w:szCs w:val="21"/>
          <w:highlight w:val="none"/>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 xml:space="preserve">4.2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pPr>
        <w:snapToGrid w:val="0"/>
        <w:spacing w:line="460" w:lineRule="exact"/>
        <w:ind w:firstLine="420"/>
        <w:rPr>
          <w:rFonts w:eastAsia="华文楷体"/>
          <w:color w:val="auto"/>
          <w:highlight w:val="none"/>
        </w:rPr>
      </w:pPr>
      <w:r>
        <w:rPr>
          <w:rFonts w:ascii="宋体" w:hAnsi="宋体"/>
          <w:color w:val="auto"/>
          <w:szCs w:val="21"/>
          <w:highlight w:val="none"/>
        </w:rPr>
        <w:t>4.4 甲方应当按照合同约定及时对交付的货物进行验收</w:t>
      </w:r>
      <w:r>
        <w:rPr>
          <w:rFonts w:hint="eastAsia" w:ascii="宋体" w:hAnsi="宋体"/>
          <w:color w:val="auto"/>
          <w:szCs w:val="21"/>
          <w:highlight w:val="none"/>
        </w:rPr>
        <w:t>，</w:t>
      </w:r>
      <w:r>
        <w:rPr>
          <w:rFonts w:hint="eastAsia" w:ascii="宋体" w:hAnsi="宋体" w:cs="宋体"/>
          <w:color w:val="auto"/>
          <w:szCs w:val="21"/>
          <w:highlight w:val="none"/>
        </w:rPr>
        <w:t>未</w:t>
      </w:r>
      <w:r>
        <w:rPr>
          <w:rFonts w:hint="eastAsia" w:ascii="宋体" w:hAnsi="宋体"/>
          <w:color w:val="auto"/>
          <w:szCs w:val="21"/>
          <w:highlight w:val="none"/>
        </w:rPr>
        <w:t>在</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约定的期限内对乙方履约提出任何异议或者向乙方作出任何说明的，</w:t>
      </w:r>
      <w:r>
        <w:rPr>
          <w:rFonts w:hint="eastAsia" w:ascii="宋体" w:hAnsi="宋体"/>
          <w:color w:val="auto"/>
          <w:szCs w:val="21"/>
          <w:highlight w:val="none"/>
        </w:rPr>
        <w:t>视为验收通过。</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 xml:space="preserve">5 </w:t>
      </w:r>
      <w:r>
        <w:rPr>
          <w:rFonts w:hint="eastAsia" w:ascii="宋体" w:hAnsi="宋体"/>
          <w:color w:val="auto"/>
          <w:szCs w:val="21"/>
          <w:highlight w:val="none"/>
        </w:rPr>
        <w:t>甲方应当根据合同约定及时向乙方支付合同价款</w:t>
      </w:r>
      <w:r>
        <w:rPr>
          <w:rFonts w:ascii="宋体" w:hAnsi="宋体"/>
          <w:color w:val="auto"/>
          <w:szCs w:val="21"/>
          <w:highlight w:val="none"/>
        </w:rPr>
        <w:t>，不得以内部人员变更、履行内部付款流程等为由，拒绝或迟延支付。</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4.6</w:t>
      </w:r>
      <w:r>
        <w:rPr>
          <w:rFonts w:ascii="宋体" w:hAnsi="宋体"/>
          <w:color w:val="auto"/>
          <w:szCs w:val="21"/>
          <w:highlight w:val="none"/>
        </w:rPr>
        <w:t xml:space="preserve"> </w:t>
      </w:r>
      <w:r>
        <w:rPr>
          <w:rFonts w:hint="eastAsia" w:ascii="宋体" w:hAnsi="宋体"/>
          <w:color w:val="auto"/>
          <w:szCs w:val="21"/>
          <w:highlight w:val="none"/>
        </w:rPr>
        <w:t>国家法律法规规定及</w:t>
      </w:r>
      <w:r>
        <w:rPr>
          <w:rFonts w:hint="eastAsia" w:ascii="宋体" w:hAnsi="宋体" w:cs="宋体"/>
          <w:b/>
          <w:bCs/>
          <w:color w:val="auto"/>
          <w:szCs w:val="21"/>
          <w:highlight w:val="none"/>
        </w:rPr>
        <w:t>【政府采购合同专用条款】</w:t>
      </w:r>
      <w:r>
        <w:rPr>
          <w:rFonts w:hint="eastAsia" w:ascii="宋体" w:hAnsi="宋体"/>
          <w:color w:val="auto"/>
          <w:szCs w:val="21"/>
          <w:highlight w:val="none"/>
        </w:rPr>
        <w:t>约定应由甲方承担的其他义务和责任。</w:t>
      </w:r>
    </w:p>
    <w:p>
      <w:pPr>
        <w:autoSpaceDE w:val="0"/>
        <w:autoSpaceDN w:val="0"/>
        <w:adjustRightInd w:val="0"/>
        <w:snapToGrid w:val="0"/>
        <w:spacing w:line="460" w:lineRule="exact"/>
        <w:ind w:firstLine="482"/>
        <w:jc w:val="left"/>
        <w:rPr>
          <w:rFonts w:hint="eastAsia" w:ascii="宋体" w:hAnsi="宋体"/>
          <w:b/>
          <w:bCs/>
          <w:color w:val="auto"/>
          <w:sz w:val="24"/>
          <w:highlight w:val="none"/>
        </w:rPr>
      </w:pPr>
      <w:r>
        <w:rPr>
          <w:rFonts w:hint="eastAsia" w:ascii="宋体" w:hAnsi="宋体"/>
          <w:b/>
          <w:bCs/>
          <w:color w:val="auto"/>
          <w:sz w:val="24"/>
          <w:highlight w:val="none"/>
        </w:rPr>
        <w:t>5. 乙方的权利和义务</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 xml:space="preserve">5.1 </w:t>
      </w:r>
      <w:r>
        <w:rPr>
          <w:rFonts w:ascii="宋体" w:hAnsi="宋体"/>
          <w:color w:val="auto"/>
          <w:szCs w:val="21"/>
          <w:highlight w:val="none"/>
        </w:rPr>
        <w:t>签署合同后，乙方</w:t>
      </w:r>
      <w:r>
        <w:rPr>
          <w:rFonts w:hint="eastAsia" w:ascii="宋体" w:hAnsi="宋体"/>
          <w:color w:val="auto"/>
          <w:szCs w:val="21"/>
          <w:highlight w:val="none"/>
        </w:rPr>
        <w:t>应</w:t>
      </w:r>
      <w:r>
        <w:rPr>
          <w:rFonts w:ascii="宋体" w:hAnsi="宋体"/>
          <w:color w:val="auto"/>
          <w:szCs w:val="21"/>
          <w:highlight w:val="none"/>
        </w:rPr>
        <w:t>确定</w:t>
      </w:r>
      <w:r>
        <w:rPr>
          <w:rFonts w:hint="eastAsia" w:ascii="宋体" w:hAnsi="宋体"/>
          <w:color w:val="auto"/>
          <w:szCs w:val="21"/>
          <w:highlight w:val="none"/>
        </w:rPr>
        <w:t>项目负责人（或项目联系人）</w:t>
      </w:r>
      <w:r>
        <w:rPr>
          <w:rFonts w:ascii="宋体" w:hAnsi="宋体"/>
          <w:color w:val="auto"/>
          <w:szCs w:val="21"/>
          <w:highlight w:val="none"/>
        </w:rPr>
        <w:t>，负责与本合同有关的事务。</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提供的货物及相关服务符合合同有关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。接受项目行业管理部门及政府有关部门的指导，配合甲方的履约检查及验收，并</w:t>
      </w:r>
      <w:r>
        <w:rPr>
          <w:rFonts w:ascii="宋体" w:hAnsi="宋体"/>
          <w:color w:val="auto"/>
          <w:szCs w:val="21"/>
          <w:highlight w:val="none"/>
        </w:rPr>
        <w:t>负责项目实施过程中的所有协调工作。</w:t>
      </w:r>
    </w:p>
    <w:p>
      <w:pPr>
        <w:spacing w:line="460" w:lineRule="exact"/>
        <w:ind w:firstLine="369" w:firstLineChars="176"/>
        <w:rPr>
          <w:rFonts w:hint="eastAsia" w:ascii="宋体" w:hAnsi="宋体" w:cs="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3</w:t>
      </w:r>
      <w:r>
        <w:rPr>
          <w:rFonts w:hint="eastAsia" w:ascii="宋体" w:hAnsi="宋体"/>
          <w:color w:val="auto"/>
          <w:szCs w:val="21"/>
          <w:highlight w:val="none"/>
        </w:rPr>
        <w:t>乙方有权</w:t>
      </w:r>
      <w:r>
        <w:rPr>
          <w:rFonts w:hint="eastAsia" w:ascii="宋体" w:hAnsi="宋体" w:cs="宋体"/>
          <w:color w:val="auto"/>
          <w:szCs w:val="21"/>
          <w:highlight w:val="none"/>
        </w:rPr>
        <w:t>根据合同约定向甲方收取合同价款。</w:t>
      </w:r>
    </w:p>
    <w:p>
      <w:pPr>
        <w:spacing w:line="460" w:lineRule="exact"/>
        <w:ind w:firstLine="369" w:firstLineChars="176"/>
        <w:rPr>
          <w:rFonts w:hint="eastAsia" w:ascii="宋体" w:hAnsi="宋体" w:cs="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4</w:t>
      </w:r>
      <w:r>
        <w:rPr>
          <w:rFonts w:hint="eastAsia" w:ascii="宋体" w:hAnsi="宋体" w:cs="宋体"/>
          <w:color w:val="auto"/>
          <w:szCs w:val="21"/>
          <w:highlight w:val="none"/>
        </w:rPr>
        <w:t>国家法律法规规定</w:t>
      </w:r>
      <w:r>
        <w:rPr>
          <w:rFonts w:hint="eastAsia" w:ascii="宋体" w:hAnsi="宋体"/>
          <w:color w:val="auto"/>
          <w:szCs w:val="21"/>
          <w:highlight w:val="none"/>
        </w:rPr>
        <w:t>及</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约定应由乙方承担的其他义务和责任。</w:t>
      </w:r>
    </w:p>
    <w:p>
      <w:pPr>
        <w:numPr>
          <w:ilvl w:val="0"/>
          <w:numId w:val="23"/>
        </w:numPr>
        <w:autoSpaceDE w:val="0"/>
        <w:autoSpaceDN w:val="0"/>
        <w:adjustRightInd w:val="0"/>
        <w:snapToGrid w:val="0"/>
        <w:spacing w:line="460" w:lineRule="exact"/>
        <w:ind w:firstLine="482"/>
        <w:jc w:val="left"/>
        <w:rPr>
          <w:rFonts w:hint="eastAsia" w:ascii="宋体" w:hAnsi="宋体"/>
          <w:b/>
          <w:bCs/>
          <w:color w:val="auto"/>
          <w:sz w:val="24"/>
          <w:highlight w:val="none"/>
        </w:rPr>
      </w:pPr>
      <w:r>
        <w:rPr>
          <w:rFonts w:hint="eastAsia" w:ascii="宋体" w:hAnsi="宋体"/>
          <w:b/>
          <w:bCs/>
          <w:color w:val="auto"/>
          <w:sz w:val="24"/>
          <w:highlight w:val="none"/>
        </w:rPr>
        <w:t>合同履行</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6.1 甲乙双方应当按照</w:t>
      </w:r>
      <w:r>
        <w:rPr>
          <w:rFonts w:hint="eastAsia" w:ascii="宋体" w:hAnsi="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pPr>
        <w:autoSpaceDE w:val="0"/>
        <w:autoSpaceDN w:val="0"/>
        <w:adjustRightInd w:val="0"/>
        <w:snapToGrid w:val="0"/>
        <w:spacing w:line="460" w:lineRule="exact"/>
        <w:ind w:firstLine="420"/>
        <w:jc w:val="left"/>
        <w:rPr>
          <w:color w:val="auto"/>
          <w:highlight w:val="none"/>
        </w:rPr>
      </w:pPr>
      <w:r>
        <w:rPr>
          <w:rFonts w:hint="eastAsia" w:ascii="宋体" w:hAnsi="宋体"/>
          <w:color w:val="auto"/>
          <w:szCs w:val="21"/>
          <w:highlight w:val="none"/>
        </w:rPr>
        <w:t>6.2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line="460" w:lineRule="exact"/>
        <w:ind w:firstLine="482"/>
        <w:jc w:val="left"/>
        <w:rPr>
          <w:rFonts w:hint="eastAsia" w:ascii="宋体" w:hAnsi="宋体"/>
          <w:b/>
          <w:bCs/>
          <w:color w:val="auto"/>
          <w:sz w:val="24"/>
          <w:highlight w:val="none"/>
        </w:rPr>
      </w:pPr>
      <w:r>
        <w:rPr>
          <w:rFonts w:hint="eastAsia" w:ascii="宋体" w:hAnsi="宋体"/>
          <w:b/>
          <w:bCs/>
          <w:color w:val="auto"/>
          <w:sz w:val="24"/>
          <w:highlight w:val="none"/>
        </w:rPr>
        <w:t>7. 货物包装、运输、保险和交付要求</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7.1 本合同</w:t>
      </w:r>
      <w:r>
        <w:rPr>
          <w:rFonts w:hint="eastAsia" w:ascii="宋体" w:hAnsi="宋体"/>
          <w:bCs/>
          <w:color w:val="auto"/>
          <w:szCs w:val="21"/>
          <w:highlight w:val="none"/>
        </w:rPr>
        <w:t>涉及商品包装、快递包装的，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另有约定外，</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Cs/>
          <w:color w:val="auto"/>
          <w:szCs w:val="21"/>
          <w:highlight w:val="none"/>
        </w:rPr>
        <w:t>约定的</w:t>
      </w:r>
      <w:r>
        <w:rPr>
          <w:rFonts w:hint="eastAsia" w:ascii="宋体" w:hAnsi="宋体"/>
          <w:color w:val="auto"/>
          <w:szCs w:val="21"/>
          <w:highlight w:val="none"/>
        </w:rPr>
        <w:t>指定现场。</w:t>
      </w:r>
    </w:p>
    <w:p>
      <w:pPr>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7.2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另有约定外，</w:t>
      </w:r>
      <w:r>
        <w:rPr>
          <w:rFonts w:hint="eastAsia" w:ascii="宋体" w:hAnsi="宋体"/>
          <w:color w:val="auto"/>
          <w:szCs w:val="21"/>
          <w:highlight w:val="none"/>
        </w:rPr>
        <w:t>乙方负责办理将货物运抵本合同规定的交货地点，并装卸、交付至甲方的一切运输事项，相关费用应包含在合同价款中。</w:t>
      </w:r>
    </w:p>
    <w:p>
      <w:pPr>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7.3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 xml:space="preserve">7.5 </w:t>
      </w:r>
      <w:r>
        <w:rPr>
          <w:rFonts w:hint="eastAsia" w:ascii="宋体" w:hAnsi="宋体" w:cs="宋体"/>
          <w:color w:val="auto"/>
          <w:szCs w:val="21"/>
          <w:highlight w:val="none"/>
        </w:rPr>
        <w:t>乙方在运输到达之前应提前通知甲方，并提示货物运输装卸的注意事项，甲方配合乙方做好货物的接收工作。</w:t>
      </w:r>
    </w:p>
    <w:p>
      <w:pPr>
        <w:widowControl/>
        <w:autoSpaceDE w:val="0"/>
        <w:autoSpaceDN w:val="0"/>
        <w:adjustRightInd w:val="0"/>
        <w:spacing w:line="460" w:lineRule="exact"/>
        <w:ind w:firstLine="420"/>
        <w:jc w:val="left"/>
        <w:rPr>
          <w:rFonts w:hint="eastAsia" w:ascii="华文楷体" w:hAnsi="华文楷体" w:eastAsia="华文楷体" w:cs="华文楷体"/>
          <w:color w:val="auto"/>
          <w:kern w:val="0"/>
          <w:szCs w:val="21"/>
          <w:highlight w:val="none"/>
        </w:rPr>
      </w:pPr>
      <w:r>
        <w:rPr>
          <w:rFonts w:hint="eastAsia" w:ascii="宋体" w:hAnsi="宋体"/>
          <w:color w:val="auto"/>
          <w:szCs w:val="21"/>
          <w:highlight w:val="none"/>
        </w:rPr>
        <w:t>7.6 如因包装、运输问题导致货物损毁、丢失或者品质下降，甲方有权要求降价、换货、拒收部分或整批货物，由此产生的费用和损失，均由乙方承担。</w:t>
      </w:r>
    </w:p>
    <w:p>
      <w:pPr>
        <w:adjustRightInd w:val="0"/>
        <w:snapToGrid w:val="0"/>
        <w:spacing w:line="460" w:lineRule="exact"/>
        <w:ind w:firstLine="482"/>
        <w:jc w:val="left"/>
        <w:rPr>
          <w:rFonts w:hint="eastAsia" w:ascii="宋体" w:hAnsi="宋体"/>
          <w:b/>
          <w:color w:val="auto"/>
          <w:sz w:val="24"/>
          <w:highlight w:val="none"/>
        </w:rPr>
      </w:pPr>
      <w:r>
        <w:rPr>
          <w:rFonts w:hint="eastAsia" w:ascii="宋体" w:hAnsi="宋体"/>
          <w:b/>
          <w:color w:val="auto"/>
          <w:sz w:val="24"/>
          <w:highlight w:val="none"/>
        </w:rPr>
        <w:t>8. 质量标准和保证</w:t>
      </w:r>
    </w:p>
    <w:p>
      <w:pPr>
        <w:adjustRightInd w:val="0"/>
        <w:snapToGrid w:val="0"/>
        <w:spacing w:line="460" w:lineRule="exact"/>
        <w:ind w:firstLine="420"/>
        <w:jc w:val="left"/>
        <w:rPr>
          <w:rFonts w:hint="eastAsia" w:ascii="宋体" w:hAnsi="宋体" w:cs="Courier New"/>
          <w:b/>
          <w:color w:val="auto"/>
          <w:szCs w:val="21"/>
          <w:highlight w:val="none"/>
        </w:rPr>
      </w:pPr>
      <w:r>
        <w:rPr>
          <w:rFonts w:hint="eastAsia" w:ascii="宋体" w:hAnsi="宋体" w:cs="Courier New"/>
          <w:color w:val="auto"/>
          <w:szCs w:val="21"/>
          <w:highlight w:val="none"/>
        </w:rPr>
        <w:t>8.1 质量标准</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（1）本合同下提供的货物应符合合同</w:t>
      </w:r>
      <w:r>
        <w:rPr>
          <w:rFonts w:hint="eastAsia" w:ascii="宋体" w:hAnsi="宋体" w:cs="宋体"/>
          <w:color w:val="auto"/>
          <w:szCs w:val="21"/>
          <w:highlight w:val="none"/>
        </w:rPr>
        <w:t>约定的品牌、规格型号、技术性能、配置、质量、数量等要求。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adjustRightInd w:val="0"/>
        <w:snapToGrid w:val="0"/>
        <w:spacing w:line="460" w:lineRule="exact"/>
        <w:ind w:firstLine="420"/>
        <w:jc w:val="left"/>
        <w:rPr>
          <w:rFonts w:hint="eastAsia" w:ascii="宋体" w:hAnsi="宋体" w:cs="Courier New"/>
          <w:color w:val="auto"/>
          <w:szCs w:val="21"/>
          <w:highlight w:val="none"/>
        </w:rPr>
      </w:pPr>
      <w:r>
        <w:rPr>
          <w:rFonts w:hint="eastAsia" w:ascii="宋体" w:hAnsi="宋体" w:cs="Courier New"/>
          <w:color w:val="auto"/>
          <w:szCs w:val="21"/>
          <w:highlight w:val="none"/>
        </w:rPr>
        <w:t>（2）采用中华人民共和国法定计量单位。</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（3）乙方所提供的货物应符合国家有关安全、环保、卫生的规定。</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（4）乙方应向甲方提交所提供货物的技术文件，包括相应的中文技术文件，如：产品目录、图纸、操作手册、使用说明、维护手册或服务指南等。上述文件应包装好随货物一同发运。</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8.2 保证</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（1）乙方应保证提供的货物完全符合合同规定的质量、规格和性能要求。乙方应保证货物在正确安装、正常使用和保养条件下，</w:t>
      </w:r>
      <w:r>
        <w:rPr>
          <w:rFonts w:hint="eastAsia" w:ascii="宋体" w:hAnsi="宋体" w:cs="宋体"/>
          <w:color w:val="auto"/>
          <w:szCs w:val="21"/>
          <w:highlight w:val="none"/>
        </w:rPr>
        <w:t>在其使用寿命期内具备合同约定的性能</w:t>
      </w:r>
      <w:r>
        <w:rPr>
          <w:rFonts w:hint="eastAsia" w:ascii="宋体" w:hAnsi="宋体"/>
          <w:color w:val="auto"/>
          <w:szCs w:val="21"/>
          <w:highlight w:val="none"/>
        </w:rPr>
        <w:t>。存在质量保证期的，货物最终交付验收合格后在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规定或乙方书面承诺（两者以较长的为准）的质量保证期内，本保证保持有效。</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（3）乙方收到通知后，应在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（4）在质量保证期内，如果货物的质量或规格与合同不符，或证实货物是有缺陷的，包括潜在的缺陷或使用不符合要求的材料等，甲方可以根据本合同第15.1条规定以书面形式追究乙方的违约责任。</w:t>
      </w:r>
    </w:p>
    <w:p>
      <w:pPr>
        <w:adjustRightInd w:val="0"/>
        <w:snapToGrid w:val="0"/>
        <w:spacing w:line="460" w:lineRule="exact"/>
        <w:ind w:firstLine="42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（5）乙方在约定的时间内未能弥补缺陷，甲方可采取必要的补救措施，但其风险和费用将由乙方承担，甲方根据合同约定对乙方行使的其他权利不受影响。</w:t>
      </w:r>
    </w:p>
    <w:p>
      <w:pPr>
        <w:adjustRightInd w:val="0"/>
        <w:snapToGrid w:val="0"/>
        <w:spacing w:line="460" w:lineRule="exact"/>
        <w:ind w:firstLine="482"/>
        <w:jc w:val="left"/>
        <w:rPr>
          <w:rFonts w:hint="eastAsia" w:ascii="宋体" w:hAnsi="宋体"/>
          <w:b/>
          <w:bCs/>
          <w:color w:val="auto"/>
          <w:sz w:val="24"/>
          <w:highlight w:val="none"/>
        </w:rPr>
      </w:pPr>
      <w:r>
        <w:rPr>
          <w:rFonts w:hint="eastAsia" w:ascii="宋体" w:hAnsi="宋体"/>
          <w:b/>
          <w:bCs/>
          <w:color w:val="auto"/>
          <w:sz w:val="24"/>
          <w:highlight w:val="none"/>
        </w:rPr>
        <w:t>9. 权利瑕疵担保</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9.1 乙方保证对其出售的货物享有合法的权利。</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 xml:space="preserve">9.2 </w:t>
      </w:r>
      <w:r>
        <w:rPr>
          <w:rFonts w:hint="eastAsia" w:ascii="宋体" w:hAnsi="宋体" w:cs="宋体"/>
          <w:color w:val="auto"/>
          <w:szCs w:val="15"/>
          <w:highlight w:val="none"/>
        </w:rPr>
        <w:t>乙方保证在交付的货物上不存在抵押权等担保物权。</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9.3 如甲方使用上述货物构成对第三人侵权的，则由乙方承担全部责任。</w:t>
      </w:r>
    </w:p>
    <w:p>
      <w:pPr>
        <w:autoSpaceDE w:val="0"/>
        <w:autoSpaceDN w:val="0"/>
        <w:adjustRightInd w:val="0"/>
        <w:snapToGrid w:val="0"/>
        <w:spacing w:line="460" w:lineRule="exact"/>
        <w:ind w:firstLine="482"/>
        <w:jc w:val="left"/>
        <w:rPr>
          <w:rFonts w:hint="eastAsia" w:ascii="宋体" w:hAnsi="宋体"/>
          <w:b/>
          <w:bCs/>
          <w:color w:val="auto"/>
          <w:sz w:val="24"/>
          <w:highlight w:val="none"/>
        </w:rPr>
      </w:pPr>
      <w:r>
        <w:rPr>
          <w:rFonts w:hint="eastAsia" w:ascii="宋体" w:hAnsi="宋体"/>
          <w:b/>
          <w:bCs/>
          <w:color w:val="auto"/>
          <w:sz w:val="24"/>
          <w:highlight w:val="none"/>
        </w:rPr>
        <w:t>10. 知识产权保护</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10.1 乙方对其所销售的货物应当享有知识产权或经权利人合法授权，保证没有侵犯任何第三人的知识产权等权利。</w:t>
      </w:r>
      <w:bookmarkStart w:id="230" w:name="_Hlk163047038"/>
      <w:r>
        <w:rPr>
          <w:rFonts w:hint="eastAsia" w:ascii="宋体" w:hAnsi="宋体" w:cs="宋体"/>
          <w:color w:val="auto"/>
          <w:szCs w:val="15"/>
          <w:highlight w:val="none"/>
        </w:rPr>
        <w:t>因违反前述约定对第三人构成侵权的，应当由乙方向第三人承担法律责任；甲方依法向第三人赔偿后，有权向乙方追偿。甲方有其他损失的，乙方应当赔偿</w:t>
      </w:r>
      <w:bookmarkEnd w:id="230"/>
      <w:r>
        <w:rPr>
          <w:rFonts w:hint="eastAsia" w:ascii="宋体" w:hAnsi="宋体"/>
          <w:color w:val="auto"/>
          <w:szCs w:val="21"/>
          <w:highlight w:val="none"/>
        </w:rPr>
        <w:t>。</w:t>
      </w:r>
    </w:p>
    <w:p>
      <w:pPr>
        <w:autoSpaceDE w:val="0"/>
        <w:autoSpaceDN w:val="0"/>
        <w:adjustRightInd w:val="0"/>
        <w:snapToGrid w:val="0"/>
        <w:spacing w:line="460" w:lineRule="exact"/>
        <w:ind w:firstLine="482"/>
        <w:jc w:val="left"/>
        <w:rPr>
          <w:rFonts w:hint="eastAsia" w:ascii="宋体" w:hAnsi="宋体"/>
          <w:b/>
          <w:bCs/>
          <w:color w:val="auto"/>
          <w:sz w:val="24"/>
          <w:highlight w:val="none"/>
        </w:rPr>
      </w:pPr>
      <w:r>
        <w:rPr>
          <w:rFonts w:hint="eastAsia" w:ascii="宋体" w:hAnsi="宋体"/>
          <w:b/>
          <w:bCs/>
          <w:color w:val="auto"/>
          <w:sz w:val="24"/>
          <w:highlight w:val="none"/>
        </w:rPr>
        <w:t>11. 保密义务</w:t>
      </w:r>
    </w:p>
    <w:p>
      <w:pPr>
        <w:autoSpaceDE w:val="0"/>
        <w:autoSpaceDN w:val="0"/>
        <w:adjustRightInd w:val="0"/>
        <w:snapToGrid w:val="0"/>
        <w:spacing w:line="460" w:lineRule="exact"/>
        <w:ind w:firstLine="420"/>
        <w:jc w:val="left"/>
        <w:rPr>
          <w:rFonts w:hint="eastAsia" w:ascii="宋体" w:hAnsi="宋体" w:cs="宋体"/>
          <w:color w:val="auto"/>
          <w:szCs w:val="15"/>
          <w:highlight w:val="none"/>
        </w:rPr>
      </w:pPr>
      <w:r>
        <w:rPr>
          <w:rFonts w:hint="eastAsia" w:ascii="宋体" w:hAnsi="宋体" w:cs="宋体"/>
          <w:color w:val="auto"/>
          <w:szCs w:val="15"/>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color w:val="auto"/>
          <w:szCs w:val="15"/>
          <w:highlight w:val="none"/>
        </w:rPr>
        <w:t>【政府采购合同专用条款】</w:t>
      </w:r>
      <w:r>
        <w:rPr>
          <w:rFonts w:hint="eastAsia" w:ascii="宋体" w:hAnsi="宋体" w:cs="宋体"/>
          <w:color w:val="auto"/>
          <w:szCs w:val="15"/>
          <w:highlight w:val="none"/>
        </w:rPr>
        <w:t>中约定。</w:t>
      </w:r>
    </w:p>
    <w:p>
      <w:pPr>
        <w:autoSpaceDE w:val="0"/>
        <w:autoSpaceDN w:val="0"/>
        <w:adjustRightInd w:val="0"/>
        <w:snapToGrid w:val="0"/>
        <w:spacing w:line="460" w:lineRule="exact"/>
        <w:ind w:firstLine="482"/>
        <w:jc w:val="left"/>
        <w:rPr>
          <w:rFonts w:hint="eastAsia" w:ascii="宋体" w:hAnsi="宋体"/>
          <w:b/>
          <w:bCs/>
          <w:color w:val="auto"/>
          <w:sz w:val="24"/>
          <w:highlight w:val="none"/>
        </w:rPr>
      </w:pPr>
      <w:r>
        <w:rPr>
          <w:rFonts w:hint="eastAsia" w:ascii="宋体" w:hAnsi="宋体"/>
          <w:b/>
          <w:bCs/>
          <w:color w:val="auto"/>
          <w:sz w:val="24"/>
          <w:highlight w:val="none"/>
        </w:rPr>
        <w:t>12. 合同价款支付</w:t>
      </w:r>
    </w:p>
    <w:p>
      <w:pPr>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12.1 合同价款支付按照国库集中支付制度及财政管理相关规定执行。</w:t>
      </w:r>
    </w:p>
    <w:p>
      <w:pPr>
        <w:keepNext/>
        <w:keepLines/>
        <w:spacing w:line="460" w:lineRule="exact"/>
        <w:ind w:firstLine="420"/>
        <w:outlineLvl w:val="1"/>
        <w:rPr>
          <w:rFonts w:ascii="Arial" w:hAnsi="Arial"/>
          <w:b/>
          <w:bCs/>
          <w:color w:val="auto"/>
          <w:sz w:val="24"/>
          <w:szCs w:val="32"/>
          <w:highlight w:val="none"/>
        </w:rPr>
      </w:pPr>
      <w:r>
        <w:rPr>
          <w:rFonts w:hint="eastAsia" w:ascii="宋体" w:hAnsi="宋体"/>
          <w:color w:val="auto"/>
          <w:szCs w:val="21"/>
          <w:highlight w:val="none"/>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b/>
          <w:bCs/>
          <w:color w:val="auto"/>
          <w:szCs w:val="21"/>
          <w:highlight w:val="none"/>
        </w:rPr>
        <w:t>政府采购合同专用条款</w:t>
      </w:r>
      <w:r>
        <w:rPr>
          <w:rFonts w:hint="eastAsia" w:ascii="宋体" w:hAnsi="宋体"/>
          <w:color w:val="auto"/>
          <w:szCs w:val="21"/>
          <w:highlight w:val="none"/>
        </w:rPr>
        <w:t>】中约定。</w:t>
      </w:r>
    </w:p>
    <w:p>
      <w:pPr>
        <w:spacing w:line="460" w:lineRule="exact"/>
        <w:ind w:firstLine="482"/>
        <w:rPr>
          <w:rFonts w:hint="eastAsia" w:ascii="宋体" w:hAnsi="宋体"/>
          <w:b/>
          <w:bCs/>
          <w:color w:val="auto"/>
          <w:sz w:val="24"/>
          <w:highlight w:val="none"/>
        </w:rPr>
      </w:pPr>
      <w:r>
        <w:rPr>
          <w:rFonts w:hint="eastAsia" w:ascii="宋体" w:hAnsi="宋体"/>
          <w:b/>
          <w:bCs/>
          <w:color w:val="auto"/>
          <w:sz w:val="24"/>
          <w:highlight w:val="none"/>
        </w:rPr>
        <w:t>13. 履约保证金</w:t>
      </w:r>
    </w:p>
    <w:p>
      <w:pPr>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 xml:space="preserve">13.1 </w:t>
      </w:r>
      <w:r>
        <w:rPr>
          <w:rFonts w:hint="eastAsia" w:ascii="宋体" w:hAnsi="宋体" w:cs="宋体"/>
          <w:color w:val="auto"/>
          <w:szCs w:val="15"/>
          <w:highlight w:val="none"/>
        </w:rPr>
        <w:t>乙方应当以支票、汇票、本票或者金融机构、担保机构出具的保函等非现金形式提交。</w:t>
      </w:r>
    </w:p>
    <w:p>
      <w:pPr>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13.2 如果乙方出现</w:t>
      </w:r>
      <w:r>
        <w:rPr>
          <w:rFonts w:hint="eastAsia" w:ascii="宋体" w:hAnsi="宋体" w:cs="宋体"/>
          <w:b/>
          <w:bCs/>
          <w:color w:val="auto"/>
          <w:szCs w:val="15"/>
          <w:highlight w:val="none"/>
        </w:rPr>
        <w:t>【政府采购合同专用条款】</w:t>
      </w:r>
      <w:r>
        <w:rPr>
          <w:rFonts w:hint="eastAsia" w:ascii="宋体" w:hAnsi="宋体" w:cs="宋体"/>
          <w:color w:val="auto"/>
          <w:szCs w:val="15"/>
          <w:highlight w:val="none"/>
        </w:rPr>
        <w:t>约定情形的</w:t>
      </w:r>
      <w:r>
        <w:rPr>
          <w:rFonts w:hint="eastAsia" w:ascii="宋体" w:hAnsi="宋体"/>
          <w:color w:val="auto"/>
          <w:szCs w:val="21"/>
          <w:highlight w:val="none"/>
        </w:rPr>
        <w:t>，履约保证金不予退还；如果乙方未能按合同约定全面履行义务，甲方有权从履约保证金中取得补偿或赔偿，且不影响甲方要求乙方承担合同约定的超过履约保证金的违约责任的权利。</w:t>
      </w:r>
    </w:p>
    <w:p>
      <w:pPr>
        <w:spacing w:line="460" w:lineRule="exact"/>
        <w:ind w:firstLine="420"/>
        <w:rPr>
          <w:color w:val="auto"/>
          <w:highlight w:val="none"/>
        </w:rPr>
      </w:pPr>
      <w:r>
        <w:rPr>
          <w:rFonts w:hint="eastAsia" w:ascii="宋体" w:hAnsi="宋体"/>
          <w:color w:val="auto"/>
          <w:szCs w:val="21"/>
          <w:highlight w:val="none"/>
        </w:rPr>
        <w:t>13.3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pPr>
        <w:autoSpaceDE w:val="0"/>
        <w:autoSpaceDN w:val="0"/>
        <w:adjustRightInd w:val="0"/>
        <w:snapToGrid w:val="0"/>
        <w:spacing w:line="460" w:lineRule="exact"/>
        <w:ind w:firstLine="482"/>
        <w:jc w:val="left"/>
        <w:rPr>
          <w:rFonts w:hint="eastAsia" w:ascii="宋体" w:hAnsi="宋体"/>
          <w:b/>
          <w:color w:val="auto"/>
          <w:sz w:val="24"/>
          <w:highlight w:val="none"/>
        </w:rPr>
      </w:pPr>
      <w:r>
        <w:rPr>
          <w:rFonts w:hint="eastAsia" w:ascii="宋体" w:hAnsi="宋体"/>
          <w:b/>
          <w:bCs/>
          <w:color w:val="auto"/>
          <w:sz w:val="24"/>
          <w:highlight w:val="none"/>
        </w:rPr>
        <w:t xml:space="preserve">14. </w:t>
      </w:r>
      <w:r>
        <w:rPr>
          <w:rFonts w:hint="eastAsia"/>
          <w:b/>
          <w:color w:val="auto"/>
          <w:sz w:val="24"/>
          <w:highlight w:val="none"/>
        </w:rPr>
        <w:t>售后</w:t>
      </w:r>
      <w:r>
        <w:rPr>
          <w:rFonts w:hint="eastAsia" w:ascii="宋体" w:hAnsi="宋体"/>
          <w:b/>
          <w:color w:val="auto"/>
          <w:sz w:val="24"/>
          <w:highlight w:val="none"/>
        </w:rPr>
        <w:t>服务</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14.1 除项目不涉及或采购活动中明确约定无须承担外，乙方还应提供下列服务：</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（1）货物的现场移动、安装、调试、启动监督及技术支持；</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（2）提供货物组装和维修所需的专用工具和辅助材料；</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（3）在</w:t>
      </w:r>
      <w:r>
        <w:rPr>
          <w:rFonts w:hint="eastAsia" w:ascii="宋体" w:hAnsi="宋体" w:cs="宋体"/>
          <w:b/>
          <w:bCs/>
          <w:color w:val="auto"/>
          <w:szCs w:val="15"/>
          <w:highlight w:val="none"/>
        </w:rPr>
        <w:t>【政府采购合同专用条款】</w:t>
      </w:r>
      <w:r>
        <w:rPr>
          <w:rFonts w:hint="eastAsia" w:ascii="宋体" w:hAnsi="宋体"/>
          <w:color w:val="auto"/>
          <w:szCs w:val="21"/>
          <w:highlight w:val="none"/>
        </w:rPr>
        <w:t>约定的期限内对所有的货物实施运行监督、维修，但前提条件是该服务并不能免除乙方在质量保证期内所承担的义务；</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（4）在制造商所在地或指定现场就货物的安装</w:t>
      </w:r>
      <w:r>
        <w:rPr>
          <w:rFonts w:hint="eastAsia" w:ascii="宋体" w:hAnsi="宋体"/>
          <w:color w:val="auto"/>
          <w:spacing w:val="-20"/>
          <w:szCs w:val="21"/>
          <w:highlight w:val="none"/>
        </w:rPr>
        <w:t>、</w:t>
      </w:r>
      <w:r>
        <w:rPr>
          <w:rFonts w:hint="eastAsia" w:ascii="宋体" w:hAnsi="宋体"/>
          <w:color w:val="auto"/>
          <w:szCs w:val="21"/>
          <w:highlight w:val="none"/>
        </w:rPr>
        <w:t>启动</w:t>
      </w:r>
      <w:r>
        <w:rPr>
          <w:rFonts w:hint="eastAsia" w:ascii="宋体" w:hAnsi="宋体"/>
          <w:color w:val="auto"/>
          <w:spacing w:val="-20"/>
          <w:szCs w:val="21"/>
          <w:highlight w:val="none"/>
        </w:rPr>
        <w:t>、</w:t>
      </w:r>
      <w:r>
        <w:rPr>
          <w:rFonts w:hint="eastAsia" w:ascii="宋体" w:hAnsi="宋体"/>
          <w:color w:val="auto"/>
          <w:szCs w:val="21"/>
          <w:highlight w:val="none"/>
        </w:rPr>
        <w:t>运营</w:t>
      </w:r>
      <w:r>
        <w:rPr>
          <w:rFonts w:hint="eastAsia" w:ascii="宋体" w:hAnsi="宋体"/>
          <w:color w:val="auto"/>
          <w:spacing w:val="-20"/>
          <w:szCs w:val="21"/>
          <w:highlight w:val="none"/>
        </w:rPr>
        <w:t>、</w:t>
      </w:r>
      <w:r>
        <w:rPr>
          <w:rFonts w:hint="eastAsia" w:ascii="宋体" w:hAnsi="宋体"/>
          <w:color w:val="auto"/>
          <w:szCs w:val="21"/>
          <w:highlight w:val="none"/>
        </w:rPr>
        <w:t>维护</w:t>
      </w:r>
      <w:r>
        <w:rPr>
          <w:rFonts w:hint="eastAsia" w:ascii="宋体" w:hAnsi="宋体"/>
          <w:color w:val="auto"/>
          <w:spacing w:val="-20"/>
          <w:szCs w:val="21"/>
          <w:highlight w:val="none"/>
        </w:rPr>
        <w:t>、</w:t>
      </w:r>
      <w:r>
        <w:rPr>
          <w:rFonts w:hint="eastAsia" w:ascii="宋体" w:hAnsi="宋体"/>
          <w:color w:val="auto"/>
          <w:szCs w:val="21"/>
          <w:highlight w:val="none"/>
        </w:rPr>
        <w:t>废弃处置等对甲方操作人员进行培训</w:t>
      </w:r>
      <w:r>
        <w:rPr>
          <w:rFonts w:hint="eastAsia" w:ascii="宋体" w:hAnsi="宋体" w:cs="宋体"/>
          <w:color w:val="auto"/>
          <w:szCs w:val="15"/>
          <w:highlight w:val="none"/>
        </w:rPr>
        <w:t>；</w:t>
      </w:r>
    </w:p>
    <w:p>
      <w:pPr>
        <w:widowControl/>
        <w:autoSpaceDE w:val="0"/>
        <w:autoSpaceDN w:val="0"/>
        <w:adjustRightInd w:val="0"/>
        <w:spacing w:line="46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（5）依照法律、行政法规的规定或者按照</w:t>
      </w:r>
      <w:r>
        <w:rPr>
          <w:rFonts w:hint="eastAsia" w:ascii="宋体" w:hAnsi="宋体" w:cs="宋体"/>
          <w:b/>
          <w:bCs/>
          <w:color w:val="auto"/>
          <w:kern w:val="0"/>
          <w:szCs w:val="21"/>
          <w:highlight w:val="none"/>
        </w:rPr>
        <w:t>【政府采购合同专用条款】</w:t>
      </w:r>
      <w:r>
        <w:rPr>
          <w:rFonts w:hint="eastAsia" w:ascii="宋体" w:hAnsi="宋体" w:cs="宋体"/>
          <w:color w:val="auto"/>
          <w:kern w:val="0"/>
          <w:szCs w:val="21"/>
          <w:highlight w:val="none"/>
        </w:rPr>
        <w:t>约定，货物在有效使用年限届满后应予回收的，乙方负有自行或者委托第三人对货物予以回收的义务；</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（6）</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14.2 乙方提供的售后服务的费用已包含在合同价款中，甲方不再另行支付。</w:t>
      </w:r>
    </w:p>
    <w:p>
      <w:pPr>
        <w:adjustRightInd w:val="0"/>
        <w:snapToGrid w:val="0"/>
        <w:spacing w:line="460" w:lineRule="exact"/>
        <w:ind w:firstLine="482"/>
        <w:jc w:val="left"/>
        <w:rPr>
          <w:rFonts w:hint="eastAsia" w:ascii="宋体" w:hAnsi="宋体"/>
          <w:b/>
          <w:bCs/>
          <w:color w:val="auto"/>
          <w:sz w:val="24"/>
          <w:highlight w:val="none"/>
        </w:rPr>
      </w:pPr>
      <w:r>
        <w:rPr>
          <w:rFonts w:hint="eastAsia" w:ascii="宋体" w:hAnsi="宋体"/>
          <w:b/>
          <w:bCs/>
          <w:color w:val="auto"/>
          <w:sz w:val="24"/>
          <w:highlight w:val="none"/>
        </w:rPr>
        <w:t>15. 违约责任</w:t>
      </w:r>
    </w:p>
    <w:p>
      <w:pPr>
        <w:adjustRightInd w:val="0"/>
        <w:snapToGrid w:val="0"/>
        <w:spacing w:line="460" w:lineRule="exact"/>
        <w:ind w:firstLine="420"/>
        <w:jc w:val="left"/>
        <w:rPr>
          <w:rFonts w:hint="eastAsia" w:ascii="宋体" w:hAnsi="宋体"/>
          <w:bCs/>
          <w:color w:val="auto"/>
          <w:szCs w:val="21"/>
          <w:highlight w:val="none"/>
        </w:rPr>
      </w:pPr>
      <w:r>
        <w:rPr>
          <w:rFonts w:hint="eastAsia" w:ascii="宋体" w:hAnsi="宋体"/>
          <w:bCs/>
          <w:color w:val="auto"/>
          <w:szCs w:val="21"/>
          <w:highlight w:val="none"/>
        </w:rPr>
        <w:t>15.1质量瑕疵的违约责任</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乙方提供的产品不符合合同约定的质量标准或存在产品质量缺陷，甲方有权要求乙方根据</w:t>
      </w:r>
      <w:r>
        <w:rPr>
          <w:rFonts w:hint="eastAsia" w:ascii="宋体" w:hAnsi="宋体"/>
          <w:b/>
          <w:color w:val="auto"/>
          <w:szCs w:val="21"/>
          <w:highlight w:val="none"/>
        </w:rPr>
        <w:t>【政府采购合同专用条款】</w:t>
      </w:r>
      <w:r>
        <w:rPr>
          <w:rFonts w:hint="eastAsia" w:ascii="宋体" w:hAnsi="宋体"/>
          <w:bCs/>
          <w:color w:val="auto"/>
          <w:szCs w:val="21"/>
          <w:highlight w:val="none"/>
        </w:rPr>
        <w:t>要求</w:t>
      </w:r>
      <w:r>
        <w:rPr>
          <w:rFonts w:hint="eastAsia" w:ascii="宋体" w:hAnsi="宋体"/>
          <w:color w:val="auto"/>
          <w:szCs w:val="21"/>
          <w:highlight w:val="none"/>
        </w:rPr>
        <w:t>及时修理、重作、更换，并承担由此给甲方造成的损失。</w:t>
      </w:r>
    </w:p>
    <w:p>
      <w:pPr>
        <w:autoSpaceDE w:val="0"/>
        <w:autoSpaceDN w:val="0"/>
        <w:adjustRightInd w:val="0"/>
        <w:snapToGrid w:val="0"/>
        <w:spacing w:line="460" w:lineRule="exact"/>
        <w:ind w:firstLine="420"/>
        <w:jc w:val="left"/>
        <w:rPr>
          <w:rFonts w:hint="eastAsia" w:ascii="宋体" w:hAnsi="宋体"/>
          <w:bCs/>
          <w:color w:val="auto"/>
          <w:szCs w:val="21"/>
          <w:highlight w:val="none"/>
        </w:rPr>
      </w:pPr>
      <w:r>
        <w:rPr>
          <w:rFonts w:hint="eastAsia" w:ascii="宋体" w:hAnsi="宋体"/>
          <w:bCs/>
          <w:color w:val="auto"/>
          <w:szCs w:val="21"/>
          <w:highlight w:val="none"/>
        </w:rPr>
        <w:t>15.2 迟延交货的违约责任</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（2）如果乙方没有按照合同规定的时间交货和提供相关服务，甲方有权从货款中扣除误期赔偿费而不影响合同项下的其他补救方法，赔偿费按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规定执行。如果涉及公共利益，且赔偿金额无法弥补公共利益损失，甲方可要求继续履行或者采取其他补救措施。</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15.3 迟延支付的违约责任</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pPr>
        <w:adjustRightInd w:val="0"/>
        <w:snapToGrid w:val="0"/>
        <w:spacing w:line="460" w:lineRule="exact"/>
        <w:ind w:firstLine="420"/>
        <w:jc w:val="left"/>
        <w:rPr>
          <w:rFonts w:hint="eastAsia" w:ascii="宋体" w:hAnsi="宋体"/>
          <w:color w:val="auto"/>
          <w:szCs w:val="21"/>
          <w:highlight w:val="none"/>
        </w:rPr>
      </w:pPr>
      <w:r>
        <w:rPr>
          <w:rFonts w:hint="eastAsia" w:ascii="宋体" w:hAnsi="宋体"/>
          <w:bCs/>
          <w:color w:val="auto"/>
          <w:szCs w:val="21"/>
          <w:highlight w:val="none"/>
        </w:rPr>
        <w:t>15.4其他违约责任根据项目实际需要按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pPr>
        <w:numPr>
          <w:ilvl w:val="0"/>
          <w:numId w:val="24"/>
        </w:numPr>
        <w:autoSpaceDE w:val="0"/>
        <w:autoSpaceDN w:val="0"/>
        <w:adjustRightInd w:val="0"/>
        <w:snapToGrid w:val="0"/>
        <w:spacing w:line="460" w:lineRule="exact"/>
        <w:ind w:firstLine="482"/>
        <w:jc w:val="left"/>
        <w:rPr>
          <w:rFonts w:hint="eastAsia" w:ascii="宋体" w:hAnsi="宋体"/>
          <w:b/>
          <w:color w:val="auto"/>
          <w:sz w:val="24"/>
          <w:highlight w:val="none"/>
        </w:rPr>
      </w:pPr>
      <w:r>
        <w:rPr>
          <w:rFonts w:hint="eastAsia" w:ascii="宋体" w:hAnsi="宋体"/>
          <w:b/>
          <w:color w:val="auto"/>
          <w:sz w:val="24"/>
          <w:highlight w:val="none"/>
        </w:rPr>
        <w:t>合同变更、中止与终止</w:t>
      </w:r>
    </w:p>
    <w:p>
      <w:pPr>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16.1合同的变更</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政府采购合同履行中，在不改变合同其他条款的前提下，甲方可以在合同价款10%的范围内追加与合同标的相同的货物，并就此与乙方协商一致后签订补充协议。</w:t>
      </w:r>
    </w:p>
    <w:p>
      <w:pPr>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16.2合同的中止</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（1）合同履行过程中因供应商就采购文件、采购过程或结果提起投诉的，甲方认为有必要的，可以中止合同的履行。</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widowControl/>
        <w:autoSpaceDE w:val="0"/>
        <w:autoSpaceDN w:val="0"/>
        <w:adjustRightInd w:val="0"/>
        <w:spacing w:line="460" w:lineRule="exact"/>
        <w:ind w:firstLine="420"/>
        <w:rPr>
          <w:rFonts w:hint="eastAsia" w:ascii="华文楷体" w:hAnsi="华文楷体" w:eastAsia="华文楷体" w:cs="华文楷体"/>
          <w:color w:val="auto"/>
          <w:kern w:val="0"/>
          <w:szCs w:val="21"/>
          <w:highlight w:val="none"/>
        </w:rPr>
      </w:pPr>
      <w:r>
        <w:rPr>
          <w:rFonts w:hint="eastAsia" w:ascii="宋体" w:hAnsi="宋体" w:cs="宋体"/>
          <w:color w:val="auto"/>
          <w:kern w:val="0"/>
          <w:szCs w:val="21"/>
          <w:highlight w:val="none"/>
        </w:rPr>
        <w:t>（3）乙方分立、合并或者变更住所的，应当及时以书面形式告知甲方。乙方没有及时告知甲方，致使合同履行发生困难的，甲方可以中止合同履行并要求乙方承担由此给甲方造成的损失。</w:t>
      </w:r>
    </w:p>
    <w:p>
      <w:pPr>
        <w:snapToGrid w:val="0"/>
        <w:spacing w:line="460" w:lineRule="exact"/>
        <w:ind w:firstLine="420"/>
        <w:jc w:val="left"/>
        <w:rPr>
          <w:color w:val="auto"/>
          <w:highlight w:val="none"/>
        </w:rPr>
      </w:pPr>
      <w:r>
        <w:rPr>
          <w:rFonts w:hint="eastAsia" w:ascii="宋体" w:hAnsi="宋体"/>
          <w:color w:val="auto"/>
          <w:szCs w:val="21"/>
          <w:highlight w:val="none"/>
        </w:rPr>
        <w:t>（4）甲方不得以行政区划调整、政府换届、机构或者职能调整以及相关责任人更替为由中止合同。</w:t>
      </w:r>
    </w:p>
    <w:p>
      <w:pPr>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16.3合同的终止</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（1）合同因有效期限届满而终止；</w:t>
      </w:r>
    </w:p>
    <w:p>
      <w:pPr>
        <w:snapToGrid w:val="0"/>
        <w:spacing w:line="460" w:lineRule="exact"/>
        <w:ind w:firstLine="420"/>
        <w:rPr>
          <w:rFonts w:hint="eastAsia" w:ascii="宋体" w:hAnsi="宋体" w:cs="宋体"/>
          <w:color w:val="auto"/>
          <w:szCs w:val="21"/>
          <w:highlight w:val="none"/>
        </w:rPr>
      </w:pPr>
      <w:r>
        <w:rPr>
          <w:rFonts w:hint="eastAsia" w:ascii="宋体" w:hAnsi="宋体"/>
          <w:color w:val="auto"/>
          <w:szCs w:val="21"/>
          <w:highlight w:val="none"/>
        </w:rPr>
        <w:t>（2）乙方未按合同约定履行，构成根本性违约的，甲方有权终止合同，</w:t>
      </w:r>
      <w:r>
        <w:rPr>
          <w:rFonts w:hint="eastAsia" w:ascii="宋体" w:hAnsi="宋体" w:cs="宋体"/>
          <w:color w:val="auto"/>
          <w:szCs w:val="21"/>
          <w:highlight w:val="none"/>
        </w:rPr>
        <w:t>并追究乙方的违约责任</w:t>
      </w:r>
      <w:r>
        <w:rPr>
          <w:rFonts w:hint="eastAsia" w:ascii="宋体" w:hAnsi="宋体"/>
          <w:color w:val="auto"/>
          <w:szCs w:val="21"/>
          <w:highlight w:val="none"/>
        </w:rPr>
        <w:t>。</w:t>
      </w:r>
    </w:p>
    <w:p>
      <w:pPr>
        <w:widowControl/>
        <w:autoSpaceDE w:val="0"/>
        <w:autoSpaceDN w:val="0"/>
        <w:adjustRightInd w:val="0"/>
        <w:spacing w:line="460" w:lineRule="exact"/>
        <w:ind w:firstLine="440"/>
        <w:jc w:val="left"/>
        <w:rPr>
          <w:rFonts w:hint="eastAsia" w:ascii="宋体" w:hAnsi="宋体" w:eastAsia="华文楷体" w:cs="华文楷体"/>
          <w:color w:val="auto"/>
          <w:kern w:val="0"/>
          <w:sz w:val="22"/>
          <w:szCs w:val="21"/>
          <w:highlight w:val="none"/>
        </w:rPr>
      </w:pPr>
      <w:r>
        <w:rPr>
          <w:rFonts w:hint="eastAsia" w:ascii="宋体" w:hAnsi="宋体" w:eastAsia="华文楷体" w:cs="华文楷体"/>
          <w:color w:val="auto"/>
          <w:kern w:val="0"/>
          <w:sz w:val="22"/>
          <w:szCs w:val="21"/>
          <w:highlight w:val="none"/>
        </w:rPr>
        <w:t xml:space="preserve">16.4 </w:t>
      </w:r>
      <w:r>
        <w:rPr>
          <w:rFonts w:hint="eastAsia" w:ascii="宋体" w:hAnsi="宋体"/>
          <w:color w:val="auto"/>
          <w:szCs w:val="21"/>
          <w:highlight w:val="none"/>
        </w:rPr>
        <w:t>涉及国家利益、社会公共利益的情形</w:t>
      </w:r>
    </w:p>
    <w:p>
      <w:pPr>
        <w:widowControl/>
        <w:autoSpaceDE w:val="0"/>
        <w:autoSpaceDN w:val="0"/>
        <w:adjustRightInd w:val="0"/>
        <w:spacing w:line="460" w:lineRule="exact"/>
        <w:ind w:firstLine="420"/>
        <w:rPr>
          <w:rFonts w:hint="eastAsia" w:ascii="华文楷体" w:hAnsi="华文楷体" w:eastAsia="华文楷体" w:cs="华文楷体"/>
          <w:color w:val="auto"/>
          <w:kern w:val="0"/>
          <w:szCs w:val="21"/>
          <w:highlight w:val="none"/>
        </w:rPr>
      </w:pPr>
      <w:r>
        <w:rPr>
          <w:rFonts w:hint="eastAsia" w:ascii="宋体" w:hAnsi="宋体" w:cs="宋体"/>
          <w:color w:val="auto"/>
          <w:kern w:val="0"/>
          <w:szCs w:val="21"/>
          <w:highlight w:val="none"/>
        </w:rPr>
        <w:t>政府采购合同继续履行将损害国家利益和社会公共利益的，双方当事人应当变更、中止或者终止合同。有过错的一方应当承担赔偿责任，双方都有过错的，各自承担相应的责任。</w:t>
      </w:r>
    </w:p>
    <w:p>
      <w:pPr>
        <w:autoSpaceDE w:val="0"/>
        <w:autoSpaceDN w:val="0"/>
        <w:adjustRightInd w:val="0"/>
        <w:snapToGrid w:val="0"/>
        <w:spacing w:line="460" w:lineRule="exact"/>
        <w:ind w:firstLine="482"/>
        <w:jc w:val="left"/>
        <w:rPr>
          <w:rFonts w:hint="eastAsia" w:ascii="宋体" w:hAnsi="宋体"/>
          <w:b/>
          <w:bCs/>
          <w:color w:val="auto"/>
          <w:sz w:val="24"/>
          <w:highlight w:val="none"/>
        </w:rPr>
      </w:pPr>
      <w:r>
        <w:rPr>
          <w:rFonts w:hint="eastAsia" w:ascii="宋体" w:hAnsi="宋体"/>
          <w:b/>
          <w:bCs/>
          <w:color w:val="auto"/>
          <w:sz w:val="24"/>
          <w:highlight w:val="none"/>
        </w:rPr>
        <w:t>17. 合同分包</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17.1 乙方不得将合同转包给其他供应商。涉及合同分包的，乙方应根据采购文件和投标（响应）文件规定进行合同分包。</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17.2 乙方执行政府采购政策向中小企业依法分包的，乙方应当按采购文件和投标（响应）文件签订分包意向协议，分包意向协议属于本合同组成部分。</w:t>
      </w:r>
    </w:p>
    <w:p>
      <w:pPr>
        <w:autoSpaceDE w:val="0"/>
        <w:autoSpaceDN w:val="0"/>
        <w:adjustRightInd w:val="0"/>
        <w:snapToGrid w:val="0"/>
        <w:spacing w:line="460" w:lineRule="exact"/>
        <w:ind w:firstLine="482"/>
        <w:jc w:val="left"/>
        <w:rPr>
          <w:rFonts w:hint="eastAsia" w:ascii="宋体" w:hAnsi="宋体"/>
          <w:b/>
          <w:bCs/>
          <w:color w:val="auto"/>
          <w:sz w:val="24"/>
          <w:highlight w:val="none"/>
        </w:rPr>
      </w:pPr>
      <w:r>
        <w:rPr>
          <w:rFonts w:hint="eastAsia" w:ascii="宋体" w:hAnsi="宋体"/>
          <w:b/>
          <w:bCs/>
          <w:color w:val="auto"/>
          <w:sz w:val="24"/>
          <w:highlight w:val="none"/>
        </w:rPr>
        <w:t>18. 不可抗力</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18.1 不可抗力是指合同双方不能预见、不能避免且不能克服的客观情况。</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18.2 任何一方对由于不可抗力造成的部分或全部不能履行合同不承担违约责任。但迟延履行后发生不可抗力的，不能免除责任。</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pPr>
        <w:autoSpaceDE w:val="0"/>
        <w:autoSpaceDN w:val="0"/>
        <w:adjustRightInd w:val="0"/>
        <w:snapToGrid w:val="0"/>
        <w:spacing w:line="460" w:lineRule="exact"/>
        <w:ind w:firstLine="482"/>
        <w:jc w:val="left"/>
        <w:rPr>
          <w:rFonts w:hint="eastAsia" w:ascii="宋体" w:hAnsi="宋体"/>
          <w:b/>
          <w:bCs/>
          <w:color w:val="auto"/>
          <w:sz w:val="24"/>
          <w:highlight w:val="none"/>
        </w:rPr>
      </w:pPr>
      <w:r>
        <w:rPr>
          <w:rFonts w:hint="eastAsia" w:ascii="宋体" w:hAnsi="宋体"/>
          <w:b/>
          <w:bCs/>
          <w:color w:val="auto"/>
          <w:sz w:val="24"/>
          <w:highlight w:val="none"/>
        </w:rPr>
        <w:t>19. 解决争议的方法</w:t>
      </w:r>
    </w:p>
    <w:p>
      <w:pPr>
        <w:widowControl/>
        <w:autoSpaceDE w:val="0"/>
        <w:autoSpaceDN w:val="0"/>
        <w:adjustRightInd w:val="0"/>
        <w:spacing w:line="46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19.1 因本合同及合同有关事项发生的争议，由甲乙双方友好协商解决。协商不成时，可以向有关组织申请调解。合同一方或双方不愿调解或调解不成的，可以通过仲裁或诉讼的方式解决争议。</w:t>
      </w:r>
    </w:p>
    <w:p>
      <w:pPr>
        <w:widowControl/>
        <w:autoSpaceDE w:val="0"/>
        <w:autoSpaceDN w:val="0"/>
        <w:adjustRightInd w:val="0"/>
        <w:spacing w:line="46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19.2 选择仲裁的，应在</w:t>
      </w:r>
      <w:r>
        <w:rPr>
          <w:rFonts w:hint="eastAsia" w:ascii="宋体" w:hAnsi="宋体" w:cs="宋体"/>
          <w:b/>
          <w:bCs/>
          <w:color w:val="auto"/>
          <w:kern w:val="0"/>
          <w:szCs w:val="21"/>
          <w:highlight w:val="none"/>
        </w:rPr>
        <w:t>【政府采购合同专用条款】</w:t>
      </w:r>
      <w:r>
        <w:rPr>
          <w:rFonts w:hint="eastAsia" w:ascii="宋体" w:hAnsi="宋体" w:cs="宋体"/>
          <w:color w:val="auto"/>
          <w:kern w:val="0"/>
          <w:szCs w:val="21"/>
          <w:highlight w:val="none"/>
        </w:rPr>
        <w:t>中明确仲裁机构及仲裁地；通过诉讼方式解决的，可以在</w:t>
      </w:r>
      <w:r>
        <w:rPr>
          <w:rFonts w:hint="eastAsia" w:ascii="宋体" w:hAnsi="宋体" w:cs="宋体"/>
          <w:b/>
          <w:bCs/>
          <w:color w:val="auto"/>
          <w:kern w:val="0"/>
          <w:szCs w:val="21"/>
          <w:highlight w:val="none"/>
        </w:rPr>
        <w:t>【政府采购合同专用条款】</w:t>
      </w:r>
      <w:r>
        <w:rPr>
          <w:rFonts w:hint="eastAsia" w:ascii="宋体" w:hAnsi="宋体" w:cs="宋体"/>
          <w:color w:val="auto"/>
          <w:kern w:val="0"/>
          <w:szCs w:val="21"/>
          <w:highlight w:val="none"/>
        </w:rPr>
        <w:t>中进一步约定选择与争议有实际联系的地点的人民法院管辖，但管辖法院的约定不得违反级别管辖和专属管辖的规定。</w:t>
      </w:r>
    </w:p>
    <w:p>
      <w:pPr>
        <w:widowControl/>
        <w:autoSpaceDE w:val="0"/>
        <w:autoSpaceDN w:val="0"/>
        <w:adjustRightInd w:val="0"/>
        <w:spacing w:line="46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19.3 如甲乙双方有争议的事项不影响合同其他部分的履行，在争议解决期间，合同其他部分应当继续履行。</w:t>
      </w:r>
    </w:p>
    <w:p>
      <w:pPr>
        <w:autoSpaceDE w:val="0"/>
        <w:autoSpaceDN w:val="0"/>
        <w:adjustRightInd w:val="0"/>
        <w:snapToGrid w:val="0"/>
        <w:spacing w:line="460" w:lineRule="exact"/>
        <w:ind w:firstLine="482"/>
        <w:jc w:val="left"/>
        <w:rPr>
          <w:rFonts w:hint="eastAsia" w:ascii="宋体" w:hAnsi="宋体"/>
          <w:color w:val="auto"/>
          <w:sz w:val="24"/>
          <w:highlight w:val="none"/>
        </w:rPr>
      </w:pPr>
      <w:r>
        <w:rPr>
          <w:rFonts w:hint="eastAsia" w:ascii="宋体" w:hAnsi="宋体"/>
          <w:b/>
          <w:color w:val="auto"/>
          <w:sz w:val="24"/>
          <w:highlight w:val="none"/>
        </w:rPr>
        <w:t>20. 政府采购政策</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 xml:space="preserve">20.1 </w:t>
      </w:r>
      <w:r>
        <w:rPr>
          <w:rFonts w:hint="eastAsia" w:ascii="宋体" w:hAnsi="宋体" w:cs="宋体"/>
          <w:color w:val="auto"/>
          <w:highlight w:val="none"/>
          <w:lang w:val="en-GB"/>
        </w:rPr>
        <w:t>本合同应当按照规定执行政府采购政策。</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0.2 本合同依法执行政府采购政策的方式和内容，属于合同履约验收的范围。</w:t>
      </w:r>
      <w:r>
        <w:rPr>
          <w:rFonts w:hint="eastAsia" w:ascii="宋体" w:hAnsi="宋体" w:cs="宋体"/>
          <w:color w:val="auto"/>
          <w:highlight w:val="none"/>
        </w:rPr>
        <w:t>甲乙双方</w:t>
      </w:r>
      <w:r>
        <w:rPr>
          <w:rFonts w:hint="eastAsia" w:ascii="宋体" w:hAnsi="宋体" w:cs="宋体"/>
          <w:color w:val="auto"/>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pPr>
        <w:spacing w:line="460" w:lineRule="exact"/>
        <w:ind w:firstLine="420"/>
        <w:rPr>
          <w:color w:val="auto"/>
          <w:szCs w:val="22"/>
          <w:highlight w:val="none"/>
        </w:rPr>
      </w:pPr>
      <w:r>
        <w:rPr>
          <w:rFonts w:ascii="宋体" w:hAnsi="宋体"/>
          <w:color w:val="auto"/>
          <w:szCs w:val="21"/>
          <w:highlight w:val="none"/>
        </w:rPr>
        <w:t>2</w:t>
      </w:r>
      <w:r>
        <w:rPr>
          <w:rFonts w:hint="eastAsia" w:ascii="宋体" w:hAnsi="宋体"/>
          <w:color w:val="auto"/>
          <w:szCs w:val="21"/>
          <w:highlight w:val="none"/>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line="460" w:lineRule="exact"/>
        <w:ind w:firstLine="482"/>
        <w:jc w:val="left"/>
        <w:rPr>
          <w:rFonts w:hint="eastAsia" w:ascii="宋体" w:hAnsi="宋体"/>
          <w:b/>
          <w:color w:val="auto"/>
          <w:sz w:val="24"/>
          <w:highlight w:val="none"/>
        </w:rPr>
      </w:pPr>
      <w:r>
        <w:rPr>
          <w:rFonts w:hint="eastAsia" w:ascii="宋体" w:hAnsi="宋体"/>
          <w:b/>
          <w:color w:val="auto"/>
          <w:sz w:val="24"/>
          <w:highlight w:val="none"/>
        </w:rPr>
        <w:t>21. 法律适用</w:t>
      </w:r>
    </w:p>
    <w:p>
      <w:pPr>
        <w:widowControl/>
        <w:autoSpaceDE w:val="0"/>
        <w:autoSpaceDN w:val="0"/>
        <w:adjustRightInd w:val="0"/>
        <w:spacing w:line="46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21.1 本合同的订立、生效、解释、履行及与本合同有关的争议解决，均适用法律、行政法规。</w:t>
      </w:r>
    </w:p>
    <w:p>
      <w:pPr>
        <w:widowControl/>
        <w:autoSpaceDE w:val="0"/>
        <w:autoSpaceDN w:val="0"/>
        <w:adjustRightInd w:val="0"/>
        <w:spacing w:line="46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21.2 本合同条款与法律、行政法规的强制性规定不一致的，双方当事人应按照法律、行政法规的强制性规定修改本合同的相关条款。</w:t>
      </w:r>
    </w:p>
    <w:p>
      <w:pPr>
        <w:autoSpaceDE w:val="0"/>
        <w:autoSpaceDN w:val="0"/>
        <w:adjustRightInd w:val="0"/>
        <w:snapToGrid w:val="0"/>
        <w:spacing w:line="460" w:lineRule="exact"/>
        <w:ind w:firstLine="420" w:firstLineChars="0"/>
        <w:jc w:val="left"/>
        <w:rPr>
          <w:rFonts w:hint="eastAsia" w:ascii="宋体" w:hAnsi="宋体"/>
          <w:b/>
          <w:color w:val="auto"/>
          <w:sz w:val="24"/>
          <w:highlight w:val="none"/>
        </w:rPr>
      </w:pPr>
      <w:r>
        <w:rPr>
          <w:rFonts w:hint="eastAsia" w:ascii="宋体" w:hAnsi="宋体"/>
          <w:b/>
          <w:color w:val="auto"/>
          <w:sz w:val="24"/>
          <w:highlight w:val="none"/>
        </w:rPr>
        <w:t>22. 通知</w:t>
      </w:r>
    </w:p>
    <w:p>
      <w:pPr>
        <w:widowControl/>
        <w:autoSpaceDE w:val="0"/>
        <w:autoSpaceDN w:val="0"/>
        <w:adjustRightInd w:val="0"/>
        <w:spacing w:line="46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22.1 本合同任何一方向对方发出的通知、信件、数据电文等，应当发送至本合同第一部分《政府采购合同协议书》所约定的通讯地址、联系人、联系电话或电子邮箱。</w:t>
      </w:r>
    </w:p>
    <w:p>
      <w:pPr>
        <w:widowControl/>
        <w:autoSpaceDE w:val="0"/>
        <w:autoSpaceDN w:val="0"/>
        <w:adjustRightInd w:val="0"/>
        <w:spacing w:line="460" w:lineRule="exact"/>
        <w:ind w:firstLine="420"/>
        <w:rPr>
          <w:rFonts w:hint="eastAsia" w:ascii="华文楷体" w:hAnsi="华文楷体" w:eastAsia="华文楷体" w:cs="华文楷体"/>
          <w:color w:val="auto"/>
          <w:kern w:val="0"/>
          <w:szCs w:val="21"/>
          <w:highlight w:val="none"/>
        </w:rPr>
      </w:pPr>
      <w:r>
        <w:rPr>
          <w:rFonts w:hint="eastAsia" w:ascii="宋体" w:hAnsi="宋体" w:cs="宋体"/>
          <w:color w:val="auto"/>
          <w:kern w:val="0"/>
          <w:szCs w:val="21"/>
          <w:highlight w:val="none"/>
        </w:rPr>
        <w:t>22.2 一方当事人变更名称、住所、联系人、联系电话或电子邮箱等信息的，应当在变更后3日内及时书面通知对方，对方实际收到变更通知前的送达仍为有效送达。</w:t>
      </w:r>
    </w:p>
    <w:p>
      <w:pPr>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22.3本合同一方给另一方的通知均应采用书面形式，传真或快递送到本合同中规定的对方的地址和办理签收手续。</w:t>
      </w:r>
    </w:p>
    <w:p>
      <w:pPr>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22.4通知以送达之日或通知书中规定的生效之日起生效，两者中以较迟之日为准。</w:t>
      </w:r>
    </w:p>
    <w:p>
      <w:pPr>
        <w:numPr>
          <w:ilvl w:val="0"/>
          <w:numId w:val="25"/>
        </w:numPr>
        <w:adjustRightInd w:val="0"/>
        <w:snapToGrid w:val="0"/>
        <w:spacing w:line="460" w:lineRule="exact"/>
        <w:ind w:firstLine="482"/>
        <w:jc w:val="left"/>
        <w:rPr>
          <w:rFonts w:hint="eastAsia" w:ascii="宋体" w:hAnsi="宋体"/>
          <w:b/>
          <w:bCs/>
          <w:color w:val="auto"/>
          <w:sz w:val="24"/>
          <w:highlight w:val="none"/>
        </w:rPr>
      </w:pPr>
      <w:r>
        <w:rPr>
          <w:rFonts w:hint="eastAsia" w:ascii="宋体" w:hAnsi="宋体"/>
          <w:b/>
          <w:bCs/>
          <w:color w:val="auto"/>
          <w:sz w:val="24"/>
          <w:highlight w:val="none"/>
        </w:rPr>
        <w:t>合同未尽事项</w:t>
      </w:r>
    </w:p>
    <w:p>
      <w:pPr>
        <w:adjustRightInd w:val="0"/>
        <w:snapToGrid w:val="0"/>
        <w:spacing w:line="460" w:lineRule="exact"/>
        <w:ind w:firstLine="420"/>
        <w:jc w:val="left"/>
        <w:rPr>
          <w:rFonts w:hint="eastAsia" w:ascii="宋体" w:hAnsi="宋体"/>
          <w:bCs/>
          <w:color w:val="auto"/>
          <w:szCs w:val="21"/>
          <w:highlight w:val="none"/>
        </w:rPr>
      </w:pPr>
      <w:r>
        <w:rPr>
          <w:rFonts w:hint="eastAsia" w:ascii="宋体" w:hAnsi="宋体"/>
          <w:bCs/>
          <w:color w:val="auto"/>
          <w:szCs w:val="21"/>
          <w:highlight w:val="none"/>
        </w:rPr>
        <w:t>23.1合同未尽事项见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pPr>
        <w:adjustRightInd w:val="0"/>
        <w:snapToGrid w:val="0"/>
        <w:spacing w:line="460" w:lineRule="exact"/>
        <w:ind w:firstLine="420"/>
        <w:jc w:val="left"/>
        <w:rPr>
          <w:rFonts w:hint="eastAsia" w:ascii="黑体" w:hAnsi="华文中宋" w:eastAsia="黑体"/>
          <w:color w:val="auto"/>
          <w:sz w:val="28"/>
          <w:szCs w:val="28"/>
          <w:highlight w:val="none"/>
        </w:rPr>
      </w:pPr>
      <w:r>
        <w:rPr>
          <w:rFonts w:hint="eastAsia" w:ascii="宋体" w:hAnsi="宋体"/>
          <w:bCs/>
          <w:color w:val="auto"/>
          <w:szCs w:val="21"/>
          <w:highlight w:val="none"/>
        </w:rPr>
        <w:t xml:space="preserve">    23.2 合同附件与合同正文具有同等的法律效力。</w:t>
      </w:r>
      <w:bookmarkStart w:id="231" w:name="_Toc20313"/>
    </w:p>
    <w:p>
      <w:pPr>
        <w:adjustRightInd w:val="0"/>
        <w:snapToGrid w:val="0"/>
        <w:ind w:firstLine="560"/>
        <w:jc w:val="center"/>
        <w:rPr>
          <w:rFonts w:hint="eastAsia" w:ascii="黑体" w:hAnsi="华文中宋" w:eastAsia="黑体"/>
          <w:color w:val="auto"/>
          <w:sz w:val="28"/>
          <w:szCs w:val="28"/>
          <w:highlight w:val="none"/>
        </w:rPr>
      </w:pPr>
      <w:r>
        <w:rPr>
          <w:rFonts w:hint="eastAsia" w:ascii="黑体" w:hAnsi="华文中宋" w:eastAsia="黑体"/>
          <w:color w:val="auto"/>
          <w:sz w:val="28"/>
          <w:szCs w:val="28"/>
          <w:highlight w:val="none"/>
        </w:rPr>
        <w:br w:type="page"/>
      </w:r>
    </w:p>
    <w:p>
      <w:pPr>
        <w:keepNext/>
        <w:keepLines/>
        <w:adjustRightInd w:val="0"/>
        <w:snapToGrid w:val="0"/>
        <w:spacing w:line="360" w:lineRule="auto"/>
        <w:ind w:firstLine="560"/>
        <w:jc w:val="center"/>
        <w:outlineLvl w:val="1"/>
        <w:rPr>
          <w:rFonts w:hint="eastAsia" w:ascii="黑体" w:hAnsi="华文中宋" w:eastAsia="黑体"/>
          <w:color w:val="auto"/>
          <w:sz w:val="28"/>
          <w:szCs w:val="28"/>
          <w:highlight w:val="none"/>
        </w:rPr>
      </w:pPr>
      <w:r>
        <w:rPr>
          <w:rFonts w:hint="eastAsia" w:ascii="黑体" w:hAnsi="华文中宋" w:eastAsia="黑体"/>
          <w:color w:val="auto"/>
          <w:sz w:val="28"/>
          <w:szCs w:val="28"/>
          <w:highlight w:val="none"/>
        </w:rPr>
        <w:t>第三节 政府采购合同专用条款</w:t>
      </w:r>
      <w:bookmarkEnd w:id="231"/>
    </w:p>
    <w:tbl>
      <w:tblPr>
        <w:tblStyle w:val="49"/>
        <w:tblW w:w="0" w:type="auto"/>
        <w:tblInd w:w="-157"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72"/>
        <w:gridCol w:w="2362"/>
        <w:gridCol w:w="595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第1.2（6）项</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联合体具体要求</w:t>
            </w:r>
          </w:p>
        </w:tc>
        <w:tc>
          <w:tcPr>
            <w:tcW w:w="5954" w:type="dxa"/>
            <w:noWrap w:val="0"/>
            <w:vAlign w:val="center"/>
          </w:tcPr>
          <w:p>
            <w:pPr>
              <w:adjustRightInd w:val="0"/>
              <w:snapToGrid w:val="0"/>
              <w:ind w:firstLine="420"/>
              <w:jc w:val="left"/>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872" w:type="dxa"/>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第1.2（7）项</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其他术语解释</w:t>
            </w:r>
          </w:p>
        </w:tc>
        <w:tc>
          <w:tcPr>
            <w:tcW w:w="5954" w:type="dxa"/>
            <w:noWrap w:val="0"/>
            <w:vAlign w:val="center"/>
          </w:tcPr>
          <w:p>
            <w:pPr>
              <w:adjustRightInd w:val="0"/>
              <w:snapToGrid w:val="0"/>
              <w:ind w:firstLine="420"/>
              <w:jc w:val="left"/>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第4.4款</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履约验收中甲方提出异议或作出说明的期限</w:t>
            </w:r>
          </w:p>
        </w:tc>
        <w:tc>
          <w:tcPr>
            <w:tcW w:w="5954" w:type="dxa"/>
            <w:noWrap w:val="0"/>
            <w:vAlign w:val="center"/>
          </w:tcPr>
          <w:p>
            <w:pPr>
              <w:adjustRightInd w:val="0"/>
              <w:snapToGrid w:val="0"/>
              <w:ind w:firstLine="420"/>
              <w:jc w:val="left"/>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第4.6款</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约定甲方承担的其他义务和责任</w:t>
            </w:r>
          </w:p>
        </w:tc>
        <w:tc>
          <w:tcPr>
            <w:tcW w:w="5954" w:type="dxa"/>
            <w:noWrap w:val="0"/>
            <w:vAlign w:val="center"/>
          </w:tcPr>
          <w:p>
            <w:pPr>
              <w:adjustRightInd w:val="0"/>
              <w:snapToGrid w:val="0"/>
              <w:ind w:firstLine="420"/>
              <w:jc w:val="left"/>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snapToGrid w:val="0"/>
              <w:ind w:firstLine="420"/>
              <w:jc w:val="center"/>
              <w:rPr>
                <w:color w:val="auto"/>
                <w:highlight w:val="none"/>
              </w:rPr>
            </w:pPr>
            <w:r>
              <w:rPr>
                <w:rFonts w:hint="eastAsia" w:ascii="宋体" w:hAnsi="宋体"/>
                <w:color w:val="auto"/>
                <w:szCs w:val="21"/>
                <w:highlight w:val="none"/>
              </w:rPr>
              <w:t>第5.4款</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约定乙方承担的其他义务和责任</w:t>
            </w:r>
          </w:p>
        </w:tc>
        <w:tc>
          <w:tcPr>
            <w:tcW w:w="5954" w:type="dxa"/>
            <w:noWrap w:val="0"/>
            <w:vAlign w:val="center"/>
          </w:tcPr>
          <w:p>
            <w:pPr>
              <w:adjustRightInd w:val="0"/>
              <w:snapToGrid w:val="0"/>
              <w:ind w:firstLine="420"/>
              <w:jc w:val="left"/>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第6.1款</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履行合同义务的顺序</w:t>
            </w:r>
          </w:p>
        </w:tc>
        <w:tc>
          <w:tcPr>
            <w:tcW w:w="5954" w:type="dxa"/>
            <w:noWrap w:val="0"/>
            <w:vAlign w:val="center"/>
          </w:tcPr>
          <w:p>
            <w:pPr>
              <w:adjustRightInd w:val="0"/>
              <w:snapToGrid w:val="0"/>
              <w:ind w:firstLine="420"/>
              <w:jc w:val="left"/>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872" w:type="dxa"/>
            <w:vMerge w:val="restart"/>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第7.1款</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包装特殊要求</w:t>
            </w:r>
          </w:p>
        </w:tc>
        <w:tc>
          <w:tcPr>
            <w:tcW w:w="5954" w:type="dxa"/>
            <w:noWrap w:val="0"/>
            <w:vAlign w:val="center"/>
          </w:tcPr>
          <w:p>
            <w:pPr>
              <w:ind w:firstLine="420"/>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872" w:type="dxa"/>
            <w:vMerge w:val="continue"/>
            <w:noWrap w:val="0"/>
            <w:vAlign w:val="center"/>
          </w:tcPr>
          <w:p>
            <w:pPr>
              <w:adjustRightInd w:val="0"/>
              <w:snapToGrid w:val="0"/>
              <w:ind w:firstLine="420"/>
              <w:jc w:val="center"/>
              <w:rPr>
                <w:rFonts w:hint="eastAsia" w:ascii="宋体" w:hAnsi="宋体"/>
                <w:color w:val="auto"/>
                <w:szCs w:val="21"/>
                <w:highlight w:val="none"/>
              </w:rPr>
            </w:pP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指定现场</w:t>
            </w:r>
          </w:p>
        </w:tc>
        <w:tc>
          <w:tcPr>
            <w:tcW w:w="5954" w:type="dxa"/>
            <w:noWrap w:val="0"/>
            <w:vAlign w:val="center"/>
          </w:tcPr>
          <w:p>
            <w:pPr>
              <w:ind w:firstLine="420"/>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872" w:type="dxa"/>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第7.2款</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运输特殊要求</w:t>
            </w:r>
          </w:p>
        </w:tc>
        <w:tc>
          <w:tcPr>
            <w:tcW w:w="5954" w:type="dxa"/>
            <w:noWrap w:val="0"/>
            <w:vAlign w:val="center"/>
          </w:tcPr>
          <w:p>
            <w:pPr>
              <w:ind w:firstLine="420"/>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872" w:type="dxa"/>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第7.3款</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保险要求</w:t>
            </w:r>
          </w:p>
        </w:tc>
        <w:tc>
          <w:tcPr>
            <w:tcW w:w="5954" w:type="dxa"/>
            <w:noWrap w:val="0"/>
            <w:vAlign w:val="center"/>
          </w:tcPr>
          <w:p>
            <w:pPr>
              <w:ind w:firstLine="420"/>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第8.2（1）项</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质量保证期</w:t>
            </w:r>
          </w:p>
        </w:tc>
        <w:tc>
          <w:tcPr>
            <w:tcW w:w="5954" w:type="dxa"/>
            <w:noWrap w:val="0"/>
            <w:vAlign w:val="center"/>
          </w:tcPr>
          <w:p>
            <w:pPr>
              <w:autoSpaceDE w:val="0"/>
              <w:autoSpaceDN w:val="0"/>
              <w:adjustRightInd w:val="0"/>
              <w:snapToGrid w:val="0"/>
              <w:ind w:firstLine="420"/>
              <w:jc w:val="left"/>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第8.2（3）项</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货物质量缺陷</w:t>
            </w:r>
          </w:p>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响应时间</w:t>
            </w:r>
          </w:p>
        </w:tc>
        <w:tc>
          <w:tcPr>
            <w:tcW w:w="5954" w:type="dxa"/>
            <w:noWrap w:val="0"/>
            <w:vAlign w:val="center"/>
          </w:tcPr>
          <w:p>
            <w:pPr>
              <w:adjustRightInd w:val="0"/>
              <w:snapToGrid w:val="0"/>
              <w:ind w:firstLine="420"/>
              <w:jc w:val="left"/>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noWrap w:val="0"/>
            <w:vAlign w:val="center"/>
          </w:tcPr>
          <w:p>
            <w:pPr>
              <w:snapToGrid w:val="0"/>
              <w:ind w:firstLine="420"/>
              <w:jc w:val="center"/>
              <w:rPr>
                <w:rFonts w:hint="eastAsia" w:ascii="宋体" w:hAnsi="宋体" w:cs="宋体"/>
                <w:color w:val="auto"/>
                <w:szCs w:val="21"/>
                <w:highlight w:val="none"/>
              </w:rPr>
            </w:pPr>
            <w:r>
              <w:rPr>
                <w:rFonts w:hint="eastAsia" w:ascii="宋体" w:hAnsi="宋体" w:cs="宋体"/>
                <w:color w:val="auto"/>
                <w:szCs w:val="21"/>
                <w:highlight w:val="none"/>
              </w:rPr>
              <w:t>第二节</w:t>
            </w:r>
          </w:p>
          <w:p>
            <w:pPr>
              <w:widowControl/>
              <w:autoSpaceDE w:val="0"/>
              <w:autoSpaceDN w:val="0"/>
              <w:adjustRightInd w:val="0"/>
              <w:ind w:firstLine="440"/>
              <w:jc w:val="center"/>
              <w:rPr>
                <w:rFonts w:hint="eastAsia" w:ascii="华文楷体" w:hAnsi="华文楷体" w:eastAsia="华文楷体" w:cs="华文楷体"/>
                <w:color w:val="auto"/>
                <w:kern w:val="0"/>
                <w:sz w:val="22"/>
                <w:szCs w:val="21"/>
                <w:highlight w:val="none"/>
              </w:rPr>
            </w:pPr>
            <w:r>
              <w:rPr>
                <w:rFonts w:hint="eastAsia" w:ascii="宋体" w:hAnsi="宋体" w:cs="宋体"/>
                <w:color w:val="auto"/>
                <w:kern w:val="0"/>
                <w:sz w:val="22"/>
                <w:szCs w:val="21"/>
                <w:highlight w:val="none"/>
              </w:rPr>
              <w:t>第11.1款</w:t>
            </w:r>
          </w:p>
        </w:tc>
        <w:tc>
          <w:tcPr>
            <w:tcW w:w="2362" w:type="dxa"/>
            <w:noWrap w:val="0"/>
            <w:vAlign w:val="center"/>
          </w:tcPr>
          <w:p>
            <w:pPr>
              <w:adjustRightInd w:val="0"/>
              <w:snapToGrid w:val="0"/>
              <w:ind w:firstLine="420"/>
              <w:rPr>
                <w:rFonts w:hint="eastAsia" w:ascii="宋体" w:hAnsi="宋体"/>
                <w:color w:val="auto"/>
                <w:szCs w:val="21"/>
                <w:highlight w:val="none"/>
              </w:rPr>
            </w:pPr>
            <w:r>
              <w:rPr>
                <w:rFonts w:hint="eastAsia" w:ascii="宋体" w:hAnsi="宋体"/>
                <w:color w:val="auto"/>
                <w:szCs w:val="21"/>
                <w:highlight w:val="none"/>
              </w:rPr>
              <w:t>其他应当保密的信息</w:t>
            </w:r>
          </w:p>
        </w:tc>
        <w:tc>
          <w:tcPr>
            <w:tcW w:w="5954" w:type="dxa"/>
            <w:noWrap w:val="0"/>
            <w:vAlign w:val="center"/>
          </w:tcPr>
          <w:p>
            <w:pPr>
              <w:adjustRightInd w:val="0"/>
              <w:snapToGrid w:val="0"/>
              <w:ind w:firstLine="420"/>
              <w:jc w:val="left"/>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872" w:type="dxa"/>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第12.2款</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合同价款支付时间</w:t>
            </w:r>
          </w:p>
        </w:tc>
        <w:tc>
          <w:tcPr>
            <w:tcW w:w="5954" w:type="dxa"/>
            <w:noWrap w:val="0"/>
            <w:vAlign w:val="center"/>
          </w:tcPr>
          <w:p>
            <w:pPr>
              <w:adjustRightInd w:val="0"/>
              <w:snapToGrid w:val="0"/>
              <w:ind w:firstLine="420"/>
              <w:jc w:val="left"/>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872" w:type="dxa"/>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第13.2款</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履约保证金不予退还的情形</w:t>
            </w:r>
          </w:p>
        </w:tc>
        <w:tc>
          <w:tcPr>
            <w:tcW w:w="5954" w:type="dxa"/>
            <w:noWrap w:val="0"/>
            <w:vAlign w:val="center"/>
          </w:tcPr>
          <w:p>
            <w:pPr>
              <w:adjustRightInd w:val="0"/>
              <w:snapToGrid w:val="0"/>
              <w:ind w:firstLine="420"/>
              <w:jc w:val="left"/>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第13.3款</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履约保证金退还时间及逾期退还的违约金</w:t>
            </w:r>
          </w:p>
        </w:tc>
        <w:tc>
          <w:tcPr>
            <w:tcW w:w="5954" w:type="dxa"/>
            <w:noWrap w:val="0"/>
            <w:vAlign w:val="center"/>
          </w:tcPr>
          <w:p>
            <w:pPr>
              <w:adjustRightInd w:val="0"/>
              <w:snapToGrid w:val="0"/>
              <w:ind w:firstLine="420"/>
              <w:jc w:val="left"/>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872" w:type="dxa"/>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第14.1（3）项</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运行监督、维修期限</w:t>
            </w:r>
          </w:p>
        </w:tc>
        <w:tc>
          <w:tcPr>
            <w:tcW w:w="5954" w:type="dxa"/>
            <w:noWrap w:val="0"/>
            <w:vAlign w:val="center"/>
          </w:tcPr>
          <w:p>
            <w:pPr>
              <w:adjustRightInd w:val="0"/>
              <w:snapToGrid w:val="0"/>
              <w:ind w:firstLine="420"/>
              <w:jc w:val="left"/>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872" w:type="dxa"/>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第14.1（5）项</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货物回收的约定</w:t>
            </w:r>
          </w:p>
        </w:tc>
        <w:tc>
          <w:tcPr>
            <w:tcW w:w="5954" w:type="dxa"/>
            <w:noWrap w:val="0"/>
            <w:vAlign w:val="center"/>
          </w:tcPr>
          <w:p>
            <w:pPr>
              <w:adjustRightInd w:val="0"/>
              <w:snapToGrid w:val="0"/>
              <w:ind w:firstLine="420"/>
              <w:jc w:val="left"/>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第14.1（6）项</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乙方提供的其他服务</w:t>
            </w:r>
          </w:p>
        </w:tc>
        <w:tc>
          <w:tcPr>
            <w:tcW w:w="5954" w:type="dxa"/>
            <w:noWrap w:val="0"/>
            <w:vAlign w:val="center"/>
          </w:tcPr>
          <w:p>
            <w:pPr>
              <w:adjustRightInd w:val="0"/>
              <w:snapToGrid w:val="0"/>
              <w:ind w:firstLine="420"/>
              <w:jc w:val="left"/>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第15.1款</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修理、重作、更换相关具体规定</w:t>
            </w:r>
          </w:p>
        </w:tc>
        <w:tc>
          <w:tcPr>
            <w:tcW w:w="5954" w:type="dxa"/>
            <w:noWrap w:val="0"/>
            <w:vAlign w:val="center"/>
          </w:tcPr>
          <w:p>
            <w:pPr>
              <w:adjustRightInd w:val="0"/>
              <w:snapToGrid w:val="0"/>
              <w:ind w:firstLine="420"/>
              <w:jc w:val="left"/>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第15.2（2）项</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迟延交货赔偿费</w:t>
            </w:r>
          </w:p>
        </w:tc>
        <w:tc>
          <w:tcPr>
            <w:tcW w:w="5954" w:type="dxa"/>
            <w:noWrap w:val="0"/>
            <w:vAlign w:val="center"/>
          </w:tcPr>
          <w:p>
            <w:pPr>
              <w:adjustRightInd w:val="0"/>
              <w:snapToGrid w:val="0"/>
              <w:ind w:firstLine="420"/>
              <w:jc w:val="left"/>
              <w:rPr>
                <w:rFonts w:hint="eastAsia" w:ascii="宋体" w:hAnsi="宋体"/>
                <w:color w:val="auto"/>
                <w:szCs w:val="21"/>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第15.3款</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逾期付款利息</w:t>
            </w:r>
          </w:p>
        </w:tc>
        <w:tc>
          <w:tcPr>
            <w:tcW w:w="5954" w:type="dxa"/>
            <w:noWrap w:val="0"/>
            <w:vAlign w:val="center"/>
          </w:tcPr>
          <w:p>
            <w:pPr>
              <w:adjustRightInd w:val="0"/>
              <w:snapToGrid w:val="0"/>
              <w:ind w:firstLine="420"/>
              <w:jc w:val="left"/>
              <w:rPr>
                <w:rFonts w:hint="eastAsia" w:ascii="宋体" w:hAnsi="宋体"/>
                <w:color w:val="auto"/>
                <w:szCs w:val="21"/>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872" w:type="dxa"/>
            <w:tcBorders>
              <w:bottom w:val="single" w:color="auto" w:sz="2" w:space="0"/>
              <w:right w:val="single" w:color="auto" w:sz="2" w:space="0"/>
            </w:tcBorders>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第15.4款</w:t>
            </w:r>
          </w:p>
        </w:tc>
        <w:tc>
          <w:tcPr>
            <w:tcW w:w="2362" w:type="dxa"/>
            <w:tcBorders>
              <w:left w:val="single" w:color="auto" w:sz="2" w:space="0"/>
              <w:bottom w:val="single" w:color="auto" w:sz="2" w:space="0"/>
              <w:right w:val="single" w:color="auto" w:sz="2" w:space="0"/>
            </w:tcBorders>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其他违约责任</w:t>
            </w:r>
          </w:p>
        </w:tc>
        <w:tc>
          <w:tcPr>
            <w:tcW w:w="5954" w:type="dxa"/>
            <w:tcBorders>
              <w:left w:val="single" w:color="auto" w:sz="2" w:space="0"/>
              <w:bottom w:val="single" w:color="auto" w:sz="2" w:space="0"/>
            </w:tcBorders>
            <w:noWrap w:val="0"/>
            <w:vAlign w:val="center"/>
          </w:tcPr>
          <w:p>
            <w:pPr>
              <w:adjustRightInd w:val="0"/>
              <w:snapToGrid w:val="0"/>
              <w:ind w:firstLine="420"/>
              <w:jc w:val="left"/>
              <w:rPr>
                <w:rFonts w:hint="eastAsia" w:ascii="宋体" w:hAnsi="宋体"/>
                <w:color w:val="auto"/>
                <w:szCs w:val="21"/>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872" w:type="dxa"/>
            <w:tcBorders>
              <w:top w:val="single" w:color="auto" w:sz="2" w:space="0"/>
              <w:right w:val="single" w:color="auto" w:sz="2" w:space="0"/>
            </w:tcBorders>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第19.2款</w:t>
            </w:r>
          </w:p>
        </w:tc>
        <w:tc>
          <w:tcPr>
            <w:tcW w:w="2362" w:type="dxa"/>
            <w:tcBorders>
              <w:top w:val="single" w:color="auto" w:sz="2" w:space="0"/>
              <w:left w:val="single" w:color="auto" w:sz="2" w:space="0"/>
              <w:right w:val="single" w:color="auto" w:sz="2" w:space="0"/>
            </w:tcBorders>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解决争议的方法</w:t>
            </w:r>
          </w:p>
        </w:tc>
        <w:tc>
          <w:tcPr>
            <w:tcW w:w="5954" w:type="dxa"/>
            <w:tcBorders>
              <w:top w:val="single" w:color="auto" w:sz="2" w:space="0"/>
              <w:left w:val="single" w:color="auto" w:sz="2" w:space="0"/>
            </w:tcBorders>
            <w:noWrap w:val="0"/>
            <w:vAlign w:val="center"/>
          </w:tcPr>
          <w:p>
            <w:pPr>
              <w:autoSpaceDE w:val="0"/>
              <w:autoSpaceDN w:val="0"/>
              <w:adjustRightInd w:val="0"/>
              <w:snapToGrid w:val="0"/>
              <w:ind w:firstLine="420"/>
              <w:jc w:val="left"/>
              <w:rPr>
                <w:rFonts w:hint="eastAsia" w:ascii="宋体" w:hAnsi="宋体" w:cs="宋体"/>
                <w:iCs/>
                <w:color w:val="auto"/>
                <w:szCs w:val="21"/>
                <w:highlight w:val="none"/>
              </w:rPr>
            </w:pPr>
            <w:r>
              <w:rPr>
                <w:rFonts w:hint="eastAsia" w:ascii="宋体" w:hAnsi="宋体" w:cs="宋体"/>
                <w:iCs/>
                <w:color w:val="auto"/>
                <w:szCs w:val="21"/>
                <w:highlight w:val="none"/>
              </w:rPr>
              <w:t>因本合同及合同有关事项发生的争议，按下列第</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种方式解决：</w:t>
            </w:r>
          </w:p>
          <w:p>
            <w:pPr>
              <w:autoSpaceDE w:val="0"/>
              <w:autoSpaceDN w:val="0"/>
              <w:adjustRightInd w:val="0"/>
              <w:snapToGrid w:val="0"/>
              <w:ind w:firstLine="420"/>
              <w:jc w:val="left"/>
              <w:rPr>
                <w:rFonts w:hint="eastAsia" w:ascii="宋体" w:hAnsi="宋体" w:cs="宋体"/>
                <w:iCs/>
                <w:color w:val="auto"/>
                <w:szCs w:val="21"/>
                <w:highlight w:val="none"/>
              </w:rPr>
            </w:pPr>
            <w:r>
              <w:rPr>
                <w:rFonts w:hint="eastAsia" w:ascii="宋体" w:hAnsi="宋体" w:cs="宋体"/>
                <w:iCs/>
                <w:color w:val="auto"/>
                <w:szCs w:val="21"/>
                <w:highlight w:val="none"/>
              </w:rPr>
              <w:t>（1）向</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仲裁委员会申请仲裁，仲裁地点为</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w:t>
            </w:r>
          </w:p>
          <w:p>
            <w:pPr>
              <w:adjustRightInd w:val="0"/>
              <w:snapToGrid w:val="0"/>
              <w:ind w:firstLine="420"/>
              <w:jc w:val="left"/>
              <w:rPr>
                <w:rFonts w:hint="eastAsia" w:ascii="宋体" w:hAnsi="宋体"/>
                <w:color w:val="auto"/>
                <w:szCs w:val="21"/>
                <w:highlight w:val="none"/>
                <w:u w:val="single"/>
              </w:rPr>
            </w:pPr>
            <w:r>
              <w:rPr>
                <w:rFonts w:hint="eastAsia" w:ascii="宋体" w:hAnsi="宋体" w:cs="宋体"/>
                <w:iCs/>
                <w:color w:val="auto"/>
                <w:szCs w:val="21"/>
                <w:highlight w:val="none"/>
              </w:rPr>
              <w:t>（2）向</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87" w:hRule="atLeast"/>
        </w:trPr>
        <w:tc>
          <w:tcPr>
            <w:tcW w:w="1872" w:type="dxa"/>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第23.1款</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bCs/>
                <w:color w:val="auto"/>
                <w:szCs w:val="21"/>
                <w:highlight w:val="none"/>
              </w:rPr>
              <w:t>其他专用条款</w:t>
            </w:r>
          </w:p>
        </w:tc>
        <w:tc>
          <w:tcPr>
            <w:tcW w:w="5954" w:type="dxa"/>
            <w:noWrap w:val="0"/>
            <w:vAlign w:val="center"/>
          </w:tcPr>
          <w:p>
            <w:pPr>
              <w:adjustRightInd w:val="0"/>
              <w:snapToGrid w:val="0"/>
              <w:ind w:firstLine="420"/>
              <w:jc w:val="left"/>
              <w:rPr>
                <w:rFonts w:hint="eastAsia" w:ascii="宋体" w:hAnsi="宋体"/>
                <w:color w:val="auto"/>
                <w:szCs w:val="21"/>
                <w:highlight w:val="none"/>
              </w:rPr>
            </w:pPr>
          </w:p>
        </w:tc>
      </w:tr>
    </w:tbl>
    <w:p>
      <w:pPr>
        <w:widowControl/>
        <w:ind w:firstLine="420"/>
        <w:jc w:val="left"/>
        <w:rPr>
          <w:rFonts w:ascii="宋体" w:hAnsi="Courier New" w:cs="Courier New"/>
          <w:color w:val="auto"/>
          <w:szCs w:val="21"/>
          <w:highlight w:val="none"/>
        </w:rPr>
      </w:pPr>
    </w:p>
    <w:p>
      <w:pPr>
        <w:widowControl/>
        <w:ind w:firstLine="0" w:firstLineChars="0"/>
        <w:jc w:val="left"/>
        <w:rPr>
          <w:rFonts w:hint="eastAsia" w:ascii="宋体" w:hAnsi="Courier New" w:cs="Courier New"/>
          <w:color w:val="auto"/>
          <w:szCs w:val="21"/>
          <w:highlight w:val="none"/>
        </w:rPr>
      </w:pPr>
      <w:r>
        <w:rPr>
          <w:rFonts w:ascii="宋体" w:hAnsi="Courier New" w:cs="Courier New"/>
          <w:color w:val="auto"/>
          <w:szCs w:val="21"/>
          <w:highlight w:val="none"/>
        </w:rPr>
        <w:br w:type="page"/>
      </w:r>
    </w:p>
    <w:p>
      <w:pPr>
        <w:ind w:firstLine="0" w:firstLineChars="0"/>
        <w:rPr>
          <w:rFonts w:hint="eastAsia"/>
          <w:color w:val="auto"/>
          <w:highlight w:val="none"/>
        </w:rPr>
      </w:pPr>
      <w:bookmarkStart w:id="232" w:name="_Hlk92701478"/>
    </w:p>
    <w:bookmarkEnd w:id="232"/>
    <w:p>
      <w:pPr>
        <w:ind w:firstLine="0" w:firstLineChars="0"/>
        <w:rPr>
          <w:rFonts w:hint="eastAsia"/>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rFonts w:hint="eastAsia"/>
          <w:color w:val="auto"/>
          <w:highlight w:val="none"/>
        </w:rPr>
      </w:pPr>
    </w:p>
    <w:p>
      <w:pPr>
        <w:pStyle w:val="46"/>
        <w:ind w:left="0" w:leftChars="0" w:right="0" w:rightChars="0" w:firstLine="0" w:firstLineChars="0"/>
        <w:jc w:val="center"/>
        <w:rPr>
          <w:color w:val="auto"/>
          <w:highlight w:val="none"/>
        </w:rPr>
      </w:pPr>
      <w:bookmarkStart w:id="233" w:name="_Toc91512288"/>
      <w:bookmarkStart w:id="234" w:name="_Toc352700352"/>
      <w:bookmarkStart w:id="235" w:name="_Toc352700448"/>
      <w:r>
        <w:rPr>
          <w:rFonts w:hint="eastAsia"/>
          <w:color w:val="auto"/>
          <w:highlight w:val="none"/>
        </w:rPr>
        <w:t>第六章　投标文件格式</w:t>
      </w:r>
      <w:bookmarkEnd w:id="233"/>
      <w:bookmarkEnd w:id="234"/>
      <w:bookmarkEnd w:id="235"/>
    </w:p>
    <w:p>
      <w:pPr>
        <w:pStyle w:val="27"/>
        <w:ind w:firstLine="0" w:firstLineChars="0"/>
        <w:rPr>
          <w:rFonts w:hAnsi="宋体"/>
          <w:b/>
          <w:color w:val="auto"/>
          <w:sz w:val="32"/>
          <w:szCs w:val="32"/>
          <w:highlight w:val="none"/>
        </w:rPr>
      </w:pPr>
      <w:r>
        <w:rPr>
          <w:rFonts w:hAnsi="宋体"/>
          <w:color w:val="auto"/>
          <w:highlight w:val="none"/>
        </w:rPr>
        <w:br w:type="page"/>
      </w:r>
      <w:r>
        <w:rPr>
          <w:rFonts w:hAnsi="宋体"/>
          <w:color w:val="auto"/>
          <w:highlight w:val="none"/>
        </w:rPr>
        <w:t xml:space="preserve"> </w:t>
      </w:r>
      <w:r>
        <w:rPr>
          <w:rFonts w:hint="eastAsia" w:hAnsi="宋体"/>
          <w:b/>
          <w:color w:val="auto"/>
          <w:sz w:val="32"/>
          <w:szCs w:val="32"/>
          <w:highlight w:val="none"/>
        </w:rPr>
        <w:t>一、资格文件</w:t>
      </w:r>
    </w:p>
    <w:p>
      <w:pPr>
        <w:tabs>
          <w:tab w:val="left" w:pos="3402"/>
        </w:tabs>
        <w:spacing w:line="320" w:lineRule="exact"/>
        <w:ind w:firstLine="0" w:firstLineChars="0"/>
        <w:jc w:val="left"/>
        <w:rPr>
          <w:rFonts w:hint="eastAsia" w:ascii="仿宋_GB2312" w:hAnsi="Adobe 仿宋 Std R" w:eastAsia="仿宋_GB2312"/>
          <w:b/>
          <w:color w:val="auto"/>
          <w:spacing w:val="10"/>
          <w:sz w:val="32"/>
          <w:szCs w:val="32"/>
          <w:highlight w:val="none"/>
        </w:rPr>
      </w:pPr>
    </w:p>
    <w:p>
      <w:pPr>
        <w:tabs>
          <w:tab w:val="left" w:pos="3402"/>
        </w:tabs>
        <w:spacing w:line="240" w:lineRule="auto"/>
        <w:ind w:firstLine="602" w:firstLineChars="0"/>
        <w:jc w:val="center"/>
        <w:rPr>
          <w:rFonts w:ascii="仿宋_GB2312" w:hAnsi="Adobe 仿宋 Std R" w:eastAsia="仿宋_GB2312"/>
          <w:b/>
          <w:color w:val="auto"/>
          <w:spacing w:val="10"/>
          <w:sz w:val="32"/>
          <w:szCs w:val="32"/>
          <w:highlight w:val="none"/>
        </w:rPr>
      </w:pPr>
      <w:r>
        <w:rPr>
          <w:rFonts w:hint="eastAsia" w:ascii="仿宋_GB2312" w:hAnsi="Adobe 仿宋 Std R" w:eastAsia="仿宋_GB2312"/>
          <w:b/>
          <w:color w:val="auto"/>
          <w:spacing w:val="10"/>
          <w:sz w:val="32"/>
          <w:szCs w:val="32"/>
          <w:highlight w:val="none"/>
        </w:rPr>
        <w:t>投标人具备参加政府采购活动条件的承诺书</w:t>
      </w:r>
      <w:r>
        <w:rPr>
          <w:rFonts w:hint="eastAsia" w:ascii="仿宋_GB2312" w:hAnsi="Adobe 仿宋 Std R" w:eastAsia="仿宋_GB2312" w:cs="黑体"/>
          <w:bCs/>
          <w:color w:val="auto"/>
          <w:sz w:val="24"/>
          <w:highlight w:val="none"/>
        </w:rPr>
        <w:t>(格式)</w:t>
      </w:r>
    </w:p>
    <w:p>
      <w:pPr>
        <w:tabs>
          <w:tab w:val="left" w:pos="3402"/>
        </w:tabs>
        <w:spacing w:line="240" w:lineRule="auto"/>
        <w:ind w:firstLine="0" w:firstLineChars="0"/>
        <w:jc w:val="left"/>
        <w:rPr>
          <w:rFonts w:ascii="仿宋_GB2312" w:hAnsi="仿宋" w:eastAsia="仿宋_GB2312"/>
          <w:b/>
          <w:color w:val="auto"/>
          <w:spacing w:val="10"/>
          <w:szCs w:val="21"/>
          <w:highlight w:val="none"/>
        </w:rPr>
      </w:pPr>
    </w:p>
    <w:p>
      <w:pPr>
        <w:spacing w:line="520" w:lineRule="exact"/>
        <w:ind w:firstLine="0" w:firstLineChars="0"/>
        <w:rPr>
          <w:rFonts w:ascii="宋体" w:hAnsi="宋体"/>
          <w:bCs/>
          <w:color w:val="auto"/>
          <w:szCs w:val="22"/>
          <w:highlight w:val="none"/>
        </w:rPr>
      </w:pPr>
      <w:r>
        <w:rPr>
          <w:rFonts w:hint="eastAsia" w:ascii="宋体" w:hAnsi="宋体"/>
          <w:bCs/>
          <w:color w:val="auto"/>
          <w:szCs w:val="22"/>
          <w:highlight w:val="none"/>
        </w:rPr>
        <w:t>钦州市政府采购中心：</w:t>
      </w:r>
    </w:p>
    <w:p>
      <w:pPr>
        <w:spacing w:line="520" w:lineRule="exact"/>
        <w:ind w:firstLine="420" w:firstLineChars="0"/>
        <w:rPr>
          <w:rFonts w:ascii="宋体" w:hAnsi="宋体"/>
          <w:bCs/>
          <w:color w:val="auto"/>
          <w:szCs w:val="22"/>
          <w:highlight w:val="none"/>
        </w:rPr>
      </w:pPr>
      <w:r>
        <w:rPr>
          <w:rFonts w:hint="eastAsia" w:ascii="宋体" w:hAnsi="宋体"/>
          <w:bCs/>
          <w:color w:val="auto"/>
          <w:szCs w:val="22"/>
          <w:highlight w:val="none"/>
        </w:rPr>
        <w:t>根据《中华人民共和国政府采购法》实施条例第十七条的规定，现郑重承诺：</w:t>
      </w:r>
    </w:p>
    <w:p>
      <w:pPr>
        <w:spacing w:line="520" w:lineRule="exact"/>
        <w:ind w:firstLine="420" w:firstLineChars="0"/>
        <w:rPr>
          <w:rFonts w:ascii="宋体" w:hAnsi="宋体"/>
          <w:bCs/>
          <w:color w:val="auto"/>
          <w:szCs w:val="22"/>
          <w:highlight w:val="none"/>
        </w:rPr>
      </w:pPr>
      <w:r>
        <w:rPr>
          <w:rFonts w:ascii="宋体" w:hAnsi="宋体"/>
          <w:bCs/>
          <w:color w:val="auto"/>
          <w:szCs w:val="22"/>
          <w:highlight w:val="none"/>
          <w:u w:val="single"/>
        </w:rPr>
        <w:t>(</w:t>
      </w:r>
      <w:r>
        <w:rPr>
          <w:rFonts w:hint="eastAsia" w:ascii="宋体" w:hAnsi="宋体"/>
          <w:bCs/>
          <w:color w:val="auto"/>
          <w:szCs w:val="22"/>
          <w:highlight w:val="none"/>
          <w:u w:val="single"/>
        </w:rPr>
        <w:t>投标人名称)</w:t>
      </w:r>
      <w:r>
        <w:rPr>
          <w:rFonts w:hint="eastAsia" w:ascii="宋体" w:hAnsi="宋体"/>
          <w:bCs/>
          <w:color w:val="auto"/>
          <w:szCs w:val="22"/>
          <w:highlight w:val="none"/>
        </w:rPr>
        <w:t>具有良好的商业信誉和健全的财务会计制度，具有履行合同所必需的设备和专业技术能力</w:t>
      </w:r>
      <w:r>
        <w:rPr>
          <w:rFonts w:hint="eastAsia" w:ascii="宋体" w:hAnsi="宋体"/>
          <w:bCs/>
          <w:color w:val="auto"/>
          <w:szCs w:val="22"/>
          <w:highlight w:val="none"/>
          <w:lang w:eastAsia="zh-CN"/>
        </w:rPr>
        <w:t>，具</w:t>
      </w:r>
      <w:r>
        <w:rPr>
          <w:rFonts w:hint="eastAsia" w:ascii="宋体" w:hAnsi="宋体"/>
          <w:bCs/>
          <w:color w:val="auto"/>
          <w:szCs w:val="22"/>
          <w:highlight w:val="none"/>
        </w:rPr>
        <w:t>有依法缴纳税收和社会保障资金的良好记录。</w:t>
      </w:r>
    </w:p>
    <w:p>
      <w:pPr>
        <w:spacing w:line="520" w:lineRule="exact"/>
        <w:ind w:firstLine="420" w:firstLineChars="0"/>
        <w:rPr>
          <w:rFonts w:ascii="宋体" w:hAnsi="宋体"/>
          <w:bCs/>
          <w:color w:val="auto"/>
          <w:szCs w:val="22"/>
          <w:highlight w:val="none"/>
        </w:rPr>
      </w:pPr>
      <w:r>
        <w:rPr>
          <w:rFonts w:hint="eastAsia" w:ascii="宋体" w:hAnsi="宋体"/>
          <w:bCs/>
          <w:color w:val="auto"/>
          <w:szCs w:val="22"/>
          <w:highlight w:val="none"/>
        </w:rPr>
        <w:t>本单位对上述承诺内容事项真实性负责，如有虚假，由我单位承担相关法律责任。</w:t>
      </w:r>
    </w:p>
    <w:p>
      <w:pPr>
        <w:spacing w:line="520" w:lineRule="exact"/>
        <w:ind w:firstLine="420" w:firstLineChars="0"/>
        <w:rPr>
          <w:rFonts w:ascii="宋体" w:hAnsi="宋体"/>
          <w:bCs/>
          <w:color w:val="auto"/>
          <w:szCs w:val="22"/>
          <w:highlight w:val="none"/>
        </w:rPr>
      </w:pPr>
      <w:r>
        <w:rPr>
          <w:rFonts w:hint="eastAsia" w:ascii="宋体" w:hAnsi="宋体"/>
          <w:bCs/>
          <w:color w:val="auto"/>
          <w:szCs w:val="22"/>
          <w:highlight w:val="none"/>
        </w:rPr>
        <w:t>特此承诺。</w:t>
      </w:r>
    </w:p>
    <w:p>
      <w:pPr>
        <w:spacing w:line="240" w:lineRule="auto"/>
        <w:ind w:firstLine="420" w:firstLineChars="0"/>
        <w:rPr>
          <w:rFonts w:ascii="宋体" w:hAnsi="宋体"/>
          <w:bCs/>
          <w:color w:val="auto"/>
          <w:szCs w:val="22"/>
          <w:highlight w:val="none"/>
        </w:rPr>
      </w:pPr>
    </w:p>
    <w:p>
      <w:pPr>
        <w:spacing w:line="240" w:lineRule="auto"/>
        <w:ind w:firstLine="420" w:firstLineChars="0"/>
        <w:rPr>
          <w:rFonts w:ascii="宋体" w:hAnsi="宋体"/>
          <w:bCs/>
          <w:color w:val="auto"/>
          <w:szCs w:val="22"/>
          <w:highlight w:val="none"/>
        </w:rPr>
      </w:pPr>
    </w:p>
    <w:p>
      <w:pPr>
        <w:spacing w:line="240" w:lineRule="auto"/>
        <w:ind w:firstLine="420" w:firstLineChars="0"/>
        <w:rPr>
          <w:rFonts w:hint="eastAsia" w:ascii="宋体" w:hAnsi="宋体"/>
          <w:bCs/>
          <w:color w:val="auto"/>
          <w:szCs w:val="22"/>
          <w:highlight w:val="none"/>
        </w:rPr>
      </w:pPr>
    </w:p>
    <w:p>
      <w:pPr>
        <w:spacing w:line="440" w:lineRule="exact"/>
        <w:ind w:right="1050" w:rightChars="500" w:firstLine="5250" w:firstLineChars="2500"/>
        <w:jc w:val="left"/>
        <w:rPr>
          <w:rFonts w:hint="eastAsia" w:ascii="宋体" w:hAnsi="宋体"/>
          <w:bCs/>
          <w:color w:val="auto"/>
          <w:highlight w:val="none"/>
        </w:rPr>
      </w:pPr>
      <w:r>
        <w:rPr>
          <w:rFonts w:hint="eastAsia" w:ascii="宋体" w:hAnsi="宋体"/>
          <w:bCs/>
          <w:color w:val="auto"/>
          <w:szCs w:val="22"/>
          <w:highlight w:val="none"/>
        </w:rPr>
        <w:t xml:space="preserve"> </w:t>
      </w:r>
      <w:r>
        <w:rPr>
          <w:rFonts w:ascii="宋体" w:hAnsi="宋体"/>
          <w:bCs/>
          <w:color w:val="auto"/>
          <w:szCs w:val="22"/>
          <w:highlight w:val="none"/>
        </w:rPr>
        <w:t xml:space="preserve">   </w:t>
      </w:r>
      <w:r>
        <w:rPr>
          <w:rFonts w:hint="eastAsia" w:ascii="宋体" w:hAnsi="宋体"/>
          <w:bCs/>
          <w:color w:val="auto"/>
          <w:highlight w:val="none"/>
        </w:rPr>
        <w:t>投标人（盖章）：</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p>
    <w:p>
      <w:pPr>
        <w:spacing w:line="440" w:lineRule="exact"/>
        <w:ind w:right="420" w:firstLine="0" w:firstLineChars="0"/>
        <w:jc w:val="center"/>
        <w:rPr>
          <w:rFonts w:ascii="宋体" w:hAnsi="宋体"/>
          <w:bCs/>
          <w:color w:val="auto"/>
          <w:highlight w:val="none"/>
        </w:rPr>
      </w:pPr>
      <w:r>
        <w:rPr>
          <w:rFonts w:hint="eastAsia" w:ascii="宋体" w:hAnsi="宋体"/>
          <w:bCs/>
          <w:color w:val="auto"/>
          <w:highlight w:val="none"/>
        </w:rPr>
        <w:t xml:space="preserve"> </w:t>
      </w:r>
      <w:r>
        <w:rPr>
          <w:rFonts w:ascii="宋体" w:hAnsi="宋体"/>
          <w:bCs/>
          <w:color w:val="auto"/>
          <w:highlight w:val="none"/>
        </w:rPr>
        <w:t xml:space="preserve">                                              </w:t>
      </w:r>
      <w:r>
        <w:rPr>
          <w:rFonts w:hint="eastAsia" w:ascii="宋体" w:hAnsi="宋体"/>
          <w:bCs/>
          <w:color w:val="auto"/>
          <w:highlight w:val="none"/>
        </w:rPr>
        <w:t>日期：</w:t>
      </w:r>
      <w:r>
        <w:rPr>
          <w:rFonts w:hint="eastAsia" w:ascii="宋体" w:hAnsi="宋体"/>
          <w:bCs/>
          <w:color w:val="auto"/>
          <w:highlight w:val="none"/>
          <w:u w:val="single"/>
        </w:rPr>
        <w:t xml:space="preserve">       </w:t>
      </w:r>
      <w:r>
        <w:rPr>
          <w:rFonts w:hint="eastAsia" w:ascii="宋体" w:hAnsi="宋体"/>
          <w:bCs/>
          <w:color w:val="auto"/>
          <w:highlight w:val="none"/>
        </w:rPr>
        <w:t>年</w:t>
      </w:r>
      <w:r>
        <w:rPr>
          <w:rFonts w:hint="eastAsia" w:ascii="宋体" w:hAnsi="宋体"/>
          <w:bCs/>
          <w:color w:val="auto"/>
          <w:highlight w:val="none"/>
          <w:u w:val="single"/>
        </w:rPr>
        <w:t xml:space="preserve">    </w:t>
      </w:r>
      <w:r>
        <w:rPr>
          <w:rFonts w:hint="eastAsia" w:ascii="宋体" w:hAnsi="宋体"/>
          <w:bCs/>
          <w:color w:val="auto"/>
          <w:highlight w:val="none"/>
        </w:rPr>
        <w:t>月</w:t>
      </w:r>
      <w:r>
        <w:rPr>
          <w:rFonts w:hint="eastAsia" w:ascii="宋体" w:hAnsi="宋体"/>
          <w:bCs/>
          <w:color w:val="auto"/>
          <w:highlight w:val="none"/>
          <w:u w:val="single"/>
        </w:rPr>
        <w:t xml:space="preserve">    </w:t>
      </w:r>
      <w:r>
        <w:rPr>
          <w:rFonts w:hint="eastAsia" w:ascii="宋体" w:hAnsi="宋体"/>
          <w:bCs/>
          <w:color w:val="auto"/>
          <w:highlight w:val="none"/>
        </w:rPr>
        <w:t>日</w:t>
      </w:r>
    </w:p>
    <w:p>
      <w:pPr>
        <w:ind w:firstLine="0" w:firstLineChars="0"/>
        <w:rPr>
          <w:color w:val="auto"/>
          <w:highlight w:val="none"/>
        </w:rPr>
      </w:pPr>
    </w:p>
    <w:p>
      <w:pPr>
        <w:ind w:firstLine="0" w:firstLineChars="0"/>
        <w:rPr>
          <w:color w:val="auto"/>
          <w:highlight w:val="none"/>
        </w:rPr>
      </w:pPr>
    </w:p>
    <w:p>
      <w:pPr>
        <w:ind w:firstLine="0" w:firstLineChars="0"/>
        <w:rPr>
          <w:rFonts w:hint="eastAsia"/>
          <w:color w:val="auto"/>
          <w:highlight w:val="none"/>
        </w:rPr>
      </w:pPr>
    </w:p>
    <w:p>
      <w:pPr>
        <w:tabs>
          <w:tab w:val="left" w:pos="3402"/>
        </w:tabs>
        <w:ind w:firstLine="683"/>
        <w:jc w:val="center"/>
        <w:rPr>
          <w:rFonts w:ascii="仿宋_GB2312" w:hAnsi="仿宋" w:eastAsia="仿宋_GB2312"/>
          <w:b/>
          <w:color w:val="auto"/>
          <w:spacing w:val="10"/>
          <w:sz w:val="28"/>
          <w:szCs w:val="28"/>
          <w:highlight w:val="none"/>
        </w:rPr>
      </w:pPr>
      <w:r>
        <w:rPr>
          <w:rFonts w:hint="eastAsia" w:ascii="仿宋_GB2312" w:hAnsi="仿宋" w:eastAsia="仿宋_GB2312"/>
          <w:b/>
          <w:color w:val="auto"/>
          <w:spacing w:val="10"/>
          <w:sz w:val="32"/>
          <w:szCs w:val="32"/>
          <w:highlight w:val="none"/>
        </w:rPr>
        <w:t>无重大违法记录的书面声明</w:t>
      </w:r>
      <w:r>
        <w:rPr>
          <w:rFonts w:hint="eastAsia" w:ascii="仿宋_GB2312" w:hAnsi="仿宋" w:eastAsia="仿宋_GB2312"/>
          <w:bCs/>
          <w:color w:val="auto"/>
          <w:spacing w:val="10"/>
          <w:sz w:val="24"/>
          <w:highlight w:val="none"/>
        </w:rPr>
        <w:t>（格式）</w:t>
      </w:r>
    </w:p>
    <w:p>
      <w:pPr>
        <w:tabs>
          <w:tab w:val="left" w:pos="3402"/>
        </w:tabs>
        <w:ind w:firstLine="0" w:firstLineChars="0"/>
        <w:jc w:val="left"/>
        <w:rPr>
          <w:rFonts w:hint="eastAsia" w:ascii="仿宋_GB2312" w:hAnsi="仿宋" w:eastAsia="仿宋_GB2312"/>
          <w:b/>
          <w:color w:val="auto"/>
          <w:spacing w:val="10"/>
          <w:szCs w:val="21"/>
          <w:highlight w:val="none"/>
        </w:rPr>
      </w:pPr>
    </w:p>
    <w:p>
      <w:pPr>
        <w:spacing w:line="440" w:lineRule="exact"/>
        <w:ind w:firstLine="0" w:firstLineChars="0"/>
        <w:rPr>
          <w:rFonts w:hint="eastAsia" w:ascii="宋体" w:hAnsi="宋体"/>
          <w:bCs/>
          <w:color w:val="auto"/>
          <w:highlight w:val="none"/>
        </w:rPr>
      </w:pPr>
      <w:r>
        <w:rPr>
          <w:rFonts w:hint="eastAsia" w:ascii="宋体" w:hAnsi="宋体"/>
          <w:bCs/>
          <w:color w:val="auto"/>
          <w:highlight w:val="none"/>
        </w:rPr>
        <w:t>钦州市政府采购中心：</w:t>
      </w:r>
    </w:p>
    <w:p>
      <w:pPr>
        <w:spacing w:line="440" w:lineRule="exact"/>
        <w:ind w:firstLine="420"/>
        <w:rPr>
          <w:rFonts w:hint="eastAsia" w:ascii="宋体" w:hAnsi="宋体"/>
          <w:bCs/>
          <w:color w:val="auto"/>
          <w:highlight w:val="none"/>
        </w:rPr>
      </w:pPr>
      <w:r>
        <w:rPr>
          <w:rFonts w:hint="eastAsia" w:ascii="宋体" w:hAnsi="宋体"/>
          <w:bCs/>
          <w:color w:val="auto"/>
          <w:highlight w:val="none"/>
        </w:rPr>
        <w:t>根据《中华人民共和国政府采购法实施条例》第十七条第一款第(四</w:t>
      </w:r>
      <w:r>
        <w:rPr>
          <w:rFonts w:ascii="宋体" w:hAnsi="宋体"/>
          <w:bCs/>
          <w:color w:val="auto"/>
          <w:highlight w:val="none"/>
        </w:rPr>
        <w:t>）</w:t>
      </w:r>
      <w:r>
        <w:rPr>
          <w:rFonts w:hint="eastAsia" w:ascii="宋体" w:hAnsi="宋体"/>
          <w:bCs/>
          <w:color w:val="auto"/>
          <w:highlight w:val="none"/>
        </w:rPr>
        <w:t>项的规定，</w:t>
      </w:r>
      <w:r>
        <w:rPr>
          <w:rFonts w:hint="eastAsia" w:ascii="宋体" w:hAnsi="宋体"/>
          <w:bCs/>
          <w:color w:val="auto"/>
          <w:highlight w:val="none"/>
          <w:u w:val="single"/>
        </w:rPr>
        <w:t>（投标人名称）</w:t>
      </w:r>
      <w:r>
        <w:rPr>
          <w:rFonts w:hint="eastAsia" w:ascii="宋体" w:hAnsi="宋体"/>
          <w:bCs/>
          <w:color w:val="auto"/>
          <w:highlight w:val="none"/>
        </w:rPr>
        <w:t>郑重声明：</w:t>
      </w:r>
    </w:p>
    <w:p>
      <w:pPr>
        <w:spacing w:line="440" w:lineRule="exact"/>
        <w:ind w:firstLine="420"/>
        <w:rPr>
          <w:rFonts w:hint="eastAsia" w:ascii="宋体" w:hAnsi="宋体"/>
          <w:bCs/>
          <w:color w:val="auto"/>
          <w:highlight w:val="none"/>
        </w:rPr>
      </w:pPr>
      <w:r>
        <w:rPr>
          <w:rFonts w:ascii="宋体" w:hAnsi="宋体"/>
          <w:bCs/>
          <w:color w:val="auto"/>
          <w:highlight w:val="none"/>
          <w:u w:val="single"/>
        </w:rPr>
        <w:t>(</w:t>
      </w:r>
      <w:r>
        <w:rPr>
          <w:rFonts w:hint="eastAsia" w:ascii="宋体" w:hAnsi="宋体"/>
          <w:bCs/>
          <w:color w:val="auto"/>
          <w:highlight w:val="none"/>
          <w:u w:val="single"/>
        </w:rPr>
        <w:t>投标人名称)</w:t>
      </w:r>
      <w:r>
        <w:rPr>
          <w:rFonts w:hint="eastAsia" w:ascii="宋体" w:hAnsi="宋体"/>
          <w:bCs/>
          <w:color w:val="auto"/>
          <w:highlight w:val="none"/>
        </w:rPr>
        <w:t>在参加本次政府采购活动前3年内在经营活动中没有重大违法记录（</w:t>
      </w:r>
      <w:r>
        <w:rPr>
          <w:rFonts w:hint="eastAsia" w:ascii="宋体" w:hAnsi="宋体"/>
          <w:bCs/>
          <w:color w:val="auto"/>
          <w:highlight w:val="none"/>
          <w:u w:val="single"/>
        </w:rPr>
        <w:t>即因违法经营受到刑事处罚或者责令停产停业、吊销许可证或者执照、较大数额罚款等行政处罚的行为</w:t>
      </w:r>
      <w:r>
        <w:rPr>
          <w:rFonts w:hint="eastAsia" w:ascii="宋体" w:hAnsi="宋体"/>
          <w:bCs/>
          <w:color w:val="auto"/>
          <w:highlight w:val="none"/>
        </w:rPr>
        <w:t>）。</w:t>
      </w:r>
    </w:p>
    <w:p>
      <w:pPr>
        <w:spacing w:line="440" w:lineRule="exact"/>
        <w:ind w:firstLine="420"/>
        <w:rPr>
          <w:rFonts w:hint="eastAsia" w:ascii="宋体" w:hAnsi="宋体"/>
          <w:bCs/>
          <w:color w:val="auto"/>
          <w:highlight w:val="none"/>
        </w:rPr>
      </w:pPr>
      <w:r>
        <w:rPr>
          <w:rFonts w:hint="eastAsia" w:ascii="宋体" w:hAnsi="宋体"/>
          <w:bCs/>
          <w:color w:val="auto"/>
          <w:highlight w:val="none"/>
        </w:rPr>
        <w:t>本单位对上述声明内容事项真实性负责，如有虚假，由我单位承担相关法律责任。</w:t>
      </w:r>
    </w:p>
    <w:p>
      <w:pPr>
        <w:ind w:firstLine="420"/>
        <w:rPr>
          <w:rFonts w:hint="eastAsia" w:ascii="宋体" w:hAnsi="宋体"/>
          <w:bCs/>
          <w:color w:val="auto"/>
          <w:highlight w:val="none"/>
        </w:rPr>
      </w:pPr>
      <w:r>
        <w:rPr>
          <w:rFonts w:hint="eastAsia" w:ascii="宋体" w:hAnsi="宋体"/>
          <w:bCs/>
          <w:color w:val="auto"/>
          <w:highlight w:val="none"/>
        </w:rPr>
        <w:t>特此声明。</w:t>
      </w:r>
    </w:p>
    <w:p>
      <w:pPr>
        <w:ind w:firstLine="420"/>
        <w:rPr>
          <w:rFonts w:ascii="宋体" w:hAnsi="宋体"/>
          <w:bCs/>
          <w:color w:val="auto"/>
          <w:highlight w:val="none"/>
        </w:rPr>
      </w:pPr>
    </w:p>
    <w:p>
      <w:pPr>
        <w:ind w:firstLine="420"/>
        <w:rPr>
          <w:rFonts w:ascii="宋体" w:hAnsi="宋体"/>
          <w:bCs/>
          <w:color w:val="auto"/>
          <w:highlight w:val="none"/>
        </w:rPr>
      </w:pPr>
    </w:p>
    <w:p>
      <w:pPr>
        <w:ind w:firstLine="420"/>
        <w:rPr>
          <w:rFonts w:hint="eastAsia" w:ascii="宋体" w:hAnsi="宋体"/>
          <w:bCs/>
          <w:color w:val="auto"/>
          <w:highlight w:val="none"/>
        </w:rPr>
      </w:pPr>
    </w:p>
    <w:p>
      <w:pPr>
        <w:ind w:right="1050" w:rightChars="500" w:firstLine="4819" w:firstLineChars="2295"/>
        <w:jc w:val="left"/>
        <w:rPr>
          <w:rFonts w:hint="eastAsia" w:ascii="宋体" w:hAnsi="宋体"/>
          <w:bCs/>
          <w:color w:val="auto"/>
          <w:highlight w:val="none"/>
        </w:rPr>
      </w:pPr>
      <w:r>
        <w:rPr>
          <w:rFonts w:hint="eastAsia" w:ascii="宋体" w:hAnsi="宋体"/>
          <w:bCs/>
          <w:color w:val="auto"/>
          <w:highlight w:val="none"/>
        </w:rPr>
        <w:t xml:space="preserve"> </w:t>
      </w:r>
      <w:r>
        <w:rPr>
          <w:rFonts w:ascii="宋体" w:hAnsi="宋体"/>
          <w:bCs/>
          <w:color w:val="auto"/>
          <w:highlight w:val="none"/>
        </w:rPr>
        <w:t xml:space="preserve">          </w:t>
      </w:r>
      <w:r>
        <w:rPr>
          <w:rFonts w:hint="eastAsia" w:ascii="宋体" w:hAnsi="宋体"/>
          <w:bCs/>
          <w:color w:val="auto"/>
          <w:highlight w:val="none"/>
        </w:rPr>
        <w:t>投标人（盖章）：</w:t>
      </w:r>
      <w:r>
        <w:rPr>
          <w:rFonts w:hint="eastAsia" w:ascii="宋体" w:hAnsi="宋体"/>
          <w:bCs/>
          <w:color w:val="auto"/>
          <w:highlight w:val="none"/>
          <w:u w:val="single"/>
        </w:rPr>
        <w:t xml:space="preserve">          </w:t>
      </w:r>
      <w:r>
        <w:rPr>
          <w:rFonts w:ascii="宋体" w:hAnsi="宋体"/>
          <w:bCs/>
          <w:color w:val="auto"/>
          <w:highlight w:val="none"/>
          <w:u w:val="single"/>
        </w:rPr>
        <w:t xml:space="preserve"> </w:t>
      </w:r>
    </w:p>
    <w:p>
      <w:pPr>
        <w:ind w:right="1050" w:rightChars="500" w:firstLine="420"/>
        <w:jc w:val="right"/>
        <w:rPr>
          <w:rFonts w:ascii="宋体" w:hAnsi="宋体"/>
          <w:bCs/>
          <w:color w:val="auto"/>
          <w:highlight w:val="none"/>
        </w:rPr>
      </w:pPr>
      <w:r>
        <w:rPr>
          <w:rFonts w:hint="eastAsia" w:ascii="宋体" w:hAnsi="宋体"/>
          <w:bCs/>
          <w:color w:val="auto"/>
          <w:highlight w:val="none"/>
        </w:rPr>
        <w:t>日期：</w:t>
      </w:r>
      <w:bookmarkStart w:id="236" w:name="_Hlk112336125"/>
      <w:r>
        <w:rPr>
          <w:rFonts w:hint="eastAsia" w:ascii="宋体" w:hAnsi="宋体"/>
          <w:bCs/>
          <w:color w:val="auto"/>
          <w:highlight w:val="none"/>
          <w:u w:val="single"/>
        </w:rPr>
        <w:t xml:space="preserve">      </w:t>
      </w:r>
      <w:r>
        <w:rPr>
          <w:rFonts w:hint="eastAsia" w:ascii="宋体" w:hAnsi="宋体"/>
          <w:bCs/>
          <w:color w:val="auto"/>
          <w:highlight w:val="none"/>
        </w:rPr>
        <w:t>年</w:t>
      </w:r>
      <w:r>
        <w:rPr>
          <w:rFonts w:hint="eastAsia" w:ascii="宋体" w:hAnsi="宋体"/>
          <w:bCs/>
          <w:color w:val="auto"/>
          <w:highlight w:val="none"/>
          <w:u w:val="single"/>
        </w:rPr>
        <w:t xml:space="preserve">    </w:t>
      </w:r>
      <w:r>
        <w:rPr>
          <w:rFonts w:hint="eastAsia" w:ascii="宋体" w:hAnsi="宋体"/>
          <w:bCs/>
          <w:color w:val="auto"/>
          <w:highlight w:val="none"/>
        </w:rPr>
        <w:t>月</w:t>
      </w:r>
      <w:r>
        <w:rPr>
          <w:rFonts w:hint="eastAsia" w:ascii="宋体" w:hAnsi="宋体"/>
          <w:bCs/>
          <w:color w:val="auto"/>
          <w:highlight w:val="none"/>
          <w:u w:val="single"/>
        </w:rPr>
        <w:t xml:space="preserve">    </w:t>
      </w:r>
      <w:r>
        <w:rPr>
          <w:rFonts w:hint="eastAsia" w:ascii="宋体" w:hAnsi="宋体"/>
          <w:bCs/>
          <w:color w:val="auto"/>
          <w:highlight w:val="none"/>
        </w:rPr>
        <w:t>日</w:t>
      </w:r>
      <w:bookmarkEnd w:id="236"/>
    </w:p>
    <w:p>
      <w:pPr>
        <w:snapToGrid w:val="0"/>
        <w:spacing w:before="156" w:beforeLines="50" w:after="50" w:line="360" w:lineRule="exact"/>
        <w:ind w:firstLine="0" w:firstLineChars="0"/>
        <w:jc w:val="left"/>
        <w:rPr>
          <w:rFonts w:hint="eastAsia"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二、资信技术文件</w:t>
      </w:r>
    </w:p>
    <w:p>
      <w:pPr>
        <w:snapToGrid w:val="0"/>
        <w:spacing w:before="156" w:beforeLines="50" w:after="50" w:line="360" w:lineRule="exact"/>
        <w:ind w:firstLine="0" w:firstLineChars="0"/>
        <w:jc w:val="center"/>
        <w:rPr>
          <w:rFonts w:hint="eastAsia"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投 标 函</w:t>
      </w:r>
      <w:r>
        <w:rPr>
          <w:rFonts w:hint="eastAsia" w:ascii="仿宋_GB2312" w:hAnsi="宋体" w:eastAsia="仿宋_GB2312"/>
          <w:bCs/>
          <w:color w:val="auto"/>
          <w:sz w:val="24"/>
          <w:highlight w:val="none"/>
        </w:rPr>
        <w:t>（格式）</w:t>
      </w:r>
    </w:p>
    <w:p>
      <w:pPr>
        <w:ind w:firstLine="0" w:firstLineChars="0"/>
        <w:rPr>
          <w:rFonts w:ascii="宋体" w:hAnsi="宋体"/>
          <w:color w:val="auto"/>
          <w:szCs w:val="21"/>
          <w:highlight w:val="none"/>
        </w:rPr>
      </w:pPr>
      <w:r>
        <w:rPr>
          <w:rFonts w:hint="eastAsia" w:ascii="宋体" w:hAnsi="宋体"/>
          <w:color w:val="auto"/>
          <w:szCs w:val="21"/>
          <w:highlight w:val="none"/>
        </w:rPr>
        <w:t>致：钦州市政府采购中心：</w:t>
      </w:r>
    </w:p>
    <w:p>
      <w:pPr>
        <w:ind w:firstLine="0" w:firstLineChars="0"/>
        <w:rPr>
          <w:rFonts w:ascii="宋体" w:hAnsi="宋体"/>
          <w:color w:val="auto"/>
          <w:szCs w:val="21"/>
          <w:highlight w:val="none"/>
        </w:rPr>
      </w:pPr>
    </w:p>
    <w:p>
      <w:pPr>
        <w:ind w:firstLine="0" w:firstLineChars="0"/>
        <w:jc w:val="left"/>
        <w:rPr>
          <w:rFonts w:hint="eastAsia"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根据贵方为</w:t>
      </w:r>
      <w:r>
        <w:rPr>
          <w:rFonts w:hint="eastAsia" w:ascii="宋体" w:hAnsi="宋体"/>
          <w:color w:val="auto"/>
          <w:szCs w:val="21"/>
          <w:highlight w:val="none"/>
          <w:u w:val="single"/>
        </w:rPr>
        <w:t xml:space="preserve">   （项目名称）</w:t>
      </w:r>
      <w:r>
        <w:rPr>
          <w:rFonts w:ascii="宋体" w:hAnsi="宋体"/>
          <w:color w:val="auto"/>
          <w:szCs w:val="21"/>
          <w:highlight w:val="none"/>
          <w:u w:val="single"/>
        </w:rPr>
        <w:t xml:space="preserve">   </w:t>
      </w:r>
      <w:r>
        <w:rPr>
          <w:rFonts w:hint="eastAsia" w:ascii="宋体" w:hAnsi="宋体"/>
          <w:color w:val="auto"/>
          <w:szCs w:val="21"/>
          <w:highlight w:val="none"/>
        </w:rPr>
        <w:t>招标文件</w:t>
      </w:r>
      <w:r>
        <w:rPr>
          <w:rFonts w:hint="eastAsia" w:ascii="宋体" w:hAnsi="宋体"/>
          <w:color w:val="auto"/>
          <w:szCs w:val="21"/>
          <w:highlight w:val="none"/>
          <w:u w:val="single"/>
        </w:rPr>
        <w:t xml:space="preserve"> （项目编号及分标号）</w:t>
      </w:r>
      <w:r>
        <w:rPr>
          <w:rFonts w:ascii="宋体" w:hAnsi="宋体"/>
          <w:color w:val="auto"/>
          <w:szCs w:val="21"/>
          <w:highlight w:val="none"/>
          <w:u w:val="single"/>
        </w:rPr>
        <w:t xml:space="preserve"> </w:t>
      </w:r>
      <w:r>
        <w:rPr>
          <w:rFonts w:hint="eastAsia" w:ascii="宋体" w:hAnsi="宋体"/>
          <w:color w:val="auto"/>
          <w:szCs w:val="21"/>
          <w:highlight w:val="none"/>
        </w:rPr>
        <w:t>，</w:t>
      </w:r>
      <w:bookmarkStart w:id="237" w:name="_Hlk92702218"/>
      <w:r>
        <w:rPr>
          <w:rFonts w:hint="eastAsia" w:ascii="宋体" w:hAnsi="宋体"/>
          <w:color w:val="auto"/>
          <w:szCs w:val="21"/>
          <w:highlight w:val="none"/>
        </w:rPr>
        <w:t>我方</w:t>
      </w:r>
      <w:r>
        <w:rPr>
          <w:rFonts w:hint="eastAsia" w:ascii="宋体" w:hAnsi="宋体"/>
          <w:color w:val="auto"/>
          <w:szCs w:val="21"/>
          <w:highlight w:val="none"/>
          <w:u w:val="single"/>
        </w:rPr>
        <w:t xml:space="preserve">  （投标人名称）  </w:t>
      </w:r>
      <w:r>
        <w:rPr>
          <w:rFonts w:hint="eastAsia" w:ascii="宋体" w:hAnsi="宋体"/>
          <w:color w:val="auto"/>
          <w:szCs w:val="21"/>
          <w:highlight w:val="none"/>
        </w:rPr>
        <w:t>经正式授权代表</w:t>
      </w:r>
      <w:r>
        <w:rPr>
          <w:rFonts w:hint="eastAsia" w:ascii="宋体" w:hAnsi="宋体"/>
          <w:color w:val="auto"/>
          <w:szCs w:val="21"/>
          <w:highlight w:val="none"/>
          <w:u w:val="single"/>
        </w:rPr>
        <w:t xml:space="preserve">   （被授权人）   </w:t>
      </w:r>
      <w:r>
        <w:rPr>
          <w:rFonts w:hint="eastAsia" w:ascii="宋体" w:hAnsi="宋体"/>
          <w:color w:val="auto"/>
          <w:szCs w:val="21"/>
          <w:highlight w:val="none"/>
        </w:rPr>
        <w:t>提交</w:t>
      </w:r>
      <w:bookmarkEnd w:id="237"/>
      <w:r>
        <w:rPr>
          <w:rFonts w:hint="eastAsia" w:ascii="宋体" w:hAnsi="宋体"/>
          <w:color w:val="auto"/>
          <w:szCs w:val="21"/>
          <w:highlight w:val="none"/>
        </w:rPr>
        <w:t>投标文件：</w:t>
      </w:r>
    </w:p>
    <w:p>
      <w:pPr>
        <w:ind w:firstLine="0" w:firstLineChars="0"/>
        <w:rPr>
          <w:rFonts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据此函，投标人承诺：</w:t>
      </w:r>
    </w:p>
    <w:p>
      <w:pPr>
        <w:snapToGrid w:val="0"/>
        <w:spacing w:line="360" w:lineRule="exact"/>
        <w:ind w:firstLine="420"/>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我方已详细审阅招标文件（包括澄清或者修改文件），已经了解我方对于招标文件、采购过程、采购结果有依法进行询问、质疑、投诉的权利及相关渠道和要求。</w:t>
      </w:r>
    </w:p>
    <w:p>
      <w:pPr>
        <w:snapToGrid w:val="0"/>
        <w:spacing w:line="360" w:lineRule="exact"/>
        <w:ind w:firstLine="420"/>
        <w:rPr>
          <w:rFonts w:ascii="宋体" w:hAnsi="宋体"/>
          <w:color w:val="auto"/>
          <w:szCs w:val="21"/>
          <w:highlight w:val="none"/>
        </w:rPr>
      </w:pPr>
      <w:r>
        <w:rPr>
          <w:rFonts w:hint="eastAsia" w:ascii="宋体" w:hAnsi="宋体"/>
          <w:color w:val="auto"/>
          <w:szCs w:val="21"/>
          <w:highlight w:val="none"/>
        </w:rPr>
        <w:t>2.我方不是采购人的附属机构；在获知本项目采购信息后，与采购人聘请的为此项目提供咨询服务的公司及其附属机构没有任何联系。</w:t>
      </w:r>
    </w:p>
    <w:p>
      <w:pPr>
        <w:snapToGrid w:val="0"/>
        <w:spacing w:line="360" w:lineRule="exact"/>
        <w:ind w:firstLine="42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我方在投标之前已经与贵方进行了充分的沟通，完全理解并接受招标文件的各项规定和要求，对招标文件的合理性、合法性不再有异议。</w:t>
      </w:r>
    </w:p>
    <w:p>
      <w:pPr>
        <w:snapToGrid w:val="0"/>
        <w:spacing w:line="360" w:lineRule="exact"/>
        <w:ind w:firstLine="42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我方同意在开标日期起遵循本投标文件，并在投标有效期9</w:t>
      </w:r>
      <w:r>
        <w:rPr>
          <w:rFonts w:ascii="宋体" w:hAnsi="宋体"/>
          <w:color w:val="auto"/>
          <w:szCs w:val="21"/>
          <w:highlight w:val="none"/>
        </w:rPr>
        <w:t>0</w:t>
      </w:r>
      <w:r>
        <w:rPr>
          <w:rFonts w:hint="eastAsia" w:ascii="宋体" w:hAnsi="宋体"/>
          <w:color w:val="auto"/>
          <w:szCs w:val="21"/>
          <w:highlight w:val="none"/>
        </w:rPr>
        <w:t>天内均具有约束力。</w:t>
      </w:r>
    </w:p>
    <w:p>
      <w:pPr>
        <w:ind w:firstLine="0" w:firstLineChars="0"/>
        <w:rPr>
          <w:rFonts w:hint="eastAsia" w:ascii="宋体" w:hAnsi="宋体"/>
          <w:color w:val="auto"/>
          <w:szCs w:val="21"/>
          <w:highlight w:val="none"/>
        </w:rPr>
      </w:pPr>
      <w:r>
        <w:rPr>
          <w:rFonts w:ascii="宋体" w:hAnsi="宋体"/>
          <w:color w:val="auto"/>
          <w:szCs w:val="21"/>
          <w:highlight w:val="none"/>
        </w:rPr>
        <w:tab/>
      </w:r>
      <w:r>
        <w:rPr>
          <w:rFonts w:ascii="宋体" w:hAnsi="宋体"/>
          <w:color w:val="auto"/>
          <w:szCs w:val="21"/>
          <w:highlight w:val="none"/>
        </w:rPr>
        <w:t>5</w:t>
      </w:r>
      <w:r>
        <w:rPr>
          <w:rFonts w:hint="eastAsia" w:ascii="宋体" w:hAnsi="宋体"/>
          <w:color w:val="auto"/>
          <w:szCs w:val="21"/>
          <w:highlight w:val="none"/>
        </w:rPr>
        <w:t>.我方承诺具备《中华人民共和国政府采购法》中规定的参加政府采购活动供应商应当具备的条件。</w:t>
      </w:r>
    </w:p>
    <w:p>
      <w:pPr>
        <w:ind w:firstLine="0" w:firstLineChars="0"/>
        <w:rPr>
          <w:rFonts w:hint="eastAsia" w:ascii="宋体" w:hAnsi="宋体"/>
          <w:color w:val="auto"/>
          <w:szCs w:val="21"/>
          <w:highlight w:val="none"/>
        </w:rPr>
      </w:pPr>
      <w:r>
        <w:rPr>
          <w:rFonts w:ascii="宋体" w:hAnsi="宋体"/>
          <w:color w:val="auto"/>
          <w:szCs w:val="21"/>
          <w:highlight w:val="none"/>
        </w:rPr>
        <w:tab/>
      </w:r>
      <w:r>
        <w:rPr>
          <w:rFonts w:ascii="宋体" w:hAnsi="宋体"/>
          <w:color w:val="auto"/>
          <w:szCs w:val="21"/>
          <w:highlight w:val="none"/>
        </w:rPr>
        <w:t>6</w:t>
      </w:r>
      <w:r>
        <w:rPr>
          <w:rFonts w:hint="eastAsia" w:ascii="宋体" w:hAnsi="宋体"/>
          <w:color w:val="auto"/>
          <w:szCs w:val="21"/>
          <w:highlight w:val="none"/>
        </w:rPr>
        <w:t>.我方根据招标文件的规定，承担完成合同的责任和义务。</w:t>
      </w:r>
    </w:p>
    <w:p>
      <w:pPr>
        <w:ind w:firstLine="0" w:firstLineChars="0"/>
        <w:rPr>
          <w:rFonts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lang w:val="en-US" w:eastAsia="zh-CN"/>
        </w:rPr>
        <w:t>7</w:t>
      </w:r>
      <w:r>
        <w:rPr>
          <w:rFonts w:hint="eastAsia" w:ascii="宋体" w:hAnsi="宋体"/>
          <w:color w:val="auto"/>
          <w:szCs w:val="21"/>
          <w:highlight w:val="none"/>
        </w:rPr>
        <w:t>.同意向贵方提供贵方可能要求的与本投标有关的人员、数据和资料。</w:t>
      </w:r>
    </w:p>
    <w:p>
      <w:pPr>
        <w:ind w:firstLine="0" w:firstLineChars="0"/>
        <w:rPr>
          <w:rFonts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lang w:val="en-US" w:eastAsia="zh-CN"/>
        </w:rPr>
        <w:t>8</w:t>
      </w:r>
      <w:r>
        <w:rPr>
          <w:rFonts w:hint="eastAsia" w:ascii="宋体" w:hAnsi="宋体"/>
          <w:color w:val="auto"/>
          <w:szCs w:val="21"/>
          <w:highlight w:val="none"/>
        </w:rPr>
        <w:t>.我方完全理解贵方不一定要接受最低报价的投标人为中标人。</w:t>
      </w:r>
    </w:p>
    <w:p>
      <w:pPr>
        <w:ind w:firstLine="424" w:firstLineChars="202"/>
        <w:rPr>
          <w:rFonts w:hint="eastAsia" w:ascii="宋体" w:hAnsi="宋体"/>
          <w:color w:val="auto"/>
          <w:szCs w:val="21"/>
          <w:highlight w:val="none"/>
        </w:rPr>
      </w:pPr>
      <w:r>
        <w:rPr>
          <w:rFonts w:hint="eastAsia" w:ascii="宋体" w:hAnsi="宋体"/>
          <w:color w:val="auto"/>
          <w:szCs w:val="21"/>
          <w:highlight w:val="none"/>
          <w:lang w:val="en-US" w:eastAsia="zh-CN"/>
        </w:rPr>
        <w:t>9</w:t>
      </w:r>
      <w:r>
        <w:rPr>
          <w:rFonts w:ascii="宋体" w:hAnsi="宋体"/>
          <w:color w:val="auto"/>
          <w:szCs w:val="21"/>
          <w:highlight w:val="none"/>
        </w:rPr>
        <w:t>.</w:t>
      </w:r>
      <w:r>
        <w:rPr>
          <w:rFonts w:hint="eastAsia" w:ascii="宋体" w:hAnsi="宋体"/>
          <w:color w:val="auto"/>
          <w:szCs w:val="21"/>
          <w:highlight w:val="none"/>
        </w:rPr>
        <w:t>我方向贵方提交的所有投标文件、资料都是准确的和真实的。</w:t>
      </w:r>
    </w:p>
    <w:p>
      <w:pPr>
        <w:ind w:firstLine="0" w:firstLineChars="0"/>
        <w:rPr>
          <w:rFonts w:ascii="宋体" w:hAnsi="宋体"/>
          <w:color w:val="auto"/>
          <w:szCs w:val="21"/>
          <w:highlight w:val="none"/>
        </w:rPr>
      </w:pPr>
    </w:p>
    <w:p>
      <w:pPr>
        <w:ind w:firstLine="426" w:firstLineChars="0"/>
        <w:rPr>
          <w:rFonts w:ascii="宋体" w:hAnsi="宋体"/>
          <w:color w:val="auto"/>
          <w:szCs w:val="21"/>
          <w:highlight w:val="none"/>
        </w:rPr>
      </w:pPr>
      <w:r>
        <w:rPr>
          <w:rFonts w:hint="eastAsia" w:ascii="宋体" w:hAnsi="宋体"/>
          <w:color w:val="auto"/>
          <w:szCs w:val="21"/>
          <w:highlight w:val="none"/>
        </w:rPr>
        <w:t>与我公司有关的正式通讯方式：</w:t>
      </w:r>
    </w:p>
    <w:p>
      <w:pPr>
        <w:ind w:firstLine="0" w:firstLineChars="0"/>
        <w:rPr>
          <w:rFonts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地址：</w:t>
      </w:r>
      <w:r>
        <w:rPr>
          <w:rFonts w:hint="eastAsia" w:ascii="宋体" w:hAnsi="宋体"/>
          <w:color w:val="auto"/>
          <w:szCs w:val="21"/>
          <w:highlight w:val="none"/>
          <w:u w:val="single"/>
        </w:rPr>
        <w:t xml:space="preserve">                                   </w:t>
      </w:r>
    </w:p>
    <w:p>
      <w:pPr>
        <w:ind w:firstLine="0" w:firstLineChars="0"/>
        <w:rPr>
          <w:rFonts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邮政编码：</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ind w:firstLine="0" w:firstLineChars="0"/>
        <w:rPr>
          <w:rFonts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电话、电报、传真或电传：</w:t>
      </w:r>
      <w:r>
        <w:rPr>
          <w:rFonts w:hint="eastAsia" w:ascii="宋体" w:hAnsi="宋体"/>
          <w:color w:val="auto"/>
          <w:szCs w:val="21"/>
          <w:highlight w:val="none"/>
          <w:u w:val="single"/>
        </w:rPr>
        <w:t xml:space="preserve">                 </w:t>
      </w:r>
    </w:p>
    <w:p>
      <w:pPr>
        <w:ind w:firstLine="0" w:firstLineChars="0"/>
        <w:rPr>
          <w:rFonts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开户名称：</w:t>
      </w:r>
      <w:r>
        <w:rPr>
          <w:rFonts w:hint="eastAsia" w:ascii="宋体" w:hAnsi="宋体"/>
          <w:color w:val="auto"/>
          <w:szCs w:val="21"/>
          <w:highlight w:val="none"/>
          <w:u w:val="single"/>
        </w:rPr>
        <w:t xml:space="preserve">                               </w:t>
      </w:r>
    </w:p>
    <w:p>
      <w:pPr>
        <w:ind w:firstLine="0" w:firstLineChars="0"/>
        <w:rPr>
          <w:rFonts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开户银行：</w:t>
      </w:r>
      <w:r>
        <w:rPr>
          <w:rFonts w:hint="eastAsia" w:ascii="宋体" w:hAnsi="宋体"/>
          <w:color w:val="auto"/>
          <w:szCs w:val="21"/>
          <w:highlight w:val="none"/>
          <w:u w:val="single"/>
        </w:rPr>
        <w:t xml:space="preserve">                               </w:t>
      </w:r>
    </w:p>
    <w:p>
      <w:pPr>
        <w:ind w:firstLine="0" w:firstLineChars="0"/>
        <w:rPr>
          <w:rFonts w:ascii="宋体" w:hAnsi="宋体"/>
          <w:color w:val="auto"/>
          <w:szCs w:val="21"/>
          <w:highlight w:val="none"/>
          <w:u w:val="single"/>
        </w:rPr>
      </w:pPr>
      <w:r>
        <w:rPr>
          <w:rFonts w:ascii="宋体" w:hAnsi="宋体"/>
          <w:color w:val="auto"/>
          <w:szCs w:val="21"/>
          <w:highlight w:val="none"/>
        </w:rPr>
        <w:tab/>
      </w:r>
      <w:r>
        <w:rPr>
          <w:rFonts w:hint="eastAsia" w:ascii="宋体" w:hAnsi="宋体"/>
          <w:color w:val="auto"/>
          <w:szCs w:val="21"/>
          <w:highlight w:val="none"/>
        </w:rPr>
        <w:t>账    号：</w:t>
      </w:r>
      <w:r>
        <w:rPr>
          <w:rFonts w:hint="eastAsia" w:ascii="宋体" w:hAnsi="宋体"/>
          <w:color w:val="auto"/>
          <w:szCs w:val="21"/>
          <w:highlight w:val="none"/>
          <w:u w:val="single"/>
        </w:rPr>
        <w:t xml:space="preserve">                               </w:t>
      </w:r>
    </w:p>
    <w:p>
      <w:pPr>
        <w:ind w:firstLine="0" w:firstLineChars="0"/>
        <w:rPr>
          <w:rFonts w:ascii="宋体" w:hAnsi="宋体"/>
          <w:color w:val="auto"/>
          <w:szCs w:val="21"/>
          <w:highlight w:val="none"/>
        </w:rPr>
      </w:pPr>
    </w:p>
    <w:p>
      <w:pPr>
        <w:ind w:firstLine="0" w:firstLineChars="0"/>
        <w:rPr>
          <w:rFonts w:ascii="宋体" w:hAnsi="宋体"/>
          <w:color w:val="auto"/>
          <w:szCs w:val="21"/>
          <w:highlight w:val="none"/>
        </w:rPr>
      </w:pPr>
    </w:p>
    <w:p>
      <w:pPr>
        <w:ind w:firstLine="0" w:firstLineChars="0"/>
        <w:rPr>
          <w:rFonts w:hint="eastAsia" w:ascii="宋体" w:hAnsi="宋体"/>
          <w:color w:val="auto"/>
          <w:szCs w:val="21"/>
          <w:highlight w:val="none"/>
        </w:rPr>
      </w:pPr>
    </w:p>
    <w:p>
      <w:pPr>
        <w:ind w:firstLine="0" w:firstLineChars="0"/>
        <w:rPr>
          <w:rFonts w:ascii="宋体" w:hAnsi="宋体"/>
          <w:color w:val="auto"/>
          <w:szCs w:val="21"/>
          <w:highlight w:val="none"/>
          <w:u w:val="single"/>
        </w:rPr>
      </w:pPr>
      <w:r>
        <w:rPr>
          <w:rFonts w:ascii="宋体" w:hAnsi="宋体"/>
          <w:color w:val="auto"/>
          <w:szCs w:val="21"/>
          <w:highlight w:val="none"/>
        </w:rPr>
        <w:tab/>
      </w:r>
      <w:r>
        <w:rPr>
          <w:rFonts w:ascii="宋体" w:hAnsi="宋体"/>
          <w:color w:val="auto"/>
          <w:szCs w:val="21"/>
          <w:highlight w:val="none"/>
        </w:rPr>
        <w:t xml:space="preserve">                                                    </w:t>
      </w:r>
      <w:r>
        <w:rPr>
          <w:rFonts w:hint="eastAsia" w:ascii="宋体" w:hAnsi="宋体"/>
          <w:color w:val="auto"/>
          <w:szCs w:val="21"/>
          <w:highlight w:val="none"/>
        </w:rPr>
        <w:t>投标人（盖章）：</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ind w:firstLine="0" w:firstLineChars="0"/>
        <w:rPr>
          <w:rFonts w:ascii="宋体" w:hAnsi="宋体"/>
          <w:color w:val="auto"/>
          <w:szCs w:val="21"/>
          <w:highlight w:val="none"/>
        </w:rPr>
      </w:pPr>
      <w:r>
        <w:rPr>
          <w:rFonts w:ascii="宋体" w:hAnsi="宋体"/>
          <w:color w:val="auto"/>
          <w:szCs w:val="21"/>
          <w:highlight w:val="none"/>
        </w:rPr>
        <w:tab/>
      </w:r>
      <w:r>
        <w:rPr>
          <w:rFonts w:ascii="宋体" w:hAnsi="宋体"/>
          <w:color w:val="auto"/>
          <w:szCs w:val="21"/>
          <w:highlight w:val="none"/>
        </w:rPr>
        <w:t xml:space="preserve">                                                    </w:t>
      </w:r>
      <w:r>
        <w:rPr>
          <w:rFonts w:hint="eastAsia" w:ascii="宋体" w:hAnsi="宋体"/>
          <w:color w:val="auto"/>
          <w:szCs w:val="21"/>
          <w:highlight w:val="none"/>
        </w:rPr>
        <w:t>日期：</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r>
        <w:rPr>
          <w:rFonts w:hint="eastAsia" w:ascii="宋体" w:hAnsi="宋体"/>
          <w:bCs/>
          <w:color w:val="auto"/>
          <w:highlight w:val="none"/>
        </w:rPr>
        <w:t>年</w:t>
      </w:r>
      <w:r>
        <w:rPr>
          <w:rFonts w:hint="eastAsia" w:ascii="宋体" w:hAnsi="宋体"/>
          <w:bCs/>
          <w:color w:val="auto"/>
          <w:highlight w:val="none"/>
          <w:u w:val="single"/>
        </w:rPr>
        <w:t xml:space="preserve">    </w:t>
      </w:r>
      <w:r>
        <w:rPr>
          <w:rFonts w:hint="eastAsia" w:ascii="宋体" w:hAnsi="宋体"/>
          <w:bCs/>
          <w:color w:val="auto"/>
          <w:highlight w:val="none"/>
        </w:rPr>
        <w:t>月</w:t>
      </w:r>
      <w:r>
        <w:rPr>
          <w:rFonts w:hint="eastAsia" w:ascii="宋体" w:hAnsi="宋体"/>
          <w:bCs/>
          <w:color w:val="auto"/>
          <w:highlight w:val="none"/>
          <w:u w:val="single"/>
        </w:rPr>
        <w:t xml:space="preserve">    </w:t>
      </w:r>
      <w:r>
        <w:rPr>
          <w:rFonts w:hint="eastAsia" w:ascii="宋体" w:hAnsi="宋体"/>
          <w:bCs/>
          <w:color w:val="auto"/>
          <w:highlight w:val="none"/>
        </w:rPr>
        <w:t>日</w:t>
      </w:r>
    </w:p>
    <w:p>
      <w:pPr>
        <w:ind w:firstLine="0" w:firstLineChars="0"/>
        <w:rPr>
          <w:rFonts w:hint="eastAsia"/>
          <w:color w:val="auto"/>
          <w:highlight w:val="none"/>
        </w:rPr>
      </w:pPr>
    </w:p>
    <w:p>
      <w:pPr>
        <w:tabs>
          <w:tab w:val="left" w:pos="3870"/>
          <w:tab w:val="left" w:pos="4085"/>
        </w:tabs>
        <w:snapToGrid w:val="0"/>
        <w:spacing w:line="600" w:lineRule="exact"/>
        <w:ind w:firstLine="0" w:firstLineChars="0"/>
        <w:jc w:val="center"/>
        <w:rPr>
          <w:rFonts w:hint="eastAsia" w:ascii="仿宋_GB2312" w:hAnsi="宋体" w:eastAsia="仿宋_GB2312"/>
          <w:b/>
          <w:color w:val="auto"/>
          <w:sz w:val="28"/>
          <w:szCs w:val="28"/>
          <w:highlight w:val="none"/>
        </w:rPr>
      </w:pPr>
      <w:bookmarkStart w:id="238" w:name="_Hlk92702580"/>
      <w:r>
        <w:rPr>
          <w:rFonts w:hint="eastAsia" w:ascii="仿宋_GB2312" w:hAnsi="宋体" w:eastAsia="仿宋_GB2312"/>
          <w:b/>
          <w:color w:val="auto"/>
          <w:sz w:val="32"/>
          <w:szCs w:val="32"/>
          <w:highlight w:val="none"/>
        </w:rPr>
        <w:t>授权委托书</w:t>
      </w:r>
      <w:r>
        <w:rPr>
          <w:rFonts w:hint="eastAsia" w:ascii="仿宋_GB2312" w:hAnsi="宋体" w:eastAsia="仿宋_GB2312"/>
          <w:bCs/>
          <w:color w:val="auto"/>
          <w:sz w:val="24"/>
          <w:highlight w:val="none"/>
        </w:rPr>
        <w:t>（格式）</w:t>
      </w:r>
    </w:p>
    <w:p>
      <w:pPr>
        <w:snapToGrid w:val="0"/>
        <w:spacing w:before="156" w:beforeLines="50" w:after="50"/>
        <w:ind w:firstLine="0" w:firstLineChars="0"/>
        <w:rPr>
          <w:rFonts w:hint="eastAsia" w:ascii="宋体" w:hAnsi="宋体"/>
          <w:b/>
          <w:bCs/>
          <w:color w:val="auto"/>
          <w:szCs w:val="21"/>
          <w:highlight w:val="none"/>
        </w:rPr>
      </w:pPr>
      <w:r>
        <w:rPr>
          <w:rFonts w:hint="eastAsia" w:ascii="宋体" w:hAnsi="宋体"/>
          <w:bCs/>
          <w:color w:val="auto"/>
          <w:szCs w:val="21"/>
          <w:highlight w:val="none"/>
        </w:rPr>
        <w:t>致：</w:t>
      </w:r>
      <w:r>
        <w:rPr>
          <w:rFonts w:hint="eastAsia"/>
          <w:color w:val="auto"/>
          <w:highlight w:val="none"/>
        </w:rPr>
        <w:t>钦州市政府采购中心</w:t>
      </w:r>
    </w:p>
    <w:p>
      <w:pPr>
        <w:snapToGrid w:val="0"/>
        <w:spacing w:before="156" w:beforeLines="50" w:after="50"/>
        <w:ind w:firstLine="420"/>
        <w:rPr>
          <w:rFonts w:hint="eastAsia" w:ascii="宋体" w:hAnsi="宋体"/>
          <w:color w:val="auto"/>
          <w:szCs w:val="21"/>
          <w:highlight w:val="none"/>
        </w:rPr>
      </w:pPr>
      <w:r>
        <w:rPr>
          <w:rFonts w:hint="eastAsia" w:ascii="宋体" w:hAnsi="宋体"/>
          <w:color w:val="auto"/>
          <w:szCs w:val="21"/>
          <w:highlight w:val="none"/>
        </w:rPr>
        <w:t>我</w:t>
      </w:r>
      <w:r>
        <w:rPr>
          <w:rFonts w:hint="eastAsia" w:ascii="宋体" w:hAnsi="宋体"/>
          <w:color w:val="auto"/>
          <w:szCs w:val="21"/>
          <w:highlight w:val="none"/>
          <w:u w:val="single"/>
        </w:rPr>
        <w:t>（姓名）</w:t>
      </w:r>
      <w:r>
        <w:rPr>
          <w:rFonts w:hint="eastAsia" w:ascii="宋体" w:hAnsi="宋体"/>
          <w:color w:val="auto"/>
          <w:szCs w:val="21"/>
          <w:highlight w:val="none"/>
        </w:rPr>
        <w:t>系</w:t>
      </w:r>
      <w:r>
        <w:rPr>
          <w:rFonts w:hint="eastAsia" w:ascii="宋体" w:hAnsi="宋体"/>
          <w:color w:val="auto"/>
          <w:szCs w:val="21"/>
          <w:highlight w:val="none"/>
          <w:u w:val="single"/>
        </w:rPr>
        <w:t>（投标人名称）</w:t>
      </w:r>
      <w:r>
        <w:rPr>
          <w:rFonts w:hint="eastAsia" w:ascii="宋体" w:hAnsi="宋体"/>
          <w:color w:val="auto"/>
          <w:szCs w:val="21"/>
          <w:highlight w:val="none"/>
        </w:rPr>
        <w:t>的法定代表人，现授权委托本单位在职职工</w:t>
      </w:r>
      <w:r>
        <w:rPr>
          <w:rFonts w:hint="eastAsia" w:ascii="宋体" w:hAnsi="宋体"/>
          <w:color w:val="auto"/>
          <w:szCs w:val="21"/>
          <w:highlight w:val="none"/>
          <w:u w:val="single"/>
        </w:rPr>
        <w:t>（姓名）</w:t>
      </w:r>
      <w:r>
        <w:rPr>
          <w:rFonts w:hint="eastAsia" w:ascii="宋体" w:hAnsi="宋体"/>
          <w:color w:val="auto"/>
          <w:szCs w:val="21"/>
          <w:highlight w:val="none"/>
        </w:rPr>
        <w:t>以我方的名义参加</w:t>
      </w:r>
      <w:r>
        <w:rPr>
          <w:rFonts w:hint="eastAsia" w:ascii="宋体" w:hAnsi="宋体"/>
          <w:color w:val="auto"/>
          <w:szCs w:val="21"/>
          <w:highlight w:val="none"/>
          <w:u w:val="single"/>
        </w:rPr>
        <w:t>（项目名称/项目编号）</w:t>
      </w:r>
      <w:r>
        <w:rPr>
          <w:rFonts w:hint="eastAsia" w:ascii="宋体" w:hAnsi="宋体"/>
          <w:color w:val="auto"/>
          <w:szCs w:val="21"/>
          <w:highlight w:val="none"/>
        </w:rPr>
        <w:t>的投标活动，并代表我方全权办理针对上述项目的投标、开标、评标、签约等具体事务和签署相关文件。</w:t>
      </w:r>
    </w:p>
    <w:p>
      <w:pPr>
        <w:snapToGrid w:val="0"/>
        <w:spacing w:before="156" w:beforeLines="50" w:after="50"/>
        <w:ind w:firstLine="420"/>
        <w:rPr>
          <w:rFonts w:hint="eastAsia" w:ascii="宋体" w:hAnsi="宋体"/>
          <w:color w:val="auto"/>
          <w:szCs w:val="21"/>
          <w:highlight w:val="none"/>
        </w:rPr>
      </w:pPr>
      <w:r>
        <w:rPr>
          <w:rFonts w:hint="eastAsia" w:ascii="宋体" w:hAnsi="宋体"/>
          <w:color w:val="auto"/>
          <w:szCs w:val="21"/>
          <w:highlight w:val="none"/>
        </w:rPr>
        <w:t>我方对被授权人的签名事项负全部责任。</w:t>
      </w:r>
    </w:p>
    <w:p>
      <w:pPr>
        <w:snapToGrid w:val="0"/>
        <w:spacing w:before="156" w:beforeLines="50" w:after="50"/>
        <w:ind w:firstLine="420"/>
        <w:rPr>
          <w:rFonts w:hint="eastAsia" w:ascii="宋体" w:hAnsi="宋体"/>
          <w:color w:val="auto"/>
          <w:szCs w:val="21"/>
          <w:highlight w:val="none"/>
        </w:rPr>
      </w:pPr>
      <w:r>
        <w:rPr>
          <w:rFonts w:hint="eastAsia" w:ascii="宋体" w:hAnsi="宋体"/>
          <w:color w:val="auto"/>
          <w:szCs w:val="21"/>
          <w:highlight w:val="none"/>
          <w:u w:val="single"/>
        </w:rPr>
        <w:t>在撤销授权的书面通知以前，本授权书一直有效</w:t>
      </w:r>
      <w:r>
        <w:rPr>
          <w:rFonts w:hint="eastAsia" w:ascii="宋体" w:hAnsi="宋体"/>
          <w:color w:val="auto"/>
          <w:szCs w:val="21"/>
          <w:highlight w:val="none"/>
        </w:rPr>
        <w:t>。被授权人在授权书有效期内签署的所有文件不因授权的撤销而失效。</w:t>
      </w:r>
    </w:p>
    <w:p>
      <w:pPr>
        <w:snapToGrid w:val="0"/>
        <w:spacing w:before="156" w:beforeLines="50" w:after="50"/>
        <w:ind w:firstLine="420"/>
        <w:rPr>
          <w:rFonts w:hint="eastAsia" w:ascii="宋体" w:hAnsi="宋体"/>
          <w:color w:val="auto"/>
          <w:szCs w:val="21"/>
          <w:highlight w:val="none"/>
        </w:rPr>
      </w:pPr>
      <w:r>
        <w:rPr>
          <w:rFonts w:hint="eastAsia" w:ascii="宋体" w:hAnsi="宋体"/>
          <w:color w:val="auto"/>
          <w:szCs w:val="21"/>
          <w:highlight w:val="none"/>
        </w:rPr>
        <w:t>被授权人无转委托权，特此委托。</w:t>
      </w:r>
    </w:p>
    <w:p>
      <w:pPr>
        <w:snapToGrid w:val="0"/>
        <w:spacing w:before="156" w:beforeLines="50" w:after="50" w:line="300" w:lineRule="exact"/>
        <w:ind w:firstLine="525" w:firstLineChars="250"/>
        <w:rPr>
          <w:rFonts w:hint="eastAsia" w:ascii="宋体" w:hAnsi="宋体"/>
          <w:color w:val="auto"/>
          <w:szCs w:val="21"/>
          <w:highlight w:val="none"/>
        </w:rPr>
      </w:pPr>
    </w:p>
    <w:p>
      <w:pPr>
        <w:snapToGrid w:val="0"/>
        <w:spacing w:before="156" w:beforeLines="50" w:after="50" w:line="300" w:lineRule="exact"/>
        <w:ind w:firstLine="420"/>
        <w:rPr>
          <w:rFonts w:hint="eastAsia" w:ascii="宋体" w:hAnsi="宋体"/>
          <w:color w:val="auto"/>
          <w:szCs w:val="21"/>
          <w:highlight w:val="none"/>
        </w:rPr>
      </w:pPr>
      <w:r>
        <w:rPr>
          <w:rFonts w:hint="eastAsia" w:ascii="宋体" w:hAnsi="宋体"/>
          <w:color w:val="auto"/>
          <w:szCs w:val="21"/>
          <w:highlight w:val="none"/>
        </w:rPr>
        <w:t>所在部门职务：</w:t>
      </w:r>
      <w:r>
        <w:rPr>
          <w:rFonts w:hint="eastAsia" w:ascii="宋体" w:hAnsi="宋体"/>
          <w:color w:val="auto"/>
          <w:szCs w:val="21"/>
          <w:highlight w:val="none"/>
          <w:u w:val="single"/>
        </w:rPr>
        <w:t xml:space="preserve">                        </w:t>
      </w:r>
    </w:p>
    <w:p>
      <w:pPr>
        <w:snapToGrid w:val="0"/>
        <w:spacing w:before="156" w:beforeLines="50" w:after="50" w:line="300" w:lineRule="exact"/>
        <w:ind w:firstLine="420"/>
        <w:rPr>
          <w:rFonts w:hint="eastAsia" w:ascii="宋体" w:hAnsi="宋体"/>
          <w:color w:val="auto"/>
          <w:szCs w:val="21"/>
          <w:highlight w:val="none"/>
          <w:u w:val="single"/>
        </w:rPr>
      </w:pPr>
      <w:r>
        <w:rPr>
          <w:rFonts w:hint="eastAsia" w:ascii="宋体" w:hAnsi="宋体"/>
          <w:color w:val="auto"/>
          <w:szCs w:val="21"/>
          <w:highlight w:val="none"/>
        </w:rPr>
        <w:t>职务：</w:t>
      </w:r>
      <w:r>
        <w:rPr>
          <w:rFonts w:hint="eastAsia" w:ascii="宋体" w:hAnsi="宋体"/>
          <w:color w:val="auto"/>
          <w:szCs w:val="21"/>
          <w:highlight w:val="none"/>
          <w:u w:val="single"/>
        </w:rPr>
        <w:t xml:space="preserve">                                </w:t>
      </w:r>
    </w:p>
    <w:p>
      <w:pPr>
        <w:snapToGrid w:val="0"/>
        <w:spacing w:before="156" w:beforeLines="50" w:after="50" w:line="300" w:lineRule="exact"/>
        <w:ind w:firstLine="420"/>
        <w:rPr>
          <w:rFonts w:hint="eastAsia" w:ascii="宋体" w:hAnsi="宋体"/>
          <w:color w:val="auto"/>
          <w:szCs w:val="21"/>
          <w:highlight w:val="none"/>
        </w:rPr>
      </w:pPr>
      <w:r>
        <w:rPr>
          <w:rFonts w:hint="eastAsia" w:ascii="宋体" w:hAnsi="宋体"/>
          <w:color w:val="auto"/>
          <w:szCs w:val="21"/>
          <w:highlight w:val="none"/>
        </w:rPr>
        <w:t>被授权人身份证号码：</w:t>
      </w:r>
      <w:r>
        <w:rPr>
          <w:rFonts w:hint="eastAsia" w:ascii="宋体" w:hAnsi="宋体"/>
          <w:color w:val="auto"/>
          <w:szCs w:val="21"/>
          <w:highlight w:val="none"/>
          <w:u w:val="single"/>
        </w:rPr>
        <w:t xml:space="preserve">                  </w:t>
      </w:r>
    </w:p>
    <w:p>
      <w:pPr>
        <w:snapToGrid w:val="0"/>
        <w:spacing w:before="156" w:beforeLines="50" w:after="50" w:line="300" w:lineRule="exact"/>
        <w:ind w:firstLine="420"/>
        <w:rPr>
          <w:rFonts w:hint="eastAsia" w:hAnsi="宋体"/>
          <w:color w:val="auto"/>
          <w:highlight w:val="none"/>
        </w:rPr>
      </w:pPr>
      <w:r>
        <w:rPr>
          <w:rFonts w:hint="eastAsia" w:hAnsi="宋体"/>
          <w:color w:val="auto"/>
          <w:highlight w:val="none"/>
        </w:rPr>
        <w:t>附：委托代理人身份证(正反面</w:t>
      </w:r>
      <w:r>
        <w:rPr>
          <w:rFonts w:hAnsi="宋体"/>
          <w:color w:val="auto"/>
          <w:highlight w:val="none"/>
        </w:rPr>
        <w:t>)</w:t>
      </w:r>
    </w:p>
    <w:p>
      <w:pPr>
        <w:ind w:left="420" w:firstLine="0" w:firstLineChars="0"/>
        <w:rPr>
          <w:rFonts w:ascii="宋体" w:hAnsi="宋体"/>
          <w:color w:val="auto"/>
          <w:highlight w:val="none"/>
        </w:rPr>
      </w:pPr>
    </w:p>
    <w:p>
      <w:pPr>
        <w:ind w:left="420" w:firstLine="0" w:firstLineChars="0"/>
        <w:rPr>
          <w:rFonts w:ascii="宋体" w:hAnsi="宋体"/>
          <w:color w:val="auto"/>
          <w:highlight w:val="none"/>
        </w:rPr>
      </w:pPr>
    </w:p>
    <w:p>
      <w:pPr>
        <w:ind w:left="420" w:firstLine="0" w:firstLineChars="0"/>
        <w:rPr>
          <w:rFonts w:hint="eastAsia" w:ascii="宋体" w:hAnsi="宋体"/>
          <w:color w:val="auto"/>
          <w:highlight w:val="none"/>
        </w:rPr>
      </w:pPr>
    </w:p>
    <w:p>
      <w:pPr>
        <w:snapToGrid w:val="0"/>
        <w:spacing w:before="156" w:beforeLines="50" w:after="50" w:line="200" w:lineRule="exact"/>
        <w:ind w:firstLine="4620" w:firstLineChars="2200"/>
        <w:rPr>
          <w:rFonts w:hint="eastAsia" w:ascii="宋体" w:hAnsi="宋体"/>
          <w:color w:val="auto"/>
          <w:szCs w:val="21"/>
          <w:highlight w:val="none"/>
          <w:u w:val="single"/>
        </w:rPr>
      </w:pPr>
      <w:r>
        <w:rPr>
          <w:rFonts w:hint="eastAsia" w:ascii="宋体" w:hAnsi="宋体"/>
          <w:color w:val="auto"/>
          <w:szCs w:val="21"/>
          <w:highlight w:val="none"/>
        </w:rPr>
        <w:t xml:space="preserve">       投标人（盖章）：</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napToGrid w:val="0"/>
        <w:spacing w:before="156" w:beforeLines="50" w:after="50" w:line="200" w:lineRule="exact"/>
        <w:ind w:firstLine="5355" w:firstLineChars="2550"/>
        <w:rPr>
          <w:rFonts w:ascii="宋体" w:hAnsi="宋体"/>
          <w:color w:val="auto"/>
          <w:szCs w:val="21"/>
          <w:highlight w:val="none"/>
        </w:rPr>
      </w:pPr>
      <w:r>
        <w:rPr>
          <w:rFonts w:hint="eastAsia" w:ascii="宋体" w:hAnsi="宋体"/>
          <w:color w:val="auto"/>
          <w:szCs w:val="21"/>
          <w:highlight w:val="none"/>
        </w:rPr>
        <w:t>法定代表人签名：</w:t>
      </w:r>
      <w:r>
        <w:rPr>
          <w:rFonts w:hint="eastAsia" w:ascii="宋体" w:hAnsi="宋体"/>
          <w:color w:val="auto"/>
          <w:szCs w:val="21"/>
          <w:highlight w:val="none"/>
          <w:u w:val="single"/>
        </w:rPr>
        <w:t xml:space="preserve">                   </w:t>
      </w:r>
    </w:p>
    <w:p>
      <w:pPr>
        <w:snapToGrid w:val="0"/>
        <w:spacing w:before="156" w:beforeLines="50" w:after="50" w:line="200" w:lineRule="exact"/>
        <w:ind w:firstLine="5355" w:firstLineChars="2550"/>
        <w:rPr>
          <w:rFonts w:hint="eastAsia"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bookmarkEnd w:id="238"/>
    <w:p>
      <w:pPr>
        <w:spacing w:line="360" w:lineRule="exact"/>
        <w:ind w:firstLine="0" w:firstLineChars="0"/>
        <w:rPr>
          <w:color w:val="auto"/>
          <w:highlight w:val="none"/>
        </w:rPr>
      </w:pPr>
      <w:r>
        <w:rPr>
          <w:color w:val="auto"/>
          <w:highlight w:val="none"/>
        </w:rPr>
        <w:br w:type="page"/>
      </w:r>
    </w:p>
    <w:p>
      <w:pPr>
        <w:snapToGrid w:val="0"/>
        <w:spacing w:before="156" w:beforeLines="50" w:after="50" w:line="360" w:lineRule="exact"/>
        <w:ind w:firstLine="0" w:firstLineChars="0"/>
        <w:jc w:val="center"/>
        <w:rPr>
          <w:rFonts w:ascii="仿宋_GB2312" w:eastAsia="仿宋_GB2312"/>
          <w:b/>
          <w:color w:val="auto"/>
          <w:sz w:val="28"/>
          <w:szCs w:val="28"/>
          <w:highlight w:val="none"/>
        </w:rPr>
      </w:pPr>
      <w:bookmarkStart w:id="239" w:name="_Hlk92702799"/>
      <w:r>
        <w:rPr>
          <w:rFonts w:hint="eastAsia" w:ascii="仿宋_GB2312" w:hAnsi="宋体" w:eastAsia="仿宋_GB2312"/>
          <w:b/>
          <w:color w:val="auto"/>
          <w:sz w:val="32"/>
          <w:szCs w:val="32"/>
          <w:highlight w:val="none"/>
        </w:rPr>
        <w:t>商务响应</w:t>
      </w:r>
      <w:r>
        <w:rPr>
          <w:rFonts w:hint="eastAsia" w:ascii="仿宋_GB2312" w:eastAsia="仿宋_GB2312"/>
          <w:b/>
          <w:color w:val="auto"/>
          <w:sz w:val="32"/>
          <w:szCs w:val="32"/>
          <w:highlight w:val="none"/>
        </w:rPr>
        <w:t>表</w:t>
      </w:r>
      <w:bookmarkStart w:id="240" w:name="_Hlk111728555"/>
      <w:r>
        <w:rPr>
          <w:rFonts w:hint="eastAsia" w:ascii="仿宋_GB2312" w:eastAsia="仿宋_GB2312"/>
          <w:bCs/>
          <w:color w:val="auto"/>
          <w:sz w:val="24"/>
          <w:highlight w:val="none"/>
        </w:rPr>
        <w:t>（格式）</w:t>
      </w:r>
      <w:bookmarkEnd w:id="240"/>
    </w:p>
    <w:p>
      <w:pPr>
        <w:ind w:firstLine="0" w:firstLineChars="0"/>
        <w:rPr>
          <w:rFonts w:hint="eastAsia"/>
          <w:color w:val="auto"/>
          <w:highlight w:val="none"/>
        </w:rPr>
      </w:pPr>
    </w:p>
    <w:tbl>
      <w:tblPr>
        <w:tblStyle w:val="4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3240"/>
        <w:gridCol w:w="1440"/>
        <w:gridCol w:w="34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b/>
                <w:color w:val="auto"/>
                <w:szCs w:val="21"/>
                <w:highlight w:val="none"/>
              </w:rPr>
            </w:pPr>
            <w:r>
              <w:rPr>
                <w:rFonts w:hint="eastAsia" w:ascii="宋体" w:hAnsi="宋体"/>
                <w:b/>
                <w:color w:val="auto"/>
                <w:szCs w:val="21"/>
                <w:highlight w:val="none"/>
              </w:rPr>
              <w:t>项目</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b/>
                <w:color w:val="auto"/>
                <w:szCs w:val="21"/>
                <w:highlight w:val="none"/>
              </w:rPr>
            </w:pPr>
            <w:r>
              <w:rPr>
                <w:rFonts w:hint="eastAsia" w:ascii="宋体" w:hAnsi="宋体"/>
                <w:b/>
                <w:color w:val="auto"/>
                <w:szCs w:val="21"/>
                <w:highlight w:val="none"/>
              </w:rPr>
              <w:t>招标文件要求</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b/>
                <w:color w:val="auto"/>
                <w:szCs w:val="21"/>
                <w:highlight w:val="none"/>
              </w:rPr>
            </w:pPr>
            <w:r>
              <w:rPr>
                <w:rFonts w:hint="eastAsia" w:ascii="宋体" w:hAnsi="宋体"/>
                <w:b/>
                <w:color w:val="auto"/>
                <w:szCs w:val="21"/>
                <w:highlight w:val="none"/>
              </w:rPr>
              <w:t>是否响应</w:t>
            </w:r>
          </w:p>
        </w:tc>
        <w:tc>
          <w:tcPr>
            <w:tcW w:w="34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b/>
                <w:color w:val="auto"/>
                <w:szCs w:val="21"/>
                <w:highlight w:val="none"/>
              </w:rPr>
            </w:pPr>
            <w:r>
              <w:rPr>
                <w:rFonts w:hint="eastAsia" w:ascii="宋体" w:hAnsi="宋体"/>
                <w:b/>
                <w:color w:val="auto"/>
                <w:szCs w:val="21"/>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color w:val="auto"/>
                <w:szCs w:val="21"/>
                <w:highlight w:val="none"/>
              </w:rPr>
            </w:pPr>
            <w:r>
              <w:rPr>
                <w:rFonts w:hint="eastAsia" w:ascii="宋体" w:hAnsi="宋体"/>
                <w:color w:val="auto"/>
                <w:szCs w:val="21"/>
                <w:highlight w:val="none"/>
              </w:rPr>
              <w:t>质保期</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color w:val="auto"/>
                <w:szCs w:val="21"/>
                <w:highlight w:val="none"/>
              </w:rPr>
            </w:pPr>
          </w:p>
        </w:tc>
        <w:tc>
          <w:tcPr>
            <w:tcW w:w="34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color w:val="auto"/>
                <w:szCs w:val="21"/>
                <w:highlight w:val="none"/>
              </w:rPr>
            </w:pPr>
            <w:r>
              <w:rPr>
                <w:rFonts w:hint="eastAsia" w:ascii="宋体" w:hAnsi="宋体"/>
                <w:color w:val="auto"/>
                <w:szCs w:val="21"/>
                <w:highlight w:val="none"/>
              </w:rPr>
              <w:t>运维技术服务要求</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color w:val="auto"/>
                <w:szCs w:val="21"/>
                <w:highlight w:val="none"/>
              </w:rPr>
            </w:pPr>
          </w:p>
        </w:tc>
        <w:tc>
          <w:tcPr>
            <w:tcW w:w="34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color w:val="auto"/>
                <w:szCs w:val="21"/>
                <w:highlight w:val="none"/>
              </w:rPr>
            </w:pPr>
            <w:r>
              <w:rPr>
                <w:rFonts w:hint="eastAsia" w:ascii="宋体" w:hAnsi="宋体"/>
                <w:color w:val="auto"/>
                <w:szCs w:val="21"/>
                <w:highlight w:val="none"/>
              </w:rPr>
              <w:t>交货时间及地点</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left="43" w:firstLine="0" w:firstLineChars="0"/>
              <w:jc w:val="center"/>
              <w:rPr>
                <w:rFonts w:ascii="宋体" w:hAnsi="宋体"/>
                <w:color w:val="auto"/>
                <w:szCs w:val="21"/>
                <w:highlight w:val="none"/>
              </w:rPr>
            </w:pPr>
          </w:p>
        </w:tc>
        <w:tc>
          <w:tcPr>
            <w:tcW w:w="34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left="43" w:firstLine="0" w:firstLineChars="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color w:val="auto"/>
                <w:szCs w:val="21"/>
                <w:highlight w:val="none"/>
              </w:rPr>
            </w:pPr>
            <w:r>
              <w:rPr>
                <w:rFonts w:hint="eastAsia" w:ascii="宋体" w:hAnsi="宋体"/>
                <w:color w:val="auto"/>
                <w:szCs w:val="21"/>
                <w:highlight w:val="none"/>
              </w:rPr>
              <w:t>付款条件</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left="105" w:firstLine="0" w:firstLineChars="0"/>
              <w:jc w:val="center"/>
              <w:rPr>
                <w:rFonts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color w:val="auto"/>
                <w:szCs w:val="21"/>
                <w:highlight w:val="none"/>
              </w:rPr>
            </w:pPr>
          </w:p>
        </w:tc>
        <w:tc>
          <w:tcPr>
            <w:tcW w:w="34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color w:val="auto"/>
                <w:szCs w:val="21"/>
                <w:highlight w:val="none"/>
              </w:rPr>
            </w:pPr>
            <w:r>
              <w:rPr>
                <w:rFonts w:hint="eastAsia" w:ascii="宋体" w:hAnsi="宋体"/>
                <w:color w:val="auto"/>
                <w:szCs w:val="21"/>
                <w:highlight w:val="none"/>
              </w:rPr>
              <w:t>…</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color w:val="auto"/>
                <w:szCs w:val="21"/>
                <w:highlight w:val="none"/>
              </w:rPr>
            </w:pPr>
          </w:p>
        </w:tc>
        <w:tc>
          <w:tcPr>
            <w:tcW w:w="34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color w:val="auto"/>
                <w:szCs w:val="21"/>
                <w:highlight w:val="none"/>
              </w:rPr>
            </w:pPr>
          </w:p>
        </w:tc>
      </w:tr>
    </w:tbl>
    <w:p>
      <w:pPr>
        <w:tabs>
          <w:tab w:val="left" w:pos="3870"/>
          <w:tab w:val="left" w:pos="4085"/>
        </w:tabs>
        <w:snapToGrid w:val="0"/>
        <w:spacing w:line="360" w:lineRule="exact"/>
        <w:ind w:firstLine="0" w:firstLineChars="0"/>
        <w:rPr>
          <w:rFonts w:ascii="宋体" w:hAnsi="宋体"/>
          <w:b/>
          <w:color w:val="auto"/>
          <w:szCs w:val="21"/>
          <w:highlight w:val="none"/>
        </w:rPr>
      </w:pPr>
    </w:p>
    <w:p>
      <w:pPr>
        <w:tabs>
          <w:tab w:val="left" w:pos="3870"/>
          <w:tab w:val="left" w:pos="4085"/>
        </w:tabs>
        <w:snapToGrid w:val="0"/>
        <w:spacing w:line="360" w:lineRule="exact"/>
        <w:ind w:firstLine="0" w:firstLineChars="0"/>
        <w:rPr>
          <w:rFonts w:hint="eastAsia" w:ascii="宋体" w:hAnsi="宋体"/>
          <w:b/>
          <w:color w:val="auto"/>
          <w:szCs w:val="21"/>
          <w:highlight w:val="none"/>
        </w:rPr>
      </w:pPr>
    </w:p>
    <w:p>
      <w:pPr>
        <w:snapToGrid w:val="0"/>
        <w:spacing w:before="50" w:after="50" w:line="350" w:lineRule="exact"/>
        <w:ind w:right="-817" w:rightChars="-389" w:firstLine="0" w:firstLineChars="0"/>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投标人（盖章）：</w:t>
      </w:r>
      <w:r>
        <w:rPr>
          <w:rFonts w:hint="eastAsia" w:ascii="宋体" w:hAnsi="宋体"/>
          <w:color w:val="auto"/>
          <w:szCs w:val="21"/>
          <w:highlight w:val="none"/>
          <w:u w:val="single"/>
        </w:rPr>
        <w:t xml:space="preserve">           </w:t>
      </w:r>
    </w:p>
    <w:p>
      <w:pPr>
        <w:snapToGrid w:val="0"/>
        <w:spacing w:before="50" w:after="50" w:line="350" w:lineRule="exact"/>
        <w:ind w:right="-817" w:rightChars="-389" w:firstLine="0" w:firstLineChars="0"/>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bookmarkEnd w:id="239"/>
    <w:p>
      <w:pPr>
        <w:snapToGrid w:val="0"/>
        <w:spacing w:line="360" w:lineRule="exact"/>
        <w:ind w:firstLine="0" w:firstLineChars="0"/>
        <w:rPr>
          <w:rFonts w:hint="eastAsia" w:ascii="宋体" w:hAnsi="宋体"/>
          <w:b/>
          <w:color w:val="auto"/>
          <w:szCs w:val="21"/>
          <w:highlight w:val="none"/>
        </w:rPr>
      </w:pPr>
    </w:p>
    <w:p>
      <w:pPr>
        <w:snapToGrid w:val="0"/>
        <w:spacing w:line="700" w:lineRule="exact"/>
        <w:ind w:firstLine="0" w:firstLineChars="0"/>
        <w:jc w:val="center"/>
        <w:rPr>
          <w:rFonts w:hint="eastAsia" w:ascii="宋体" w:hAnsi="宋体"/>
          <w:b/>
          <w:color w:val="auto"/>
          <w:sz w:val="32"/>
          <w:szCs w:val="32"/>
          <w:highlight w:val="none"/>
        </w:rPr>
      </w:pPr>
      <w:r>
        <w:rPr>
          <w:rFonts w:hint="eastAsia" w:ascii="仿宋_GB2312" w:hAnsi="宋体" w:eastAsia="仿宋_GB2312"/>
          <w:b/>
          <w:color w:val="auto"/>
          <w:sz w:val="32"/>
          <w:szCs w:val="32"/>
          <w:highlight w:val="none"/>
        </w:rPr>
        <w:t>技术响应表</w:t>
      </w:r>
      <w:bookmarkStart w:id="241" w:name="_Hlk111728645"/>
      <w:r>
        <w:rPr>
          <w:rFonts w:hint="eastAsia" w:ascii="仿宋_GB2312" w:eastAsia="仿宋_GB2312"/>
          <w:bCs/>
          <w:color w:val="auto"/>
          <w:sz w:val="24"/>
          <w:highlight w:val="none"/>
        </w:rPr>
        <w:t>（格式）</w:t>
      </w:r>
      <w:bookmarkEnd w:id="241"/>
    </w:p>
    <w:p>
      <w:pPr>
        <w:snapToGrid w:val="0"/>
        <w:spacing w:line="160" w:lineRule="exact"/>
        <w:ind w:firstLine="0" w:firstLineChars="0"/>
        <w:jc w:val="center"/>
        <w:rPr>
          <w:rFonts w:ascii="宋体" w:hAnsi="宋体"/>
          <w:b/>
          <w:color w:val="auto"/>
          <w:szCs w:val="21"/>
          <w:highlight w:val="none"/>
        </w:rPr>
      </w:pPr>
    </w:p>
    <w:tbl>
      <w:tblPr>
        <w:tblStyle w:val="4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3"/>
        <w:gridCol w:w="1735"/>
        <w:gridCol w:w="1815"/>
        <w:gridCol w:w="3600"/>
        <w:gridCol w:w="15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1283" w:type="dxa"/>
            <w:vMerge w:val="restart"/>
            <w:tcBorders>
              <w:top w:val="single" w:color="auto" w:sz="4" w:space="0"/>
              <w:left w:val="single" w:color="auto" w:sz="4" w:space="0"/>
              <w:right w:val="single" w:color="auto" w:sz="4" w:space="0"/>
            </w:tcBorders>
            <w:noWrap w:val="0"/>
            <w:vAlign w:val="center"/>
          </w:tcPr>
          <w:p>
            <w:pPr>
              <w:ind w:firstLine="0" w:firstLineChars="0"/>
              <w:jc w:val="center"/>
              <w:rPr>
                <w:color w:val="auto"/>
                <w:highlight w:val="none"/>
              </w:rPr>
            </w:pPr>
            <w:r>
              <w:rPr>
                <w:rFonts w:hint="eastAsia"/>
                <w:color w:val="auto"/>
                <w:highlight w:val="none"/>
              </w:rPr>
              <w:t>序号</w:t>
            </w:r>
          </w:p>
        </w:tc>
        <w:tc>
          <w:tcPr>
            <w:tcW w:w="3550" w:type="dxa"/>
            <w:gridSpan w:val="2"/>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color w:val="auto"/>
                <w:highlight w:val="none"/>
              </w:rPr>
            </w:pPr>
            <w:r>
              <w:rPr>
                <w:rFonts w:hint="eastAsia"/>
                <w:color w:val="auto"/>
                <w:highlight w:val="none"/>
              </w:rPr>
              <w:t>招标文件要求</w:t>
            </w:r>
          </w:p>
        </w:tc>
        <w:tc>
          <w:tcPr>
            <w:tcW w:w="3600" w:type="dxa"/>
            <w:vMerge w:val="restart"/>
            <w:tcBorders>
              <w:top w:val="single" w:color="auto" w:sz="4" w:space="0"/>
              <w:left w:val="single" w:color="auto" w:sz="4" w:space="0"/>
              <w:right w:val="single" w:color="auto" w:sz="4" w:space="0"/>
            </w:tcBorders>
            <w:noWrap w:val="0"/>
            <w:vAlign w:val="center"/>
          </w:tcPr>
          <w:p>
            <w:pPr>
              <w:ind w:firstLine="23" w:firstLineChars="11"/>
              <w:jc w:val="center"/>
              <w:rPr>
                <w:rFonts w:hint="eastAsia"/>
                <w:color w:val="auto"/>
                <w:highlight w:val="none"/>
              </w:rPr>
            </w:pPr>
            <w:r>
              <w:rPr>
                <w:rFonts w:hint="eastAsia"/>
                <w:color w:val="auto"/>
                <w:highlight w:val="none"/>
              </w:rPr>
              <w:t>投标文件响应</w:t>
            </w:r>
          </w:p>
        </w:tc>
        <w:tc>
          <w:tcPr>
            <w:tcW w:w="1570" w:type="dxa"/>
            <w:vMerge w:val="restart"/>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color w:val="auto"/>
                <w:highlight w:val="none"/>
              </w:rPr>
            </w:pPr>
            <w:r>
              <w:rPr>
                <w:rFonts w:hint="eastAsia"/>
                <w:color w:val="auto"/>
                <w:highlight w:val="none"/>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4" w:hRule="exact"/>
          <w:jc w:val="center"/>
        </w:trPr>
        <w:tc>
          <w:tcPr>
            <w:tcW w:w="1283" w:type="dxa"/>
            <w:vMerge w:val="continue"/>
            <w:tcBorders>
              <w:left w:val="single" w:color="auto" w:sz="4" w:space="0"/>
              <w:bottom w:val="single" w:color="auto" w:sz="4" w:space="0"/>
              <w:right w:val="single" w:color="auto" w:sz="4" w:space="0"/>
            </w:tcBorders>
            <w:noWrap w:val="0"/>
            <w:vAlign w:val="center"/>
          </w:tcPr>
          <w:p>
            <w:pPr>
              <w:pStyle w:val="27"/>
              <w:snapToGrid w:val="0"/>
              <w:spacing w:line="360" w:lineRule="exact"/>
              <w:ind w:firstLine="0" w:firstLineChars="0"/>
              <w:jc w:val="center"/>
              <w:outlineLvl w:val="0"/>
              <w:rPr>
                <w:rFonts w:hAnsi="宋体"/>
                <w:color w:val="auto"/>
                <w:highlight w:val="none"/>
              </w:rPr>
            </w:pPr>
          </w:p>
        </w:tc>
        <w:tc>
          <w:tcPr>
            <w:tcW w:w="173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color w:val="auto"/>
                <w:highlight w:val="none"/>
              </w:rPr>
            </w:pPr>
            <w:r>
              <w:rPr>
                <w:rFonts w:hint="eastAsia"/>
                <w:color w:val="auto"/>
                <w:highlight w:val="none"/>
              </w:rPr>
              <w:t>标的名称</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color w:val="auto"/>
                <w:highlight w:val="none"/>
              </w:rPr>
            </w:pPr>
            <w:r>
              <w:rPr>
                <w:rFonts w:hint="eastAsia"/>
                <w:color w:val="auto"/>
                <w:highlight w:val="none"/>
              </w:rPr>
              <w:t>招标要求</w:t>
            </w:r>
          </w:p>
        </w:tc>
        <w:tc>
          <w:tcPr>
            <w:tcW w:w="3600" w:type="dxa"/>
            <w:vMerge w:val="continue"/>
            <w:tcBorders>
              <w:left w:val="single" w:color="auto" w:sz="4" w:space="0"/>
              <w:bottom w:val="single" w:color="auto" w:sz="4" w:space="0"/>
              <w:right w:val="single" w:color="auto" w:sz="4" w:space="0"/>
            </w:tcBorders>
            <w:noWrap w:val="0"/>
            <w:vAlign w:val="center"/>
          </w:tcPr>
          <w:p>
            <w:pPr>
              <w:ind w:firstLine="0" w:firstLineChars="0"/>
              <w:jc w:val="center"/>
              <w:rPr>
                <w:color w:val="auto"/>
                <w:highlight w:val="none"/>
              </w:rPr>
            </w:pPr>
          </w:p>
        </w:tc>
        <w:tc>
          <w:tcPr>
            <w:tcW w:w="15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0" w:firstLineChars="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2" w:hRule="exact"/>
          <w:jc w:val="center"/>
        </w:trPr>
        <w:tc>
          <w:tcPr>
            <w:tcW w:w="1283"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color w:val="auto"/>
                <w:highlight w:val="none"/>
              </w:rPr>
            </w:pPr>
            <w:r>
              <w:rPr>
                <w:rFonts w:hint="eastAsia"/>
                <w:color w:val="auto"/>
                <w:highlight w:val="none"/>
              </w:rPr>
              <w:t>1</w:t>
            </w:r>
          </w:p>
        </w:tc>
        <w:tc>
          <w:tcPr>
            <w:tcW w:w="1735" w:type="dxa"/>
            <w:tcBorders>
              <w:top w:val="single" w:color="auto" w:sz="4" w:space="0"/>
              <w:left w:val="single" w:color="auto" w:sz="4" w:space="0"/>
              <w:bottom w:val="single" w:color="auto" w:sz="4" w:space="0"/>
              <w:right w:val="single" w:color="auto" w:sz="4" w:space="0"/>
            </w:tcBorders>
            <w:noWrap w:val="0"/>
            <w:vAlign w:val="center"/>
          </w:tcPr>
          <w:p>
            <w:pPr>
              <w:ind w:right="-15" w:rightChars="-7" w:firstLine="0" w:firstLineChars="0"/>
              <w:jc w:val="center"/>
              <w:rPr>
                <w:rFonts w:hint="eastAsia"/>
                <w:color w:val="auto"/>
                <w:highlight w:val="none"/>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ind w:left="-2" w:leftChars="-1" w:firstLine="0" w:firstLineChars="0"/>
              <w:jc w:val="center"/>
              <w:rPr>
                <w:color w:val="auto"/>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ind w:left="-2" w:leftChars="-1" w:firstLine="0" w:firstLineChars="0"/>
              <w:jc w:val="center"/>
              <w:rPr>
                <w:rFonts w:hint="eastAsia"/>
                <w:color w:val="auto"/>
                <w:highlight w:val="none"/>
              </w:rPr>
            </w:pP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0" w:firstLineChars="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8" w:hRule="exact"/>
          <w:jc w:val="center"/>
        </w:trPr>
        <w:tc>
          <w:tcPr>
            <w:tcW w:w="1283"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color w:val="auto"/>
                <w:highlight w:val="none"/>
              </w:rPr>
            </w:pPr>
            <w:r>
              <w:rPr>
                <w:rFonts w:hint="eastAsia"/>
                <w:color w:val="auto"/>
                <w:highlight w:val="none"/>
              </w:rPr>
              <w:t>2</w:t>
            </w:r>
          </w:p>
        </w:tc>
        <w:tc>
          <w:tcPr>
            <w:tcW w:w="1735" w:type="dxa"/>
            <w:tcBorders>
              <w:top w:val="single" w:color="auto" w:sz="4" w:space="0"/>
              <w:left w:val="single" w:color="auto" w:sz="4" w:space="0"/>
              <w:bottom w:val="single" w:color="auto" w:sz="4" w:space="0"/>
              <w:right w:val="single" w:color="auto" w:sz="4" w:space="0"/>
            </w:tcBorders>
            <w:noWrap w:val="0"/>
            <w:vAlign w:val="center"/>
          </w:tcPr>
          <w:p>
            <w:pPr>
              <w:pStyle w:val="27"/>
              <w:snapToGrid w:val="0"/>
              <w:spacing w:line="320" w:lineRule="exact"/>
              <w:ind w:right="-15" w:rightChars="-7" w:firstLine="0" w:firstLineChars="0"/>
              <w:jc w:val="center"/>
              <w:outlineLvl w:val="0"/>
              <w:rPr>
                <w:rFonts w:hint="eastAsia" w:ascii="仿宋_GB2312" w:hAnsi="宋体" w:eastAsia="仿宋_GB2312"/>
                <w:color w:val="auto"/>
                <w:sz w:val="24"/>
                <w:szCs w:val="24"/>
                <w:highlight w:val="none"/>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pStyle w:val="27"/>
              <w:snapToGrid w:val="0"/>
              <w:spacing w:line="320" w:lineRule="exact"/>
              <w:ind w:firstLine="0" w:firstLineChars="0"/>
              <w:jc w:val="center"/>
              <w:outlineLvl w:val="0"/>
              <w:rPr>
                <w:rFonts w:ascii="仿宋_GB2312" w:hAnsi="宋体" w:eastAsia="仿宋_GB2312"/>
                <w:color w:val="auto"/>
                <w:sz w:val="24"/>
                <w:szCs w:val="24"/>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pStyle w:val="27"/>
              <w:snapToGrid w:val="0"/>
              <w:spacing w:line="320" w:lineRule="exact"/>
              <w:ind w:firstLine="0" w:firstLineChars="0"/>
              <w:jc w:val="center"/>
              <w:outlineLvl w:val="0"/>
              <w:rPr>
                <w:rFonts w:ascii="仿宋_GB2312" w:hAnsi="宋体" w:eastAsia="仿宋_GB2312"/>
                <w:color w:val="auto"/>
                <w:sz w:val="24"/>
                <w:szCs w:val="24"/>
                <w:highlight w:val="none"/>
              </w:rPr>
            </w:pP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0" w:firstLineChars="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8" w:hRule="exact"/>
          <w:jc w:val="center"/>
        </w:trPr>
        <w:tc>
          <w:tcPr>
            <w:tcW w:w="1283"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olor w:val="auto"/>
                <w:highlight w:val="none"/>
              </w:rPr>
            </w:pPr>
            <w:r>
              <w:rPr>
                <w:rFonts w:hint="eastAsia"/>
                <w:color w:val="auto"/>
                <w:highlight w:val="none"/>
              </w:rPr>
              <w:t>3</w:t>
            </w:r>
          </w:p>
        </w:tc>
        <w:tc>
          <w:tcPr>
            <w:tcW w:w="1735" w:type="dxa"/>
            <w:tcBorders>
              <w:top w:val="single" w:color="auto" w:sz="4" w:space="0"/>
              <w:left w:val="single" w:color="auto" w:sz="4" w:space="0"/>
              <w:bottom w:val="single" w:color="auto" w:sz="4" w:space="0"/>
              <w:right w:val="single" w:color="auto" w:sz="4" w:space="0"/>
            </w:tcBorders>
            <w:noWrap w:val="0"/>
            <w:vAlign w:val="center"/>
          </w:tcPr>
          <w:p>
            <w:pPr>
              <w:pStyle w:val="27"/>
              <w:snapToGrid w:val="0"/>
              <w:spacing w:line="320" w:lineRule="exact"/>
              <w:ind w:right="-15" w:rightChars="-7" w:firstLine="0" w:firstLineChars="0"/>
              <w:jc w:val="center"/>
              <w:outlineLvl w:val="0"/>
              <w:rPr>
                <w:rFonts w:hint="eastAsia" w:ascii="仿宋_GB2312" w:hAnsi="宋体" w:eastAsia="仿宋_GB2312"/>
                <w:color w:val="auto"/>
                <w:sz w:val="24"/>
                <w:szCs w:val="24"/>
                <w:highlight w:val="none"/>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pStyle w:val="27"/>
              <w:snapToGrid w:val="0"/>
              <w:spacing w:line="320" w:lineRule="exact"/>
              <w:ind w:firstLine="0" w:firstLineChars="0"/>
              <w:jc w:val="center"/>
              <w:outlineLvl w:val="0"/>
              <w:rPr>
                <w:rFonts w:ascii="仿宋_GB2312" w:hAnsi="宋体" w:eastAsia="仿宋_GB2312"/>
                <w:color w:val="auto"/>
                <w:sz w:val="24"/>
                <w:szCs w:val="24"/>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pStyle w:val="27"/>
              <w:snapToGrid w:val="0"/>
              <w:spacing w:line="320" w:lineRule="exact"/>
              <w:ind w:firstLine="0" w:firstLineChars="0"/>
              <w:jc w:val="center"/>
              <w:outlineLvl w:val="0"/>
              <w:rPr>
                <w:rFonts w:ascii="仿宋_GB2312" w:hAnsi="宋体" w:eastAsia="仿宋_GB2312"/>
                <w:color w:val="auto"/>
                <w:sz w:val="24"/>
                <w:szCs w:val="24"/>
                <w:highlight w:val="none"/>
              </w:rPr>
            </w:pP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0" w:firstLineChars="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8" w:hRule="exact"/>
          <w:jc w:val="center"/>
        </w:trPr>
        <w:tc>
          <w:tcPr>
            <w:tcW w:w="1283"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color w:val="auto"/>
                <w:highlight w:val="none"/>
              </w:rPr>
            </w:pPr>
            <w:r>
              <w:rPr>
                <w:rFonts w:hint="eastAsia"/>
                <w:color w:val="auto"/>
                <w:highlight w:val="none"/>
              </w:rPr>
              <w:t>…</w:t>
            </w:r>
          </w:p>
        </w:tc>
        <w:tc>
          <w:tcPr>
            <w:tcW w:w="1735" w:type="dxa"/>
            <w:tcBorders>
              <w:top w:val="single" w:color="auto" w:sz="4" w:space="0"/>
              <w:left w:val="single" w:color="auto" w:sz="4" w:space="0"/>
              <w:bottom w:val="single" w:color="auto" w:sz="4" w:space="0"/>
              <w:right w:val="single" w:color="auto" w:sz="4" w:space="0"/>
            </w:tcBorders>
            <w:noWrap w:val="0"/>
            <w:vAlign w:val="center"/>
          </w:tcPr>
          <w:p>
            <w:pPr>
              <w:pStyle w:val="27"/>
              <w:snapToGrid w:val="0"/>
              <w:spacing w:line="320" w:lineRule="exact"/>
              <w:ind w:right="-15" w:rightChars="-7" w:firstLine="0" w:firstLineChars="0"/>
              <w:jc w:val="center"/>
              <w:outlineLvl w:val="0"/>
              <w:rPr>
                <w:rFonts w:ascii="仿宋_GB2312" w:hAnsi="宋体" w:eastAsia="仿宋_GB2312"/>
                <w:color w:val="auto"/>
                <w:sz w:val="24"/>
                <w:szCs w:val="24"/>
                <w:highlight w:val="none"/>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pStyle w:val="27"/>
              <w:snapToGrid w:val="0"/>
              <w:spacing w:line="320" w:lineRule="exact"/>
              <w:ind w:firstLine="0" w:firstLineChars="0"/>
              <w:jc w:val="center"/>
              <w:outlineLvl w:val="0"/>
              <w:rPr>
                <w:rFonts w:ascii="仿宋_GB2312" w:hAnsi="宋体" w:eastAsia="仿宋_GB2312"/>
                <w:color w:val="auto"/>
                <w:sz w:val="24"/>
                <w:szCs w:val="24"/>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pStyle w:val="27"/>
              <w:snapToGrid w:val="0"/>
              <w:spacing w:line="320" w:lineRule="exact"/>
              <w:ind w:firstLine="0" w:firstLineChars="0"/>
              <w:jc w:val="center"/>
              <w:outlineLvl w:val="0"/>
              <w:rPr>
                <w:rFonts w:ascii="仿宋_GB2312" w:hAnsi="宋体" w:eastAsia="仿宋_GB2312"/>
                <w:color w:val="auto"/>
                <w:sz w:val="24"/>
                <w:szCs w:val="24"/>
                <w:highlight w:val="none"/>
              </w:rPr>
            </w:pP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0" w:firstLineChars="0"/>
              <w:jc w:val="center"/>
              <w:rPr>
                <w:rFonts w:ascii="宋体" w:hAnsi="宋体"/>
                <w:color w:val="auto"/>
                <w:szCs w:val="21"/>
                <w:highlight w:val="none"/>
              </w:rPr>
            </w:pPr>
          </w:p>
        </w:tc>
      </w:tr>
    </w:tbl>
    <w:p>
      <w:pPr>
        <w:pStyle w:val="21"/>
        <w:spacing w:line="380" w:lineRule="exact"/>
        <w:ind w:firstLine="0" w:firstLineChars="0"/>
        <w:rPr>
          <w:color w:val="auto"/>
          <w:sz w:val="21"/>
          <w:szCs w:val="21"/>
          <w:highlight w:val="none"/>
        </w:rPr>
      </w:pPr>
      <w:r>
        <w:rPr>
          <w:rFonts w:hint="eastAsia"/>
          <w:color w:val="auto"/>
          <w:sz w:val="21"/>
          <w:szCs w:val="21"/>
          <w:highlight w:val="none"/>
        </w:rPr>
        <w:t>注：</w:t>
      </w:r>
      <w:r>
        <w:rPr>
          <w:rFonts w:hint="eastAsia"/>
          <w:b w:val="0"/>
          <w:bCs w:val="0"/>
          <w:color w:val="auto"/>
          <w:sz w:val="21"/>
          <w:szCs w:val="21"/>
          <w:highlight w:val="none"/>
        </w:rPr>
        <w:t>投标人应根据投标设备的性能指标、对照招标文件要求在“偏离情况”栏注明“正偏离”、“负偏离”或“无偏离”。投标技术规格与招标要求相同的为无偏离，投标技术规格高于招标要求的为正偏离，低于招标要求的为负偏离。</w:t>
      </w:r>
    </w:p>
    <w:p>
      <w:pPr>
        <w:pStyle w:val="21"/>
        <w:spacing w:line="360" w:lineRule="exact"/>
        <w:ind w:firstLine="0" w:firstLineChars="0"/>
        <w:rPr>
          <w:rFonts w:hint="eastAsia"/>
          <w:color w:val="auto"/>
          <w:sz w:val="21"/>
          <w:szCs w:val="21"/>
          <w:highlight w:val="none"/>
        </w:rPr>
      </w:pPr>
    </w:p>
    <w:p>
      <w:pPr>
        <w:pStyle w:val="21"/>
        <w:spacing w:line="360" w:lineRule="exact"/>
        <w:ind w:firstLine="0" w:firstLineChars="0"/>
        <w:rPr>
          <w:rFonts w:ascii="宋体" w:hAnsi="宋体"/>
          <w:b w:val="0"/>
          <w:color w:val="auto"/>
          <w:sz w:val="21"/>
          <w:szCs w:val="21"/>
          <w:highlight w:val="none"/>
        </w:rPr>
      </w:pPr>
    </w:p>
    <w:p>
      <w:pPr>
        <w:snapToGrid w:val="0"/>
        <w:spacing w:before="50" w:after="50" w:line="350" w:lineRule="exact"/>
        <w:ind w:right="-817" w:rightChars="-389" w:firstLine="0" w:firstLineChars="0"/>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投标人（盖章）：</w:t>
      </w:r>
      <w:r>
        <w:rPr>
          <w:rFonts w:hint="eastAsia" w:ascii="宋体" w:hAnsi="宋体"/>
          <w:color w:val="auto"/>
          <w:szCs w:val="21"/>
          <w:highlight w:val="none"/>
          <w:u w:val="single"/>
        </w:rPr>
        <w:t xml:space="preserve">           </w:t>
      </w:r>
    </w:p>
    <w:p>
      <w:pPr>
        <w:spacing w:line="380" w:lineRule="atLeast"/>
        <w:ind w:firstLine="0" w:firstLineChars="0"/>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日期：</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autoSpaceDE w:val="0"/>
        <w:autoSpaceDN w:val="0"/>
        <w:adjustRightInd w:val="0"/>
        <w:ind w:firstLine="420"/>
        <w:jc w:val="center"/>
        <w:rPr>
          <w:rFonts w:ascii="宋体" w:hAnsi="宋体"/>
          <w:color w:val="auto"/>
          <w:szCs w:val="21"/>
          <w:highlight w:val="none"/>
        </w:rPr>
      </w:pPr>
      <w:r>
        <w:rPr>
          <w:rFonts w:ascii="宋体" w:hAnsi="宋体"/>
          <w:color w:val="auto"/>
          <w:szCs w:val="21"/>
          <w:highlight w:val="none"/>
        </w:rPr>
        <w:br w:type="page"/>
      </w:r>
    </w:p>
    <w:p>
      <w:pPr>
        <w:spacing w:line="440" w:lineRule="exact"/>
        <w:ind w:left="-47" w:leftChars="-200" w:hanging="373" w:hangingChars="116"/>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中小企业声明函</w:t>
      </w:r>
      <w:r>
        <w:rPr>
          <w:rFonts w:hint="eastAsia" w:ascii="仿宋_GB2312" w:eastAsia="仿宋_GB2312"/>
          <w:bCs/>
          <w:color w:val="auto"/>
          <w:sz w:val="24"/>
          <w:highlight w:val="none"/>
        </w:rPr>
        <w:t>（格式）</w:t>
      </w:r>
    </w:p>
    <w:p>
      <w:pPr>
        <w:spacing w:line="440" w:lineRule="exact"/>
        <w:ind w:left="2" w:hanging="2" w:firstLineChars="0"/>
        <w:jc w:val="left"/>
        <w:rPr>
          <w:rFonts w:hint="eastAsia" w:ascii="仿宋_GB2312" w:hAnsi="宋体" w:eastAsia="仿宋_GB2312"/>
          <w:b/>
          <w:color w:val="auto"/>
          <w:szCs w:val="21"/>
          <w:highlight w:val="none"/>
        </w:rPr>
      </w:pPr>
    </w:p>
    <w:p>
      <w:pPr>
        <w:spacing w:line="600" w:lineRule="exact"/>
        <w:ind w:firstLine="294" w:firstLineChars="140"/>
        <w:jc w:val="left"/>
        <w:rPr>
          <w:rFonts w:ascii="宋体" w:hAnsi="宋体"/>
          <w:bCs/>
          <w:color w:val="auto"/>
          <w:szCs w:val="21"/>
          <w:highlight w:val="none"/>
        </w:rPr>
      </w:pPr>
      <w:bookmarkStart w:id="242" w:name="_Hlk94193902"/>
      <w:r>
        <w:rPr>
          <w:rFonts w:hint="eastAsia" w:ascii="宋体" w:hAnsi="宋体"/>
          <w:bCs/>
          <w:color w:val="auto"/>
          <w:szCs w:val="21"/>
          <w:highlight w:val="none"/>
        </w:rPr>
        <w:t>本公司郑重声明，根据</w:t>
      </w:r>
      <w:bookmarkStart w:id="243" w:name="_Hlk82091685"/>
      <w:r>
        <w:rPr>
          <w:rFonts w:ascii="宋体" w:hAnsi="宋体"/>
          <w:bCs/>
          <w:color w:val="auto"/>
          <w:szCs w:val="21"/>
          <w:highlight w:val="none"/>
        </w:rPr>
        <w:fldChar w:fldCharType="begin"/>
      </w:r>
      <w:r>
        <w:rPr>
          <w:rFonts w:ascii="宋体" w:hAnsi="宋体"/>
          <w:bCs/>
          <w:color w:val="auto"/>
          <w:szCs w:val="21"/>
          <w:highlight w:val="none"/>
        </w:rPr>
        <w:instrText xml:space="preserve"> </w:instrText>
      </w:r>
      <w:r>
        <w:rPr>
          <w:rFonts w:hint="eastAsia" w:ascii="宋体" w:hAnsi="宋体"/>
          <w:bCs/>
          <w:color w:val="auto"/>
          <w:szCs w:val="21"/>
          <w:highlight w:val="none"/>
        </w:rPr>
        <w:instrText xml:space="preserve">HYPERLINK "http://www.gov.cn/zhengce/zhengceku/2020-12/29/content_5574611.htm"</w:instrText>
      </w:r>
      <w:r>
        <w:rPr>
          <w:rFonts w:ascii="宋体" w:hAnsi="宋体"/>
          <w:bCs/>
          <w:color w:val="auto"/>
          <w:szCs w:val="21"/>
          <w:highlight w:val="none"/>
        </w:rPr>
        <w:instrText xml:space="preserve"> </w:instrText>
      </w:r>
      <w:r>
        <w:rPr>
          <w:rFonts w:ascii="宋体" w:hAnsi="宋体"/>
          <w:bCs/>
          <w:color w:val="auto"/>
          <w:szCs w:val="21"/>
          <w:highlight w:val="none"/>
        </w:rPr>
        <w:fldChar w:fldCharType="separate"/>
      </w:r>
      <w:r>
        <w:rPr>
          <w:rStyle w:val="58"/>
          <w:rFonts w:hint="eastAsia" w:ascii="宋体" w:hAnsi="宋体"/>
          <w:bCs/>
          <w:color w:val="auto"/>
          <w:szCs w:val="21"/>
          <w:highlight w:val="none"/>
          <w:u w:val="none"/>
        </w:rPr>
        <w:t>《政府采购促进中小企业发展管理办法》</w:t>
      </w:r>
      <w:bookmarkStart w:id="244" w:name="_Hlk60836554"/>
      <w:r>
        <w:rPr>
          <w:rStyle w:val="58"/>
          <w:rFonts w:hint="eastAsia" w:ascii="宋体" w:hAnsi="宋体"/>
          <w:bCs/>
          <w:color w:val="auto"/>
          <w:szCs w:val="21"/>
          <w:highlight w:val="none"/>
          <w:u w:val="none"/>
        </w:rPr>
        <w:t>（财库﹝2020﹞46号）</w:t>
      </w:r>
      <w:bookmarkEnd w:id="243"/>
      <w:bookmarkEnd w:id="244"/>
      <w:r>
        <w:rPr>
          <w:rFonts w:ascii="宋体" w:hAnsi="宋体"/>
          <w:bCs/>
          <w:color w:val="auto"/>
          <w:szCs w:val="21"/>
          <w:highlight w:val="none"/>
        </w:rPr>
        <w:fldChar w:fldCharType="end"/>
      </w:r>
      <w:r>
        <w:rPr>
          <w:rFonts w:hint="eastAsia" w:ascii="宋体" w:hAnsi="宋体"/>
          <w:bCs/>
          <w:color w:val="auto"/>
          <w:szCs w:val="21"/>
          <w:highlight w:val="none"/>
        </w:rPr>
        <w:t>的规定，本公司参加</w:t>
      </w:r>
      <w:bookmarkStart w:id="245" w:name="_Hlk82091228"/>
      <w:r>
        <w:rPr>
          <w:rFonts w:hint="eastAsia" w:ascii="宋体" w:hAnsi="宋体"/>
          <w:bCs/>
          <w:color w:val="auto"/>
          <w:szCs w:val="21"/>
          <w:highlight w:val="none"/>
        </w:rPr>
        <w:t>（</w:t>
      </w:r>
      <w:r>
        <w:rPr>
          <w:rFonts w:hint="eastAsia" w:ascii="宋体" w:hAnsi="宋体"/>
          <w:bCs/>
          <w:color w:val="auto"/>
          <w:szCs w:val="21"/>
          <w:highlight w:val="none"/>
          <w:u w:val="single"/>
        </w:rPr>
        <w:t>单位名称</w:t>
      </w:r>
      <w:r>
        <w:rPr>
          <w:rFonts w:hint="eastAsia" w:ascii="宋体" w:hAnsi="宋体"/>
          <w:bCs/>
          <w:color w:val="auto"/>
          <w:szCs w:val="21"/>
          <w:highlight w:val="none"/>
        </w:rPr>
        <w:t>）的（</w:t>
      </w:r>
      <w:r>
        <w:rPr>
          <w:rFonts w:hint="eastAsia" w:ascii="宋体" w:hAnsi="宋体"/>
          <w:bCs/>
          <w:color w:val="auto"/>
          <w:szCs w:val="21"/>
          <w:highlight w:val="none"/>
          <w:u w:val="single"/>
        </w:rPr>
        <w:t>项目名称</w:t>
      </w:r>
      <w:r>
        <w:rPr>
          <w:rFonts w:hint="eastAsia" w:ascii="宋体" w:hAnsi="宋体"/>
          <w:bCs/>
          <w:color w:val="auto"/>
          <w:szCs w:val="21"/>
          <w:highlight w:val="none"/>
        </w:rPr>
        <w:t>）</w:t>
      </w:r>
      <w:bookmarkEnd w:id="245"/>
      <w:r>
        <w:rPr>
          <w:rFonts w:hint="eastAsia" w:ascii="宋体" w:hAnsi="宋体"/>
          <w:bCs/>
          <w:color w:val="auto"/>
          <w:szCs w:val="21"/>
          <w:highlight w:val="none"/>
        </w:rPr>
        <w:t>采购活动，提供的货物全部由符合政策要求的中小企业制造。相关企业的具体情况如下：</w:t>
      </w:r>
    </w:p>
    <w:p>
      <w:pPr>
        <w:spacing w:line="600" w:lineRule="exact"/>
        <w:ind w:firstLine="294" w:firstLineChars="140"/>
        <w:jc w:val="left"/>
        <w:rPr>
          <w:rFonts w:ascii="宋体" w:hAnsi="宋体"/>
          <w:bCs/>
          <w:color w:val="auto"/>
          <w:szCs w:val="21"/>
          <w:highlight w:val="none"/>
        </w:rPr>
      </w:pPr>
      <w:r>
        <w:rPr>
          <w:rFonts w:hint="eastAsia" w:ascii="宋体" w:hAnsi="宋体"/>
          <w:bCs/>
          <w:color w:val="auto"/>
          <w:szCs w:val="21"/>
          <w:highlight w:val="none"/>
        </w:rPr>
        <w:t>1.</w:t>
      </w:r>
      <w:bookmarkStart w:id="246" w:name="_Hlk60836996"/>
      <w:r>
        <w:rPr>
          <w:rFonts w:hint="eastAsia" w:ascii="宋体" w:hAnsi="宋体"/>
          <w:bCs/>
          <w:color w:val="auto"/>
          <w:szCs w:val="21"/>
          <w:highlight w:val="none"/>
        </w:rPr>
        <w:t>（</w:t>
      </w:r>
      <w:r>
        <w:rPr>
          <w:rFonts w:hint="eastAsia" w:ascii="宋体" w:hAnsi="宋体"/>
          <w:bCs/>
          <w:color w:val="auto"/>
          <w:szCs w:val="21"/>
          <w:highlight w:val="none"/>
          <w:u w:val="single"/>
        </w:rPr>
        <w:t>标的名称</w:t>
      </w:r>
      <w:r>
        <w:rPr>
          <w:rFonts w:hint="eastAsia" w:ascii="宋体" w:hAnsi="宋体"/>
          <w:bCs/>
          <w:color w:val="auto"/>
          <w:szCs w:val="21"/>
          <w:highlight w:val="none"/>
        </w:rPr>
        <w:t>），属于（</w:t>
      </w:r>
      <w:r>
        <w:rPr>
          <w:rFonts w:hint="eastAsia" w:ascii="宋体" w:hAnsi="宋体"/>
          <w:bCs/>
          <w:color w:val="auto"/>
          <w:szCs w:val="21"/>
          <w:highlight w:val="none"/>
          <w:u w:val="single"/>
        </w:rPr>
        <w:t>采购文件中明确的所属行业</w:t>
      </w:r>
      <w:r>
        <w:rPr>
          <w:rFonts w:hint="eastAsia" w:ascii="宋体" w:hAnsi="宋体"/>
          <w:bCs/>
          <w:color w:val="auto"/>
          <w:szCs w:val="21"/>
          <w:highlight w:val="none"/>
        </w:rPr>
        <w:t>）行业；制造商为（</w:t>
      </w:r>
      <w:r>
        <w:rPr>
          <w:rFonts w:hint="eastAsia" w:ascii="宋体" w:hAnsi="宋体"/>
          <w:bCs/>
          <w:color w:val="auto"/>
          <w:szCs w:val="21"/>
          <w:highlight w:val="none"/>
          <w:u w:val="single"/>
        </w:rPr>
        <w:t>企业名称</w:t>
      </w:r>
      <w:r>
        <w:rPr>
          <w:rFonts w:hint="eastAsia" w:ascii="宋体" w:hAnsi="宋体"/>
          <w:bCs/>
          <w:color w:val="auto"/>
          <w:szCs w:val="21"/>
          <w:highlight w:val="none"/>
        </w:rPr>
        <w:t>），从业人员人，营业收入为万元，资产总额为万元，属于（</w:t>
      </w:r>
      <w:r>
        <w:rPr>
          <w:rFonts w:hint="eastAsia" w:ascii="宋体" w:hAnsi="宋体"/>
          <w:bCs/>
          <w:color w:val="auto"/>
          <w:szCs w:val="21"/>
          <w:highlight w:val="none"/>
          <w:u w:val="single"/>
        </w:rPr>
        <w:t>中型企业、小型企业、微型企业</w:t>
      </w:r>
      <w:r>
        <w:rPr>
          <w:rFonts w:hint="eastAsia" w:ascii="宋体" w:hAnsi="宋体"/>
          <w:bCs/>
          <w:color w:val="auto"/>
          <w:szCs w:val="21"/>
          <w:highlight w:val="none"/>
        </w:rPr>
        <w:t>）；</w:t>
      </w:r>
      <w:bookmarkEnd w:id="246"/>
    </w:p>
    <w:p>
      <w:pPr>
        <w:spacing w:line="600" w:lineRule="exact"/>
        <w:ind w:firstLine="294" w:firstLineChars="140"/>
        <w:jc w:val="left"/>
        <w:rPr>
          <w:rFonts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u w:val="single"/>
        </w:rPr>
        <w:t>标的名称</w:t>
      </w:r>
      <w:r>
        <w:rPr>
          <w:rFonts w:hint="eastAsia" w:ascii="宋体" w:hAnsi="宋体"/>
          <w:bCs/>
          <w:color w:val="auto"/>
          <w:szCs w:val="21"/>
          <w:highlight w:val="none"/>
        </w:rPr>
        <w:t>），属于（</w:t>
      </w:r>
      <w:r>
        <w:rPr>
          <w:rFonts w:hint="eastAsia" w:ascii="宋体" w:hAnsi="宋体"/>
          <w:bCs/>
          <w:color w:val="auto"/>
          <w:szCs w:val="21"/>
          <w:highlight w:val="none"/>
          <w:u w:val="single"/>
        </w:rPr>
        <w:t>采购文件中明确的所属行业</w:t>
      </w:r>
      <w:r>
        <w:rPr>
          <w:rFonts w:hint="eastAsia" w:ascii="宋体" w:hAnsi="宋体"/>
          <w:bCs/>
          <w:color w:val="auto"/>
          <w:szCs w:val="21"/>
          <w:highlight w:val="none"/>
        </w:rPr>
        <w:t>）行业；制造商为（</w:t>
      </w:r>
      <w:r>
        <w:rPr>
          <w:rFonts w:hint="eastAsia" w:ascii="宋体" w:hAnsi="宋体"/>
          <w:bCs/>
          <w:color w:val="auto"/>
          <w:szCs w:val="21"/>
          <w:highlight w:val="none"/>
          <w:u w:val="single"/>
        </w:rPr>
        <w:t>企业名称</w:t>
      </w:r>
      <w:r>
        <w:rPr>
          <w:rFonts w:hint="eastAsia" w:ascii="宋体" w:hAnsi="宋体"/>
          <w:bCs/>
          <w:color w:val="auto"/>
          <w:szCs w:val="21"/>
          <w:highlight w:val="none"/>
        </w:rPr>
        <w:t>），从业人员人，营业收入为万元，资产总额为万元，属于（</w:t>
      </w:r>
      <w:r>
        <w:rPr>
          <w:rFonts w:hint="eastAsia" w:ascii="宋体" w:hAnsi="宋体"/>
          <w:bCs/>
          <w:color w:val="auto"/>
          <w:szCs w:val="21"/>
          <w:highlight w:val="none"/>
          <w:u w:val="single"/>
        </w:rPr>
        <w:t>中型企业、小型企业、微型企业</w:t>
      </w:r>
      <w:r>
        <w:rPr>
          <w:rFonts w:hint="eastAsia" w:ascii="宋体" w:hAnsi="宋体"/>
          <w:bCs/>
          <w:color w:val="auto"/>
          <w:szCs w:val="21"/>
          <w:highlight w:val="none"/>
        </w:rPr>
        <w:t>）；</w:t>
      </w:r>
    </w:p>
    <w:p>
      <w:pPr>
        <w:spacing w:line="600" w:lineRule="exact"/>
        <w:ind w:firstLine="294" w:firstLineChars="140"/>
        <w:jc w:val="left"/>
        <w:rPr>
          <w:rFonts w:ascii="宋体" w:hAnsi="宋体"/>
          <w:bCs/>
          <w:color w:val="auto"/>
          <w:szCs w:val="21"/>
          <w:highlight w:val="none"/>
        </w:rPr>
      </w:pPr>
      <w:r>
        <w:rPr>
          <w:rFonts w:hint="eastAsia" w:ascii="宋体" w:hAnsi="宋体"/>
          <w:bCs/>
          <w:color w:val="auto"/>
          <w:szCs w:val="21"/>
          <w:highlight w:val="none"/>
        </w:rPr>
        <w:t>……</w:t>
      </w:r>
    </w:p>
    <w:p>
      <w:pPr>
        <w:spacing w:line="600" w:lineRule="exact"/>
        <w:ind w:firstLine="294" w:firstLineChars="140"/>
        <w:jc w:val="left"/>
        <w:rPr>
          <w:rFonts w:ascii="宋体" w:hAnsi="宋体"/>
          <w:bCs/>
          <w:color w:val="auto"/>
          <w:szCs w:val="21"/>
          <w:highlight w:val="none"/>
        </w:rPr>
      </w:pPr>
      <w:r>
        <w:rPr>
          <w:rFonts w:hint="eastAsia" w:ascii="宋体" w:hAnsi="宋体"/>
          <w:bCs/>
          <w:color w:val="auto"/>
          <w:szCs w:val="21"/>
          <w:highlight w:val="none"/>
        </w:rPr>
        <w:t>以上企业，不属于大企业的分支机构，不存在控股股东为大企业的情形，也不存在与大企业的负责人为同一人的情形。</w:t>
      </w:r>
    </w:p>
    <w:p>
      <w:pPr>
        <w:spacing w:line="600" w:lineRule="exact"/>
        <w:ind w:firstLine="294" w:firstLineChars="140"/>
        <w:jc w:val="left"/>
        <w:rPr>
          <w:rFonts w:ascii="宋体" w:hAnsi="宋体"/>
          <w:bCs/>
          <w:color w:val="auto"/>
          <w:szCs w:val="21"/>
          <w:highlight w:val="none"/>
        </w:rPr>
      </w:pPr>
      <w:r>
        <w:rPr>
          <w:rFonts w:hint="eastAsia" w:ascii="宋体" w:hAnsi="宋体"/>
          <w:bCs/>
          <w:color w:val="auto"/>
          <w:szCs w:val="21"/>
          <w:highlight w:val="none"/>
        </w:rPr>
        <w:t>本企业对上述声明内容的真实性负责。如有虚假，将依法承担相应责任。</w:t>
      </w:r>
    </w:p>
    <w:p>
      <w:pPr>
        <w:ind w:firstLine="0" w:firstLineChars="0"/>
        <w:rPr>
          <w:color w:val="auto"/>
          <w:szCs w:val="21"/>
          <w:highlight w:val="none"/>
        </w:rPr>
      </w:pPr>
    </w:p>
    <w:p>
      <w:pPr>
        <w:ind w:firstLine="0" w:firstLineChars="0"/>
        <w:rPr>
          <w:color w:val="auto"/>
          <w:szCs w:val="21"/>
          <w:highlight w:val="none"/>
        </w:rPr>
      </w:pPr>
    </w:p>
    <w:p>
      <w:pPr>
        <w:ind w:firstLine="0" w:firstLineChars="0"/>
        <w:rPr>
          <w:rFonts w:hint="eastAsia"/>
          <w:color w:val="auto"/>
          <w:szCs w:val="21"/>
          <w:highlight w:val="none"/>
        </w:rPr>
      </w:pPr>
    </w:p>
    <w:p>
      <w:pPr>
        <w:spacing w:line="440" w:lineRule="exact"/>
        <w:ind w:firstLine="5250" w:firstLineChars="2500"/>
        <w:jc w:val="left"/>
        <w:rPr>
          <w:rFonts w:ascii="宋体" w:hAnsi="宋体"/>
          <w:bCs/>
          <w:color w:val="auto"/>
          <w:szCs w:val="21"/>
          <w:highlight w:val="none"/>
        </w:rPr>
      </w:pPr>
      <w:r>
        <w:rPr>
          <w:rFonts w:hint="eastAsia" w:ascii="宋体" w:hAnsi="宋体"/>
          <w:bCs/>
          <w:color w:val="auto"/>
          <w:szCs w:val="21"/>
          <w:highlight w:val="none"/>
        </w:rPr>
        <w:t>企业名称（盖章）：</w:t>
      </w:r>
      <w:r>
        <w:rPr>
          <w:rFonts w:hint="eastAsia" w:hAnsi="宋体"/>
          <w:color w:val="auto"/>
          <w:szCs w:val="21"/>
          <w:highlight w:val="none"/>
          <w:u w:val="single"/>
        </w:rPr>
        <w:t xml:space="preserve"> </w:t>
      </w:r>
      <w:r>
        <w:rPr>
          <w:rFonts w:hAnsi="宋体"/>
          <w:color w:val="auto"/>
          <w:szCs w:val="21"/>
          <w:highlight w:val="none"/>
          <w:u w:val="single"/>
        </w:rPr>
        <w:t xml:space="preserve">              </w:t>
      </w:r>
    </w:p>
    <w:p>
      <w:pPr>
        <w:spacing w:line="440" w:lineRule="exact"/>
        <w:ind w:firstLine="5250" w:firstLineChars="2500"/>
        <w:jc w:val="left"/>
        <w:rPr>
          <w:rFonts w:ascii="宋体" w:hAnsi="宋体"/>
          <w:bCs/>
          <w:color w:val="auto"/>
          <w:szCs w:val="21"/>
          <w:highlight w:val="none"/>
        </w:rPr>
      </w:pPr>
      <w:r>
        <w:rPr>
          <w:rFonts w:hint="eastAsia" w:ascii="宋体" w:hAnsi="宋体"/>
          <w:bCs/>
          <w:color w:val="auto"/>
          <w:szCs w:val="21"/>
          <w:highlight w:val="none"/>
        </w:rPr>
        <w:t>日 期：</w:t>
      </w:r>
      <w:r>
        <w:rPr>
          <w:rFonts w:hint="eastAsia" w:hAnsi="宋体"/>
          <w:color w:val="auto"/>
          <w:szCs w:val="21"/>
          <w:highlight w:val="none"/>
          <w:u w:val="single"/>
        </w:rPr>
        <w:t xml:space="preserve"> </w:t>
      </w:r>
      <w:r>
        <w:rPr>
          <w:rFonts w:hAnsi="宋体"/>
          <w:color w:val="auto"/>
          <w:szCs w:val="21"/>
          <w:highlight w:val="none"/>
          <w:u w:val="single"/>
        </w:rPr>
        <w:t xml:space="preserve">                        </w:t>
      </w:r>
    </w:p>
    <w:bookmarkEnd w:id="242"/>
    <w:p>
      <w:pPr>
        <w:ind w:firstLine="0" w:firstLineChars="0"/>
        <w:rPr>
          <w:color w:val="auto"/>
          <w:szCs w:val="21"/>
          <w:highlight w:val="none"/>
        </w:rPr>
      </w:pPr>
    </w:p>
    <w:p>
      <w:pPr>
        <w:ind w:firstLine="0" w:firstLineChars="0"/>
        <w:rPr>
          <w:color w:val="auto"/>
          <w:szCs w:val="21"/>
          <w:highlight w:val="none"/>
        </w:rPr>
      </w:pPr>
    </w:p>
    <w:p>
      <w:pPr>
        <w:ind w:firstLine="0" w:firstLineChars="0"/>
        <w:rPr>
          <w:color w:val="auto"/>
          <w:szCs w:val="21"/>
          <w:highlight w:val="none"/>
        </w:rPr>
      </w:pPr>
    </w:p>
    <w:p>
      <w:pPr>
        <w:ind w:firstLine="0" w:firstLineChars="0"/>
        <w:rPr>
          <w:color w:val="auto"/>
          <w:szCs w:val="21"/>
          <w:highlight w:val="none"/>
        </w:rPr>
      </w:pPr>
    </w:p>
    <w:p>
      <w:pPr>
        <w:ind w:firstLine="0" w:firstLineChars="0"/>
        <w:rPr>
          <w:rFonts w:hint="eastAsia"/>
          <w:color w:val="auto"/>
          <w:szCs w:val="21"/>
          <w:highlight w:val="none"/>
        </w:rPr>
      </w:pPr>
    </w:p>
    <w:p>
      <w:pPr>
        <w:spacing w:line="320" w:lineRule="exact"/>
        <w:ind w:firstLine="0" w:firstLineChars="0"/>
        <w:rPr>
          <w:color w:val="auto"/>
          <w:szCs w:val="21"/>
          <w:highlight w:val="none"/>
        </w:rPr>
      </w:pPr>
    </w:p>
    <w:p>
      <w:pPr>
        <w:spacing w:line="320" w:lineRule="exact"/>
        <w:ind w:firstLine="0" w:firstLineChars="0"/>
        <w:rPr>
          <w:rFonts w:hint="eastAsia"/>
          <w:color w:val="auto"/>
          <w:szCs w:val="21"/>
          <w:highlight w:val="none"/>
        </w:rPr>
      </w:pPr>
    </w:p>
    <w:p>
      <w:pPr>
        <w:spacing w:line="320" w:lineRule="exact"/>
        <w:ind w:firstLine="0" w:firstLineChars="0"/>
        <w:rPr>
          <w:rFonts w:hint="eastAsia"/>
          <w:color w:val="auto"/>
          <w:szCs w:val="21"/>
          <w:highlight w:val="none"/>
        </w:rPr>
      </w:pPr>
    </w:p>
    <w:p>
      <w:pPr>
        <w:spacing w:line="320" w:lineRule="exact"/>
        <w:ind w:firstLine="0" w:firstLineChars="0"/>
        <w:rPr>
          <w:rFonts w:hint="eastAsia"/>
          <w:color w:val="auto"/>
          <w:szCs w:val="21"/>
          <w:highlight w:val="none"/>
        </w:rPr>
      </w:pPr>
    </w:p>
    <w:p>
      <w:pPr>
        <w:spacing w:line="320" w:lineRule="exact"/>
        <w:ind w:firstLine="0" w:firstLineChars="0"/>
        <w:rPr>
          <w:rFonts w:hint="eastAsia"/>
          <w:color w:val="auto"/>
          <w:szCs w:val="21"/>
          <w:highlight w:val="none"/>
        </w:rPr>
      </w:pPr>
    </w:p>
    <w:p>
      <w:pPr>
        <w:spacing w:line="320" w:lineRule="exact"/>
        <w:ind w:left="420" w:firstLine="0" w:firstLineChars="0"/>
        <w:rPr>
          <w:rFonts w:hint="eastAsia" w:ascii="宋体" w:hAnsi="宋体"/>
          <w:color w:val="auto"/>
          <w:sz w:val="18"/>
          <w:szCs w:val="18"/>
          <w:highlight w:val="none"/>
        </w:rPr>
      </w:pPr>
      <w:bookmarkStart w:id="247" w:name="_Hlk82091879"/>
      <w:r>
        <w:rPr>
          <w:rFonts w:ascii="宋体" w:hAnsi="宋体"/>
          <w:color w:val="auto"/>
          <w:sz w:val="18"/>
          <w:szCs w:val="18"/>
          <w:highlight w:val="none"/>
        </w:rPr>
        <w:fldChar w:fldCharType="begin"/>
      </w:r>
      <w:r>
        <w:rPr>
          <w:rFonts w:ascii="宋体" w:hAnsi="宋体"/>
          <w:color w:val="auto"/>
          <w:sz w:val="18"/>
          <w:szCs w:val="18"/>
          <w:highlight w:val="none"/>
        </w:rPr>
        <w:instrText xml:space="preserve">EQ \* jc2 \* "Font:宋体" \* hps9 \o\ad(\s\up 8(——),从)</w:instrText>
      </w:r>
      <w:r>
        <w:rPr>
          <w:rFonts w:ascii="宋体" w:hAnsi="宋体"/>
          <w:color w:val="auto"/>
          <w:sz w:val="18"/>
          <w:szCs w:val="18"/>
          <w:highlight w:val="none"/>
        </w:rPr>
        <w:fldChar w:fldCharType="end"/>
      </w:r>
      <w:r>
        <w:rPr>
          <w:rFonts w:ascii="宋体" w:hAnsi="宋体"/>
          <w:color w:val="auto"/>
          <w:sz w:val="18"/>
          <w:szCs w:val="18"/>
          <w:highlight w:val="none"/>
        </w:rPr>
        <w:fldChar w:fldCharType="begin"/>
      </w:r>
      <w:r>
        <w:rPr>
          <w:rFonts w:ascii="宋体" w:hAnsi="宋体"/>
          <w:color w:val="auto"/>
          <w:sz w:val="18"/>
          <w:szCs w:val="18"/>
          <w:highlight w:val="none"/>
        </w:rPr>
        <w:instrText xml:space="preserve">EQ \* jc2 \* "Font:宋体" \* hps9 \o\ad(\s\up 8(——),业)</w:instrText>
      </w:r>
      <w:r>
        <w:rPr>
          <w:rFonts w:ascii="宋体" w:hAnsi="宋体"/>
          <w:color w:val="auto"/>
          <w:sz w:val="18"/>
          <w:szCs w:val="18"/>
          <w:highlight w:val="none"/>
        </w:rPr>
        <w:fldChar w:fldCharType="end"/>
      </w:r>
      <w:r>
        <w:rPr>
          <w:rFonts w:ascii="宋体" w:hAnsi="宋体"/>
          <w:color w:val="auto"/>
          <w:sz w:val="18"/>
          <w:szCs w:val="18"/>
          <w:highlight w:val="none"/>
        </w:rPr>
        <w:fldChar w:fldCharType="begin"/>
      </w:r>
      <w:r>
        <w:rPr>
          <w:rFonts w:ascii="宋体" w:hAnsi="宋体"/>
          <w:color w:val="auto"/>
          <w:sz w:val="18"/>
          <w:szCs w:val="18"/>
          <w:highlight w:val="none"/>
        </w:rPr>
        <w:instrText xml:space="preserve">EQ \* jc2 \* "Font:宋体" \* hps9 \o\ad(\s\up 8(——),人)</w:instrText>
      </w:r>
      <w:r>
        <w:rPr>
          <w:rFonts w:ascii="宋体" w:hAnsi="宋体"/>
          <w:color w:val="auto"/>
          <w:sz w:val="18"/>
          <w:szCs w:val="18"/>
          <w:highlight w:val="none"/>
        </w:rPr>
        <w:fldChar w:fldCharType="end"/>
      </w:r>
      <w:r>
        <w:rPr>
          <w:rFonts w:ascii="宋体" w:hAnsi="宋体"/>
          <w:color w:val="auto"/>
          <w:sz w:val="18"/>
          <w:szCs w:val="18"/>
          <w:highlight w:val="none"/>
        </w:rPr>
        <w:fldChar w:fldCharType="begin"/>
      </w:r>
      <w:r>
        <w:rPr>
          <w:rFonts w:ascii="宋体" w:hAnsi="宋体"/>
          <w:color w:val="auto"/>
          <w:sz w:val="18"/>
          <w:szCs w:val="18"/>
          <w:highlight w:val="none"/>
        </w:rPr>
        <w:instrText xml:space="preserve">EQ \* jc2 \* "Font:宋体" \* hps9 \o\ad(\s\up 8(——),员)</w:instrText>
      </w:r>
      <w:r>
        <w:rPr>
          <w:rFonts w:ascii="宋体" w:hAnsi="宋体"/>
          <w:color w:val="auto"/>
          <w:sz w:val="18"/>
          <w:szCs w:val="18"/>
          <w:highlight w:val="none"/>
        </w:rPr>
        <w:fldChar w:fldCharType="end"/>
      </w:r>
      <w:r>
        <w:rPr>
          <w:rFonts w:ascii="宋体" w:hAnsi="宋体"/>
          <w:color w:val="auto"/>
          <w:sz w:val="18"/>
          <w:szCs w:val="18"/>
          <w:highlight w:val="none"/>
        </w:rPr>
        <w:fldChar w:fldCharType="begin"/>
      </w:r>
      <w:r>
        <w:rPr>
          <w:rFonts w:ascii="宋体" w:hAnsi="宋体"/>
          <w:color w:val="auto"/>
          <w:sz w:val="18"/>
          <w:szCs w:val="18"/>
          <w:highlight w:val="none"/>
        </w:rPr>
        <w:instrText xml:space="preserve">EQ \* jc2 \* "Font:宋体" \* hps9 \o\ad(\s\up 8(——),、)</w:instrText>
      </w:r>
      <w:r>
        <w:rPr>
          <w:rFonts w:ascii="宋体" w:hAnsi="宋体"/>
          <w:color w:val="auto"/>
          <w:sz w:val="18"/>
          <w:szCs w:val="18"/>
          <w:highlight w:val="none"/>
        </w:rPr>
        <w:fldChar w:fldCharType="end"/>
      </w:r>
      <w:r>
        <w:rPr>
          <w:rFonts w:ascii="宋体" w:hAnsi="宋体"/>
          <w:color w:val="auto"/>
          <w:sz w:val="18"/>
          <w:szCs w:val="18"/>
          <w:highlight w:val="none"/>
        </w:rPr>
        <w:fldChar w:fldCharType="begin"/>
      </w:r>
      <w:r>
        <w:rPr>
          <w:rFonts w:ascii="宋体" w:hAnsi="宋体"/>
          <w:color w:val="auto"/>
          <w:sz w:val="18"/>
          <w:szCs w:val="18"/>
          <w:highlight w:val="none"/>
        </w:rPr>
        <w:instrText xml:space="preserve">EQ \* jc2 \* "Font:宋体" \* hps9 \o\ad(\s\up 8(——),营)</w:instrText>
      </w:r>
      <w:r>
        <w:rPr>
          <w:rFonts w:ascii="宋体" w:hAnsi="宋体"/>
          <w:color w:val="auto"/>
          <w:sz w:val="18"/>
          <w:szCs w:val="18"/>
          <w:highlight w:val="none"/>
        </w:rPr>
        <w:fldChar w:fldCharType="end"/>
      </w:r>
      <w:r>
        <w:rPr>
          <w:rFonts w:ascii="宋体" w:hAnsi="宋体"/>
          <w:color w:val="auto"/>
          <w:sz w:val="18"/>
          <w:szCs w:val="18"/>
          <w:highlight w:val="none"/>
        </w:rPr>
        <w:fldChar w:fldCharType="begin"/>
      </w:r>
      <w:r>
        <w:rPr>
          <w:rFonts w:ascii="宋体" w:hAnsi="宋体"/>
          <w:color w:val="auto"/>
          <w:sz w:val="18"/>
          <w:szCs w:val="18"/>
          <w:highlight w:val="none"/>
        </w:rPr>
        <w:instrText xml:space="preserve">EQ \* jc2 \* "Font:宋体" \* hps9 \o\ad(\s\up 8(——),业)</w:instrText>
      </w:r>
      <w:r>
        <w:rPr>
          <w:rFonts w:ascii="宋体" w:hAnsi="宋体"/>
          <w:color w:val="auto"/>
          <w:sz w:val="18"/>
          <w:szCs w:val="18"/>
          <w:highlight w:val="none"/>
        </w:rPr>
        <w:fldChar w:fldCharType="end"/>
      </w:r>
      <w:r>
        <w:rPr>
          <w:rFonts w:ascii="宋体" w:hAnsi="宋体"/>
          <w:color w:val="auto"/>
          <w:sz w:val="18"/>
          <w:szCs w:val="18"/>
          <w:highlight w:val="none"/>
        </w:rPr>
        <w:fldChar w:fldCharType="begin"/>
      </w:r>
      <w:r>
        <w:rPr>
          <w:rFonts w:ascii="宋体" w:hAnsi="宋体"/>
          <w:color w:val="auto"/>
          <w:sz w:val="18"/>
          <w:szCs w:val="18"/>
          <w:highlight w:val="none"/>
        </w:rPr>
        <w:instrText xml:space="preserve">EQ \* jc2 \* "Font:宋体" \* hps9 \o\ad(\s\up 8(——),收)</w:instrText>
      </w:r>
      <w:r>
        <w:rPr>
          <w:rFonts w:ascii="宋体" w:hAnsi="宋体"/>
          <w:color w:val="auto"/>
          <w:sz w:val="18"/>
          <w:szCs w:val="18"/>
          <w:highlight w:val="none"/>
        </w:rPr>
        <w:fldChar w:fldCharType="end"/>
      </w:r>
      <w:r>
        <w:rPr>
          <w:rFonts w:ascii="宋体" w:hAnsi="宋体"/>
          <w:color w:val="auto"/>
          <w:sz w:val="18"/>
          <w:szCs w:val="18"/>
          <w:highlight w:val="none"/>
        </w:rPr>
        <w:fldChar w:fldCharType="begin"/>
      </w:r>
      <w:r>
        <w:rPr>
          <w:rFonts w:ascii="宋体" w:hAnsi="宋体"/>
          <w:color w:val="auto"/>
          <w:sz w:val="18"/>
          <w:szCs w:val="18"/>
          <w:highlight w:val="none"/>
        </w:rPr>
        <w:instrText xml:space="preserve">EQ \* jc2 \* "Font:宋体" \* hps9 \o\ad(\s\up 8(——),入)</w:instrText>
      </w:r>
      <w:r>
        <w:rPr>
          <w:rFonts w:ascii="宋体" w:hAnsi="宋体"/>
          <w:color w:val="auto"/>
          <w:sz w:val="18"/>
          <w:szCs w:val="18"/>
          <w:highlight w:val="none"/>
        </w:rPr>
        <w:fldChar w:fldCharType="end"/>
      </w:r>
      <w:r>
        <w:rPr>
          <w:rFonts w:ascii="宋体" w:hAnsi="宋体"/>
          <w:color w:val="auto"/>
          <w:sz w:val="18"/>
          <w:szCs w:val="18"/>
          <w:highlight w:val="none"/>
        </w:rPr>
        <w:fldChar w:fldCharType="begin"/>
      </w:r>
      <w:r>
        <w:rPr>
          <w:rFonts w:ascii="宋体" w:hAnsi="宋体"/>
          <w:color w:val="auto"/>
          <w:sz w:val="18"/>
          <w:szCs w:val="18"/>
          <w:highlight w:val="none"/>
        </w:rPr>
        <w:instrText xml:space="preserve">EQ \* jc2 \* "Font:宋体" \* hps9 \o\ad(\s\up 8(——),、)</w:instrText>
      </w:r>
      <w:r>
        <w:rPr>
          <w:rFonts w:ascii="宋体" w:hAnsi="宋体"/>
          <w:color w:val="auto"/>
          <w:sz w:val="18"/>
          <w:szCs w:val="18"/>
          <w:highlight w:val="none"/>
        </w:rPr>
        <w:fldChar w:fldCharType="end"/>
      </w:r>
      <w:r>
        <w:rPr>
          <w:rFonts w:ascii="宋体" w:hAnsi="宋体"/>
          <w:color w:val="auto"/>
          <w:sz w:val="18"/>
          <w:szCs w:val="18"/>
          <w:highlight w:val="none"/>
        </w:rPr>
        <w:fldChar w:fldCharType="begin"/>
      </w:r>
      <w:r>
        <w:rPr>
          <w:rFonts w:ascii="宋体" w:hAnsi="宋体"/>
          <w:color w:val="auto"/>
          <w:sz w:val="18"/>
          <w:szCs w:val="18"/>
          <w:highlight w:val="none"/>
        </w:rPr>
        <w:instrText xml:space="preserve">EQ \* jc2 \* "Font:宋体" \* hps9 \o\ad(\s\up 8(——),资)</w:instrText>
      </w:r>
      <w:r>
        <w:rPr>
          <w:rFonts w:ascii="宋体" w:hAnsi="宋体"/>
          <w:color w:val="auto"/>
          <w:sz w:val="18"/>
          <w:szCs w:val="18"/>
          <w:highlight w:val="none"/>
        </w:rPr>
        <w:fldChar w:fldCharType="end"/>
      </w:r>
      <w:r>
        <w:rPr>
          <w:rFonts w:ascii="宋体" w:hAnsi="宋体"/>
          <w:color w:val="auto"/>
          <w:sz w:val="18"/>
          <w:szCs w:val="18"/>
          <w:highlight w:val="none"/>
        </w:rPr>
        <w:fldChar w:fldCharType="begin"/>
      </w:r>
      <w:r>
        <w:rPr>
          <w:rFonts w:ascii="宋体" w:hAnsi="宋体"/>
          <w:color w:val="auto"/>
          <w:sz w:val="18"/>
          <w:szCs w:val="18"/>
          <w:highlight w:val="none"/>
        </w:rPr>
        <w:instrText xml:space="preserve">EQ \* jc2 \* "Font:宋体" \* hps9 \o\ad(\s\up 8(——),产)</w:instrText>
      </w:r>
      <w:r>
        <w:rPr>
          <w:rFonts w:ascii="宋体" w:hAnsi="宋体"/>
          <w:color w:val="auto"/>
          <w:sz w:val="18"/>
          <w:szCs w:val="18"/>
          <w:highlight w:val="none"/>
        </w:rPr>
        <w:fldChar w:fldCharType="end"/>
      </w:r>
      <w:r>
        <w:rPr>
          <w:rFonts w:ascii="宋体" w:hAnsi="宋体"/>
          <w:color w:val="auto"/>
          <w:sz w:val="18"/>
          <w:szCs w:val="18"/>
          <w:highlight w:val="none"/>
        </w:rPr>
        <w:fldChar w:fldCharType="begin"/>
      </w:r>
      <w:r>
        <w:rPr>
          <w:rFonts w:ascii="宋体" w:hAnsi="宋体"/>
          <w:color w:val="auto"/>
          <w:sz w:val="18"/>
          <w:szCs w:val="18"/>
          <w:highlight w:val="none"/>
        </w:rPr>
        <w:instrText xml:space="preserve">EQ \* jc2 \* "Font:宋体" \* hps9 \o\ad(\s\up 8(——),总)</w:instrText>
      </w:r>
      <w:r>
        <w:rPr>
          <w:rFonts w:ascii="宋体" w:hAnsi="宋体"/>
          <w:color w:val="auto"/>
          <w:sz w:val="18"/>
          <w:szCs w:val="18"/>
          <w:highlight w:val="none"/>
        </w:rPr>
        <w:fldChar w:fldCharType="end"/>
      </w:r>
      <w:r>
        <w:rPr>
          <w:rFonts w:ascii="宋体" w:hAnsi="宋体"/>
          <w:color w:val="auto"/>
          <w:sz w:val="18"/>
          <w:szCs w:val="18"/>
          <w:highlight w:val="none"/>
        </w:rPr>
        <w:fldChar w:fldCharType="begin"/>
      </w:r>
      <w:r>
        <w:rPr>
          <w:rFonts w:ascii="宋体" w:hAnsi="宋体"/>
          <w:color w:val="auto"/>
          <w:sz w:val="18"/>
          <w:szCs w:val="18"/>
          <w:highlight w:val="none"/>
        </w:rPr>
        <w:instrText xml:space="preserve">EQ \* jc2 \* "Font:宋体" \* hps9 \o\ad(\s\up 8(——),额)</w:instrText>
      </w:r>
      <w:r>
        <w:rPr>
          <w:rFonts w:ascii="宋体" w:hAnsi="宋体"/>
          <w:color w:val="auto"/>
          <w:sz w:val="18"/>
          <w:szCs w:val="18"/>
          <w:highlight w:val="none"/>
        </w:rPr>
        <w:fldChar w:fldCharType="end"/>
      </w:r>
      <w:r>
        <w:rPr>
          <w:rFonts w:ascii="宋体" w:hAnsi="宋体"/>
          <w:color w:val="auto"/>
          <w:sz w:val="18"/>
          <w:szCs w:val="18"/>
          <w:highlight w:val="none"/>
        </w:rPr>
        <w:fldChar w:fldCharType="begin"/>
      </w:r>
      <w:r>
        <w:rPr>
          <w:rFonts w:ascii="宋体" w:hAnsi="宋体"/>
          <w:color w:val="auto"/>
          <w:sz w:val="18"/>
          <w:szCs w:val="18"/>
          <w:highlight w:val="none"/>
        </w:rPr>
        <w:instrText xml:space="preserve">EQ \* jc2 \* "Font:宋体" \* hps9 \o\ad(\s\up 8(——),填)</w:instrText>
      </w:r>
      <w:r>
        <w:rPr>
          <w:rFonts w:ascii="宋体" w:hAnsi="宋体"/>
          <w:color w:val="auto"/>
          <w:sz w:val="18"/>
          <w:szCs w:val="18"/>
          <w:highlight w:val="none"/>
        </w:rPr>
        <w:fldChar w:fldCharType="end"/>
      </w:r>
      <w:r>
        <w:rPr>
          <w:rFonts w:ascii="宋体" w:hAnsi="宋体"/>
          <w:color w:val="auto"/>
          <w:sz w:val="18"/>
          <w:szCs w:val="18"/>
          <w:highlight w:val="none"/>
        </w:rPr>
        <w:fldChar w:fldCharType="begin"/>
      </w:r>
      <w:r>
        <w:rPr>
          <w:rFonts w:ascii="宋体" w:hAnsi="宋体"/>
          <w:color w:val="auto"/>
          <w:sz w:val="18"/>
          <w:szCs w:val="18"/>
          <w:highlight w:val="none"/>
        </w:rPr>
        <w:instrText xml:space="preserve">EQ \* jc2 \* "Font:宋体" \* hps9 \o\ad(\s\up 8(——),报)</w:instrText>
      </w:r>
      <w:r>
        <w:rPr>
          <w:rFonts w:ascii="宋体" w:hAnsi="宋体"/>
          <w:color w:val="auto"/>
          <w:sz w:val="18"/>
          <w:szCs w:val="18"/>
          <w:highlight w:val="none"/>
        </w:rPr>
        <w:fldChar w:fldCharType="end"/>
      </w:r>
      <w:bookmarkEnd w:id="247"/>
      <w:r>
        <w:rPr>
          <w:rFonts w:hint="eastAsia" w:ascii="宋体" w:hAnsi="宋体"/>
          <w:color w:val="auto"/>
          <w:sz w:val="18"/>
          <w:szCs w:val="18"/>
          <w:highlight w:val="none"/>
        </w:rPr>
        <w:t>上一年度数据，无上一年度数据的新成立企业可不填报。</w:t>
      </w:r>
    </w:p>
    <w:tbl>
      <w:tblPr>
        <w:tblStyle w:val="49"/>
        <w:tblW w:w="0" w:type="auto"/>
        <w:tblInd w:w="150" w:type="dxa"/>
        <w:shd w:val="clear" w:color="auto" w:fill="FFFFFF"/>
        <w:tblLayout w:type="fixed"/>
        <w:tblCellMar>
          <w:top w:w="15" w:type="dxa"/>
          <w:left w:w="15" w:type="dxa"/>
          <w:bottom w:w="15" w:type="dxa"/>
          <w:right w:w="15" w:type="dxa"/>
        </w:tblCellMar>
      </w:tblPr>
      <w:tblGrid>
        <w:gridCol w:w="2127"/>
        <w:gridCol w:w="1413"/>
        <w:gridCol w:w="714"/>
        <w:gridCol w:w="1275"/>
        <w:gridCol w:w="1843"/>
        <w:gridCol w:w="1559"/>
        <w:gridCol w:w="1021"/>
      </w:tblGrid>
      <w:tr>
        <w:tblPrEx>
          <w:shd w:val="clear" w:color="auto" w:fill="FFFFFF"/>
          <w:tblCellMar>
            <w:top w:w="15" w:type="dxa"/>
            <w:left w:w="15" w:type="dxa"/>
            <w:bottom w:w="15" w:type="dxa"/>
            <w:right w:w="15" w:type="dxa"/>
          </w:tblCellMar>
        </w:tblPrEx>
        <w:trPr>
          <w:trHeight w:val="330" w:hRule="atLeast"/>
        </w:trPr>
        <w:tc>
          <w:tcPr>
            <w:tcW w:w="9952" w:type="dxa"/>
            <w:gridSpan w:val="7"/>
            <w:tcBorders>
              <w:top w:val="nil"/>
              <w:left w:val="nil"/>
              <w:bottom w:val="single" w:color="auto" w:sz="6" w:space="0"/>
              <w:right w:val="nil"/>
            </w:tcBorders>
            <w:shd w:val="clear" w:color="auto" w:fill="FFFFFF"/>
            <w:noWrap w:val="0"/>
            <w:tcMar>
              <w:top w:w="30" w:type="dxa"/>
              <w:left w:w="150" w:type="dxa"/>
              <w:bottom w:w="30" w:type="dxa"/>
              <w:right w:w="150" w:type="dxa"/>
            </w:tcMar>
            <w:vAlign w:val="center"/>
          </w:tcPr>
          <w:p>
            <w:pPr>
              <w:widowControl/>
              <w:spacing w:line="240" w:lineRule="auto"/>
              <w:ind w:firstLine="0" w:firstLineChars="0"/>
              <w:jc w:val="center"/>
              <w:rPr>
                <w:rFonts w:ascii="Helvetica" w:hAnsi="Helvetica" w:cs="Helvetica"/>
                <w:b/>
                <w:bCs/>
                <w:color w:val="auto"/>
                <w:kern w:val="0"/>
                <w:szCs w:val="21"/>
                <w:highlight w:val="none"/>
              </w:rPr>
            </w:pPr>
            <w:r>
              <w:rPr>
                <w:rFonts w:ascii="Helvetica" w:hAnsi="Helvetica" w:cs="Helvetica"/>
                <w:b/>
                <w:bCs/>
                <w:color w:val="auto"/>
                <w:kern w:val="0"/>
                <w:szCs w:val="21"/>
                <w:highlight w:val="none"/>
              </w:rPr>
              <w:t>大中小微型企业划分标准</w:t>
            </w:r>
          </w:p>
        </w:tc>
      </w:tr>
      <w:tr>
        <w:tblPrEx>
          <w:shd w:val="clear" w:color="auto" w:fill="FFFFFF"/>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行业名称</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指标名称</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计量</w:t>
            </w:r>
          </w:p>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单位</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大型</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中型</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小型</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微型</w:t>
            </w:r>
          </w:p>
        </w:tc>
      </w:tr>
      <w:tr>
        <w:tblPrEx>
          <w:shd w:val="clear" w:color="auto" w:fill="FFFFFF"/>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农、林、牧、渔业</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Y≥20000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500≤Y＜20000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50≤Y＜500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Y＜50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工业 *</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20≤X＜300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Y≥40000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2000≤Y＜40000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300≤Y＜2000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Y＜300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建筑业</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Y≥80000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6000≤Y＜80000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300≤Y＜6000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Y＜300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Z≥80000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5000≤Z＜80000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300≤Z＜5000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Z＜300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批发业</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20≤X＜200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5≤X＜20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X＜5</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Y≥40000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5000≤Y＜40000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1000≤Y＜5000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零售业</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50≤X＜300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10≤X＜50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Y≥20000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500≤Y＜20000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100≤Y＜500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交通运输业 *</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20≤X＜300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200≤Y＜3000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Y＜200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仓储业*</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100≤X＜200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20≤X＜100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100≤Y＜1000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邮政业</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20≤X＜300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100≤Y＜2000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住宿业</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100≤Y＜2000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餐饮业</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100≤Y＜2000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信息传输业 *</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100≤X＜2000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1000≤Y＜100000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100≤Y＜1000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软件和信息技术服务业</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50≤Y＜1000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Y＜50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房地产开发经营</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Y≥200000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1000≤Y＜200000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100≤Y＜1000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Z≥10000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5000≤Z＜10000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2000≤Z＜5000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Z＜2000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物业管理</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100≤X＜300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Y≥5000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1000≤Y＜5000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500≤Y＜1000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Y＜500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租赁和商务服务业</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Z≥120000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8000≤Z＜120000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100≤Z＜8000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Z＜100</w:t>
            </w:r>
          </w:p>
        </w:tc>
      </w:tr>
      <w:tr>
        <w:tblPrEx>
          <w:shd w:val="clear" w:color="auto" w:fill="FFFFFF"/>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其他未列明行业 *</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bl>
    <w:p>
      <w:pPr>
        <w:widowControl/>
        <w:shd w:val="clear" w:color="auto" w:fill="FFFFFF"/>
        <w:spacing w:line="360" w:lineRule="atLeast"/>
        <w:ind w:firstLine="0" w:firstLineChars="0"/>
        <w:jc w:val="left"/>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说明：</w:t>
      </w:r>
    </w:p>
    <w:p>
      <w:pPr>
        <w:widowControl/>
        <w:shd w:val="clear" w:color="auto" w:fill="FFFFFF"/>
        <w:spacing w:line="360" w:lineRule="atLeast"/>
        <w:ind w:firstLine="480" w:firstLineChars="0"/>
        <w:jc w:val="left"/>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1.大型、中型和小型企业须同时满足所列指标的下限，否则下划一档；微型企业只</w:t>
      </w:r>
      <w:r>
        <w:rPr>
          <w:rFonts w:hint="eastAsia" w:ascii="Helvetica" w:hAnsi="Helvetica" w:cs="Helvetica"/>
          <w:color w:val="auto"/>
          <w:kern w:val="0"/>
          <w:sz w:val="18"/>
          <w:szCs w:val="18"/>
          <w:highlight w:val="none"/>
          <w:lang w:eastAsia="zh-CN"/>
        </w:rPr>
        <w:t>需</w:t>
      </w:r>
      <w:r>
        <w:rPr>
          <w:rFonts w:ascii="Helvetica" w:hAnsi="Helvetica" w:cs="Helvetica"/>
          <w:color w:val="auto"/>
          <w:kern w:val="0"/>
          <w:sz w:val="18"/>
          <w:szCs w:val="18"/>
          <w:highlight w:val="none"/>
        </w:rPr>
        <w:t>满足所列指标中的一项即可。</w:t>
      </w:r>
    </w:p>
    <w:p>
      <w:pPr>
        <w:widowControl/>
        <w:shd w:val="clear" w:color="auto" w:fill="FFFFFF"/>
        <w:spacing w:line="360" w:lineRule="atLeast"/>
        <w:ind w:firstLine="480" w:firstLineChars="0"/>
        <w:jc w:val="left"/>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w:t>
      </w:r>
      <w:r>
        <w:rPr>
          <w:rFonts w:ascii="Helvetica" w:hAnsi="Helvetica" w:cs="Helvetica"/>
          <w:color w:val="auto"/>
          <w:kern w:val="0"/>
          <w:sz w:val="18"/>
          <w:szCs w:val="18"/>
          <w:highlight w:val="none"/>
        </w:rPr>
        <w:fldChar w:fldCharType="begin"/>
      </w:r>
      <w:r>
        <w:rPr>
          <w:rFonts w:ascii="Helvetica" w:hAnsi="Helvetica" w:cs="Helvetica"/>
          <w:color w:val="auto"/>
          <w:kern w:val="0"/>
          <w:sz w:val="18"/>
          <w:szCs w:val="18"/>
          <w:highlight w:val="none"/>
        </w:rPr>
        <w:instrText xml:space="preserve">HYPERLINK "https://baike.baidu.com/item/%E5%A4%9A%E5%BC%8F%E8%81%94%E8%BF%90/3342240?fromModule=lemma_inlink" \t "_blank"</w:instrText>
      </w:r>
      <w:r>
        <w:rPr>
          <w:rFonts w:ascii="Helvetica" w:hAnsi="Helvetica" w:cs="Helvetica"/>
          <w:color w:val="auto"/>
          <w:kern w:val="0"/>
          <w:sz w:val="18"/>
          <w:szCs w:val="18"/>
          <w:highlight w:val="none"/>
        </w:rPr>
        <w:fldChar w:fldCharType="separate"/>
      </w:r>
      <w:r>
        <w:rPr>
          <w:rFonts w:ascii="Helvetica" w:hAnsi="Helvetica" w:cs="Helvetica"/>
          <w:color w:val="auto"/>
          <w:kern w:val="0"/>
          <w:sz w:val="18"/>
          <w:szCs w:val="18"/>
          <w:highlight w:val="none"/>
          <w:u w:val="single"/>
        </w:rPr>
        <w:t>多式联运</w:t>
      </w:r>
      <w:r>
        <w:rPr>
          <w:rFonts w:ascii="Helvetica" w:hAnsi="Helvetica" w:cs="Helvetica"/>
          <w:color w:val="auto"/>
          <w:kern w:val="0"/>
          <w:sz w:val="18"/>
          <w:szCs w:val="18"/>
          <w:highlight w:val="none"/>
        </w:rPr>
        <w:fldChar w:fldCharType="end"/>
      </w:r>
      <w:r>
        <w:rPr>
          <w:rFonts w:ascii="Helvetica" w:hAnsi="Helvetica" w:cs="Helvetica"/>
          <w:color w:val="auto"/>
          <w:kern w:val="0"/>
          <w:sz w:val="18"/>
          <w:szCs w:val="18"/>
          <w:highlight w:val="none"/>
        </w:rPr>
        <w:t>和运输代理业、</w:t>
      </w:r>
      <w:r>
        <w:rPr>
          <w:rFonts w:ascii="Helvetica" w:hAnsi="Helvetica" w:cs="Helvetica"/>
          <w:color w:val="auto"/>
          <w:kern w:val="0"/>
          <w:sz w:val="18"/>
          <w:szCs w:val="18"/>
          <w:highlight w:val="none"/>
        </w:rPr>
        <w:fldChar w:fldCharType="begin"/>
      </w:r>
      <w:r>
        <w:rPr>
          <w:rFonts w:ascii="Helvetica" w:hAnsi="Helvetica" w:cs="Helvetica"/>
          <w:color w:val="auto"/>
          <w:kern w:val="0"/>
          <w:sz w:val="18"/>
          <w:szCs w:val="18"/>
          <w:highlight w:val="none"/>
        </w:rPr>
        <w:instrText xml:space="preserve">HYPERLINK "https://baike.baidu.com/item/%E8%A3%85%E5%8D%B8%E6%90%AC%E8%BF%90/6511400?fromModule=lemma_inlink" \t "_blank"</w:instrText>
      </w:r>
      <w:r>
        <w:rPr>
          <w:rFonts w:ascii="Helvetica" w:hAnsi="Helvetica" w:cs="Helvetica"/>
          <w:color w:val="auto"/>
          <w:kern w:val="0"/>
          <w:sz w:val="18"/>
          <w:szCs w:val="18"/>
          <w:highlight w:val="none"/>
        </w:rPr>
        <w:fldChar w:fldCharType="separate"/>
      </w:r>
      <w:r>
        <w:rPr>
          <w:rFonts w:ascii="Helvetica" w:hAnsi="Helvetica" w:cs="Helvetica"/>
          <w:color w:val="auto"/>
          <w:kern w:val="0"/>
          <w:sz w:val="18"/>
          <w:szCs w:val="18"/>
          <w:highlight w:val="none"/>
          <w:u w:val="single"/>
        </w:rPr>
        <w:t>装卸搬运</w:t>
      </w:r>
      <w:r>
        <w:rPr>
          <w:rFonts w:ascii="Helvetica" w:hAnsi="Helvetica" w:cs="Helvetica"/>
          <w:color w:val="auto"/>
          <w:kern w:val="0"/>
          <w:sz w:val="18"/>
          <w:szCs w:val="18"/>
          <w:highlight w:val="none"/>
        </w:rPr>
        <w:fldChar w:fldCharType="end"/>
      </w:r>
      <w:r>
        <w:rPr>
          <w:rFonts w:ascii="Helvetica" w:hAnsi="Helvetica" w:cs="Helvetica"/>
          <w:color w:val="auto"/>
          <w:kern w:val="0"/>
          <w:sz w:val="18"/>
          <w:szCs w:val="18"/>
          <w:highlight w:val="none"/>
        </w:rPr>
        <w:t>，不包括铁路运输业；</w:t>
      </w:r>
      <w:r>
        <w:rPr>
          <w:rFonts w:ascii="Helvetica" w:hAnsi="Helvetica" w:cs="Helvetica"/>
          <w:color w:val="auto"/>
          <w:kern w:val="0"/>
          <w:sz w:val="18"/>
          <w:szCs w:val="18"/>
          <w:highlight w:val="none"/>
        </w:rPr>
        <w:fldChar w:fldCharType="begin"/>
      </w:r>
      <w:r>
        <w:rPr>
          <w:rFonts w:ascii="Helvetica" w:hAnsi="Helvetica" w:cs="Helvetica"/>
          <w:color w:val="auto"/>
          <w:kern w:val="0"/>
          <w:sz w:val="18"/>
          <w:szCs w:val="18"/>
          <w:highlight w:val="none"/>
        </w:rPr>
        <w:instrText xml:space="preserve">HYPERLINK "https://baike.baidu.com/item/%E4%BB%93%E5%82%A8%E4%B8%9A/3487863?fromModule=lemma_inlink" \t "_blank"</w:instrText>
      </w:r>
      <w:r>
        <w:rPr>
          <w:rFonts w:ascii="Helvetica" w:hAnsi="Helvetica" w:cs="Helvetica"/>
          <w:color w:val="auto"/>
          <w:kern w:val="0"/>
          <w:sz w:val="18"/>
          <w:szCs w:val="18"/>
          <w:highlight w:val="none"/>
        </w:rPr>
        <w:fldChar w:fldCharType="separate"/>
      </w:r>
      <w:r>
        <w:rPr>
          <w:rFonts w:ascii="Helvetica" w:hAnsi="Helvetica" w:cs="Helvetica"/>
          <w:color w:val="auto"/>
          <w:kern w:val="0"/>
          <w:sz w:val="18"/>
          <w:szCs w:val="18"/>
          <w:highlight w:val="none"/>
          <w:u w:val="single"/>
        </w:rPr>
        <w:t>仓储业</w:t>
      </w:r>
      <w:r>
        <w:rPr>
          <w:rFonts w:ascii="Helvetica" w:hAnsi="Helvetica" w:cs="Helvetica"/>
          <w:color w:val="auto"/>
          <w:kern w:val="0"/>
          <w:sz w:val="18"/>
          <w:szCs w:val="18"/>
          <w:highlight w:val="none"/>
        </w:rPr>
        <w:fldChar w:fldCharType="end"/>
      </w:r>
      <w:r>
        <w:rPr>
          <w:rFonts w:ascii="Helvetica" w:hAnsi="Helvetica" w:cs="Helvetica"/>
          <w:color w:val="auto"/>
          <w:kern w:val="0"/>
          <w:sz w:val="18"/>
          <w:szCs w:val="18"/>
          <w:highlight w:val="none"/>
        </w:rPr>
        <w:t>包括通用仓储，低温仓储，危险品仓储，谷物、棉花等农产品仓储，中药材仓储和其他仓储业;</w:t>
      </w:r>
      <w:r>
        <w:rPr>
          <w:rFonts w:ascii="Helvetica" w:hAnsi="Helvetica" w:cs="Helvetica"/>
          <w:color w:val="auto"/>
          <w:kern w:val="0"/>
          <w:sz w:val="18"/>
          <w:szCs w:val="18"/>
          <w:highlight w:val="none"/>
        </w:rPr>
        <w:fldChar w:fldCharType="begin"/>
      </w:r>
      <w:r>
        <w:rPr>
          <w:rFonts w:ascii="Helvetica" w:hAnsi="Helvetica" w:cs="Helvetica"/>
          <w:color w:val="auto"/>
          <w:kern w:val="0"/>
          <w:sz w:val="18"/>
          <w:szCs w:val="18"/>
          <w:highlight w:val="none"/>
        </w:rPr>
        <w:instrText xml:space="preserve">HYPERLINK "https://baike.baidu.com/item/%E4%BF%A1%E6%81%AF%E4%BC%A0%E8%BE%93%E4%B8%9A/61331990?fromModule=lemma_inlink" \t "_blank"</w:instrText>
      </w:r>
      <w:r>
        <w:rPr>
          <w:rFonts w:ascii="Helvetica" w:hAnsi="Helvetica" w:cs="Helvetica"/>
          <w:color w:val="auto"/>
          <w:kern w:val="0"/>
          <w:sz w:val="18"/>
          <w:szCs w:val="18"/>
          <w:highlight w:val="none"/>
        </w:rPr>
        <w:fldChar w:fldCharType="separate"/>
      </w:r>
      <w:r>
        <w:rPr>
          <w:rFonts w:ascii="Helvetica" w:hAnsi="Helvetica" w:cs="Helvetica"/>
          <w:color w:val="auto"/>
          <w:kern w:val="0"/>
          <w:sz w:val="18"/>
          <w:szCs w:val="18"/>
          <w:highlight w:val="none"/>
          <w:u w:val="single"/>
        </w:rPr>
        <w:t>信息传输业</w:t>
      </w:r>
      <w:r>
        <w:rPr>
          <w:rFonts w:ascii="Helvetica" w:hAnsi="Helvetica" w:cs="Helvetica"/>
          <w:color w:val="auto"/>
          <w:kern w:val="0"/>
          <w:sz w:val="18"/>
          <w:szCs w:val="18"/>
          <w:highlight w:val="none"/>
        </w:rPr>
        <w:fldChar w:fldCharType="end"/>
      </w:r>
      <w:r>
        <w:rPr>
          <w:rFonts w:ascii="Helvetica" w:hAnsi="Helvetica" w:cs="Helvetica"/>
          <w:color w:val="auto"/>
          <w:kern w:val="0"/>
          <w:sz w:val="18"/>
          <w:szCs w:val="18"/>
          <w:highlight w:val="none"/>
        </w:rPr>
        <w:t>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360" w:lineRule="atLeast"/>
        <w:ind w:firstLine="480" w:firstLineChars="0"/>
        <w:jc w:val="left"/>
        <w:rPr>
          <w:rFonts w:hint="eastAsia" w:ascii="Helvetica" w:hAnsi="Helvetica" w:cs="Helvetica"/>
          <w:color w:val="auto"/>
          <w:kern w:val="0"/>
          <w:sz w:val="18"/>
          <w:szCs w:val="18"/>
          <w:highlight w:val="none"/>
        </w:rPr>
      </w:pPr>
      <w:r>
        <w:rPr>
          <w:rFonts w:ascii="Helvetica" w:hAnsi="Helvetica" w:cs="Helvetica"/>
          <w:color w:val="auto"/>
          <w:kern w:val="0"/>
          <w:sz w:val="18"/>
          <w:szCs w:val="18"/>
          <w:highlight w:val="none"/>
        </w:rPr>
        <w:t>3.企业划分指标以现行</w:t>
      </w:r>
      <w:r>
        <w:rPr>
          <w:rFonts w:ascii="Helvetica" w:hAnsi="Helvetica" w:cs="Helvetica"/>
          <w:color w:val="auto"/>
          <w:kern w:val="0"/>
          <w:sz w:val="18"/>
          <w:szCs w:val="18"/>
          <w:highlight w:val="none"/>
        </w:rPr>
        <w:fldChar w:fldCharType="begin"/>
      </w:r>
      <w:r>
        <w:rPr>
          <w:rFonts w:ascii="Helvetica" w:hAnsi="Helvetica" w:cs="Helvetica"/>
          <w:color w:val="auto"/>
          <w:kern w:val="0"/>
          <w:sz w:val="18"/>
          <w:szCs w:val="18"/>
          <w:highlight w:val="none"/>
        </w:rPr>
        <w:instrText xml:space="preserve">HYPERLINK "https://baike.baidu.com/item/%E7%BB%9F%E8%AE%A1%E5%88%B6%E5%BA%A6/917165?fromModule=lemma_inlink" \t "_blank"</w:instrText>
      </w:r>
      <w:r>
        <w:rPr>
          <w:rFonts w:ascii="Helvetica" w:hAnsi="Helvetica" w:cs="Helvetica"/>
          <w:color w:val="auto"/>
          <w:kern w:val="0"/>
          <w:sz w:val="18"/>
          <w:szCs w:val="18"/>
          <w:highlight w:val="none"/>
        </w:rPr>
        <w:fldChar w:fldCharType="separate"/>
      </w:r>
      <w:r>
        <w:rPr>
          <w:rFonts w:ascii="Helvetica" w:hAnsi="Helvetica" w:cs="Helvetica"/>
          <w:color w:val="auto"/>
          <w:kern w:val="0"/>
          <w:sz w:val="18"/>
          <w:szCs w:val="18"/>
          <w:highlight w:val="none"/>
          <w:u w:val="single"/>
        </w:rPr>
        <w:t>统计制度</w:t>
      </w:r>
      <w:r>
        <w:rPr>
          <w:rFonts w:ascii="Helvetica" w:hAnsi="Helvetica" w:cs="Helvetica"/>
          <w:color w:val="auto"/>
          <w:kern w:val="0"/>
          <w:sz w:val="18"/>
          <w:szCs w:val="18"/>
          <w:highlight w:val="none"/>
        </w:rPr>
        <w:fldChar w:fldCharType="end"/>
      </w:r>
      <w:r>
        <w:rPr>
          <w:rFonts w:ascii="Helvetica" w:hAnsi="Helvetica" w:cs="Helvetica"/>
          <w:color w:val="auto"/>
          <w:kern w:val="0"/>
          <w:sz w:val="18"/>
          <w:szCs w:val="18"/>
          <w:highlight w:val="none"/>
        </w:rPr>
        <w:t>为准。（1）从业人员，是指期末从业人员数，没有期末从业人员数的，采用全年平均人员数代替。（2）</w:t>
      </w:r>
      <w:r>
        <w:rPr>
          <w:rFonts w:ascii="Helvetica" w:hAnsi="Helvetica" w:cs="Helvetica"/>
          <w:color w:val="auto"/>
          <w:kern w:val="0"/>
          <w:sz w:val="18"/>
          <w:szCs w:val="18"/>
          <w:highlight w:val="none"/>
        </w:rPr>
        <w:fldChar w:fldCharType="begin"/>
      </w:r>
      <w:r>
        <w:rPr>
          <w:rFonts w:ascii="Helvetica" w:hAnsi="Helvetica" w:cs="Helvetica"/>
          <w:color w:val="auto"/>
          <w:kern w:val="0"/>
          <w:sz w:val="18"/>
          <w:szCs w:val="18"/>
          <w:highlight w:val="none"/>
        </w:rPr>
        <w:instrText xml:space="preserve">HYPERLINK "https://baike.baidu.com/item/%E8%90%A5%E4%B8%9A%E6%94%B6%E5%85%A5/5099832?fromModule=lemma_inlink" \t "_blank"</w:instrText>
      </w:r>
      <w:r>
        <w:rPr>
          <w:rFonts w:ascii="Helvetica" w:hAnsi="Helvetica" w:cs="Helvetica"/>
          <w:color w:val="auto"/>
          <w:kern w:val="0"/>
          <w:sz w:val="18"/>
          <w:szCs w:val="18"/>
          <w:highlight w:val="none"/>
        </w:rPr>
        <w:fldChar w:fldCharType="separate"/>
      </w:r>
      <w:r>
        <w:rPr>
          <w:rFonts w:ascii="Helvetica" w:hAnsi="Helvetica" w:cs="Helvetica"/>
          <w:color w:val="auto"/>
          <w:kern w:val="0"/>
          <w:sz w:val="18"/>
          <w:szCs w:val="18"/>
          <w:highlight w:val="none"/>
          <w:u w:val="single"/>
        </w:rPr>
        <w:t>营业收入</w:t>
      </w:r>
      <w:r>
        <w:rPr>
          <w:rFonts w:ascii="Helvetica" w:hAnsi="Helvetica" w:cs="Helvetica"/>
          <w:color w:val="auto"/>
          <w:kern w:val="0"/>
          <w:sz w:val="18"/>
          <w:szCs w:val="18"/>
          <w:highlight w:val="none"/>
        </w:rPr>
        <w:fldChar w:fldCharType="end"/>
      </w:r>
      <w:r>
        <w:rPr>
          <w:rFonts w:ascii="Helvetica" w:hAnsi="Helvetica" w:cs="Helvetica"/>
          <w:color w:val="auto"/>
          <w:kern w:val="0"/>
          <w:sz w:val="18"/>
          <w:szCs w:val="18"/>
          <w:highlight w:val="none"/>
        </w:rPr>
        <w:t>，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w:t>
      </w:r>
      <w:r>
        <w:rPr>
          <w:rFonts w:ascii="Helvetica" w:hAnsi="Helvetica" w:cs="Helvetica"/>
          <w:color w:val="auto"/>
          <w:kern w:val="0"/>
          <w:sz w:val="18"/>
          <w:szCs w:val="18"/>
          <w:highlight w:val="none"/>
        </w:rPr>
        <w:fldChar w:fldCharType="begin"/>
      </w:r>
      <w:r>
        <w:rPr>
          <w:rFonts w:ascii="Helvetica" w:hAnsi="Helvetica" w:cs="Helvetica"/>
          <w:color w:val="auto"/>
          <w:kern w:val="0"/>
          <w:sz w:val="18"/>
          <w:szCs w:val="18"/>
          <w:highlight w:val="none"/>
        </w:rPr>
        <w:instrText xml:space="preserve">HYPERLINK "https://baike.baidu.com/item/%E8%B5%84%E4%BA%A7%E6%80%BB%E9%A2%9D/716517?fromModule=lemma_inlink" \t "_blank"</w:instrText>
      </w:r>
      <w:r>
        <w:rPr>
          <w:rFonts w:ascii="Helvetica" w:hAnsi="Helvetica" w:cs="Helvetica"/>
          <w:color w:val="auto"/>
          <w:kern w:val="0"/>
          <w:sz w:val="18"/>
          <w:szCs w:val="18"/>
          <w:highlight w:val="none"/>
        </w:rPr>
        <w:fldChar w:fldCharType="separate"/>
      </w:r>
      <w:r>
        <w:rPr>
          <w:rFonts w:ascii="Helvetica" w:hAnsi="Helvetica" w:cs="Helvetica"/>
          <w:color w:val="auto"/>
          <w:kern w:val="0"/>
          <w:sz w:val="18"/>
          <w:szCs w:val="18"/>
          <w:highlight w:val="none"/>
          <w:u w:val="single"/>
        </w:rPr>
        <w:t>资产总额</w:t>
      </w:r>
      <w:r>
        <w:rPr>
          <w:rFonts w:ascii="Helvetica" w:hAnsi="Helvetica" w:cs="Helvetica"/>
          <w:color w:val="auto"/>
          <w:kern w:val="0"/>
          <w:sz w:val="18"/>
          <w:szCs w:val="18"/>
          <w:highlight w:val="none"/>
        </w:rPr>
        <w:fldChar w:fldCharType="end"/>
      </w:r>
      <w:r>
        <w:rPr>
          <w:rFonts w:ascii="Helvetica" w:hAnsi="Helvetica" w:cs="Helvetica"/>
          <w:color w:val="auto"/>
          <w:kern w:val="0"/>
          <w:sz w:val="18"/>
          <w:szCs w:val="18"/>
          <w:highlight w:val="none"/>
        </w:rPr>
        <w:t>，采用资产总计代替。</w:t>
      </w:r>
    </w:p>
    <w:p>
      <w:pPr>
        <w:ind w:firstLine="0" w:firstLineChars="0"/>
        <w:rPr>
          <w:color w:val="auto"/>
          <w:highlight w:val="none"/>
        </w:rPr>
      </w:pPr>
      <w:r>
        <w:rPr>
          <w:color w:val="auto"/>
          <w:highlight w:val="none"/>
        </w:rPr>
        <w:br w:type="page"/>
      </w:r>
    </w:p>
    <w:p>
      <w:pPr>
        <w:spacing w:line="440" w:lineRule="exact"/>
        <w:ind w:firstLine="0" w:firstLineChars="0"/>
        <w:jc w:val="center"/>
        <w:rPr>
          <w:rFonts w:hint="eastAsia" w:ascii="仿宋_GB2312" w:hAnsi="宋体" w:eastAsia="仿宋_GB2312" w:cs="Courier New"/>
          <w:b/>
          <w:color w:val="auto"/>
          <w:kern w:val="0"/>
          <w:sz w:val="32"/>
          <w:szCs w:val="32"/>
          <w:highlight w:val="none"/>
        </w:rPr>
      </w:pPr>
      <w:r>
        <w:rPr>
          <w:rFonts w:hint="eastAsia" w:ascii="仿宋_GB2312" w:hAnsi="宋体" w:eastAsia="仿宋_GB2312" w:cs="Courier New"/>
          <w:b/>
          <w:color w:val="auto"/>
          <w:kern w:val="0"/>
          <w:sz w:val="32"/>
          <w:szCs w:val="32"/>
          <w:highlight w:val="none"/>
        </w:rPr>
        <w:t>残疾人福利性单位声明函</w:t>
      </w:r>
      <w:r>
        <w:rPr>
          <w:rFonts w:hint="eastAsia" w:ascii="仿宋_GB2312" w:eastAsia="仿宋_GB2312"/>
          <w:bCs/>
          <w:color w:val="auto"/>
          <w:sz w:val="24"/>
          <w:highlight w:val="none"/>
        </w:rPr>
        <w:t>（格式）</w:t>
      </w:r>
    </w:p>
    <w:p>
      <w:pPr>
        <w:ind w:firstLine="0" w:firstLineChars="0"/>
        <w:rPr>
          <w:rFonts w:hint="eastAsia"/>
          <w:color w:val="auto"/>
          <w:highlight w:val="none"/>
        </w:rPr>
      </w:pPr>
    </w:p>
    <w:p>
      <w:pPr>
        <w:spacing w:line="660" w:lineRule="exact"/>
        <w:ind w:firstLine="420"/>
        <w:rPr>
          <w:rFonts w:ascii="宋体" w:hAnsi="宋体" w:cs="Courier New"/>
          <w:color w:val="auto"/>
          <w:kern w:val="0"/>
          <w:szCs w:val="21"/>
          <w:highlight w:val="none"/>
        </w:rPr>
      </w:pPr>
      <w:bookmarkStart w:id="248" w:name="_Hlk94193952"/>
      <w:r>
        <w:rPr>
          <w:rFonts w:hint="eastAsia" w:ascii="宋体" w:hAnsi="宋体" w:cs="Courier New"/>
          <w:color w:val="auto"/>
          <w:kern w:val="0"/>
          <w:szCs w:val="21"/>
          <w:highlight w:val="none"/>
        </w:rPr>
        <w:t>本单位郑重声明，根据</w:t>
      </w:r>
      <w:bookmarkStart w:id="249" w:name="_Hlk82091361"/>
      <w:r>
        <w:rPr>
          <w:rFonts w:hint="eastAsia" w:ascii="宋体" w:hAnsi="宋体" w:cs="Courier New"/>
          <w:color w:val="auto"/>
          <w:kern w:val="0"/>
          <w:szCs w:val="21"/>
          <w:highlight w:val="none"/>
        </w:rPr>
        <w:t>《</w:t>
      </w:r>
      <w:r>
        <w:rPr>
          <w:rFonts w:ascii="宋体" w:hAnsi="Courier New" w:cs="Courier New"/>
          <w:color w:val="auto"/>
          <w:szCs w:val="21"/>
          <w:highlight w:val="none"/>
        </w:rPr>
        <w:fldChar w:fldCharType="begin"/>
      </w:r>
      <w:r>
        <w:rPr>
          <w:rFonts w:ascii="宋体" w:hAnsi="Courier New" w:cs="Courier New"/>
          <w:color w:val="auto"/>
          <w:szCs w:val="21"/>
          <w:highlight w:val="none"/>
        </w:rPr>
        <w:instrText xml:space="preserve"> HYPERLINK "http://www.mof.gov.cn/gp/xxgkml/gks/201709/t20170901_2689542.htm" </w:instrText>
      </w:r>
      <w:r>
        <w:rPr>
          <w:rFonts w:ascii="宋体" w:hAnsi="Courier New" w:cs="Courier New"/>
          <w:color w:val="auto"/>
          <w:szCs w:val="21"/>
          <w:highlight w:val="none"/>
        </w:rPr>
        <w:fldChar w:fldCharType="separate"/>
      </w:r>
      <w:r>
        <w:rPr>
          <w:rFonts w:hint="eastAsia" w:ascii="宋体" w:hAnsi="Courier New" w:cs="Courier New"/>
          <w:color w:val="auto"/>
          <w:kern w:val="0"/>
          <w:szCs w:val="21"/>
          <w:highlight w:val="none"/>
        </w:rPr>
        <w:t>财政部 民政部 中国残疾人联合会关于促进残疾人就业政府采购政策的通知》（财库〔2017〕141号）</w:t>
      </w:r>
      <w:r>
        <w:rPr>
          <w:rFonts w:ascii="宋体" w:hAnsi="Courier New" w:cs="Courier New"/>
          <w:color w:val="auto"/>
          <w:kern w:val="0"/>
          <w:szCs w:val="21"/>
          <w:highlight w:val="none"/>
        </w:rPr>
        <w:fldChar w:fldCharType="end"/>
      </w:r>
      <w:bookmarkEnd w:id="249"/>
      <w:r>
        <w:rPr>
          <w:rFonts w:hint="eastAsia" w:ascii="宋体" w:hAnsi="宋体" w:cs="Courier New"/>
          <w:color w:val="auto"/>
          <w:kern w:val="0"/>
          <w:szCs w:val="21"/>
          <w:highlight w:val="none"/>
        </w:rPr>
        <w:t>的规定，本单位为符合条件的残疾人福利性单位，且本单位参加（</w:t>
      </w:r>
      <w:r>
        <w:rPr>
          <w:rFonts w:hint="eastAsia" w:ascii="宋体" w:hAnsi="宋体" w:cs="Courier New"/>
          <w:color w:val="auto"/>
          <w:kern w:val="0"/>
          <w:szCs w:val="21"/>
          <w:highlight w:val="none"/>
          <w:u w:val="single"/>
        </w:rPr>
        <w:t>单位名称</w:t>
      </w:r>
      <w:r>
        <w:rPr>
          <w:rFonts w:hint="eastAsia" w:ascii="宋体" w:hAnsi="宋体" w:cs="Courier New"/>
          <w:color w:val="auto"/>
          <w:kern w:val="0"/>
          <w:szCs w:val="21"/>
          <w:highlight w:val="none"/>
        </w:rPr>
        <w:t>）的（</w:t>
      </w:r>
      <w:r>
        <w:rPr>
          <w:rFonts w:hint="eastAsia" w:ascii="宋体" w:hAnsi="宋体" w:cs="Courier New"/>
          <w:color w:val="auto"/>
          <w:kern w:val="0"/>
          <w:szCs w:val="21"/>
          <w:highlight w:val="none"/>
          <w:u w:val="single"/>
        </w:rPr>
        <w:t>项目名称</w:t>
      </w:r>
      <w:r>
        <w:rPr>
          <w:rFonts w:hint="eastAsia" w:ascii="宋体" w:hAnsi="宋体" w:cs="Courier New"/>
          <w:color w:val="auto"/>
          <w:kern w:val="0"/>
          <w:szCs w:val="21"/>
          <w:highlight w:val="none"/>
        </w:rPr>
        <w:t>）采购活动提供本单位制造的货物，或者提供其他残疾人福利性单位（</w:t>
      </w:r>
      <w:r>
        <w:rPr>
          <w:rFonts w:hint="eastAsia" w:ascii="宋体" w:hAnsi="宋体" w:cs="Courier New"/>
          <w:color w:val="auto"/>
          <w:kern w:val="0"/>
          <w:szCs w:val="21"/>
          <w:highlight w:val="none"/>
          <w:u w:val="single"/>
        </w:rPr>
        <w:t>请填写具体单位名称</w:t>
      </w:r>
      <w:r>
        <w:rPr>
          <w:rFonts w:hint="eastAsia" w:ascii="宋体" w:hAnsi="宋体" w:cs="Courier New"/>
          <w:color w:val="auto"/>
          <w:kern w:val="0"/>
          <w:szCs w:val="21"/>
          <w:highlight w:val="none"/>
        </w:rPr>
        <w:t>）制造的货物（不包括使用非残疾人福利性单位注册商标的货物）。</w:t>
      </w:r>
    </w:p>
    <w:p>
      <w:pPr>
        <w:spacing w:line="660" w:lineRule="exact"/>
        <w:ind w:firstLine="420"/>
        <w:rPr>
          <w:rFonts w:ascii="宋体" w:hAnsi="宋体" w:cs="Courier New"/>
          <w:color w:val="auto"/>
          <w:kern w:val="0"/>
          <w:szCs w:val="21"/>
          <w:highlight w:val="none"/>
        </w:rPr>
      </w:pPr>
      <w:r>
        <w:rPr>
          <w:rFonts w:hint="eastAsia" w:ascii="宋体" w:hAnsi="宋体" w:cs="Courier New"/>
          <w:color w:val="auto"/>
          <w:kern w:val="0"/>
          <w:szCs w:val="21"/>
          <w:highlight w:val="none"/>
        </w:rPr>
        <w:t>本单位对上述声明的真实性负责。如有虚假，将依法承担相应责任。</w:t>
      </w:r>
    </w:p>
    <w:p>
      <w:pPr>
        <w:ind w:firstLine="0" w:firstLineChars="0"/>
        <w:rPr>
          <w:color w:val="auto"/>
          <w:szCs w:val="21"/>
          <w:highlight w:val="none"/>
        </w:rPr>
      </w:pPr>
    </w:p>
    <w:p>
      <w:pPr>
        <w:ind w:firstLine="0" w:firstLineChars="0"/>
        <w:rPr>
          <w:rFonts w:hint="eastAsia"/>
          <w:color w:val="auto"/>
          <w:szCs w:val="21"/>
          <w:highlight w:val="none"/>
        </w:rPr>
      </w:pPr>
    </w:p>
    <w:p>
      <w:pPr>
        <w:ind w:firstLine="0" w:firstLineChars="0"/>
        <w:rPr>
          <w:rFonts w:hint="eastAsia"/>
          <w:color w:val="auto"/>
          <w:szCs w:val="21"/>
          <w:highlight w:val="none"/>
        </w:rPr>
      </w:pPr>
    </w:p>
    <w:p>
      <w:pPr>
        <w:spacing w:line="440" w:lineRule="exact"/>
        <w:ind w:firstLine="5250" w:firstLineChars="2500"/>
        <w:rPr>
          <w:rFonts w:ascii="宋体" w:hAnsi="宋体" w:cs="Courier New"/>
          <w:color w:val="auto"/>
          <w:kern w:val="0"/>
          <w:szCs w:val="21"/>
          <w:highlight w:val="none"/>
        </w:rPr>
      </w:pPr>
      <w:r>
        <w:rPr>
          <w:rFonts w:hint="eastAsia" w:ascii="宋体" w:hAnsi="宋体" w:cs="Courier New"/>
          <w:color w:val="auto"/>
          <w:kern w:val="0"/>
          <w:szCs w:val="21"/>
          <w:highlight w:val="none"/>
        </w:rPr>
        <w:t>单位名称（盖章）：</w:t>
      </w:r>
      <w:r>
        <w:rPr>
          <w:rFonts w:hint="eastAsia" w:ascii="宋体" w:hAnsi="宋体" w:cs="Courier New"/>
          <w:color w:val="auto"/>
          <w:szCs w:val="21"/>
          <w:highlight w:val="none"/>
          <w:u w:val="single"/>
        </w:rPr>
        <w:t xml:space="preserve"> </w:t>
      </w:r>
      <w:r>
        <w:rPr>
          <w:rFonts w:ascii="宋体" w:hAnsi="宋体" w:cs="Courier New"/>
          <w:color w:val="auto"/>
          <w:szCs w:val="21"/>
          <w:highlight w:val="none"/>
          <w:u w:val="single"/>
        </w:rPr>
        <w:t xml:space="preserve">             </w:t>
      </w:r>
    </w:p>
    <w:p>
      <w:pPr>
        <w:spacing w:line="440" w:lineRule="exact"/>
        <w:ind w:firstLine="5250" w:firstLineChars="2500"/>
        <w:rPr>
          <w:rFonts w:ascii="宋体" w:hAnsi="宋体" w:cs="Courier New"/>
          <w:color w:val="auto"/>
          <w:szCs w:val="21"/>
          <w:highlight w:val="none"/>
          <w:u w:val="single"/>
        </w:rPr>
      </w:pPr>
      <w:r>
        <w:rPr>
          <w:rFonts w:hint="eastAsia" w:ascii="宋体" w:hAnsi="宋体" w:cs="Courier New"/>
          <w:color w:val="auto"/>
          <w:kern w:val="0"/>
          <w:szCs w:val="21"/>
          <w:highlight w:val="none"/>
        </w:rPr>
        <w:t>日  期：</w:t>
      </w:r>
      <w:r>
        <w:rPr>
          <w:rFonts w:hint="eastAsia" w:ascii="宋体" w:hAnsi="宋体" w:cs="Courier New"/>
          <w:color w:val="auto"/>
          <w:szCs w:val="21"/>
          <w:highlight w:val="none"/>
          <w:u w:val="single"/>
        </w:rPr>
        <w:t xml:space="preserve"> </w:t>
      </w:r>
      <w:r>
        <w:rPr>
          <w:rFonts w:ascii="宋体" w:hAnsi="宋体" w:cs="Courier New"/>
          <w:color w:val="auto"/>
          <w:szCs w:val="21"/>
          <w:highlight w:val="none"/>
          <w:u w:val="single"/>
        </w:rPr>
        <w:t xml:space="preserve">                       </w:t>
      </w:r>
    </w:p>
    <w:bookmarkEnd w:id="248"/>
    <w:p>
      <w:pPr>
        <w:spacing w:line="440" w:lineRule="exact"/>
        <w:ind w:firstLine="4000" w:firstLineChars="1905"/>
        <w:rPr>
          <w:rFonts w:ascii="宋体" w:hAnsi="宋体" w:cs="Courier New"/>
          <w:color w:val="auto"/>
          <w:szCs w:val="21"/>
          <w:highlight w:val="none"/>
          <w:u w:val="single"/>
        </w:rPr>
      </w:pPr>
    </w:p>
    <w:p>
      <w:pPr>
        <w:spacing w:line="360" w:lineRule="exact"/>
        <w:ind w:firstLine="0" w:firstLineChars="0"/>
        <w:jc w:val="left"/>
        <w:rPr>
          <w:rFonts w:ascii="宋体" w:hAnsi="Courier New" w:cs="Courier New"/>
          <w:color w:val="auto"/>
          <w:szCs w:val="21"/>
          <w:highlight w:val="none"/>
          <w:u w:val="single"/>
        </w:rPr>
      </w:pPr>
    </w:p>
    <w:p>
      <w:pPr>
        <w:spacing w:line="360" w:lineRule="exact"/>
        <w:ind w:firstLine="0" w:firstLineChars="0"/>
        <w:jc w:val="left"/>
        <w:rPr>
          <w:rFonts w:ascii="宋体" w:hAnsi="Courier New" w:cs="Courier New"/>
          <w:color w:val="auto"/>
          <w:szCs w:val="21"/>
          <w:highlight w:val="none"/>
          <w:u w:val="single"/>
        </w:rPr>
      </w:pPr>
    </w:p>
    <w:p>
      <w:pPr>
        <w:spacing w:line="360" w:lineRule="exact"/>
        <w:ind w:firstLine="0" w:firstLineChars="0"/>
        <w:jc w:val="left"/>
        <w:rPr>
          <w:rFonts w:ascii="宋体" w:hAnsi="Courier New" w:cs="Courier New"/>
          <w:color w:val="auto"/>
          <w:szCs w:val="21"/>
          <w:highlight w:val="none"/>
          <w:u w:val="single"/>
        </w:rPr>
      </w:pPr>
    </w:p>
    <w:p>
      <w:pPr>
        <w:spacing w:line="360" w:lineRule="exact"/>
        <w:ind w:firstLine="0" w:firstLineChars="0"/>
        <w:jc w:val="left"/>
        <w:rPr>
          <w:rFonts w:ascii="宋体" w:hAnsi="Courier New" w:cs="Courier New"/>
          <w:color w:val="auto"/>
          <w:szCs w:val="21"/>
          <w:highlight w:val="none"/>
          <w:u w:val="single"/>
        </w:rPr>
      </w:pPr>
    </w:p>
    <w:p>
      <w:pPr>
        <w:spacing w:line="360" w:lineRule="exact"/>
        <w:ind w:firstLine="0" w:firstLineChars="0"/>
        <w:jc w:val="left"/>
        <w:rPr>
          <w:rFonts w:ascii="宋体" w:hAnsi="Courier New" w:cs="Courier New"/>
          <w:color w:val="auto"/>
          <w:szCs w:val="21"/>
          <w:highlight w:val="none"/>
          <w:u w:val="single"/>
        </w:rPr>
      </w:pPr>
    </w:p>
    <w:p>
      <w:pPr>
        <w:spacing w:line="360" w:lineRule="exact"/>
        <w:ind w:firstLine="0" w:firstLineChars="0"/>
        <w:jc w:val="left"/>
        <w:rPr>
          <w:rFonts w:ascii="宋体" w:hAnsi="Courier New" w:cs="Courier New"/>
          <w:color w:val="auto"/>
          <w:szCs w:val="21"/>
          <w:highlight w:val="none"/>
          <w:u w:val="single"/>
        </w:rPr>
      </w:pPr>
    </w:p>
    <w:p>
      <w:pPr>
        <w:spacing w:line="360" w:lineRule="exact"/>
        <w:ind w:firstLine="0" w:firstLineChars="0"/>
        <w:jc w:val="left"/>
        <w:rPr>
          <w:rFonts w:ascii="宋体" w:hAnsi="Courier New" w:cs="Courier New"/>
          <w:color w:val="auto"/>
          <w:szCs w:val="21"/>
          <w:highlight w:val="none"/>
          <w:u w:val="single"/>
        </w:rPr>
      </w:pPr>
    </w:p>
    <w:p>
      <w:pPr>
        <w:spacing w:line="360" w:lineRule="exact"/>
        <w:ind w:firstLine="0" w:firstLineChars="0"/>
        <w:jc w:val="left"/>
        <w:rPr>
          <w:rFonts w:ascii="宋体" w:hAnsi="Courier New" w:cs="Courier New"/>
          <w:color w:val="auto"/>
          <w:szCs w:val="21"/>
          <w:highlight w:val="none"/>
          <w:u w:val="single"/>
        </w:rPr>
      </w:pPr>
    </w:p>
    <w:p>
      <w:pPr>
        <w:spacing w:line="360" w:lineRule="exact"/>
        <w:ind w:firstLine="0" w:firstLineChars="0"/>
        <w:jc w:val="left"/>
        <w:rPr>
          <w:rFonts w:hint="eastAsia" w:ascii="宋体" w:hAnsi="Courier New" w:cs="Courier New"/>
          <w:color w:val="auto"/>
          <w:szCs w:val="21"/>
          <w:highlight w:val="none"/>
          <w:u w:val="single"/>
        </w:rPr>
      </w:pPr>
    </w:p>
    <w:p>
      <w:pPr>
        <w:spacing w:line="360" w:lineRule="exact"/>
        <w:ind w:firstLine="0" w:firstLineChars="0"/>
        <w:jc w:val="left"/>
        <w:rPr>
          <w:rFonts w:ascii="宋体" w:hAnsi="Courier New" w:cs="Courier New"/>
          <w:color w:val="auto"/>
          <w:szCs w:val="21"/>
          <w:highlight w:val="none"/>
          <w:u w:val="single"/>
        </w:rPr>
      </w:pPr>
    </w:p>
    <w:p>
      <w:pPr>
        <w:spacing w:line="360" w:lineRule="exact"/>
        <w:ind w:firstLine="0" w:firstLineChars="0"/>
        <w:jc w:val="left"/>
        <w:rPr>
          <w:rFonts w:ascii="宋体" w:hAnsi="Courier New" w:cs="Courier New"/>
          <w:color w:val="auto"/>
          <w:szCs w:val="21"/>
          <w:highlight w:val="none"/>
          <w:u w:val="single"/>
        </w:rPr>
      </w:pPr>
    </w:p>
    <w:p>
      <w:pPr>
        <w:spacing w:line="360" w:lineRule="exact"/>
        <w:ind w:firstLine="0" w:firstLineChars="0"/>
        <w:jc w:val="left"/>
        <w:rPr>
          <w:rFonts w:hint="eastAsia" w:ascii="宋体" w:hAnsi="Courier New" w:cs="Courier New"/>
          <w:color w:val="auto"/>
          <w:szCs w:val="21"/>
          <w:highlight w:val="none"/>
          <w:u w:val="single"/>
        </w:rPr>
      </w:pPr>
    </w:p>
    <w:p>
      <w:pPr>
        <w:spacing w:line="360" w:lineRule="exact"/>
        <w:ind w:firstLine="0" w:firstLineChars="0"/>
        <w:jc w:val="left"/>
        <w:rPr>
          <w:rFonts w:hint="eastAsia" w:ascii="宋体" w:hAnsi="Courier New" w:cs="Courier New"/>
          <w:color w:val="auto"/>
          <w:szCs w:val="21"/>
          <w:highlight w:val="none"/>
          <w:u w:val="single"/>
        </w:rPr>
      </w:pPr>
    </w:p>
    <w:p>
      <w:pPr>
        <w:spacing w:line="360" w:lineRule="exact"/>
        <w:ind w:firstLine="0" w:firstLineChars="0"/>
        <w:jc w:val="left"/>
        <w:rPr>
          <w:rFonts w:ascii="宋体" w:hAnsi="Courier New" w:cs="Courier New"/>
          <w:color w:val="auto"/>
          <w:szCs w:val="21"/>
          <w:highlight w:val="none"/>
          <w:u w:val="single"/>
        </w:rPr>
      </w:pPr>
    </w:p>
    <w:p>
      <w:pPr>
        <w:spacing w:line="360" w:lineRule="exact"/>
        <w:ind w:firstLine="0" w:firstLineChars="0"/>
        <w:jc w:val="left"/>
        <w:rPr>
          <w:rFonts w:hint="eastAsia" w:ascii="宋体" w:hAnsi="Courier New" w:cs="Courier New"/>
          <w:color w:val="auto"/>
          <w:szCs w:val="21"/>
          <w:highlight w:val="none"/>
          <w:u w:val="single"/>
        </w:rPr>
      </w:pPr>
    </w:p>
    <w:p>
      <w:pPr>
        <w:spacing w:line="360" w:lineRule="exact"/>
        <w:ind w:firstLine="0" w:firstLineChars="0"/>
        <w:jc w:val="left"/>
        <w:rPr>
          <w:rFonts w:hint="eastAsia" w:ascii="宋体" w:hAnsi="Courier New" w:cs="Courier New"/>
          <w:color w:val="auto"/>
          <w:szCs w:val="21"/>
          <w:highlight w:val="none"/>
          <w:u w:val="single"/>
        </w:rPr>
      </w:pPr>
    </w:p>
    <w:p>
      <w:pPr>
        <w:spacing w:line="360" w:lineRule="exact"/>
        <w:ind w:firstLine="0" w:firstLineChars="0"/>
        <w:jc w:val="left"/>
        <w:rPr>
          <w:rFonts w:ascii="宋体" w:hAnsi="Courier New" w:cs="Courier New"/>
          <w:color w:val="auto"/>
          <w:szCs w:val="21"/>
          <w:highlight w:val="none"/>
          <w:u w:val="single"/>
        </w:rPr>
      </w:pPr>
    </w:p>
    <w:p>
      <w:pPr>
        <w:spacing w:line="260" w:lineRule="exact"/>
        <w:ind w:firstLine="0" w:firstLineChars="0"/>
        <w:jc w:val="left"/>
        <w:rPr>
          <w:rFonts w:ascii="宋体" w:hAnsi="Courier New" w:cs="Courier New"/>
          <w:color w:val="auto"/>
          <w:sz w:val="18"/>
          <w:szCs w:val="18"/>
          <w:highlight w:val="none"/>
          <w:u w:val="single"/>
        </w:rPr>
      </w:pPr>
      <w:r>
        <w:rPr>
          <w:rFonts w:hint="eastAsia" w:ascii="宋体" w:hAnsi="Courier New" w:cs="Courier New"/>
          <w:color w:val="auto"/>
          <w:sz w:val="18"/>
          <w:szCs w:val="18"/>
          <w:highlight w:val="none"/>
          <w:u w:val="single"/>
        </w:rPr>
        <w:t xml:space="preserve"> </w:t>
      </w:r>
      <w:r>
        <w:rPr>
          <w:rFonts w:ascii="宋体" w:hAnsi="Courier New" w:cs="Courier New"/>
          <w:color w:val="auto"/>
          <w:sz w:val="18"/>
          <w:szCs w:val="18"/>
          <w:highlight w:val="none"/>
          <w:u w:val="single"/>
        </w:rPr>
        <w:t xml:space="preserve">                       </w:t>
      </w:r>
    </w:p>
    <w:p>
      <w:pPr>
        <w:spacing w:line="260" w:lineRule="exact"/>
        <w:ind w:firstLine="0" w:firstLineChars="0"/>
        <w:jc w:val="left"/>
        <w:rPr>
          <w:rFonts w:hint="eastAsia" w:ascii="宋体" w:hAnsi="Courier New" w:cs="Courier New"/>
          <w:color w:val="auto"/>
          <w:sz w:val="18"/>
          <w:szCs w:val="18"/>
          <w:highlight w:val="none"/>
          <w:u w:val="single"/>
        </w:rPr>
      </w:pPr>
      <w:r>
        <w:rPr>
          <w:rFonts w:ascii="宋体" w:hAnsi="Courier New" w:cs="Courier New"/>
          <w:color w:val="auto"/>
          <w:sz w:val="18"/>
          <w:szCs w:val="18"/>
          <w:highlight w:val="none"/>
        </w:rPr>
        <w:fldChar w:fldCharType="begin"/>
      </w:r>
      <w:r>
        <w:rPr>
          <w:rFonts w:ascii="宋体" w:hAnsi="Courier New" w:cs="Courier New"/>
          <w:color w:val="auto"/>
          <w:sz w:val="18"/>
          <w:szCs w:val="18"/>
          <w:highlight w:val="none"/>
        </w:rPr>
        <w:instrText xml:space="preserve"> HYPERLINK "http://www.ccgp.gov.cn/zcfg/mof/201709/t20170904_8787205.htm" </w:instrText>
      </w:r>
      <w:r>
        <w:rPr>
          <w:rFonts w:ascii="宋体" w:hAnsi="Courier New" w:cs="Courier New"/>
          <w:color w:val="auto"/>
          <w:sz w:val="18"/>
          <w:szCs w:val="18"/>
          <w:highlight w:val="none"/>
        </w:rPr>
        <w:fldChar w:fldCharType="separate"/>
      </w:r>
      <w:r>
        <w:rPr>
          <w:rFonts w:hint="eastAsia" w:ascii="宋体" w:hAnsi="Courier New" w:cs="Courier New"/>
          <w:color w:val="auto"/>
          <w:sz w:val="18"/>
          <w:szCs w:val="18"/>
          <w:highlight w:val="none"/>
          <w:u w:val="single"/>
        </w:rPr>
        <w:t>《财政部 民政部 中国残疾人联</w:t>
      </w:r>
      <w:bookmarkStart w:id="250" w:name="_Hlt94193982"/>
      <w:bookmarkStart w:id="251" w:name="_Hlt94193983"/>
      <w:r>
        <w:rPr>
          <w:rFonts w:hint="eastAsia" w:ascii="宋体" w:hAnsi="Courier New" w:cs="Courier New"/>
          <w:color w:val="auto"/>
          <w:sz w:val="18"/>
          <w:szCs w:val="18"/>
          <w:highlight w:val="none"/>
          <w:u w:val="single"/>
        </w:rPr>
        <w:t>合</w:t>
      </w:r>
      <w:bookmarkEnd w:id="250"/>
      <w:bookmarkEnd w:id="251"/>
      <w:r>
        <w:rPr>
          <w:rFonts w:hint="eastAsia" w:ascii="宋体" w:hAnsi="Courier New" w:cs="Courier New"/>
          <w:color w:val="auto"/>
          <w:sz w:val="18"/>
          <w:szCs w:val="18"/>
          <w:highlight w:val="none"/>
          <w:u w:val="single"/>
        </w:rPr>
        <w:t>会关于促进残疾人就业政府采购政策的通知》（财库〔2017〕141号）</w:t>
      </w:r>
      <w:r>
        <w:rPr>
          <w:rFonts w:ascii="宋体" w:hAnsi="Courier New" w:cs="Courier New"/>
          <w:color w:val="auto"/>
          <w:sz w:val="18"/>
          <w:szCs w:val="18"/>
          <w:highlight w:val="none"/>
          <w:u w:val="single"/>
        </w:rPr>
        <w:fldChar w:fldCharType="end"/>
      </w:r>
    </w:p>
    <w:p>
      <w:pPr>
        <w:snapToGrid w:val="0"/>
        <w:spacing w:before="50" w:after="50" w:line="360" w:lineRule="exact"/>
        <w:ind w:right="-817" w:rightChars="-389" w:firstLine="0" w:firstLineChars="0"/>
        <w:rPr>
          <w:rFonts w:ascii="宋体" w:hAnsi="宋体"/>
          <w:b/>
          <w:bCs/>
          <w:color w:val="auto"/>
          <w:sz w:val="32"/>
          <w:szCs w:val="32"/>
          <w:highlight w:val="none"/>
        </w:rPr>
      </w:pPr>
      <w:r>
        <w:rPr>
          <w:rFonts w:ascii="宋体" w:hAnsi="宋体"/>
          <w:color w:val="auto"/>
          <w:szCs w:val="21"/>
          <w:highlight w:val="none"/>
        </w:rPr>
        <w:br w:type="page"/>
      </w:r>
      <w:r>
        <w:rPr>
          <w:rFonts w:hint="eastAsia" w:ascii="宋体" w:hAnsi="宋体"/>
          <w:b/>
          <w:bCs/>
          <w:color w:val="auto"/>
          <w:sz w:val="32"/>
          <w:szCs w:val="32"/>
          <w:highlight w:val="none"/>
        </w:rPr>
        <w:t>三、报价文件</w:t>
      </w:r>
    </w:p>
    <w:p>
      <w:pPr>
        <w:ind w:firstLine="0" w:firstLineChars="0"/>
        <w:rPr>
          <w:rFonts w:hint="eastAsia"/>
          <w:color w:val="auto"/>
          <w:highlight w:val="none"/>
        </w:rPr>
      </w:pPr>
    </w:p>
    <w:p>
      <w:pPr>
        <w:snapToGrid w:val="0"/>
        <w:spacing w:before="50" w:after="50" w:line="360" w:lineRule="exact"/>
        <w:ind w:firstLine="0" w:firstLineChars="0"/>
        <w:jc w:val="center"/>
        <w:rPr>
          <w:rFonts w:hint="eastAsia" w:ascii="仿宋_GB2312" w:hAnsi="宋体" w:eastAsia="仿宋_GB2312"/>
          <w:b/>
          <w:color w:val="auto"/>
          <w:sz w:val="28"/>
          <w:szCs w:val="28"/>
          <w:highlight w:val="none"/>
        </w:rPr>
      </w:pPr>
      <w:r>
        <w:rPr>
          <w:rFonts w:hint="eastAsia" w:ascii="仿宋_GB2312" w:hAnsi="宋体" w:eastAsia="仿宋_GB2312"/>
          <w:b/>
          <w:color w:val="auto"/>
          <w:sz w:val="32"/>
          <w:szCs w:val="32"/>
          <w:highlight w:val="none"/>
        </w:rPr>
        <w:t>开标一览表</w:t>
      </w:r>
      <w:bookmarkStart w:id="252" w:name="_Hlk111729075"/>
      <w:r>
        <w:rPr>
          <w:rFonts w:hint="eastAsia" w:ascii="仿宋_GB2312" w:eastAsia="仿宋_GB2312"/>
          <w:bCs/>
          <w:color w:val="auto"/>
          <w:sz w:val="24"/>
          <w:highlight w:val="none"/>
        </w:rPr>
        <w:t>（格式）</w:t>
      </w:r>
      <w:bookmarkEnd w:id="252"/>
    </w:p>
    <w:p>
      <w:pPr>
        <w:snapToGrid w:val="0"/>
        <w:spacing w:before="50" w:after="50"/>
        <w:ind w:firstLine="420"/>
        <w:rPr>
          <w:rFonts w:ascii="宋体" w:hAnsi="宋体"/>
          <w:color w:val="auto"/>
          <w:szCs w:val="21"/>
          <w:highlight w:val="none"/>
          <w:u w:val="single"/>
        </w:rPr>
      </w:pP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p>
    <w:p>
      <w:pPr>
        <w:snapToGrid w:val="0"/>
        <w:spacing w:before="50" w:after="50"/>
        <w:ind w:firstLine="0" w:firstLineChars="0"/>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p>
    <w:tbl>
      <w:tblPr>
        <w:tblStyle w:val="4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6" w:hRule="atLeast"/>
          <w:jc w:val="center"/>
        </w:trPr>
        <w:tc>
          <w:tcPr>
            <w:tcW w:w="92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ind w:firstLine="0" w:firstLineChars="0"/>
              <w:jc w:val="center"/>
              <w:rPr>
                <w:rFonts w:ascii="宋体" w:hAnsi="宋体"/>
                <w:color w:val="auto"/>
                <w:szCs w:val="21"/>
                <w:highlight w:val="none"/>
              </w:rPr>
            </w:pPr>
            <w:r>
              <w:rPr>
                <w:rFonts w:hint="eastAsia" w:ascii="宋体" w:hAnsi="宋体"/>
                <w:color w:val="auto"/>
                <w:szCs w:val="21"/>
                <w:highlight w:val="none"/>
              </w:rPr>
              <w:t>报价（总价、元）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3" w:hRule="atLeast"/>
          <w:jc w:val="center"/>
        </w:trPr>
        <w:tc>
          <w:tcPr>
            <w:tcW w:w="92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ind w:firstLine="19" w:firstLineChars="10"/>
              <w:jc w:val="left"/>
              <w:rPr>
                <w:rFonts w:hint="eastAsia" w:ascii="宋体" w:hAnsi="宋体"/>
                <w:bCs/>
                <w:color w:val="auto"/>
                <w:szCs w:val="21"/>
                <w:highlight w:val="none"/>
                <w:u w:val="single"/>
              </w:rPr>
            </w:pPr>
            <w:r>
              <w:rPr>
                <w:rFonts w:hint="eastAsia" w:ascii="宋体" w:hAnsi="宋体" w:cs="Courier New"/>
                <w:color w:val="auto"/>
                <w:spacing w:val="-6"/>
                <w:szCs w:val="21"/>
                <w:highlight w:val="none"/>
              </w:rPr>
              <w:t>人民币大写：</w:t>
            </w:r>
            <w:r>
              <w:rPr>
                <w:rFonts w:hint="eastAsia" w:ascii="宋体" w:hAnsi="宋体" w:cs="Courier New"/>
                <w:color w:val="auto"/>
                <w:spacing w:val="-6"/>
                <w:szCs w:val="21"/>
                <w:highlight w:val="none"/>
                <w:u w:val="single"/>
              </w:rPr>
              <w:t xml:space="preserve">                  </w:t>
            </w:r>
            <w:r>
              <w:rPr>
                <w:rFonts w:ascii="宋体" w:hAnsi="宋体" w:cs="Courier New"/>
                <w:color w:val="auto"/>
                <w:spacing w:val="-6"/>
                <w:szCs w:val="21"/>
                <w:highlight w:val="none"/>
                <w:u w:val="single"/>
              </w:rPr>
              <w:t xml:space="preserve">                             </w:t>
            </w:r>
            <w:r>
              <w:rPr>
                <w:rFonts w:hint="eastAsia" w:ascii="宋体" w:hAnsi="宋体" w:cs="Courier New"/>
                <w:color w:val="auto"/>
                <w:spacing w:val="-6"/>
                <w:szCs w:val="21"/>
                <w:highlight w:val="none"/>
                <w:u w:val="single"/>
              </w:rPr>
              <w:t xml:space="preserve">    </w:t>
            </w:r>
            <w:r>
              <w:rPr>
                <w:rFonts w:ascii="宋体" w:hAnsi="宋体" w:cs="Courier New"/>
                <w:color w:val="auto"/>
                <w:spacing w:val="-6"/>
                <w:szCs w:val="21"/>
                <w:highlight w:val="none"/>
                <w:u w:val="single"/>
              </w:rPr>
              <w:t xml:space="preserve">   </w:t>
            </w:r>
            <w:r>
              <w:rPr>
                <w:rFonts w:hint="eastAsia" w:ascii="宋体" w:hAnsi="宋体" w:cs="Courier New"/>
                <w:color w:val="auto"/>
                <w:spacing w:val="-6"/>
                <w:szCs w:val="21"/>
                <w:highlight w:val="none"/>
              </w:rPr>
              <w:t>（￥</w:t>
            </w:r>
            <w:r>
              <w:rPr>
                <w:rFonts w:hint="eastAsia" w:ascii="宋体" w:hAnsi="宋体" w:cs="Courier New"/>
                <w:color w:val="auto"/>
                <w:spacing w:val="-6"/>
                <w:szCs w:val="21"/>
                <w:highlight w:val="none"/>
                <w:u w:val="single"/>
              </w:rPr>
              <w:t xml:space="preserve">                 元</w:t>
            </w:r>
            <w:r>
              <w:rPr>
                <w:rFonts w:hint="eastAsia" w:ascii="宋体" w:hAnsi="宋体" w:cs="Courier New"/>
                <w:color w:val="auto"/>
                <w:spacing w:val="-6"/>
                <w:szCs w:val="21"/>
                <w:highlight w:val="none"/>
              </w:rPr>
              <w:t>）</w:t>
            </w:r>
          </w:p>
        </w:tc>
      </w:tr>
    </w:tbl>
    <w:p>
      <w:pPr>
        <w:snapToGrid w:val="0"/>
        <w:spacing w:before="50" w:after="50"/>
        <w:ind w:left="105" w:leftChars="50" w:firstLine="315" w:firstLineChars="150"/>
        <w:jc w:val="left"/>
        <w:rPr>
          <w:rFonts w:ascii="宋体" w:hAnsi="宋体"/>
          <w:color w:val="auto"/>
          <w:szCs w:val="21"/>
          <w:highlight w:val="none"/>
        </w:rPr>
      </w:pPr>
      <w:r>
        <w:rPr>
          <w:rFonts w:hint="eastAsia" w:ascii="宋体" w:hAnsi="宋体"/>
          <w:color w:val="auto"/>
          <w:szCs w:val="21"/>
          <w:highlight w:val="none"/>
        </w:rPr>
        <w:t>1.所有价格均用人民币表示，单位为元，精确到个数位。</w:t>
      </w:r>
    </w:p>
    <w:p>
      <w:pPr>
        <w:snapToGrid w:val="0"/>
        <w:spacing w:before="50" w:after="50"/>
        <w:ind w:left="105" w:leftChars="50" w:firstLine="315" w:firstLineChars="150"/>
        <w:jc w:val="left"/>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报价一经涂改，应在涂改处加盖公章或者由法定代表人或授权委托人签名或盖章，否则视为无效投标文件。</w:t>
      </w:r>
    </w:p>
    <w:p>
      <w:pPr>
        <w:snapToGrid w:val="0"/>
        <w:spacing w:before="50" w:after="50"/>
        <w:ind w:firstLine="420"/>
        <w:rPr>
          <w:rFonts w:ascii="宋体" w:hAnsi="宋体"/>
          <w:color w:val="auto"/>
          <w:szCs w:val="21"/>
          <w:highlight w:val="none"/>
        </w:rPr>
      </w:pPr>
      <w:bookmarkStart w:id="253" w:name="_Hlk90908484"/>
      <w:r>
        <w:rPr>
          <w:rFonts w:ascii="宋体" w:hAnsi="宋体"/>
          <w:color w:val="auto"/>
          <w:szCs w:val="21"/>
          <w:highlight w:val="none"/>
        </w:rPr>
        <w:t>3</w:t>
      </w:r>
      <w:r>
        <w:rPr>
          <w:rFonts w:hint="eastAsia" w:ascii="宋体" w:hAnsi="宋体"/>
          <w:color w:val="auto"/>
          <w:szCs w:val="21"/>
          <w:highlight w:val="none"/>
        </w:rPr>
        <w:t>.</w:t>
      </w:r>
      <w:r>
        <w:rPr>
          <w:rFonts w:hint="eastAsia" w:ascii="宋体" w:hAnsi="宋体"/>
          <w:bCs/>
          <w:color w:val="auto"/>
          <w:szCs w:val="21"/>
          <w:highlight w:val="none"/>
        </w:rPr>
        <w:t>投标报价应包括设备及零配件、备品备件、材料、消耗品的采购和运输（装卸、吊装），项目安装、调试、检测、工具、调试及验收、现场卫生清理、水电费、土建改造、售后服务、培训、税金、利润、项目所需的物资、外设、线缆、管材、埋管及完成全部设备安装和服务应有的环保、文明施工、安全施工、风险费、责任等费用总和。</w:t>
      </w:r>
    </w:p>
    <w:bookmarkEnd w:id="253"/>
    <w:p>
      <w:pPr>
        <w:snapToGrid w:val="0"/>
        <w:spacing w:before="50" w:after="50" w:line="350" w:lineRule="exact"/>
        <w:ind w:right="-817" w:rightChars="-389" w:firstLine="0" w:firstLineChars="0"/>
        <w:rPr>
          <w:rFonts w:ascii="宋体" w:hAnsi="宋体"/>
          <w:color w:val="auto"/>
          <w:szCs w:val="21"/>
          <w:highlight w:val="none"/>
        </w:rPr>
      </w:pPr>
    </w:p>
    <w:p>
      <w:pPr>
        <w:snapToGrid w:val="0"/>
        <w:spacing w:before="50" w:after="50" w:line="350" w:lineRule="exact"/>
        <w:ind w:right="-817" w:rightChars="-389" w:firstLine="0" w:firstLineChars="0"/>
        <w:rPr>
          <w:rFonts w:hint="eastAsia" w:ascii="宋体" w:hAnsi="宋体"/>
          <w:color w:val="auto"/>
          <w:szCs w:val="21"/>
          <w:highlight w:val="none"/>
        </w:rPr>
      </w:pPr>
    </w:p>
    <w:p>
      <w:pPr>
        <w:snapToGrid w:val="0"/>
        <w:spacing w:before="50" w:after="50" w:line="350" w:lineRule="exact"/>
        <w:ind w:right="-817" w:rightChars="-389" w:firstLine="4189" w:firstLineChars="1995"/>
        <w:rPr>
          <w:rFonts w:ascii="宋体" w:hAnsi="宋体"/>
          <w:color w:val="auto"/>
          <w:szCs w:val="21"/>
          <w:highlight w:val="none"/>
        </w:rPr>
      </w:pPr>
      <w:r>
        <w:rPr>
          <w:rFonts w:hint="eastAsia" w:ascii="宋体" w:hAnsi="宋体"/>
          <w:color w:val="auto"/>
          <w:szCs w:val="21"/>
          <w:highlight w:val="none"/>
        </w:rPr>
        <w:t>法定代表人或授权代表（签名）：</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napToGrid w:val="0"/>
        <w:spacing w:before="50" w:after="50" w:line="350" w:lineRule="exact"/>
        <w:ind w:right="-817" w:rightChars="-389" w:firstLine="3465" w:firstLineChars="1650"/>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投标人（盖章）：</w:t>
      </w:r>
      <w:r>
        <w:rPr>
          <w:rFonts w:hint="eastAsia" w:ascii="宋体" w:hAnsi="宋体"/>
          <w:color w:val="auto"/>
          <w:szCs w:val="21"/>
          <w:highlight w:val="none"/>
          <w:u w:val="single"/>
        </w:rPr>
        <w:t xml:space="preserve">                        </w:t>
      </w:r>
    </w:p>
    <w:p>
      <w:pPr>
        <w:snapToGrid w:val="0"/>
        <w:spacing w:before="50" w:after="50" w:line="350" w:lineRule="exact"/>
        <w:ind w:right="-817" w:rightChars="-389" w:firstLine="3255" w:firstLineChars="1550"/>
        <w:rPr>
          <w:rFonts w:hint="eastAsia"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napToGrid w:val="0"/>
        <w:spacing w:before="50" w:after="50" w:line="350" w:lineRule="exact"/>
        <w:ind w:right="-817" w:rightChars="-389" w:firstLine="0" w:firstLineChars="0"/>
        <w:rPr>
          <w:rFonts w:hint="eastAsia" w:ascii="宋体" w:hAnsi="宋体"/>
          <w:color w:val="auto"/>
          <w:szCs w:val="21"/>
          <w:highlight w:val="none"/>
        </w:rPr>
      </w:pPr>
      <w:r>
        <w:rPr>
          <w:rFonts w:ascii="宋体" w:hAnsi="宋体"/>
          <w:color w:val="auto"/>
          <w:szCs w:val="21"/>
          <w:highlight w:val="none"/>
        </w:rPr>
        <w:br w:type="page"/>
      </w:r>
    </w:p>
    <w:p>
      <w:pPr>
        <w:ind w:firstLine="0" w:firstLineChars="0"/>
        <w:jc w:val="center"/>
        <w:rPr>
          <w:rFonts w:hint="eastAsia" w:ascii="仿宋_GB2312" w:eastAsia="仿宋_GB2312"/>
          <w:b/>
          <w:bCs/>
          <w:color w:val="auto"/>
          <w:sz w:val="28"/>
          <w:szCs w:val="28"/>
          <w:highlight w:val="none"/>
        </w:rPr>
      </w:pPr>
      <w:r>
        <w:rPr>
          <w:rFonts w:hint="eastAsia" w:ascii="仿宋_GB2312" w:eastAsia="仿宋_GB2312"/>
          <w:b/>
          <w:bCs/>
          <w:color w:val="auto"/>
          <w:sz w:val="32"/>
          <w:szCs w:val="32"/>
          <w:highlight w:val="none"/>
        </w:rPr>
        <w:t>报价明细表</w:t>
      </w:r>
      <w:r>
        <w:rPr>
          <w:rFonts w:hint="eastAsia" w:ascii="仿宋_GB2312" w:eastAsia="仿宋_GB2312"/>
          <w:bCs/>
          <w:color w:val="auto"/>
          <w:sz w:val="24"/>
          <w:highlight w:val="none"/>
        </w:rPr>
        <w:t>（格式）</w:t>
      </w:r>
    </w:p>
    <w:p>
      <w:pPr>
        <w:ind w:firstLine="199" w:firstLineChars="95"/>
        <w:jc w:val="left"/>
        <w:rPr>
          <w:rFonts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ind w:firstLine="210" w:firstLineChars="100"/>
        <w:jc w:val="left"/>
        <w:rPr>
          <w:rFonts w:ascii="宋体" w:hAnsi="宋体"/>
          <w:color w:val="auto"/>
          <w:szCs w:val="21"/>
          <w:highlight w:val="none"/>
          <w:u w:val="single"/>
        </w:rPr>
      </w:pP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45"/>
        <w:gridCol w:w="699"/>
        <w:gridCol w:w="710"/>
        <w:gridCol w:w="709"/>
        <w:gridCol w:w="1702"/>
        <w:gridCol w:w="1702"/>
        <w:gridCol w:w="852"/>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atLeast"/>
          <w:jc w:val="center"/>
        </w:trPr>
        <w:tc>
          <w:tcPr>
            <w:tcW w:w="704" w:type="dxa"/>
            <w:tcBorders>
              <w:bottom w:val="single" w:color="auto" w:sz="4" w:space="0"/>
            </w:tcBorders>
            <w:noWrap w:val="0"/>
            <w:vAlign w:val="center"/>
          </w:tcPr>
          <w:p>
            <w:pPr>
              <w:spacing w:line="300" w:lineRule="exact"/>
              <w:ind w:firstLine="0" w:firstLineChars="0"/>
              <w:jc w:val="center"/>
              <w:rPr>
                <w:rFonts w:hint="eastAsia" w:ascii="宋体" w:hAnsi="宋体" w:cs="Courier New"/>
                <w:color w:val="auto"/>
                <w:szCs w:val="21"/>
                <w:highlight w:val="none"/>
              </w:rPr>
            </w:pPr>
            <w:bookmarkStart w:id="254" w:name="_Hlk97823529"/>
            <w:r>
              <w:rPr>
                <w:rFonts w:hint="eastAsia" w:ascii="宋体" w:hAnsi="宋体" w:cs="Courier New"/>
                <w:color w:val="auto"/>
                <w:szCs w:val="21"/>
                <w:highlight w:val="none"/>
              </w:rPr>
              <w:t>序号</w:t>
            </w:r>
          </w:p>
        </w:tc>
        <w:tc>
          <w:tcPr>
            <w:tcW w:w="1145" w:type="dxa"/>
            <w:tcBorders>
              <w:bottom w:val="single" w:color="auto" w:sz="4" w:space="0"/>
            </w:tcBorders>
            <w:noWrap w:val="0"/>
            <w:vAlign w:val="center"/>
          </w:tcPr>
          <w:p>
            <w:pPr>
              <w:tabs>
                <w:tab w:val="left" w:pos="180"/>
                <w:tab w:val="left" w:pos="1620"/>
              </w:tabs>
              <w:spacing w:line="300" w:lineRule="exact"/>
              <w:ind w:firstLine="0" w:firstLineChars="0"/>
              <w:jc w:val="center"/>
              <w:rPr>
                <w:rFonts w:hint="eastAsia" w:ascii="宋体" w:hAnsi="宋体"/>
                <w:color w:val="auto"/>
                <w:szCs w:val="21"/>
                <w:highlight w:val="none"/>
              </w:rPr>
            </w:pPr>
            <w:r>
              <w:rPr>
                <w:rFonts w:hint="eastAsia" w:ascii="宋体" w:hAnsi="宋体"/>
                <w:color w:val="auto"/>
                <w:szCs w:val="21"/>
                <w:highlight w:val="none"/>
              </w:rPr>
              <w:t>货物名称</w:t>
            </w:r>
          </w:p>
        </w:tc>
        <w:tc>
          <w:tcPr>
            <w:tcW w:w="699" w:type="dxa"/>
            <w:tcBorders>
              <w:bottom w:val="single" w:color="auto" w:sz="4" w:space="0"/>
            </w:tcBorders>
            <w:noWrap w:val="0"/>
            <w:vAlign w:val="center"/>
          </w:tcPr>
          <w:p>
            <w:pPr>
              <w:tabs>
                <w:tab w:val="left" w:pos="180"/>
                <w:tab w:val="left" w:pos="1620"/>
              </w:tabs>
              <w:spacing w:line="300" w:lineRule="exact"/>
              <w:ind w:firstLine="0" w:firstLineChars="0"/>
              <w:jc w:val="center"/>
              <w:rPr>
                <w:rFonts w:hint="eastAsia" w:ascii="宋体" w:hAnsi="宋体"/>
                <w:color w:val="auto"/>
                <w:szCs w:val="21"/>
                <w:highlight w:val="none"/>
              </w:rPr>
            </w:pPr>
            <w:r>
              <w:rPr>
                <w:rFonts w:hint="eastAsia" w:ascii="宋体" w:hAnsi="宋体"/>
                <w:color w:val="auto"/>
                <w:szCs w:val="21"/>
                <w:highlight w:val="none"/>
              </w:rPr>
              <w:t>品牌</w:t>
            </w:r>
          </w:p>
        </w:tc>
        <w:tc>
          <w:tcPr>
            <w:tcW w:w="710" w:type="dxa"/>
            <w:tcBorders>
              <w:bottom w:val="single" w:color="auto" w:sz="4" w:space="0"/>
            </w:tcBorders>
            <w:noWrap w:val="0"/>
            <w:vAlign w:val="center"/>
          </w:tcPr>
          <w:p>
            <w:pPr>
              <w:tabs>
                <w:tab w:val="left" w:pos="180"/>
                <w:tab w:val="left" w:pos="1620"/>
              </w:tabs>
              <w:spacing w:line="300" w:lineRule="exact"/>
              <w:ind w:firstLine="0" w:firstLineChars="0"/>
              <w:jc w:val="center"/>
              <w:rPr>
                <w:rFonts w:hint="eastAsia" w:ascii="宋体" w:hAnsi="宋体"/>
                <w:color w:val="auto"/>
                <w:szCs w:val="21"/>
                <w:highlight w:val="none"/>
              </w:rPr>
            </w:pPr>
            <w:r>
              <w:rPr>
                <w:rFonts w:hint="eastAsia" w:ascii="宋体" w:hAnsi="宋体"/>
                <w:color w:val="auto"/>
                <w:szCs w:val="21"/>
                <w:highlight w:val="none"/>
              </w:rPr>
              <w:t>型号</w:t>
            </w:r>
          </w:p>
        </w:tc>
        <w:tc>
          <w:tcPr>
            <w:tcW w:w="709" w:type="dxa"/>
            <w:tcBorders>
              <w:bottom w:val="single" w:color="auto" w:sz="4" w:space="0"/>
            </w:tcBorders>
            <w:noWrap w:val="0"/>
            <w:vAlign w:val="center"/>
          </w:tcPr>
          <w:p>
            <w:pPr>
              <w:tabs>
                <w:tab w:val="left" w:pos="180"/>
                <w:tab w:val="left" w:pos="1620"/>
              </w:tabs>
              <w:spacing w:line="300" w:lineRule="exact"/>
              <w:ind w:firstLine="0" w:firstLineChars="0"/>
              <w:jc w:val="center"/>
              <w:rPr>
                <w:rFonts w:hint="eastAsia" w:ascii="宋体" w:hAnsi="宋体"/>
                <w:color w:val="auto"/>
                <w:szCs w:val="21"/>
                <w:highlight w:val="none"/>
              </w:rPr>
            </w:pPr>
            <w:r>
              <w:rPr>
                <w:rFonts w:hint="eastAsia" w:ascii="宋体" w:hAnsi="宋体"/>
                <w:color w:val="auto"/>
                <w:szCs w:val="21"/>
                <w:highlight w:val="none"/>
              </w:rPr>
              <w:t>产地</w:t>
            </w:r>
          </w:p>
        </w:tc>
        <w:tc>
          <w:tcPr>
            <w:tcW w:w="1702" w:type="dxa"/>
            <w:tcBorders>
              <w:bottom w:val="single" w:color="auto" w:sz="4" w:space="0"/>
            </w:tcBorders>
            <w:noWrap w:val="0"/>
            <w:vAlign w:val="center"/>
          </w:tcPr>
          <w:p>
            <w:pPr>
              <w:tabs>
                <w:tab w:val="left" w:pos="180"/>
                <w:tab w:val="left" w:pos="1620"/>
              </w:tabs>
              <w:spacing w:line="300" w:lineRule="exact"/>
              <w:ind w:firstLine="0" w:firstLineChars="0"/>
              <w:jc w:val="center"/>
              <w:rPr>
                <w:rFonts w:hint="eastAsia" w:ascii="宋体" w:hAnsi="宋体"/>
                <w:color w:val="auto"/>
                <w:szCs w:val="21"/>
                <w:highlight w:val="none"/>
              </w:rPr>
            </w:pPr>
            <w:r>
              <w:rPr>
                <w:rFonts w:hint="eastAsia" w:ascii="宋体" w:hAnsi="宋体"/>
                <w:color w:val="auto"/>
                <w:szCs w:val="21"/>
                <w:highlight w:val="none"/>
              </w:rPr>
              <w:t>技术参数及性能（规格）</w:t>
            </w:r>
          </w:p>
        </w:tc>
        <w:tc>
          <w:tcPr>
            <w:tcW w:w="1702" w:type="dxa"/>
            <w:tcBorders>
              <w:bottom w:val="single" w:color="auto" w:sz="4" w:space="0"/>
            </w:tcBorders>
            <w:noWrap w:val="0"/>
            <w:vAlign w:val="center"/>
          </w:tcPr>
          <w:p>
            <w:pPr>
              <w:tabs>
                <w:tab w:val="left" w:pos="180"/>
                <w:tab w:val="left" w:pos="1620"/>
              </w:tabs>
              <w:spacing w:line="300" w:lineRule="exact"/>
              <w:ind w:firstLine="0" w:firstLineChars="0"/>
              <w:jc w:val="center"/>
              <w:rPr>
                <w:rFonts w:hint="eastAsia" w:ascii="宋体" w:hAnsi="宋体"/>
                <w:color w:val="auto"/>
                <w:szCs w:val="21"/>
                <w:highlight w:val="none"/>
              </w:rPr>
            </w:pPr>
            <w:r>
              <w:rPr>
                <w:rFonts w:hint="eastAsia" w:ascii="宋体" w:hAnsi="宋体"/>
                <w:color w:val="auto"/>
                <w:szCs w:val="21"/>
                <w:highlight w:val="none"/>
              </w:rPr>
              <w:t>数量、单位</w:t>
            </w:r>
            <w:r>
              <w:rPr>
                <w:rFonts w:hint="eastAsia" w:hAnsi="宋体"/>
                <w:color w:val="auto"/>
                <w:highlight w:val="none"/>
              </w:rPr>
              <w:t>①</w:t>
            </w:r>
          </w:p>
        </w:tc>
        <w:tc>
          <w:tcPr>
            <w:tcW w:w="852" w:type="dxa"/>
            <w:tcBorders>
              <w:bottom w:val="single" w:color="auto" w:sz="4" w:space="0"/>
            </w:tcBorders>
            <w:noWrap w:val="0"/>
            <w:vAlign w:val="center"/>
          </w:tcPr>
          <w:p>
            <w:pPr>
              <w:tabs>
                <w:tab w:val="left" w:pos="180"/>
                <w:tab w:val="left" w:pos="1620"/>
              </w:tabs>
              <w:spacing w:line="300" w:lineRule="exact"/>
              <w:ind w:firstLine="0" w:firstLineChars="0"/>
              <w:jc w:val="center"/>
              <w:rPr>
                <w:rFonts w:hint="eastAsia" w:ascii="宋体" w:hAnsi="宋体"/>
                <w:color w:val="auto"/>
                <w:szCs w:val="21"/>
                <w:highlight w:val="none"/>
              </w:rPr>
            </w:pPr>
            <w:r>
              <w:rPr>
                <w:rFonts w:hint="eastAsia" w:ascii="宋体" w:hAnsi="宋体"/>
                <w:color w:val="auto"/>
                <w:szCs w:val="21"/>
                <w:highlight w:val="none"/>
              </w:rPr>
              <w:t>单价</w:t>
            </w:r>
            <w:r>
              <w:rPr>
                <w:rFonts w:hint="eastAsia" w:hAnsi="宋体"/>
                <w:color w:val="auto"/>
                <w:highlight w:val="none"/>
              </w:rPr>
              <w:t>②</w:t>
            </w:r>
          </w:p>
        </w:tc>
        <w:tc>
          <w:tcPr>
            <w:tcW w:w="1348" w:type="dxa"/>
            <w:tcBorders>
              <w:bottom w:val="single" w:color="auto" w:sz="4" w:space="0"/>
            </w:tcBorders>
            <w:noWrap w:val="0"/>
            <w:vAlign w:val="center"/>
          </w:tcPr>
          <w:p>
            <w:pPr>
              <w:spacing w:line="300" w:lineRule="exact"/>
              <w:ind w:firstLine="0" w:firstLineChars="0"/>
              <w:jc w:val="center"/>
              <w:rPr>
                <w:rFonts w:hint="eastAsia" w:ascii="宋体" w:hAnsi="宋体" w:cs="Courier New"/>
                <w:color w:val="auto"/>
                <w:szCs w:val="21"/>
                <w:highlight w:val="none"/>
              </w:rPr>
            </w:pPr>
            <w:r>
              <w:rPr>
                <w:rFonts w:hint="eastAsia" w:ascii="宋体" w:hAnsi="宋体" w:cs="Courier New"/>
                <w:color w:val="auto"/>
                <w:szCs w:val="21"/>
                <w:highlight w:val="none"/>
              </w:rPr>
              <w:t>单项合价</w:t>
            </w:r>
          </w:p>
          <w:p>
            <w:pPr>
              <w:spacing w:line="300" w:lineRule="exact"/>
              <w:ind w:firstLine="0" w:firstLineChars="0"/>
              <w:jc w:val="center"/>
              <w:rPr>
                <w:rFonts w:hint="eastAsia" w:ascii="宋体" w:hAnsi="宋体" w:cs="Courier New"/>
                <w:color w:val="auto"/>
                <w:szCs w:val="21"/>
                <w:highlight w:val="none"/>
              </w:rPr>
            </w:pPr>
            <w:r>
              <w:rPr>
                <w:rFonts w:hint="eastAsia" w:ascii="宋体" w:hAnsi="宋体" w:cs="Courier New"/>
                <w:color w:val="auto"/>
                <w:szCs w:val="21"/>
                <w:highlight w:val="none"/>
              </w:rPr>
              <w:t>③</w:t>
            </w:r>
            <w:r>
              <w:rPr>
                <w:rFonts w:ascii="宋体" w:hAnsi="宋体" w:cs="Courier New"/>
                <w:color w:val="auto"/>
                <w:szCs w:val="21"/>
                <w:highlight w:val="none"/>
              </w:rPr>
              <w:t>=</w:t>
            </w:r>
            <w:r>
              <w:rPr>
                <w:rFonts w:hint="eastAsia" w:ascii="宋体" w:hAnsi="宋体" w:cs="Courier New"/>
                <w:color w:val="auto"/>
                <w:szCs w:val="21"/>
                <w:highlight w:val="none"/>
              </w:rPr>
              <w:t>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noWrap w:val="0"/>
            <w:vAlign w:val="center"/>
          </w:tcPr>
          <w:p>
            <w:pPr>
              <w:spacing w:line="440" w:lineRule="exact"/>
              <w:ind w:right="-34" w:rightChars="-16" w:firstLine="0" w:firstLineChars="0"/>
              <w:jc w:val="center"/>
              <w:rPr>
                <w:rFonts w:hint="eastAsia" w:ascii="宋体" w:hAnsi="宋体"/>
                <w:color w:val="auto"/>
                <w:sz w:val="24"/>
                <w:highlight w:val="none"/>
              </w:rPr>
            </w:pPr>
            <w:r>
              <w:rPr>
                <w:rFonts w:hint="eastAsia" w:ascii="宋体" w:hAnsi="宋体"/>
                <w:color w:val="auto"/>
                <w:sz w:val="24"/>
                <w:highlight w:val="none"/>
              </w:rPr>
              <w:t>1</w:t>
            </w:r>
          </w:p>
        </w:tc>
        <w:tc>
          <w:tcPr>
            <w:tcW w:w="1145" w:type="dxa"/>
            <w:noWrap w:val="0"/>
            <w:vAlign w:val="center"/>
          </w:tcPr>
          <w:p>
            <w:pPr>
              <w:spacing w:line="440" w:lineRule="exact"/>
              <w:ind w:firstLine="0" w:firstLineChars="0"/>
              <w:jc w:val="center"/>
              <w:rPr>
                <w:rFonts w:hint="eastAsia" w:ascii="宋体" w:hAnsi="宋体"/>
                <w:color w:val="auto"/>
                <w:highlight w:val="none"/>
              </w:rPr>
            </w:pPr>
          </w:p>
        </w:tc>
        <w:tc>
          <w:tcPr>
            <w:tcW w:w="699" w:type="dxa"/>
            <w:noWrap w:val="0"/>
            <w:vAlign w:val="center"/>
          </w:tcPr>
          <w:p>
            <w:pPr>
              <w:spacing w:line="440" w:lineRule="exact"/>
              <w:ind w:firstLine="0" w:firstLineChars="0"/>
              <w:jc w:val="center"/>
              <w:rPr>
                <w:rFonts w:hint="eastAsia" w:ascii="宋体" w:hAnsi="宋体"/>
                <w:color w:val="auto"/>
                <w:highlight w:val="none"/>
              </w:rPr>
            </w:pPr>
          </w:p>
        </w:tc>
        <w:tc>
          <w:tcPr>
            <w:tcW w:w="710" w:type="dxa"/>
            <w:noWrap w:val="0"/>
            <w:vAlign w:val="center"/>
          </w:tcPr>
          <w:p>
            <w:pPr>
              <w:spacing w:line="440" w:lineRule="exact"/>
              <w:ind w:firstLine="0" w:firstLineChars="0"/>
              <w:jc w:val="center"/>
              <w:rPr>
                <w:rFonts w:hint="eastAsia" w:ascii="宋体" w:hAnsi="宋体"/>
                <w:color w:val="auto"/>
                <w:highlight w:val="none"/>
              </w:rPr>
            </w:pPr>
          </w:p>
        </w:tc>
        <w:tc>
          <w:tcPr>
            <w:tcW w:w="709" w:type="dxa"/>
            <w:noWrap w:val="0"/>
            <w:vAlign w:val="center"/>
          </w:tcPr>
          <w:p>
            <w:pPr>
              <w:spacing w:line="440" w:lineRule="exact"/>
              <w:ind w:firstLine="0" w:firstLineChars="0"/>
              <w:jc w:val="center"/>
              <w:rPr>
                <w:rFonts w:hint="eastAsia" w:ascii="宋体" w:hAnsi="宋体"/>
                <w:color w:val="auto"/>
                <w:highlight w:val="none"/>
              </w:rPr>
            </w:pPr>
          </w:p>
        </w:tc>
        <w:tc>
          <w:tcPr>
            <w:tcW w:w="1702" w:type="dxa"/>
            <w:noWrap w:val="0"/>
            <w:vAlign w:val="center"/>
          </w:tcPr>
          <w:p>
            <w:pPr>
              <w:spacing w:line="440" w:lineRule="exact"/>
              <w:ind w:firstLine="0" w:firstLineChars="0"/>
              <w:jc w:val="center"/>
              <w:rPr>
                <w:rFonts w:hint="eastAsia" w:ascii="宋体" w:hAnsi="宋体"/>
                <w:color w:val="auto"/>
                <w:highlight w:val="none"/>
              </w:rPr>
            </w:pPr>
          </w:p>
        </w:tc>
        <w:tc>
          <w:tcPr>
            <w:tcW w:w="1702" w:type="dxa"/>
            <w:noWrap w:val="0"/>
            <w:vAlign w:val="center"/>
          </w:tcPr>
          <w:p>
            <w:pPr>
              <w:spacing w:line="440" w:lineRule="exact"/>
              <w:ind w:firstLine="0" w:firstLineChars="0"/>
              <w:jc w:val="center"/>
              <w:rPr>
                <w:rFonts w:hint="eastAsia" w:ascii="宋体" w:hAnsi="宋体"/>
                <w:color w:val="auto"/>
                <w:highlight w:val="none"/>
              </w:rPr>
            </w:pPr>
          </w:p>
        </w:tc>
        <w:tc>
          <w:tcPr>
            <w:tcW w:w="852" w:type="dxa"/>
            <w:noWrap w:val="0"/>
            <w:vAlign w:val="center"/>
          </w:tcPr>
          <w:p>
            <w:pPr>
              <w:spacing w:line="440" w:lineRule="exact"/>
              <w:ind w:firstLine="0" w:firstLineChars="0"/>
              <w:jc w:val="center"/>
              <w:rPr>
                <w:rFonts w:hint="eastAsia" w:ascii="宋体" w:hAnsi="宋体"/>
                <w:color w:val="auto"/>
                <w:highlight w:val="none"/>
              </w:rPr>
            </w:pPr>
          </w:p>
        </w:tc>
        <w:tc>
          <w:tcPr>
            <w:tcW w:w="1348" w:type="dxa"/>
            <w:noWrap w:val="0"/>
            <w:vAlign w:val="center"/>
          </w:tcPr>
          <w:p>
            <w:pPr>
              <w:spacing w:line="440" w:lineRule="exact"/>
              <w:ind w:firstLine="0" w:firstLineChars="0"/>
              <w:jc w:val="center"/>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noWrap w:val="0"/>
            <w:vAlign w:val="center"/>
          </w:tcPr>
          <w:p>
            <w:pPr>
              <w:spacing w:line="440" w:lineRule="exact"/>
              <w:ind w:firstLine="0" w:firstLineChars="0"/>
              <w:jc w:val="center"/>
              <w:rPr>
                <w:rFonts w:hint="eastAsia" w:ascii="宋体" w:hAnsi="宋体"/>
                <w:color w:val="auto"/>
                <w:sz w:val="24"/>
                <w:highlight w:val="none"/>
              </w:rPr>
            </w:pPr>
            <w:r>
              <w:rPr>
                <w:rFonts w:hint="eastAsia" w:ascii="宋体" w:hAnsi="宋体"/>
                <w:color w:val="auto"/>
                <w:sz w:val="24"/>
                <w:highlight w:val="none"/>
              </w:rPr>
              <w:t>2</w:t>
            </w:r>
          </w:p>
        </w:tc>
        <w:tc>
          <w:tcPr>
            <w:tcW w:w="1145" w:type="dxa"/>
            <w:noWrap w:val="0"/>
            <w:vAlign w:val="center"/>
          </w:tcPr>
          <w:p>
            <w:pPr>
              <w:spacing w:line="440" w:lineRule="exact"/>
              <w:ind w:firstLine="0" w:firstLineChars="0"/>
              <w:jc w:val="center"/>
              <w:rPr>
                <w:rFonts w:hint="eastAsia" w:ascii="宋体" w:hAnsi="宋体"/>
                <w:color w:val="auto"/>
                <w:highlight w:val="none"/>
              </w:rPr>
            </w:pPr>
          </w:p>
        </w:tc>
        <w:tc>
          <w:tcPr>
            <w:tcW w:w="699" w:type="dxa"/>
            <w:noWrap w:val="0"/>
            <w:vAlign w:val="center"/>
          </w:tcPr>
          <w:p>
            <w:pPr>
              <w:spacing w:line="440" w:lineRule="exact"/>
              <w:ind w:firstLine="0" w:firstLineChars="0"/>
              <w:jc w:val="center"/>
              <w:rPr>
                <w:rFonts w:hint="eastAsia" w:ascii="宋体" w:hAnsi="宋体"/>
                <w:color w:val="auto"/>
                <w:highlight w:val="none"/>
              </w:rPr>
            </w:pPr>
          </w:p>
        </w:tc>
        <w:tc>
          <w:tcPr>
            <w:tcW w:w="710" w:type="dxa"/>
            <w:noWrap w:val="0"/>
            <w:vAlign w:val="center"/>
          </w:tcPr>
          <w:p>
            <w:pPr>
              <w:spacing w:line="440" w:lineRule="exact"/>
              <w:ind w:firstLine="0" w:firstLineChars="0"/>
              <w:jc w:val="center"/>
              <w:rPr>
                <w:rFonts w:hint="eastAsia" w:ascii="宋体" w:hAnsi="宋体"/>
                <w:color w:val="auto"/>
                <w:highlight w:val="none"/>
              </w:rPr>
            </w:pPr>
          </w:p>
        </w:tc>
        <w:tc>
          <w:tcPr>
            <w:tcW w:w="709" w:type="dxa"/>
            <w:noWrap w:val="0"/>
            <w:vAlign w:val="center"/>
          </w:tcPr>
          <w:p>
            <w:pPr>
              <w:spacing w:line="440" w:lineRule="exact"/>
              <w:ind w:firstLine="0" w:firstLineChars="0"/>
              <w:jc w:val="center"/>
              <w:rPr>
                <w:rFonts w:hint="eastAsia" w:ascii="宋体" w:hAnsi="宋体"/>
                <w:color w:val="auto"/>
                <w:highlight w:val="none"/>
              </w:rPr>
            </w:pPr>
          </w:p>
        </w:tc>
        <w:tc>
          <w:tcPr>
            <w:tcW w:w="1702" w:type="dxa"/>
            <w:noWrap w:val="0"/>
            <w:vAlign w:val="center"/>
          </w:tcPr>
          <w:p>
            <w:pPr>
              <w:spacing w:line="440" w:lineRule="exact"/>
              <w:ind w:firstLine="0" w:firstLineChars="0"/>
              <w:jc w:val="center"/>
              <w:rPr>
                <w:rFonts w:hint="eastAsia" w:ascii="宋体" w:hAnsi="宋体"/>
                <w:color w:val="auto"/>
                <w:highlight w:val="none"/>
              </w:rPr>
            </w:pPr>
          </w:p>
        </w:tc>
        <w:tc>
          <w:tcPr>
            <w:tcW w:w="1702" w:type="dxa"/>
            <w:noWrap w:val="0"/>
            <w:vAlign w:val="center"/>
          </w:tcPr>
          <w:p>
            <w:pPr>
              <w:spacing w:line="440" w:lineRule="exact"/>
              <w:ind w:firstLine="0" w:firstLineChars="0"/>
              <w:jc w:val="center"/>
              <w:rPr>
                <w:rFonts w:hint="eastAsia" w:ascii="宋体" w:hAnsi="宋体"/>
                <w:color w:val="auto"/>
                <w:highlight w:val="none"/>
              </w:rPr>
            </w:pPr>
          </w:p>
        </w:tc>
        <w:tc>
          <w:tcPr>
            <w:tcW w:w="852" w:type="dxa"/>
            <w:noWrap w:val="0"/>
            <w:vAlign w:val="center"/>
          </w:tcPr>
          <w:p>
            <w:pPr>
              <w:spacing w:line="440" w:lineRule="exact"/>
              <w:ind w:firstLine="0" w:firstLineChars="0"/>
              <w:jc w:val="center"/>
              <w:rPr>
                <w:rFonts w:hint="eastAsia" w:ascii="宋体" w:hAnsi="宋体"/>
                <w:color w:val="auto"/>
                <w:highlight w:val="none"/>
              </w:rPr>
            </w:pPr>
          </w:p>
        </w:tc>
        <w:tc>
          <w:tcPr>
            <w:tcW w:w="1348" w:type="dxa"/>
            <w:noWrap w:val="0"/>
            <w:vAlign w:val="center"/>
          </w:tcPr>
          <w:p>
            <w:pPr>
              <w:spacing w:line="440" w:lineRule="exact"/>
              <w:ind w:firstLine="0" w:firstLineChars="0"/>
              <w:jc w:val="center"/>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noWrap w:val="0"/>
            <w:vAlign w:val="center"/>
          </w:tcPr>
          <w:p>
            <w:pPr>
              <w:spacing w:line="440" w:lineRule="exact"/>
              <w:ind w:firstLine="0" w:firstLineChars="0"/>
              <w:jc w:val="center"/>
              <w:rPr>
                <w:rFonts w:hint="eastAsia" w:ascii="宋体" w:hAnsi="宋体"/>
                <w:color w:val="auto"/>
                <w:sz w:val="24"/>
                <w:highlight w:val="none"/>
              </w:rPr>
            </w:pPr>
            <w:r>
              <w:rPr>
                <w:rFonts w:hint="eastAsia" w:ascii="宋体" w:hAnsi="宋体"/>
                <w:color w:val="auto"/>
                <w:sz w:val="24"/>
                <w:highlight w:val="none"/>
              </w:rPr>
              <w:t>3</w:t>
            </w:r>
          </w:p>
        </w:tc>
        <w:tc>
          <w:tcPr>
            <w:tcW w:w="1145" w:type="dxa"/>
            <w:noWrap w:val="0"/>
            <w:vAlign w:val="center"/>
          </w:tcPr>
          <w:p>
            <w:pPr>
              <w:spacing w:line="440" w:lineRule="exact"/>
              <w:ind w:firstLine="0" w:firstLineChars="0"/>
              <w:jc w:val="center"/>
              <w:rPr>
                <w:rFonts w:hint="eastAsia" w:ascii="宋体" w:hAnsi="宋体"/>
                <w:color w:val="auto"/>
                <w:highlight w:val="none"/>
              </w:rPr>
            </w:pPr>
          </w:p>
        </w:tc>
        <w:tc>
          <w:tcPr>
            <w:tcW w:w="699" w:type="dxa"/>
            <w:noWrap w:val="0"/>
            <w:vAlign w:val="center"/>
          </w:tcPr>
          <w:p>
            <w:pPr>
              <w:spacing w:line="440" w:lineRule="exact"/>
              <w:ind w:firstLine="0" w:firstLineChars="0"/>
              <w:jc w:val="center"/>
              <w:rPr>
                <w:rFonts w:hint="eastAsia" w:ascii="宋体" w:hAnsi="宋体"/>
                <w:color w:val="auto"/>
                <w:highlight w:val="none"/>
              </w:rPr>
            </w:pPr>
          </w:p>
        </w:tc>
        <w:tc>
          <w:tcPr>
            <w:tcW w:w="710" w:type="dxa"/>
            <w:noWrap w:val="0"/>
            <w:vAlign w:val="center"/>
          </w:tcPr>
          <w:p>
            <w:pPr>
              <w:spacing w:line="440" w:lineRule="exact"/>
              <w:ind w:firstLine="0" w:firstLineChars="0"/>
              <w:jc w:val="center"/>
              <w:rPr>
                <w:rFonts w:hint="eastAsia" w:ascii="宋体" w:hAnsi="宋体"/>
                <w:color w:val="auto"/>
                <w:highlight w:val="none"/>
              </w:rPr>
            </w:pPr>
          </w:p>
        </w:tc>
        <w:tc>
          <w:tcPr>
            <w:tcW w:w="709" w:type="dxa"/>
            <w:noWrap w:val="0"/>
            <w:vAlign w:val="center"/>
          </w:tcPr>
          <w:p>
            <w:pPr>
              <w:spacing w:line="440" w:lineRule="exact"/>
              <w:ind w:firstLine="0" w:firstLineChars="0"/>
              <w:jc w:val="center"/>
              <w:rPr>
                <w:rFonts w:hint="eastAsia" w:ascii="宋体" w:hAnsi="宋体"/>
                <w:color w:val="auto"/>
                <w:highlight w:val="none"/>
              </w:rPr>
            </w:pPr>
          </w:p>
        </w:tc>
        <w:tc>
          <w:tcPr>
            <w:tcW w:w="1702" w:type="dxa"/>
            <w:noWrap w:val="0"/>
            <w:vAlign w:val="center"/>
          </w:tcPr>
          <w:p>
            <w:pPr>
              <w:spacing w:line="440" w:lineRule="exact"/>
              <w:ind w:firstLine="0" w:firstLineChars="0"/>
              <w:jc w:val="center"/>
              <w:rPr>
                <w:rFonts w:hint="eastAsia" w:ascii="宋体" w:hAnsi="宋体"/>
                <w:color w:val="auto"/>
                <w:highlight w:val="none"/>
              </w:rPr>
            </w:pPr>
          </w:p>
        </w:tc>
        <w:tc>
          <w:tcPr>
            <w:tcW w:w="1702" w:type="dxa"/>
            <w:noWrap w:val="0"/>
            <w:vAlign w:val="center"/>
          </w:tcPr>
          <w:p>
            <w:pPr>
              <w:spacing w:line="440" w:lineRule="exact"/>
              <w:ind w:firstLine="0" w:firstLineChars="0"/>
              <w:jc w:val="center"/>
              <w:rPr>
                <w:rFonts w:hint="eastAsia" w:ascii="宋体" w:hAnsi="宋体"/>
                <w:color w:val="auto"/>
                <w:highlight w:val="none"/>
              </w:rPr>
            </w:pPr>
          </w:p>
        </w:tc>
        <w:tc>
          <w:tcPr>
            <w:tcW w:w="852" w:type="dxa"/>
            <w:noWrap w:val="0"/>
            <w:vAlign w:val="center"/>
          </w:tcPr>
          <w:p>
            <w:pPr>
              <w:spacing w:line="440" w:lineRule="exact"/>
              <w:ind w:firstLine="0" w:firstLineChars="0"/>
              <w:jc w:val="center"/>
              <w:rPr>
                <w:rFonts w:hint="eastAsia" w:ascii="宋体" w:hAnsi="宋体"/>
                <w:color w:val="auto"/>
                <w:highlight w:val="none"/>
              </w:rPr>
            </w:pPr>
          </w:p>
        </w:tc>
        <w:tc>
          <w:tcPr>
            <w:tcW w:w="1348" w:type="dxa"/>
            <w:noWrap w:val="0"/>
            <w:vAlign w:val="center"/>
          </w:tcPr>
          <w:p>
            <w:pPr>
              <w:spacing w:line="440" w:lineRule="exact"/>
              <w:ind w:firstLine="0" w:firstLineChars="0"/>
              <w:jc w:val="center"/>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noWrap w:val="0"/>
            <w:vAlign w:val="center"/>
          </w:tcPr>
          <w:p>
            <w:pPr>
              <w:spacing w:line="440" w:lineRule="exact"/>
              <w:ind w:firstLine="0" w:firstLineChars="0"/>
              <w:jc w:val="center"/>
              <w:rPr>
                <w:rFonts w:hint="eastAsia" w:ascii="宋体" w:hAnsi="宋体"/>
                <w:color w:val="auto"/>
                <w:sz w:val="24"/>
                <w:highlight w:val="none"/>
              </w:rPr>
            </w:pPr>
            <w:r>
              <w:rPr>
                <w:rFonts w:ascii="宋体" w:hAnsi="宋体"/>
                <w:color w:val="auto"/>
                <w:sz w:val="24"/>
                <w:highlight w:val="none"/>
              </w:rPr>
              <w:t>…</w:t>
            </w:r>
          </w:p>
        </w:tc>
        <w:tc>
          <w:tcPr>
            <w:tcW w:w="1145" w:type="dxa"/>
            <w:noWrap w:val="0"/>
            <w:vAlign w:val="center"/>
          </w:tcPr>
          <w:p>
            <w:pPr>
              <w:spacing w:line="440" w:lineRule="exact"/>
              <w:ind w:firstLine="0" w:firstLineChars="0"/>
              <w:jc w:val="center"/>
              <w:rPr>
                <w:rFonts w:hint="eastAsia" w:ascii="宋体" w:hAnsi="宋体"/>
                <w:color w:val="auto"/>
                <w:highlight w:val="none"/>
              </w:rPr>
            </w:pPr>
          </w:p>
        </w:tc>
        <w:tc>
          <w:tcPr>
            <w:tcW w:w="699" w:type="dxa"/>
            <w:noWrap w:val="0"/>
            <w:vAlign w:val="center"/>
          </w:tcPr>
          <w:p>
            <w:pPr>
              <w:spacing w:line="440" w:lineRule="exact"/>
              <w:ind w:firstLine="0" w:firstLineChars="0"/>
              <w:jc w:val="center"/>
              <w:rPr>
                <w:rFonts w:hint="eastAsia" w:ascii="宋体" w:hAnsi="宋体"/>
                <w:color w:val="auto"/>
                <w:highlight w:val="none"/>
              </w:rPr>
            </w:pPr>
          </w:p>
        </w:tc>
        <w:tc>
          <w:tcPr>
            <w:tcW w:w="710" w:type="dxa"/>
            <w:noWrap w:val="0"/>
            <w:vAlign w:val="center"/>
          </w:tcPr>
          <w:p>
            <w:pPr>
              <w:spacing w:line="440" w:lineRule="exact"/>
              <w:ind w:firstLine="0" w:firstLineChars="0"/>
              <w:jc w:val="center"/>
              <w:rPr>
                <w:rFonts w:hint="eastAsia" w:ascii="宋体" w:hAnsi="宋体"/>
                <w:color w:val="auto"/>
                <w:highlight w:val="none"/>
              </w:rPr>
            </w:pPr>
          </w:p>
        </w:tc>
        <w:tc>
          <w:tcPr>
            <w:tcW w:w="709" w:type="dxa"/>
            <w:noWrap w:val="0"/>
            <w:vAlign w:val="center"/>
          </w:tcPr>
          <w:p>
            <w:pPr>
              <w:spacing w:line="440" w:lineRule="exact"/>
              <w:ind w:firstLine="0" w:firstLineChars="0"/>
              <w:jc w:val="center"/>
              <w:rPr>
                <w:rFonts w:hint="eastAsia" w:ascii="宋体" w:hAnsi="宋体"/>
                <w:color w:val="auto"/>
                <w:highlight w:val="none"/>
              </w:rPr>
            </w:pPr>
          </w:p>
        </w:tc>
        <w:tc>
          <w:tcPr>
            <w:tcW w:w="1702" w:type="dxa"/>
            <w:noWrap w:val="0"/>
            <w:vAlign w:val="center"/>
          </w:tcPr>
          <w:p>
            <w:pPr>
              <w:spacing w:line="440" w:lineRule="exact"/>
              <w:ind w:firstLine="0" w:firstLineChars="0"/>
              <w:jc w:val="center"/>
              <w:rPr>
                <w:rFonts w:hint="eastAsia" w:ascii="宋体" w:hAnsi="宋体"/>
                <w:color w:val="auto"/>
                <w:highlight w:val="none"/>
              </w:rPr>
            </w:pPr>
          </w:p>
        </w:tc>
        <w:tc>
          <w:tcPr>
            <w:tcW w:w="1702" w:type="dxa"/>
            <w:noWrap w:val="0"/>
            <w:vAlign w:val="center"/>
          </w:tcPr>
          <w:p>
            <w:pPr>
              <w:spacing w:line="440" w:lineRule="exact"/>
              <w:ind w:firstLine="0" w:firstLineChars="0"/>
              <w:jc w:val="center"/>
              <w:rPr>
                <w:rFonts w:hint="eastAsia" w:ascii="宋体" w:hAnsi="宋体"/>
                <w:color w:val="auto"/>
                <w:highlight w:val="none"/>
              </w:rPr>
            </w:pPr>
          </w:p>
        </w:tc>
        <w:tc>
          <w:tcPr>
            <w:tcW w:w="852" w:type="dxa"/>
            <w:noWrap w:val="0"/>
            <w:vAlign w:val="center"/>
          </w:tcPr>
          <w:p>
            <w:pPr>
              <w:spacing w:line="440" w:lineRule="exact"/>
              <w:ind w:firstLine="0" w:firstLineChars="0"/>
              <w:jc w:val="center"/>
              <w:rPr>
                <w:rFonts w:hint="eastAsia" w:ascii="宋体" w:hAnsi="宋体"/>
                <w:color w:val="auto"/>
                <w:highlight w:val="none"/>
              </w:rPr>
            </w:pPr>
          </w:p>
        </w:tc>
        <w:tc>
          <w:tcPr>
            <w:tcW w:w="1348" w:type="dxa"/>
            <w:noWrap w:val="0"/>
            <w:vAlign w:val="center"/>
          </w:tcPr>
          <w:p>
            <w:pPr>
              <w:spacing w:line="440" w:lineRule="exact"/>
              <w:ind w:firstLine="0" w:firstLineChars="0"/>
              <w:jc w:val="center"/>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571" w:type="dxa"/>
            <w:gridSpan w:val="9"/>
            <w:noWrap w:val="0"/>
            <w:vAlign w:val="center"/>
          </w:tcPr>
          <w:p>
            <w:pPr>
              <w:spacing w:line="440" w:lineRule="exact"/>
              <w:ind w:firstLine="27" w:firstLineChars="14"/>
              <w:rPr>
                <w:rFonts w:hint="eastAsia" w:ascii="宋体" w:hAnsi="宋体" w:cs="Courier New"/>
                <w:color w:val="auto"/>
                <w:spacing w:val="-6"/>
                <w:szCs w:val="21"/>
                <w:highlight w:val="none"/>
              </w:rPr>
            </w:pPr>
            <w:r>
              <w:rPr>
                <w:rFonts w:hint="eastAsia" w:ascii="宋体" w:hAnsi="宋体" w:cs="Courier New"/>
                <w:color w:val="auto"/>
                <w:spacing w:val="-6"/>
                <w:szCs w:val="21"/>
                <w:highlight w:val="none"/>
              </w:rPr>
              <w:t>总报价（人民币大写）：</w:t>
            </w:r>
            <w:r>
              <w:rPr>
                <w:rFonts w:hint="eastAsia" w:ascii="宋体" w:hAnsi="宋体" w:cs="Courier New"/>
                <w:color w:val="auto"/>
                <w:spacing w:val="-6"/>
                <w:szCs w:val="21"/>
                <w:highlight w:val="none"/>
                <w:u w:val="single"/>
              </w:rPr>
              <w:t xml:space="preserve">                                       </w:t>
            </w:r>
            <w:r>
              <w:rPr>
                <w:rFonts w:hint="eastAsia" w:ascii="宋体" w:hAnsi="宋体" w:cs="Courier New"/>
                <w:color w:val="auto"/>
                <w:spacing w:val="-6"/>
                <w:szCs w:val="21"/>
                <w:highlight w:val="none"/>
              </w:rPr>
              <w:t>（￥</w:t>
            </w:r>
            <w:r>
              <w:rPr>
                <w:rFonts w:hint="eastAsia" w:ascii="宋体" w:hAnsi="宋体" w:cs="Courier New"/>
                <w:color w:val="auto"/>
                <w:spacing w:val="-6"/>
                <w:szCs w:val="21"/>
                <w:highlight w:val="none"/>
                <w:u w:val="single"/>
              </w:rPr>
              <w:t xml:space="preserve">                       元</w:t>
            </w:r>
            <w:r>
              <w:rPr>
                <w:rFonts w:hint="eastAsia" w:ascii="宋体" w:hAnsi="宋体" w:cs="Courier New"/>
                <w:color w:val="auto"/>
                <w:spacing w:val="-6"/>
                <w:szCs w:val="21"/>
                <w:highlight w:val="none"/>
              </w:rPr>
              <w:t>）</w:t>
            </w:r>
          </w:p>
        </w:tc>
      </w:tr>
      <w:bookmarkEnd w:id="254"/>
    </w:tbl>
    <w:p>
      <w:pPr>
        <w:spacing w:line="440" w:lineRule="exact"/>
        <w:ind w:firstLine="420"/>
        <w:rPr>
          <w:rFonts w:ascii="宋体" w:hAnsi="宋体"/>
          <w:color w:val="auto"/>
          <w:szCs w:val="21"/>
          <w:highlight w:val="none"/>
        </w:rPr>
      </w:pPr>
      <w:r>
        <w:rPr>
          <w:rFonts w:hint="eastAsia" w:ascii="宋体" w:hAnsi="宋体"/>
          <w:color w:val="auto"/>
          <w:szCs w:val="21"/>
          <w:highlight w:val="none"/>
        </w:rPr>
        <w:t>注：1.所有价格均用人民币表示，单位为元，精确到个数位。</w:t>
      </w:r>
    </w:p>
    <w:p>
      <w:pPr>
        <w:spacing w:line="440" w:lineRule="exact"/>
        <w:ind w:firstLine="0" w:firstLineChars="0"/>
        <w:rPr>
          <w:rFonts w:ascii="宋体" w:hAnsi="Courier New" w:cs="Courier New"/>
          <w:color w:val="auto"/>
          <w:szCs w:val="21"/>
          <w:highlight w:val="none"/>
        </w:rPr>
      </w:pPr>
      <w:r>
        <w:rPr>
          <w:rFonts w:hint="eastAsia" w:ascii="宋体" w:hAnsi="宋体"/>
          <w:color w:val="auto"/>
          <w:szCs w:val="21"/>
          <w:highlight w:val="none"/>
        </w:rPr>
        <w:t xml:space="preserve">    </w:t>
      </w:r>
      <w:r>
        <w:rPr>
          <w:rFonts w:hint="eastAsia" w:ascii="宋体" w:hAnsi="宋体"/>
          <w:bCs/>
          <w:color w:val="auto"/>
          <w:szCs w:val="21"/>
          <w:highlight w:val="none"/>
        </w:rPr>
        <w:t>2.投标报价应包含货物、货物标准附件、备品备件、专用工具、设备安装辅材、施工辅材、包装、运输、装卸、保险等各种费用以及安装、调试、验收、税金、售后服务、技术培训费、更新升级、软件费及其他所有成本费用；如出现参数不满足或由于供应商原因造成品质不满足合同要求，采购人有权要求更换设备，不增加任何费用。</w:t>
      </w:r>
    </w:p>
    <w:p>
      <w:pPr>
        <w:spacing w:before="50" w:after="50" w:line="360" w:lineRule="exact"/>
        <w:ind w:firstLine="420" w:firstLineChars="0"/>
        <w:rPr>
          <w:rFonts w:hint="eastAsia" w:ascii="宋体" w:hAnsi="宋体" w:cs="Courier New"/>
          <w:color w:val="auto"/>
          <w:szCs w:val="21"/>
          <w:highlight w:val="none"/>
        </w:rPr>
      </w:pPr>
      <w:r>
        <w:rPr>
          <w:rFonts w:hint="eastAsia" w:ascii="宋体" w:hAnsi="Courier New" w:cs="Courier New"/>
          <w:color w:val="auto"/>
          <w:szCs w:val="21"/>
          <w:highlight w:val="none"/>
        </w:rPr>
        <w:t>3</w:t>
      </w:r>
      <w:r>
        <w:rPr>
          <w:rFonts w:ascii="宋体" w:hAnsi="Courier New" w:cs="Courier New"/>
          <w:color w:val="auto"/>
          <w:szCs w:val="21"/>
          <w:highlight w:val="none"/>
        </w:rPr>
        <w:t>.</w:t>
      </w:r>
      <w:r>
        <w:rPr>
          <w:rFonts w:hint="eastAsia" w:ascii="宋体" w:hAnsi="宋体" w:cs="Courier New"/>
          <w:color w:val="auto"/>
          <w:szCs w:val="21"/>
          <w:highlight w:val="none"/>
        </w:rPr>
        <w:t>报价为全包价，以人民币为结算单位。在合同实施时，采购人将不予支付中标人没有列入的项目费用，并认为此项目的费用已包括在总报价中。采购人不再支付合同以外的其他费用。</w:t>
      </w:r>
    </w:p>
    <w:p>
      <w:pPr>
        <w:spacing w:line="240" w:lineRule="auto"/>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snapToGrid w:val="0"/>
        <w:spacing w:before="50" w:after="50" w:line="350" w:lineRule="exact"/>
        <w:ind w:right="-817" w:rightChars="-389" w:firstLine="4189" w:firstLineChars="1995"/>
        <w:rPr>
          <w:rFonts w:ascii="宋体" w:hAnsi="宋体"/>
          <w:color w:val="auto"/>
          <w:szCs w:val="21"/>
          <w:highlight w:val="none"/>
        </w:rPr>
      </w:pPr>
      <w:r>
        <w:rPr>
          <w:rFonts w:hint="eastAsia" w:ascii="宋体" w:hAnsi="宋体"/>
          <w:color w:val="auto"/>
          <w:szCs w:val="21"/>
          <w:highlight w:val="none"/>
        </w:rPr>
        <w:t>法定代表人或授权代表（签名）：</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napToGrid w:val="0"/>
        <w:spacing w:before="50" w:after="50" w:line="350" w:lineRule="exact"/>
        <w:ind w:right="-817" w:rightChars="-389" w:firstLine="3465" w:firstLineChars="1650"/>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投标人（盖章）：</w:t>
      </w:r>
      <w:r>
        <w:rPr>
          <w:rFonts w:hint="eastAsia" w:ascii="宋体" w:hAnsi="宋体"/>
          <w:color w:val="auto"/>
          <w:szCs w:val="21"/>
          <w:highlight w:val="none"/>
          <w:u w:val="single"/>
        </w:rPr>
        <w:t xml:space="preserve">                        </w:t>
      </w:r>
    </w:p>
    <w:p>
      <w:pPr>
        <w:snapToGrid w:val="0"/>
        <w:spacing w:before="50" w:after="50" w:line="350" w:lineRule="exact"/>
        <w:ind w:right="-817" w:rightChars="-389" w:firstLine="3465" w:firstLineChars="1650"/>
        <w:rPr>
          <w:rFonts w:hint="eastAsia"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ind w:firstLine="0" w:firstLineChars="0"/>
        <w:jc w:val="center"/>
        <w:rPr>
          <w:rFonts w:hint="eastAsia" w:ascii="宋体" w:hAnsi="宋体"/>
          <w:color w:val="auto"/>
          <w:szCs w:val="21"/>
          <w:highlight w:val="none"/>
        </w:rPr>
      </w:pPr>
    </w:p>
    <w:sectPr>
      <w:headerReference r:id="rId11" w:type="default"/>
      <w:footerReference r:id="rId12" w:type="default"/>
      <w:pgSz w:w="11906" w:h="16838"/>
      <w:pgMar w:top="1246" w:right="991" w:bottom="1091" w:left="99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Bosch Office Sans">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inherit">
    <w:altName w:val="微软雅黑"/>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Adobe 仿宋 Std R">
    <w:altName w:val="仿宋"/>
    <w:panose1 w:val="02020400000000000000"/>
    <w:charset w:val="00"/>
    <w:family w:val="roman"/>
    <w:pitch w:val="default"/>
    <w:sig w:usb0="00000000" w:usb1="00000000" w:usb2="00000016" w:usb3="00000000" w:csb0="00060007" w:csb1="00000000"/>
  </w:font>
  <w:font w:name="Helvetica">
    <w:altName w:val="Arial"/>
    <w:panose1 w:val="020B0604020202020204"/>
    <w:charset w:val="00"/>
    <w:family w:val="swiss"/>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360"/>
      <w:jc w:val="center"/>
    </w:pPr>
    <w:r>
      <w:fldChar w:fldCharType="begin"/>
    </w:r>
    <w:r>
      <w:instrText xml:space="preserve">PAGE   \* MERGEFORMAT</w:instrText>
    </w:r>
    <w:r>
      <w:fldChar w:fldCharType="separate"/>
    </w:r>
    <w:r>
      <w:rPr>
        <w:lang w:val="zh-CN"/>
      </w:rPr>
      <w:t>60</w:t>
    </w:r>
    <w:r>
      <w:fldChar w:fldCharType="end"/>
    </w:r>
  </w:p>
  <w:p>
    <w:pPr>
      <w:pStyle w:val="3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718" w:leftChars="-342" w:right="-874" w:rightChars="-416" w:firstLine="716" w:firstLineChars="398"/>
      <w:rPr>
        <w:rFonts w:hint="eastAsia"/>
        <w:sz w:val="18"/>
        <w:szCs w:val="18"/>
        <w:u w:val="single"/>
      </w:rPr>
    </w:pPr>
    <w:r>
      <w:rPr>
        <w:rFonts w:hint="eastAsia"/>
        <w:sz w:val="18"/>
        <w:szCs w:val="18"/>
        <w:u w:val="single"/>
      </w:rPr>
      <w:t xml:space="preserve">钦州市政府采购中心                     </w:t>
    </w:r>
    <w:r>
      <w:rPr>
        <w:rFonts w:hint="eastAsia"/>
        <w:sz w:val="18"/>
        <w:szCs w:val="18"/>
        <w:u w:val="single"/>
        <w:lang w:eastAsia="zh-CN"/>
      </w:rPr>
      <w:t>大化瑶族自治县人民法院审判法庭业务用房信息化建设</w:t>
    </w:r>
    <w:r>
      <w:rPr>
        <w:rFonts w:hint="eastAsia"/>
        <w:sz w:val="18"/>
        <w:szCs w:val="18"/>
        <w:u w:val="single"/>
      </w:rPr>
      <w:t>(</w:t>
    </w:r>
    <w:r>
      <w:rPr>
        <w:rFonts w:hint="eastAsia"/>
        <w:sz w:val="18"/>
        <w:szCs w:val="18"/>
        <w:u w:val="single"/>
        <w:lang w:eastAsia="zh-CN"/>
      </w:rPr>
      <w:t>HCZC2025-G1-990090-QZSZ</w:t>
    </w:r>
    <w:r>
      <w:rPr>
        <w:rFonts w:hint="eastAsia"/>
        <w:sz w:val="18"/>
        <w:szCs w:val="18"/>
        <w:u w:val="single"/>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718" w:leftChars="-342" w:right="-874" w:rightChars="-416" w:firstLine="716" w:firstLineChars="398"/>
      <w:rPr>
        <w:rFonts w:hint="eastAsia"/>
        <w:sz w:val="18"/>
        <w:szCs w:val="18"/>
        <w:u w:val="single"/>
      </w:rPr>
    </w:pPr>
    <w:r>
      <w:rPr>
        <w:rFonts w:hint="eastAsia"/>
        <w:sz w:val="18"/>
        <w:szCs w:val="18"/>
        <w:u w:val="single"/>
      </w:rPr>
      <w:t xml:space="preserve">钦州市政府采购中心                        </w:t>
    </w:r>
    <w:r>
      <w:rPr>
        <w:rFonts w:hint="eastAsia"/>
        <w:sz w:val="18"/>
        <w:szCs w:val="18"/>
        <w:u w:val="single"/>
        <w:lang w:eastAsia="zh-CN"/>
      </w:rPr>
      <w:t>大化瑶族自治县人民法院审判法庭业务用房信息化建设</w:t>
    </w:r>
    <w:r>
      <w:rPr>
        <w:rFonts w:hint="eastAsia"/>
        <w:sz w:val="18"/>
        <w:szCs w:val="18"/>
        <w:u w:val="single"/>
      </w:rPr>
      <w:t>(</w:t>
    </w:r>
    <w:r>
      <w:rPr>
        <w:rFonts w:hint="eastAsia"/>
        <w:sz w:val="18"/>
        <w:szCs w:val="18"/>
        <w:u w:val="single"/>
        <w:lang w:eastAsia="zh-CN"/>
      </w:rPr>
      <w:t>HCZC2025-G1-990090-QZSZ</w:t>
    </w:r>
    <w:r>
      <w:rPr>
        <w:rFonts w:hint="eastAsia"/>
        <w:sz w:val="18"/>
        <w:szCs w:val="18"/>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28308E"/>
    <w:multiLevelType w:val="singleLevel"/>
    <w:tmpl w:val="8028308E"/>
    <w:lvl w:ilvl="0" w:tentative="0">
      <w:start w:val="1"/>
      <w:numFmt w:val="decimal"/>
      <w:lvlText w:val="%1."/>
      <w:lvlJc w:val="left"/>
      <w:pPr>
        <w:tabs>
          <w:tab w:val="left" w:pos="312"/>
        </w:tabs>
      </w:pPr>
    </w:lvl>
  </w:abstractNum>
  <w:abstractNum w:abstractNumId="1">
    <w:nsid w:val="817BB80D"/>
    <w:multiLevelType w:val="singleLevel"/>
    <w:tmpl w:val="817BB80D"/>
    <w:lvl w:ilvl="0" w:tentative="0">
      <w:start w:val="1"/>
      <w:numFmt w:val="decimal"/>
      <w:lvlText w:val="%1."/>
      <w:lvlJc w:val="left"/>
      <w:pPr>
        <w:tabs>
          <w:tab w:val="left" w:pos="312"/>
        </w:tabs>
      </w:pPr>
    </w:lvl>
  </w:abstractNum>
  <w:abstractNum w:abstractNumId="2">
    <w:nsid w:val="83B680BF"/>
    <w:multiLevelType w:val="singleLevel"/>
    <w:tmpl w:val="83B680BF"/>
    <w:lvl w:ilvl="0" w:tentative="0">
      <w:start w:val="1"/>
      <w:numFmt w:val="decimal"/>
      <w:lvlText w:val="%1."/>
      <w:lvlJc w:val="left"/>
      <w:pPr>
        <w:tabs>
          <w:tab w:val="left" w:pos="312"/>
        </w:tabs>
      </w:pPr>
    </w:lvl>
  </w:abstractNum>
  <w:abstractNum w:abstractNumId="3">
    <w:nsid w:val="8647F5C7"/>
    <w:multiLevelType w:val="singleLevel"/>
    <w:tmpl w:val="8647F5C7"/>
    <w:lvl w:ilvl="0" w:tentative="0">
      <w:start w:val="1"/>
      <w:numFmt w:val="decimal"/>
      <w:lvlText w:val="%1."/>
      <w:lvlJc w:val="left"/>
      <w:pPr>
        <w:tabs>
          <w:tab w:val="left" w:pos="312"/>
        </w:tabs>
      </w:pPr>
    </w:lvl>
  </w:abstractNum>
  <w:abstractNum w:abstractNumId="4">
    <w:nsid w:val="86A2011C"/>
    <w:multiLevelType w:val="singleLevel"/>
    <w:tmpl w:val="86A2011C"/>
    <w:lvl w:ilvl="0" w:tentative="0">
      <w:start w:val="1"/>
      <w:numFmt w:val="decimal"/>
      <w:suff w:val="nothing"/>
      <w:lvlText w:val="%1、"/>
      <w:lvlJc w:val="left"/>
    </w:lvl>
  </w:abstractNum>
  <w:abstractNum w:abstractNumId="5">
    <w:nsid w:val="87C462A7"/>
    <w:multiLevelType w:val="singleLevel"/>
    <w:tmpl w:val="87C462A7"/>
    <w:lvl w:ilvl="0" w:tentative="0">
      <w:start w:val="1"/>
      <w:numFmt w:val="decimal"/>
      <w:lvlText w:val="%1."/>
      <w:lvlJc w:val="left"/>
      <w:pPr>
        <w:tabs>
          <w:tab w:val="left" w:pos="312"/>
        </w:tabs>
      </w:pPr>
    </w:lvl>
  </w:abstractNum>
  <w:abstractNum w:abstractNumId="6">
    <w:nsid w:val="A14C6BBB"/>
    <w:multiLevelType w:val="singleLevel"/>
    <w:tmpl w:val="A14C6BBB"/>
    <w:lvl w:ilvl="0" w:tentative="0">
      <w:start w:val="5"/>
      <w:numFmt w:val="decimal"/>
      <w:lvlText w:val="%1."/>
      <w:lvlJc w:val="left"/>
      <w:pPr>
        <w:tabs>
          <w:tab w:val="left" w:pos="312"/>
        </w:tabs>
      </w:pPr>
    </w:lvl>
  </w:abstractNum>
  <w:abstractNum w:abstractNumId="7">
    <w:nsid w:val="BF6BC116"/>
    <w:multiLevelType w:val="singleLevel"/>
    <w:tmpl w:val="BF6BC116"/>
    <w:lvl w:ilvl="0" w:tentative="0">
      <w:start w:val="16"/>
      <w:numFmt w:val="decimal"/>
      <w:suff w:val="space"/>
      <w:lvlText w:val="%1."/>
      <w:lvlJc w:val="left"/>
    </w:lvl>
  </w:abstractNum>
  <w:abstractNum w:abstractNumId="8">
    <w:nsid w:val="C19B57E9"/>
    <w:multiLevelType w:val="singleLevel"/>
    <w:tmpl w:val="C19B57E9"/>
    <w:lvl w:ilvl="0" w:tentative="0">
      <w:start w:val="1"/>
      <w:numFmt w:val="decimal"/>
      <w:suff w:val="nothing"/>
      <w:lvlText w:val="%1、"/>
      <w:lvlJc w:val="left"/>
    </w:lvl>
  </w:abstractNum>
  <w:abstractNum w:abstractNumId="9">
    <w:nsid w:val="CAA10ACC"/>
    <w:multiLevelType w:val="singleLevel"/>
    <w:tmpl w:val="CAA10ACC"/>
    <w:lvl w:ilvl="0" w:tentative="0">
      <w:start w:val="1"/>
      <w:numFmt w:val="decimal"/>
      <w:lvlText w:val="%1."/>
      <w:lvlJc w:val="left"/>
      <w:pPr>
        <w:tabs>
          <w:tab w:val="left" w:pos="312"/>
        </w:tabs>
      </w:pPr>
    </w:lvl>
  </w:abstractNum>
  <w:abstractNum w:abstractNumId="10">
    <w:nsid w:val="D58685EE"/>
    <w:multiLevelType w:val="singleLevel"/>
    <w:tmpl w:val="D58685EE"/>
    <w:lvl w:ilvl="0" w:tentative="0">
      <w:start w:val="1"/>
      <w:numFmt w:val="decimal"/>
      <w:lvlText w:val="%1."/>
      <w:lvlJc w:val="left"/>
      <w:pPr>
        <w:tabs>
          <w:tab w:val="left" w:pos="312"/>
        </w:tabs>
      </w:pPr>
    </w:lvl>
  </w:abstractNum>
  <w:abstractNum w:abstractNumId="11">
    <w:nsid w:val="DBB74916"/>
    <w:multiLevelType w:val="singleLevel"/>
    <w:tmpl w:val="DBB74916"/>
    <w:lvl w:ilvl="0" w:tentative="0">
      <w:start w:val="2"/>
      <w:numFmt w:val="decimal"/>
      <w:lvlText w:val="%1."/>
      <w:lvlJc w:val="left"/>
      <w:pPr>
        <w:tabs>
          <w:tab w:val="left" w:pos="312"/>
        </w:tabs>
      </w:pPr>
    </w:lvl>
  </w:abstractNum>
  <w:abstractNum w:abstractNumId="12">
    <w:nsid w:val="DDECD3BC"/>
    <w:multiLevelType w:val="singleLevel"/>
    <w:tmpl w:val="DDECD3BC"/>
    <w:lvl w:ilvl="0" w:tentative="0">
      <w:start w:val="6"/>
      <w:numFmt w:val="decimal"/>
      <w:suff w:val="space"/>
      <w:lvlText w:val="%1."/>
      <w:lvlJc w:val="left"/>
    </w:lvl>
  </w:abstractNum>
  <w:abstractNum w:abstractNumId="13">
    <w:nsid w:val="DE759F4B"/>
    <w:multiLevelType w:val="singleLevel"/>
    <w:tmpl w:val="DE759F4B"/>
    <w:lvl w:ilvl="0" w:tentative="0">
      <w:start w:val="2"/>
      <w:numFmt w:val="decimal"/>
      <w:suff w:val="space"/>
      <w:lvlText w:val="%1."/>
      <w:lvlJc w:val="left"/>
    </w:lvl>
  </w:abstractNum>
  <w:abstractNum w:abstractNumId="14">
    <w:nsid w:val="DEABE1DB"/>
    <w:multiLevelType w:val="singleLevel"/>
    <w:tmpl w:val="DEABE1DB"/>
    <w:lvl w:ilvl="0" w:tentative="0">
      <w:start w:val="23"/>
      <w:numFmt w:val="decimal"/>
      <w:suff w:val="space"/>
      <w:lvlText w:val="%1."/>
      <w:lvlJc w:val="left"/>
    </w:lvl>
  </w:abstractNum>
  <w:abstractNum w:abstractNumId="15">
    <w:nsid w:val="E153B9C6"/>
    <w:multiLevelType w:val="singleLevel"/>
    <w:tmpl w:val="E153B9C6"/>
    <w:lvl w:ilvl="0" w:tentative="0">
      <w:start w:val="2"/>
      <w:numFmt w:val="chineseCounting"/>
      <w:suff w:val="nothing"/>
      <w:lvlText w:val="（%1）"/>
      <w:lvlJc w:val="left"/>
      <w:rPr>
        <w:rFonts w:hint="eastAsia"/>
      </w:rPr>
    </w:lvl>
  </w:abstractNum>
  <w:abstractNum w:abstractNumId="16">
    <w:nsid w:val="E655C743"/>
    <w:multiLevelType w:val="singleLevel"/>
    <w:tmpl w:val="E655C743"/>
    <w:lvl w:ilvl="0" w:tentative="0">
      <w:start w:val="1"/>
      <w:numFmt w:val="decimal"/>
      <w:suff w:val="nothing"/>
      <w:lvlText w:val="%1、"/>
      <w:lvlJc w:val="left"/>
    </w:lvl>
  </w:abstractNum>
  <w:abstractNum w:abstractNumId="17">
    <w:nsid w:val="F613790C"/>
    <w:multiLevelType w:val="singleLevel"/>
    <w:tmpl w:val="F613790C"/>
    <w:lvl w:ilvl="0" w:tentative="0">
      <w:start w:val="1"/>
      <w:numFmt w:val="decimal"/>
      <w:lvlText w:val="%1."/>
      <w:lvlJc w:val="left"/>
      <w:pPr>
        <w:tabs>
          <w:tab w:val="left" w:pos="312"/>
        </w:tabs>
      </w:pPr>
    </w:lvl>
  </w:abstractNum>
  <w:abstractNum w:abstractNumId="18">
    <w:nsid w:val="FECB1C24"/>
    <w:multiLevelType w:val="singleLevel"/>
    <w:tmpl w:val="FECB1C24"/>
    <w:lvl w:ilvl="0" w:tentative="0">
      <w:start w:val="1"/>
      <w:numFmt w:val="decimal"/>
      <w:lvlText w:val="%1."/>
      <w:lvlJc w:val="left"/>
      <w:pPr>
        <w:tabs>
          <w:tab w:val="left" w:pos="312"/>
        </w:tabs>
      </w:pPr>
    </w:lvl>
  </w:abstractNum>
  <w:abstractNum w:abstractNumId="19">
    <w:nsid w:val="01E507F0"/>
    <w:multiLevelType w:val="singleLevel"/>
    <w:tmpl w:val="01E507F0"/>
    <w:lvl w:ilvl="0" w:tentative="0">
      <w:start w:val="2"/>
      <w:numFmt w:val="decimal"/>
      <w:lvlText w:val="%1."/>
      <w:lvlJc w:val="left"/>
      <w:pPr>
        <w:tabs>
          <w:tab w:val="left" w:pos="312"/>
        </w:tabs>
      </w:pPr>
    </w:lvl>
  </w:abstractNum>
  <w:abstractNum w:abstractNumId="20">
    <w:nsid w:val="20A8C17A"/>
    <w:multiLevelType w:val="singleLevel"/>
    <w:tmpl w:val="20A8C17A"/>
    <w:lvl w:ilvl="0" w:tentative="0">
      <w:start w:val="1"/>
      <w:numFmt w:val="decimal"/>
      <w:lvlText w:val="%1."/>
      <w:lvlJc w:val="left"/>
      <w:pPr>
        <w:tabs>
          <w:tab w:val="left" w:pos="312"/>
        </w:tabs>
      </w:pPr>
    </w:lvl>
  </w:abstractNum>
  <w:abstractNum w:abstractNumId="21">
    <w:nsid w:val="35A65549"/>
    <w:multiLevelType w:val="singleLevel"/>
    <w:tmpl w:val="35A65549"/>
    <w:lvl w:ilvl="0" w:tentative="0">
      <w:start w:val="3"/>
      <w:numFmt w:val="decimal"/>
      <w:lvlText w:val="%1."/>
      <w:lvlJc w:val="left"/>
      <w:pPr>
        <w:tabs>
          <w:tab w:val="left" w:pos="312"/>
        </w:tabs>
      </w:pPr>
    </w:lvl>
  </w:abstractNum>
  <w:abstractNum w:abstractNumId="22">
    <w:nsid w:val="5B7C99DE"/>
    <w:multiLevelType w:val="singleLevel"/>
    <w:tmpl w:val="5B7C99DE"/>
    <w:lvl w:ilvl="0" w:tentative="0">
      <w:start w:val="1"/>
      <w:numFmt w:val="decimal"/>
      <w:suff w:val="nothing"/>
      <w:lvlText w:val="%1、"/>
      <w:lvlJc w:val="left"/>
    </w:lvl>
  </w:abstractNum>
  <w:abstractNum w:abstractNumId="23">
    <w:nsid w:val="762A6677"/>
    <w:multiLevelType w:val="singleLevel"/>
    <w:tmpl w:val="762A6677"/>
    <w:lvl w:ilvl="0" w:tentative="0">
      <w:start w:val="3"/>
      <w:numFmt w:val="decimal"/>
      <w:lvlText w:val="%1."/>
      <w:lvlJc w:val="left"/>
      <w:pPr>
        <w:tabs>
          <w:tab w:val="left" w:pos="312"/>
        </w:tabs>
      </w:pPr>
    </w:lvl>
  </w:abstractNum>
  <w:abstractNum w:abstractNumId="24">
    <w:nsid w:val="7A0F6431"/>
    <w:multiLevelType w:val="singleLevel"/>
    <w:tmpl w:val="7A0F6431"/>
    <w:lvl w:ilvl="0" w:tentative="0">
      <w:start w:val="1"/>
      <w:numFmt w:val="decimal"/>
      <w:suff w:val="space"/>
      <w:lvlText w:val="%1."/>
      <w:lvlJc w:val="left"/>
    </w:lvl>
  </w:abstractNum>
  <w:num w:numId="1">
    <w:abstractNumId w:val="23"/>
  </w:num>
  <w:num w:numId="2">
    <w:abstractNumId w:val="19"/>
  </w:num>
  <w:num w:numId="3">
    <w:abstractNumId w:val="6"/>
  </w:num>
  <w:num w:numId="4">
    <w:abstractNumId w:val="21"/>
  </w:num>
  <w:num w:numId="5">
    <w:abstractNumId w:val="11"/>
  </w:num>
  <w:num w:numId="6">
    <w:abstractNumId w:val="3"/>
  </w:num>
  <w:num w:numId="7">
    <w:abstractNumId w:val="9"/>
  </w:num>
  <w:num w:numId="8">
    <w:abstractNumId w:val="5"/>
  </w:num>
  <w:num w:numId="9">
    <w:abstractNumId w:val="0"/>
  </w:num>
  <w:num w:numId="10">
    <w:abstractNumId w:val="2"/>
  </w:num>
  <w:num w:numId="11">
    <w:abstractNumId w:val="17"/>
  </w:num>
  <w:num w:numId="12">
    <w:abstractNumId w:val="8"/>
  </w:num>
  <w:num w:numId="13">
    <w:abstractNumId w:val="4"/>
  </w:num>
  <w:num w:numId="14">
    <w:abstractNumId w:val="20"/>
  </w:num>
  <w:num w:numId="15">
    <w:abstractNumId w:val="22"/>
  </w:num>
  <w:num w:numId="16">
    <w:abstractNumId w:val="16"/>
  </w:num>
  <w:num w:numId="17">
    <w:abstractNumId w:val="10"/>
  </w:num>
  <w:num w:numId="18">
    <w:abstractNumId w:val="18"/>
  </w:num>
  <w:num w:numId="19">
    <w:abstractNumId w:val="1"/>
  </w:num>
  <w:num w:numId="20">
    <w:abstractNumId w:val="15"/>
  </w:num>
  <w:num w:numId="21">
    <w:abstractNumId w:val="24"/>
  </w:num>
  <w:num w:numId="22">
    <w:abstractNumId w:val="13"/>
  </w:num>
  <w:num w:numId="23">
    <w:abstractNumId w:val="12"/>
  </w:num>
  <w:num w:numId="24">
    <w:abstractNumId w:val="7"/>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jZmE0Zjc2ZDA5NmE1NTQ4Yzk4Zjk0N2Y4YTlhMjQifQ=="/>
    <w:docVar w:name="KSO_WPS_MARK_KEY" w:val="8b2e790f-301c-416b-a0c7-a7ea7cce6ec1"/>
  </w:docVars>
  <w:rsids>
    <w:rsidRoot w:val="00E57B92"/>
    <w:rsid w:val="00001C41"/>
    <w:rsid w:val="00004B07"/>
    <w:rsid w:val="00012693"/>
    <w:rsid w:val="00013AAD"/>
    <w:rsid w:val="0001477A"/>
    <w:rsid w:val="000160E7"/>
    <w:rsid w:val="00016146"/>
    <w:rsid w:val="000165AA"/>
    <w:rsid w:val="00017C52"/>
    <w:rsid w:val="00017DBB"/>
    <w:rsid w:val="00020915"/>
    <w:rsid w:val="00020BB0"/>
    <w:rsid w:val="00024F7F"/>
    <w:rsid w:val="00025DCF"/>
    <w:rsid w:val="00026191"/>
    <w:rsid w:val="00026324"/>
    <w:rsid w:val="000275CA"/>
    <w:rsid w:val="000305C3"/>
    <w:rsid w:val="00033238"/>
    <w:rsid w:val="00035461"/>
    <w:rsid w:val="00036291"/>
    <w:rsid w:val="000370D2"/>
    <w:rsid w:val="00037506"/>
    <w:rsid w:val="00041F84"/>
    <w:rsid w:val="000426A5"/>
    <w:rsid w:val="00042B43"/>
    <w:rsid w:val="00043733"/>
    <w:rsid w:val="00044C2E"/>
    <w:rsid w:val="00044EA4"/>
    <w:rsid w:val="0004516D"/>
    <w:rsid w:val="00046EBA"/>
    <w:rsid w:val="000475DF"/>
    <w:rsid w:val="0005111A"/>
    <w:rsid w:val="0005232E"/>
    <w:rsid w:val="00052E87"/>
    <w:rsid w:val="0005478E"/>
    <w:rsid w:val="00054B3B"/>
    <w:rsid w:val="00054E52"/>
    <w:rsid w:val="000614D1"/>
    <w:rsid w:val="0006165C"/>
    <w:rsid w:val="00065472"/>
    <w:rsid w:val="00065951"/>
    <w:rsid w:val="00065FC9"/>
    <w:rsid w:val="000661F6"/>
    <w:rsid w:val="00066921"/>
    <w:rsid w:val="00066D8C"/>
    <w:rsid w:val="00067C4F"/>
    <w:rsid w:val="00071CFF"/>
    <w:rsid w:val="00073C68"/>
    <w:rsid w:val="00077520"/>
    <w:rsid w:val="00077995"/>
    <w:rsid w:val="0008019D"/>
    <w:rsid w:val="00080A21"/>
    <w:rsid w:val="000810CF"/>
    <w:rsid w:val="000813F7"/>
    <w:rsid w:val="00082608"/>
    <w:rsid w:val="000842AE"/>
    <w:rsid w:val="00086746"/>
    <w:rsid w:val="0009000E"/>
    <w:rsid w:val="00093F5D"/>
    <w:rsid w:val="000946C4"/>
    <w:rsid w:val="000975E8"/>
    <w:rsid w:val="00097FD6"/>
    <w:rsid w:val="000A2692"/>
    <w:rsid w:val="000A4349"/>
    <w:rsid w:val="000A780C"/>
    <w:rsid w:val="000B0DB5"/>
    <w:rsid w:val="000B1576"/>
    <w:rsid w:val="000B24A1"/>
    <w:rsid w:val="000B3B3E"/>
    <w:rsid w:val="000B3E41"/>
    <w:rsid w:val="000B49E6"/>
    <w:rsid w:val="000B53E8"/>
    <w:rsid w:val="000B54BA"/>
    <w:rsid w:val="000B5D4A"/>
    <w:rsid w:val="000B6457"/>
    <w:rsid w:val="000C1488"/>
    <w:rsid w:val="000C1553"/>
    <w:rsid w:val="000C233C"/>
    <w:rsid w:val="000C23CE"/>
    <w:rsid w:val="000C4366"/>
    <w:rsid w:val="000C5F92"/>
    <w:rsid w:val="000C65E8"/>
    <w:rsid w:val="000C6B4F"/>
    <w:rsid w:val="000D221E"/>
    <w:rsid w:val="000D228B"/>
    <w:rsid w:val="000D2BAD"/>
    <w:rsid w:val="000D3657"/>
    <w:rsid w:val="000D4AA8"/>
    <w:rsid w:val="000D5462"/>
    <w:rsid w:val="000D6065"/>
    <w:rsid w:val="000D65C5"/>
    <w:rsid w:val="000D7688"/>
    <w:rsid w:val="000E02B7"/>
    <w:rsid w:val="000E18B0"/>
    <w:rsid w:val="000E1DD3"/>
    <w:rsid w:val="000E4001"/>
    <w:rsid w:val="000E4EB6"/>
    <w:rsid w:val="000E7125"/>
    <w:rsid w:val="000F0060"/>
    <w:rsid w:val="000F2E5A"/>
    <w:rsid w:val="000F42FE"/>
    <w:rsid w:val="000F43CE"/>
    <w:rsid w:val="000F4584"/>
    <w:rsid w:val="000F4EB0"/>
    <w:rsid w:val="000F535C"/>
    <w:rsid w:val="000F54FC"/>
    <w:rsid w:val="000F6025"/>
    <w:rsid w:val="000F7212"/>
    <w:rsid w:val="000F74B2"/>
    <w:rsid w:val="00100C84"/>
    <w:rsid w:val="001043ED"/>
    <w:rsid w:val="00105711"/>
    <w:rsid w:val="00105AFE"/>
    <w:rsid w:val="0010791A"/>
    <w:rsid w:val="0011027F"/>
    <w:rsid w:val="00111624"/>
    <w:rsid w:val="0011292D"/>
    <w:rsid w:val="00113015"/>
    <w:rsid w:val="001136E4"/>
    <w:rsid w:val="00113A1D"/>
    <w:rsid w:val="00117AB3"/>
    <w:rsid w:val="00122CAF"/>
    <w:rsid w:val="00122E7D"/>
    <w:rsid w:val="00125838"/>
    <w:rsid w:val="00125CA9"/>
    <w:rsid w:val="00127B34"/>
    <w:rsid w:val="0013049E"/>
    <w:rsid w:val="001318FF"/>
    <w:rsid w:val="00131E98"/>
    <w:rsid w:val="00131EF8"/>
    <w:rsid w:val="001355F0"/>
    <w:rsid w:val="0013690F"/>
    <w:rsid w:val="00136CBE"/>
    <w:rsid w:val="00136D58"/>
    <w:rsid w:val="00140FD1"/>
    <w:rsid w:val="001413A7"/>
    <w:rsid w:val="00141669"/>
    <w:rsid w:val="001416F1"/>
    <w:rsid w:val="001433CB"/>
    <w:rsid w:val="00143F77"/>
    <w:rsid w:val="0014402F"/>
    <w:rsid w:val="00144FFC"/>
    <w:rsid w:val="00145365"/>
    <w:rsid w:val="001532BD"/>
    <w:rsid w:val="00154346"/>
    <w:rsid w:val="00154475"/>
    <w:rsid w:val="00156D9F"/>
    <w:rsid w:val="00156E77"/>
    <w:rsid w:val="00157098"/>
    <w:rsid w:val="00161EFD"/>
    <w:rsid w:val="00162625"/>
    <w:rsid w:val="00162CA7"/>
    <w:rsid w:val="00162DFA"/>
    <w:rsid w:val="001639E0"/>
    <w:rsid w:val="00164CF9"/>
    <w:rsid w:val="00166EEA"/>
    <w:rsid w:val="00167AB2"/>
    <w:rsid w:val="00170C99"/>
    <w:rsid w:val="00171EC6"/>
    <w:rsid w:val="00174BFF"/>
    <w:rsid w:val="001763E9"/>
    <w:rsid w:val="00177FDC"/>
    <w:rsid w:val="00180165"/>
    <w:rsid w:val="001801BC"/>
    <w:rsid w:val="001806CC"/>
    <w:rsid w:val="00181B01"/>
    <w:rsid w:val="00181B29"/>
    <w:rsid w:val="00182521"/>
    <w:rsid w:val="001831F8"/>
    <w:rsid w:val="00183AB6"/>
    <w:rsid w:val="001855F8"/>
    <w:rsid w:val="0018615E"/>
    <w:rsid w:val="001865CA"/>
    <w:rsid w:val="0018684F"/>
    <w:rsid w:val="001875F6"/>
    <w:rsid w:val="00190BDB"/>
    <w:rsid w:val="001927E7"/>
    <w:rsid w:val="001942DE"/>
    <w:rsid w:val="001947B6"/>
    <w:rsid w:val="0019480C"/>
    <w:rsid w:val="00194926"/>
    <w:rsid w:val="00195EA6"/>
    <w:rsid w:val="00197E07"/>
    <w:rsid w:val="001A68F7"/>
    <w:rsid w:val="001A77AB"/>
    <w:rsid w:val="001B15C8"/>
    <w:rsid w:val="001B1D7D"/>
    <w:rsid w:val="001B1F40"/>
    <w:rsid w:val="001B239E"/>
    <w:rsid w:val="001B293E"/>
    <w:rsid w:val="001B2A26"/>
    <w:rsid w:val="001B5B3B"/>
    <w:rsid w:val="001B7336"/>
    <w:rsid w:val="001B7830"/>
    <w:rsid w:val="001C037C"/>
    <w:rsid w:val="001C058B"/>
    <w:rsid w:val="001C0B9E"/>
    <w:rsid w:val="001C0E1B"/>
    <w:rsid w:val="001C19AE"/>
    <w:rsid w:val="001C2596"/>
    <w:rsid w:val="001C2900"/>
    <w:rsid w:val="001C2C83"/>
    <w:rsid w:val="001C3253"/>
    <w:rsid w:val="001C5C13"/>
    <w:rsid w:val="001C727E"/>
    <w:rsid w:val="001C7768"/>
    <w:rsid w:val="001D193D"/>
    <w:rsid w:val="001D19FF"/>
    <w:rsid w:val="001D1C2D"/>
    <w:rsid w:val="001D286E"/>
    <w:rsid w:val="001D2F07"/>
    <w:rsid w:val="001D3D0C"/>
    <w:rsid w:val="001D49EB"/>
    <w:rsid w:val="001D6825"/>
    <w:rsid w:val="001D7B0A"/>
    <w:rsid w:val="001E07E0"/>
    <w:rsid w:val="001E3E50"/>
    <w:rsid w:val="001E5882"/>
    <w:rsid w:val="001E60C2"/>
    <w:rsid w:val="001E7032"/>
    <w:rsid w:val="001F16CC"/>
    <w:rsid w:val="001F2483"/>
    <w:rsid w:val="001F3357"/>
    <w:rsid w:val="001F34E7"/>
    <w:rsid w:val="001F4F71"/>
    <w:rsid w:val="00200095"/>
    <w:rsid w:val="0020130C"/>
    <w:rsid w:val="002021E6"/>
    <w:rsid w:val="002025EF"/>
    <w:rsid w:val="002042E9"/>
    <w:rsid w:val="00204E5A"/>
    <w:rsid w:val="00206347"/>
    <w:rsid w:val="00210A09"/>
    <w:rsid w:val="00210C7B"/>
    <w:rsid w:val="002112FE"/>
    <w:rsid w:val="00211971"/>
    <w:rsid w:val="002119B2"/>
    <w:rsid w:val="0021337B"/>
    <w:rsid w:val="002136FF"/>
    <w:rsid w:val="00213FA3"/>
    <w:rsid w:val="00214437"/>
    <w:rsid w:val="002152E4"/>
    <w:rsid w:val="002155ED"/>
    <w:rsid w:val="00215EAA"/>
    <w:rsid w:val="0021665F"/>
    <w:rsid w:val="0021669A"/>
    <w:rsid w:val="00216960"/>
    <w:rsid w:val="002171B6"/>
    <w:rsid w:val="00217C83"/>
    <w:rsid w:val="00220AD9"/>
    <w:rsid w:val="00221F2F"/>
    <w:rsid w:val="0022355C"/>
    <w:rsid w:val="002249F3"/>
    <w:rsid w:val="0023157B"/>
    <w:rsid w:val="00231C4F"/>
    <w:rsid w:val="0023238C"/>
    <w:rsid w:val="002325A6"/>
    <w:rsid w:val="00232CE7"/>
    <w:rsid w:val="002352BE"/>
    <w:rsid w:val="00237FEE"/>
    <w:rsid w:val="002401F4"/>
    <w:rsid w:val="00240477"/>
    <w:rsid w:val="00240550"/>
    <w:rsid w:val="002405E2"/>
    <w:rsid w:val="00242B02"/>
    <w:rsid w:val="00246631"/>
    <w:rsid w:val="00251186"/>
    <w:rsid w:val="002524F2"/>
    <w:rsid w:val="0025319A"/>
    <w:rsid w:val="002539B4"/>
    <w:rsid w:val="002547A8"/>
    <w:rsid w:val="0025495B"/>
    <w:rsid w:val="00255DED"/>
    <w:rsid w:val="00255FF4"/>
    <w:rsid w:val="00257075"/>
    <w:rsid w:val="00260578"/>
    <w:rsid w:val="002606DA"/>
    <w:rsid w:val="00262137"/>
    <w:rsid w:val="00264176"/>
    <w:rsid w:val="00264911"/>
    <w:rsid w:val="00264A01"/>
    <w:rsid w:val="0026542D"/>
    <w:rsid w:val="00265DD3"/>
    <w:rsid w:val="0026796C"/>
    <w:rsid w:val="0027019C"/>
    <w:rsid w:val="00270826"/>
    <w:rsid w:val="002708D4"/>
    <w:rsid w:val="00272BDE"/>
    <w:rsid w:val="00273E33"/>
    <w:rsid w:val="00274901"/>
    <w:rsid w:val="0027578A"/>
    <w:rsid w:val="0027634E"/>
    <w:rsid w:val="0027643A"/>
    <w:rsid w:val="0028080A"/>
    <w:rsid w:val="002823A4"/>
    <w:rsid w:val="00282616"/>
    <w:rsid w:val="00282C9A"/>
    <w:rsid w:val="00284740"/>
    <w:rsid w:val="0029018D"/>
    <w:rsid w:val="00290D74"/>
    <w:rsid w:val="002948D3"/>
    <w:rsid w:val="002973C1"/>
    <w:rsid w:val="002A0CF3"/>
    <w:rsid w:val="002A1634"/>
    <w:rsid w:val="002A16F5"/>
    <w:rsid w:val="002A195A"/>
    <w:rsid w:val="002A3270"/>
    <w:rsid w:val="002A3CE6"/>
    <w:rsid w:val="002A5B6F"/>
    <w:rsid w:val="002A61B8"/>
    <w:rsid w:val="002A61ED"/>
    <w:rsid w:val="002A7AA6"/>
    <w:rsid w:val="002B3DF8"/>
    <w:rsid w:val="002B51EF"/>
    <w:rsid w:val="002B6F80"/>
    <w:rsid w:val="002B77EC"/>
    <w:rsid w:val="002B7ACD"/>
    <w:rsid w:val="002C0109"/>
    <w:rsid w:val="002C2854"/>
    <w:rsid w:val="002C3E10"/>
    <w:rsid w:val="002C559D"/>
    <w:rsid w:val="002C6888"/>
    <w:rsid w:val="002C7E62"/>
    <w:rsid w:val="002D1F26"/>
    <w:rsid w:val="002D215C"/>
    <w:rsid w:val="002D268A"/>
    <w:rsid w:val="002D26A0"/>
    <w:rsid w:val="002D38D1"/>
    <w:rsid w:val="002D4D41"/>
    <w:rsid w:val="002D6672"/>
    <w:rsid w:val="002D6C92"/>
    <w:rsid w:val="002D72AE"/>
    <w:rsid w:val="002E07B6"/>
    <w:rsid w:val="002E2DFB"/>
    <w:rsid w:val="002E65F0"/>
    <w:rsid w:val="002E6C59"/>
    <w:rsid w:val="002E76FF"/>
    <w:rsid w:val="002F1BA1"/>
    <w:rsid w:val="002F3BB1"/>
    <w:rsid w:val="002F65DB"/>
    <w:rsid w:val="002F7908"/>
    <w:rsid w:val="002F7E05"/>
    <w:rsid w:val="00300D4D"/>
    <w:rsid w:val="00301154"/>
    <w:rsid w:val="003016C8"/>
    <w:rsid w:val="00301F59"/>
    <w:rsid w:val="00302C49"/>
    <w:rsid w:val="00302CF9"/>
    <w:rsid w:val="00305BD2"/>
    <w:rsid w:val="00311D66"/>
    <w:rsid w:val="003142C3"/>
    <w:rsid w:val="00315175"/>
    <w:rsid w:val="00316C8B"/>
    <w:rsid w:val="00320028"/>
    <w:rsid w:val="003208FF"/>
    <w:rsid w:val="00321568"/>
    <w:rsid w:val="00321C9B"/>
    <w:rsid w:val="0032226C"/>
    <w:rsid w:val="003227D2"/>
    <w:rsid w:val="00323045"/>
    <w:rsid w:val="00323A89"/>
    <w:rsid w:val="00324D05"/>
    <w:rsid w:val="003259F5"/>
    <w:rsid w:val="00326145"/>
    <w:rsid w:val="003263A4"/>
    <w:rsid w:val="003264EC"/>
    <w:rsid w:val="003271F9"/>
    <w:rsid w:val="003272A0"/>
    <w:rsid w:val="0033094F"/>
    <w:rsid w:val="0033148B"/>
    <w:rsid w:val="003350EA"/>
    <w:rsid w:val="003364E3"/>
    <w:rsid w:val="00336DF8"/>
    <w:rsid w:val="00337770"/>
    <w:rsid w:val="00337BC9"/>
    <w:rsid w:val="00337E6F"/>
    <w:rsid w:val="003420EA"/>
    <w:rsid w:val="0034230C"/>
    <w:rsid w:val="003434D4"/>
    <w:rsid w:val="00343FD7"/>
    <w:rsid w:val="003445FF"/>
    <w:rsid w:val="003462C0"/>
    <w:rsid w:val="00346554"/>
    <w:rsid w:val="00347E76"/>
    <w:rsid w:val="0035124E"/>
    <w:rsid w:val="00351623"/>
    <w:rsid w:val="003518BE"/>
    <w:rsid w:val="00352A04"/>
    <w:rsid w:val="00352CF9"/>
    <w:rsid w:val="00354280"/>
    <w:rsid w:val="00356E75"/>
    <w:rsid w:val="00357509"/>
    <w:rsid w:val="0035794E"/>
    <w:rsid w:val="0036014D"/>
    <w:rsid w:val="00360E24"/>
    <w:rsid w:val="003615A5"/>
    <w:rsid w:val="00364015"/>
    <w:rsid w:val="00365FC6"/>
    <w:rsid w:val="00366B17"/>
    <w:rsid w:val="00366F3D"/>
    <w:rsid w:val="00367BA5"/>
    <w:rsid w:val="00370902"/>
    <w:rsid w:val="00371869"/>
    <w:rsid w:val="00371D43"/>
    <w:rsid w:val="00374871"/>
    <w:rsid w:val="00374D58"/>
    <w:rsid w:val="00375AEC"/>
    <w:rsid w:val="0038073D"/>
    <w:rsid w:val="00380EA9"/>
    <w:rsid w:val="00380FFA"/>
    <w:rsid w:val="003817AE"/>
    <w:rsid w:val="00386986"/>
    <w:rsid w:val="003874A3"/>
    <w:rsid w:val="00390BAF"/>
    <w:rsid w:val="00390DD8"/>
    <w:rsid w:val="00391680"/>
    <w:rsid w:val="00392F1E"/>
    <w:rsid w:val="0039501E"/>
    <w:rsid w:val="00397210"/>
    <w:rsid w:val="003975CE"/>
    <w:rsid w:val="003A0101"/>
    <w:rsid w:val="003A0915"/>
    <w:rsid w:val="003A42F7"/>
    <w:rsid w:val="003A4DAF"/>
    <w:rsid w:val="003A7B6F"/>
    <w:rsid w:val="003B0201"/>
    <w:rsid w:val="003B1502"/>
    <w:rsid w:val="003B1B76"/>
    <w:rsid w:val="003B2309"/>
    <w:rsid w:val="003B2C21"/>
    <w:rsid w:val="003B2C3A"/>
    <w:rsid w:val="003B33A7"/>
    <w:rsid w:val="003B3E3C"/>
    <w:rsid w:val="003B55D9"/>
    <w:rsid w:val="003B5822"/>
    <w:rsid w:val="003B5B92"/>
    <w:rsid w:val="003B6A99"/>
    <w:rsid w:val="003B7B24"/>
    <w:rsid w:val="003B7C00"/>
    <w:rsid w:val="003C1641"/>
    <w:rsid w:val="003C3157"/>
    <w:rsid w:val="003C430C"/>
    <w:rsid w:val="003C53A2"/>
    <w:rsid w:val="003C7446"/>
    <w:rsid w:val="003C7567"/>
    <w:rsid w:val="003D07F3"/>
    <w:rsid w:val="003D12A1"/>
    <w:rsid w:val="003D46B5"/>
    <w:rsid w:val="003D4CCB"/>
    <w:rsid w:val="003E0B5C"/>
    <w:rsid w:val="003E15B3"/>
    <w:rsid w:val="003E33B0"/>
    <w:rsid w:val="003E5074"/>
    <w:rsid w:val="003E53A6"/>
    <w:rsid w:val="003E5FCE"/>
    <w:rsid w:val="003E6402"/>
    <w:rsid w:val="003F09E7"/>
    <w:rsid w:val="003F0D7B"/>
    <w:rsid w:val="003F25E6"/>
    <w:rsid w:val="003F3B4E"/>
    <w:rsid w:val="003F4CE4"/>
    <w:rsid w:val="003F59AB"/>
    <w:rsid w:val="003F61EB"/>
    <w:rsid w:val="003F72EF"/>
    <w:rsid w:val="00400EE1"/>
    <w:rsid w:val="00404342"/>
    <w:rsid w:val="004048FF"/>
    <w:rsid w:val="00404E61"/>
    <w:rsid w:val="00404ED4"/>
    <w:rsid w:val="00405FCF"/>
    <w:rsid w:val="0040671E"/>
    <w:rsid w:val="004074DB"/>
    <w:rsid w:val="00411508"/>
    <w:rsid w:val="00413287"/>
    <w:rsid w:val="004145CB"/>
    <w:rsid w:val="00415C8B"/>
    <w:rsid w:val="00415D4D"/>
    <w:rsid w:val="00420384"/>
    <w:rsid w:val="00421836"/>
    <w:rsid w:val="0042242C"/>
    <w:rsid w:val="00422BDF"/>
    <w:rsid w:val="00423B38"/>
    <w:rsid w:val="00430651"/>
    <w:rsid w:val="00430768"/>
    <w:rsid w:val="00431DAB"/>
    <w:rsid w:val="004336F4"/>
    <w:rsid w:val="00434DE9"/>
    <w:rsid w:val="004358FB"/>
    <w:rsid w:val="00435FD1"/>
    <w:rsid w:val="00436B2B"/>
    <w:rsid w:val="004377E3"/>
    <w:rsid w:val="00437B17"/>
    <w:rsid w:val="0044440E"/>
    <w:rsid w:val="00444822"/>
    <w:rsid w:val="004450F6"/>
    <w:rsid w:val="0044527C"/>
    <w:rsid w:val="00446752"/>
    <w:rsid w:val="0045055B"/>
    <w:rsid w:val="004522E1"/>
    <w:rsid w:val="004523EC"/>
    <w:rsid w:val="00452CDB"/>
    <w:rsid w:val="00453BE2"/>
    <w:rsid w:val="004558BF"/>
    <w:rsid w:val="00455A03"/>
    <w:rsid w:val="004563C5"/>
    <w:rsid w:val="00457E93"/>
    <w:rsid w:val="00460493"/>
    <w:rsid w:val="00460591"/>
    <w:rsid w:val="0046180E"/>
    <w:rsid w:val="00462766"/>
    <w:rsid w:val="0046358C"/>
    <w:rsid w:val="00464A7D"/>
    <w:rsid w:val="00464AFC"/>
    <w:rsid w:val="00464F0D"/>
    <w:rsid w:val="004657CE"/>
    <w:rsid w:val="00466DA0"/>
    <w:rsid w:val="00467600"/>
    <w:rsid w:val="00467F86"/>
    <w:rsid w:val="00472321"/>
    <w:rsid w:val="00476EC0"/>
    <w:rsid w:val="004774C7"/>
    <w:rsid w:val="00480613"/>
    <w:rsid w:val="004806FD"/>
    <w:rsid w:val="00482331"/>
    <w:rsid w:val="00483AAD"/>
    <w:rsid w:val="00483B40"/>
    <w:rsid w:val="0048658D"/>
    <w:rsid w:val="00486726"/>
    <w:rsid w:val="00486880"/>
    <w:rsid w:val="004878D5"/>
    <w:rsid w:val="00487F18"/>
    <w:rsid w:val="00492C3B"/>
    <w:rsid w:val="004936ED"/>
    <w:rsid w:val="00496AF2"/>
    <w:rsid w:val="00496F67"/>
    <w:rsid w:val="00497FDB"/>
    <w:rsid w:val="004A0AE4"/>
    <w:rsid w:val="004A1466"/>
    <w:rsid w:val="004A36ED"/>
    <w:rsid w:val="004A3702"/>
    <w:rsid w:val="004A3BF2"/>
    <w:rsid w:val="004A44FE"/>
    <w:rsid w:val="004A4978"/>
    <w:rsid w:val="004A4C96"/>
    <w:rsid w:val="004A64E8"/>
    <w:rsid w:val="004A6F8C"/>
    <w:rsid w:val="004B0336"/>
    <w:rsid w:val="004B0B67"/>
    <w:rsid w:val="004B41CE"/>
    <w:rsid w:val="004B44A1"/>
    <w:rsid w:val="004B5442"/>
    <w:rsid w:val="004B56BE"/>
    <w:rsid w:val="004C05C5"/>
    <w:rsid w:val="004C3728"/>
    <w:rsid w:val="004C510E"/>
    <w:rsid w:val="004C591D"/>
    <w:rsid w:val="004C6BB2"/>
    <w:rsid w:val="004C70EF"/>
    <w:rsid w:val="004C71BC"/>
    <w:rsid w:val="004D039E"/>
    <w:rsid w:val="004D196C"/>
    <w:rsid w:val="004D2118"/>
    <w:rsid w:val="004D566B"/>
    <w:rsid w:val="004D66D9"/>
    <w:rsid w:val="004D725D"/>
    <w:rsid w:val="004D7335"/>
    <w:rsid w:val="004E0450"/>
    <w:rsid w:val="004E1985"/>
    <w:rsid w:val="004E405A"/>
    <w:rsid w:val="004E6A33"/>
    <w:rsid w:val="004E7F2D"/>
    <w:rsid w:val="004F0070"/>
    <w:rsid w:val="004F120E"/>
    <w:rsid w:val="004F1429"/>
    <w:rsid w:val="004F3B61"/>
    <w:rsid w:val="005007A3"/>
    <w:rsid w:val="005017B3"/>
    <w:rsid w:val="00501D4A"/>
    <w:rsid w:val="00502971"/>
    <w:rsid w:val="005037BD"/>
    <w:rsid w:val="005057DF"/>
    <w:rsid w:val="00507933"/>
    <w:rsid w:val="005101CB"/>
    <w:rsid w:val="00512AD1"/>
    <w:rsid w:val="005145E9"/>
    <w:rsid w:val="00516501"/>
    <w:rsid w:val="005168DD"/>
    <w:rsid w:val="005169E9"/>
    <w:rsid w:val="0051701D"/>
    <w:rsid w:val="0051748A"/>
    <w:rsid w:val="00517FD7"/>
    <w:rsid w:val="005202D0"/>
    <w:rsid w:val="005209E1"/>
    <w:rsid w:val="00520B3C"/>
    <w:rsid w:val="00521ADD"/>
    <w:rsid w:val="00522100"/>
    <w:rsid w:val="00522A3E"/>
    <w:rsid w:val="0052323E"/>
    <w:rsid w:val="00523A0A"/>
    <w:rsid w:val="00525699"/>
    <w:rsid w:val="00527064"/>
    <w:rsid w:val="005302A8"/>
    <w:rsid w:val="00531571"/>
    <w:rsid w:val="00531921"/>
    <w:rsid w:val="005326D3"/>
    <w:rsid w:val="00533779"/>
    <w:rsid w:val="005343BF"/>
    <w:rsid w:val="005355DD"/>
    <w:rsid w:val="00536DE6"/>
    <w:rsid w:val="0053748D"/>
    <w:rsid w:val="00537B64"/>
    <w:rsid w:val="005407B3"/>
    <w:rsid w:val="005407FE"/>
    <w:rsid w:val="005413FF"/>
    <w:rsid w:val="00541BFB"/>
    <w:rsid w:val="00541FF1"/>
    <w:rsid w:val="0054409A"/>
    <w:rsid w:val="0054480B"/>
    <w:rsid w:val="00545B99"/>
    <w:rsid w:val="00545E3C"/>
    <w:rsid w:val="00547CDF"/>
    <w:rsid w:val="00552BE3"/>
    <w:rsid w:val="00552C66"/>
    <w:rsid w:val="00555E7B"/>
    <w:rsid w:val="00556371"/>
    <w:rsid w:val="005565F1"/>
    <w:rsid w:val="00561141"/>
    <w:rsid w:val="005613D9"/>
    <w:rsid w:val="00561E54"/>
    <w:rsid w:val="00565E1C"/>
    <w:rsid w:val="00567EFD"/>
    <w:rsid w:val="00570009"/>
    <w:rsid w:val="00572C54"/>
    <w:rsid w:val="00572C7A"/>
    <w:rsid w:val="00573BB0"/>
    <w:rsid w:val="00573CC5"/>
    <w:rsid w:val="005748C0"/>
    <w:rsid w:val="0057770B"/>
    <w:rsid w:val="005819C3"/>
    <w:rsid w:val="00582AAF"/>
    <w:rsid w:val="00582F0D"/>
    <w:rsid w:val="0058617C"/>
    <w:rsid w:val="005863B2"/>
    <w:rsid w:val="00587565"/>
    <w:rsid w:val="005909EB"/>
    <w:rsid w:val="00590D61"/>
    <w:rsid w:val="00590EAC"/>
    <w:rsid w:val="00591BBD"/>
    <w:rsid w:val="005946EA"/>
    <w:rsid w:val="00595552"/>
    <w:rsid w:val="00597F72"/>
    <w:rsid w:val="005A0551"/>
    <w:rsid w:val="005A0688"/>
    <w:rsid w:val="005A0706"/>
    <w:rsid w:val="005A160A"/>
    <w:rsid w:val="005A1FB4"/>
    <w:rsid w:val="005A61AC"/>
    <w:rsid w:val="005A77E4"/>
    <w:rsid w:val="005B1AC6"/>
    <w:rsid w:val="005B2AD5"/>
    <w:rsid w:val="005B3017"/>
    <w:rsid w:val="005B43A2"/>
    <w:rsid w:val="005B5DC5"/>
    <w:rsid w:val="005B66F8"/>
    <w:rsid w:val="005B677A"/>
    <w:rsid w:val="005B75D3"/>
    <w:rsid w:val="005B7DF3"/>
    <w:rsid w:val="005C4508"/>
    <w:rsid w:val="005C4747"/>
    <w:rsid w:val="005C67AC"/>
    <w:rsid w:val="005C7239"/>
    <w:rsid w:val="005C7C63"/>
    <w:rsid w:val="005D09C6"/>
    <w:rsid w:val="005D1524"/>
    <w:rsid w:val="005D25A8"/>
    <w:rsid w:val="005D2C58"/>
    <w:rsid w:val="005D3751"/>
    <w:rsid w:val="005D4A1F"/>
    <w:rsid w:val="005D5F30"/>
    <w:rsid w:val="005D774B"/>
    <w:rsid w:val="005E07F7"/>
    <w:rsid w:val="005E17EC"/>
    <w:rsid w:val="005E190B"/>
    <w:rsid w:val="005E2C0C"/>
    <w:rsid w:val="005E3471"/>
    <w:rsid w:val="005E44CF"/>
    <w:rsid w:val="005E463C"/>
    <w:rsid w:val="005E50C6"/>
    <w:rsid w:val="005E57D1"/>
    <w:rsid w:val="005E64A1"/>
    <w:rsid w:val="005E7F98"/>
    <w:rsid w:val="005F0ECE"/>
    <w:rsid w:val="005F11A0"/>
    <w:rsid w:val="005F3B20"/>
    <w:rsid w:val="005F3EC4"/>
    <w:rsid w:val="005F4947"/>
    <w:rsid w:val="005F4A95"/>
    <w:rsid w:val="005F5646"/>
    <w:rsid w:val="005F60D5"/>
    <w:rsid w:val="005F61DE"/>
    <w:rsid w:val="005F66AC"/>
    <w:rsid w:val="005F74CE"/>
    <w:rsid w:val="005F7ADB"/>
    <w:rsid w:val="006004BF"/>
    <w:rsid w:val="006031EF"/>
    <w:rsid w:val="00603A06"/>
    <w:rsid w:val="00603B00"/>
    <w:rsid w:val="00603D99"/>
    <w:rsid w:val="0060551B"/>
    <w:rsid w:val="006064C0"/>
    <w:rsid w:val="00607546"/>
    <w:rsid w:val="00611D08"/>
    <w:rsid w:val="00612688"/>
    <w:rsid w:val="0061788C"/>
    <w:rsid w:val="00622DFF"/>
    <w:rsid w:val="00623F6D"/>
    <w:rsid w:val="00625863"/>
    <w:rsid w:val="00626A0C"/>
    <w:rsid w:val="00626AA2"/>
    <w:rsid w:val="00626AEB"/>
    <w:rsid w:val="00626C94"/>
    <w:rsid w:val="00626E79"/>
    <w:rsid w:val="00627F08"/>
    <w:rsid w:val="00630A5F"/>
    <w:rsid w:val="00630EE4"/>
    <w:rsid w:val="00632E23"/>
    <w:rsid w:val="006330C7"/>
    <w:rsid w:val="00635294"/>
    <w:rsid w:val="00635A2F"/>
    <w:rsid w:val="00636588"/>
    <w:rsid w:val="006375D8"/>
    <w:rsid w:val="00637BE9"/>
    <w:rsid w:val="00641FB9"/>
    <w:rsid w:val="00642F1C"/>
    <w:rsid w:val="006431A2"/>
    <w:rsid w:val="0064379D"/>
    <w:rsid w:val="00643CA5"/>
    <w:rsid w:val="00645EA6"/>
    <w:rsid w:val="0064604F"/>
    <w:rsid w:val="00646835"/>
    <w:rsid w:val="006473F6"/>
    <w:rsid w:val="00647EE1"/>
    <w:rsid w:val="00650F2E"/>
    <w:rsid w:val="00651715"/>
    <w:rsid w:val="00651FC3"/>
    <w:rsid w:val="006520D9"/>
    <w:rsid w:val="0065278A"/>
    <w:rsid w:val="00652C06"/>
    <w:rsid w:val="00653146"/>
    <w:rsid w:val="00653FA4"/>
    <w:rsid w:val="006557B4"/>
    <w:rsid w:val="00655ACB"/>
    <w:rsid w:val="00655B60"/>
    <w:rsid w:val="00655CF0"/>
    <w:rsid w:val="00656332"/>
    <w:rsid w:val="006566E4"/>
    <w:rsid w:val="006579CF"/>
    <w:rsid w:val="00660912"/>
    <w:rsid w:val="00660987"/>
    <w:rsid w:val="00660BC2"/>
    <w:rsid w:val="006661DE"/>
    <w:rsid w:val="00667F99"/>
    <w:rsid w:val="006703AD"/>
    <w:rsid w:val="0067106A"/>
    <w:rsid w:val="00671DCD"/>
    <w:rsid w:val="00672FCC"/>
    <w:rsid w:val="006730D4"/>
    <w:rsid w:val="00673409"/>
    <w:rsid w:val="00673515"/>
    <w:rsid w:val="00673CA7"/>
    <w:rsid w:val="0067408D"/>
    <w:rsid w:val="00674C93"/>
    <w:rsid w:val="00674F91"/>
    <w:rsid w:val="00675524"/>
    <w:rsid w:val="0067602F"/>
    <w:rsid w:val="006779BC"/>
    <w:rsid w:val="00677FCF"/>
    <w:rsid w:val="006801DB"/>
    <w:rsid w:val="00680DDD"/>
    <w:rsid w:val="006828DA"/>
    <w:rsid w:val="00682B6F"/>
    <w:rsid w:val="00682C48"/>
    <w:rsid w:val="00682C5D"/>
    <w:rsid w:val="006844E4"/>
    <w:rsid w:val="00687586"/>
    <w:rsid w:val="00690CEE"/>
    <w:rsid w:val="00691BAC"/>
    <w:rsid w:val="00692BA2"/>
    <w:rsid w:val="0069312F"/>
    <w:rsid w:val="006931F4"/>
    <w:rsid w:val="00693E26"/>
    <w:rsid w:val="0069404C"/>
    <w:rsid w:val="00694F8D"/>
    <w:rsid w:val="0069570B"/>
    <w:rsid w:val="006961F6"/>
    <w:rsid w:val="00696481"/>
    <w:rsid w:val="00697574"/>
    <w:rsid w:val="006A0434"/>
    <w:rsid w:val="006A06A2"/>
    <w:rsid w:val="006A1AC9"/>
    <w:rsid w:val="006A254A"/>
    <w:rsid w:val="006A2F8C"/>
    <w:rsid w:val="006A5800"/>
    <w:rsid w:val="006A647B"/>
    <w:rsid w:val="006A65D3"/>
    <w:rsid w:val="006A6712"/>
    <w:rsid w:val="006A6B0C"/>
    <w:rsid w:val="006A6F30"/>
    <w:rsid w:val="006A7306"/>
    <w:rsid w:val="006B0A53"/>
    <w:rsid w:val="006B2267"/>
    <w:rsid w:val="006B2D28"/>
    <w:rsid w:val="006B4983"/>
    <w:rsid w:val="006B4E61"/>
    <w:rsid w:val="006B5F01"/>
    <w:rsid w:val="006B6C13"/>
    <w:rsid w:val="006C0BA6"/>
    <w:rsid w:val="006C2716"/>
    <w:rsid w:val="006C27DA"/>
    <w:rsid w:val="006C29E7"/>
    <w:rsid w:val="006C3571"/>
    <w:rsid w:val="006C3717"/>
    <w:rsid w:val="006C47F3"/>
    <w:rsid w:val="006C543C"/>
    <w:rsid w:val="006C639F"/>
    <w:rsid w:val="006C657A"/>
    <w:rsid w:val="006C698B"/>
    <w:rsid w:val="006C6B72"/>
    <w:rsid w:val="006C7396"/>
    <w:rsid w:val="006C764F"/>
    <w:rsid w:val="006C7C3A"/>
    <w:rsid w:val="006C7D5D"/>
    <w:rsid w:val="006D0214"/>
    <w:rsid w:val="006D1064"/>
    <w:rsid w:val="006D13E1"/>
    <w:rsid w:val="006D1FBB"/>
    <w:rsid w:val="006D31DF"/>
    <w:rsid w:val="006D3701"/>
    <w:rsid w:val="006D3E96"/>
    <w:rsid w:val="006D4649"/>
    <w:rsid w:val="006D53BB"/>
    <w:rsid w:val="006D693E"/>
    <w:rsid w:val="006D6B04"/>
    <w:rsid w:val="006D7954"/>
    <w:rsid w:val="006E20D2"/>
    <w:rsid w:val="006E35CF"/>
    <w:rsid w:val="006E36AD"/>
    <w:rsid w:val="006E4CD4"/>
    <w:rsid w:val="006E6F05"/>
    <w:rsid w:val="006F3207"/>
    <w:rsid w:val="006F430E"/>
    <w:rsid w:val="006F46F5"/>
    <w:rsid w:val="006F65D4"/>
    <w:rsid w:val="006F7D7D"/>
    <w:rsid w:val="00700210"/>
    <w:rsid w:val="00700DBE"/>
    <w:rsid w:val="007014CD"/>
    <w:rsid w:val="00702635"/>
    <w:rsid w:val="00704A7B"/>
    <w:rsid w:val="007063B5"/>
    <w:rsid w:val="00707291"/>
    <w:rsid w:val="00707937"/>
    <w:rsid w:val="0071089E"/>
    <w:rsid w:val="00712E08"/>
    <w:rsid w:val="00713F52"/>
    <w:rsid w:val="00714351"/>
    <w:rsid w:val="0071521B"/>
    <w:rsid w:val="00716C52"/>
    <w:rsid w:val="0071756D"/>
    <w:rsid w:val="0072022A"/>
    <w:rsid w:val="00720854"/>
    <w:rsid w:val="00720B40"/>
    <w:rsid w:val="00721AC6"/>
    <w:rsid w:val="00721AF6"/>
    <w:rsid w:val="007222CD"/>
    <w:rsid w:val="007222F7"/>
    <w:rsid w:val="00722A24"/>
    <w:rsid w:val="0072313A"/>
    <w:rsid w:val="007240F9"/>
    <w:rsid w:val="00724910"/>
    <w:rsid w:val="00725E5D"/>
    <w:rsid w:val="0072618E"/>
    <w:rsid w:val="00731886"/>
    <w:rsid w:val="0073216C"/>
    <w:rsid w:val="007321AA"/>
    <w:rsid w:val="0073225D"/>
    <w:rsid w:val="00732FAE"/>
    <w:rsid w:val="0073311C"/>
    <w:rsid w:val="00734938"/>
    <w:rsid w:val="0073683B"/>
    <w:rsid w:val="0073737E"/>
    <w:rsid w:val="00737C15"/>
    <w:rsid w:val="0074089D"/>
    <w:rsid w:val="007414DF"/>
    <w:rsid w:val="00741F29"/>
    <w:rsid w:val="007424BC"/>
    <w:rsid w:val="00743E24"/>
    <w:rsid w:val="00745655"/>
    <w:rsid w:val="0074601E"/>
    <w:rsid w:val="007465AF"/>
    <w:rsid w:val="00746C61"/>
    <w:rsid w:val="00747202"/>
    <w:rsid w:val="0074781F"/>
    <w:rsid w:val="00750D09"/>
    <w:rsid w:val="00750DB6"/>
    <w:rsid w:val="00752F4E"/>
    <w:rsid w:val="00754188"/>
    <w:rsid w:val="00754C0C"/>
    <w:rsid w:val="00754D38"/>
    <w:rsid w:val="00757316"/>
    <w:rsid w:val="0075777B"/>
    <w:rsid w:val="00757B7E"/>
    <w:rsid w:val="00760CA4"/>
    <w:rsid w:val="00762657"/>
    <w:rsid w:val="0076375F"/>
    <w:rsid w:val="00764A5E"/>
    <w:rsid w:val="00764EF0"/>
    <w:rsid w:val="00765913"/>
    <w:rsid w:val="00765920"/>
    <w:rsid w:val="00767947"/>
    <w:rsid w:val="007708CF"/>
    <w:rsid w:val="00771BC7"/>
    <w:rsid w:val="00771F3D"/>
    <w:rsid w:val="00772742"/>
    <w:rsid w:val="00773221"/>
    <w:rsid w:val="0077332B"/>
    <w:rsid w:val="00773351"/>
    <w:rsid w:val="0077796C"/>
    <w:rsid w:val="0078215B"/>
    <w:rsid w:val="00782746"/>
    <w:rsid w:val="00784591"/>
    <w:rsid w:val="00784ECD"/>
    <w:rsid w:val="00785888"/>
    <w:rsid w:val="00786B33"/>
    <w:rsid w:val="0079353F"/>
    <w:rsid w:val="007943A2"/>
    <w:rsid w:val="007969A0"/>
    <w:rsid w:val="00796F59"/>
    <w:rsid w:val="007A143D"/>
    <w:rsid w:val="007A16D9"/>
    <w:rsid w:val="007A1FDE"/>
    <w:rsid w:val="007A2957"/>
    <w:rsid w:val="007A34E4"/>
    <w:rsid w:val="007A361B"/>
    <w:rsid w:val="007A4396"/>
    <w:rsid w:val="007A44DB"/>
    <w:rsid w:val="007A4733"/>
    <w:rsid w:val="007B1317"/>
    <w:rsid w:val="007B14FC"/>
    <w:rsid w:val="007B2BC3"/>
    <w:rsid w:val="007B3330"/>
    <w:rsid w:val="007B3F30"/>
    <w:rsid w:val="007B4ECA"/>
    <w:rsid w:val="007B5BD5"/>
    <w:rsid w:val="007C03A4"/>
    <w:rsid w:val="007C1AB6"/>
    <w:rsid w:val="007C1BB3"/>
    <w:rsid w:val="007C1E22"/>
    <w:rsid w:val="007C2F8A"/>
    <w:rsid w:val="007C43AD"/>
    <w:rsid w:val="007C4B33"/>
    <w:rsid w:val="007C512C"/>
    <w:rsid w:val="007C55F5"/>
    <w:rsid w:val="007C631A"/>
    <w:rsid w:val="007C6D0A"/>
    <w:rsid w:val="007C7094"/>
    <w:rsid w:val="007D2A30"/>
    <w:rsid w:val="007D3312"/>
    <w:rsid w:val="007D3A1F"/>
    <w:rsid w:val="007D4550"/>
    <w:rsid w:val="007D4F38"/>
    <w:rsid w:val="007D545E"/>
    <w:rsid w:val="007D64BA"/>
    <w:rsid w:val="007D6930"/>
    <w:rsid w:val="007D7EBF"/>
    <w:rsid w:val="007E18C2"/>
    <w:rsid w:val="007E3005"/>
    <w:rsid w:val="007E573F"/>
    <w:rsid w:val="007E6133"/>
    <w:rsid w:val="007F05CB"/>
    <w:rsid w:val="007F0919"/>
    <w:rsid w:val="007F0D35"/>
    <w:rsid w:val="007F24A5"/>
    <w:rsid w:val="007F27FB"/>
    <w:rsid w:val="007F3174"/>
    <w:rsid w:val="007F4269"/>
    <w:rsid w:val="007F45B1"/>
    <w:rsid w:val="007F5334"/>
    <w:rsid w:val="007F64AB"/>
    <w:rsid w:val="007F6B2E"/>
    <w:rsid w:val="007F73FA"/>
    <w:rsid w:val="00800E20"/>
    <w:rsid w:val="00801E2C"/>
    <w:rsid w:val="00801E3F"/>
    <w:rsid w:val="00801F3A"/>
    <w:rsid w:val="00801FA7"/>
    <w:rsid w:val="008041C6"/>
    <w:rsid w:val="00805CE0"/>
    <w:rsid w:val="008062CF"/>
    <w:rsid w:val="008066A5"/>
    <w:rsid w:val="00806ED2"/>
    <w:rsid w:val="00807974"/>
    <w:rsid w:val="00807B59"/>
    <w:rsid w:val="00810279"/>
    <w:rsid w:val="00814337"/>
    <w:rsid w:val="00814E31"/>
    <w:rsid w:val="00814F49"/>
    <w:rsid w:val="00815EA8"/>
    <w:rsid w:val="00815FE6"/>
    <w:rsid w:val="00816A8C"/>
    <w:rsid w:val="0082245F"/>
    <w:rsid w:val="0082328F"/>
    <w:rsid w:val="008247D1"/>
    <w:rsid w:val="0082567A"/>
    <w:rsid w:val="00825CAB"/>
    <w:rsid w:val="0082759C"/>
    <w:rsid w:val="00827E8E"/>
    <w:rsid w:val="00827ED5"/>
    <w:rsid w:val="00830E11"/>
    <w:rsid w:val="00835645"/>
    <w:rsid w:val="00836BCE"/>
    <w:rsid w:val="008422A0"/>
    <w:rsid w:val="00843811"/>
    <w:rsid w:val="00843B43"/>
    <w:rsid w:val="0084652A"/>
    <w:rsid w:val="00847F07"/>
    <w:rsid w:val="00847F50"/>
    <w:rsid w:val="00847FFB"/>
    <w:rsid w:val="00850D3B"/>
    <w:rsid w:val="00851408"/>
    <w:rsid w:val="00851C18"/>
    <w:rsid w:val="00853D93"/>
    <w:rsid w:val="00853DFB"/>
    <w:rsid w:val="00854080"/>
    <w:rsid w:val="00854412"/>
    <w:rsid w:val="00854F2F"/>
    <w:rsid w:val="00855B0E"/>
    <w:rsid w:val="008561D0"/>
    <w:rsid w:val="00856D47"/>
    <w:rsid w:val="00861D12"/>
    <w:rsid w:val="00861E84"/>
    <w:rsid w:val="008624B8"/>
    <w:rsid w:val="008624BA"/>
    <w:rsid w:val="00862A60"/>
    <w:rsid w:val="00862EB5"/>
    <w:rsid w:val="0086387B"/>
    <w:rsid w:val="0086392B"/>
    <w:rsid w:val="00865A15"/>
    <w:rsid w:val="008665F5"/>
    <w:rsid w:val="00866633"/>
    <w:rsid w:val="00866CF3"/>
    <w:rsid w:val="008670DC"/>
    <w:rsid w:val="00871478"/>
    <w:rsid w:val="008718AF"/>
    <w:rsid w:val="00873D3B"/>
    <w:rsid w:val="00874327"/>
    <w:rsid w:val="0087499C"/>
    <w:rsid w:val="0087521C"/>
    <w:rsid w:val="008766CE"/>
    <w:rsid w:val="0088114B"/>
    <w:rsid w:val="00882290"/>
    <w:rsid w:val="00883735"/>
    <w:rsid w:val="0088406E"/>
    <w:rsid w:val="008858C2"/>
    <w:rsid w:val="008864CA"/>
    <w:rsid w:val="00891CB7"/>
    <w:rsid w:val="00894132"/>
    <w:rsid w:val="0089459F"/>
    <w:rsid w:val="00894EFA"/>
    <w:rsid w:val="008950E5"/>
    <w:rsid w:val="008951AC"/>
    <w:rsid w:val="00896322"/>
    <w:rsid w:val="0089748A"/>
    <w:rsid w:val="008A02E9"/>
    <w:rsid w:val="008A0EA2"/>
    <w:rsid w:val="008A28BC"/>
    <w:rsid w:val="008A3012"/>
    <w:rsid w:val="008A4413"/>
    <w:rsid w:val="008A5E7B"/>
    <w:rsid w:val="008A6BD4"/>
    <w:rsid w:val="008A6E9B"/>
    <w:rsid w:val="008B0016"/>
    <w:rsid w:val="008B0177"/>
    <w:rsid w:val="008B0F41"/>
    <w:rsid w:val="008B11CE"/>
    <w:rsid w:val="008B1D98"/>
    <w:rsid w:val="008B4BFA"/>
    <w:rsid w:val="008B5011"/>
    <w:rsid w:val="008B59DC"/>
    <w:rsid w:val="008B6F97"/>
    <w:rsid w:val="008C0D11"/>
    <w:rsid w:val="008C1A0A"/>
    <w:rsid w:val="008C2973"/>
    <w:rsid w:val="008C43F7"/>
    <w:rsid w:val="008C4F44"/>
    <w:rsid w:val="008C6774"/>
    <w:rsid w:val="008C6952"/>
    <w:rsid w:val="008C7364"/>
    <w:rsid w:val="008C7467"/>
    <w:rsid w:val="008D0D19"/>
    <w:rsid w:val="008D13F3"/>
    <w:rsid w:val="008D2FB5"/>
    <w:rsid w:val="008D36DB"/>
    <w:rsid w:val="008D5EA9"/>
    <w:rsid w:val="008D6AC6"/>
    <w:rsid w:val="008D7C94"/>
    <w:rsid w:val="008E4BC0"/>
    <w:rsid w:val="008E6E9E"/>
    <w:rsid w:val="008E6F2A"/>
    <w:rsid w:val="008E7248"/>
    <w:rsid w:val="008E7569"/>
    <w:rsid w:val="008F087B"/>
    <w:rsid w:val="008F11D1"/>
    <w:rsid w:val="008F1D95"/>
    <w:rsid w:val="008F23DF"/>
    <w:rsid w:val="008F39A2"/>
    <w:rsid w:val="008F4AD9"/>
    <w:rsid w:val="008F53A8"/>
    <w:rsid w:val="008F612D"/>
    <w:rsid w:val="008F61A7"/>
    <w:rsid w:val="008F70D7"/>
    <w:rsid w:val="009002C4"/>
    <w:rsid w:val="00900989"/>
    <w:rsid w:val="0090187C"/>
    <w:rsid w:val="00904C20"/>
    <w:rsid w:val="00905291"/>
    <w:rsid w:val="00905DA4"/>
    <w:rsid w:val="00907A63"/>
    <w:rsid w:val="00911D9B"/>
    <w:rsid w:val="00912109"/>
    <w:rsid w:val="00912E26"/>
    <w:rsid w:val="00914890"/>
    <w:rsid w:val="00914A87"/>
    <w:rsid w:val="009166B8"/>
    <w:rsid w:val="00917739"/>
    <w:rsid w:val="00917E47"/>
    <w:rsid w:val="00920E06"/>
    <w:rsid w:val="00922715"/>
    <w:rsid w:val="009232BA"/>
    <w:rsid w:val="00923514"/>
    <w:rsid w:val="009243BE"/>
    <w:rsid w:val="00924A9C"/>
    <w:rsid w:val="009257BC"/>
    <w:rsid w:val="00925F4C"/>
    <w:rsid w:val="009262A5"/>
    <w:rsid w:val="0092748E"/>
    <w:rsid w:val="00927520"/>
    <w:rsid w:val="00927AC4"/>
    <w:rsid w:val="00930A0B"/>
    <w:rsid w:val="00931110"/>
    <w:rsid w:val="009339C5"/>
    <w:rsid w:val="009345F6"/>
    <w:rsid w:val="00934748"/>
    <w:rsid w:val="00934D66"/>
    <w:rsid w:val="00935C54"/>
    <w:rsid w:val="00942117"/>
    <w:rsid w:val="009452F9"/>
    <w:rsid w:val="009462B5"/>
    <w:rsid w:val="00947E82"/>
    <w:rsid w:val="00951216"/>
    <w:rsid w:val="0095205F"/>
    <w:rsid w:val="009540AF"/>
    <w:rsid w:val="00954F7A"/>
    <w:rsid w:val="00957543"/>
    <w:rsid w:val="00957C7C"/>
    <w:rsid w:val="00960ECB"/>
    <w:rsid w:val="009612C7"/>
    <w:rsid w:val="00961DDA"/>
    <w:rsid w:val="00962016"/>
    <w:rsid w:val="00962A54"/>
    <w:rsid w:val="00962BBC"/>
    <w:rsid w:val="00962CC0"/>
    <w:rsid w:val="00965808"/>
    <w:rsid w:val="00966127"/>
    <w:rsid w:val="009674C7"/>
    <w:rsid w:val="009701FC"/>
    <w:rsid w:val="009711DF"/>
    <w:rsid w:val="0097266A"/>
    <w:rsid w:val="00973494"/>
    <w:rsid w:val="00974D4E"/>
    <w:rsid w:val="00974ED6"/>
    <w:rsid w:val="00975593"/>
    <w:rsid w:val="00975A57"/>
    <w:rsid w:val="009777D6"/>
    <w:rsid w:val="009803C4"/>
    <w:rsid w:val="009805E9"/>
    <w:rsid w:val="0098068D"/>
    <w:rsid w:val="00981F6C"/>
    <w:rsid w:val="009831D0"/>
    <w:rsid w:val="00983991"/>
    <w:rsid w:val="009857AC"/>
    <w:rsid w:val="00992305"/>
    <w:rsid w:val="00992A7B"/>
    <w:rsid w:val="009942BA"/>
    <w:rsid w:val="00994DC8"/>
    <w:rsid w:val="009959B9"/>
    <w:rsid w:val="00995B6F"/>
    <w:rsid w:val="00995E53"/>
    <w:rsid w:val="009963C6"/>
    <w:rsid w:val="00996EB2"/>
    <w:rsid w:val="00996F0E"/>
    <w:rsid w:val="00996F74"/>
    <w:rsid w:val="009A05ED"/>
    <w:rsid w:val="009A1DEB"/>
    <w:rsid w:val="009A3035"/>
    <w:rsid w:val="009A4464"/>
    <w:rsid w:val="009A5655"/>
    <w:rsid w:val="009A6525"/>
    <w:rsid w:val="009A6841"/>
    <w:rsid w:val="009A71CB"/>
    <w:rsid w:val="009A78C5"/>
    <w:rsid w:val="009A7F71"/>
    <w:rsid w:val="009B16B4"/>
    <w:rsid w:val="009B2D8F"/>
    <w:rsid w:val="009B3174"/>
    <w:rsid w:val="009B3B9B"/>
    <w:rsid w:val="009B3C97"/>
    <w:rsid w:val="009B4821"/>
    <w:rsid w:val="009B484C"/>
    <w:rsid w:val="009B53AE"/>
    <w:rsid w:val="009B625E"/>
    <w:rsid w:val="009C0B50"/>
    <w:rsid w:val="009C1586"/>
    <w:rsid w:val="009C1619"/>
    <w:rsid w:val="009C3932"/>
    <w:rsid w:val="009C50D7"/>
    <w:rsid w:val="009C7041"/>
    <w:rsid w:val="009D044E"/>
    <w:rsid w:val="009D09E2"/>
    <w:rsid w:val="009D4ED3"/>
    <w:rsid w:val="009D54A4"/>
    <w:rsid w:val="009D57C5"/>
    <w:rsid w:val="009D6223"/>
    <w:rsid w:val="009D66CC"/>
    <w:rsid w:val="009E20B0"/>
    <w:rsid w:val="009E4094"/>
    <w:rsid w:val="009E42C3"/>
    <w:rsid w:val="009E4309"/>
    <w:rsid w:val="009E641F"/>
    <w:rsid w:val="009E689D"/>
    <w:rsid w:val="009E7638"/>
    <w:rsid w:val="009E7FF9"/>
    <w:rsid w:val="009F077E"/>
    <w:rsid w:val="009F2A8D"/>
    <w:rsid w:val="009F315D"/>
    <w:rsid w:val="009F3E31"/>
    <w:rsid w:val="009F4FB4"/>
    <w:rsid w:val="009F5BD0"/>
    <w:rsid w:val="009F5E7F"/>
    <w:rsid w:val="009F6992"/>
    <w:rsid w:val="009F726C"/>
    <w:rsid w:val="009F795B"/>
    <w:rsid w:val="009F7BD1"/>
    <w:rsid w:val="009F7EF5"/>
    <w:rsid w:val="00A00402"/>
    <w:rsid w:val="00A00C3E"/>
    <w:rsid w:val="00A01364"/>
    <w:rsid w:val="00A0163A"/>
    <w:rsid w:val="00A017F0"/>
    <w:rsid w:val="00A0184F"/>
    <w:rsid w:val="00A0201D"/>
    <w:rsid w:val="00A0404A"/>
    <w:rsid w:val="00A04967"/>
    <w:rsid w:val="00A06FF3"/>
    <w:rsid w:val="00A07FDD"/>
    <w:rsid w:val="00A10E17"/>
    <w:rsid w:val="00A11EA3"/>
    <w:rsid w:val="00A12672"/>
    <w:rsid w:val="00A12BF5"/>
    <w:rsid w:val="00A15629"/>
    <w:rsid w:val="00A17464"/>
    <w:rsid w:val="00A201D0"/>
    <w:rsid w:val="00A2417B"/>
    <w:rsid w:val="00A26588"/>
    <w:rsid w:val="00A266A1"/>
    <w:rsid w:val="00A27489"/>
    <w:rsid w:val="00A2782E"/>
    <w:rsid w:val="00A3217E"/>
    <w:rsid w:val="00A330C6"/>
    <w:rsid w:val="00A3325B"/>
    <w:rsid w:val="00A3561A"/>
    <w:rsid w:val="00A41619"/>
    <w:rsid w:val="00A433C1"/>
    <w:rsid w:val="00A4366F"/>
    <w:rsid w:val="00A476D4"/>
    <w:rsid w:val="00A47F83"/>
    <w:rsid w:val="00A51977"/>
    <w:rsid w:val="00A524CB"/>
    <w:rsid w:val="00A524D1"/>
    <w:rsid w:val="00A52FB2"/>
    <w:rsid w:val="00A55012"/>
    <w:rsid w:val="00A551DA"/>
    <w:rsid w:val="00A55C51"/>
    <w:rsid w:val="00A56C84"/>
    <w:rsid w:val="00A56DC9"/>
    <w:rsid w:val="00A57F26"/>
    <w:rsid w:val="00A60FFF"/>
    <w:rsid w:val="00A62B1A"/>
    <w:rsid w:val="00A62F18"/>
    <w:rsid w:val="00A65EAA"/>
    <w:rsid w:val="00A669AF"/>
    <w:rsid w:val="00A70553"/>
    <w:rsid w:val="00A7158B"/>
    <w:rsid w:val="00A719A8"/>
    <w:rsid w:val="00A7275E"/>
    <w:rsid w:val="00A72F53"/>
    <w:rsid w:val="00A73FDE"/>
    <w:rsid w:val="00A74402"/>
    <w:rsid w:val="00A74622"/>
    <w:rsid w:val="00A75E7A"/>
    <w:rsid w:val="00A7722A"/>
    <w:rsid w:val="00A81D58"/>
    <w:rsid w:val="00A82B38"/>
    <w:rsid w:val="00A82D58"/>
    <w:rsid w:val="00A8324A"/>
    <w:rsid w:val="00A845C8"/>
    <w:rsid w:val="00A849FF"/>
    <w:rsid w:val="00A84F2F"/>
    <w:rsid w:val="00A90AAF"/>
    <w:rsid w:val="00A9195E"/>
    <w:rsid w:val="00A9201B"/>
    <w:rsid w:val="00A9280F"/>
    <w:rsid w:val="00A938C6"/>
    <w:rsid w:val="00A94026"/>
    <w:rsid w:val="00A94636"/>
    <w:rsid w:val="00A9777F"/>
    <w:rsid w:val="00AA0ED7"/>
    <w:rsid w:val="00AA17D2"/>
    <w:rsid w:val="00AA2ECC"/>
    <w:rsid w:val="00AA3320"/>
    <w:rsid w:val="00AA535B"/>
    <w:rsid w:val="00AA5AB7"/>
    <w:rsid w:val="00AA5F79"/>
    <w:rsid w:val="00AB161A"/>
    <w:rsid w:val="00AB3D6C"/>
    <w:rsid w:val="00AB6337"/>
    <w:rsid w:val="00AB6961"/>
    <w:rsid w:val="00AC105D"/>
    <w:rsid w:val="00AC1D65"/>
    <w:rsid w:val="00AC4269"/>
    <w:rsid w:val="00AC51DA"/>
    <w:rsid w:val="00AC5EEF"/>
    <w:rsid w:val="00AD1AC1"/>
    <w:rsid w:val="00AD1C79"/>
    <w:rsid w:val="00AD3599"/>
    <w:rsid w:val="00AD38CE"/>
    <w:rsid w:val="00AD398C"/>
    <w:rsid w:val="00AD4086"/>
    <w:rsid w:val="00AD47D5"/>
    <w:rsid w:val="00AD4BDB"/>
    <w:rsid w:val="00AD6B94"/>
    <w:rsid w:val="00AE01A4"/>
    <w:rsid w:val="00AE0D59"/>
    <w:rsid w:val="00AE2EDB"/>
    <w:rsid w:val="00AE394B"/>
    <w:rsid w:val="00AE3F0B"/>
    <w:rsid w:val="00AE4524"/>
    <w:rsid w:val="00AE4A35"/>
    <w:rsid w:val="00AF2285"/>
    <w:rsid w:val="00AF3D43"/>
    <w:rsid w:val="00AF4804"/>
    <w:rsid w:val="00AF4D25"/>
    <w:rsid w:val="00AF4D93"/>
    <w:rsid w:val="00B00896"/>
    <w:rsid w:val="00B01C38"/>
    <w:rsid w:val="00B033DC"/>
    <w:rsid w:val="00B03424"/>
    <w:rsid w:val="00B04A77"/>
    <w:rsid w:val="00B06BEE"/>
    <w:rsid w:val="00B06E17"/>
    <w:rsid w:val="00B119B0"/>
    <w:rsid w:val="00B12EFE"/>
    <w:rsid w:val="00B134A2"/>
    <w:rsid w:val="00B13EA2"/>
    <w:rsid w:val="00B17153"/>
    <w:rsid w:val="00B17AF6"/>
    <w:rsid w:val="00B200C1"/>
    <w:rsid w:val="00B204E2"/>
    <w:rsid w:val="00B2112F"/>
    <w:rsid w:val="00B22D1D"/>
    <w:rsid w:val="00B23118"/>
    <w:rsid w:val="00B23503"/>
    <w:rsid w:val="00B23F95"/>
    <w:rsid w:val="00B25221"/>
    <w:rsid w:val="00B255CB"/>
    <w:rsid w:val="00B27E55"/>
    <w:rsid w:val="00B30330"/>
    <w:rsid w:val="00B30948"/>
    <w:rsid w:val="00B30CF4"/>
    <w:rsid w:val="00B31E78"/>
    <w:rsid w:val="00B33A12"/>
    <w:rsid w:val="00B34EF4"/>
    <w:rsid w:val="00B35973"/>
    <w:rsid w:val="00B36684"/>
    <w:rsid w:val="00B37A87"/>
    <w:rsid w:val="00B37AE7"/>
    <w:rsid w:val="00B40C99"/>
    <w:rsid w:val="00B41479"/>
    <w:rsid w:val="00B4353D"/>
    <w:rsid w:val="00B43E3E"/>
    <w:rsid w:val="00B45B06"/>
    <w:rsid w:val="00B45D2B"/>
    <w:rsid w:val="00B462C0"/>
    <w:rsid w:val="00B4722D"/>
    <w:rsid w:val="00B5253E"/>
    <w:rsid w:val="00B52A25"/>
    <w:rsid w:val="00B53A92"/>
    <w:rsid w:val="00B54BE2"/>
    <w:rsid w:val="00B54DE7"/>
    <w:rsid w:val="00B569D2"/>
    <w:rsid w:val="00B61FB3"/>
    <w:rsid w:val="00B625FA"/>
    <w:rsid w:val="00B64E97"/>
    <w:rsid w:val="00B65F23"/>
    <w:rsid w:val="00B66628"/>
    <w:rsid w:val="00B6690D"/>
    <w:rsid w:val="00B66955"/>
    <w:rsid w:val="00B67705"/>
    <w:rsid w:val="00B7320D"/>
    <w:rsid w:val="00B7531C"/>
    <w:rsid w:val="00B76138"/>
    <w:rsid w:val="00B77481"/>
    <w:rsid w:val="00B77854"/>
    <w:rsid w:val="00B8103A"/>
    <w:rsid w:val="00B82215"/>
    <w:rsid w:val="00B82D20"/>
    <w:rsid w:val="00B83B4C"/>
    <w:rsid w:val="00B8427B"/>
    <w:rsid w:val="00B8583F"/>
    <w:rsid w:val="00B86221"/>
    <w:rsid w:val="00B87557"/>
    <w:rsid w:val="00B8772A"/>
    <w:rsid w:val="00B9157F"/>
    <w:rsid w:val="00B92B00"/>
    <w:rsid w:val="00B93F07"/>
    <w:rsid w:val="00B9520B"/>
    <w:rsid w:val="00B9676E"/>
    <w:rsid w:val="00B96AD1"/>
    <w:rsid w:val="00BA3C79"/>
    <w:rsid w:val="00BA4F13"/>
    <w:rsid w:val="00BA62A1"/>
    <w:rsid w:val="00BA7A29"/>
    <w:rsid w:val="00BA7A3F"/>
    <w:rsid w:val="00BB3DFA"/>
    <w:rsid w:val="00BB58D6"/>
    <w:rsid w:val="00BB664C"/>
    <w:rsid w:val="00BC085F"/>
    <w:rsid w:val="00BC0939"/>
    <w:rsid w:val="00BC120B"/>
    <w:rsid w:val="00BC15D2"/>
    <w:rsid w:val="00BC3169"/>
    <w:rsid w:val="00BC45B5"/>
    <w:rsid w:val="00BC45E3"/>
    <w:rsid w:val="00BC5E8D"/>
    <w:rsid w:val="00BC640A"/>
    <w:rsid w:val="00BC774E"/>
    <w:rsid w:val="00BD090D"/>
    <w:rsid w:val="00BD0B18"/>
    <w:rsid w:val="00BD0BCA"/>
    <w:rsid w:val="00BD11D1"/>
    <w:rsid w:val="00BD2133"/>
    <w:rsid w:val="00BD2FA5"/>
    <w:rsid w:val="00BD495A"/>
    <w:rsid w:val="00BD4C96"/>
    <w:rsid w:val="00BD4DB6"/>
    <w:rsid w:val="00BD603A"/>
    <w:rsid w:val="00BD6C5D"/>
    <w:rsid w:val="00BE0710"/>
    <w:rsid w:val="00BE0DBF"/>
    <w:rsid w:val="00BE2CB8"/>
    <w:rsid w:val="00BE2F1C"/>
    <w:rsid w:val="00BE30AA"/>
    <w:rsid w:val="00BE319A"/>
    <w:rsid w:val="00BE3736"/>
    <w:rsid w:val="00BE41E9"/>
    <w:rsid w:val="00BE4DC5"/>
    <w:rsid w:val="00BE5405"/>
    <w:rsid w:val="00BE6224"/>
    <w:rsid w:val="00BE696A"/>
    <w:rsid w:val="00BE6C2E"/>
    <w:rsid w:val="00BF0E2C"/>
    <w:rsid w:val="00BF24F0"/>
    <w:rsid w:val="00BF2702"/>
    <w:rsid w:val="00BF27C1"/>
    <w:rsid w:val="00BF37B1"/>
    <w:rsid w:val="00BF3D9B"/>
    <w:rsid w:val="00BF4F18"/>
    <w:rsid w:val="00BF5BC3"/>
    <w:rsid w:val="00BF7068"/>
    <w:rsid w:val="00C0396C"/>
    <w:rsid w:val="00C0537F"/>
    <w:rsid w:val="00C05500"/>
    <w:rsid w:val="00C06B2D"/>
    <w:rsid w:val="00C06F69"/>
    <w:rsid w:val="00C07E21"/>
    <w:rsid w:val="00C07F51"/>
    <w:rsid w:val="00C10269"/>
    <w:rsid w:val="00C10924"/>
    <w:rsid w:val="00C109DC"/>
    <w:rsid w:val="00C10B06"/>
    <w:rsid w:val="00C10BCE"/>
    <w:rsid w:val="00C11473"/>
    <w:rsid w:val="00C11D47"/>
    <w:rsid w:val="00C12E87"/>
    <w:rsid w:val="00C14C2F"/>
    <w:rsid w:val="00C14DDE"/>
    <w:rsid w:val="00C158DB"/>
    <w:rsid w:val="00C15D2C"/>
    <w:rsid w:val="00C16476"/>
    <w:rsid w:val="00C17749"/>
    <w:rsid w:val="00C202BB"/>
    <w:rsid w:val="00C2267F"/>
    <w:rsid w:val="00C2513E"/>
    <w:rsid w:val="00C2544E"/>
    <w:rsid w:val="00C26A07"/>
    <w:rsid w:val="00C27184"/>
    <w:rsid w:val="00C272F2"/>
    <w:rsid w:val="00C2763B"/>
    <w:rsid w:val="00C27FA4"/>
    <w:rsid w:val="00C304FD"/>
    <w:rsid w:val="00C31944"/>
    <w:rsid w:val="00C34778"/>
    <w:rsid w:val="00C35396"/>
    <w:rsid w:val="00C356D5"/>
    <w:rsid w:val="00C366EA"/>
    <w:rsid w:val="00C40B23"/>
    <w:rsid w:val="00C40C27"/>
    <w:rsid w:val="00C434E4"/>
    <w:rsid w:val="00C4459F"/>
    <w:rsid w:val="00C44743"/>
    <w:rsid w:val="00C44BC3"/>
    <w:rsid w:val="00C46DB8"/>
    <w:rsid w:val="00C46F57"/>
    <w:rsid w:val="00C51029"/>
    <w:rsid w:val="00C560D9"/>
    <w:rsid w:val="00C57125"/>
    <w:rsid w:val="00C57680"/>
    <w:rsid w:val="00C5771F"/>
    <w:rsid w:val="00C57933"/>
    <w:rsid w:val="00C57AC8"/>
    <w:rsid w:val="00C60D6E"/>
    <w:rsid w:val="00C62309"/>
    <w:rsid w:val="00C65689"/>
    <w:rsid w:val="00C677C7"/>
    <w:rsid w:val="00C7028C"/>
    <w:rsid w:val="00C70B61"/>
    <w:rsid w:val="00C71252"/>
    <w:rsid w:val="00C728A2"/>
    <w:rsid w:val="00C729A4"/>
    <w:rsid w:val="00C741EE"/>
    <w:rsid w:val="00C74AAE"/>
    <w:rsid w:val="00C74ECC"/>
    <w:rsid w:val="00C7527C"/>
    <w:rsid w:val="00C755F7"/>
    <w:rsid w:val="00C756FF"/>
    <w:rsid w:val="00C7670B"/>
    <w:rsid w:val="00C76CE3"/>
    <w:rsid w:val="00C76CE4"/>
    <w:rsid w:val="00C77812"/>
    <w:rsid w:val="00C80B84"/>
    <w:rsid w:val="00C80E8B"/>
    <w:rsid w:val="00C820D4"/>
    <w:rsid w:val="00C8274A"/>
    <w:rsid w:val="00C83A45"/>
    <w:rsid w:val="00C876A2"/>
    <w:rsid w:val="00C87EEE"/>
    <w:rsid w:val="00C91507"/>
    <w:rsid w:val="00C918CD"/>
    <w:rsid w:val="00C927EC"/>
    <w:rsid w:val="00C93523"/>
    <w:rsid w:val="00C96A25"/>
    <w:rsid w:val="00C96BD7"/>
    <w:rsid w:val="00C97B70"/>
    <w:rsid w:val="00CA0024"/>
    <w:rsid w:val="00CA0226"/>
    <w:rsid w:val="00CA057A"/>
    <w:rsid w:val="00CA1062"/>
    <w:rsid w:val="00CA23DA"/>
    <w:rsid w:val="00CA2616"/>
    <w:rsid w:val="00CA3C20"/>
    <w:rsid w:val="00CA5E18"/>
    <w:rsid w:val="00CA6123"/>
    <w:rsid w:val="00CA62D1"/>
    <w:rsid w:val="00CA6944"/>
    <w:rsid w:val="00CA7653"/>
    <w:rsid w:val="00CA796E"/>
    <w:rsid w:val="00CA7C69"/>
    <w:rsid w:val="00CB005D"/>
    <w:rsid w:val="00CB1079"/>
    <w:rsid w:val="00CB2710"/>
    <w:rsid w:val="00CB2803"/>
    <w:rsid w:val="00CB3049"/>
    <w:rsid w:val="00CB417D"/>
    <w:rsid w:val="00CB489A"/>
    <w:rsid w:val="00CB5476"/>
    <w:rsid w:val="00CB6033"/>
    <w:rsid w:val="00CB60D9"/>
    <w:rsid w:val="00CB6ED6"/>
    <w:rsid w:val="00CC0138"/>
    <w:rsid w:val="00CC043C"/>
    <w:rsid w:val="00CC054D"/>
    <w:rsid w:val="00CC215D"/>
    <w:rsid w:val="00CC2656"/>
    <w:rsid w:val="00CC4A4A"/>
    <w:rsid w:val="00CC5A0B"/>
    <w:rsid w:val="00CC71DF"/>
    <w:rsid w:val="00CC7E11"/>
    <w:rsid w:val="00CD0CAA"/>
    <w:rsid w:val="00CD3176"/>
    <w:rsid w:val="00CD3763"/>
    <w:rsid w:val="00CD4BD9"/>
    <w:rsid w:val="00CD65C8"/>
    <w:rsid w:val="00CD7930"/>
    <w:rsid w:val="00CE0E42"/>
    <w:rsid w:val="00CE2174"/>
    <w:rsid w:val="00CE2445"/>
    <w:rsid w:val="00CE34BC"/>
    <w:rsid w:val="00CE6465"/>
    <w:rsid w:val="00CF04FC"/>
    <w:rsid w:val="00CF2DB5"/>
    <w:rsid w:val="00CF330B"/>
    <w:rsid w:val="00CF4EBA"/>
    <w:rsid w:val="00CF54DD"/>
    <w:rsid w:val="00CF6EA1"/>
    <w:rsid w:val="00CF780B"/>
    <w:rsid w:val="00D002E8"/>
    <w:rsid w:val="00D019BA"/>
    <w:rsid w:val="00D01B04"/>
    <w:rsid w:val="00D01C69"/>
    <w:rsid w:val="00D02DD9"/>
    <w:rsid w:val="00D044AC"/>
    <w:rsid w:val="00D057B1"/>
    <w:rsid w:val="00D065E5"/>
    <w:rsid w:val="00D066C6"/>
    <w:rsid w:val="00D078AF"/>
    <w:rsid w:val="00D11A4F"/>
    <w:rsid w:val="00D11D21"/>
    <w:rsid w:val="00D121AD"/>
    <w:rsid w:val="00D12B43"/>
    <w:rsid w:val="00D14267"/>
    <w:rsid w:val="00D14337"/>
    <w:rsid w:val="00D14565"/>
    <w:rsid w:val="00D15932"/>
    <w:rsid w:val="00D17012"/>
    <w:rsid w:val="00D17692"/>
    <w:rsid w:val="00D176A3"/>
    <w:rsid w:val="00D23192"/>
    <w:rsid w:val="00D24975"/>
    <w:rsid w:val="00D2593C"/>
    <w:rsid w:val="00D259E4"/>
    <w:rsid w:val="00D25A9D"/>
    <w:rsid w:val="00D26375"/>
    <w:rsid w:val="00D26DAD"/>
    <w:rsid w:val="00D271B2"/>
    <w:rsid w:val="00D2747F"/>
    <w:rsid w:val="00D27D8A"/>
    <w:rsid w:val="00D30482"/>
    <w:rsid w:val="00D35080"/>
    <w:rsid w:val="00D35C0C"/>
    <w:rsid w:val="00D3695F"/>
    <w:rsid w:val="00D40B11"/>
    <w:rsid w:val="00D41FF0"/>
    <w:rsid w:val="00D436E9"/>
    <w:rsid w:val="00D45178"/>
    <w:rsid w:val="00D47415"/>
    <w:rsid w:val="00D47525"/>
    <w:rsid w:val="00D47CA0"/>
    <w:rsid w:val="00D502F0"/>
    <w:rsid w:val="00D51256"/>
    <w:rsid w:val="00D535D3"/>
    <w:rsid w:val="00D53FCA"/>
    <w:rsid w:val="00D54850"/>
    <w:rsid w:val="00D565A6"/>
    <w:rsid w:val="00D56AB1"/>
    <w:rsid w:val="00D57034"/>
    <w:rsid w:val="00D60647"/>
    <w:rsid w:val="00D67DA6"/>
    <w:rsid w:val="00D67FA9"/>
    <w:rsid w:val="00D708F7"/>
    <w:rsid w:val="00D71115"/>
    <w:rsid w:val="00D725B5"/>
    <w:rsid w:val="00D7420A"/>
    <w:rsid w:val="00D753C9"/>
    <w:rsid w:val="00D756FA"/>
    <w:rsid w:val="00D76135"/>
    <w:rsid w:val="00D76155"/>
    <w:rsid w:val="00D764EB"/>
    <w:rsid w:val="00D801BB"/>
    <w:rsid w:val="00D80213"/>
    <w:rsid w:val="00D8095B"/>
    <w:rsid w:val="00D80AEF"/>
    <w:rsid w:val="00D81FA0"/>
    <w:rsid w:val="00D839EC"/>
    <w:rsid w:val="00D84CEF"/>
    <w:rsid w:val="00D857B7"/>
    <w:rsid w:val="00D85F63"/>
    <w:rsid w:val="00D8617E"/>
    <w:rsid w:val="00D87D63"/>
    <w:rsid w:val="00D87F3B"/>
    <w:rsid w:val="00D903EA"/>
    <w:rsid w:val="00D9063E"/>
    <w:rsid w:val="00D9165D"/>
    <w:rsid w:val="00D91BF8"/>
    <w:rsid w:val="00D92578"/>
    <w:rsid w:val="00D92D63"/>
    <w:rsid w:val="00D9474F"/>
    <w:rsid w:val="00D94911"/>
    <w:rsid w:val="00D964FA"/>
    <w:rsid w:val="00D96AF7"/>
    <w:rsid w:val="00D96C79"/>
    <w:rsid w:val="00D97D67"/>
    <w:rsid w:val="00DA09B1"/>
    <w:rsid w:val="00DA0F27"/>
    <w:rsid w:val="00DA17B3"/>
    <w:rsid w:val="00DA3AE1"/>
    <w:rsid w:val="00DA3E68"/>
    <w:rsid w:val="00DA4422"/>
    <w:rsid w:val="00DA505E"/>
    <w:rsid w:val="00DA6B6D"/>
    <w:rsid w:val="00DA77EF"/>
    <w:rsid w:val="00DB0033"/>
    <w:rsid w:val="00DB00D2"/>
    <w:rsid w:val="00DB026B"/>
    <w:rsid w:val="00DB0AC9"/>
    <w:rsid w:val="00DB1895"/>
    <w:rsid w:val="00DB3CC4"/>
    <w:rsid w:val="00DB467F"/>
    <w:rsid w:val="00DB4B14"/>
    <w:rsid w:val="00DB73B2"/>
    <w:rsid w:val="00DC4B82"/>
    <w:rsid w:val="00DC4CE6"/>
    <w:rsid w:val="00DC5813"/>
    <w:rsid w:val="00DC59F0"/>
    <w:rsid w:val="00DC690E"/>
    <w:rsid w:val="00DC7EEB"/>
    <w:rsid w:val="00DD0011"/>
    <w:rsid w:val="00DD279B"/>
    <w:rsid w:val="00DD4211"/>
    <w:rsid w:val="00DD45C9"/>
    <w:rsid w:val="00DD55B8"/>
    <w:rsid w:val="00DE1892"/>
    <w:rsid w:val="00DE397E"/>
    <w:rsid w:val="00DE3D3C"/>
    <w:rsid w:val="00DE54A5"/>
    <w:rsid w:val="00DF0C9E"/>
    <w:rsid w:val="00DF2E17"/>
    <w:rsid w:val="00DF2FD4"/>
    <w:rsid w:val="00DF4F99"/>
    <w:rsid w:val="00DF5BE0"/>
    <w:rsid w:val="00DF5EB6"/>
    <w:rsid w:val="00DF72F9"/>
    <w:rsid w:val="00E0004F"/>
    <w:rsid w:val="00E04FB1"/>
    <w:rsid w:val="00E059FD"/>
    <w:rsid w:val="00E05B97"/>
    <w:rsid w:val="00E0673D"/>
    <w:rsid w:val="00E13799"/>
    <w:rsid w:val="00E14A63"/>
    <w:rsid w:val="00E14CCD"/>
    <w:rsid w:val="00E15A28"/>
    <w:rsid w:val="00E20322"/>
    <w:rsid w:val="00E221D3"/>
    <w:rsid w:val="00E238B3"/>
    <w:rsid w:val="00E26801"/>
    <w:rsid w:val="00E26819"/>
    <w:rsid w:val="00E27148"/>
    <w:rsid w:val="00E274DF"/>
    <w:rsid w:val="00E30C09"/>
    <w:rsid w:val="00E31831"/>
    <w:rsid w:val="00E40656"/>
    <w:rsid w:val="00E41748"/>
    <w:rsid w:val="00E41AAB"/>
    <w:rsid w:val="00E4248B"/>
    <w:rsid w:val="00E42928"/>
    <w:rsid w:val="00E43194"/>
    <w:rsid w:val="00E45928"/>
    <w:rsid w:val="00E45991"/>
    <w:rsid w:val="00E46395"/>
    <w:rsid w:val="00E4737F"/>
    <w:rsid w:val="00E511BF"/>
    <w:rsid w:val="00E523F7"/>
    <w:rsid w:val="00E52C9D"/>
    <w:rsid w:val="00E53F78"/>
    <w:rsid w:val="00E554FD"/>
    <w:rsid w:val="00E55BFC"/>
    <w:rsid w:val="00E56097"/>
    <w:rsid w:val="00E56A23"/>
    <w:rsid w:val="00E57179"/>
    <w:rsid w:val="00E57B92"/>
    <w:rsid w:val="00E60584"/>
    <w:rsid w:val="00E60C6B"/>
    <w:rsid w:val="00E60F01"/>
    <w:rsid w:val="00E63474"/>
    <w:rsid w:val="00E63701"/>
    <w:rsid w:val="00E6431F"/>
    <w:rsid w:val="00E64D56"/>
    <w:rsid w:val="00E65607"/>
    <w:rsid w:val="00E65866"/>
    <w:rsid w:val="00E65A0A"/>
    <w:rsid w:val="00E67840"/>
    <w:rsid w:val="00E753EC"/>
    <w:rsid w:val="00E762F0"/>
    <w:rsid w:val="00E800EF"/>
    <w:rsid w:val="00E803F1"/>
    <w:rsid w:val="00E80B03"/>
    <w:rsid w:val="00E815CD"/>
    <w:rsid w:val="00E816F7"/>
    <w:rsid w:val="00E81955"/>
    <w:rsid w:val="00E83353"/>
    <w:rsid w:val="00E85961"/>
    <w:rsid w:val="00E86BEA"/>
    <w:rsid w:val="00E86CE1"/>
    <w:rsid w:val="00E86E6F"/>
    <w:rsid w:val="00E87504"/>
    <w:rsid w:val="00E9118E"/>
    <w:rsid w:val="00E91602"/>
    <w:rsid w:val="00E93D6F"/>
    <w:rsid w:val="00E955B5"/>
    <w:rsid w:val="00E96E10"/>
    <w:rsid w:val="00E972C8"/>
    <w:rsid w:val="00E976E3"/>
    <w:rsid w:val="00EA0B69"/>
    <w:rsid w:val="00EA0CAB"/>
    <w:rsid w:val="00EA115B"/>
    <w:rsid w:val="00EA1955"/>
    <w:rsid w:val="00EA1C58"/>
    <w:rsid w:val="00EA1DC3"/>
    <w:rsid w:val="00EA2495"/>
    <w:rsid w:val="00EA2E57"/>
    <w:rsid w:val="00EA32A1"/>
    <w:rsid w:val="00EA42B8"/>
    <w:rsid w:val="00EA5EA0"/>
    <w:rsid w:val="00EA799B"/>
    <w:rsid w:val="00EB1C0E"/>
    <w:rsid w:val="00EB41E7"/>
    <w:rsid w:val="00EB7A75"/>
    <w:rsid w:val="00EC0990"/>
    <w:rsid w:val="00EC0F11"/>
    <w:rsid w:val="00EC1584"/>
    <w:rsid w:val="00EC414F"/>
    <w:rsid w:val="00EC49F7"/>
    <w:rsid w:val="00EC5224"/>
    <w:rsid w:val="00EC5429"/>
    <w:rsid w:val="00EC56D0"/>
    <w:rsid w:val="00EC604B"/>
    <w:rsid w:val="00EC6BB1"/>
    <w:rsid w:val="00ED19C7"/>
    <w:rsid w:val="00ED395A"/>
    <w:rsid w:val="00ED46D8"/>
    <w:rsid w:val="00ED4C78"/>
    <w:rsid w:val="00ED64BA"/>
    <w:rsid w:val="00ED7674"/>
    <w:rsid w:val="00ED7BC9"/>
    <w:rsid w:val="00EE02B8"/>
    <w:rsid w:val="00EE04B1"/>
    <w:rsid w:val="00EE162E"/>
    <w:rsid w:val="00EE38D6"/>
    <w:rsid w:val="00EE6D08"/>
    <w:rsid w:val="00EE728B"/>
    <w:rsid w:val="00EE7CE9"/>
    <w:rsid w:val="00EF0D05"/>
    <w:rsid w:val="00EF11F7"/>
    <w:rsid w:val="00EF1883"/>
    <w:rsid w:val="00EF55AB"/>
    <w:rsid w:val="00EF5763"/>
    <w:rsid w:val="00EF579C"/>
    <w:rsid w:val="00EF5CB0"/>
    <w:rsid w:val="00EF7118"/>
    <w:rsid w:val="00F011F6"/>
    <w:rsid w:val="00F01239"/>
    <w:rsid w:val="00F02BDD"/>
    <w:rsid w:val="00F0514C"/>
    <w:rsid w:val="00F054A5"/>
    <w:rsid w:val="00F0618A"/>
    <w:rsid w:val="00F073B4"/>
    <w:rsid w:val="00F120D2"/>
    <w:rsid w:val="00F15289"/>
    <w:rsid w:val="00F1575F"/>
    <w:rsid w:val="00F15A84"/>
    <w:rsid w:val="00F166B1"/>
    <w:rsid w:val="00F22125"/>
    <w:rsid w:val="00F2298C"/>
    <w:rsid w:val="00F23295"/>
    <w:rsid w:val="00F24AB0"/>
    <w:rsid w:val="00F2608C"/>
    <w:rsid w:val="00F267B0"/>
    <w:rsid w:val="00F277CF"/>
    <w:rsid w:val="00F30FAF"/>
    <w:rsid w:val="00F31F61"/>
    <w:rsid w:val="00F337BD"/>
    <w:rsid w:val="00F337E5"/>
    <w:rsid w:val="00F339A0"/>
    <w:rsid w:val="00F362D5"/>
    <w:rsid w:val="00F36FF9"/>
    <w:rsid w:val="00F372D8"/>
    <w:rsid w:val="00F37849"/>
    <w:rsid w:val="00F4038F"/>
    <w:rsid w:val="00F40904"/>
    <w:rsid w:val="00F4191A"/>
    <w:rsid w:val="00F42CE3"/>
    <w:rsid w:val="00F435E4"/>
    <w:rsid w:val="00F44B11"/>
    <w:rsid w:val="00F47242"/>
    <w:rsid w:val="00F503B6"/>
    <w:rsid w:val="00F51713"/>
    <w:rsid w:val="00F52A18"/>
    <w:rsid w:val="00F55B30"/>
    <w:rsid w:val="00F6143D"/>
    <w:rsid w:val="00F62929"/>
    <w:rsid w:val="00F63B93"/>
    <w:rsid w:val="00F63D94"/>
    <w:rsid w:val="00F64A30"/>
    <w:rsid w:val="00F65AA4"/>
    <w:rsid w:val="00F65B41"/>
    <w:rsid w:val="00F65F00"/>
    <w:rsid w:val="00F66FD9"/>
    <w:rsid w:val="00F716EE"/>
    <w:rsid w:val="00F71CC1"/>
    <w:rsid w:val="00F7227F"/>
    <w:rsid w:val="00F7289F"/>
    <w:rsid w:val="00F7328D"/>
    <w:rsid w:val="00F7387B"/>
    <w:rsid w:val="00F74614"/>
    <w:rsid w:val="00F756A6"/>
    <w:rsid w:val="00F7713A"/>
    <w:rsid w:val="00F77A6F"/>
    <w:rsid w:val="00F80259"/>
    <w:rsid w:val="00F81310"/>
    <w:rsid w:val="00F81BAA"/>
    <w:rsid w:val="00F831E3"/>
    <w:rsid w:val="00F83A72"/>
    <w:rsid w:val="00F8600B"/>
    <w:rsid w:val="00F874AD"/>
    <w:rsid w:val="00F902E9"/>
    <w:rsid w:val="00F9185A"/>
    <w:rsid w:val="00F92076"/>
    <w:rsid w:val="00F927D1"/>
    <w:rsid w:val="00F93EFC"/>
    <w:rsid w:val="00F9433A"/>
    <w:rsid w:val="00F9562D"/>
    <w:rsid w:val="00F95C55"/>
    <w:rsid w:val="00F9647A"/>
    <w:rsid w:val="00F96B37"/>
    <w:rsid w:val="00F96E11"/>
    <w:rsid w:val="00F979D8"/>
    <w:rsid w:val="00FA031A"/>
    <w:rsid w:val="00FA131F"/>
    <w:rsid w:val="00FA1C28"/>
    <w:rsid w:val="00FA1E90"/>
    <w:rsid w:val="00FA244D"/>
    <w:rsid w:val="00FA3010"/>
    <w:rsid w:val="00FA4C5F"/>
    <w:rsid w:val="00FA5993"/>
    <w:rsid w:val="00FA62FB"/>
    <w:rsid w:val="00FA79A2"/>
    <w:rsid w:val="00FB0BBB"/>
    <w:rsid w:val="00FB17AC"/>
    <w:rsid w:val="00FB46FA"/>
    <w:rsid w:val="00FB4F60"/>
    <w:rsid w:val="00FC078D"/>
    <w:rsid w:val="00FC1A5D"/>
    <w:rsid w:val="00FC290C"/>
    <w:rsid w:val="00FC354D"/>
    <w:rsid w:val="00FD00A2"/>
    <w:rsid w:val="00FD08DE"/>
    <w:rsid w:val="00FD0F6E"/>
    <w:rsid w:val="00FD6A7C"/>
    <w:rsid w:val="00FE07A0"/>
    <w:rsid w:val="00FE2EC0"/>
    <w:rsid w:val="00FE4EA7"/>
    <w:rsid w:val="00FE4EAB"/>
    <w:rsid w:val="00FE5308"/>
    <w:rsid w:val="00FE54A3"/>
    <w:rsid w:val="00FE6997"/>
    <w:rsid w:val="00FE77EB"/>
    <w:rsid w:val="00FE78C7"/>
    <w:rsid w:val="00FF03FE"/>
    <w:rsid w:val="00FF0F6E"/>
    <w:rsid w:val="00FF18D7"/>
    <w:rsid w:val="00FF2970"/>
    <w:rsid w:val="00FF3363"/>
    <w:rsid w:val="00FF3612"/>
    <w:rsid w:val="00FF43F5"/>
    <w:rsid w:val="00FF4849"/>
    <w:rsid w:val="00FF5C7C"/>
    <w:rsid w:val="013C06BC"/>
    <w:rsid w:val="01685AA9"/>
    <w:rsid w:val="01AA1AC9"/>
    <w:rsid w:val="01B47A59"/>
    <w:rsid w:val="01CA3F1A"/>
    <w:rsid w:val="01D832BE"/>
    <w:rsid w:val="02083EB7"/>
    <w:rsid w:val="02265C8C"/>
    <w:rsid w:val="02983FF6"/>
    <w:rsid w:val="02AE56F2"/>
    <w:rsid w:val="030349D2"/>
    <w:rsid w:val="032B024C"/>
    <w:rsid w:val="0348159A"/>
    <w:rsid w:val="03514173"/>
    <w:rsid w:val="0382074F"/>
    <w:rsid w:val="03847CD4"/>
    <w:rsid w:val="03886AB7"/>
    <w:rsid w:val="038E27E2"/>
    <w:rsid w:val="03B31109"/>
    <w:rsid w:val="03E77005"/>
    <w:rsid w:val="043C1896"/>
    <w:rsid w:val="04651CD8"/>
    <w:rsid w:val="0495080F"/>
    <w:rsid w:val="04CB4DCD"/>
    <w:rsid w:val="052C6D8B"/>
    <w:rsid w:val="054B5371"/>
    <w:rsid w:val="05753204"/>
    <w:rsid w:val="05D0414D"/>
    <w:rsid w:val="05D15877"/>
    <w:rsid w:val="062822BB"/>
    <w:rsid w:val="06563FCE"/>
    <w:rsid w:val="06603F67"/>
    <w:rsid w:val="06804990"/>
    <w:rsid w:val="06D14EBD"/>
    <w:rsid w:val="06DE1A50"/>
    <w:rsid w:val="07005941"/>
    <w:rsid w:val="070B4DB8"/>
    <w:rsid w:val="074C0438"/>
    <w:rsid w:val="07D721EC"/>
    <w:rsid w:val="086D0162"/>
    <w:rsid w:val="08706007"/>
    <w:rsid w:val="089F7EAE"/>
    <w:rsid w:val="08A700C4"/>
    <w:rsid w:val="092E1232"/>
    <w:rsid w:val="09836E6F"/>
    <w:rsid w:val="09B721ED"/>
    <w:rsid w:val="0A841E0C"/>
    <w:rsid w:val="0AC5069D"/>
    <w:rsid w:val="0B181CBF"/>
    <w:rsid w:val="0B4F1B92"/>
    <w:rsid w:val="0BC04AFE"/>
    <w:rsid w:val="0BE8391A"/>
    <w:rsid w:val="0C085D6A"/>
    <w:rsid w:val="0CCD0C4F"/>
    <w:rsid w:val="0CE9794A"/>
    <w:rsid w:val="0D7D62E4"/>
    <w:rsid w:val="0DDC125D"/>
    <w:rsid w:val="0E0C760A"/>
    <w:rsid w:val="0E501052"/>
    <w:rsid w:val="0E664FCA"/>
    <w:rsid w:val="0E7117CE"/>
    <w:rsid w:val="0F0F7BEE"/>
    <w:rsid w:val="0F135152"/>
    <w:rsid w:val="0F625AC0"/>
    <w:rsid w:val="0F784D51"/>
    <w:rsid w:val="0F867640"/>
    <w:rsid w:val="0FAC300F"/>
    <w:rsid w:val="100A4633"/>
    <w:rsid w:val="10507CE0"/>
    <w:rsid w:val="10823C88"/>
    <w:rsid w:val="10901957"/>
    <w:rsid w:val="10C673DF"/>
    <w:rsid w:val="10E16B8A"/>
    <w:rsid w:val="110C3C07"/>
    <w:rsid w:val="111B77B5"/>
    <w:rsid w:val="1160532F"/>
    <w:rsid w:val="11824A0F"/>
    <w:rsid w:val="11CA2CFB"/>
    <w:rsid w:val="11E5087F"/>
    <w:rsid w:val="126357B9"/>
    <w:rsid w:val="128E5D2A"/>
    <w:rsid w:val="12983E36"/>
    <w:rsid w:val="12C91FA8"/>
    <w:rsid w:val="12F6691D"/>
    <w:rsid w:val="13454D7F"/>
    <w:rsid w:val="1360023A"/>
    <w:rsid w:val="139C49F3"/>
    <w:rsid w:val="13CF6B47"/>
    <w:rsid w:val="14CB3DD9"/>
    <w:rsid w:val="14D57867"/>
    <w:rsid w:val="15113CD5"/>
    <w:rsid w:val="15881997"/>
    <w:rsid w:val="15BB6F96"/>
    <w:rsid w:val="16092E0B"/>
    <w:rsid w:val="163F682C"/>
    <w:rsid w:val="16B540EF"/>
    <w:rsid w:val="16CE269B"/>
    <w:rsid w:val="16FF7D6A"/>
    <w:rsid w:val="170F61FF"/>
    <w:rsid w:val="17982720"/>
    <w:rsid w:val="17A82E1F"/>
    <w:rsid w:val="17B04B2A"/>
    <w:rsid w:val="17FF6273"/>
    <w:rsid w:val="18012B82"/>
    <w:rsid w:val="18357EE7"/>
    <w:rsid w:val="186B79C3"/>
    <w:rsid w:val="186C7681"/>
    <w:rsid w:val="187666D8"/>
    <w:rsid w:val="18F1504B"/>
    <w:rsid w:val="18F953B8"/>
    <w:rsid w:val="19106932"/>
    <w:rsid w:val="194D300E"/>
    <w:rsid w:val="196565AA"/>
    <w:rsid w:val="199F6656"/>
    <w:rsid w:val="1A141D7E"/>
    <w:rsid w:val="1A2E1092"/>
    <w:rsid w:val="1B244243"/>
    <w:rsid w:val="1B9273FE"/>
    <w:rsid w:val="1B9F6FD2"/>
    <w:rsid w:val="1C297D63"/>
    <w:rsid w:val="1C424C5B"/>
    <w:rsid w:val="1C4E1577"/>
    <w:rsid w:val="1C8E406A"/>
    <w:rsid w:val="1C9C2037"/>
    <w:rsid w:val="1CA266AD"/>
    <w:rsid w:val="1CA36708"/>
    <w:rsid w:val="1CDC1BD7"/>
    <w:rsid w:val="1CDE1E5B"/>
    <w:rsid w:val="1CE05D9D"/>
    <w:rsid w:val="1D1A58FD"/>
    <w:rsid w:val="1D436C02"/>
    <w:rsid w:val="1D6D0498"/>
    <w:rsid w:val="1D887018"/>
    <w:rsid w:val="1D905BC0"/>
    <w:rsid w:val="1DD94CC0"/>
    <w:rsid w:val="1DDE692B"/>
    <w:rsid w:val="1FB950A5"/>
    <w:rsid w:val="20751144"/>
    <w:rsid w:val="20947775"/>
    <w:rsid w:val="20B10327"/>
    <w:rsid w:val="20CD1AB0"/>
    <w:rsid w:val="211508B6"/>
    <w:rsid w:val="21601D41"/>
    <w:rsid w:val="21D3155C"/>
    <w:rsid w:val="220A5A3C"/>
    <w:rsid w:val="22853819"/>
    <w:rsid w:val="23955CDE"/>
    <w:rsid w:val="23A72FFC"/>
    <w:rsid w:val="23E32EED"/>
    <w:rsid w:val="240A6030"/>
    <w:rsid w:val="242A2671"/>
    <w:rsid w:val="243B4AD7"/>
    <w:rsid w:val="243F16D2"/>
    <w:rsid w:val="24430123"/>
    <w:rsid w:val="24786259"/>
    <w:rsid w:val="24B65F0C"/>
    <w:rsid w:val="24D67678"/>
    <w:rsid w:val="252E316F"/>
    <w:rsid w:val="259027AC"/>
    <w:rsid w:val="25BE00B0"/>
    <w:rsid w:val="25F26162"/>
    <w:rsid w:val="26A876ED"/>
    <w:rsid w:val="26B26BA7"/>
    <w:rsid w:val="26E17B69"/>
    <w:rsid w:val="26EC030B"/>
    <w:rsid w:val="26ED7BDF"/>
    <w:rsid w:val="26F45411"/>
    <w:rsid w:val="271B0BF0"/>
    <w:rsid w:val="274C2B57"/>
    <w:rsid w:val="28067B3A"/>
    <w:rsid w:val="280C23D5"/>
    <w:rsid w:val="280E42B1"/>
    <w:rsid w:val="282C4737"/>
    <w:rsid w:val="28620159"/>
    <w:rsid w:val="28A0576A"/>
    <w:rsid w:val="28C52BC1"/>
    <w:rsid w:val="28E05C4D"/>
    <w:rsid w:val="28EA087A"/>
    <w:rsid w:val="28EF5E90"/>
    <w:rsid w:val="28F22057"/>
    <w:rsid w:val="29422464"/>
    <w:rsid w:val="29491460"/>
    <w:rsid w:val="29D55086"/>
    <w:rsid w:val="29E96D83"/>
    <w:rsid w:val="29FA0F90"/>
    <w:rsid w:val="2A187669"/>
    <w:rsid w:val="2A50295E"/>
    <w:rsid w:val="2A571AEE"/>
    <w:rsid w:val="2A8558EB"/>
    <w:rsid w:val="2AAD6003"/>
    <w:rsid w:val="2AD33152"/>
    <w:rsid w:val="2AEF3F25"/>
    <w:rsid w:val="2AF615EE"/>
    <w:rsid w:val="2B54022C"/>
    <w:rsid w:val="2B717030"/>
    <w:rsid w:val="2B794864"/>
    <w:rsid w:val="2B801021"/>
    <w:rsid w:val="2BA3153D"/>
    <w:rsid w:val="2BD355F5"/>
    <w:rsid w:val="2C0E2AD1"/>
    <w:rsid w:val="2C387B4E"/>
    <w:rsid w:val="2C901738"/>
    <w:rsid w:val="2CBC252D"/>
    <w:rsid w:val="2CFC1882"/>
    <w:rsid w:val="2D31727E"/>
    <w:rsid w:val="2D393B7E"/>
    <w:rsid w:val="2D3B78F6"/>
    <w:rsid w:val="2D4B565F"/>
    <w:rsid w:val="2D537491"/>
    <w:rsid w:val="2D6E1409"/>
    <w:rsid w:val="2D8A7365"/>
    <w:rsid w:val="2D8B7C57"/>
    <w:rsid w:val="2DD737DB"/>
    <w:rsid w:val="2E366D75"/>
    <w:rsid w:val="2E78329E"/>
    <w:rsid w:val="2EAE1E2C"/>
    <w:rsid w:val="2EF677F0"/>
    <w:rsid w:val="2F2B179D"/>
    <w:rsid w:val="2F2E59E1"/>
    <w:rsid w:val="2F3A3CD2"/>
    <w:rsid w:val="2F5127C0"/>
    <w:rsid w:val="2F7C5FA4"/>
    <w:rsid w:val="2F9344A7"/>
    <w:rsid w:val="2FAD7C24"/>
    <w:rsid w:val="2FC83CAA"/>
    <w:rsid w:val="30202DD3"/>
    <w:rsid w:val="30336A9F"/>
    <w:rsid w:val="30447436"/>
    <w:rsid w:val="304B42F4"/>
    <w:rsid w:val="317B6EF1"/>
    <w:rsid w:val="31857392"/>
    <w:rsid w:val="31D976DD"/>
    <w:rsid w:val="325B00F2"/>
    <w:rsid w:val="328A6C2A"/>
    <w:rsid w:val="328F7345"/>
    <w:rsid w:val="330735A6"/>
    <w:rsid w:val="336D1314"/>
    <w:rsid w:val="33AC652E"/>
    <w:rsid w:val="33AF53B6"/>
    <w:rsid w:val="33F97BC3"/>
    <w:rsid w:val="341C45E4"/>
    <w:rsid w:val="341C6292"/>
    <w:rsid w:val="345D495A"/>
    <w:rsid w:val="3488722A"/>
    <w:rsid w:val="34CE4C2F"/>
    <w:rsid w:val="34D60E50"/>
    <w:rsid w:val="34F04177"/>
    <w:rsid w:val="351849C1"/>
    <w:rsid w:val="3561657A"/>
    <w:rsid w:val="35BC17F0"/>
    <w:rsid w:val="35FE7713"/>
    <w:rsid w:val="3613030A"/>
    <w:rsid w:val="36B16F62"/>
    <w:rsid w:val="36C941C4"/>
    <w:rsid w:val="36D55BA7"/>
    <w:rsid w:val="37353608"/>
    <w:rsid w:val="375A4E1C"/>
    <w:rsid w:val="388C773F"/>
    <w:rsid w:val="398C3287"/>
    <w:rsid w:val="39E356BD"/>
    <w:rsid w:val="39EB26A4"/>
    <w:rsid w:val="39EE16A9"/>
    <w:rsid w:val="39F14A48"/>
    <w:rsid w:val="3A2E2E0F"/>
    <w:rsid w:val="3A3E1764"/>
    <w:rsid w:val="3A506878"/>
    <w:rsid w:val="3AC56A51"/>
    <w:rsid w:val="3ADB6274"/>
    <w:rsid w:val="3AE60A26"/>
    <w:rsid w:val="3B2B2C3C"/>
    <w:rsid w:val="3B4C4BCD"/>
    <w:rsid w:val="3B9528C7"/>
    <w:rsid w:val="3BB03C71"/>
    <w:rsid w:val="3C29300F"/>
    <w:rsid w:val="3C8C3B8A"/>
    <w:rsid w:val="3CC316B6"/>
    <w:rsid w:val="3CFF4547"/>
    <w:rsid w:val="3D13665C"/>
    <w:rsid w:val="3D1B32A0"/>
    <w:rsid w:val="3D712EC0"/>
    <w:rsid w:val="3D7310E3"/>
    <w:rsid w:val="3DE126FC"/>
    <w:rsid w:val="3DFA4C63"/>
    <w:rsid w:val="3E4740D5"/>
    <w:rsid w:val="3E67106F"/>
    <w:rsid w:val="3E7B3341"/>
    <w:rsid w:val="3E9A3227"/>
    <w:rsid w:val="3ED7660B"/>
    <w:rsid w:val="3F012022"/>
    <w:rsid w:val="3F814F04"/>
    <w:rsid w:val="3F82095C"/>
    <w:rsid w:val="3F981B71"/>
    <w:rsid w:val="3F9C1BDA"/>
    <w:rsid w:val="3FA45D01"/>
    <w:rsid w:val="3FE07E89"/>
    <w:rsid w:val="3FFB4D22"/>
    <w:rsid w:val="40103A88"/>
    <w:rsid w:val="401527FC"/>
    <w:rsid w:val="40181D19"/>
    <w:rsid w:val="40297A82"/>
    <w:rsid w:val="403A20FD"/>
    <w:rsid w:val="408D0011"/>
    <w:rsid w:val="40C96743"/>
    <w:rsid w:val="40FA43B1"/>
    <w:rsid w:val="411E335F"/>
    <w:rsid w:val="412A5860"/>
    <w:rsid w:val="413E130B"/>
    <w:rsid w:val="418D4040"/>
    <w:rsid w:val="41A05B22"/>
    <w:rsid w:val="41C45387"/>
    <w:rsid w:val="41D91034"/>
    <w:rsid w:val="41F6585E"/>
    <w:rsid w:val="421D447F"/>
    <w:rsid w:val="42775F1B"/>
    <w:rsid w:val="42C6780A"/>
    <w:rsid w:val="42D40179"/>
    <w:rsid w:val="42E52B99"/>
    <w:rsid w:val="4315253F"/>
    <w:rsid w:val="436D237B"/>
    <w:rsid w:val="438F22F2"/>
    <w:rsid w:val="43955699"/>
    <w:rsid w:val="43DA6840"/>
    <w:rsid w:val="43DE654F"/>
    <w:rsid w:val="441077A9"/>
    <w:rsid w:val="44613C8E"/>
    <w:rsid w:val="44654E01"/>
    <w:rsid w:val="448979F5"/>
    <w:rsid w:val="448D10B7"/>
    <w:rsid w:val="44BC2649"/>
    <w:rsid w:val="44D04DF5"/>
    <w:rsid w:val="450434B5"/>
    <w:rsid w:val="453E7B2C"/>
    <w:rsid w:val="45725A27"/>
    <w:rsid w:val="45823F45"/>
    <w:rsid w:val="45A41442"/>
    <w:rsid w:val="45DE039C"/>
    <w:rsid w:val="463B1B9C"/>
    <w:rsid w:val="46475E61"/>
    <w:rsid w:val="466C06C8"/>
    <w:rsid w:val="467B12D3"/>
    <w:rsid w:val="46B138F5"/>
    <w:rsid w:val="471131FC"/>
    <w:rsid w:val="47597308"/>
    <w:rsid w:val="4791488A"/>
    <w:rsid w:val="47A04ACD"/>
    <w:rsid w:val="47A97974"/>
    <w:rsid w:val="48046570"/>
    <w:rsid w:val="485B508E"/>
    <w:rsid w:val="48BF65D8"/>
    <w:rsid w:val="48E1714C"/>
    <w:rsid w:val="493B6489"/>
    <w:rsid w:val="4961472A"/>
    <w:rsid w:val="49995C78"/>
    <w:rsid w:val="49AA2857"/>
    <w:rsid w:val="49CD76D0"/>
    <w:rsid w:val="49D62A28"/>
    <w:rsid w:val="4A6446A7"/>
    <w:rsid w:val="4AB97C54"/>
    <w:rsid w:val="4B894470"/>
    <w:rsid w:val="4B92297F"/>
    <w:rsid w:val="4C134BE6"/>
    <w:rsid w:val="4C25290D"/>
    <w:rsid w:val="4C4C3B78"/>
    <w:rsid w:val="4D597BFC"/>
    <w:rsid w:val="4D82136F"/>
    <w:rsid w:val="4DC210EF"/>
    <w:rsid w:val="4DD5361B"/>
    <w:rsid w:val="4DDF79D2"/>
    <w:rsid w:val="4DE767F4"/>
    <w:rsid w:val="4E1E2C18"/>
    <w:rsid w:val="4E3D29C0"/>
    <w:rsid w:val="4EAC11D8"/>
    <w:rsid w:val="4EC20ABF"/>
    <w:rsid w:val="4EDD2163"/>
    <w:rsid w:val="4EDE5EDB"/>
    <w:rsid w:val="4F455F5A"/>
    <w:rsid w:val="4F6A3DC8"/>
    <w:rsid w:val="4F9D15E4"/>
    <w:rsid w:val="4FB33A55"/>
    <w:rsid w:val="506A05A8"/>
    <w:rsid w:val="507C59AC"/>
    <w:rsid w:val="50D77086"/>
    <w:rsid w:val="5167171C"/>
    <w:rsid w:val="51687DFC"/>
    <w:rsid w:val="51A67184"/>
    <w:rsid w:val="51AE428B"/>
    <w:rsid w:val="51D87B8B"/>
    <w:rsid w:val="52254608"/>
    <w:rsid w:val="524F77C2"/>
    <w:rsid w:val="525210BA"/>
    <w:rsid w:val="527B7D83"/>
    <w:rsid w:val="529016BE"/>
    <w:rsid w:val="52E77F2A"/>
    <w:rsid w:val="5331733B"/>
    <w:rsid w:val="53974AC8"/>
    <w:rsid w:val="53A35A5E"/>
    <w:rsid w:val="54136627"/>
    <w:rsid w:val="546E3597"/>
    <w:rsid w:val="549F7EBB"/>
    <w:rsid w:val="54B957B5"/>
    <w:rsid w:val="554402F4"/>
    <w:rsid w:val="55C776C9"/>
    <w:rsid w:val="55DA564E"/>
    <w:rsid w:val="560221AE"/>
    <w:rsid w:val="564B20A8"/>
    <w:rsid w:val="565E46E5"/>
    <w:rsid w:val="56A66EEB"/>
    <w:rsid w:val="56E93BE9"/>
    <w:rsid w:val="571C57F3"/>
    <w:rsid w:val="573B211D"/>
    <w:rsid w:val="5765468B"/>
    <w:rsid w:val="57AB3C09"/>
    <w:rsid w:val="57D61E46"/>
    <w:rsid w:val="57E44562"/>
    <w:rsid w:val="580B5F93"/>
    <w:rsid w:val="580E15DF"/>
    <w:rsid w:val="58240E03"/>
    <w:rsid w:val="585873AA"/>
    <w:rsid w:val="58ED7447"/>
    <w:rsid w:val="58F5454D"/>
    <w:rsid w:val="58F86605"/>
    <w:rsid w:val="59073951"/>
    <w:rsid w:val="593908DE"/>
    <w:rsid w:val="594D25DB"/>
    <w:rsid w:val="59501632"/>
    <w:rsid w:val="59682389"/>
    <w:rsid w:val="597F1763"/>
    <w:rsid w:val="5A6E295F"/>
    <w:rsid w:val="5A785436"/>
    <w:rsid w:val="5ACB7804"/>
    <w:rsid w:val="5ACE14FA"/>
    <w:rsid w:val="5AD308BE"/>
    <w:rsid w:val="5AF269F3"/>
    <w:rsid w:val="5B1706FC"/>
    <w:rsid w:val="5B3475AF"/>
    <w:rsid w:val="5B653C1B"/>
    <w:rsid w:val="5B7C4DA2"/>
    <w:rsid w:val="5BD952EF"/>
    <w:rsid w:val="5BE16F07"/>
    <w:rsid w:val="5C3B671B"/>
    <w:rsid w:val="5C7A36E7"/>
    <w:rsid w:val="5CD85E7A"/>
    <w:rsid w:val="5CF705D0"/>
    <w:rsid w:val="5D355860"/>
    <w:rsid w:val="5D4251AA"/>
    <w:rsid w:val="5D544678"/>
    <w:rsid w:val="5E4F4700"/>
    <w:rsid w:val="5EF64B7B"/>
    <w:rsid w:val="5F48187B"/>
    <w:rsid w:val="5F595B02"/>
    <w:rsid w:val="5F99F6E4"/>
    <w:rsid w:val="5FAF18FA"/>
    <w:rsid w:val="604C4796"/>
    <w:rsid w:val="60971ECF"/>
    <w:rsid w:val="60C06C3D"/>
    <w:rsid w:val="60EA20B9"/>
    <w:rsid w:val="615C23C3"/>
    <w:rsid w:val="616F5B33"/>
    <w:rsid w:val="617701F5"/>
    <w:rsid w:val="618D7A19"/>
    <w:rsid w:val="61DA61FE"/>
    <w:rsid w:val="61DE2C30"/>
    <w:rsid w:val="61F24CBE"/>
    <w:rsid w:val="62337A75"/>
    <w:rsid w:val="62CF5B11"/>
    <w:rsid w:val="62D13F91"/>
    <w:rsid w:val="631141FF"/>
    <w:rsid w:val="63253197"/>
    <w:rsid w:val="6335216A"/>
    <w:rsid w:val="63744A2C"/>
    <w:rsid w:val="638C0289"/>
    <w:rsid w:val="639D203B"/>
    <w:rsid w:val="63FF3C7C"/>
    <w:rsid w:val="640B3388"/>
    <w:rsid w:val="646053A7"/>
    <w:rsid w:val="647A6023"/>
    <w:rsid w:val="64A64951"/>
    <w:rsid w:val="64AD03D2"/>
    <w:rsid w:val="64B41760"/>
    <w:rsid w:val="65270BAA"/>
    <w:rsid w:val="654523B9"/>
    <w:rsid w:val="655A671B"/>
    <w:rsid w:val="656C2F8E"/>
    <w:rsid w:val="65C34CC5"/>
    <w:rsid w:val="65C94D98"/>
    <w:rsid w:val="66205447"/>
    <w:rsid w:val="66322F6D"/>
    <w:rsid w:val="663B30B9"/>
    <w:rsid w:val="66424F6D"/>
    <w:rsid w:val="669D6FF3"/>
    <w:rsid w:val="675A65EF"/>
    <w:rsid w:val="67BA708E"/>
    <w:rsid w:val="67BF6A43"/>
    <w:rsid w:val="67EE6D37"/>
    <w:rsid w:val="68944A78"/>
    <w:rsid w:val="68955405"/>
    <w:rsid w:val="698931BC"/>
    <w:rsid w:val="69BB5960"/>
    <w:rsid w:val="69C47E81"/>
    <w:rsid w:val="69E63CF1"/>
    <w:rsid w:val="69F06D97"/>
    <w:rsid w:val="6AA77936"/>
    <w:rsid w:val="6AAF0230"/>
    <w:rsid w:val="6B1E538B"/>
    <w:rsid w:val="6B6F018F"/>
    <w:rsid w:val="6B7859B5"/>
    <w:rsid w:val="6B841E8D"/>
    <w:rsid w:val="6B881251"/>
    <w:rsid w:val="6BAE516A"/>
    <w:rsid w:val="6BF126E9"/>
    <w:rsid w:val="6C4725B8"/>
    <w:rsid w:val="6C7C5768"/>
    <w:rsid w:val="6CAD23B4"/>
    <w:rsid w:val="6CAF5A41"/>
    <w:rsid w:val="6CB50E74"/>
    <w:rsid w:val="6CC11C89"/>
    <w:rsid w:val="6CF959A5"/>
    <w:rsid w:val="6D170ADE"/>
    <w:rsid w:val="6D1A3AF6"/>
    <w:rsid w:val="6D9C47B6"/>
    <w:rsid w:val="6D9E6B0A"/>
    <w:rsid w:val="6E397C4F"/>
    <w:rsid w:val="6EA6036C"/>
    <w:rsid w:val="6ED924EF"/>
    <w:rsid w:val="6EFC644A"/>
    <w:rsid w:val="6F3068FA"/>
    <w:rsid w:val="6F361728"/>
    <w:rsid w:val="6F450A91"/>
    <w:rsid w:val="6F6E7DDE"/>
    <w:rsid w:val="6F7F46BD"/>
    <w:rsid w:val="6FA7767C"/>
    <w:rsid w:val="6FCF744E"/>
    <w:rsid w:val="70003AAC"/>
    <w:rsid w:val="7015380A"/>
    <w:rsid w:val="70166B54"/>
    <w:rsid w:val="705652A3"/>
    <w:rsid w:val="70BE32C7"/>
    <w:rsid w:val="70DB4FE7"/>
    <w:rsid w:val="71153587"/>
    <w:rsid w:val="716563DC"/>
    <w:rsid w:val="71751FB1"/>
    <w:rsid w:val="71890225"/>
    <w:rsid w:val="71973F9C"/>
    <w:rsid w:val="71A566B9"/>
    <w:rsid w:val="7206286A"/>
    <w:rsid w:val="72AA7EE7"/>
    <w:rsid w:val="72AF69DD"/>
    <w:rsid w:val="72B55021"/>
    <w:rsid w:val="73011EF3"/>
    <w:rsid w:val="73027B3B"/>
    <w:rsid w:val="734E4912"/>
    <w:rsid w:val="738460E5"/>
    <w:rsid w:val="73892EDE"/>
    <w:rsid w:val="73C53042"/>
    <w:rsid w:val="73E01C2A"/>
    <w:rsid w:val="7426410F"/>
    <w:rsid w:val="743B361C"/>
    <w:rsid w:val="743F175E"/>
    <w:rsid w:val="74862C63"/>
    <w:rsid w:val="749409BF"/>
    <w:rsid w:val="74977656"/>
    <w:rsid w:val="74B3733F"/>
    <w:rsid w:val="74B51B1D"/>
    <w:rsid w:val="74BF6C55"/>
    <w:rsid w:val="74D75A6B"/>
    <w:rsid w:val="74F85B27"/>
    <w:rsid w:val="751D0C5C"/>
    <w:rsid w:val="75527D89"/>
    <w:rsid w:val="75B93A72"/>
    <w:rsid w:val="75BE5B78"/>
    <w:rsid w:val="762D4ECF"/>
    <w:rsid w:val="76363F76"/>
    <w:rsid w:val="76702C63"/>
    <w:rsid w:val="76B949B4"/>
    <w:rsid w:val="76C577FD"/>
    <w:rsid w:val="76D65566"/>
    <w:rsid w:val="77020109"/>
    <w:rsid w:val="770C0F88"/>
    <w:rsid w:val="771A5453"/>
    <w:rsid w:val="77640DC4"/>
    <w:rsid w:val="77704DA8"/>
    <w:rsid w:val="77CB0B19"/>
    <w:rsid w:val="78052479"/>
    <w:rsid w:val="782A5B6A"/>
    <w:rsid w:val="783A40EE"/>
    <w:rsid w:val="7856443F"/>
    <w:rsid w:val="785D7F1F"/>
    <w:rsid w:val="787B63C5"/>
    <w:rsid w:val="78BF1A53"/>
    <w:rsid w:val="78D36201"/>
    <w:rsid w:val="78F63C9E"/>
    <w:rsid w:val="795B7F6F"/>
    <w:rsid w:val="796230E1"/>
    <w:rsid w:val="79D80F60"/>
    <w:rsid w:val="79EA1711"/>
    <w:rsid w:val="79FA156C"/>
    <w:rsid w:val="7A737492"/>
    <w:rsid w:val="7A8A3C4A"/>
    <w:rsid w:val="7ADE40A5"/>
    <w:rsid w:val="7AE57B48"/>
    <w:rsid w:val="7AE66834"/>
    <w:rsid w:val="7AEC445C"/>
    <w:rsid w:val="7B3C1EC0"/>
    <w:rsid w:val="7B75006F"/>
    <w:rsid w:val="7B8B4B71"/>
    <w:rsid w:val="7B9559F0"/>
    <w:rsid w:val="7BD171F7"/>
    <w:rsid w:val="7BF41733"/>
    <w:rsid w:val="7C297558"/>
    <w:rsid w:val="7C310CB0"/>
    <w:rsid w:val="7C716ED4"/>
    <w:rsid w:val="7C84032D"/>
    <w:rsid w:val="7D11554A"/>
    <w:rsid w:val="7D3014EE"/>
    <w:rsid w:val="7D6E474B"/>
    <w:rsid w:val="7DC437A0"/>
    <w:rsid w:val="7E0429B9"/>
    <w:rsid w:val="7E0502D0"/>
    <w:rsid w:val="7E885398"/>
    <w:rsid w:val="7EAD3051"/>
    <w:rsid w:val="7EC77340"/>
    <w:rsid w:val="7EDA493C"/>
    <w:rsid w:val="7EFB0EB5"/>
    <w:rsid w:val="7F106850"/>
    <w:rsid w:val="7F196938"/>
    <w:rsid w:val="7F1E7AAB"/>
    <w:rsid w:val="7F2C666B"/>
    <w:rsid w:val="7F370B6C"/>
    <w:rsid w:val="7F5D4A77"/>
    <w:rsid w:val="7F71139D"/>
    <w:rsid w:val="7F71407E"/>
    <w:rsid w:val="7F7B6CAB"/>
    <w:rsid w:val="7F9F2AA4"/>
    <w:rsid w:val="7FBB635F"/>
    <w:rsid w:val="7FCD61BB"/>
    <w:rsid w:val="AEBC8CC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qFormat="1" w:unhideWhenUsed="0" w:uiPriority="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qFormat="1" w:unhideWhenUsed="0" w:uiPriority="99"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99"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62"/>
    <w:qFormat/>
    <w:uiPriority w:val="0"/>
    <w:pPr>
      <w:keepNext/>
      <w:keepLines/>
      <w:spacing w:before="340" w:after="330" w:line="578" w:lineRule="auto"/>
      <w:jc w:val="center"/>
      <w:outlineLvl w:val="0"/>
    </w:pPr>
    <w:rPr>
      <w:rFonts w:eastAsia="仿宋_GB2312"/>
      <w:b/>
      <w:bCs/>
      <w:kern w:val="44"/>
      <w:sz w:val="44"/>
      <w:szCs w:val="44"/>
    </w:rPr>
  </w:style>
  <w:style w:type="paragraph" w:styleId="6">
    <w:name w:val="heading 2"/>
    <w:basedOn w:val="1"/>
    <w:next w:val="1"/>
    <w:link w:val="63"/>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64"/>
    <w:qFormat/>
    <w:uiPriority w:val="0"/>
    <w:pPr>
      <w:keepNext/>
      <w:keepLines/>
      <w:spacing w:before="260" w:after="260" w:line="416" w:lineRule="auto"/>
      <w:outlineLvl w:val="2"/>
    </w:pPr>
    <w:rPr>
      <w:rFonts w:ascii="宋体" w:hAnsi="Courier New"/>
      <w:b/>
      <w:bCs/>
      <w:sz w:val="32"/>
      <w:szCs w:val="32"/>
    </w:rPr>
  </w:style>
  <w:style w:type="paragraph" w:styleId="8">
    <w:name w:val="heading 4"/>
    <w:basedOn w:val="1"/>
    <w:next w:val="1"/>
    <w:link w:val="65"/>
    <w:qFormat/>
    <w:uiPriority w:val="9"/>
    <w:pPr>
      <w:keepNext/>
      <w:keepLines/>
      <w:spacing w:before="280" w:after="290" w:line="376" w:lineRule="auto"/>
      <w:outlineLvl w:val="3"/>
    </w:pPr>
    <w:rPr>
      <w:rFonts w:ascii="Arial" w:hAnsi="Arial" w:eastAsia="黑体"/>
      <w:b/>
      <w:bCs/>
      <w:sz w:val="28"/>
      <w:szCs w:val="28"/>
    </w:rPr>
  </w:style>
  <w:style w:type="paragraph" w:styleId="9">
    <w:name w:val="heading 5"/>
    <w:basedOn w:val="1"/>
    <w:next w:val="10"/>
    <w:link w:val="66"/>
    <w:qFormat/>
    <w:uiPriority w:val="0"/>
    <w:pPr>
      <w:keepNext/>
      <w:keepLines/>
      <w:spacing w:before="280" w:after="290" w:line="376" w:lineRule="auto"/>
      <w:outlineLvl w:val="4"/>
    </w:pPr>
    <w:rPr>
      <w:b/>
      <w:sz w:val="28"/>
    </w:rPr>
  </w:style>
  <w:style w:type="paragraph" w:styleId="11">
    <w:name w:val="heading 6"/>
    <w:basedOn w:val="1"/>
    <w:next w:val="10"/>
    <w:link w:val="68"/>
    <w:qFormat/>
    <w:uiPriority w:val="0"/>
    <w:pPr>
      <w:keepNext/>
      <w:keepLines/>
      <w:spacing w:before="240" w:after="64" w:line="320" w:lineRule="auto"/>
      <w:outlineLvl w:val="5"/>
    </w:pPr>
    <w:rPr>
      <w:rFonts w:ascii="Arial" w:hAnsi="Arial" w:eastAsia="黑体"/>
      <w:b/>
      <w:sz w:val="24"/>
    </w:rPr>
  </w:style>
  <w:style w:type="paragraph" w:styleId="12">
    <w:name w:val="heading 7"/>
    <w:basedOn w:val="1"/>
    <w:next w:val="10"/>
    <w:link w:val="69"/>
    <w:qFormat/>
    <w:uiPriority w:val="99"/>
    <w:pPr>
      <w:keepNext/>
      <w:keepLines/>
      <w:spacing w:before="240" w:after="64" w:line="320" w:lineRule="auto"/>
      <w:outlineLvl w:val="6"/>
    </w:pPr>
    <w:rPr>
      <w:b/>
      <w:sz w:val="24"/>
    </w:rPr>
  </w:style>
  <w:style w:type="paragraph" w:styleId="13">
    <w:name w:val="heading 8"/>
    <w:basedOn w:val="1"/>
    <w:next w:val="10"/>
    <w:link w:val="70"/>
    <w:qFormat/>
    <w:uiPriority w:val="99"/>
    <w:pPr>
      <w:keepNext/>
      <w:keepLines/>
      <w:spacing w:before="240" w:after="64" w:line="320" w:lineRule="auto"/>
      <w:outlineLvl w:val="7"/>
    </w:pPr>
    <w:rPr>
      <w:rFonts w:ascii="Arial" w:hAnsi="Arial" w:eastAsia="黑体"/>
      <w:sz w:val="24"/>
    </w:rPr>
  </w:style>
  <w:style w:type="paragraph" w:styleId="14">
    <w:name w:val="heading 9"/>
    <w:basedOn w:val="1"/>
    <w:next w:val="10"/>
    <w:link w:val="71"/>
    <w:qFormat/>
    <w:uiPriority w:val="99"/>
    <w:pPr>
      <w:keepNext/>
      <w:keepLines/>
      <w:spacing w:before="240" w:after="64" w:line="320" w:lineRule="auto"/>
      <w:outlineLvl w:val="8"/>
    </w:pPr>
    <w:rPr>
      <w:rFonts w:ascii="Arial" w:hAnsi="Arial" w:eastAsia="黑体"/>
    </w:rPr>
  </w:style>
  <w:style w:type="character" w:default="1" w:styleId="52">
    <w:name w:val="Default Paragraph Font"/>
    <w:semiHidden/>
    <w:qFormat/>
    <w:uiPriority w:val="0"/>
  </w:style>
  <w:style w:type="table" w:default="1" w:styleId="49">
    <w:name w:val="Normal Table"/>
    <w:semiHidden/>
    <w:qFormat/>
    <w:uiPriority w:val="0"/>
    <w:tblPr>
      <w:tblCellMar>
        <w:top w:w="0" w:type="dxa"/>
        <w:left w:w="108" w:type="dxa"/>
        <w:bottom w:w="0" w:type="dxa"/>
        <w:right w:w="108" w:type="dxa"/>
      </w:tblCellMar>
    </w:tblPr>
  </w:style>
  <w:style w:type="paragraph" w:styleId="2">
    <w:name w:val="Body Text"/>
    <w:basedOn w:val="1"/>
    <w:next w:val="3"/>
    <w:link w:val="61"/>
    <w:qFormat/>
    <w:uiPriority w:val="99"/>
    <w:pPr>
      <w:spacing w:line="380" w:lineRule="exact"/>
    </w:pPr>
    <w:rPr>
      <w:sz w:val="24"/>
    </w:rPr>
  </w:style>
  <w:style w:type="paragraph" w:customStyle="1" w:styleId="3">
    <w:name w:val="Default"/>
    <w:next w:val="4"/>
    <w:qFormat/>
    <w:uiPriority w:val="0"/>
    <w:pPr>
      <w:widowControl w:val="0"/>
      <w:autoSpaceDE w:val="0"/>
      <w:autoSpaceDN w:val="0"/>
      <w:adjustRightInd w:val="0"/>
      <w:spacing w:line="400" w:lineRule="exact"/>
      <w:ind w:firstLine="200" w:firstLineChars="200"/>
      <w:jc w:val="both"/>
    </w:pPr>
    <w:rPr>
      <w:rFonts w:ascii="宋体" w:hAnsi="Times New Roman" w:eastAsia="宋体" w:cs="宋体"/>
      <w:color w:val="000000"/>
      <w:sz w:val="24"/>
      <w:szCs w:val="24"/>
      <w:lang w:val="en-US" w:eastAsia="zh-CN" w:bidi="ar-SA"/>
    </w:rPr>
  </w:style>
  <w:style w:type="paragraph" w:styleId="4">
    <w:name w:val="Date"/>
    <w:basedOn w:val="1"/>
    <w:next w:val="1"/>
    <w:link w:val="78"/>
    <w:qFormat/>
    <w:uiPriority w:val="99"/>
    <w:pPr>
      <w:ind w:left="100" w:leftChars="2500"/>
    </w:pPr>
    <w:rPr>
      <w:rFonts w:ascii="宋体" w:hAnsi="Courier New" w:cs="Courier New"/>
      <w:szCs w:val="21"/>
    </w:rPr>
  </w:style>
  <w:style w:type="paragraph" w:styleId="10">
    <w:name w:val="Normal Indent"/>
    <w:basedOn w:val="1"/>
    <w:link w:val="67"/>
    <w:qFormat/>
    <w:uiPriority w:val="99"/>
    <w:pPr>
      <w:ind w:firstLine="420"/>
    </w:pPr>
    <w:rPr>
      <w:szCs w:val="20"/>
    </w:rPr>
  </w:style>
  <w:style w:type="paragraph" w:styleId="15">
    <w:name w:val="toc 7"/>
    <w:basedOn w:val="1"/>
    <w:next w:val="1"/>
    <w:qFormat/>
    <w:uiPriority w:val="99"/>
    <w:pPr>
      <w:spacing w:line="360" w:lineRule="auto"/>
      <w:ind w:left="1440" w:firstLine="200" w:firstLineChars="200"/>
      <w:jc w:val="left"/>
    </w:pPr>
    <w:rPr>
      <w:rFonts w:ascii="Calibri" w:hAnsi="Calibri"/>
      <w:sz w:val="20"/>
      <w:szCs w:val="20"/>
    </w:rPr>
  </w:style>
  <w:style w:type="paragraph" w:styleId="16">
    <w:name w:val="table of authorities"/>
    <w:basedOn w:val="1"/>
    <w:next w:val="1"/>
    <w:link w:val="72"/>
    <w:semiHidden/>
    <w:qFormat/>
    <w:uiPriority w:val="0"/>
    <w:pPr>
      <w:ind w:left="420" w:leftChars="200"/>
    </w:pPr>
  </w:style>
  <w:style w:type="paragraph" w:styleId="17">
    <w:name w:val="List Number"/>
    <w:basedOn w:val="1"/>
    <w:qFormat/>
    <w:uiPriority w:val="99"/>
    <w:pPr>
      <w:widowControl/>
      <w:tabs>
        <w:tab w:val="left" w:pos="454"/>
        <w:tab w:val="left" w:pos="720"/>
        <w:tab w:val="left" w:pos="840"/>
      </w:tabs>
      <w:spacing w:afterLines="50"/>
      <w:ind w:left="454" w:hanging="284"/>
      <w:jc w:val="left"/>
    </w:pPr>
    <w:rPr>
      <w:kern w:val="0"/>
      <w:sz w:val="24"/>
      <w:szCs w:val="20"/>
    </w:rPr>
  </w:style>
  <w:style w:type="paragraph" w:styleId="18">
    <w:name w:val="caption"/>
    <w:basedOn w:val="1"/>
    <w:next w:val="1"/>
    <w:qFormat/>
    <w:uiPriority w:val="99"/>
    <w:pPr>
      <w:spacing w:before="152" w:after="160"/>
    </w:pPr>
    <w:rPr>
      <w:rFonts w:ascii="Arial" w:hAnsi="Arial" w:eastAsia="黑体" w:cs="Arial"/>
      <w:sz w:val="20"/>
      <w:szCs w:val="20"/>
    </w:rPr>
  </w:style>
  <w:style w:type="paragraph" w:styleId="19">
    <w:name w:val="Document Map"/>
    <w:basedOn w:val="1"/>
    <w:link w:val="73"/>
    <w:semiHidden/>
    <w:qFormat/>
    <w:uiPriority w:val="99"/>
    <w:pPr>
      <w:shd w:val="clear" w:color="auto" w:fill="000080"/>
    </w:pPr>
  </w:style>
  <w:style w:type="paragraph" w:styleId="20">
    <w:name w:val="annotation text"/>
    <w:basedOn w:val="1"/>
    <w:link w:val="74"/>
    <w:qFormat/>
    <w:uiPriority w:val="99"/>
    <w:pPr>
      <w:jc w:val="left"/>
    </w:pPr>
  </w:style>
  <w:style w:type="paragraph" w:styleId="21">
    <w:name w:val="Body Text 3"/>
    <w:basedOn w:val="1"/>
    <w:link w:val="75"/>
    <w:qFormat/>
    <w:uiPriority w:val="0"/>
    <w:pPr>
      <w:spacing w:line="500" w:lineRule="exact"/>
    </w:pPr>
    <w:rPr>
      <w:b/>
      <w:bCs/>
      <w:sz w:val="24"/>
    </w:rPr>
  </w:style>
  <w:style w:type="paragraph" w:styleId="22">
    <w:name w:val="Body Text Indent"/>
    <w:basedOn w:val="1"/>
    <w:link w:val="76"/>
    <w:qFormat/>
    <w:uiPriority w:val="99"/>
    <w:pPr>
      <w:ind w:firstLine="830" w:firstLineChars="352"/>
    </w:pPr>
    <w:rPr>
      <w:rFonts w:ascii="仿宋_GB2312" w:eastAsia="仿宋_GB2312"/>
      <w:sz w:val="32"/>
      <w:szCs w:val="20"/>
    </w:rPr>
  </w:style>
  <w:style w:type="paragraph" w:styleId="23">
    <w:name w:val="List Number 3"/>
    <w:basedOn w:val="1"/>
    <w:qFormat/>
    <w:uiPriority w:val="99"/>
    <w:pPr>
      <w:tabs>
        <w:tab w:val="left" w:pos="360"/>
      </w:tabs>
      <w:ind w:left="360" w:hanging="360"/>
    </w:pPr>
  </w:style>
  <w:style w:type="paragraph" w:styleId="24">
    <w:name w:val="List 2"/>
    <w:basedOn w:val="1"/>
    <w:qFormat/>
    <w:uiPriority w:val="99"/>
    <w:pPr>
      <w:ind w:left="100" w:leftChars="200" w:hanging="200" w:hangingChars="200"/>
    </w:pPr>
    <w:rPr>
      <w:sz w:val="28"/>
    </w:rPr>
  </w:style>
  <w:style w:type="paragraph" w:styleId="25">
    <w:name w:val="toc 5"/>
    <w:basedOn w:val="1"/>
    <w:next w:val="1"/>
    <w:qFormat/>
    <w:uiPriority w:val="99"/>
    <w:pPr>
      <w:spacing w:line="360" w:lineRule="auto"/>
      <w:ind w:left="960" w:firstLine="200" w:firstLineChars="200"/>
      <w:jc w:val="left"/>
    </w:pPr>
    <w:rPr>
      <w:rFonts w:ascii="Calibri" w:hAnsi="Calibri"/>
      <w:sz w:val="20"/>
      <w:szCs w:val="20"/>
    </w:rPr>
  </w:style>
  <w:style w:type="paragraph" w:styleId="26">
    <w:name w:val="toc 3"/>
    <w:basedOn w:val="1"/>
    <w:next w:val="1"/>
    <w:qFormat/>
    <w:uiPriority w:val="99"/>
    <w:pPr>
      <w:ind w:left="840" w:leftChars="400"/>
    </w:pPr>
  </w:style>
  <w:style w:type="paragraph" w:styleId="27">
    <w:name w:val="Plain Text"/>
    <w:basedOn w:val="1"/>
    <w:next w:val="8"/>
    <w:link w:val="77"/>
    <w:qFormat/>
    <w:uiPriority w:val="0"/>
    <w:rPr>
      <w:rFonts w:ascii="宋体" w:hAnsi="Courier New" w:cs="Courier New"/>
      <w:szCs w:val="21"/>
    </w:rPr>
  </w:style>
  <w:style w:type="paragraph" w:styleId="28">
    <w:name w:val="toc 8"/>
    <w:basedOn w:val="1"/>
    <w:next w:val="1"/>
    <w:qFormat/>
    <w:uiPriority w:val="99"/>
    <w:pPr>
      <w:spacing w:line="360" w:lineRule="auto"/>
      <w:ind w:left="1680" w:firstLine="200" w:firstLineChars="200"/>
      <w:jc w:val="left"/>
    </w:pPr>
    <w:rPr>
      <w:rFonts w:ascii="Calibri" w:hAnsi="Calibri"/>
      <w:sz w:val="20"/>
      <w:szCs w:val="20"/>
    </w:rPr>
  </w:style>
  <w:style w:type="paragraph" w:styleId="29">
    <w:name w:val="Body Text Indent 2"/>
    <w:basedOn w:val="1"/>
    <w:link w:val="79"/>
    <w:qFormat/>
    <w:uiPriority w:val="99"/>
    <w:pPr>
      <w:ind w:firstLine="630"/>
    </w:pPr>
    <w:rPr>
      <w:sz w:val="32"/>
      <w:szCs w:val="20"/>
    </w:rPr>
  </w:style>
  <w:style w:type="paragraph" w:styleId="30">
    <w:name w:val="endnote text"/>
    <w:basedOn w:val="1"/>
    <w:link w:val="80"/>
    <w:qFormat/>
    <w:uiPriority w:val="99"/>
    <w:pPr>
      <w:snapToGrid w:val="0"/>
      <w:spacing w:line="480" w:lineRule="exact"/>
      <w:jc w:val="left"/>
    </w:pPr>
    <w:rPr>
      <w:rFonts w:ascii="微软雅黑" w:hAnsi="微软雅黑" w:eastAsia="微软雅黑"/>
      <w:kern w:val="0"/>
      <w:sz w:val="20"/>
      <w:szCs w:val="20"/>
    </w:rPr>
  </w:style>
  <w:style w:type="paragraph" w:styleId="31">
    <w:name w:val="Balloon Text"/>
    <w:basedOn w:val="1"/>
    <w:link w:val="81"/>
    <w:qFormat/>
    <w:uiPriority w:val="99"/>
    <w:rPr>
      <w:sz w:val="18"/>
      <w:szCs w:val="18"/>
    </w:rPr>
  </w:style>
  <w:style w:type="paragraph" w:styleId="32">
    <w:name w:val="footer"/>
    <w:basedOn w:val="1"/>
    <w:next w:val="1"/>
    <w:link w:val="82"/>
    <w:qFormat/>
    <w:uiPriority w:val="0"/>
    <w:pPr>
      <w:tabs>
        <w:tab w:val="center" w:pos="4153"/>
        <w:tab w:val="right" w:pos="8306"/>
      </w:tabs>
      <w:snapToGrid w:val="0"/>
      <w:jc w:val="left"/>
    </w:pPr>
    <w:rPr>
      <w:sz w:val="18"/>
      <w:szCs w:val="18"/>
    </w:rPr>
  </w:style>
  <w:style w:type="paragraph" w:styleId="33">
    <w:name w:val="header"/>
    <w:basedOn w:val="1"/>
    <w:link w:val="83"/>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link w:val="84"/>
    <w:qFormat/>
    <w:uiPriority w:val="39"/>
  </w:style>
  <w:style w:type="paragraph" w:styleId="35">
    <w:name w:val="toc 4"/>
    <w:basedOn w:val="1"/>
    <w:next w:val="1"/>
    <w:qFormat/>
    <w:uiPriority w:val="99"/>
    <w:pPr>
      <w:spacing w:line="360" w:lineRule="auto"/>
      <w:ind w:left="720" w:firstLine="200" w:firstLineChars="200"/>
      <w:jc w:val="left"/>
    </w:pPr>
    <w:rPr>
      <w:rFonts w:ascii="Calibri" w:hAnsi="Calibri"/>
      <w:sz w:val="20"/>
      <w:szCs w:val="20"/>
    </w:rPr>
  </w:style>
  <w:style w:type="paragraph" w:styleId="36">
    <w:name w:val="Subtitle"/>
    <w:basedOn w:val="1"/>
    <w:next w:val="1"/>
    <w:link w:val="85"/>
    <w:qFormat/>
    <w:uiPriority w:val="99"/>
    <w:pPr>
      <w:widowControl/>
      <w:spacing w:after="200" w:line="276" w:lineRule="auto"/>
      <w:jc w:val="left"/>
    </w:pPr>
    <w:rPr>
      <w:rFonts w:ascii="Cambria" w:hAnsi="Cambria"/>
      <w:i/>
      <w:iCs/>
      <w:color w:val="4F81BD"/>
      <w:spacing w:val="15"/>
      <w:kern w:val="0"/>
      <w:sz w:val="20"/>
      <w:szCs w:val="20"/>
    </w:rPr>
  </w:style>
  <w:style w:type="paragraph" w:styleId="37">
    <w:name w:val="List"/>
    <w:basedOn w:val="1"/>
    <w:qFormat/>
    <w:uiPriority w:val="99"/>
    <w:pPr>
      <w:ind w:left="200" w:hanging="200" w:hangingChars="200"/>
    </w:pPr>
    <w:rPr>
      <w:sz w:val="28"/>
    </w:rPr>
  </w:style>
  <w:style w:type="paragraph" w:styleId="38">
    <w:name w:val="footnote text"/>
    <w:basedOn w:val="1"/>
    <w:link w:val="86"/>
    <w:qFormat/>
    <w:uiPriority w:val="99"/>
    <w:pPr>
      <w:snapToGrid w:val="0"/>
      <w:spacing w:afterLines="50" w:line="360" w:lineRule="auto"/>
      <w:ind w:firstLine="200" w:firstLineChars="200"/>
      <w:jc w:val="left"/>
    </w:pPr>
    <w:rPr>
      <w:rFonts w:ascii="Arial" w:hAnsi="Arial" w:cs="Arial"/>
      <w:kern w:val="0"/>
      <w:sz w:val="18"/>
      <w:szCs w:val="18"/>
    </w:rPr>
  </w:style>
  <w:style w:type="paragraph" w:styleId="39">
    <w:name w:val="toc 6"/>
    <w:basedOn w:val="1"/>
    <w:next w:val="1"/>
    <w:qFormat/>
    <w:uiPriority w:val="99"/>
    <w:pPr>
      <w:spacing w:line="360" w:lineRule="auto"/>
      <w:ind w:left="1200" w:firstLine="200" w:firstLineChars="200"/>
      <w:jc w:val="left"/>
    </w:pPr>
    <w:rPr>
      <w:rFonts w:ascii="Calibri" w:hAnsi="Calibri"/>
      <w:sz w:val="20"/>
      <w:szCs w:val="20"/>
    </w:rPr>
  </w:style>
  <w:style w:type="paragraph" w:styleId="40">
    <w:name w:val="Body Text Indent 3"/>
    <w:basedOn w:val="1"/>
    <w:link w:val="87"/>
    <w:qFormat/>
    <w:uiPriority w:val="99"/>
    <w:pPr>
      <w:spacing w:after="120"/>
      <w:ind w:left="420" w:leftChars="200"/>
    </w:pPr>
    <w:rPr>
      <w:sz w:val="16"/>
      <w:szCs w:val="16"/>
    </w:rPr>
  </w:style>
  <w:style w:type="paragraph" w:styleId="41">
    <w:name w:val="toc 9"/>
    <w:basedOn w:val="1"/>
    <w:next w:val="1"/>
    <w:semiHidden/>
    <w:qFormat/>
    <w:uiPriority w:val="99"/>
    <w:pPr>
      <w:tabs>
        <w:tab w:val="right" w:leader="dot" w:pos="9185"/>
      </w:tabs>
      <w:spacing w:line="420" w:lineRule="exact"/>
      <w:ind w:firstLine="422" w:firstLineChars="200"/>
      <w:jc w:val="left"/>
      <w:outlineLvl w:val="0"/>
    </w:pPr>
    <w:rPr>
      <w:b/>
    </w:rPr>
  </w:style>
  <w:style w:type="paragraph" w:styleId="42">
    <w:name w:val="Body Text 2"/>
    <w:basedOn w:val="1"/>
    <w:link w:val="88"/>
    <w:qFormat/>
    <w:uiPriority w:val="99"/>
    <w:pPr>
      <w:spacing w:after="120" w:line="480" w:lineRule="auto"/>
    </w:pPr>
  </w:style>
  <w:style w:type="paragraph" w:styleId="43">
    <w:name w:val="HTML Preformatted"/>
    <w:basedOn w:val="1"/>
    <w:link w:val="8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0"/>
      <w:szCs w:val="20"/>
    </w:rPr>
  </w:style>
  <w:style w:type="paragraph" w:styleId="44">
    <w:name w:val="Normal (Web)"/>
    <w:basedOn w:val="1"/>
    <w:qFormat/>
    <w:uiPriority w:val="99"/>
    <w:pPr>
      <w:widowControl/>
      <w:spacing w:before="100" w:beforeAutospacing="1" w:after="100" w:afterAutospacing="1"/>
      <w:jc w:val="left"/>
    </w:pPr>
    <w:rPr>
      <w:rFonts w:ascii="宋体" w:hAnsi="宋体"/>
      <w:kern w:val="0"/>
      <w:sz w:val="24"/>
    </w:rPr>
  </w:style>
  <w:style w:type="paragraph" w:styleId="45">
    <w:name w:val="index 1"/>
    <w:basedOn w:val="1"/>
    <w:next w:val="1"/>
    <w:qFormat/>
    <w:uiPriority w:val="99"/>
  </w:style>
  <w:style w:type="paragraph" w:styleId="46">
    <w:name w:val="Title"/>
    <w:basedOn w:val="1"/>
    <w:next w:val="1"/>
    <w:link w:val="90"/>
    <w:qFormat/>
    <w:uiPriority w:val="99"/>
    <w:pPr>
      <w:spacing w:line="300" w:lineRule="auto"/>
      <w:ind w:left="100" w:leftChars="100" w:right="100" w:rightChars="100" w:firstLine="200" w:firstLineChars="200"/>
      <w:jc w:val="left"/>
      <w:outlineLvl w:val="0"/>
    </w:pPr>
    <w:rPr>
      <w:rFonts w:ascii="Cambria" w:hAnsi="Cambria" w:eastAsia="方正小标宋_GBK"/>
      <w:b/>
      <w:bCs/>
      <w:kern w:val="0"/>
      <w:sz w:val="44"/>
      <w:szCs w:val="32"/>
    </w:rPr>
  </w:style>
  <w:style w:type="paragraph" w:styleId="47">
    <w:name w:val="annotation subject"/>
    <w:basedOn w:val="20"/>
    <w:next w:val="20"/>
    <w:link w:val="91"/>
    <w:qFormat/>
    <w:uiPriority w:val="99"/>
    <w:rPr>
      <w:b/>
      <w:bCs/>
    </w:rPr>
  </w:style>
  <w:style w:type="paragraph" w:styleId="48">
    <w:name w:val="Body Text First Indent 2"/>
    <w:basedOn w:val="22"/>
    <w:link w:val="92"/>
    <w:qFormat/>
    <w:uiPriority w:val="99"/>
    <w:pPr>
      <w:spacing w:after="120"/>
      <w:ind w:left="420" w:leftChars="200" w:firstLine="420" w:firstLineChars="200"/>
    </w:pPr>
    <w:rPr>
      <w:rFonts w:ascii="Times New Roman" w:eastAsia="宋体"/>
      <w:sz w:val="21"/>
      <w:szCs w:val="24"/>
    </w:rPr>
  </w:style>
  <w:style w:type="table" w:styleId="50">
    <w:name w:val="Table Grid"/>
    <w:basedOn w:val="4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51">
    <w:name w:val="Table Theme"/>
    <w:basedOn w:val="49"/>
    <w:qFormat/>
    <w:uiPriority w:val="0"/>
    <w:pPr>
      <w:widowControl w:val="0"/>
      <w:spacing w:line="400" w:lineRule="exact"/>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22"/>
    <w:rPr>
      <w:b/>
      <w:bCs/>
    </w:rPr>
  </w:style>
  <w:style w:type="character" w:styleId="54">
    <w:name w:val="endnote reference"/>
    <w:qFormat/>
    <w:uiPriority w:val="0"/>
    <w:rPr>
      <w:vertAlign w:val="superscript"/>
    </w:rPr>
  </w:style>
  <w:style w:type="character" w:styleId="55">
    <w:name w:val="page number"/>
    <w:qFormat/>
    <w:uiPriority w:val="0"/>
  </w:style>
  <w:style w:type="character" w:styleId="56">
    <w:name w:val="FollowedHyperlink"/>
    <w:qFormat/>
    <w:uiPriority w:val="0"/>
    <w:rPr>
      <w:color w:val="800080"/>
      <w:u w:val="single"/>
    </w:rPr>
  </w:style>
  <w:style w:type="character" w:styleId="57">
    <w:name w:val="Emphasis"/>
    <w:qFormat/>
    <w:uiPriority w:val="0"/>
    <w:rPr>
      <w:color w:val="CC0033"/>
    </w:rPr>
  </w:style>
  <w:style w:type="character" w:styleId="58">
    <w:name w:val="Hyperlink"/>
    <w:qFormat/>
    <w:uiPriority w:val="0"/>
    <w:rPr>
      <w:color w:val="0000FF"/>
      <w:u w:val="single"/>
    </w:rPr>
  </w:style>
  <w:style w:type="character" w:styleId="59">
    <w:name w:val="annotation reference"/>
    <w:qFormat/>
    <w:uiPriority w:val="99"/>
    <w:rPr>
      <w:sz w:val="21"/>
      <w:szCs w:val="21"/>
    </w:rPr>
  </w:style>
  <w:style w:type="character" w:styleId="60">
    <w:name w:val="footnote reference"/>
    <w:qFormat/>
    <w:uiPriority w:val="0"/>
    <w:rPr>
      <w:vertAlign w:val="superscript"/>
    </w:rPr>
  </w:style>
  <w:style w:type="character" w:customStyle="1" w:styleId="61">
    <w:name w:val="正文文本 字符"/>
    <w:link w:val="2"/>
    <w:qFormat/>
    <w:uiPriority w:val="99"/>
    <w:rPr>
      <w:kern w:val="2"/>
      <w:sz w:val="24"/>
      <w:szCs w:val="24"/>
    </w:rPr>
  </w:style>
  <w:style w:type="character" w:customStyle="1" w:styleId="62">
    <w:name w:val="标题 1 字符"/>
    <w:link w:val="5"/>
    <w:qFormat/>
    <w:uiPriority w:val="0"/>
    <w:rPr>
      <w:rFonts w:eastAsia="仿宋_GB2312"/>
      <w:b/>
      <w:bCs/>
      <w:kern w:val="44"/>
      <w:sz w:val="44"/>
      <w:szCs w:val="44"/>
      <w:lang w:val="en-US" w:eastAsia="zh-CN" w:bidi="ar-SA"/>
    </w:rPr>
  </w:style>
  <w:style w:type="character" w:customStyle="1" w:styleId="63">
    <w:name w:val="标题 2 字符"/>
    <w:link w:val="6"/>
    <w:qFormat/>
    <w:uiPriority w:val="0"/>
    <w:rPr>
      <w:rFonts w:ascii="Arial" w:hAnsi="Arial" w:eastAsia="黑体"/>
      <w:b/>
      <w:bCs/>
      <w:kern w:val="2"/>
      <w:sz w:val="32"/>
      <w:szCs w:val="32"/>
      <w:lang w:val="en-US" w:eastAsia="zh-CN" w:bidi="ar-SA"/>
    </w:rPr>
  </w:style>
  <w:style w:type="character" w:customStyle="1" w:styleId="64">
    <w:name w:val="标题 3 字符"/>
    <w:link w:val="7"/>
    <w:qFormat/>
    <w:uiPriority w:val="0"/>
    <w:rPr>
      <w:rFonts w:ascii="宋体" w:hAnsi="Courier New" w:eastAsia="宋体"/>
      <w:b/>
      <w:bCs/>
      <w:kern w:val="2"/>
      <w:sz w:val="32"/>
      <w:szCs w:val="32"/>
      <w:lang w:val="en-US" w:eastAsia="zh-CN" w:bidi="ar-SA"/>
    </w:rPr>
  </w:style>
  <w:style w:type="character" w:customStyle="1" w:styleId="65">
    <w:name w:val="标题 4 字符"/>
    <w:link w:val="8"/>
    <w:qFormat/>
    <w:locked/>
    <w:uiPriority w:val="9"/>
    <w:rPr>
      <w:rFonts w:ascii="Arial" w:hAnsi="Arial" w:eastAsia="黑体"/>
      <w:b/>
      <w:bCs/>
      <w:kern w:val="2"/>
      <w:sz w:val="28"/>
      <w:szCs w:val="28"/>
      <w:lang w:val="en-US" w:eastAsia="zh-CN" w:bidi="ar-SA"/>
    </w:rPr>
  </w:style>
  <w:style w:type="character" w:customStyle="1" w:styleId="66">
    <w:name w:val="标题 5 字符"/>
    <w:link w:val="9"/>
    <w:qFormat/>
    <w:locked/>
    <w:uiPriority w:val="0"/>
    <w:rPr>
      <w:rFonts w:eastAsia="宋体"/>
      <w:b/>
      <w:kern w:val="2"/>
      <w:sz w:val="28"/>
      <w:szCs w:val="24"/>
      <w:lang w:bidi="ar-SA"/>
    </w:rPr>
  </w:style>
  <w:style w:type="character" w:customStyle="1" w:styleId="67">
    <w:name w:val="正文缩进 字符"/>
    <w:link w:val="10"/>
    <w:qFormat/>
    <w:locked/>
    <w:uiPriority w:val="99"/>
    <w:rPr>
      <w:rFonts w:eastAsia="宋体"/>
      <w:kern w:val="2"/>
      <w:sz w:val="21"/>
      <w:lang w:val="en-US" w:eastAsia="zh-CN" w:bidi="ar-SA"/>
    </w:rPr>
  </w:style>
  <w:style w:type="character" w:customStyle="1" w:styleId="68">
    <w:name w:val="标题 6 字符"/>
    <w:link w:val="11"/>
    <w:qFormat/>
    <w:locked/>
    <w:uiPriority w:val="0"/>
    <w:rPr>
      <w:rFonts w:ascii="Arial" w:hAnsi="Arial" w:eastAsia="黑体"/>
      <w:b/>
      <w:kern w:val="2"/>
      <w:sz w:val="24"/>
      <w:szCs w:val="24"/>
      <w:lang w:bidi="ar-SA"/>
    </w:rPr>
  </w:style>
  <w:style w:type="character" w:customStyle="1" w:styleId="69">
    <w:name w:val="标题 7 字符"/>
    <w:link w:val="12"/>
    <w:qFormat/>
    <w:locked/>
    <w:uiPriority w:val="99"/>
    <w:rPr>
      <w:rFonts w:eastAsia="宋体"/>
      <w:b/>
      <w:kern w:val="2"/>
      <w:sz w:val="24"/>
      <w:szCs w:val="24"/>
      <w:lang w:bidi="ar-SA"/>
    </w:rPr>
  </w:style>
  <w:style w:type="character" w:customStyle="1" w:styleId="70">
    <w:name w:val="标题 8 字符"/>
    <w:link w:val="13"/>
    <w:qFormat/>
    <w:locked/>
    <w:uiPriority w:val="99"/>
    <w:rPr>
      <w:rFonts w:ascii="Arial" w:hAnsi="Arial" w:eastAsia="黑体"/>
      <w:kern w:val="2"/>
      <w:sz w:val="24"/>
      <w:szCs w:val="24"/>
      <w:lang w:bidi="ar-SA"/>
    </w:rPr>
  </w:style>
  <w:style w:type="character" w:customStyle="1" w:styleId="71">
    <w:name w:val="标题 9 字符"/>
    <w:link w:val="14"/>
    <w:qFormat/>
    <w:locked/>
    <w:uiPriority w:val="99"/>
    <w:rPr>
      <w:rFonts w:ascii="Arial" w:hAnsi="Arial" w:eastAsia="黑体"/>
      <w:kern w:val="2"/>
      <w:sz w:val="21"/>
      <w:szCs w:val="24"/>
      <w:lang w:bidi="ar-SA"/>
    </w:rPr>
  </w:style>
  <w:style w:type="character" w:customStyle="1" w:styleId="72">
    <w:name w:val="引文目录 字符"/>
    <w:link w:val="16"/>
    <w:qFormat/>
    <w:uiPriority w:val="0"/>
    <w:rPr>
      <w:rFonts w:eastAsia="宋体"/>
      <w:kern w:val="2"/>
      <w:sz w:val="21"/>
      <w:szCs w:val="24"/>
      <w:lang w:val="en-US" w:eastAsia="zh-CN" w:bidi="ar-SA"/>
    </w:rPr>
  </w:style>
  <w:style w:type="character" w:customStyle="1" w:styleId="73">
    <w:name w:val="文档结构图 字符"/>
    <w:link w:val="19"/>
    <w:qFormat/>
    <w:locked/>
    <w:uiPriority w:val="99"/>
    <w:rPr>
      <w:rFonts w:eastAsia="宋体"/>
      <w:kern w:val="2"/>
      <w:sz w:val="21"/>
      <w:szCs w:val="24"/>
      <w:lang w:val="en-US" w:eastAsia="zh-CN" w:bidi="ar-SA"/>
    </w:rPr>
  </w:style>
  <w:style w:type="character" w:customStyle="1" w:styleId="74">
    <w:name w:val="批注文字 字符"/>
    <w:link w:val="20"/>
    <w:qFormat/>
    <w:locked/>
    <w:uiPriority w:val="99"/>
    <w:rPr>
      <w:rFonts w:eastAsia="宋体"/>
      <w:kern w:val="2"/>
      <w:sz w:val="21"/>
      <w:szCs w:val="24"/>
      <w:lang w:val="en-US" w:eastAsia="zh-CN" w:bidi="ar-SA"/>
    </w:rPr>
  </w:style>
  <w:style w:type="character" w:customStyle="1" w:styleId="75">
    <w:name w:val="正文文本 3 字符"/>
    <w:link w:val="21"/>
    <w:qFormat/>
    <w:uiPriority w:val="0"/>
    <w:rPr>
      <w:b/>
      <w:bCs/>
      <w:kern w:val="2"/>
      <w:sz w:val="24"/>
      <w:szCs w:val="24"/>
    </w:rPr>
  </w:style>
  <w:style w:type="character" w:customStyle="1" w:styleId="76">
    <w:name w:val="正文文本缩进 字符"/>
    <w:link w:val="22"/>
    <w:qFormat/>
    <w:uiPriority w:val="99"/>
    <w:rPr>
      <w:rFonts w:ascii="仿宋_GB2312" w:eastAsia="仿宋_GB2312"/>
      <w:kern w:val="2"/>
      <w:sz w:val="32"/>
      <w:lang w:val="en-US" w:eastAsia="zh-CN" w:bidi="ar-SA"/>
    </w:rPr>
  </w:style>
  <w:style w:type="character" w:customStyle="1" w:styleId="77">
    <w:name w:val="纯文本 字符1"/>
    <w:link w:val="27"/>
    <w:qFormat/>
    <w:uiPriority w:val="99"/>
    <w:rPr>
      <w:rFonts w:ascii="宋体" w:hAnsi="Courier New" w:eastAsia="宋体" w:cs="Courier New"/>
      <w:kern w:val="2"/>
      <w:sz w:val="21"/>
      <w:szCs w:val="21"/>
      <w:lang w:val="en-US" w:eastAsia="zh-CN" w:bidi="ar-SA"/>
    </w:rPr>
  </w:style>
  <w:style w:type="character" w:customStyle="1" w:styleId="78">
    <w:name w:val="日期 字符"/>
    <w:link w:val="4"/>
    <w:qFormat/>
    <w:locked/>
    <w:uiPriority w:val="99"/>
    <w:rPr>
      <w:rFonts w:ascii="宋体" w:hAnsi="Courier New" w:eastAsia="宋体" w:cs="Courier New"/>
      <w:kern w:val="2"/>
      <w:sz w:val="21"/>
      <w:szCs w:val="21"/>
      <w:lang w:val="en-US" w:eastAsia="zh-CN" w:bidi="ar-SA"/>
    </w:rPr>
  </w:style>
  <w:style w:type="character" w:customStyle="1" w:styleId="79">
    <w:name w:val="正文文本缩进 2 字符"/>
    <w:link w:val="29"/>
    <w:qFormat/>
    <w:uiPriority w:val="99"/>
    <w:rPr>
      <w:kern w:val="2"/>
      <w:sz w:val="32"/>
    </w:rPr>
  </w:style>
  <w:style w:type="character" w:customStyle="1" w:styleId="80">
    <w:name w:val="尾注文本 字符"/>
    <w:link w:val="30"/>
    <w:semiHidden/>
    <w:qFormat/>
    <w:locked/>
    <w:uiPriority w:val="99"/>
    <w:rPr>
      <w:rFonts w:ascii="微软雅黑" w:hAnsi="微软雅黑" w:eastAsia="微软雅黑"/>
      <w:lang w:bidi="ar-SA"/>
    </w:rPr>
  </w:style>
  <w:style w:type="character" w:customStyle="1" w:styleId="81">
    <w:name w:val="批注框文本 字符"/>
    <w:link w:val="31"/>
    <w:qFormat/>
    <w:locked/>
    <w:uiPriority w:val="99"/>
    <w:rPr>
      <w:rFonts w:eastAsia="宋体"/>
      <w:kern w:val="2"/>
      <w:sz w:val="18"/>
      <w:szCs w:val="18"/>
      <w:lang w:val="en-US" w:eastAsia="zh-CN" w:bidi="ar-SA"/>
    </w:rPr>
  </w:style>
  <w:style w:type="character" w:customStyle="1" w:styleId="82">
    <w:name w:val="页脚 字符"/>
    <w:link w:val="32"/>
    <w:qFormat/>
    <w:uiPriority w:val="99"/>
    <w:rPr>
      <w:rFonts w:eastAsia="宋体"/>
      <w:kern w:val="2"/>
      <w:sz w:val="18"/>
      <w:szCs w:val="18"/>
      <w:lang w:val="en-US" w:eastAsia="zh-CN" w:bidi="ar-SA"/>
    </w:rPr>
  </w:style>
  <w:style w:type="character" w:customStyle="1" w:styleId="83">
    <w:name w:val="页眉 字符"/>
    <w:link w:val="33"/>
    <w:qFormat/>
    <w:uiPriority w:val="99"/>
    <w:rPr>
      <w:rFonts w:eastAsia="宋体"/>
      <w:kern w:val="2"/>
      <w:sz w:val="18"/>
      <w:szCs w:val="18"/>
      <w:lang w:val="en-US" w:eastAsia="zh-CN" w:bidi="ar-SA"/>
    </w:rPr>
  </w:style>
  <w:style w:type="character" w:customStyle="1" w:styleId="84">
    <w:name w:val="TOC 1 字符"/>
    <w:link w:val="34"/>
    <w:qFormat/>
    <w:uiPriority w:val="39"/>
    <w:rPr>
      <w:kern w:val="2"/>
      <w:sz w:val="21"/>
      <w:szCs w:val="24"/>
    </w:rPr>
  </w:style>
  <w:style w:type="character" w:customStyle="1" w:styleId="85">
    <w:name w:val="副标题 字符"/>
    <w:link w:val="36"/>
    <w:qFormat/>
    <w:locked/>
    <w:uiPriority w:val="99"/>
    <w:rPr>
      <w:rFonts w:ascii="Cambria" w:hAnsi="Cambria" w:eastAsia="宋体"/>
      <w:i/>
      <w:iCs/>
      <w:color w:val="4F81BD"/>
      <w:spacing w:val="15"/>
      <w:lang w:bidi="ar-SA"/>
    </w:rPr>
  </w:style>
  <w:style w:type="character" w:customStyle="1" w:styleId="86">
    <w:name w:val="脚注文本 字符"/>
    <w:link w:val="38"/>
    <w:qFormat/>
    <w:locked/>
    <w:uiPriority w:val="99"/>
    <w:rPr>
      <w:rFonts w:ascii="Arial" w:hAnsi="Arial" w:eastAsia="宋体" w:cs="Arial"/>
      <w:sz w:val="18"/>
      <w:szCs w:val="18"/>
      <w:lang w:bidi="ar-SA"/>
    </w:rPr>
  </w:style>
  <w:style w:type="character" w:customStyle="1" w:styleId="87">
    <w:name w:val="正文文本缩进 3 字符"/>
    <w:link w:val="40"/>
    <w:qFormat/>
    <w:uiPriority w:val="99"/>
    <w:rPr>
      <w:rFonts w:eastAsia="宋体"/>
      <w:kern w:val="2"/>
      <w:sz w:val="16"/>
      <w:szCs w:val="16"/>
      <w:lang w:val="en-US" w:eastAsia="zh-CN" w:bidi="ar-SA"/>
    </w:rPr>
  </w:style>
  <w:style w:type="character" w:customStyle="1" w:styleId="88">
    <w:name w:val="正文文本 2 字符"/>
    <w:link w:val="42"/>
    <w:qFormat/>
    <w:uiPriority w:val="99"/>
    <w:rPr>
      <w:kern w:val="2"/>
      <w:sz w:val="21"/>
      <w:szCs w:val="24"/>
    </w:rPr>
  </w:style>
  <w:style w:type="character" w:customStyle="1" w:styleId="89">
    <w:name w:val="HTML 预设格式 字符"/>
    <w:link w:val="43"/>
    <w:qFormat/>
    <w:locked/>
    <w:uiPriority w:val="0"/>
    <w:rPr>
      <w:rFonts w:ascii="Arial" w:hAnsi="Arial" w:cs="Arial"/>
      <w:lang w:bidi="ar-SA"/>
    </w:rPr>
  </w:style>
  <w:style w:type="character" w:customStyle="1" w:styleId="90">
    <w:name w:val="标题 字符"/>
    <w:link w:val="46"/>
    <w:qFormat/>
    <w:locked/>
    <w:uiPriority w:val="99"/>
    <w:rPr>
      <w:rFonts w:ascii="Cambria" w:hAnsi="Cambria" w:eastAsia="方正小标宋_GBK"/>
      <w:b/>
      <w:bCs/>
      <w:sz w:val="44"/>
      <w:szCs w:val="32"/>
    </w:rPr>
  </w:style>
  <w:style w:type="character" w:customStyle="1" w:styleId="91">
    <w:name w:val="批注主题 字符"/>
    <w:link w:val="47"/>
    <w:qFormat/>
    <w:locked/>
    <w:uiPriority w:val="99"/>
    <w:rPr>
      <w:rFonts w:eastAsia="宋体"/>
      <w:b/>
      <w:bCs/>
      <w:kern w:val="2"/>
      <w:sz w:val="21"/>
      <w:szCs w:val="24"/>
      <w:lang w:val="en-US" w:eastAsia="zh-CN" w:bidi="ar-SA"/>
    </w:rPr>
  </w:style>
  <w:style w:type="character" w:customStyle="1" w:styleId="92">
    <w:name w:val="正文文本首行缩进 2 字符"/>
    <w:link w:val="48"/>
    <w:qFormat/>
    <w:uiPriority w:val="99"/>
    <w:rPr>
      <w:rFonts w:ascii="仿宋_GB2312" w:eastAsia="仿宋_GB2312"/>
      <w:kern w:val="2"/>
      <w:sz w:val="21"/>
      <w:szCs w:val="24"/>
      <w:lang w:val="en-US" w:eastAsia="zh-CN" w:bidi="ar-SA"/>
    </w:rPr>
  </w:style>
  <w:style w:type="character" w:customStyle="1" w:styleId="93">
    <w:name w:val="OK Char1"/>
    <w:link w:val="94"/>
    <w:qFormat/>
    <w:locked/>
    <w:uiPriority w:val="0"/>
    <w:rPr>
      <w:rFonts w:ascii="宋体" w:hAnsi="宋体" w:eastAsia="宋体"/>
      <w:bCs/>
      <w:lang w:bidi="ar-SA"/>
    </w:rPr>
  </w:style>
  <w:style w:type="paragraph" w:customStyle="1" w:styleId="94">
    <w:name w:val="OK"/>
    <w:basedOn w:val="1"/>
    <w:link w:val="93"/>
    <w:qFormat/>
    <w:uiPriority w:val="0"/>
    <w:pPr>
      <w:spacing w:line="400" w:lineRule="exact"/>
      <w:ind w:firstLine="200" w:firstLineChars="200"/>
      <w:jc w:val="left"/>
    </w:pPr>
    <w:rPr>
      <w:rFonts w:ascii="宋体" w:hAnsi="宋体"/>
      <w:bCs/>
      <w:kern w:val="0"/>
      <w:sz w:val="20"/>
      <w:szCs w:val="20"/>
    </w:rPr>
  </w:style>
  <w:style w:type="character" w:customStyle="1" w:styleId="95">
    <w:name w:val="Char Char21"/>
    <w:qFormat/>
    <w:locked/>
    <w:uiPriority w:val="0"/>
    <w:rPr>
      <w:rFonts w:ascii="Arial" w:hAnsi="Arial" w:eastAsia="微软雅黑"/>
      <w:b/>
      <w:sz w:val="28"/>
      <w:szCs w:val="28"/>
      <w:lang w:bidi="ar-SA"/>
    </w:rPr>
  </w:style>
  <w:style w:type="character" w:customStyle="1" w:styleId="96">
    <w:name w:val="1ji Char"/>
    <w:link w:val="97"/>
    <w:qFormat/>
    <w:uiPriority w:val="0"/>
    <w:rPr>
      <w:rFonts w:ascii="宋体" w:hAnsi="宋体" w:eastAsia="仿宋_GB2312"/>
      <w:b/>
      <w:bCs/>
      <w:kern w:val="44"/>
      <w:sz w:val="36"/>
      <w:szCs w:val="44"/>
      <w:lang w:val="en-US" w:eastAsia="zh-CN" w:bidi="ar-SA"/>
    </w:rPr>
  </w:style>
  <w:style w:type="paragraph" w:customStyle="1" w:styleId="97">
    <w:name w:val="1ji"/>
    <w:basedOn w:val="5"/>
    <w:link w:val="96"/>
    <w:qFormat/>
    <w:uiPriority w:val="0"/>
    <w:pPr>
      <w:keepLines w:val="0"/>
      <w:widowControl/>
      <w:spacing w:before="0" w:after="0" w:line="240" w:lineRule="auto"/>
    </w:pPr>
    <w:rPr>
      <w:rFonts w:ascii="宋体" w:hAnsi="宋体"/>
      <w:sz w:val="36"/>
    </w:rPr>
  </w:style>
  <w:style w:type="character" w:customStyle="1" w:styleId="98">
    <w:name w:val="Heading 3 Char"/>
    <w:qFormat/>
    <w:locked/>
    <w:uiPriority w:val="0"/>
    <w:rPr>
      <w:rFonts w:ascii="Cambria" w:hAnsi="Cambria" w:eastAsia="宋体"/>
      <w:b/>
      <w:bCs/>
      <w:kern w:val="2"/>
      <w:sz w:val="24"/>
      <w:szCs w:val="32"/>
      <w:lang w:val="en-US" w:eastAsia="zh-CN" w:bidi="ar-SA"/>
    </w:rPr>
  </w:style>
  <w:style w:type="character" w:customStyle="1" w:styleId="99">
    <w:name w:val="明显强调1"/>
    <w:qFormat/>
    <w:uiPriority w:val="0"/>
    <w:rPr>
      <w:b/>
      <w:bCs/>
      <w:i/>
      <w:iCs/>
      <w:color w:val="4F81BD"/>
    </w:rPr>
  </w:style>
  <w:style w:type="character" w:customStyle="1" w:styleId="100">
    <w:name w:val="ca-72"/>
    <w:qFormat/>
    <w:uiPriority w:val="0"/>
  </w:style>
  <w:style w:type="character" w:customStyle="1" w:styleId="101">
    <w:name w:val="明显引用字符"/>
    <w:link w:val="102"/>
    <w:qFormat/>
    <w:locked/>
    <w:uiPriority w:val="0"/>
    <w:rPr>
      <w:rFonts w:ascii="Arial" w:hAnsi="Arial" w:cs="Arial"/>
      <w:b/>
      <w:bCs/>
      <w:i/>
      <w:iCs/>
      <w:color w:val="4F81BD"/>
      <w:lang w:bidi="ar-SA"/>
    </w:rPr>
  </w:style>
  <w:style w:type="paragraph" w:customStyle="1" w:styleId="102">
    <w:name w:val="明显引用1"/>
    <w:basedOn w:val="1"/>
    <w:next w:val="1"/>
    <w:link w:val="101"/>
    <w:qFormat/>
    <w:uiPriority w:val="0"/>
    <w:pPr>
      <w:pBdr>
        <w:bottom w:val="single" w:color="4F81BD" w:sz="4" w:space="4"/>
      </w:pBdr>
      <w:spacing w:before="200" w:line="360" w:lineRule="auto"/>
      <w:ind w:left="936" w:right="936" w:firstLine="200" w:firstLineChars="200"/>
      <w:jc w:val="left"/>
    </w:pPr>
    <w:rPr>
      <w:rFonts w:ascii="Arial" w:hAnsi="Arial" w:cs="Arial"/>
      <w:b/>
      <w:bCs/>
      <w:i/>
      <w:iCs/>
      <w:color w:val="4F81BD"/>
      <w:kern w:val="0"/>
      <w:sz w:val="20"/>
      <w:szCs w:val="20"/>
    </w:rPr>
  </w:style>
  <w:style w:type="character" w:customStyle="1" w:styleId="103">
    <w:name w:val="font201"/>
    <w:qFormat/>
    <w:uiPriority w:val="0"/>
    <w:rPr>
      <w:rFonts w:hint="default" w:ascii="Times New Roman" w:hAnsi="Times New Roman" w:cs="Times New Roman"/>
      <w:color w:val="000000"/>
      <w:sz w:val="21"/>
      <w:szCs w:val="21"/>
      <w:u w:val="none"/>
    </w:rPr>
  </w:style>
  <w:style w:type="character" w:customStyle="1" w:styleId="104">
    <w:name w:val="style31"/>
    <w:qFormat/>
    <w:uiPriority w:val="0"/>
    <w:rPr>
      <w:b/>
      <w:bCs/>
      <w:color w:val="FFFFFF"/>
    </w:rPr>
  </w:style>
  <w:style w:type="character" w:customStyle="1" w:styleId="105">
    <w:name w:val="GTA正文-2 Char Char"/>
    <w:qFormat/>
    <w:locked/>
    <w:uiPriority w:val="0"/>
    <w:rPr>
      <w:rFonts w:hint="default" w:ascii="Arial" w:hAnsi="Arial" w:eastAsia="微软雅黑" w:cs="Arial"/>
      <w:sz w:val="24"/>
    </w:rPr>
  </w:style>
  <w:style w:type="character" w:customStyle="1" w:styleId="106">
    <w:name w:val="GTA标题5 Char"/>
    <w:link w:val="107"/>
    <w:qFormat/>
    <w:locked/>
    <w:uiPriority w:val="0"/>
    <w:rPr>
      <w:rFonts w:ascii="Arial" w:hAnsi="Arial" w:eastAsia="楷体_GB2312"/>
      <w:b/>
      <w:bCs/>
      <w:sz w:val="21"/>
      <w:szCs w:val="21"/>
      <w:lang w:bidi="ar-SA"/>
    </w:rPr>
  </w:style>
  <w:style w:type="paragraph" w:customStyle="1" w:styleId="107">
    <w:name w:val="GTA标题5"/>
    <w:basedOn w:val="9"/>
    <w:link w:val="106"/>
    <w:qFormat/>
    <w:uiPriority w:val="0"/>
    <w:pPr>
      <w:tabs>
        <w:tab w:val="left" w:pos="360"/>
      </w:tabs>
      <w:spacing w:beforeLines="75" w:afterLines="50" w:line="360" w:lineRule="auto"/>
      <w:ind w:left="360" w:hanging="360"/>
    </w:pPr>
    <w:rPr>
      <w:rFonts w:ascii="Arial" w:hAnsi="Arial" w:eastAsia="楷体_GB2312"/>
      <w:bCs/>
      <w:kern w:val="0"/>
      <w:sz w:val="21"/>
      <w:szCs w:val="21"/>
    </w:rPr>
  </w:style>
  <w:style w:type="character" w:customStyle="1" w:styleId="108">
    <w:name w:val="Heading 1 Char"/>
    <w:qFormat/>
    <w:locked/>
    <w:uiPriority w:val="0"/>
    <w:rPr>
      <w:rFonts w:ascii="Arial" w:hAnsi="Arial" w:eastAsia="宋体"/>
      <w:b/>
      <w:bCs/>
      <w:kern w:val="44"/>
      <w:sz w:val="28"/>
      <w:szCs w:val="44"/>
      <w:lang w:val="zh-CN" w:eastAsia="zh-CN" w:bidi="ar-SA"/>
    </w:rPr>
  </w:style>
  <w:style w:type="character" w:customStyle="1" w:styleId="109">
    <w:name w:val="Char Char8"/>
    <w:qFormat/>
    <w:locked/>
    <w:uiPriority w:val="0"/>
    <w:rPr>
      <w:rFonts w:ascii="宋体" w:hAnsi="宋体" w:eastAsia="宋体"/>
      <w:kern w:val="2"/>
      <w:sz w:val="21"/>
      <w:szCs w:val="24"/>
      <w:lang w:val="en-US" w:eastAsia="zh-CN" w:bidi="ar-SA"/>
    </w:rPr>
  </w:style>
  <w:style w:type="character" w:customStyle="1" w:styleId="110">
    <w:name w:val="font31"/>
    <w:qFormat/>
    <w:uiPriority w:val="0"/>
    <w:rPr>
      <w:rFonts w:ascii="宋体" w:hAnsi="宋体" w:eastAsia="宋体" w:cs="宋体"/>
      <w:color w:val="000000"/>
      <w:sz w:val="20"/>
      <w:szCs w:val="20"/>
      <w:u w:val="none"/>
    </w:rPr>
  </w:style>
  <w:style w:type="character" w:customStyle="1" w:styleId="111">
    <w:name w:val="con"/>
    <w:qFormat/>
    <w:uiPriority w:val="0"/>
  </w:style>
  <w:style w:type="character" w:customStyle="1" w:styleId="112">
    <w:name w:val="apple-style-span"/>
    <w:qFormat/>
    <w:uiPriority w:val="0"/>
  </w:style>
  <w:style w:type="character" w:customStyle="1" w:styleId="113">
    <w:name w:val="15"/>
    <w:qFormat/>
    <w:uiPriority w:val="0"/>
    <w:rPr>
      <w:rFonts w:hint="default" w:ascii="Calibri" w:hAnsi="Calibri" w:cs="Calibri"/>
      <w:color w:val="000000"/>
      <w:sz w:val="21"/>
      <w:szCs w:val="21"/>
    </w:rPr>
  </w:style>
  <w:style w:type="character" w:customStyle="1" w:styleId="114">
    <w:name w:val="font11"/>
    <w:basedOn w:val="52"/>
    <w:qFormat/>
    <w:uiPriority w:val="0"/>
    <w:rPr>
      <w:rFonts w:ascii="宋体" w:hAnsi="宋体" w:eastAsia="宋体" w:cs="宋体"/>
      <w:color w:val="000000"/>
      <w:sz w:val="20"/>
      <w:szCs w:val="20"/>
      <w:u w:val="none"/>
    </w:rPr>
  </w:style>
  <w:style w:type="character" w:customStyle="1" w:styleId="115">
    <w:name w:val="NormalCharacter"/>
    <w:qFormat/>
    <w:uiPriority w:val="0"/>
  </w:style>
  <w:style w:type="character" w:customStyle="1" w:styleId="116">
    <w:name w:val="无间隔字符"/>
    <w:link w:val="117"/>
    <w:qFormat/>
    <w:locked/>
    <w:uiPriority w:val="99"/>
    <w:rPr>
      <w:rFonts w:ascii="Cambria" w:hAnsi="Cambria"/>
      <w:kern w:val="2"/>
      <w:sz w:val="21"/>
      <w:szCs w:val="22"/>
      <w:lang w:val="en-US" w:eastAsia="zh-CN" w:bidi="ar-SA"/>
    </w:rPr>
  </w:style>
  <w:style w:type="paragraph" w:customStyle="1" w:styleId="117">
    <w:name w:val="无间隔1"/>
    <w:link w:val="116"/>
    <w:qFormat/>
    <w:uiPriority w:val="99"/>
    <w:pPr>
      <w:widowControl w:val="0"/>
      <w:spacing w:line="400" w:lineRule="exact"/>
      <w:ind w:firstLine="200" w:firstLineChars="200"/>
      <w:jc w:val="both"/>
    </w:pPr>
    <w:rPr>
      <w:rFonts w:ascii="Cambria" w:hAnsi="Cambria" w:eastAsia="宋体" w:cs="Times New Roman"/>
      <w:kern w:val="2"/>
      <w:sz w:val="21"/>
      <w:szCs w:val="22"/>
      <w:lang w:val="en-US" w:eastAsia="zh-CN" w:bidi="ar-SA"/>
    </w:rPr>
  </w:style>
  <w:style w:type="character" w:customStyle="1" w:styleId="118">
    <w:name w:val="图注1 Char"/>
    <w:link w:val="119"/>
    <w:qFormat/>
    <w:locked/>
    <w:uiPriority w:val="0"/>
    <w:rPr>
      <w:rFonts w:ascii="Cambria" w:hAnsi="Cambria" w:eastAsia="宋体"/>
      <w:sz w:val="21"/>
      <w:szCs w:val="22"/>
      <w:lang w:bidi="ar-SA"/>
    </w:rPr>
  </w:style>
  <w:style w:type="paragraph" w:customStyle="1" w:styleId="119">
    <w:name w:val="图注1"/>
    <w:basedOn w:val="1"/>
    <w:link w:val="118"/>
    <w:qFormat/>
    <w:uiPriority w:val="0"/>
    <w:pPr>
      <w:tabs>
        <w:tab w:val="left" w:pos="1140"/>
      </w:tabs>
      <w:spacing w:afterLines="20" w:line="300" w:lineRule="auto"/>
      <w:ind w:left="1140" w:hanging="360"/>
      <w:jc w:val="center"/>
    </w:pPr>
    <w:rPr>
      <w:rFonts w:ascii="Cambria" w:hAnsi="Cambria"/>
      <w:kern w:val="0"/>
      <w:szCs w:val="22"/>
    </w:rPr>
  </w:style>
  <w:style w:type="character" w:customStyle="1" w:styleId="120">
    <w:name w:val="GTA标题1 Char"/>
    <w:link w:val="121"/>
    <w:qFormat/>
    <w:locked/>
    <w:uiPriority w:val="0"/>
    <w:rPr>
      <w:rFonts w:ascii="Arial" w:hAnsi="Arial" w:eastAsia="黑体"/>
      <w:bCs/>
      <w:kern w:val="44"/>
      <w:sz w:val="44"/>
      <w:szCs w:val="44"/>
      <w:lang w:bidi="ar-SA"/>
    </w:rPr>
  </w:style>
  <w:style w:type="paragraph" w:customStyle="1" w:styleId="121">
    <w:name w:val="GTA标题1"/>
    <w:basedOn w:val="5"/>
    <w:link w:val="120"/>
    <w:qFormat/>
    <w:uiPriority w:val="0"/>
    <w:pPr>
      <w:tabs>
        <w:tab w:val="left" w:pos="360"/>
      </w:tabs>
      <w:spacing w:beforeLines="200" w:afterLines="150" w:line="480" w:lineRule="auto"/>
      <w:ind w:left="360" w:hanging="360"/>
      <w:jc w:val="both"/>
    </w:pPr>
    <w:rPr>
      <w:rFonts w:ascii="Arial" w:hAnsi="Arial" w:eastAsia="黑体"/>
      <w:b w:val="0"/>
    </w:rPr>
  </w:style>
  <w:style w:type="character" w:customStyle="1" w:styleId="122">
    <w:name w:val="headline-content"/>
    <w:qFormat/>
    <w:uiPriority w:val="0"/>
  </w:style>
  <w:style w:type="character" w:customStyle="1" w:styleId="123">
    <w:name w:val="font21"/>
    <w:basedOn w:val="52"/>
    <w:qFormat/>
    <w:uiPriority w:val="0"/>
    <w:rPr>
      <w:rFonts w:ascii="宋体" w:hAnsi="宋体" w:eastAsia="宋体" w:cs="宋体"/>
      <w:color w:val="000000"/>
      <w:sz w:val="20"/>
      <w:szCs w:val="20"/>
      <w:u w:val="none"/>
    </w:rPr>
  </w:style>
  <w:style w:type="character" w:customStyle="1" w:styleId="124">
    <w:name w:val="特点1"/>
    <w:qFormat/>
    <w:uiPriority w:val="0"/>
  </w:style>
  <w:style w:type="character" w:customStyle="1" w:styleId="125">
    <w:name w:val="目录标题 字符"/>
    <w:link w:val="126"/>
    <w:qFormat/>
    <w:uiPriority w:val="0"/>
    <w:rPr>
      <w:rFonts w:eastAsia="方正小标宋_GBK"/>
      <w:b/>
      <w:kern w:val="2"/>
      <w:sz w:val="24"/>
      <w:szCs w:val="24"/>
    </w:rPr>
  </w:style>
  <w:style w:type="paragraph" w:customStyle="1" w:styleId="126">
    <w:name w:val="目录标题"/>
    <w:link w:val="125"/>
    <w:qFormat/>
    <w:uiPriority w:val="0"/>
    <w:pPr>
      <w:tabs>
        <w:tab w:val="right" w:leader="dot" w:pos="9683"/>
      </w:tabs>
      <w:spacing w:line="360" w:lineRule="auto"/>
    </w:pPr>
    <w:rPr>
      <w:rFonts w:ascii="Times New Roman" w:hAnsi="Times New Roman" w:eastAsia="方正小标宋_GBK" w:cs="Times New Roman"/>
      <w:b/>
      <w:kern w:val="2"/>
      <w:sz w:val="24"/>
      <w:szCs w:val="24"/>
      <w:lang w:val="en-US" w:eastAsia="zh-CN" w:bidi="ar-SA"/>
    </w:rPr>
  </w:style>
  <w:style w:type="character" w:customStyle="1" w:styleId="127">
    <w:name w:val="GTA正文-1 Char Char"/>
    <w:qFormat/>
    <w:locked/>
    <w:uiPriority w:val="0"/>
    <w:rPr>
      <w:rFonts w:hint="default" w:ascii="Arial" w:hAnsi="Arial" w:eastAsia="微软雅黑" w:cs="Arial"/>
      <w:sz w:val="24"/>
    </w:rPr>
  </w:style>
  <w:style w:type="character" w:customStyle="1" w:styleId="128">
    <w:name w:val="List Paragraph Char"/>
    <w:link w:val="129"/>
    <w:qFormat/>
    <w:locked/>
    <w:uiPriority w:val="0"/>
    <w:rPr>
      <w:rFonts w:ascii="Calibri" w:hAnsi="Calibri" w:eastAsia="宋体"/>
      <w:kern w:val="2"/>
      <w:sz w:val="21"/>
      <w:szCs w:val="22"/>
      <w:lang w:val="en-US" w:eastAsia="zh-CN" w:bidi="ar-SA"/>
    </w:rPr>
  </w:style>
  <w:style w:type="paragraph" w:customStyle="1" w:styleId="129">
    <w:name w:val="列出段落1"/>
    <w:basedOn w:val="1"/>
    <w:link w:val="128"/>
    <w:qFormat/>
    <w:uiPriority w:val="0"/>
    <w:pPr>
      <w:ind w:firstLine="420" w:firstLineChars="200"/>
    </w:pPr>
    <w:rPr>
      <w:rFonts w:ascii="Calibri" w:hAnsi="Calibri"/>
      <w:szCs w:val="22"/>
    </w:rPr>
  </w:style>
  <w:style w:type="character" w:customStyle="1" w:styleId="130">
    <w:name w:val="03 Char"/>
    <w:link w:val="131"/>
    <w:qFormat/>
    <w:locked/>
    <w:uiPriority w:val="0"/>
    <w:rPr>
      <w:rFonts w:ascii="仿宋_GB2312" w:eastAsia="仿宋_GB2312"/>
      <w:b/>
      <w:sz w:val="28"/>
      <w:lang w:bidi="ar-SA"/>
    </w:rPr>
  </w:style>
  <w:style w:type="paragraph" w:customStyle="1" w:styleId="131">
    <w:name w:val="03"/>
    <w:basedOn w:val="1"/>
    <w:link w:val="130"/>
    <w:qFormat/>
    <w:uiPriority w:val="0"/>
    <w:pPr>
      <w:adjustRightInd w:val="0"/>
      <w:snapToGrid w:val="0"/>
      <w:spacing w:line="440" w:lineRule="exact"/>
      <w:ind w:firstLine="424" w:firstLineChars="151"/>
    </w:pPr>
    <w:rPr>
      <w:rFonts w:ascii="仿宋_GB2312" w:eastAsia="仿宋_GB2312"/>
      <w:b/>
      <w:kern w:val="0"/>
      <w:sz w:val="28"/>
      <w:szCs w:val="20"/>
    </w:rPr>
  </w:style>
  <w:style w:type="character" w:customStyle="1" w:styleId="132">
    <w:name w:val="列表段落 字符"/>
    <w:link w:val="133"/>
    <w:qFormat/>
    <w:uiPriority w:val="0"/>
    <w:rPr>
      <w:rFonts w:eastAsia="宋体"/>
      <w:kern w:val="2"/>
      <w:sz w:val="21"/>
      <w:szCs w:val="24"/>
      <w:lang w:val="en-US" w:eastAsia="zh-CN" w:bidi="ar-SA"/>
    </w:rPr>
  </w:style>
  <w:style w:type="paragraph" w:styleId="133">
    <w:name w:val="List Paragraph"/>
    <w:basedOn w:val="1"/>
    <w:link w:val="132"/>
    <w:qFormat/>
    <w:uiPriority w:val="0"/>
    <w:pPr>
      <w:ind w:firstLine="420" w:firstLineChars="200"/>
    </w:pPr>
  </w:style>
  <w:style w:type="character" w:customStyle="1" w:styleId="134">
    <w:name w:val="页脚 字符1"/>
    <w:semiHidden/>
    <w:qFormat/>
    <w:uiPriority w:val="99"/>
    <w:rPr>
      <w:rFonts w:ascii="Calibri" w:hAnsi="Calibri" w:eastAsia="宋体" w:cs="Times New Roman"/>
      <w:sz w:val="18"/>
      <w:szCs w:val="18"/>
    </w:rPr>
  </w:style>
  <w:style w:type="character" w:customStyle="1" w:styleId="135">
    <w:name w:val="普通文字 Char Char1"/>
    <w:qFormat/>
    <w:locked/>
    <w:uiPriority w:val="0"/>
    <w:rPr>
      <w:rFonts w:ascii="宋体" w:hAnsi="Courier New" w:eastAsia="宋体" w:cs="Courier New"/>
      <w:kern w:val="2"/>
      <w:sz w:val="21"/>
      <w:szCs w:val="21"/>
      <w:lang w:val="en-US" w:eastAsia="zh-CN" w:bidi="ar-SA"/>
    </w:rPr>
  </w:style>
  <w:style w:type="character" w:customStyle="1" w:styleId="136">
    <w:name w:val="浅色网格 - 强调文字颜色 3 Char"/>
    <w:link w:val="137"/>
    <w:qFormat/>
    <w:uiPriority w:val="0"/>
    <w:rPr>
      <w:rFonts w:ascii="Calibri" w:hAnsi="Calibri" w:eastAsia="宋体"/>
      <w:kern w:val="2"/>
      <w:sz w:val="21"/>
      <w:szCs w:val="22"/>
      <w:lang w:bidi="ar-SA"/>
    </w:rPr>
  </w:style>
  <w:style w:type="paragraph" w:customStyle="1" w:styleId="137">
    <w:name w:val="浅色网格 - 强调文字颜色 31"/>
    <w:basedOn w:val="1"/>
    <w:link w:val="136"/>
    <w:qFormat/>
    <w:uiPriority w:val="0"/>
    <w:pPr>
      <w:ind w:firstLine="420" w:firstLineChars="200"/>
    </w:pPr>
    <w:rPr>
      <w:rFonts w:ascii="Calibri" w:hAnsi="Calibri"/>
      <w:szCs w:val="22"/>
    </w:rPr>
  </w:style>
  <w:style w:type="character" w:customStyle="1" w:styleId="138">
    <w:name w:val="批注文字 Char1"/>
    <w:qFormat/>
    <w:uiPriority w:val="0"/>
    <w:rPr>
      <w:kern w:val="2"/>
      <w:sz w:val="21"/>
      <w:szCs w:val="24"/>
    </w:rPr>
  </w:style>
  <w:style w:type="character" w:customStyle="1" w:styleId="139">
    <w:name w:val="Char Char2"/>
    <w:qFormat/>
    <w:locked/>
    <w:uiPriority w:val="0"/>
    <w:rPr>
      <w:rFonts w:ascii="Calibri" w:hAnsi="Calibri" w:eastAsia="宋体" w:cs="黑体"/>
      <w:kern w:val="2"/>
      <w:sz w:val="24"/>
      <w:szCs w:val="24"/>
      <w:lang w:val="en-US" w:eastAsia="zh-CN" w:bidi="ar-SA"/>
    </w:rPr>
  </w:style>
  <w:style w:type="character" w:customStyle="1" w:styleId="140">
    <w:name w:val="Char Char22"/>
    <w:qFormat/>
    <w:locked/>
    <w:uiPriority w:val="0"/>
    <w:rPr>
      <w:rFonts w:eastAsia="微软雅黑"/>
      <w:b/>
      <w:bCs/>
      <w:kern w:val="44"/>
      <w:sz w:val="36"/>
      <w:szCs w:val="36"/>
      <w:lang w:bidi="ar-SA"/>
    </w:rPr>
  </w:style>
  <w:style w:type="character" w:customStyle="1" w:styleId="141">
    <w:name w:val="Char Char19"/>
    <w:qFormat/>
    <w:locked/>
    <w:uiPriority w:val="0"/>
    <w:rPr>
      <w:rFonts w:ascii="Arial" w:hAnsi="Arial" w:eastAsia="微软雅黑"/>
      <w:b/>
      <w:bCs/>
      <w:color w:val="0070C0"/>
      <w:szCs w:val="28"/>
      <w:lang w:bidi="ar-SA"/>
    </w:rPr>
  </w:style>
  <w:style w:type="character" w:customStyle="1" w:styleId="142">
    <w:name w:val="Char Char6"/>
    <w:qFormat/>
    <w:locked/>
    <w:uiPriority w:val="0"/>
    <w:rPr>
      <w:sz w:val="18"/>
      <w:szCs w:val="18"/>
      <w:lang w:bidi="ar-SA"/>
    </w:rPr>
  </w:style>
  <w:style w:type="character" w:customStyle="1" w:styleId="143">
    <w:name w:val="Footer Char"/>
    <w:qFormat/>
    <w:locked/>
    <w:uiPriority w:val="0"/>
    <w:rPr>
      <w:rFonts w:ascii="Cambria" w:hAnsi="Cambria" w:eastAsia="宋体"/>
      <w:kern w:val="2"/>
      <w:sz w:val="18"/>
      <w:szCs w:val="18"/>
      <w:lang w:val="en-US" w:eastAsia="zh-CN" w:bidi="ar-SA"/>
    </w:rPr>
  </w:style>
  <w:style w:type="character" w:customStyle="1" w:styleId="144">
    <w:name w:val="明显引用 Char1"/>
    <w:qFormat/>
    <w:uiPriority w:val="0"/>
    <w:rPr>
      <w:rFonts w:hint="default" w:ascii="Times New Roman" w:hAnsi="Times New Roman" w:eastAsia="微软雅黑" w:cs="Times New Roman"/>
      <w:b/>
      <w:bCs/>
      <w:i/>
      <w:iCs/>
      <w:color w:val="4F81BD"/>
      <w:sz w:val="24"/>
      <w:szCs w:val="24"/>
    </w:rPr>
  </w:style>
  <w:style w:type="character" w:customStyle="1" w:styleId="145">
    <w:name w:val="书籍标题1"/>
    <w:qFormat/>
    <w:uiPriority w:val="0"/>
    <w:rPr>
      <w:b/>
      <w:bCs/>
      <w:smallCaps/>
      <w:spacing w:val="5"/>
    </w:rPr>
  </w:style>
  <w:style w:type="character" w:customStyle="1" w:styleId="146">
    <w:name w:val="Char Char4"/>
    <w:qFormat/>
    <w:uiPriority w:val="0"/>
    <w:rPr>
      <w:rFonts w:eastAsia="宋体"/>
      <w:kern w:val="2"/>
      <w:sz w:val="21"/>
      <w:szCs w:val="24"/>
      <w:lang w:val="en-US" w:eastAsia="zh-CN" w:bidi="ar-SA"/>
    </w:rPr>
  </w:style>
  <w:style w:type="character" w:customStyle="1" w:styleId="147">
    <w:name w:val="纯文本 Char"/>
    <w:qFormat/>
    <w:uiPriority w:val="0"/>
    <w:rPr>
      <w:rFonts w:ascii="宋体" w:hAnsi="Courier New"/>
    </w:rPr>
  </w:style>
  <w:style w:type="character" w:customStyle="1" w:styleId="148">
    <w:name w:val="GTA标题2 Char"/>
    <w:qFormat/>
    <w:uiPriority w:val="0"/>
    <w:rPr>
      <w:rFonts w:hint="default" w:ascii="Arial" w:hAnsi="Arial" w:eastAsia="黑体" w:cs="Arial"/>
      <w:bCs/>
      <w:kern w:val="2"/>
      <w:sz w:val="30"/>
      <w:szCs w:val="30"/>
    </w:rPr>
  </w:style>
  <w:style w:type="character" w:customStyle="1" w:styleId="149">
    <w:name w:val="列出段落 Char"/>
    <w:qFormat/>
    <w:locked/>
    <w:uiPriority w:val="0"/>
    <w:rPr>
      <w:kern w:val="2"/>
      <w:sz w:val="21"/>
      <w:szCs w:val="22"/>
    </w:rPr>
  </w:style>
  <w:style w:type="character" w:customStyle="1" w:styleId="150">
    <w:name w:val="font151"/>
    <w:qFormat/>
    <w:uiPriority w:val="0"/>
    <w:rPr>
      <w:rFonts w:hint="eastAsia" w:ascii="宋体" w:hAnsi="宋体" w:eastAsia="宋体" w:cs="宋体"/>
      <w:color w:val="000000"/>
      <w:sz w:val="21"/>
      <w:szCs w:val="21"/>
      <w:u w:val="none"/>
    </w:rPr>
  </w:style>
  <w:style w:type="character" w:customStyle="1" w:styleId="151">
    <w:name w:val="ca-102"/>
    <w:qFormat/>
    <w:uiPriority w:val="0"/>
  </w:style>
  <w:style w:type="character" w:customStyle="1" w:styleId="152">
    <w:name w:val="font41"/>
    <w:qFormat/>
    <w:uiPriority w:val="0"/>
    <w:rPr>
      <w:rFonts w:ascii="Bosch Office Sans" w:hAnsi="Bosch Office Sans" w:cs="Bosch Office Sans"/>
      <w:color w:val="000000"/>
      <w:sz w:val="20"/>
      <w:szCs w:val="20"/>
      <w:u w:val="none"/>
    </w:rPr>
  </w:style>
  <w:style w:type="character" w:customStyle="1" w:styleId="153">
    <w:name w:val="char"/>
    <w:qFormat/>
    <w:uiPriority w:val="0"/>
  </w:style>
  <w:style w:type="character" w:customStyle="1" w:styleId="154">
    <w:name w:val="Char Char5"/>
    <w:qFormat/>
    <w:locked/>
    <w:uiPriority w:val="0"/>
    <w:rPr>
      <w:rFonts w:ascii="宋体" w:hAnsi="宋体" w:eastAsia="宋体"/>
      <w:sz w:val="18"/>
      <w:szCs w:val="18"/>
      <w:lang w:bidi="ar-SA"/>
    </w:rPr>
  </w:style>
  <w:style w:type="character" w:customStyle="1" w:styleId="155">
    <w:name w:val="apple-converted-space"/>
    <w:qFormat/>
    <w:uiPriority w:val="0"/>
  </w:style>
  <w:style w:type="character" w:customStyle="1" w:styleId="156">
    <w:name w:val="_Style 154"/>
    <w:unhideWhenUsed/>
    <w:qFormat/>
    <w:uiPriority w:val="99"/>
    <w:rPr>
      <w:color w:val="605E5C"/>
      <w:shd w:val="clear" w:color="auto" w:fill="E1DFDD"/>
    </w:rPr>
  </w:style>
  <w:style w:type="character" w:customStyle="1" w:styleId="157">
    <w:name w:val="Heading 2 Char"/>
    <w:qFormat/>
    <w:locked/>
    <w:uiPriority w:val="0"/>
    <w:rPr>
      <w:rFonts w:ascii="Calibri" w:hAnsi="Calibri" w:eastAsia="宋体"/>
      <w:b/>
      <w:bCs/>
      <w:kern w:val="2"/>
      <w:sz w:val="24"/>
      <w:szCs w:val="32"/>
      <w:lang w:val="en-US" w:eastAsia="zh-CN" w:bidi="ar-SA"/>
    </w:rPr>
  </w:style>
  <w:style w:type="character" w:customStyle="1" w:styleId="158">
    <w:name w:val="st1"/>
    <w:qFormat/>
    <w:uiPriority w:val="0"/>
  </w:style>
  <w:style w:type="character" w:customStyle="1" w:styleId="159">
    <w:name w:val="Char Char3"/>
    <w:qFormat/>
    <w:locked/>
    <w:uiPriority w:val="0"/>
    <w:rPr>
      <w:sz w:val="18"/>
      <w:szCs w:val="18"/>
      <w:lang w:bidi="ar-SA"/>
    </w:rPr>
  </w:style>
  <w:style w:type="character" w:customStyle="1" w:styleId="160">
    <w:name w:val="纯文本 Char3"/>
    <w:qFormat/>
    <w:uiPriority w:val="0"/>
    <w:rPr>
      <w:rFonts w:ascii="宋体" w:hAnsi="Courier New" w:eastAsia="宋体" w:cs="Courier New"/>
      <w:kern w:val="2"/>
      <w:sz w:val="21"/>
      <w:szCs w:val="21"/>
      <w:lang w:val="en-US" w:eastAsia="zh-CN" w:bidi="ar-SA"/>
    </w:rPr>
  </w:style>
  <w:style w:type="character" w:customStyle="1" w:styleId="161">
    <w:name w:val="列出段落字符"/>
    <w:qFormat/>
    <w:locked/>
    <w:uiPriority w:val="0"/>
    <w:rPr>
      <w:rFonts w:ascii="Calibri" w:hAnsi="Calibri" w:eastAsia="宋体" w:cs="黑体"/>
      <w:kern w:val="2"/>
      <w:sz w:val="24"/>
      <w:szCs w:val="24"/>
      <w:lang w:val="en-US" w:eastAsia="zh-CN" w:bidi="ar-SA"/>
    </w:rPr>
  </w:style>
  <w:style w:type="character" w:customStyle="1" w:styleId="162">
    <w:name w:val="GTA标题2 Char Char"/>
    <w:link w:val="163"/>
    <w:qFormat/>
    <w:locked/>
    <w:uiPriority w:val="0"/>
    <w:rPr>
      <w:rFonts w:ascii="Arial" w:hAnsi="Arial" w:eastAsia="黑体"/>
      <w:b/>
      <w:bCs/>
      <w:color w:val="000000"/>
      <w:sz w:val="30"/>
      <w:szCs w:val="30"/>
      <w:lang w:bidi="ar-SA"/>
    </w:rPr>
  </w:style>
  <w:style w:type="paragraph" w:customStyle="1" w:styleId="163">
    <w:name w:val="GTA标题2"/>
    <w:basedOn w:val="6"/>
    <w:link w:val="162"/>
    <w:qFormat/>
    <w:uiPriority w:val="0"/>
    <w:pPr>
      <w:tabs>
        <w:tab w:val="left" w:pos="840"/>
      </w:tabs>
      <w:adjustRightInd w:val="0"/>
      <w:snapToGrid w:val="0"/>
      <w:spacing w:beforeLines="175" w:afterLines="150" w:line="420" w:lineRule="auto"/>
      <w:ind w:left="840" w:firstLine="200" w:firstLineChars="200"/>
    </w:pPr>
    <w:rPr>
      <w:color w:val="000000"/>
      <w:kern w:val="0"/>
      <w:sz w:val="30"/>
      <w:szCs w:val="30"/>
    </w:rPr>
  </w:style>
  <w:style w:type="character" w:customStyle="1" w:styleId="164">
    <w:name w:val="GTA标题4 Char Char"/>
    <w:link w:val="165"/>
    <w:qFormat/>
    <w:locked/>
    <w:uiPriority w:val="0"/>
    <w:rPr>
      <w:rFonts w:ascii="Arial" w:hAnsi="Arial" w:eastAsia="仿宋_GB2312"/>
      <w:b/>
      <w:bCs/>
      <w:color w:val="0070C0"/>
      <w:lang w:bidi="ar-SA"/>
    </w:rPr>
  </w:style>
  <w:style w:type="paragraph" w:customStyle="1" w:styleId="165">
    <w:name w:val="GTA标题4"/>
    <w:basedOn w:val="8"/>
    <w:link w:val="164"/>
    <w:qFormat/>
    <w:uiPriority w:val="0"/>
    <w:pPr>
      <w:tabs>
        <w:tab w:val="left" w:pos="1680"/>
      </w:tabs>
      <w:adjustRightInd w:val="0"/>
      <w:snapToGrid w:val="0"/>
      <w:spacing w:beforeLines="100" w:afterLines="75" w:line="360" w:lineRule="auto"/>
      <w:ind w:left="1680" w:firstLine="200" w:firstLineChars="200"/>
    </w:pPr>
    <w:rPr>
      <w:rFonts w:eastAsia="仿宋_GB2312"/>
      <w:color w:val="0070C0"/>
      <w:kern w:val="0"/>
      <w:sz w:val="20"/>
      <w:szCs w:val="20"/>
    </w:rPr>
  </w:style>
  <w:style w:type="character" w:customStyle="1" w:styleId="166">
    <w:name w:val="font01"/>
    <w:qFormat/>
    <w:uiPriority w:val="0"/>
    <w:rPr>
      <w:rFonts w:hint="eastAsia" w:ascii="宋体" w:hAnsi="宋体" w:eastAsia="宋体" w:cs="宋体"/>
      <w:color w:val="000000"/>
      <w:sz w:val="28"/>
      <w:szCs w:val="28"/>
      <w:u w:val="none"/>
    </w:rPr>
  </w:style>
  <w:style w:type="character" w:customStyle="1" w:styleId="167">
    <w:name w:val="GTA标题3 Char"/>
    <w:qFormat/>
    <w:uiPriority w:val="0"/>
    <w:rPr>
      <w:rFonts w:hint="default" w:ascii="Arial" w:hAnsi="Arial" w:eastAsia="黑体" w:cs="Arial"/>
      <w:bCs/>
      <w:kern w:val="2"/>
      <w:sz w:val="24"/>
      <w:szCs w:val="24"/>
    </w:rPr>
  </w:style>
  <w:style w:type="character" w:customStyle="1" w:styleId="168">
    <w:name w:val="普通文字 Char Char3"/>
    <w:qFormat/>
    <w:locked/>
    <w:uiPriority w:val="0"/>
    <w:rPr>
      <w:rFonts w:ascii="宋体" w:hAnsi="Courier New" w:eastAsia="宋体" w:cs="Courier New"/>
      <w:kern w:val="2"/>
      <w:sz w:val="21"/>
      <w:szCs w:val="21"/>
      <w:lang w:val="en-US" w:eastAsia="zh-CN" w:bidi="ar-SA"/>
    </w:rPr>
  </w:style>
  <w:style w:type="character" w:customStyle="1" w:styleId="169">
    <w:name w:val="font51"/>
    <w:qFormat/>
    <w:uiPriority w:val="0"/>
    <w:rPr>
      <w:rFonts w:ascii="Bosch Office Sans" w:hAnsi="Bosch Office Sans" w:cs="Bosch Office Sans"/>
      <w:color w:val="000000"/>
      <w:sz w:val="20"/>
      <w:szCs w:val="20"/>
      <w:u w:val="none"/>
    </w:rPr>
  </w:style>
  <w:style w:type="character" w:customStyle="1" w:styleId="170">
    <w:name w:val="GTA正文-1 Char"/>
    <w:link w:val="171"/>
    <w:qFormat/>
    <w:locked/>
    <w:uiPriority w:val="0"/>
    <w:rPr>
      <w:rFonts w:ascii="Arial" w:hAnsi="Arial" w:eastAsia="宋体" w:cs="Arial"/>
      <w:sz w:val="21"/>
      <w:lang w:bidi="ar-SA"/>
    </w:rPr>
  </w:style>
  <w:style w:type="paragraph" w:customStyle="1" w:styleId="171">
    <w:name w:val="GTA正文-1"/>
    <w:basedOn w:val="1"/>
    <w:link w:val="170"/>
    <w:qFormat/>
    <w:uiPriority w:val="0"/>
    <w:pPr>
      <w:spacing w:beforeLines="50" w:afterLines="50" w:line="480" w:lineRule="exact"/>
      <w:ind w:firstLine="200" w:firstLineChars="200"/>
    </w:pPr>
    <w:rPr>
      <w:rFonts w:ascii="Arial" w:hAnsi="Arial" w:cs="Arial"/>
      <w:kern w:val="0"/>
      <w:szCs w:val="20"/>
    </w:rPr>
  </w:style>
  <w:style w:type="character" w:customStyle="1" w:styleId="172">
    <w:name w:val="font71"/>
    <w:qFormat/>
    <w:uiPriority w:val="0"/>
    <w:rPr>
      <w:rFonts w:hint="default" w:ascii="Times New Roman" w:hAnsi="Times New Roman" w:cs="Times New Roman"/>
      <w:color w:val="000000"/>
      <w:sz w:val="56"/>
      <w:szCs w:val="56"/>
      <w:u w:val="none"/>
    </w:rPr>
  </w:style>
  <w:style w:type="character" w:customStyle="1" w:styleId="173">
    <w:name w:val="Char Char1"/>
    <w:qFormat/>
    <w:uiPriority w:val="0"/>
    <w:rPr>
      <w:rFonts w:eastAsia="宋体"/>
      <w:kern w:val="2"/>
      <w:sz w:val="18"/>
      <w:szCs w:val="18"/>
      <w:lang w:val="en-US" w:eastAsia="zh-CN" w:bidi="ar-SA"/>
    </w:rPr>
  </w:style>
  <w:style w:type="character" w:customStyle="1" w:styleId="174">
    <w:name w:val="ca-92"/>
    <w:qFormat/>
    <w:uiPriority w:val="0"/>
  </w:style>
  <w:style w:type="character" w:customStyle="1" w:styleId="175">
    <w:name w:val="10"/>
    <w:qFormat/>
    <w:uiPriority w:val="0"/>
    <w:rPr>
      <w:rFonts w:hint="default" w:ascii="Times New Roman" w:hAnsi="Times New Roman" w:cs="Times New Roman"/>
    </w:rPr>
  </w:style>
  <w:style w:type="character" w:customStyle="1" w:styleId="176">
    <w:name w:val="font191"/>
    <w:qFormat/>
    <w:uiPriority w:val="0"/>
    <w:rPr>
      <w:rFonts w:hint="eastAsia" w:ascii="宋体" w:hAnsi="宋体" w:eastAsia="宋体" w:cs="宋体"/>
      <w:b/>
      <w:bCs/>
      <w:color w:val="4F6228"/>
      <w:sz w:val="22"/>
      <w:szCs w:val="22"/>
      <w:u w:val="none"/>
    </w:rPr>
  </w:style>
  <w:style w:type="character" w:customStyle="1" w:styleId="177">
    <w:name w:val="ca-1"/>
    <w:qFormat/>
    <w:uiPriority w:val="0"/>
  </w:style>
  <w:style w:type="character" w:customStyle="1" w:styleId="178">
    <w:name w:val="明显引用字符1"/>
    <w:qFormat/>
    <w:uiPriority w:val="0"/>
    <w:rPr>
      <w:rFonts w:hint="default" w:ascii="Times New Roman" w:hAnsi="Times New Roman" w:eastAsia="微软雅黑" w:cs="Times New Roman"/>
      <w:i/>
      <w:iCs/>
      <w:color w:val="5B9BD5"/>
    </w:rPr>
  </w:style>
  <w:style w:type="character" w:customStyle="1" w:styleId="179">
    <w:name w:val="纯文本 字符"/>
    <w:qFormat/>
    <w:uiPriority w:val="0"/>
    <w:rPr>
      <w:rFonts w:ascii="宋体" w:hAnsi="Courier New" w:eastAsia="宋体" w:cs="Courier New"/>
      <w:kern w:val="2"/>
      <w:sz w:val="21"/>
      <w:szCs w:val="21"/>
      <w:lang w:val="en-US" w:eastAsia="zh-CN" w:bidi="ar-SA"/>
    </w:rPr>
  </w:style>
  <w:style w:type="character" w:customStyle="1" w:styleId="180">
    <w:name w:val="GTA标题4 Char"/>
    <w:qFormat/>
    <w:uiPriority w:val="0"/>
    <w:rPr>
      <w:rFonts w:hint="default" w:ascii="Arial" w:hAnsi="Arial" w:eastAsia="仿宋_GB2312" w:cs="Arial"/>
      <w:b/>
      <w:bCs/>
      <w:kern w:val="2"/>
      <w:sz w:val="24"/>
      <w:szCs w:val="24"/>
    </w:rPr>
  </w:style>
  <w:style w:type="character" w:customStyle="1" w:styleId="181">
    <w:name w:val="Char Char13"/>
    <w:qFormat/>
    <w:locked/>
    <w:uiPriority w:val="0"/>
    <w:rPr>
      <w:rFonts w:ascii="微软雅黑" w:hAnsi="微软雅黑" w:eastAsia="微软雅黑"/>
      <w:b/>
      <w:bCs/>
      <w:lang w:bidi="ar-SA"/>
    </w:rPr>
  </w:style>
  <w:style w:type="character" w:customStyle="1" w:styleId="182">
    <w:name w:val="ca-2"/>
    <w:qFormat/>
    <w:uiPriority w:val="0"/>
  </w:style>
  <w:style w:type="character" w:customStyle="1" w:styleId="183">
    <w:name w:val="Char Char20"/>
    <w:qFormat/>
    <w:locked/>
    <w:uiPriority w:val="0"/>
    <w:rPr>
      <w:rFonts w:eastAsia="微软雅黑"/>
      <w:b/>
      <w:bCs/>
      <w:szCs w:val="32"/>
      <w:lang w:bidi="ar-SA"/>
    </w:rPr>
  </w:style>
  <w:style w:type="character" w:customStyle="1" w:styleId="184">
    <w:name w:val="txet31"/>
    <w:qFormat/>
    <w:uiPriority w:val="0"/>
    <w:rPr>
      <w:rFonts w:cs="Times New Roman"/>
      <w:color w:val="333333"/>
      <w:sz w:val="18"/>
      <w:szCs w:val="18"/>
      <w:u w:val="none"/>
    </w:rPr>
  </w:style>
  <w:style w:type="character" w:customStyle="1" w:styleId="185">
    <w:name w:val="纯文本 Char2"/>
    <w:qFormat/>
    <w:uiPriority w:val="0"/>
    <w:rPr>
      <w:rFonts w:ascii="宋体" w:hAnsi="Courier New" w:eastAsia="宋体" w:cs="Courier New"/>
      <w:kern w:val="2"/>
      <w:sz w:val="21"/>
      <w:szCs w:val="21"/>
      <w:lang w:val="en-US" w:eastAsia="zh-CN" w:bidi="ar-SA"/>
    </w:rPr>
  </w:style>
  <w:style w:type="character" w:customStyle="1" w:styleId="186">
    <w:name w:val="Header Char"/>
    <w:qFormat/>
    <w:locked/>
    <w:uiPriority w:val="0"/>
    <w:rPr>
      <w:rFonts w:ascii="Cambria" w:hAnsi="Cambria" w:eastAsia="宋体"/>
      <w:kern w:val="2"/>
      <w:sz w:val="18"/>
      <w:szCs w:val="18"/>
      <w:lang w:val="en-US" w:eastAsia="zh-CN" w:bidi="ar-SA"/>
    </w:rPr>
  </w:style>
  <w:style w:type="character" w:customStyle="1" w:styleId="187">
    <w:name w:val="font61"/>
    <w:qFormat/>
    <w:uiPriority w:val="0"/>
    <w:rPr>
      <w:rFonts w:hint="eastAsia" w:ascii="宋体" w:hAnsi="宋体" w:eastAsia="宋体" w:cs="宋体"/>
      <w:color w:val="000000"/>
      <w:sz w:val="56"/>
      <w:szCs w:val="56"/>
      <w:u w:val="none"/>
    </w:rPr>
  </w:style>
  <w:style w:type="character" w:customStyle="1" w:styleId="188">
    <w:name w:val="highlight1"/>
    <w:qFormat/>
    <w:uiPriority w:val="0"/>
    <w:rPr>
      <w:color w:val="DB4F33"/>
    </w:rPr>
  </w:style>
  <w:style w:type="character" w:customStyle="1" w:styleId="189">
    <w:name w:val="GTA标题3 Char Char"/>
    <w:link w:val="190"/>
    <w:qFormat/>
    <w:locked/>
    <w:uiPriority w:val="0"/>
    <w:rPr>
      <w:rFonts w:ascii="Arial" w:hAnsi="Arial" w:eastAsia="黑体"/>
      <w:b/>
      <w:bCs/>
      <w:color w:val="000000"/>
      <w:lang w:val="zh-CN" w:bidi="ar-SA"/>
    </w:rPr>
  </w:style>
  <w:style w:type="paragraph" w:customStyle="1" w:styleId="190">
    <w:name w:val="GTA标题3"/>
    <w:basedOn w:val="7"/>
    <w:link w:val="189"/>
    <w:qFormat/>
    <w:uiPriority w:val="0"/>
    <w:pPr>
      <w:tabs>
        <w:tab w:val="left" w:pos="1260"/>
      </w:tabs>
      <w:adjustRightInd w:val="0"/>
      <w:snapToGrid w:val="0"/>
      <w:spacing w:beforeLines="150" w:afterLines="125" w:line="360" w:lineRule="auto"/>
      <w:ind w:left="1260" w:hanging="420"/>
    </w:pPr>
    <w:rPr>
      <w:rFonts w:ascii="Arial" w:hAnsi="Arial" w:eastAsia="黑体"/>
      <w:color w:val="000000"/>
      <w:kern w:val="0"/>
      <w:sz w:val="20"/>
      <w:szCs w:val="20"/>
      <w:lang w:val="zh-CN"/>
    </w:rPr>
  </w:style>
  <w:style w:type="character" w:customStyle="1" w:styleId="191">
    <w:name w:val="GTA正文-2 Char"/>
    <w:link w:val="192"/>
    <w:qFormat/>
    <w:locked/>
    <w:uiPriority w:val="0"/>
    <w:rPr>
      <w:rFonts w:ascii="Arial" w:hAnsi="Arial" w:eastAsia="华文细黑" w:cs="Arial"/>
      <w:lang w:bidi="ar-SA"/>
    </w:rPr>
  </w:style>
  <w:style w:type="paragraph" w:customStyle="1" w:styleId="192">
    <w:name w:val="GTA正文-2"/>
    <w:basedOn w:val="171"/>
    <w:link w:val="191"/>
    <w:qFormat/>
    <w:uiPriority w:val="0"/>
    <w:pPr>
      <w:snapToGrid w:val="0"/>
      <w:spacing w:line="360" w:lineRule="auto"/>
      <w:ind w:firstLine="480"/>
    </w:pPr>
    <w:rPr>
      <w:rFonts w:eastAsia="华文细黑"/>
      <w:sz w:val="20"/>
    </w:rPr>
  </w:style>
  <w:style w:type="paragraph" w:customStyle="1" w:styleId="193">
    <w:name w:val="样式 标题 3 + 四号"/>
    <w:basedOn w:val="7"/>
    <w:qFormat/>
    <w:uiPriority w:val="99"/>
    <w:pPr>
      <w:jc w:val="center"/>
    </w:pPr>
    <w:rPr>
      <w:rFonts w:ascii="Times New Roman" w:hAnsi="Times New Roman"/>
      <w:kern w:val="0"/>
      <w:sz w:val="28"/>
    </w:rPr>
  </w:style>
  <w:style w:type="paragraph" w:customStyle="1" w:styleId="194">
    <w:name w:val="custom_unionstyle"/>
    <w:basedOn w:val="1"/>
    <w:qFormat/>
    <w:uiPriority w:val="99"/>
    <w:pPr>
      <w:widowControl/>
      <w:spacing w:before="100" w:beforeAutospacing="1" w:after="100" w:afterAutospacing="1" w:line="240" w:lineRule="auto"/>
      <w:ind w:firstLine="0" w:firstLineChars="0"/>
      <w:jc w:val="left"/>
    </w:pPr>
    <w:rPr>
      <w:rFonts w:ascii="宋体" w:hAnsi="宋体" w:cs="宋体"/>
      <w:kern w:val="0"/>
      <w:sz w:val="24"/>
    </w:rPr>
  </w:style>
  <w:style w:type="paragraph" w:customStyle="1" w:styleId="195">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96">
    <w:name w:val="xl86"/>
    <w:basedOn w:val="1"/>
    <w:qFormat/>
    <w:uiPriority w:val="99"/>
    <w:pPr>
      <w:widowControl/>
      <w:pBdr>
        <w:bottom w:val="single" w:color="auto" w:sz="8" w:space="0"/>
      </w:pBdr>
      <w:spacing w:before="100" w:beforeAutospacing="1" w:after="100" w:afterAutospacing="1"/>
      <w:jc w:val="left"/>
    </w:pPr>
    <w:rPr>
      <w:rFonts w:ascii="宋体" w:hAnsi="宋体" w:cs="宋体"/>
      <w:color w:val="000000"/>
      <w:kern w:val="0"/>
      <w:sz w:val="20"/>
      <w:szCs w:val="20"/>
    </w:rPr>
  </w:style>
  <w:style w:type="paragraph" w:customStyle="1" w:styleId="197">
    <w:name w:val="xl96"/>
    <w:basedOn w:val="1"/>
    <w:qFormat/>
    <w:uiPriority w:val="99"/>
    <w:pPr>
      <w:widowControl/>
      <w:spacing w:before="100" w:beforeAutospacing="1" w:after="100" w:afterAutospacing="1"/>
      <w:jc w:val="left"/>
      <w:textAlignment w:val="bottom"/>
    </w:pPr>
    <w:rPr>
      <w:rFonts w:ascii="宋体" w:hAnsi="宋体" w:cs="宋体"/>
      <w:kern w:val="0"/>
      <w:sz w:val="20"/>
      <w:szCs w:val="20"/>
    </w:rPr>
  </w:style>
  <w:style w:type="paragraph" w:customStyle="1" w:styleId="198">
    <w:name w:val="List Paragraph11"/>
    <w:basedOn w:val="1"/>
    <w:qFormat/>
    <w:uiPriority w:val="99"/>
    <w:pPr>
      <w:ind w:firstLine="420" w:firstLineChars="200"/>
    </w:pPr>
    <w:rPr>
      <w:rFonts w:ascii="Calibri" w:hAnsi="Calibri"/>
      <w:szCs w:val="22"/>
    </w:rPr>
  </w:style>
  <w:style w:type="paragraph" w:customStyle="1" w:styleId="19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00">
    <w:name w:val="xl14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Cs w:val="21"/>
    </w:rPr>
  </w:style>
  <w:style w:type="paragraph" w:customStyle="1" w:styleId="201">
    <w:name w:val="Char Char Char Char Char Char Char Char"/>
    <w:basedOn w:val="1"/>
    <w:qFormat/>
    <w:uiPriority w:val="99"/>
    <w:pPr>
      <w:widowControl/>
      <w:spacing w:line="240" w:lineRule="exact"/>
      <w:jc w:val="left"/>
    </w:pPr>
    <w:rPr>
      <w:rFonts w:ascii="Verdana" w:hAnsi="Verdana"/>
      <w:kern w:val="0"/>
      <w:sz w:val="20"/>
      <w:szCs w:val="20"/>
      <w:lang w:eastAsia="en-US"/>
    </w:rPr>
  </w:style>
  <w:style w:type="paragraph" w:customStyle="1" w:styleId="202">
    <w:name w:val="179"/>
    <w:basedOn w:val="1"/>
    <w:qFormat/>
    <w:uiPriority w:val="99"/>
    <w:pPr>
      <w:spacing w:line="240" w:lineRule="auto"/>
      <w:ind w:firstLine="420"/>
    </w:pPr>
    <w:rPr>
      <w:rFonts w:ascii="等线" w:hAnsi="等线" w:eastAsia="等线"/>
      <w:szCs w:val="22"/>
    </w:rPr>
  </w:style>
  <w:style w:type="paragraph" w:customStyle="1" w:styleId="203">
    <w:name w:val="二级条标题"/>
    <w:basedOn w:val="1"/>
    <w:next w:val="1"/>
    <w:qFormat/>
    <w:uiPriority w:val="99"/>
    <w:pPr>
      <w:widowControl/>
      <w:spacing w:line="240" w:lineRule="auto"/>
      <w:ind w:firstLine="0" w:firstLineChars="0"/>
      <w:jc w:val="left"/>
    </w:pPr>
    <w:rPr>
      <w:rFonts w:ascii="Calibri" w:hAnsi="Calibri" w:eastAsia="黑体"/>
      <w:szCs w:val="20"/>
    </w:rPr>
  </w:style>
  <w:style w:type="paragraph" w:customStyle="1" w:styleId="204">
    <w:name w:val="Char Char Char Char Char Char Char Char Char Char"/>
    <w:basedOn w:val="1"/>
    <w:qFormat/>
    <w:uiPriority w:val="99"/>
    <w:pPr>
      <w:tabs>
        <w:tab w:val="left" w:pos="360"/>
      </w:tabs>
      <w:ind w:left="360" w:hanging="360" w:hangingChars="200"/>
    </w:pPr>
    <w:rPr>
      <w:szCs w:val="20"/>
    </w:rPr>
  </w:style>
  <w:style w:type="paragraph" w:customStyle="1" w:styleId="205">
    <w:name w:val="普通(网站)1"/>
    <w:basedOn w:val="1"/>
    <w:qFormat/>
    <w:uiPriority w:val="99"/>
    <w:pPr>
      <w:widowControl/>
      <w:snapToGrid w:val="0"/>
      <w:spacing w:before="100" w:beforeAutospacing="1" w:after="100" w:afterAutospacing="1" w:line="300" w:lineRule="auto"/>
      <w:ind w:firstLine="200" w:firstLineChars="200"/>
      <w:jc w:val="left"/>
    </w:pPr>
    <w:rPr>
      <w:rFonts w:ascii="宋体" w:hAnsi="宋体" w:eastAsia="微软雅黑"/>
      <w:sz w:val="24"/>
      <w:szCs w:val="22"/>
    </w:rPr>
  </w:style>
  <w:style w:type="paragraph" w:customStyle="1" w:styleId="206">
    <w:name w:val="xl112"/>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FF0000"/>
      <w:kern w:val="0"/>
      <w:szCs w:val="21"/>
    </w:rPr>
  </w:style>
  <w:style w:type="paragraph" w:customStyle="1" w:styleId="207">
    <w:name w:val="xl1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08">
    <w:name w:val="xl12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09">
    <w:name w:val="xl13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10">
    <w:name w:val="投标文件1"/>
    <w:basedOn w:val="5"/>
    <w:qFormat/>
    <w:uiPriority w:val="99"/>
    <w:pPr>
      <w:jc w:val="both"/>
    </w:pPr>
    <w:rPr>
      <w:rFonts w:eastAsia="方正小标宋简体"/>
      <w:b w:val="0"/>
      <w:sz w:val="32"/>
      <w:szCs w:val="21"/>
    </w:rPr>
  </w:style>
  <w:style w:type="paragraph" w:customStyle="1" w:styleId="211">
    <w:name w:val="xl89"/>
    <w:basedOn w:val="1"/>
    <w:qFormat/>
    <w:uiPriority w:val="99"/>
    <w:pPr>
      <w:widowControl/>
      <w:spacing w:before="100" w:beforeAutospacing="1" w:after="100" w:afterAutospacing="1"/>
      <w:jc w:val="left"/>
      <w:textAlignment w:val="bottom"/>
    </w:pPr>
    <w:rPr>
      <w:rFonts w:ascii="宋体" w:hAnsi="宋体" w:cs="宋体"/>
      <w:kern w:val="0"/>
      <w:szCs w:val="21"/>
    </w:rPr>
  </w:style>
  <w:style w:type="paragraph" w:customStyle="1" w:styleId="212">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Cs w:val="21"/>
    </w:rPr>
  </w:style>
  <w:style w:type="paragraph" w:customStyle="1" w:styleId="213">
    <w:name w:val="正文首行缩进1"/>
    <w:basedOn w:val="1"/>
    <w:qFormat/>
    <w:uiPriority w:val="99"/>
    <w:pPr>
      <w:spacing w:after="120" w:line="240" w:lineRule="auto"/>
      <w:ind w:firstLine="420" w:firstLineChars="100"/>
    </w:pPr>
    <w:rPr>
      <w:rFonts w:ascii="Calibri" w:hAnsi="Calibri"/>
    </w:rPr>
  </w:style>
  <w:style w:type="paragraph" w:customStyle="1" w:styleId="214">
    <w:name w:val="xl64"/>
    <w:basedOn w:val="1"/>
    <w:qFormat/>
    <w:uiPriority w:val="99"/>
    <w:pPr>
      <w:widowControl/>
      <w:spacing w:before="100" w:beforeAutospacing="1" w:after="100" w:afterAutospacing="1"/>
      <w:jc w:val="center"/>
    </w:pPr>
    <w:rPr>
      <w:rFonts w:ascii="宋体" w:hAnsi="宋体" w:cs="宋体"/>
      <w:kern w:val="0"/>
      <w:sz w:val="24"/>
    </w:rPr>
  </w:style>
  <w:style w:type="paragraph" w:customStyle="1" w:styleId="215">
    <w:name w:val="xl73"/>
    <w:basedOn w:val="1"/>
    <w:qFormat/>
    <w:uiPriority w:val="99"/>
    <w:pPr>
      <w:widowControl/>
      <w:spacing w:before="100" w:beforeAutospacing="1" w:after="100" w:afterAutospacing="1"/>
      <w:jc w:val="center"/>
    </w:pPr>
    <w:rPr>
      <w:rFonts w:ascii="宋体" w:hAnsi="宋体" w:cs="宋体"/>
      <w:kern w:val="0"/>
      <w:szCs w:val="21"/>
    </w:rPr>
  </w:style>
  <w:style w:type="paragraph" w:customStyle="1" w:styleId="216">
    <w:name w:val="msolistparagraph"/>
    <w:basedOn w:val="1"/>
    <w:qFormat/>
    <w:uiPriority w:val="99"/>
    <w:pPr>
      <w:spacing w:line="240" w:lineRule="auto"/>
      <w:ind w:firstLine="420"/>
    </w:pPr>
  </w:style>
  <w:style w:type="paragraph" w:customStyle="1" w:styleId="217">
    <w:name w:val="标书0927"/>
    <w:basedOn w:val="5"/>
    <w:qFormat/>
    <w:uiPriority w:val="99"/>
    <w:pPr>
      <w:tabs>
        <w:tab w:val="left" w:pos="780"/>
      </w:tabs>
      <w:spacing w:before="0" w:after="0" w:line="360" w:lineRule="auto"/>
      <w:ind w:left="780" w:hanging="420"/>
      <w:jc w:val="both"/>
    </w:pPr>
    <w:rPr>
      <w:rFonts w:ascii="宋体" w:eastAsia="宋体"/>
      <w:sz w:val="32"/>
      <w:szCs w:val="32"/>
    </w:rPr>
  </w:style>
  <w:style w:type="paragraph" w:customStyle="1" w:styleId="218">
    <w:name w:val="样式 标题 2 + 宋体"/>
    <w:basedOn w:val="6"/>
    <w:qFormat/>
    <w:uiPriority w:val="99"/>
    <w:pPr>
      <w:jc w:val="center"/>
    </w:pPr>
    <w:rPr>
      <w:rFonts w:ascii="宋体" w:hAnsi="宋体" w:eastAsia="宋体"/>
      <w:kern w:val="0"/>
    </w:rPr>
  </w:style>
  <w:style w:type="paragraph" w:customStyle="1" w:styleId="219">
    <w:name w:val="xl1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20">
    <w:name w:val="xl1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21">
    <w:name w:val="pa-5"/>
    <w:basedOn w:val="1"/>
    <w:qFormat/>
    <w:uiPriority w:val="99"/>
    <w:pPr>
      <w:widowControl/>
      <w:spacing w:before="150" w:after="150"/>
      <w:jc w:val="left"/>
    </w:pPr>
    <w:rPr>
      <w:rFonts w:ascii="宋体" w:hAnsi="宋体" w:cs="宋体"/>
      <w:kern w:val="0"/>
      <w:sz w:val="24"/>
    </w:rPr>
  </w:style>
  <w:style w:type="paragraph" w:customStyle="1" w:styleId="222">
    <w:name w:val="xl111"/>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23">
    <w:name w:val="xl75"/>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4">
    <w:name w:val="_Style 223"/>
    <w:unhideWhenUsed/>
    <w:qFormat/>
    <w:uiPriority w:val="99"/>
    <w:rPr>
      <w:rFonts w:ascii="Times New Roman" w:hAnsi="Times New Roman" w:eastAsia="宋体" w:cs="Times New Roman"/>
      <w:kern w:val="2"/>
      <w:sz w:val="21"/>
      <w:szCs w:val="24"/>
      <w:lang w:val="en-US" w:eastAsia="zh-CN" w:bidi="ar-SA"/>
    </w:rPr>
  </w:style>
  <w:style w:type="paragraph" w:customStyle="1" w:styleId="225">
    <w:name w:val="xl85"/>
    <w:basedOn w:val="1"/>
    <w:qFormat/>
    <w:uiPriority w:val="99"/>
    <w:pPr>
      <w:widowControl/>
      <w:pBdr>
        <w:top w:val="single" w:color="auto" w:sz="8" w:space="0"/>
      </w:pBdr>
      <w:spacing w:before="100" w:beforeAutospacing="1" w:after="100" w:afterAutospacing="1"/>
      <w:jc w:val="left"/>
    </w:pPr>
    <w:rPr>
      <w:rFonts w:ascii="宋体" w:hAnsi="宋体" w:cs="宋体"/>
      <w:color w:val="000000"/>
      <w:kern w:val="0"/>
      <w:sz w:val="20"/>
      <w:szCs w:val="20"/>
    </w:rPr>
  </w:style>
  <w:style w:type="paragraph" w:customStyle="1" w:styleId="226">
    <w:name w:val="xl11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2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28">
    <w:name w:val="xl143"/>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29">
    <w:name w:val="msonormalcxspmiddle"/>
    <w:basedOn w:val="1"/>
    <w:qFormat/>
    <w:uiPriority w:val="99"/>
    <w:pPr>
      <w:widowControl/>
      <w:spacing w:line="315" w:lineRule="atLeast"/>
      <w:jc w:val="left"/>
    </w:pPr>
    <w:rPr>
      <w:rFonts w:ascii="inherit" w:hAnsi="inherit" w:eastAsia="微软雅黑" w:cs="宋体"/>
      <w:color w:val="323232"/>
      <w:kern w:val="0"/>
      <w:sz w:val="18"/>
      <w:szCs w:val="18"/>
    </w:rPr>
  </w:style>
  <w:style w:type="paragraph" w:customStyle="1" w:styleId="230">
    <w:name w:val="正文段"/>
    <w:basedOn w:val="1"/>
    <w:qFormat/>
    <w:uiPriority w:val="99"/>
    <w:pPr>
      <w:widowControl/>
      <w:snapToGrid w:val="0"/>
      <w:spacing w:afterLines="50"/>
      <w:ind w:firstLine="200" w:firstLineChars="200"/>
    </w:pPr>
    <w:rPr>
      <w:kern w:val="0"/>
      <w:sz w:val="24"/>
      <w:szCs w:val="20"/>
    </w:rPr>
  </w:style>
  <w:style w:type="paragraph" w:customStyle="1" w:styleId="231">
    <w:name w:val="xl119"/>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2">
    <w:name w:val="TOC 标题2"/>
    <w:next w:val="1"/>
    <w:qFormat/>
    <w:uiPriority w:val="99"/>
    <w:pPr>
      <w:wordWrap w:val="0"/>
    </w:pPr>
    <w:rPr>
      <w:rFonts w:ascii="Times New Roman" w:hAnsi="Times New Roman" w:eastAsia="宋体" w:cs="Times New Roman"/>
      <w:sz w:val="32"/>
      <w:lang w:val="en-US" w:eastAsia="zh-CN" w:bidi="ar-SA"/>
    </w:rPr>
  </w:style>
  <w:style w:type="paragraph" w:customStyle="1" w:styleId="233">
    <w:name w:val="5 Char Char Char Char Char Char Char Char Char Char"/>
    <w:basedOn w:val="1"/>
    <w:qFormat/>
    <w:uiPriority w:val="99"/>
  </w:style>
  <w:style w:type="paragraph" w:customStyle="1" w:styleId="234">
    <w:name w:val="p0"/>
    <w:basedOn w:val="1"/>
    <w:qFormat/>
    <w:uiPriority w:val="99"/>
    <w:pPr>
      <w:widowControl/>
      <w:jc w:val="left"/>
    </w:pPr>
    <w:rPr>
      <w:kern w:val="0"/>
      <w:sz w:val="20"/>
      <w:szCs w:val="20"/>
    </w:rPr>
  </w:style>
  <w:style w:type="paragraph" w:customStyle="1" w:styleId="235">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36">
    <w:name w:val="xl103"/>
    <w:basedOn w:val="1"/>
    <w:qFormat/>
    <w:uiPriority w:val="99"/>
    <w:pPr>
      <w:widowControl/>
      <w:pBdr>
        <w:top w:val="single" w:color="auto" w:sz="4" w:space="0"/>
        <w:left w:val="single" w:color="auto" w:sz="4" w:space="0"/>
        <w:bottom w:val="single" w:color="auto" w:sz="4" w:space="0"/>
      </w:pBdr>
      <w:spacing w:before="100" w:beforeAutospacing="1" w:after="100" w:afterAutospacing="1"/>
    </w:pPr>
    <w:rPr>
      <w:rFonts w:ascii="宋体" w:hAnsi="宋体" w:cs="宋体"/>
      <w:kern w:val="0"/>
      <w:szCs w:val="21"/>
    </w:rPr>
  </w:style>
  <w:style w:type="paragraph" w:customStyle="1" w:styleId="237">
    <w:name w:val="xl121"/>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38">
    <w:name w:val="Char4"/>
    <w:basedOn w:val="1"/>
    <w:qFormat/>
    <w:uiPriority w:val="99"/>
    <w:rPr>
      <w:rFonts w:ascii="Tahoma" w:hAnsi="Tahoma"/>
      <w:sz w:val="24"/>
      <w:szCs w:val="20"/>
    </w:rPr>
  </w:style>
  <w:style w:type="paragraph" w:customStyle="1" w:styleId="239">
    <w:name w:val="Char Char Char1 Char"/>
    <w:basedOn w:val="1"/>
    <w:qFormat/>
    <w:uiPriority w:val="99"/>
    <w:rPr>
      <w:rFonts w:ascii="Calibri" w:hAnsi="Calibri"/>
      <w:szCs w:val="22"/>
    </w:rPr>
  </w:style>
  <w:style w:type="paragraph" w:customStyle="1" w:styleId="240">
    <w:name w:val="pic-info"/>
    <w:basedOn w:val="1"/>
    <w:qFormat/>
    <w:uiPriority w:val="99"/>
    <w:pPr>
      <w:widowControl/>
      <w:spacing w:before="100" w:beforeAutospacing="1" w:after="100" w:afterAutospacing="1" w:line="480" w:lineRule="exact"/>
      <w:jc w:val="left"/>
    </w:pPr>
    <w:rPr>
      <w:rFonts w:ascii="宋体" w:hAnsi="宋体" w:eastAsia="微软雅黑" w:cs="宋体"/>
      <w:kern w:val="0"/>
      <w:sz w:val="24"/>
    </w:rPr>
  </w:style>
  <w:style w:type="paragraph" w:customStyle="1" w:styleId="241">
    <w:name w:val="xl137"/>
    <w:basedOn w:val="1"/>
    <w:qFormat/>
    <w:uiPriority w:val="99"/>
    <w:pPr>
      <w:widowControl/>
      <w:pBdr>
        <w:left w:val="single" w:color="auto" w:sz="4" w:space="0"/>
        <w:bottom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42">
    <w:name w:val="xl145"/>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43">
    <w:name w:val="正文 New New New New"/>
    <w:qFormat/>
    <w:uiPriority w:val="99"/>
    <w:pPr>
      <w:widowControl w:val="0"/>
      <w:spacing w:line="400" w:lineRule="exact"/>
      <w:ind w:firstLine="200" w:firstLineChars="200"/>
      <w:jc w:val="both"/>
    </w:pPr>
    <w:rPr>
      <w:rFonts w:ascii="Times New Roman" w:hAnsi="Times New Roman" w:eastAsia="宋体" w:cs="Times New Roman"/>
      <w:szCs w:val="24"/>
      <w:lang w:val="en-US" w:eastAsia="zh-CN" w:bidi="ar-SA"/>
    </w:rPr>
  </w:style>
  <w:style w:type="paragraph" w:customStyle="1" w:styleId="244">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45">
    <w:name w:val="xl109"/>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46">
    <w:name w:val="Char Char Char Char Char Char Char"/>
    <w:basedOn w:val="1"/>
    <w:qFormat/>
    <w:uiPriority w:val="99"/>
  </w:style>
  <w:style w:type="paragraph" w:customStyle="1" w:styleId="247">
    <w:name w:val="xl9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8">
    <w:name w:val="默认段落字体 Para Char Char Char Char Char Char Char Char Char Char Char Char Char Char Char Char Char Char Char"/>
    <w:basedOn w:val="1"/>
    <w:qFormat/>
    <w:uiPriority w:val="99"/>
    <w:rPr>
      <w:rFonts w:ascii="Calibri" w:hAnsi="Calibri"/>
      <w:szCs w:val="22"/>
    </w:rPr>
  </w:style>
  <w:style w:type="paragraph" w:customStyle="1" w:styleId="249">
    <w:name w:val="样式 标题 1 + 小二"/>
    <w:basedOn w:val="5"/>
    <w:qFormat/>
    <w:uiPriority w:val="99"/>
  </w:style>
  <w:style w:type="paragraph" w:customStyle="1" w:styleId="250">
    <w:name w:val="xl11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51">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Cs w:val="21"/>
    </w:rPr>
  </w:style>
  <w:style w:type="paragraph" w:customStyle="1" w:styleId="252">
    <w:name w:val="xl91"/>
    <w:basedOn w:val="1"/>
    <w:qFormat/>
    <w:uiPriority w:val="99"/>
    <w:pPr>
      <w:widowControl/>
      <w:pBdr>
        <w:top w:val="single" w:color="auto" w:sz="8" w:space="0"/>
        <w:bottom w:val="single" w:color="auto" w:sz="8" w:space="0"/>
      </w:pBdr>
      <w:spacing w:before="100" w:beforeAutospacing="1" w:after="100" w:afterAutospacing="1"/>
      <w:jc w:val="left"/>
      <w:textAlignment w:val="bottom"/>
    </w:pPr>
    <w:rPr>
      <w:rFonts w:ascii="宋体" w:hAnsi="宋体" w:cs="宋体"/>
      <w:color w:val="000000"/>
      <w:kern w:val="0"/>
      <w:szCs w:val="21"/>
    </w:rPr>
  </w:style>
  <w:style w:type="paragraph" w:customStyle="1" w:styleId="253">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4">
    <w:name w:val="xl66"/>
    <w:basedOn w:val="1"/>
    <w:qFormat/>
    <w:uiPriority w:val="99"/>
    <w:pPr>
      <w:widowControl/>
      <w:spacing w:before="100" w:beforeAutospacing="1" w:after="100" w:afterAutospacing="1"/>
      <w:jc w:val="left"/>
      <w:textAlignment w:val="bottom"/>
    </w:pPr>
    <w:rPr>
      <w:rFonts w:ascii="宋体" w:hAnsi="宋体" w:cs="宋体"/>
      <w:color w:val="000000"/>
      <w:kern w:val="0"/>
      <w:szCs w:val="21"/>
    </w:rPr>
  </w:style>
  <w:style w:type="paragraph" w:customStyle="1" w:styleId="255">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Cs w:val="21"/>
    </w:rPr>
  </w:style>
  <w:style w:type="paragraph" w:customStyle="1" w:styleId="256">
    <w:name w:val="xl92"/>
    <w:basedOn w:val="1"/>
    <w:qFormat/>
    <w:uiPriority w:val="99"/>
    <w:pPr>
      <w:widowControl/>
      <w:pBdr>
        <w:bottom w:val="single" w:color="auto" w:sz="8" w:space="0"/>
      </w:pBdr>
      <w:spacing w:before="100" w:beforeAutospacing="1" w:after="100" w:afterAutospacing="1"/>
      <w:jc w:val="left"/>
      <w:textAlignment w:val="bottom"/>
    </w:pPr>
    <w:rPr>
      <w:rFonts w:ascii="宋体" w:hAnsi="宋体" w:cs="宋体"/>
      <w:kern w:val="0"/>
      <w:szCs w:val="21"/>
    </w:rPr>
  </w:style>
  <w:style w:type="paragraph" w:customStyle="1" w:styleId="257">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58">
    <w:name w:val="xl1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Cs w:val="21"/>
    </w:rPr>
  </w:style>
  <w:style w:type="paragraph" w:customStyle="1" w:styleId="259">
    <w:name w:val="xl99"/>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0">
    <w:name w:val="xl110"/>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61">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rPr>
  </w:style>
  <w:style w:type="paragraph" w:customStyle="1" w:styleId="262">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63">
    <w:name w:val="msonormal"/>
    <w:basedOn w:val="1"/>
    <w:qFormat/>
    <w:uiPriority w:val="99"/>
    <w:pPr>
      <w:widowControl/>
      <w:spacing w:before="100" w:beforeAutospacing="1" w:after="100" w:afterAutospacing="1" w:line="240" w:lineRule="auto"/>
      <w:ind w:firstLine="0" w:firstLineChars="0"/>
      <w:jc w:val="left"/>
    </w:pPr>
    <w:rPr>
      <w:rFonts w:ascii="宋体" w:hAnsi="宋体" w:cs="宋体"/>
      <w:kern w:val="0"/>
      <w:sz w:val="24"/>
    </w:rPr>
  </w:style>
  <w:style w:type="paragraph" w:customStyle="1" w:styleId="264">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65">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6">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67">
    <w:name w:val="font10"/>
    <w:basedOn w:val="1"/>
    <w:qFormat/>
    <w:uiPriority w:val="99"/>
    <w:pPr>
      <w:widowControl/>
      <w:spacing w:before="100" w:beforeAutospacing="1" w:after="100" w:afterAutospacing="1"/>
      <w:jc w:val="left"/>
    </w:pPr>
    <w:rPr>
      <w:kern w:val="0"/>
      <w:sz w:val="20"/>
      <w:szCs w:val="20"/>
    </w:rPr>
  </w:style>
  <w:style w:type="paragraph" w:customStyle="1" w:styleId="268">
    <w:name w:val="xl90"/>
    <w:basedOn w:val="1"/>
    <w:qFormat/>
    <w:uiPriority w:val="99"/>
    <w:pPr>
      <w:widowControl/>
      <w:pBdr>
        <w:bottom w:val="single" w:color="auto" w:sz="8" w:space="0"/>
      </w:pBdr>
      <w:spacing w:before="100" w:beforeAutospacing="1" w:after="100" w:afterAutospacing="1"/>
      <w:jc w:val="left"/>
      <w:textAlignment w:val="bottom"/>
    </w:pPr>
    <w:rPr>
      <w:rFonts w:ascii="宋体" w:hAnsi="宋体" w:cs="宋体"/>
      <w:color w:val="000000"/>
      <w:kern w:val="0"/>
      <w:szCs w:val="21"/>
    </w:rPr>
  </w:style>
  <w:style w:type="paragraph" w:customStyle="1" w:styleId="269">
    <w:name w:val="TOC 标题1"/>
    <w:basedOn w:val="5"/>
    <w:next w:val="1"/>
    <w:qFormat/>
    <w:uiPriority w:val="99"/>
    <w:pPr>
      <w:widowControl/>
      <w:tabs>
        <w:tab w:val="left" w:pos="360"/>
      </w:tabs>
      <w:spacing w:before="480" w:after="0" w:line="276" w:lineRule="auto"/>
      <w:ind w:left="360" w:hanging="360"/>
      <w:jc w:val="left"/>
      <w:outlineLvl w:val="9"/>
    </w:pPr>
    <w:rPr>
      <w:rFonts w:ascii="Cambria" w:hAnsi="Cambria" w:eastAsia="宋体"/>
      <w:color w:val="365F91"/>
      <w:kern w:val="0"/>
      <w:sz w:val="28"/>
      <w:szCs w:val="28"/>
    </w:rPr>
  </w:style>
  <w:style w:type="paragraph" w:customStyle="1" w:styleId="270">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71">
    <w:name w:val="xl116"/>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72">
    <w:name w:val="表格文字"/>
    <w:basedOn w:val="1"/>
    <w:qFormat/>
    <w:uiPriority w:val="99"/>
    <w:pPr>
      <w:spacing w:before="25" w:after="25"/>
      <w:jc w:val="left"/>
    </w:pPr>
    <w:rPr>
      <w:bCs/>
      <w:spacing w:val="10"/>
      <w:kern w:val="0"/>
      <w:sz w:val="24"/>
      <w:szCs w:val="20"/>
    </w:rPr>
  </w:style>
  <w:style w:type="paragraph" w:customStyle="1" w:styleId="273">
    <w:name w:val="xl65"/>
    <w:basedOn w:val="1"/>
    <w:qFormat/>
    <w:uiPriority w:val="99"/>
    <w:pPr>
      <w:widowControl/>
      <w:spacing w:before="100" w:beforeAutospacing="1" w:after="100" w:afterAutospacing="1"/>
      <w:jc w:val="center"/>
    </w:pPr>
    <w:rPr>
      <w:rFonts w:ascii="宋体" w:hAnsi="宋体" w:cs="宋体"/>
      <w:color w:val="000000"/>
      <w:kern w:val="0"/>
      <w:szCs w:val="21"/>
    </w:rPr>
  </w:style>
  <w:style w:type="paragraph" w:customStyle="1" w:styleId="274">
    <w:name w:val="xl88"/>
    <w:basedOn w:val="1"/>
    <w:qFormat/>
    <w:uiPriority w:val="99"/>
    <w:pPr>
      <w:widowControl/>
      <w:pBdr>
        <w:top w:val="single" w:color="auto" w:sz="8" w:space="0"/>
      </w:pBdr>
      <w:spacing w:before="100" w:beforeAutospacing="1" w:after="100" w:afterAutospacing="1"/>
      <w:jc w:val="left"/>
      <w:textAlignment w:val="bottom"/>
    </w:pPr>
    <w:rPr>
      <w:rFonts w:ascii="宋体" w:hAnsi="宋体" w:cs="宋体"/>
      <w:color w:val="000000"/>
      <w:kern w:val="0"/>
      <w:szCs w:val="21"/>
    </w:rPr>
  </w:style>
  <w:style w:type="paragraph" w:customStyle="1" w:styleId="275">
    <w:name w:val="xl11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Cs w:val="21"/>
    </w:rPr>
  </w:style>
  <w:style w:type="paragraph" w:customStyle="1" w:styleId="276">
    <w:name w:val="xl1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Cs w:val="21"/>
    </w:rPr>
  </w:style>
  <w:style w:type="paragraph" w:customStyle="1" w:styleId="277">
    <w:name w:val="xl133"/>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78">
    <w:name w:val="xl12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79">
    <w:name w:val="xl100"/>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80">
    <w:name w:val="xl144"/>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81">
    <w:name w:val="xl74"/>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282">
    <w:name w:val="xl104"/>
    <w:basedOn w:val="1"/>
    <w:qFormat/>
    <w:uiPriority w:val="99"/>
    <w:pPr>
      <w:widowControl/>
      <w:pBdr>
        <w:bottom w:val="single" w:color="auto" w:sz="4" w:space="0"/>
      </w:pBdr>
      <w:spacing w:before="100" w:beforeAutospacing="1" w:after="100" w:afterAutospacing="1"/>
      <w:jc w:val="left"/>
    </w:pPr>
    <w:rPr>
      <w:rFonts w:ascii="宋体" w:hAnsi="宋体" w:cs="宋体"/>
      <w:kern w:val="0"/>
      <w:sz w:val="24"/>
    </w:rPr>
  </w:style>
  <w:style w:type="paragraph" w:customStyle="1" w:styleId="283">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84">
    <w:name w:val="p15"/>
    <w:basedOn w:val="1"/>
    <w:qFormat/>
    <w:uiPriority w:val="99"/>
    <w:pPr>
      <w:widowControl/>
    </w:pPr>
    <w:rPr>
      <w:rFonts w:ascii="宋体" w:hAnsi="宋体" w:cs="宋体"/>
      <w:kern w:val="0"/>
      <w:szCs w:val="21"/>
    </w:rPr>
  </w:style>
  <w:style w:type="paragraph" w:customStyle="1" w:styleId="285">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286">
    <w:name w:val="xl1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87">
    <w:name w:val="正文-公1"/>
    <w:basedOn w:val="1"/>
    <w:qFormat/>
    <w:uiPriority w:val="99"/>
    <w:pPr>
      <w:spacing w:line="240" w:lineRule="auto"/>
      <w:jc w:val="left"/>
    </w:pPr>
    <w:rPr>
      <w:rFonts w:ascii="Calibri" w:hAnsi="Calibri" w:eastAsia="仿宋_GB2312"/>
    </w:rPr>
  </w:style>
  <w:style w:type="paragraph" w:customStyle="1" w:styleId="288">
    <w:name w:val="xl12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89">
    <w:name w:val="Char Char1 Char Char Char Char"/>
    <w:basedOn w:val="19"/>
    <w:qFormat/>
    <w:uiPriority w:val="99"/>
    <w:rPr>
      <w:rFonts w:ascii="Tahoma" w:hAnsi="Tahoma"/>
      <w:sz w:val="24"/>
    </w:rPr>
  </w:style>
  <w:style w:type="paragraph" w:customStyle="1" w:styleId="290">
    <w:name w:val="_Style 8"/>
    <w:basedOn w:val="19"/>
    <w:qFormat/>
    <w:uiPriority w:val="99"/>
    <w:pPr>
      <w:widowControl/>
      <w:spacing w:line="240" w:lineRule="auto"/>
      <w:ind w:firstLine="454" w:firstLineChars="0"/>
      <w:jc w:val="left"/>
    </w:pPr>
  </w:style>
  <w:style w:type="paragraph" w:customStyle="1" w:styleId="291">
    <w:name w:val="xl122"/>
    <w:basedOn w:val="1"/>
    <w:qFormat/>
    <w:uiPriority w:val="99"/>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2">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93">
    <w:name w:val="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94">
    <w:name w:val="表内文字"/>
    <w:basedOn w:val="1"/>
    <w:qFormat/>
    <w:uiPriority w:val="99"/>
    <w:pPr>
      <w:snapToGrid w:val="0"/>
      <w:spacing w:before="50" w:after="50"/>
      <w:jc w:val="center"/>
    </w:pPr>
    <w:rPr>
      <w:rFonts w:ascii="仿宋_GB2312" w:hAnsi="宋体" w:eastAsia="仿宋_GB2312"/>
      <w:b/>
      <w:color w:val="000000"/>
      <w:sz w:val="32"/>
      <w:szCs w:val="32"/>
    </w:rPr>
  </w:style>
  <w:style w:type="paragraph" w:customStyle="1" w:styleId="295">
    <w:name w:val="xl26"/>
    <w:basedOn w:val="1"/>
    <w:qFormat/>
    <w:uiPriority w:val="99"/>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296">
    <w:name w:val="xl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Cs w:val="21"/>
    </w:rPr>
  </w:style>
  <w:style w:type="paragraph" w:customStyle="1" w:styleId="297">
    <w:name w:val="xl95"/>
    <w:basedOn w:val="1"/>
    <w:qFormat/>
    <w:uiPriority w:val="99"/>
    <w:pPr>
      <w:widowControl/>
      <w:pBdr>
        <w:bottom w:val="single" w:color="auto" w:sz="8" w:space="0"/>
      </w:pBdr>
      <w:spacing w:before="100" w:beforeAutospacing="1" w:after="100" w:afterAutospacing="1"/>
      <w:jc w:val="left"/>
    </w:pPr>
    <w:rPr>
      <w:rFonts w:ascii="宋体" w:hAnsi="宋体" w:cs="宋体"/>
      <w:color w:val="000000"/>
      <w:kern w:val="0"/>
      <w:szCs w:val="21"/>
    </w:rPr>
  </w:style>
  <w:style w:type="paragraph" w:customStyle="1" w:styleId="298">
    <w:name w:val="文档正文"/>
    <w:basedOn w:val="1"/>
    <w:qFormat/>
    <w:uiPriority w:val="99"/>
    <w:pPr>
      <w:autoSpaceDE w:val="0"/>
      <w:autoSpaceDN w:val="0"/>
      <w:adjustRightInd w:val="0"/>
      <w:spacing w:line="240" w:lineRule="atLeast"/>
      <w:ind w:firstLine="567"/>
    </w:pPr>
    <w:rPr>
      <w:rFonts w:ascii="Arial Narrow" w:hAnsi="Arial Narrow" w:cs="Arial"/>
      <w:sz w:val="24"/>
      <w:lang w:val="zh-CN"/>
    </w:rPr>
  </w:style>
  <w:style w:type="paragraph" w:customStyle="1" w:styleId="299">
    <w:name w:val="xl131"/>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00">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01">
    <w:name w:val="p18"/>
    <w:basedOn w:val="1"/>
    <w:qFormat/>
    <w:uiPriority w:val="99"/>
    <w:pPr>
      <w:widowControl/>
      <w:spacing w:line="240" w:lineRule="auto"/>
      <w:ind w:firstLine="0" w:firstLineChars="0"/>
    </w:pPr>
    <w:rPr>
      <w:rFonts w:ascii="宋体" w:hAnsi="宋体" w:cs="宋体"/>
      <w:kern w:val="0"/>
      <w:szCs w:val="21"/>
    </w:rPr>
  </w:style>
  <w:style w:type="paragraph" w:customStyle="1" w:styleId="302">
    <w:name w:val="xl136"/>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303">
    <w:name w:val="xl115"/>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04">
    <w:name w:val="xl63"/>
    <w:basedOn w:val="1"/>
    <w:qFormat/>
    <w:uiPriority w:val="99"/>
    <w:pPr>
      <w:widowControl/>
      <w:spacing w:before="100" w:beforeAutospacing="1" w:after="100" w:afterAutospacing="1"/>
      <w:jc w:val="center"/>
    </w:pPr>
    <w:rPr>
      <w:rFonts w:ascii="宋体" w:hAnsi="宋体" w:cs="宋体"/>
      <w:kern w:val="0"/>
      <w:sz w:val="24"/>
    </w:rPr>
  </w:style>
  <w:style w:type="paragraph" w:customStyle="1" w:styleId="305">
    <w:name w:val="_Style 2"/>
    <w:basedOn w:val="1"/>
    <w:qFormat/>
    <w:uiPriority w:val="99"/>
    <w:pPr>
      <w:ind w:firstLine="420" w:firstLineChars="200"/>
    </w:pPr>
  </w:style>
  <w:style w:type="paragraph" w:customStyle="1" w:styleId="306">
    <w:name w:val="xl97"/>
    <w:basedOn w:val="1"/>
    <w:qFormat/>
    <w:uiPriority w:val="99"/>
    <w:pPr>
      <w:widowControl/>
      <w:spacing w:before="100" w:beforeAutospacing="1" w:after="100" w:afterAutospacing="1"/>
      <w:jc w:val="left"/>
      <w:textAlignment w:val="bottom"/>
    </w:pPr>
    <w:rPr>
      <w:kern w:val="0"/>
      <w:sz w:val="20"/>
      <w:szCs w:val="20"/>
    </w:rPr>
  </w:style>
  <w:style w:type="paragraph" w:customStyle="1" w:styleId="307">
    <w:name w:val="默认段落字体 Para Char Char Char Char Char Char Char Char Char1 Char Char Char Char"/>
    <w:basedOn w:val="1"/>
    <w:qFormat/>
    <w:uiPriority w:val="99"/>
    <w:rPr>
      <w:rFonts w:ascii="Tahoma" w:hAnsi="Tahoma"/>
      <w:sz w:val="24"/>
      <w:szCs w:val="20"/>
    </w:rPr>
  </w:style>
  <w:style w:type="paragraph" w:customStyle="1" w:styleId="308">
    <w:name w:val="Char"/>
    <w:basedOn w:val="19"/>
    <w:qFormat/>
    <w:uiPriority w:val="99"/>
    <w:pPr>
      <w:widowControl/>
      <w:ind w:firstLine="454"/>
      <w:jc w:val="left"/>
    </w:pPr>
    <w:rPr>
      <w:rFonts w:ascii="Tahoma" w:hAnsi="Tahoma" w:cs="宋体"/>
      <w:kern w:val="0"/>
      <w:sz w:val="24"/>
      <w:szCs w:val="20"/>
    </w:rPr>
  </w:style>
  <w:style w:type="paragraph" w:customStyle="1" w:styleId="309">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Cs w:val="21"/>
    </w:rPr>
  </w:style>
  <w:style w:type="paragraph" w:customStyle="1" w:styleId="310">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Cs w:val="21"/>
    </w:rPr>
  </w:style>
  <w:style w:type="paragraph" w:customStyle="1" w:styleId="311">
    <w:name w:val="font9"/>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312">
    <w:name w:val="xl9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313">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314">
    <w:name w:val="xl146"/>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15">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316">
    <w:name w:val="样式2"/>
    <w:basedOn w:val="8"/>
    <w:qFormat/>
    <w:uiPriority w:val="99"/>
    <w:rPr>
      <w:rFonts w:ascii="仿宋_GB2312" w:hAnsi="宋体" w:eastAsia="仿宋_GB2312" w:cs="宋体"/>
      <w:kern w:val="0"/>
      <w:sz w:val="24"/>
    </w:rPr>
  </w:style>
  <w:style w:type="paragraph" w:customStyle="1" w:styleId="317">
    <w:name w:val="Heading2"/>
    <w:next w:val="1"/>
    <w:qFormat/>
    <w:uiPriority w:val="99"/>
    <w:pPr>
      <w:keepNext/>
      <w:keepLines/>
      <w:widowControl w:val="0"/>
      <w:spacing w:before="60" w:after="60" w:line="413" w:lineRule="auto"/>
      <w:jc w:val="both"/>
      <w:textAlignment w:val="baseline"/>
    </w:pPr>
    <w:rPr>
      <w:rFonts w:ascii="Arial" w:hAnsi="Arial" w:eastAsia="黑体" w:cs="Times New Roman"/>
      <w:b/>
      <w:bCs/>
      <w:kern w:val="2"/>
      <w:sz w:val="21"/>
      <w:szCs w:val="32"/>
      <w:lang w:val="en-US" w:eastAsia="zh-CN" w:bidi="ar-SA"/>
    </w:rPr>
  </w:style>
  <w:style w:type="paragraph" w:customStyle="1" w:styleId="318">
    <w:name w:val="xl129"/>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19">
    <w:name w:val="浅色网格 - 强调文字颜色 32"/>
    <w:basedOn w:val="1"/>
    <w:qFormat/>
    <w:uiPriority w:val="99"/>
    <w:pPr>
      <w:ind w:firstLine="420" w:firstLineChars="200"/>
    </w:pPr>
    <w:rPr>
      <w:rFonts w:ascii="Calibri" w:hAnsi="Calibri"/>
      <w:szCs w:val="22"/>
    </w:rPr>
  </w:style>
  <w:style w:type="paragraph" w:customStyle="1" w:styleId="320">
    <w:name w:val="xl87"/>
    <w:basedOn w:val="1"/>
    <w:qFormat/>
    <w:uiPriority w:val="99"/>
    <w:pPr>
      <w:widowControl/>
      <w:pBdr>
        <w:bottom w:val="single" w:color="auto" w:sz="8" w:space="0"/>
      </w:pBdr>
      <w:spacing w:before="100" w:beforeAutospacing="1" w:after="100" w:afterAutospacing="1"/>
      <w:jc w:val="left"/>
    </w:pPr>
    <w:rPr>
      <w:rFonts w:ascii="宋体" w:hAnsi="宋体" w:cs="宋体"/>
      <w:kern w:val="0"/>
      <w:szCs w:val="21"/>
    </w:rPr>
  </w:style>
  <w:style w:type="paragraph" w:customStyle="1" w:styleId="321">
    <w:name w:val="列表段落1"/>
    <w:basedOn w:val="1"/>
    <w:qFormat/>
    <w:uiPriority w:val="34"/>
    <w:pPr>
      <w:spacing w:line="240" w:lineRule="auto"/>
    </w:pPr>
    <w:rPr>
      <w:rFonts w:ascii="Calibri" w:hAnsi="Calibri"/>
    </w:rPr>
  </w:style>
  <w:style w:type="paragraph" w:customStyle="1" w:styleId="322">
    <w:name w:val="font6"/>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323">
    <w:name w:val="unnamed1"/>
    <w:basedOn w:val="1"/>
    <w:qFormat/>
    <w:uiPriority w:val="99"/>
    <w:pPr>
      <w:widowControl/>
      <w:spacing w:before="100" w:beforeAutospacing="1" w:after="100" w:afterAutospacing="1" w:line="288" w:lineRule="auto"/>
      <w:jc w:val="left"/>
    </w:pPr>
    <w:rPr>
      <w:rFonts w:ascii="宋体" w:hAnsi="宋体"/>
      <w:kern w:val="0"/>
      <w:szCs w:val="21"/>
    </w:rPr>
  </w:style>
  <w:style w:type="paragraph" w:customStyle="1" w:styleId="324">
    <w:name w:val="Other|1"/>
    <w:basedOn w:val="1"/>
    <w:qFormat/>
    <w:uiPriority w:val="99"/>
    <w:pPr>
      <w:spacing w:line="240" w:lineRule="auto"/>
      <w:ind w:firstLine="0" w:firstLineChars="0"/>
    </w:pPr>
    <w:rPr>
      <w:rFonts w:ascii="宋体" w:hAnsi="宋体" w:cs="宋体"/>
      <w:lang w:val="zh-TW" w:eastAsia="zh-TW" w:bidi="zh-TW"/>
    </w:rPr>
  </w:style>
  <w:style w:type="paragraph" w:customStyle="1" w:styleId="325">
    <w:name w:val="xl93"/>
    <w:basedOn w:val="1"/>
    <w:qFormat/>
    <w:uiPriority w:val="99"/>
    <w:pPr>
      <w:widowControl/>
      <w:pBdr>
        <w:top w:val="single" w:color="auto" w:sz="8" w:space="0"/>
      </w:pBdr>
      <w:spacing w:before="100" w:beforeAutospacing="1" w:after="100" w:afterAutospacing="1"/>
      <w:jc w:val="left"/>
    </w:pPr>
    <w:rPr>
      <w:rFonts w:ascii="宋体" w:hAnsi="宋体" w:cs="宋体"/>
      <w:color w:val="000000"/>
      <w:kern w:val="0"/>
      <w:szCs w:val="21"/>
    </w:rPr>
  </w:style>
  <w:style w:type="paragraph" w:customStyle="1" w:styleId="326">
    <w:name w:val="xl132"/>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27">
    <w:name w:val="font8"/>
    <w:basedOn w:val="1"/>
    <w:qFormat/>
    <w:uiPriority w:val="99"/>
    <w:pPr>
      <w:widowControl/>
      <w:spacing w:before="100" w:beforeAutospacing="1" w:after="100" w:afterAutospacing="1"/>
      <w:jc w:val="left"/>
    </w:pPr>
    <w:rPr>
      <w:color w:val="000000"/>
      <w:kern w:val="0"/>
      <w:sz w:val="22"/>
      <w:szCs w:val="22"/>
    </w:rPr>
  </w:style>
  <w:style w:type="paragraph" w:customStyle="1" w:styleId="328">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29">
    <w:name w:val="1"/>
    <w:basedOn w:val="1"/>
    <w:next w:val="27"/>
    <w:qFormat/>
    <w:uiPriority w:val="99"/>
    <w:rPr>
      <w:rFonts w:ascii="宋体" w:hAnsi="Courier New"/>
      <w:szCs w:val="20"/>
    </w:rPr>
  </w:style>
  <w:style w:type="paragraph" w:customStyle="1" w:styleId="330">
    <w:name w:val="投标文件"/>
    <w:basedOn w:val="45"/>
    <w:qFormat/>
    <w:uiPriority w:val="99"/>
  </w:style>
  <w:style w:type="paragraph" w:customStyle="1" w:styleId="331">
    <w:name w:val="xl113"/>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color w:val="FF0000"/>
      <w:kern w:val="0"/>
      <w:szCs w:val="21"/>
    </w:rPr>
  </w:style>
  <w:style w:type="paragraph" w:customStyle="1" w:styleId="332">
    <w:name w:val="xl107"/>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Cs w:val="21"/>
    </w:rPr>
  </w:style>
  <w:style w:type="paragraph" w:customStyle="1" w:styleId="333">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334">
    <w:name w:val="xl123"/>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35">
    <w:name w:val="List Paragraph1"/>
    <w:basedOn w:val="1"/>
    <w:qFormat/>
    <w:uiPriority w:val="99"/>
    <w:pPr>
      <w:ind w:firstLine="420" w:firstLineChars="200"/>
    </w:pPr>
  </w:style>
  <w:style w:type="table" w:customStyle="1" w:styleId="336">
    <w:name w:val="网格型2"/>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7">
    <w:name w:val="网格型3"/>
    <w:basedOn w:val="49"/>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8">
    <w:name w:val="网格型1"/>
    <w:basedOn w:val="4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140</Pages>
  <Words>1990</Words>
  <Characters>2278</Characters>
  <Lines>682</Lines>
  <Paragraphs>192</Paragraphs>
  <TotalTime>7</TotalTime>
  <ScaleCrop>false</ScaleCrop>
  <LinksUpToDate>false</LinksUpToDate>
  <CharactersWithSpaces>2349</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2024-09-03T00:19:00Z</dcterms:created>
  <dc:creator>Administrator</dc:creator>
  <cp:lastModifiedBy>Lenovo</cp:lastModifiedBy>
  <cp:lastPrinted>2025-07-15T03:06:19Z</cp:lastPrinted>
  <dcterms:modified xsi:type="dcterms:W3CDTF">2025-07-15T04:00:14Z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13E27E9990BF44B2AFC4A79D38D5B548</vt:lpwstr>
  </property>
  <property fmtid="{D5CDD505-2E9C-101B-9397-08002B2CF9AE}" pid="4" name="KSOTemplateDocerSaveRecord">
    <vt:lpwstr>eyJoZGlkIjoiZjFlNDBjMjJhZDBjY2RjNmNjMTJiNjRlZTY3NzQwMjkiLCJ1c2VySWQiOiI1NjkyMTMzMTIifQ==</vt:lpwstr>
  </property>
</Properties>
</file>