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24860A">
      <w:pPr>
        <w:pStyle w:val="5"/>
        <w:spacing w:line="240" w:lineRule="auto"/>
        <w:jc w:val="center"/>
        <w:rPr>
          <w:rFonts w:hint="eastAsia"/>
          <w:color w:val="auto"/>
          <w:highlight w:val="none"/>
        </w:rPr>
      </w:pPr>
      <w:r>
        <w:rPr>
          <w:rFonts w:hint="eastAsia"/>
          <w:color w:val="auto"/>
          <w:highlight w:val="none"/>
        </w:rPr>
        <w:t>采购需求</w:t>
      </w:r>
    </w:p>
    <w:p w14:paraId="763BBADB">
      <w:pPr>
        <w:spacing w:line="240" w:lineRule="auto"/>
        <w:jc w:val="left"/>
        <w:rPr>
          <w:rFonts w:ascii="宋体" w:hAnsi="宋体" w:cs="宋体"/>
          <w:b w:val="0"/>
          <w:bCs/>
          <w:color w:val="auto"/>
          <w:szCs w:val="21"/>
          <w:highlight w:val="none"/>
        </w:rPr>
      </w:pPr>
      <w:r>
        <w:rPr>
          <w:rFonts w:hint="eastAsia" w:ascii="宋体" w:hAnsi="宋体" w:cs="宋体"/>
          <w:b w:val="0"/>
          <w:bCs/>
          <w:color w:val="auto"/>
          <w:szCs w:val="21"/>
          <w:highlight w:val="none"/>
        </w:rPr>
        <w:t>说明：</w:t>
      </w:r>
    </w:p>
    <w:p w14:paraId="00E41A53">
      <w:pPr>
        <w:spacing w:line="360" w:lineRule="auto"/>
        <w:ind w:firstLine="420" w:firstLineChars="200"/>
        <w:jc w:val="left"/>
        <w:rPr>
          <w:rFonts w:ascii="宋体" w:hAnsi="宋体" w:cs="宋体"/>
          <w:i/>
          <w:iCs/>
          <w:color w:val="auto"/>
          <w:szCs w:val="21"/>
          <w:highlight w:val="none"/>
        </w:rPr>
      </w:pPr>
      <w:r>
        <w:rPr>
          <w:rFonts w:hint="eastAsia" w:ascii="宋体" w:hAnsi="宋体" w:cs="宋体"/>
          <w:color w:val="auto"/>
          <w:highlight w:val="none"/>
        </w:rPr>
        <w:t>1. 为落实政府采购政策需满足的要求</w:t>
      </w:r>
    </w:p>
    <w:p w14:paraId="490254B1">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（1）本招标文件所称中小企业必须符合《政府采购促进中小企业发展管理办法》（财库〔2020〕46号）的规定。</w:t>
      </w:r>
    </w:p>
    <w:p w14:paraId="68C86011">
      <w:pPr>
        <w:spacing w:line="360" w:lineRule="auto"/>
        <w:ind w:firstLine="420" w:firstLineChars="200"/>
        <w:jc w:val="left"/>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rPr>
        <w:t>（2）根据《财政部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投标人的投标货物必须使用政府强制采购的节能产品，</w:t>
      </w:r>
      <w:r>
        <w:rPr>
          <w:rFonts w:hint="eastAsia" w:ascii="宋体" w:hAnsi="宋体" w:cs="宋体"/>
          <w:b/>
          <w:bCs/>
          <w:color w:val="auto"/>
          <w:szCs w:val="21"/>
          <w:highlight w:val="none"/>
        </w:rPr>
        <w:t>投标人必须在投标文件中提供所投标产品有效期内的节能产品认证证书复印件（加盖</w:t>
      </w:r>
      <w:r>
        <w:rPr>
          <w:rFonts w:hint="eastAsia" w:ascii="宋体" w:hAnsi="宋体" w:cs="宋体"/>
          <w:b/>
          <w:bCs/>
          <w:color w:val="auto"/>
          <w:szCs w:val="21"/>
          <w:highlight w:val="none"/>
          <w:lang w:eastAsia="zh-CN"/>
        </w:rPr>
        <w:t>投标人公章</w:t>
      </w:r>
      <w:r>
        <w:rPr>
          <w:rFonts w:hint="eastAsia" w:ascii="宋体" w:hAnsi="宋体" w:cs="宋体"/>
          <w:b/>
          <w:bCs/>
          <w:color w:val="auto"/>
          <w:szCs w:val="21"/>
          <w:highlight w:val="none"/>
        </w:rPr>
        <w:t>），否则投标文件作无效处理</w:t>
      </w:r>
      <w:r>
        <w:rPr>
          <w:rFonts w:hint="eastAsia" w:ascii="宋体" w:hAnsi="宋体" w:cs="宋体"/>
          <w:color w:val="auto"/>
          <w:szCs w:val="21"/>
          <w:highlight w:val="none"/>
        </w:rPr>
        <w:t xml:space="preserve">。如本项目包含的货物属于品目清单内非标注“★”的产品时，应优先采购，具体详见“第四章 </w:t>
      </w:r>
      <w:r>
        <w:rPr>
          <w:rFonts w:hint="eastAsia" w:ascii="宋体" w:hAnsi="宋体" w:cs="宋体"/>
          <w:color w:val="auto"/>
          <w:szCs w:val="21"/>
          <w:highlight w:val="none"/>
          <w:lang w:eastAsia="zh-CN"/>
        </w:rPr>
        <w:t>评标方法和评标标准</w:t>
      </w:r>
      <w:r>
        <w:rPr>
          <w:rFonts w:hint="eastAsia" w:ascii="宋体" w:hAnsi="宋体" w:cs="宋体"/>
          <w:color w:val="auto"/>
          <w:szCs w:val="21"/>
          <w:highlight w:val="none"/>
        </w:rPr>
        <w:t>”。</w:t>
      </w:r>
    </w:p>
    <w:p w14:paraId="6E6F6BBD">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2.“实质性要求”是指招标文件中已经指明不满足则投标无效的条款，或者不能负偏离的条款，或者采购需求中带“</w:t>
      </w:r>
      <w:r>
        <w:rPr>
          <w:rFonts w:hint="eastAsia" w:ascii="宋体" w:hAnsi="宋体" w:cs="宋体"/>
          <w:bCs/>
          <w:color w:val="auto"/>
          <w:highlight w:val="none"/>
        </w:rPr>
        <w:t>▲</w:t>
      </w:r>
      <w:r>
        <w:rPr>
          <w:rFonts w:hint="eastAsia" w:ascii="宋体" w:hAnsi="宋体" w:cs="宋体"/>
          <w:color w:val="auto"/>
          <w:szCs w:val="21"/>
          <w:highlight w:val="none"/>
        </w:rPr>
        <w:t>”的条款。</w:t>
      </w:r>
    </w:p>
    <w:p w14:paraId="353424CC">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3.采购需求中出现的品牌、型号或者生产厂家仅起参考作用，不属于指定品牌、型号或者生产厂家的情形。投标人可参照或者选用其他相当的品牌、型号或者生产厂家替代，但选用的投标产品</w:t>
      </w:r>
      <w:r>
        <w:rPr>
          <w:rFonts w:hint="eastAsia" w:ascii="宋体" w:hAnsi="宋体" w:cs="宋体"/>
          <w:color w:val="auto"/>
          <w:szCs w:val="21"/>
          <w:highlight w:val="none"/>
          <w:lang w:eastAsia="zh-CN"/>
        </w:rPr>
        <w:t>技术</w:t>
      </w:r>
      <w:r>
        <w:rPr>
          <w:rFonts w:hint="eastAsia" w:ascii="宋体" w:hAnsi="宋体" w:cs="宋体"/>
          <w:color w:val="auto"/>
          <w:szCs w:val="21"/>
          <w:highlight w:val="none"/>
        </w:rPr>
        <w:t>参数</w:t>
      </w:r>
      <w:r>
        <w:rPr>
          <w:rFonts w:hint="eastAsia" w:ascii="宋体" w:hAnsi="宋体" w:cs="宋体"/>
          <w:color w:val="auto"/>
          <w:szCs w:val="21"/>
          <w:highlight w:val="none"/>
          <w:lang w:eastAsia="zh-CN"/>
        </w:rPr>
        <w:t>及配置</w:t>
      </w:r>
      <w:r>
        <w:rPr>
          <w:rFonts w:hint="eastAsia" w:ascii="宋体" w:hAnsi="宋体" w:cs="宋体"/>
          <w:color w:val="auto"/>
          <w:szCs w:val="21"/>
          <w:highlight w:val="none"/>
        </w:rPr>
        <w:t>必须满足</w:t>
      </w:r>
      <w:r>
        <w:rPr>
          <w:rFonts w:hint="eastAsia" w:ascii="宋体" w:hAnsi="宋体" w:cs="宋体"/>
          <w:color w:val="auto"/>
          <w:szCs w:val="21"/>
          <w:highlight w:val="none"/>
          <w:lang w:eastAsia="zh-CN"/>
        </w:rPr>
        <w:t>采购</w:t>
      </w:r>
      <w:r>
        <w:rPr>
          <w:rFonts w:hint="eastAsia" w:ascii="宋体" w:hAnsi="宋体" w:cs="宋体"/>
          <w:color w:val="auto"/>
          <w:szCs w:val="21"/>
          <w:highlight w:val="none"/>
        </w:rPr>
        <w:t>要求。</w:t>
      </w:r>
    </w:p>
    <w:p w14:paraId="68EA11CC">
      <w:pPr>
        <w:spacing w:line="360" w:lineRule="auto"/>
        <w:ind w:firstLine="420" w:firstLineChars="200"/>
        <w:jc w:val="left"/>
        <w:rPr>
          <w:rFonts w:hint="eastAsia" w:ascii="宋体" w:hAnsi="宋体" w:cs="宋体"/>
          <w:color w:val="auto"/>
          <w:highlight w:val="none"/>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.投标人必须对投标文件中提供的证明材料和资质文件真实性负责，如出现虚假应标情况，投标人除了应接受有关部门的处罚外，还应依据《中华人民共和国民法典》的相关条款来</w:t>
      </w:r>
      <w:r>
        <w:rPr>
          <w:rFonts w:hint="eastAsia" w:ascii="宋体" w:hAnsi="宋体" w:cs="宋体"/>
          <w:color w:val="auto"/>
          <w:szCs w:val="21"/>
          <w:highlight w:val="none"/>
          <w:lang w:eastAsia="zh-CN"/>
        </w:rPr>
        <w:t>进行</w:t>
      </w:r>
      <w:r>
        <w:rPr>
          <w:rFonts w:hint="eastAsia" w:ascii="宋体" w:hAnsi="宋体" w:cs="宋体"/>
          <w:color w:val="auto"/>
          <w:szCs w:val="21"/>
          <w:highlight w:val="none"/>
        </w:rPr>
        <w:t>赔偿。</w:t>
      </w:r>
    </w:p>
    <w:p w14:paraId="66C20DCC">
      <w:pPr>
        <w:spacing w:line="360" w:lineRule="auto"/>
        <w:ind w:firstLine="420" w:firstLineChars="200"/>
        <w:jc w:val="left"/>
        <w:rPr>
          <w:rFonts w:hint="eastAsia" w:ascii="宋体" w:hAnsi="宋体"/>
          <w:color w:val="auto"/>
          <w:szCs w:val="21"/>
          <w:highlight w:val="none"/>
          <w:shd w:val="clear" w:color="auto" w:fill="auto"/>
        </w:rPr>
      </w:pPr>
      <w:r>
        <w:rPr>
          <w:rFonts w:hint="eastAsia" w:ascii="宋体" w:hAnsi="宋体" w:cs="宋体"/>
          <w:color w:val="auto"/>
          <w:highlight w:val="none"/>
          <w:lang w:val="en-US" w:eastAsia="zh-CN"/>
        </w:rPr>
        <w:t>5</w:t>
      </w:r>
      <w:r>
        <w:rPr>
          <w:rFonts w:hint="eastAsia" w:ascii="宋体" w:hAnsi="宋体" w:cs="宋体"/>
          <w:color w:val="auto"/>
          <w:highlight w:val="none"/>
        </w:rPr>
        <w:t>.投标人应对投标内容所涉及的专利承担法律责任，并负责保护</w:t>
      </w:r>
      <w:r>
        <w:rPr>
          <w:rFonts w:hint="eastAsia" w:ascii="宋体" w:hAnsi="宋体" w:cs="宋体"/>
          <w:color w:val="auto"/>
          <w:highlight w:val="none"/>
          <w:lang w:eastAsia="zh-CN"/>
        </w:rPr>
        <w:t>采购人</w:t>
      </w:r>
      <w:r>
        <w:rPr>
          <w:rFonts w:hint="eastAsia" w:ascii="宋体" w:hAnsi="宋体" w:cs="宋体"/>
          <w:color w:val="auto"/>
          <w:highlight w:val="none"/>
        </w:rPr>
        <w:t>的利益不受任何损害。一切由于文字、商标、技术和软件专利授权引起的法律裁决、诉讼和赔偿费用均由中标人负责。</w:t>
      </w:r>
    </w:p>
    <w:p w14:paraId="53DCCB99">
      <w:pPr>
        <w:spacing w:line="360" w:lineRule="auto"/>
        <w:ind w:left="-10" w:leftChars="-5" w:right="2" w:rightChars="1" w:firstLine="422" w:firstLineChars="200"/>
        <w:rPr>
          <w:rFonts w:hint="default" w:ascii="宋体" w:hAnsi="宋体" w:cs="宋体"/>
          <w:color w:val="auto"/>
          <w:szCs w:val="21"/>
          <w:highlight w:val="none"/>
          <w:lang w:val="en-US"/>
        </w:rPr>
      </w:pPr>
      <w:r>
        <w:rPr>
          <w:rFonts w:hint="eastAsia" w:ascii="Times New Roman" w:hAnsi="宋体" w:eastAsia="宋体" w:cs="Times New Roman"/>
          <w:b/>
          <w:bCs/>
          <w:color w:val="auto"/>
          <w:highlight w:val="none"/>
          <w:lang w:val="en-US" w:eastAsia="zh-CN"/>
        </w:rPr>
        <w:t>6.</w:t>
      </w:r>
      <w:r>
        <w:rPr>
          <w:rFonts w:hint="eastAsia" w:hAnsi="宋体"/>
          <w:b/>
          <w:bCs w:val="0"/>
          <w:color w:val="auto"/>
          <w:szCs w:val="21"/>
          <w:highlight w:val="none"/>
        </w:rPr>
        <w:t>所属行业依照《中小企业划型标准规定》（工信部联企业〔2011〕300号）及《国民经济行业分类》（GB/T4754-2017）的有关规定执行。</w:t>
      </w:r>
      <w:r>
        <w:rPr>
          <w:rFonts w:hint="eastAsia" w:hAnsi="宋体"/>
          <w:b/>
          <w:bCs w:val="0"/>
          <w:color w:val="auto"/>
          <w:szCs w:val="21"/>
          <w:highlight w:val="none"/>
          <w:u w:val="single"/>
        </w:rPr>
        <w:t>本采购项目所属行业为“</w:t>
      </w:r>
      <w:r>
        <w:rPr>
          <w:rFonts w:hint="eastAsia" w:hAnsi="宋体"/>
          <w:b/>
          <w:bCs w:val="0"/>
          <w:color w:val="auto"/>
          <w:szCs w:val="21"/>
          <w:highlight w:val="none"/>
          <w:u w:val="single"/>
          <w:lang w:val="en-US" w:eastAsia="zh-CN"/>
        </w:rPr>
        <w:t>批发业</w:t>
      </w:r>
      <w:r>
        <w:rPr>
          <w:rFonts w:hint="eastAsia" w:hAnsi="宋体"/>
          <w:b/>
          <w:bCs w:val="0"/>
          <w:color w:val="auto"/>
          <w:szCs w:val="21"/>
          <w:highlight w:val="none"/>
          <w:u w:val="single"/>
        </w:rPr>
        <w:t>”</w:t>
      </w:r>
      <w:r>
        <w:rPr>
          <w:rFonts w:hint="eastAsia" w:hAnsi="宋体"/>
          <w:b/>
          <w:bCs/>
          <w:color w:val="auto"/>
          <w:highlight w:val="none"/>
          <w:lang w:val="en-US" w:eastAsia="zh-CN"/>
        </w:rPr>
        <w:t>。</w:t>
      </w:r>
    </w:p>
    <w:p w14:paraId="31DE215A">
      <w:pPr>
        <w:spacing w:line="360" w:lineRule="auto"/>
        <w:ind w:left="-10" w:leftChars="-5" w:right="2" w:rightChars="1" w:firstLine="420" w:firstLineChars="200"/>
        <w:rPr>
          <w:rFonts w:hint="eastAsia" w:hAnsi="宋体"/>
          <w:b w:val="0"/>
          <w:bCs/>
          <w:color w:val="auto"/>
          <w:highlight w:val="none"/>
        </w:rPr>
      </w:pP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w:t>
      </w:r>
      <w:bookmarkStart w:id="0" w:name="_Hlk65055179"/>
      <w:r>
        <w:rPr>
          <w:rFonts w:hint="eastAsia" w:ascii="宋体" w:hAnsi="宋体" w:cs="宋体"/>
          <w:color w:val="auto"/>
          <w:szCs w:val="21"/>
          <w:highlight w:val="none"/>
          <w:lang w:val="en-US" w:eastAsia="zh-CN"/>
        </w:rPr>
        <w:t xml:space="preserve"> </w:t>
      </w:r>
      <w:r>
        <w:rPr>
          <w:rFonts w:hint="eastAsia" w:hAnsi="宋体"/>
          <w:b w:val="0"/>
          <w:bCs/>
          <w:color w:val="auto"/>
          <w:highlight w:val="none"/>
        </w:rPr>
        <w:t>投标人应根据自身实际情况如实响应招标文件，不得仅将招标文件内容简单复制粘贴作为投标响应，</w:t>
      </w:r>
      <w:r>
        <w:rPr>
          <w:rFonts w:hAnsi="宋体"/>
          <w:b w:val="0"/>
          <w:bCs/>
          <w:color w:val="auto"/>
          <w:highlight w:val="none"/>
        </w:rPr>
        <w:t>否则投标文件作无效处理</w:t>
      </w:r>
      <w:r>
        <w:rPr>
          <w:rFonts w:hint="eastAsia" w:hAnsi="宋体"/>
          <w:b w:val="0"/>
          <w:bCs/>
          <w:color w:val="auto"/>
          <w:highlight w:val="none"/>
        </w:rPr>
        <w:t>（定制采购不适用本条款）。</w:t>
      </w:r>
    </w:p>
    <w:bookmarkEnd w:id="0"/>
    <w:p w14:paraId="2310FF2F">
      <w:pPr>
        <w:spacing w:line="360" w:lineRule="auto"/>
        <w:ind w:firstLine="521" w:firstLineChars="247"/>
        <w:jc w:val="left"/>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8.项目概况：</w:t>
      </w:r>
    </w:p>
    <w:p w14:paraId="6DE71466">
      <w:pPr>
        <w:spacing w:line="360" w:lineRule="auto"/>
        <w:ind w:firstLine="521" w:firstLineChars="247"/>
        <w:jc w:val="left"/>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本项目内容为食品采购、存储及配送服务，实施地点为防城港市防城区内的城区及各乡镇村屯学校，服务范围包含数八所学校约3300多名学生的营养食品配送，项目的采购、存储、配送等工作量大，琐碎，在本项目中保障各校每天所需食材按时保质保量配送到位以及食品安全是重中之重。</w:t>
      </w:r>
    </w:p>
    <w:p w14:paraId="0DCF15E4">
      <w:pPr>
        <w:spacing w:line="360" w:lineRule="auto"/>
        <w:ind w:firstLine="521" w:firstLineChars="247"/>
        <w:jc w:val="left"/>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（2）本项目需配送的绝大多数学校为偏远区域乡镇学校，各学校互相之间的距离远近不一，最远的相距有120多公里。</w:t>
      </w:r>
    </w:p>
    <w:p w14:paraId="69A7DAA1">
      <w:pPr>
        <w:spacing w:line="360" w:lineRule="auto"/>
        <w:ind w:firstLine="521" w:firstLineChars="247"/>
        <w:jc w:val="left"/>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（3）投标人应自行考量本项目实施的现实情况再进行投标，必要时投标前可自行进行现场踏勘，招标人联系方式：甲世斌；0770-3251870。</w:t>
      </w:r>
    </w:p>
    <w:p w14:paraId="6EA80D23">
      <w:pPr>
        <w:pStyle w:val="6"/>
        <w:spacing w:line="360" w:lineRule="auto"/>
        <w:ind w:firstLine="422" w:firstLineChars="200"/>
        <w:rPr>
          <w:rFonts w:hint="eastAsia"/>
          <w:color w:val="auto"/>
          <w:highlight w:val="none"/>
          <w:lang w:val="en-US" w:eastAsia="zh-CN"/>
        </w:rPr>
      </w:pPr>
      <w:r>
        <w:rPr>
          <w:rFonts w:hint="eastAsia" w:ascii="宋体" w:hAnsi="宋体" w:eastAsia="宋体" w:cs="宋体"/>
          <w:b/>
          <w:bCs/>
          <w:color w:val="auto"/>
          <w:kern w:val="2"/>
          <w:sz w:val="21"/>
          <w:szCs w:val="21"/>
          <w:highlight w:val="none"/>
          <w:lang w:val="en-US" w:eastAsia="zh-CN" w:bidi="ar-SA"/>
        </w:rPr>
        <w:t>（4）人数分布情况及预算控制价情况如下：</w:t>
      </w:r>
    </w:p>
    <w:p w14:paraId="003CE2F5">
      <w:pPr>
        <w:pStyle w:val="6"/>
        <w:spacing w:line="360" w:lineRule="auto"/>
        <w:rPr>
          <w:rFonts w:hint="eastAsia" w:ascii="宋体" w:hAnsi="宋体" w:cs="宋体"/>
          <w:b/>
          <w:bCs/>
          <w:color w:val="auto"/>
          <w:kern w:val="2"/>
          <w:sz w:val="21"/>
          <w:szCs w:val="21"/>
          <w:highlight w:val="none"/>
          <w:lang w:val="en-US" w:eastAsia="zh-CN" w:bidi="ar-SA"/>
        </w:rPr>
      </w:pPr>
    </w:p>
    <w:p w14:paraId="10BC40E6">
      <w:pPr>
        <w:pStyle w:val="6"/>
        <w:spacing w:line="360" w:lineRule="auto"/>
        <w:rPr>
          <w:rFonts w:hint="eastAsia" w:ascii="宋体" w:hAnsi="宋体" w:eastAsia="宋体" w:cs="宋体"/>
          <w:b/>
          <w:bCs/>
          <w:color w:val="auto"/>
          <w:kern w:val="2"/>
          <w:sz w:val="21"/>
          <w:szCs w:val="21"/>
          <w:highlight w:val="none"/>
          <w:lang w:val="en-US" w:eastAsia="zh-CN" w:bidi="ar-SA"/>
        </w:rPr>
      </w:pPr>
      <w:r>
        <w:rPr>
          <w:rFonts w:hint="eastAsia" w:ascii="宋体" w:hAnsi="宋体" w:cs="宋体"/>
          <w:b/>
          <w:bCs/>
          <w:color w:val="auto"/>
          <w:kern w:val="2"/>
          <w:sz w:val="21"/>
          <w:szCs w:val="21"/>
          <w:highlight w:val="none"/>
          <w:lang w:val="en-US" w:eastAsia="zh-CN" w:bidi="ar-SA"/>
        </w:rPr>
        <w:t>附表1：</w:t>
      </w:r>
      <w:r>
        <w:rPr>
          <w:rFonts w:hint="eastAsia" w:ascii="宋体" w:hAnsi="宋体" w:eastAsia="宋体" w:cs="宋体"/>
          <w:b/>
          <w:bCs/>
          <w:color w:val="auto"/>
          <w:kern w:val="2"/>
          <w:sz w:val="21"/>
          <w:szCs w:val="21"/>
          <w:highlight w:val="none"/>
          <w:lang w:val="en-US" w:eastAsia="zh-CN" w:bidi="ar-SA"/>
        </w:rPr>
        <w:t>本项目人数分布情况及预算控制价情况如下（最终配送人数以实际在校学生数为准）：</w:t>
      </w:r>
    </w:p>
    <w:tbl>
      <w:tblPr>
        <w:tblStyle w:val="7"/>
        <w:tblW w:w="9377"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300"/>
        <w:gridCol w:w="2016"/>
        <w:gridCol w:w="1296"/>
        <w:gridCol w:w="2221"/>
        <w:gridCol w:w="2544"/>
      </w:tblGrid>
      <w:tr w14:paraId="1EADD8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1300" w:type="dxa"/>
            <w:tcBorders>
              <w:top w:val="single" w:color="000000" w:sz="4" w:space="0"/>
              <w:left w:val="single" w:color="000000" w:sz="4" w:space="0"/>
              <w:bottom w:val="single" w:color="000000" w:sz="4" w:space="0"/>
              <w:right w:val="single" w:color="000000" w:sz="4" w:space="0"/>
            </w:tcBorders>
            <w:noWrap w:val="0"/>
            <w:vAlign w:val="center"/>
          </w:tcPr>
          <w:p w14:paraId="4D56D370">
            <w:pPr>
              <w:jc w:val="both"/>
              <w:rPr>
                <w:rFonts w:hint="eastAsia" w:ascii="宋体" w:hAnsi="宋体" w:eastAsia="宋体" w:cs="宋体"/>
                <w:i w:val="0"/>
                <w:iCs w:val="0"/>
                <w:color w:val="auto"/>
                <w:sz w:val="21"/>
                <w:szCs w:val="21"/>
                <w:highlight w:val="none"/>
                <w:u w:val="none"/>
                <w:lang w:eastAsia="zh-CN"/>
              </w:rPr>
            </w:pPr>
            <w:r>
              <w:rPr>
                <w:rFonts w:hint="eastAsia" w:ascii="宋体" w:hAnsi="宋体" w:eastAsia="宋体" w:cs="宋体"/>
                <w:i w:val="0"/>
                <w:iCs w:val="0"/>
                <w:color w:val="auto"/>
                <w:sz w:val="21"/>
                <w:szCs w:val="21"/>
                <w:highlight w:val="none"/>
                <w:u w:val="none"/>
                <w:lang w:eastAsia="zh-CN"/>
              </w:rPr>
              <w:t>配送内容</w:t>
            </w:r>
          </w:p>
        </w:tc>
        <w:tc>
          <w:tcPr>
            <w:tcW w:w="2016" w:type="dxa"/>
            <w:tcBorders>
              <w:top w:val="single" w:color="000000" w:sz="4" w:space="0"/>
              <w:left w:val="single" w:color="000000" w:sz="4" w:space="0"/>
              <w:bottom w:val="single" w:color="000000" w:sz="4" w:space="0"/>
              <w:right w:val="single" w:color="000000" w:sz="4" w:space="0"/>
            </w:tcBorders>
            <w:noWrap w:val="0"/>
            <w:vAlign w:val="center"/>
          </w:tcPr>
          <w:p w14:paraId="1C94F1AF">
            <w:pPr>
              <w:keepNext w:val="0"/>
              <w:keepLines w:val="0"/>
              <w:widowControl/>
              <w:suppressLineNumbers w:val="0"/>
              <w:jc w:val="center"/>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实施地点</w:t>
            </w:r>
          </w:p>
        </w:tc>
        <w:tc>
          <w:tcPr>
            <w:tcW w:w="1296" w:type="dxa"/>
            <w:tcBorders>
              <w:top w:val="single" w:color="000000" w:sz="4" w:space="0"/>
              <w:left w:val="single" w:color="000000" w:sz="4" w:space="0"/>
              <w:bottom w:val="single" w:color="000000" w:sz="4" w:space="0"/>
              <w:right w:val="single" w:color="000000" w:sz="4" w:space="0"/>
            </w:tcBorders>
            <w:noWrap w:val="0"/>
            <w:vAlign w:val="center"/>
          </w:tcPr>
          <w:p w14:paraId="6A67AAFF">
            <w:pPr>
              <w:keepNext w:val="0"/>
              <w:keepLines w:val="0"/>
              <w:widowControl/>
              <w:suppressLineNumbers w:val="0"/>
              <w:jc w:val="both"/>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计划人数</w:t>
            </w:r>
          </w:p>
        </w:tc>
        <w:tc>
          <w:tcPr>
            <w:tcW w:w="2221" w:type="dxa"/>
            <w:tcBorders>
              <w:top w:val="single" w:color="000000" w:sz="4" w:space="0"/>
              <w:left w:val="single" w:color="000000" w:sz="4" w:space="0"/>
              <w:bottom w:val="single" w:color="auto" w:sz="4" w:space="0"/>
              <w:right w:val="single" w:color="000000" w:sz="4" w:space="0"/>
            </w:tcBorders>
            <w:noWrap w:val="0"/>
            <w:vAlign w:val="center"/>
          </w:tcPr>
          <w:p w14:paraId="38931447">
            <w:pPr>
              <w:keepNext w:val="0"/>
              <w:keepLines w:val="0"/>
              <w:widowControl/>
              <w:suppressLineNumbers w:val="0"/>
              <w:jc w:val="center"/>
              <w:textAlignment w:val="top"/>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总人数</w:t>
            </w:r>
          </w:p>
        </w:tc>
        <w:tc>
          <w:tcPr>
            <w:tcW w:w="2544" w:type="dxa"/>
            <w:tcBorders>
              <w:top w:val="single" w:color="000000" w:sz="4" w:space="0"/>
              <w:left w:val="single" w:color="000000" w:sz="4" w:space="0"/>
              <w:bottom w:val="single" w:color="auto" w:sz="4" w:space="0"/>
              <w:right w:val="single" w:color="000000" w:sz="4" w:space="0"/>
            </w:tcBorders>
            <w:noWrap w:val="0"/>
            <w:vAlign w:val="center"/>
          </w:tcPr>
          <w:p w14:paraId="797AE08B">
            <w:pPr>
              <w:keepNext w:val="0"/>
              <w:keepLines w:val="0"/>
              <w:widowControl/>
              <w:suppressLineNumbers w:val="0"/>
              <w:jc w:val="center"/>
              <w:textAlignment w:val="top"/>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预算价（元）/最高限价</w:t>
            </w:r>
          </w:p>
        </w:tc>
      </w:tr>
      <w:tr w14:paraId="0C3052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1300" w:type="dxa"/>
            <w:vMerge w:val="restart"/>
            <w:tcBorders>
              <w:top w:val="single" w:color="000000" w:sz="4" w:space="0"/>
              <w:left w:val="single" w:color="000000" w:sz="4" w:space="0"/>
              <w:bottom w:val="single" w:color="000000" w:sz="4" w:space="0"/>
              <w:right w:val="single" w:color="000000" w:sz="4" w:space="0"/>
            </w:tcBorders>
            <w:noWrap w:val="0"/>
            <w:vAlign w:val="center"/>
          </w:tcPr>
          <w:p w14:paraId="69039674">
            <w:pPr>
              <w:keepNext w:val="0"/>
              <w:keepLines w:val="0"/>
              <w:widowControl/>
              <w:suppressLineNumbers w:val="0"/>
              <w:jc w:val="both"/>
              <w:textAlignment w:val="top"/>
              <w:rPr>
                <w:rFonts w:hint="default" w:ascii="宋体" w:hAnsi="宋体" w:eastAsia="宋体" w:cs="宋体"/>
                <w:i w:val="0"/>
                <w:iCs w:val="0"/>
                <w:color w:val="auto"/>
                <w:sz w:val="21"/>
                <w:szCs w:val="21"/>
                <w:highlight w:val="none"/>
                <w:u w:val="none"/>
                <w:lang w:val="en-US"/>
              </w:rPr>
            </w:pPr>
            <w:r>
              <w:rPr>
                <w:rFonts w:hint="eastAsia" w:ascii="宋体" w:hAnsi="宋体" w:cs="Arial"/>
                <w:bCs/>
                <w:color w:val="auto"/>
                <w:szCs w:val="21"/>
                <w:highlight w:val="none"/>
                <w:lang w:eastAsia="zh-CN"/>
              </w:rPr>
              <w:t>学生营养改善企业供餐（牛奶、面包、蛋糕）</w:t>
            </w:r>
          </w:p>
        </w:tc>
        <w:tc>
          <w:tcPr>
            <w:tcW w:w="2016" w:type="dxa"/>
            <w:tcBorders>
              <w:top w:val="single" w:color="000000" w:sz="4" w:space="0"/>
              <w:left w:val="single" w:color="000000" w:sz="4" w:space="0"/>
              <w:bottom w:val="single" w:color="000000" w:sz="4" w:space="0"/>
              <w:right w:val="single" w:color="000000" w:sz="4" w:space="0"/>
            </w:tcBorders>
            <w:noWrap w:val="0"/>
            <w:vAlign w:val="center"/>
          </w:tcPr>
          <w:p w14:paraId="25CC79D7">
            <w:pPr>
              <w:keepNext w:val="0"/>
              <w:keepLines w:val="0"/>
              <w:widowControl/>
              <w:suppressLineNumbers w:val="0"/>
              <w:jc w:val="center"/>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峒中镇</w:t>
            </w:r>
          </w:p>
        </w:tc>
        <w:tc>
          <w:tcPr>
            <w:tcW w:w="1296" w:type="dxa"/>
            <w:tcBorders>
              <w:top w:val="single" w:color="000000" w:sz="4" w:space="0"/>
              <w:left w:val="single" w:color="000000" w:sz="4" w:space="0"/>
              <w:bottom w:val="single" w:color="000000" w:sz="4" w:space="0"/>
              <w:right w:val="single" w:color="auto" w:sz="4" w:space="0"/>
            </w:tcBorders>
            <w:noWrap w:val="0"/>
            <w:vAlign w:val="center"/>
          </w:tcPr>
          <w:p w14:paraId="56C23D4E">
            <w:pPr>
              <w:keepNext w:val="0"/>
              <w:keepLines w:val="0"/>
              <w:widowControl/>
              <w:suppressLineNumbers w:val="0"/>
              <w:jc w:val="center"/>
              <w:textAlignment w:val="top"/>
              <w:rPr>
                <w:rFonts w:hint="default"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20</w:t>
            </w:r>
          </w:p>
        </w:tc>
        <w:tc>
          <w:tcPr>
            <w:tcW w:w="2221" w:type="dxa"/>
            <w:vMerge w:val="restart"/>
            <w:tcBorders>
              <w:top w:val="single" w:color="auto" w:sz="4" w:space="0"/>
              <w:left w:val="single" w:color="auto" w:sz="4" w:space="0"/>
              <w:bottom w:val="single" w:color="auto" w:sz="4" w:space="0"/>
              <w:right w:val="single" w:color="auto" w:sz="4" w:space="0"/>
            </w:tcBorders>
            <w:noWrap w:val="0"/>
            <w:vAlign w:val="center"/>
          </w:tcPr>
          <w:p w14:paraId="72132383">
            <w:pPr>
              <w:keepNext w:val="0"/>
              <w:keepLines w:val="0"/>
              <w:widowControl/>
              <w:suppressLineNumbers w:val="0"/>
              <w:jc w:val="center"/>
              <w:textAlignment w:val="top"/>
              <w:rPr>
                <w:rFonts w:hint="default"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3311</w:t>
            </w:r>
          </w:p>
        </w:tc>
        <w:tc>
          <w:tcPr>
            <w:tcW w:w="2544" w:type="dxa"/>
            <w:vMerge w:val="restart"/>
            <w:tcBorders>
              <w:top w:val="single" w:color="auto" w:sz="4" w:space="0"/>
              <w:left w:val="single" w:color="auto" w:sz="4" w:space="0"/>
              <w:bottom w:val="single" w:color="auto" w:sz="4" w:space="0"/>
              <w:right w:val="single" w:color="auto" w:sz="4" w:space="0"/>
            </w:tcBorders>
            <w:noWrap w:val="0"/>
            <w:vAlign w:val="center"/>
          </w:tcPr>
          <w:p w14:paraId="582CB923">
            <w:pPr>
              <w:keepNext w:val="0"/>
              <w:keepLines w:val="0"/>
              <w:widowControl/>
              <w:suppressLineNumbers w:val="0"/>
              <w:jc w:val="center"/>
              <w:textAlignment w:val="top"/>
              <w:rPr>
                <w:rFonts w:hint="default"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2"/>
                <w:sz w:val="21"/>
                <w:szCs w:val="21"/>
                <w:highlight w:val="none"/>
                <w:u w:val="none"/>
                <w:lang w:val="en-US" w:eastAsia="zh-CN" w:bidi="ar-SA"/>
              </w:rPr>
              <w:t>3067350.00</w:t>
            </w:r>
          </w:p>
        </w:tc>
      </w:tr>
      <w:tr w14:paraId="74B0C9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13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562B564">
            <w:pPr>
              <w:jc w:val="both"/>
              <w:rPr>
                <w:rFonts w:hint="eastAsia" w:ascii="宋体" w:hAnsi="宋体" w:eastAsia="宋体" w:cs="宋体"/>
                <w:i w:val="0"/>
                <w:iCs w:val="0"/>
                <w:color w:val="auto"/>
                <w:sz w:val="21"/>
                <w:szCs w:val="21"/>
                <w:highlight w:val="none"/>
                <w:u w:val="none"/>
              </w:rPr>
            </w:pPr>
          </w:p>
        </w:tc>
        <w:tc>
          <w:tcPr>
            <w:tcW w:w="2016" w:type="dxa"/>
            <w:tcBorders>
              <w:top w:val="single" w:color="000000" w:sz="4" w:space="0"/>
              <w:left w:val="single" w:color="000000" w:sz="4" w:space="0"/>
              <w:bottom w:val="single" w:color="000000" w:sz="4" w:space="0"/>
              <w:right w:val="single" w:color="000000" w:sz="4" w:space="0"/>
            </w:tcBorders>
            <w:noWrap w:val="0"/>
            <w:vAlign w:val="center"/>
          </w:tcPr>
          <w:p w14:paraId="5A13DA48">
            <w:pPr>
              <w:keepNext w:val="0"/>
              <w:keepLines w:val="0"/>
              <w:widowControl/>
              <w:suppressLineNumbers w:val="0"/>
              <w:jc w:val="center"/>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那良镇</w:t>
            </w:r>
          </w:p>
        </w:tc>
        <w:tc>
          <w:tcPr>
            <w:tcW w:w="1296" w:type="dxa"/>
            <w:tcBorders>
              <w:top w:val="single" w:color="000000" w:sz="4" w:space="0"/>
              <w:left w:val="single" w:color="000000" w:sz="4" w:space="0"/>
              <w:bottom w:val="single" w:color="000000" w:sz="4" w:space="0"/>
              <w:right w:val="single" w:color="auto" w:sz="4" w:space="0"/>
            </w:tcBorders>
            <w:noWrap w:val="0"/>
            <w:vAlign w:val="center"/>
          </w:tcPr>
          <w:p w14:paraId="3FE632D4">
            <w:pPr>
              <w:keepNext w:val="0"/>
              <w:keepLines w:val="0"/>
              <w:widowControl/>
              <w:suppressLineNumbers w:val="0"/>
              <w:jc w:val="center"/>
              <w:textAlignment w:val="top"/>
              <w:rPr>
                <w:rFonts w:hint="default"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653</w:t>
            </w:r>
          </w:p>
        </w:tc>
        <w:tc>
          <w:tcPr>
            <w:tcW w:w="2221" w:type="dxa"/>
            <w:vMerge w:val="continue"/>
            <w:tcBorders>
              <w:top w:val="single" w:color="auto" w:sz="4" w:space="0"/>
              <w:left w:val="single" w:color="auto" w:sz="4" w:space="0"/>
              <w:bottom w:val="single" w:color="auto" w:sz="4" w:space="0"/>
              <w:right w:val="single" w:color="000000" w:sz="4" w:space="0"/>
            </w:tcBorders>
            <w:noWrap w:val="0"/>
            <w:vAlign w:val="top"/>
          </w:tcPr>
          <w:p w14:paraId="7E8B4397">
            <w:pPr>
              <w:keepNext w:val="0"/>
              <w:keepLines w:val="0"/>
              <w:widowControl/>
              <w:suppressLineNumbers w:val="0"/>
              <w:jc w:val="both"/>
              <w:textAlignment w:val="top"/>
              <w:rPr>
                <w:rFonts w:hint="eastAsia" w:ascii="宋体" w:hAnsi="宋体" w:eastAsia="宋体" w:cs="宋体"/>
                <w:i w:val="0"/>
                <w:iCs w:val="0"/>
                <w:color w:val="auto"/>
                <w:kern w:val="0"/>
                <w:sz w:val="21"/>
                <w:szCs w:val="21"/>
                <w:highlight w:val="none"/>
                <w:u w:val="none"/>
                <w:lang w:val="en-US" w:eastAsia="zh-CN" w:bidi="ar"/>
              </w:rPr>
            </w:pPr>
          </w:p>
        </w:tc>
        <w:tc>
          <w:tcPr>
            <w:tcW w:w="2544" w:type="dxa"/>
            <w:vMerge w:val="continue"/>
            <w:tcBorders>
              <w:top w:val="single" w:color="auto" w:sz="4" w:space="0"/>
              <w:left w:val="single" w:color="000000" w:sz="4" w:space="0"/>
              <w:bottom w:val="single" w:color="auto" w:sz="4" w:space="0"/>
              <w:right w:val="single" w:color="auto" w:sz="4" w:space="0"/>
            </w:tcBorders>
            <w:noWrap w:val="0"/>
            <w:vAlign w:val="top"/>
          </w:tcPr>
          <w:p w14:paraId="03069A90">
            <w:pPr>
              <w:keepNext w:val="0"/>
              <w:keepLines w:val="0"/>
              <w:widowControl/>
              <w:suppressLineNumbers w:val="0"/>
              <w:jc w:val="both"/>
              <w:textAlignment w:val="top"/>
              <w:rPr>
                <w:rFonts w:hint="eastAsia" w:ascii="宋体" w:hAnsi="宋体" w:eastAsia="宋体" w:cs="宋体"/>
                <w:i w:val="0"/>
                <w:iCs w:val="0"/>
                <w:color w:val="auto"/>
                <w:kern w:val="0"/>
                <w:sz w:val="21"/>
                <w:szCs w:val="21"/>
                <w:highlight w:val="none"/>
                <w:u w:val="none"/>
                <w:lang w:val="en-US" w:eastAsia="zh-CN" w:bidi="ar"/>
              </w:rPr>
            </w:pPr>
          </w:p>
        </w:tc>
      </w:tr>
      <w:tr w14:paraId="362D2D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13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46848F5">
            <w:pPr>
              <w:jc w:val="both"/>
              <w:rPr>
                <w:rFonts w:hint="eastAsia" w:ascii="宋体" w:hAnsi="宋体" w:eastAsia="宋体" w:cs="宋体"/>
                <w:i w:val="0"/>
                <w:iCs w:val="0"/>
                <w:color w:val="auto"/>
                <w:sz w:val="21"/>
                <w:szCs w:val="21"/>
                <w:highlight w:val="none"/>
                <w:u w:val="none"/>
              </w:rPr>
            </w:pPr>
          </w:p>
        </w:tc>
        <w:tc>
          <w:tcPr>
            <w:tcW w:w="2016" w:type="dxa"/>
            <w:tcBorders>
              <w:top w:val="single" w:color="000000" w:sz="4" w:space="0"/>
              <w:left w:val="single" w:color="000000" w:sz="4" w:space="0"/>
              <w:bottom w:val="single" w:color="000000" w:sz="4" w:space="0"/>
              <w:right w:val="single" w:color="000000" w:sz="4" w:space="0"/>
            </w:tcBorders>
            <w:noWrap w:val="0"/>
            <w:vAlign w:val="center"/>
          </w:tcPr>
          <w:p w14:paraId="58056D2E">
            <w:pPr>
              <w:keepNext w:val="0"/>
              <w:keepLines w:val="0"/>
              <w:widowControl/>
              <w:suppressLineNumbers w:val="0"/>
              <w:jc w:val="center"/>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水营街道</w:t>
            </w:r>
          </w:p>
        </w:tc>
        <w:tc>
          <w:tcPr>
            <w:tcW w:w="1296" w:type="dxa"/>
            <w:tcBorders>
              <w:top w:val="single" w:color="000000" w:sz="4" w:space="0"/>
              <w:left w:val="single" w:color="000000" w:sz="4" w:space="0"/>
              <w:bottom w:val="single" w:color="000000" w:sz="4" w:space="0"/>
              <w:right w:val="single" w:color="auto" w:sz="4" w:space="0"/>
            </w:tcBorders>
            <w:noWrap w:val="0"/>
            <w:vAlign w:val="center"/>
          </w:tcPr>
          <w:p w14:paraId="3A46B7A5">
            <w:pPr>
              <w:keepNext w:val="0"/>
              <w:keepLines w:val="0"/>
              <w:widowControl/>
              <w:suppressLineNumbers w:val="0"/>
              <w:jc w:val="center"/>
              <w:textAlignment w:val="top"/>
              <w:rPr>
                <w:rFonts w:hint="default"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980</w:t>
            </w:r>
          </w:p>
        </w:tc>
        <w:tc>
          <w:tcPr>
            <w:tcW w:w="2221" w:type="dxa"/>
            <w:vMerge w:val="continue"/>
            <w:tcBorders>
              <w:top w:val="single" w:color="auto" w:sz="4" w:space="0"/>
              <w:left w:val="single" w:color="auto" w:sz="4" w:space="0"/>
              <w:bottom w:val="single" w:color="auto" w:sz="4" w:space="0"/>
              <w:right w:val="single" w:color="000000" w:sz="4" w:space="0"/>
            </w:tcBorders>
            <w:noWrap w:val="0"/>
            <w:vAlign w:val="top"/>
          </w:tcPr>
          <w:p w14:paraId="39EF6E26">
            <w:pPr>
              <w:keepNext w:val="0"/>
              <w:keepLines w:val="0"/>
              <w:widowControl/>
              <w:suppressLineNumbers w:val="0"/>
              <w:jc w:val="both"/>
              <w:textAlignment w:val="top"/>
              <w:rPr>
                <w:rFonts w:hint="eastAsia" w:ascii="宋体" w:hAnsi="宋体" w:eastAsia="宋体" w:cs="宋体"/>
                <w:i w:val="0"/>
                <w:iCs w:val="0"/>
                <w:color w:val="auto"/>
                <w:kern w:val="0"/>
                <w:sz w:val="21"/>
                <w:szCs w:val="21"/>
                <w:highlight w:val="none"/>
                <w:u w:val="none"/>
                <w:lang w:val="en-US" w:eastAsia="zh-CN" w:bidi="ar"/>
              </w:rPr>
            </w:pPr>
          </w:p>
        </w:tc>
        <w:tc>
          <w:tcPr>
            <w:tcW w:w="2544" w:type="dxa"/>
            <w:vMerge w:val="continue"/>
            <w:tcBorders>
              <w:top w:val="single" w:color="auto" w:sz="4" w:space="0"/>
              <w:left w:val="single" w:color="000000" w:sz="4" w:space="0"/>
              <w:bottom w:val="single" w:color="auto" w:sz="4" w:space="0"/>
              <w:right w:val="single" w:color="auto" w:sz="4" w:space="0"/>
            </w:tcBorders>
            <w:noWrap w:val="0"/>
            <w:vAlign w:val="top"/>
          </w:tcPr>
          <w:p w14:paraId="26D8BB3E">
            <w:pPr>
              <w:keepNext w:val="0"/>
              <w:keepLines w:val="0"/>
              <w:widowControl/>
              <w:suppressLineNumbers w:val="0"/>
              <w:jc w:val="both"/>
              <w:textAlignment w:val="top"/>
              <w:rPr>
                <w:rFonts w:hint="eastAsia" w:ascii="宋体" w:hAnsi="宋体" w:eastAsia="宋体" w:cs="宋体"/>
                <w:i w:val="0"/>
                <w:iCs w:val="0"/>
                <w:color w:val="auto"/>
                <w:kern w:val="0"/>
                <w:sz w:val="21"/>
                <w:szCs w:val="21"/>
                <w:highlight w:val="none"/>
                <w:u w:val="none"/>
                <w:lang w:val="en-US" w:eastAsia="zh-CN" w:bidi="ar"/>
              </w:rPr>
            </w:pPr>
          </w:p>
        </w:tc>
      </w:tr>
      <w:tr w14:paraId="39DCFF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13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353C247">
            <w:pPr>
              <w:jc w:val="both"/>
              <w:rPr>
                <w:rFonts w:hint="eastAsia" w:ascii="宋体" w:hAnsi="宋体" w:eastAsia="宋体" w:cs="宋体"/>
                <w:i w:val="0"/>
                <w:iCs w:val="0"/>
                <w:color w:val="auto"/>
                <w:sz w:val="21"/>
                <w:szCs w:val="21"/>
                <w:highlight w:val="none"/>
                <w:u w:val="none"/>
              </w:rPr>
            </w:pPr>
          </w:p>
        </w:tc>
        <w:tc>
          <w:tcPr>
            <w:tcW w:w="2016" w:type="dxa"/>
            <w:tcBorders>
              <w:top w:val="single" w:color="000000" w:sz="4" w:space="0"/>
              <w:left w:val="single" w:color="000000" w:sz="4" w:space="0"/>
              <w:bottom w:val="single" w:color="000000" w:sz="4" w:space="0"/>
              <w:right w:val="single" w:color="000000" w:sz="4" w:space="0"/>
            </w:tcBorders>
            <w:noWrap w:val="0"/>
            <w:vAlign w:val="center"/>
          </w:tcPr>
          <w:p w14:paraId="1D2B2663">
            <w:pPr>
              <w:keepNext w:val="0"/>
              <w:keepLines w:val="0"/>
              <w:widowControl/>
              <w:suppressLineNumbers w:val="0"/>
              <w:jc w:val="center"/>
              <w:textAlignment w:val="top"/>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滩营乡</w:t>
            </w:r>
          </w:p>
        </w:tc>
        <w:tc>
          <w:tcPr>
            <w:tcW w:w="1296" w:type="dxa"/>
            <w:tcBorders>
              <w:top w:val="single" w:color="000000" w:sz="4" w:space="0"/>
              <w:left w:val="single" w:color="000000" w:sz="4" w:space="0"/>
              <w:bottom w:val="single" w:color="000000" w:sz="4" w:space="0"/>
              <w:right w:val="single" w:color="auto" w:sz="4" w:space="0"/>
            </w:tcBorders>
            <w:noWrap w:val="0"/>
            <w:vAlign w:val="center"/>
          </w:tcPr>
          <w:p w14:paraId="1B9DF45F">
            <w:pPr>
              <w:keepNext w:val="0"/>
              <w:keepLines w:val="0"/>
              <w:widowControl/>
              <w:suppressLineNumbers w:val="0"/>
              <w:jc w:val="center"/>
              <w:textAlignment w:val="top"/>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201</w:t>
            </w:r>
          </w:p>
        </w:tc>
        <w:tc>
          <w:tcPr>
            <w:tcW w:w="2221" w:type="dxa"/>
            <w:vMerge w:val="continue"/>
            <w:tcBorders>
              <w:top w:val="single" w:color="auto" w:sz="4" w:space="0"/>
              <w:left w:val="single" w:color="auto" w:sz="4" w:space="0"/>
              <w:bottom w:val="single" w:color="auto" w:sz="4" w:space="0"/>
              <w:right w:val="single" w:color="000000" w:sz="4" w:space="0"/>
            </w:tcBorders>
            <w:noWrap w:val="0"/>
            <w:vAlign w:val="top"/>
          </w:tcPr>
          <w:p w14:paraId="31AE6CD2">
            <w:pPr>
              <w:keepNext w:val="0"/>
              <w:keepLines w:val="0"/>
              <w:widowControl/>
              <w:suppressLineNumbers w:val="0"/>
              <w:jc w:val="both"/>
              <w:textAlignment w:val="top"/>
              <w:rPr>
                <w:rFonts w:hint="eastAsia" w:ascii="宋体" w:hAnsi="宋体" w:eastAsia="宋体" w:cs="宋体"/>
                <w:i w:val="0"/>
                <w:iCs w:val="0"/>
                <w:color w:val="auto"/>
                <w:kern w:val="0"/>
                <w:sz w:val="21"/>
                <w:szCs w:val="21"/>
                <w:highlight w:val="none"/>
                <w:u w:val="none"/>
                <w:lang w:val="en-US" w:eastAsia="zh-CN" w:bidi="ar"/>
              </w:rPr>
            </w:pPr>
          </w:p>
        </w:tc>
        <w:tc>
          <w:tcPr>
            <w:tcW w:w="2544" w:type="dxa"/>
            <w:vMerge w:val="continue"/>
            <w:tcBorders>
              <w:top w:val="single" w:color="auto" w:sz="4" w:space="0"/>
              <w:left w:val="single" w:color="000000" w:sz="4" w:space="0"/>
              <w:bottom w:val="single" w:color="auto" w:sz="4" w:space="0"/>
              <w:right w:val="single" w:color="auto" w:sz="4" w:space="0"/>
            </w:tcBorders>
            <w:noWrap w:val="0"/>
            <w:vAlign w:val="top"/>
          </w:tcPr>
          <w:p w14:paraId="14DFF693">
            <w:pPr>
              <w:keepNext w:val="0"/>
              <w:keepLines w:val="0"/>
              <w:widowControl/>
              <w:suppressLineNumbers w:val="0"/>
              <w:jc w:val="both"/>
              <w:textAlignment w:val="top"/>
              <w:rPr>
                <w:rFonts w:hint="eastAsia" w:ascii="宋体" w:hAnsi="宋体" w:eastAsia="宋体" w:cs="宋体"/>
                <w:i w:val="0"/>
                <w:iCs w:val="0"/>
                <w:color w:val="auto"/>
                <w:kern w:val="0"/>
                <w:sz w:val="21"/>
                <w:szCs w:val="21"/>
                <w:highlight w:val="none"/>
                <w:u w:val="none"/>
                <w:lang w:val="en-US" w:eastAsia="zh-CN" w:bidi="ar"/>
              </w:rPr>
            </w:pPr>
          </w:p>
        </w:tc>
      </w:tr>
      <w:tr w14:paraId="7CA78D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13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7FC9E30">
            <w:pPr>
              <w:jc w:val="both"/>
              <w:rPr>
                <w:rFonts w:hint="eastAsia" w:ascii="宋体" w:hAnsi="宋体" w:eastAsia="宋体" w:cs="宋体"/>
                <w:i w:val="0"/>
                <w:iCs w:val="0"/>
                <w:color w:val="auto"/>
                <w:sz w:val="21"/>
                <w:szCs w:val="21"/>
                <w:highlight w:val="none"/>
                <w:u w:val="none"/>
              </w:rPr>
            </w:pPr>
          </w:p>
        </w:tc>
        <w:tc>
          <w:tcPr>
            <w:tcW w:w="2016" w:type="dxa"/>
            <w:tcBorders>
              <w:top w:val="single" w:color="000000" w:sz="4" w:space="0"/>
              <w:left w:val="single" w:color="000000" w:sz="4" w:space="0"/>
              <w:bottom w:val="single" w:color="000000" w:sz="4" w:space="0"/>
              <w:right w:val="single" w:color="000000" w:sz="4" w:space="0"/>
            </w:tcBorders>
            <w:noWrap w:val="0"/>
            <w:vAlign w:val="center"/>
          </w:tcPr>
          <w:p w14:paraId="53EA5C44">
            <w:pPr>
              <w:keepNext w:val="0"/>
              <w:keepLines w:val="0"/>
              <w:widowControl/>
              <w:suppressLineNumbers w:val="0"/>
              <w:jc w:val="center"/>
              <w:textAlignment w:val="top"/>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十万山乡</w:t>
            </w:r>
          </w:p>
        </w:tc>
        <w:tc>
          <w:tcPr>
            <w:tcW w:w="1296" w:type="dxa"/>
            <w:tcBorders>
              <w:top w:val="single" w:color="000000" w:sz="4" w:space="0"/>
              <w:left w:val="single" w:color="000000" w:sz="4" w:space="0"/>
              <w:bottom w:val="single" w:color="000000" w:sz="4" w:space="0"/>
              <w:right w:val="single" w:color="auto" w:sz="4" w:space="0"/>
            </w:tcBorders>
            <w:noWrap w:val="0"/>
            <w:vAlign w:val="center"/>
          </w:tcPr>
          <w:p w14:paraId="6C764BBD">
            <w:pPr>
              <w:keepNext w:val="0"/>
              <w:keepLines w:val="0"/>
              <w:widowControl/>
              <w:suppressLineNumbers w:val="0"/>
              <w:jc w:val="center"/>
              <w:textAlignment w:val="top"/>
              <w:rPr>
                <w:rFonts w:hint="default"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15</w:t>
            </w:r>
          </w:p>
        </w:tc>
        <w:tc>
          <w:tcPr>
            <w:tcW w:w="2221" w:type="dxa"/>
            <w:vMerge w:val="continue"/>
            <w:tcBorders>
              <w:top w:val="single" w:color="auto" w:sz="4" w:space="0"/>
              <w:left w:val="single" w:color="auto" w:sz="4" w:space="0"/>
              <w:bottom w:val="single" w:color="auto" w:sz="4" w:space="0"/>
              <w:right w:val="single" w:color="000000" w:sz="4" w:space="0"/>
            </w:tcBorders>
            <w:noWrap w:val="0"/>
            <w:vAlign w:val="top"/>
          </w:tcPr>
          <w:p w14:paraId="72F0FAE0">
            <w:pPr>
              <w:keepNext w:val="0"/>
              <w:keepLines w:val="0"/>
              <w:widowControl/>
              <w:suppressLineNumbers w:val="0"/>
              <w:jc w:val="both"/>
              <w:textAlignment w:val="top"/>
              <w:rPr>
                <w:rFonts w:hint="eastAsia" w:ascii="宋体" w:hAnsi="宋体" w:eastAsia="宋体" w:cs="宋体"/>
                <w:i w:val="0"/>
                <w:iCs w:val="0"/>
                <w:color w:val="auto"/>
                <w:kern w:val="0"/>
                <w:sz w:val="21"/>
                <w:szCs w:val="21"/>
                <w:highlight w:val="none"/>
                <w:u w:val="none"/>
                <w:lang w:val="en-US" w:eastAsia="zh-CN" w:bidi="ar"/>
              </w:rPr>
            </w:pPr>
          </w:p>
        </w:tc>
        <w:tc>
          <w:tcPr>
            <w:tcW w:w="2544" w:type="dxa"/>
            <w:vMerge w:val="continue"/>
            <w:tcBorders>
              <w:top w:val="single" w:color="auto" w:sz="4" w:space="0"/>
              <w:left w:val="single" w:color="000000" w:sz="4" w:space="0"/>
              <w:bottom w:val="single" w:color="auto" w:sz="4" w:space="0"/>
              <w:right w:val="single" w:color="auto" w:sz="4" w:space="0"/>
            </w:tcBorders>
            <w:noWrap w:val="0"/>
            <w:vAlign w:val="top"/>
          </w:tcPr>
          <w:p w14:paraId="3D9730A6">
            <w:pPr>
              <w:keepNext w:val="0"/>
              <w:keepLines w:val="0"/>
              <w:widowControl/>
              <w:suppressLineNumbers w:val="0"/>
              <w:jc w:val="both"/>
              <w:textAlignment w:val="top"/>
              <w:rPr>
                <w:rFonts w:hint="eastAsia" w:ascii="宋体" w:hAnsi="宋体" w:eastAsia="宋体" w:cs="宋体"/>
                <w:i w:val="0"/>
                <w:iCs w:val="0"/>
                <w:color w:val="auto"/>
                <w:kern w:val="0"/>
                <w:sz w:val="21"/>
                <w:szCs w:val="21"/>
                <w:highlight w:val="none"/>
                <w:u w:val="none"/>
                <w:lang w:val="en-US" w:eastAsia="zh-CN" w:bidi="ar"/>
              </w:rPr>
            </w:pPr>
          </w:p>
        </w:tc>
      </w:tr>
      <w:tr w14:paraId="65EB4E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13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BA09624">
            <w:pPr>
              <w:jc w:val="both"/>
              <w:rPr>
                <w:rFonts w:hint="eastAsia" w:ascii="宋体" w:hAnsi="宋体" w:eastAsia="宋体" w:cs="宋体"/>
                <w:i w:val="0"/>
                <w:iCs w:val="0"/>
                <w:color w:val="auto"/>
                <w:sz w:val="21"/>
                <w:szCs w:val="21"/>
                <w:highlight w:val="none"/>
                <w:u w:val="none"/>
              </w:rPr>
            </w:pPr>
          </w:p>
        </w:tc>
        <w:tc>
          <w:tcPr>
            <w:tcW w:w="2016" w:type="dxa"/>
            <w:tcBorders>
              <w:top w:val="single" w:color="000000" w:sz="4" w:space="0"/>
              <w:left w:val="single" w:color="000000" w:sz="4" w:space="0"/>
              <w:bottom w:val="single" w:color="000000" w:sz="4" w:space="0"/>
              <w:right w:val="single" w:color="000000" w:sz="4" w:space="0"/>
            </w:tcBorders>
            <w:noWrap w:val="0"/>
            <w:vAlign w:val="center"/>
          </w:tcPr>
          <w:p w14:paraId="405B1A6A">
            <w:pPr>
              <w:keepNext w:val="0"/>
              <w:keepLines w:val="0"/>
              <w:widowControl/>
              <w:suppressLineNumbers w:val="0"/>
              <w:jc w:val="center"/>
              <w:textAlignment w:val="top"/>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小峰场</w:t>
            </w:r>
          </w:p>
        </w:tc>
        <w:tc>
          <w:tcPr>
            <w:tcW w:w="1296" w:type="dxa"/>
            <w:tcBorders>
              <w:top w:val="single" w:color="000000" w:sz="4" w:space="0"/>
              <w:left w:val="single" w:color="000000" w:sz="4" w:space="0"/>
              <w:bottom w:val="single" w:color="000000" w:sz="4" w:space="0"/>
              <w:right w:val="single" w:color="auto" w:sz="4" w:space="0"/>
            </w:tcBorders>
            <w:noWrap w:val="0"/>
            <w:vAlign w:val="center"/>
          </w:tcPr>
          <w:p w14:paraId="2684BCDA">
            <w:pPr>
              <w:keepNext w:val="0"/>
              <w:keepLines w:val="0"/>
              <w:widowControl/>
              <w:suppressLineNumbers w:val="0"/>
              <w:jc w:val="center"/>
              <w:textAlignment w:val="top"/>
              <w:rPr>
                <w:rFonts w:hint="default"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12</w:t>
            </w:r>
          </w:p>
        </w:tc>
        <w:tc>
          <w:tcPr>
            <w:tcW w:w="2221" w:type="dxa"/>
            <w:vMerge w:val="continue"/>
            <w:tcBorders>
              <w:top w:val="single" w:color="auto" w:sz="4" w:space="0"/>
              <w:left w:val="single" w:color="auto" w:sz="4" w:space="0"/>
              <w:bottom w:val="single" w:color="auto" w:sz="4" w:space="0"/>
              <w:right w:val="single" w:color="000000" w:sz="4" w:space="0"/>
            </w:tcBorders>
            <w:noWrap w:val="0"/>
            <w:vAlign w:val="top"/>
          </w:tcPr>
          <w:p w14:paraId="2E4AA6F7">
            <w:pPr>
              <w:keepNext w:val="0"/>
              <w:keepLines w:val="0"/>
              <w:widowControl/>
              <w:suppressLineNumbers w:val="0"/>
              <w:jc w:val="both"/>
              <w:textAlignment w:val="top"/>
              <w:rPr>
                <w:rFonts w:hint="eastAsia" w:ascii="宋体" w:hAnsi="宋体" w:eastAsia="宋体" w:cs="宋体"/>
                <w:i w:val="0"/>
                <w:iCs w:val="0"/>
                <w:color w:val="auto"/>
                <w:kern w:val="0"/>
                <w:sz w:val="21"/>
                <w:szCs w:val="21"/>
                <w:highlight w:val="none"/>
                <w:u w:val="none"/>
                <w:lang w:val="en-US" w:eastAsia="zh-CN" w:bidi="ar"/>
              </w:rPr>
            </w:pPr>
          </w:p>
        </w:tc>
        <w:tc>
          <w:tcPr>
            <w:tcW w:w="2544" w:type="dxa"/>
            <w:vMerge w:val="continue"/>
            <w:tcBorders>
              <w:top w:val="single" w:color="auto" w:sz="4" w:space="0"/>
              <w:left w:val="single" w:color="000000" w:sz="4" w:space="0"/>
              <w:bottom w:val="single" w:color="auto" w:sz="4" w:space="0"/>
              <w:right w:val="single" w:color="auto" w:sz="4" w:space="0"/>
            </w:tcBorders>
            <w:noWrap w:val="0"/>
            <w:vAlign w:val="top"/>
          </w:tcPr>
          <w:p w14:paraId="03163C32">
            <w:pPr>
              <w:keepNext w:val="0"/>
              <w:keepLines w:val="0"/>
              <w:widowControl/>
              <w:suppressLineNumbers w:val="0"/>
              <w:jc w:val="both"/>
              <w:textAlignment w:val="top"/>
              <w:rPr>
                <w:rFonts w:hint="eastAsia" w:ascii="宋体" w:hAnsi="宋体" w:eastAsia="宋体" w:cs="宋体"/>
                <w:i w:val="0"/>
                <w:iCs w:val="0"/>
                <w:color w:val="auto"/>
                <w:kern w:val="0"/>
                <w:sz w:val="21"/>
                <w:szCs w:val="21"/>
                <w:highlight w:val="none"/>
                <w:u w:val="none"/>
                <w:lang w:val="en-US" w:eastAsia="zh-CN" w:bidi="ar"/>
              </w:rPr>
            </w:pPr>
          </w:p>
        </w:tc>
      </w:tr>
      <w:tr w14:paraId="5A1BC6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13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363171D">
            <w:pPr>
              <w:jc w:val="both"/>
              <w:rPr>
                <w:rFonts w:hint="eastAsia" w:ascii="宋体" w:hAnsi="宋体" w:eastAsia="宋体" w:cs="宋体"/>
                <w:i w:val="0"/>
                <w:iCs w:val="0"/>
                <w:color w:val="auto"/>
                <w:sz w:val="21"/>
                <w:szCs w:val="21"/>
                <w:highlight w:val="none"/>
                <w:u w:val="none"/>
              </w:rPr>
            </w:pPr>
          </w:p>
        </w:tc>
        <w:tc>
          <w:tcPr>
            <w:tcW w:w="2016" w:type="dxa"/>
            <w:tcBorders>
              <w:top w:val="single" w:color="000000" w:sz="4" w:space="0"/>
              <w:left w:val="single" w:color="000000" w:sz="4" w:space="0"/>
              <w:bottom w:val="single" w:color="000000" w:sz="4" w:space="0"/>
              <w:right w:val="single" w:color="000000" w:sz="4" w:space="0"/>
            </w:tcBorders>
            <w:noWrap w:val="0"/>
            <w:vAlign w:val="center"/>
          </w:tcPr>
          <w:p w14:paraId="10ED1ED3">
            <w:pPr>
              <w:keepNext w:val="0"/>
              <w:keepLines w:val="0"/>
              <w:widowControl/>
              <w:suppressLineNumbers w:val="0"/>
              <w:jc w:val="center"/>
              <w:textAlignment w:val="top"/>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大菉镇</w:t>
            </w:r>
          </w:p>
        </w:tc>
        <w:tc>
          <w:tcPr>
            <w:tcW w:w="1296" w:type="dxa"/>
            <w:tcBorders>
              <w:top w:val="single" w:color="000000" w:sz="4" w:space="0"/>
              <w:left w:val="single" w:color="000000" w:sz="4" w:space="0"/>
              <w:bottom w:val="single" w:color="000000" w:sz="4" w:space="0"/>
              <w:right w:val="single" w:color="auto" w:sz="4" w:space="0"/>
            </w:tcBorders>
            <w:noWrap w:val="0"/>
            <w:vAlign w:val="center"/>
          </w:tcPr>
          <w:p w14:paraId="2D51B875">
            <w:pPr>
              <w:keepNext w:val="0"/>
              <w:keepLines w:val="0"/>
              <w:widowControl/>
              <w:suppressLineNumbers w:val="0"/>
              <w:jc w:val="center"/>
              <w:textAlignment w:val="top"/>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382</w:t>
            </w:r>
          </w:p>
        </w:tc>
        <w:tc>
          <w:tcPr>
            <w:tcW w:w="2221" w:type="dxa"/>
            <w:vMerge w:val="continue"/>
            <w:tcBorders>
              <w:top w:val="single" w:color="auto" w:sz="4" w:space="0"/>
              <w:left w:val="single" w:color="auto" w:sz="4" w:space="0"/>
              <w:bottom w:val="single" w:color="auto" w:sz="4" w:space="0"/>
              <w:right w:val="single" w:color="000000" w:sz="4" w:space="0"/>
            </w:tcBorders>
            <w:noWrap w:val="0"/>
            <w:vAlign w:val="top"/>
          </w:tcPr>
          <w:p w14:paraId="3D937558">
            <w:pPr>
              <w:keepNext w:val="0"/>
              <w:keepLines w:val="0"/>
              <w:widowControl/>
              <w:suppressLineNumbers w:val="0"/>
              <w:jc w:val="both"/>
              <w:textAlignment w:val="top"/>
              <w:rPr>
                <w:rFonts w:hint="eastAsia" w:ascii="宋体" w:hAnsi="宋体" w:eastAsia="宋体" w:cs="宋体"/>
                <w:i w:val="0"/>
                <w:iCs w:val="0"/>
                <w:color w:val="auto"/>
                <w:kern w:val="0"/>
                <w:sz w:val="21"/>
                <w:szCs w:val="21"/>
                <w:highlight w:val="none"/>
                <w:u w:val="none"/>
                <w:lang w:val="en-US" w:eastAsia="zh-CN" w:bidi="ar"/>
              </w:rPr>
            </w:pPr>
          </w:p>
        </w:tc>
        <w:tc>
          <w:tcPr>
            <w:tcW w:w="2544" w:type="dxa"/>
            <w:vMerge w:val="continue"/>
            <w:tcBorders>
              <w:top w:val="single" w:color="auto" w:sz="4" w:space="0"/>
              <w:left w:val="single" w:color="000000" w:sz="4" w:space="0"/>
              <w:bottom w:val="single" w:color="auto" w:sz="4" w:space="0"/>
              <w:right w:val="single" w:color="auto" w:sz="4" w:space="0"/>
            </w:tcBorders>
            <w:noWrap w:val="0"/>
            <w:vAlign w:val="top"/>
          </w:tcPr>
          <w:p w14:paraId="1E11CB07">
            <w:pPr>
              <w:keepNext w:val="0"/>
              <w:keepLines w:val="0"/>
              <w:widowControl/>
              <w:suppressLineNumbers w:val="0"/>
              <w:jc w:val="both"/>
              <w:textAlignment w:val="top"/>
              <w:rPr>
                <w:rFonts w:hint="eastAsia" w:ascii="宋体" w:hAnsi="宋体" w:eastAsia="宋体" w:cs="宋体"/>
                <w:i w:val="0"/>
                <w:iCs w:val="0"/>
                <w:color w:val="auto"/>
                <w:kern w:val="0"/>
                <w:sz w:val="21"/>
                <w:szCs w:val="21"/>
                <w:highlight w:val="none"/>
                <w:u w:val="none"/>
                <w:lang w:val="en-US" w:eastAsia="zh-CN" w:bidi="ar"/>
              </w:rPr>
            </w:pPr>
          </w:p>
        </w:tc>
      </w:tr>
      <w:tr w14:paraId="152232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13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E592FA2">
            <w:pPr>
              <w:jc w:val="both"/>
              <w:rPr>
                <w:rFonts w:hint="eastAsia" w:ascii="宋体" w:hAnsi="宋体" w:eastAsia="宋体" w:cs="宋体"/>
                <w:i w:val="0"/>
                <w:iCs w:val="0"/>
                <w:color w:val="auto"/>
                <w:sz w:val="21"/>
                <w:szCs w:val="21"/>
                <w:highlight w:val="none"/>
                <w:u w:val="none"/>
              </w:rPr>
            </w:pPr>
          </w:p>
        </w:tc>
        <w:tc>
          <w:tcPr>
            <w:tcW w:w="2016" w:type="dxa"/>
            <w:tcBorders>
              <w:top w:val="single" w:color="000000" w:sz="4" w:space="0"/>
              <w:left w:val="single" w:color="000000" w:sz="4" w:space="0"/>
              <w:bottom w:val="single" w:color="000000" w:sz="4" w:space="0"/>
              <w:right w:val="single" w:color="000000" w:sz="4" w:space="0"/>
            </w:tcBorders>
            <w:noWrap w:val="0"/>
            <w:vAlign w:val="center"/>
          </w:tcPr>
          <w:p w14:paraId="0A4B6061">
            <w:pPr>
              <w:keepNext w:val="0"/>
              <w:keepLines w:val="0"/>
              <w:widowControl/>
              <w:suppressLineNumbers w:val="0"/>
              <w:jc w:val="center"/>
              <w:textAlignment w:val="top"/>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扶隆镇</w:t>
            </w:r>
          </w:p>
        </w:tc>
        <w:tc>
          <w:tcPr>
            <w:tcW w:w="1296" w:type="dxa"/>
            <w:tcBorders>
              <w:top w:val="single" w:color="000000" w:sz="4" w:space="0"/>
              <w:left w:val="single" w:color="000000" w:sz="4" w:space="0"/>
              <w:bottom w:val="single" w:color="000000" w:sz="4" w:space="0"/>
              <w:right w:val="single" w:color="auto" w:sz="4" w:space="0"/>
            </w:tcBorders>
            <w:noWrap w:val="0"/>
            <w:vAlign w:val="center"/>
          </w:tcPr>
          <w:p w14:paraId="757A2A1B">
            <w:pPr>
              <w:keepNext w:val="0"/>
              <w:keepLines w:val="0"/>
              <w:widowControl/>
              <w:suppressLineNumbers w:val="0"/>
              <w:jc w:val="center"/>
              <w:textAlignment w:val="top"/>
              <w:rPr>
                <w:rFonts w:hint="default"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1048</w:t>
            </w:r>
          </w:p>
        </w:tc>
        <w:tc>
          <w:tcPr>
            <w:tcW w:w="2221" w:type="dxa"/>
            <w:vMerge w:val="continue"/>
            <w:tcBorders>
              <w:top w:val="single" w:color="auto" w:sz="4" w:space="0"/>
              <w:left w:val="single" w:color="auto" w:sz="4" w:space="0"/>
              <w:bottom w:val="single" w:color="auto" w:sz="4" w:space="0"/>
              <w:right w:val="single" w:color="000000" w:sz="4" w:space="0"/>
            </w:tcBorders>
            <w:noWrap w:val="0"/>
            <w:vAlign w:val="top"/>
          </w:tcPr>
          <w:p w14:paraId="07B64472">
            <w:pPr>
              <w:keepNext w:val="0"/>
              <w:keepLines w:val="0"/>
              <w:widowControl/>
              <w:suppressLineNumbers w:val="0"/>
              <w:jc w:val="both"/>
              <w:textAlignment w:val="top"/>
              <w:rPr>
                <w:rFonts w:hint="eastAsia" w:ascii="宋体" w:hAnsi="宋体" w:eastAsia="宋体" w:cs="宋体"/>
                <w:i w:val="0"/>
                <w:iCs w:val="0"/>
                <w:color w:val="auto"/>
                <w:kern w:val="0"/>
                <w:sz w:val="21"/>
                <w:szCs w:val="21"/>
                <w:highlight w:val="none"/>
                <w:u w:val="none"/>
                <w:lang w:val="en-US" w:eastAsia="zh-CN" w:bidi="ar"/>
              </w:rPr>
            </w:pPr>
          </w:p>
        </w:tc>
        <w:tc>
          <w:tcPr>
            <w:tcW w:w="2544" w:type="dxa"/>
            <w:vMerge w:val="continue"/>
            <w:tcBorders>
              <w:top w:val="single" w:color="auto" w:sz="4" w:space="0"/>
              <w:left w:val="single" w:color="000000" w:sz="4" w:space="0"/>
              <w:bottom w:val="single" w:color="auto" w:sz="4" w:space="0"/>
              <w:right w:val="single" w:color="auto" w:sz="4" w:space="0"/>
            </w:tcBorders>
            <w:noWrap w:val="0"/>
            <w:vAlign w:val="top"/>
          </w:tcPr>
          <w:p w14:paraId="2499CD29">
            <w:pPr>
              <w:keepNext w:val="0"/>
              <w:keepLines w:val="0"/>
              <w:widowControl/>
              <w:suppressLineNumbers w:val="0"/>
              <w:jc w:val="both"/>
              <w:textAlignment w:val="top"/>
              <w:rPr>
                <w:rFonts w:hint="eastAsia" w:ascii="宋体" w:hAnsi="宋体" w:eastAsia="宋体" w:cs="宋体"/>
                <w:i w:val="0"/>
                <w:iCs w:val="0"/>
                <w:color w:val="auto"/>
                <w:kern w:val="0"/>
                <w:sz w:val="21"/>
                <w:szCs w:val="21"/>
                <w:highlight w:val="none"/>
                <w:u w:val="none"/>
                <w:lang w:val="en-US" w:eastAsia="zh-CN" w:bidi="ar"/>
              </w:rPr>
            </w:pPr>
          </w:p>
        </w:tc>
      </w:tr>
    </w:tbl>
    <w:p w14:paraId="2EE45C65">
      <w:pPr>
        <w:rPr>
          <w:rFonts w:hint="eastAsia" w:ascii="宋体" w:hAnsi="宋体"/>
          <w:b/>
          <w:color w:val="auto"/>
          <w:sz w:val="36"/>
          <w:szCs w:val="36"/>
          <w:highlight w:val="none"/>
          <w:lang w:eastAsia="zh-CN"/>
        </w:rPr>
      </w:pPr>
    </w:p>
    <w:p w14:paraId="30EFD84A">
      <w:pPr>
        <w:pStyle w:val="6"/>
        <w:rPr>
          <w:rFonts w:hint="eastAsia"/>
          <w:color w:val="auto"/>
          <w:highlight w:val="none"/>
          <w:lang w:eastAsia="zh-CN"/>
        </w:rPr>
      </w:pPr>
    </w:p>
    <w:p w14:paraId="13F602A1">
      <w:pPr>
        <w:pStyle w:val="6"/>
        <w:jc w:val="center"/>
        <w:rPr>
          <w:rFonts w:hint="eastAsia" w:ascii="宋体" w:hAnsi="宋体"/>
          <w:b/>
          <w:color w:val="auto"/>
          <w:sz w:val="36"/>
          <w:szCs w:val="36"/>
          <w:highlight w:val="none"/>
          <w:lang w:eastAsia="zh-CN"/>
        </w:rPr>
      </w:pPr>
    </w:p>
    <w:p w14:paraId="0680ADAC">
      <w:pPr>
        <w:pStyle w:val="6"/>
        <w:jc w:val="center"/>
        <w:rPr>
          <w:rFonts w:hint="eastAsia" w:ascii="宋体" w:hAnsi="宋体"/>
          <w:b/>
          <w:color w:val="auto"/>
          <w:sz w:val="36"/>
          <w:szCs w:val="36"/>
          <w:highlight w:val="none"/>
          <w:lang w:eastAsia="zh-CN"/>
        </w:rPr>
      </w:pPr>
    </w:p>
    <w:p w14:paraId="72763045">
      <w:pPr>
        <w:pStyle w:val="6"/>
        <w:jc w:val="center"/>
        <w:rPr>
          <w:rFonts w:hint="eastAsia" w:ascii="宋体" w:hAnsi="宋体"/>
          <w:b/>
          <w:color w:val="auto"/>
          <w:sz w:val="36"/>
          <w:szCs w:val="36"/>
          <w:highlight w:val="none"/>
          <w:lang w:eastAsia="zh-CN"/>
        </w:rPr>
      </w:pPr>
    </w:p>
    <w:p w14:paraId="6920A947">
      <w:pPr>
        <w:pStyle w:val="6"/>
        <w:jc w:val="center"/>
        <w:rPr>
          <w:rFonts w:hint="eastAsia" w:ascii="宋体" w:hAnsi="宋体"/>
          <w:b/>
          <w:color w:val="auto"/>
          <w:sz w:val="36"/>
          <w:szCs w:val="36"/>
          <w:highlight w:val="none"/>
          <w:lang w:eastAsia="zh-CN"/>
        </w:rPr>
      </w:pPr>
    </w:p>
    <w:p w14:paraId="15672700">
      <w:pPr>
        <w:pStyle w:val="6"/>
        <w:jc w:val="center"/>
        <w:rPr>
          <w:rFonts w:hint="eastAsia" w:ascii="宋体" w:hAnsi="宋体"/>
          <w:b/>
          <w:color w:val="auto"/>
          <w:sz w:val="36"/>
          <w:szCs w:val="36"/>
          <w:highlight w:val="none"/>
          <w:lang w:eastAsia="zh-CN"/>
        </w:rPr>
      </w:pPr>
    </w:p>
    <w:p w14:paraId="4690ABD3">
      <w:pPr>
        <w:pStyle w:val="6"/>
        <w:jc w:val="center"/>
        <w:rPr>
          <w:rFonts w:hint="eastAsia" w:ascii="宋体" w:hAnsi="宋体"/>
          <w:b/>
          <w:color w:val="auto"/>
          <w:sz w:val="36"/>
          <w:szCs w:val="36"/>
          <w:highlight w:val="none"/>
          <w:lang w:eastAsia="zh-CN"/>
        </w:rPr>
      </w:pPr>
    </w:p>
    <w:p w14:paraId="6AD0CF55">
      <w:pPr>
        <w:pStyle w:val="6"/>
        <w:jc w:val="center"/>
        <w:rPr>
          <w:rFonts w:hint="eastAsia" w:ascii="宋体" w:hAnsi="宋体"/>
          <w:b/>
          <w:color w:val="auto"/>
          <w:sz w:val="36"/>
          <w:szCs w:val="36"/>
          <w:highlight w:val="none"/>
          <w:lang w:eastAsia="zh-CN"/>
        </w:rPr>
      </w:pPr>
    </w:p>
    <w:p w14:paraId="2F45D3CA">
      <w:pPr>
        <w:pStyle w:val="6"/>
        <w:jc w:val="center"/>
        <w:rPr>
          <w:rFonts w:hint="eastAsia" w:ascii="宋体" w:hAnsi="宋体"/>
          <w:b/>
          <w:color w:val="auto"/>
          <w:sz w:val="36"/>
          <w:szCs w:val="36"/>
          <w:highlight w:val="none"/>
          <w:lang w:eastAsia="zh-CN"/>
        </w:rPr>
      </w:pPr>
    </w:p>
    <w:p w14:paraId="5ADCB1D9">
      <w:pPr>
        <w:pStyle w:val="6"/>
        <w:jc w:val="center"/>
        <w:rPr>
          <w:rFonts w:hint="eastAsia" w:ascii="宋体" w:hAnsi="宋体"/>
          <w:b/>
          <w:color w:val="auto"/>
          <w:sz w:val="36"/>
          <w:szCs w:val="36"/>
          <w:highlight w:val="none"/>
          <w:lang w:eastAsia="zh-CN"/>
        </w:rPr>
      </w:pPr>
    </w:p>
    <w:p w14:paraId="4E450252">
      <w:pPr>
        <w:pStyle w:val="6"/>
        <w:jc w:val="center"/>
        <w:rPr>
          <w:rFonts w:hint="eastAsia" w:ascii="宋体" w:hAnsi="宋体"/>
          <w:b/>
          <w:color w:val="auto"/>
          <w:sz w:val="36"/>
          <w:szCs w:val="36"/>
          <w:highlight w:val="none"/>
          <w:lang w:eastAsia="zh-CN"/>
        </w:rPr>
      </w:pPr>
    </w:p>
    <w:p w14:paraId="03942975">
      <w:pPr>
        <w:pStyle w:val="6"/>
        <w:jc w:val="center"/>
        <w:rPr>
          <w:rFonts w:hint="eastAsia" w:ascii="宋体" w:hAnsi="宋体"/>
          <w:b/>
          <w:color w:val="auto"/>
          <w:sz w:val="36"/>
          <w:szCs w:val="36"/>
          <w:highlight w:val="none"/>
          <w:lang w:eastAsia="zh-CN"/>
        </w:rPr>
      </w:pPr>
    </w:p>
    <w:p w14:paraId="47F1BD8D">
      <w:pPr>
        <w:pStyle w:val="6"/>
        <w:jc w:val="center"/>
        <w:rPr>
          <w:rFonts w:hint="eastAsia" w:ascii="宋体" w:hAnsi="宋体"/>
          <w:b/>
          <w:color w:val="auto"/>
          <w:sz w:val="36"/>
          <w:szCs w:val="36"/>
          <w:highlight w:val="none"/>
          <w:lang w:eastAsia="zh-CN"/>
        </w:rPr>
      </w:pPr>
    </w:p>
    <w:p w14:paraId="2190FEE6">
      <w:pPr>
        <w:pStyle w:val="6"/>
        <w:jc w:val="center"/>
        <w:rPr>
          <w:rFonts w:hint="eastAsia" w:ascii="宋体" w:hAnsi="宋体"/>
          <w:b/>
          <w:color w:val="auto"/>
          <w:sz w:val="36"/>
          <w:szCs w:val="36"/>
          <w:highlight w:val="none"/>
          <w:lang w:eastAsia="zh-CN"/>
        </w:rPr>
      </w:pPr>
    </w:p>
    <w:p w14:paraId="3AC47136">
      <w:pPr>
        <w:pStyle w:val="6"/>
        <w:jc w:val="center"/>
        <w:rPr>
          <w:rFonts w:hint="eastAsia" w:ascii="宋体" w:hAnsi="宋体"/>
          <w:b/>
          <w:color w:val="auto"/>
          <w:sz w:val="36"/>
          <w:szCs w:val="36"/>
          <w:highlight w:val="none"/>
          <w:lang w:eastAsia="zh-CN"/>
        </w:rPr>
      </w:pPr>
    </w:p>
    <w:p w14:paraId="4B0D361D">
      <w:pPr>
        <w:pStyle w:val="6"/>
        <w:jc w:val="center"/>
        <w:rPr>
          <w:rFonts w:hint="eastAsia" w:ascii="宋体" w:hAnsi="宋体"/>
          <w:b/>
          <w:color w:val="auto"/>
          <w:sz w:val="36"/>
          <w:szCs w:val="36"/>
          <w:highlight w:val="none"/>
          <w:lang w:eastAsia="zh-CN"/>
        </w:rPr>
      </w:pPr>
    </w:p>
    <w:p w14:paraId="5C762DFB">
      <w:pPr>
        <w:pStyle w:val="6"/>
        <w:jc w:val="center"/>
        <w:rPr>
          <w:rFonts w:hint="eastAsia" w:ascii="宋体" w:hAnsi="宋体"/>
          <w:b/>
          <w:color w:val="auto"/>
          <w:sz w:val="36"/>
          <w:szCs w:val="36"/>
          <w:highlight w:val="none"/>
          <w:lang w:eastAsia="zh-CN"/>
        </w:rPr>
      </w:pPr>
    </w:p>
    <w:p w14:paraId="61FA2B51">
      <w:pPr>
        <w:rPr>
          <w:rFonts w:hint="eastAsia" w:ascii="宋体" w:hAnsi="宋体"/>
          <w:b/>
          <w:color w:val="auto"/>
          <w:sz w:val="36"/>
          <w:szCs w:val="36"/>
          <w:highlight w:val="none"/>
          <w:lang w:eastAsia="zh-CN"/>
        </w:rPr>
      </w:pPr>
    </w:p>
    <w:p w14:paraId="69453418">
      <w:pPr>
        <w:pStyle w:val="2"/>
        <w:rPr>
          <w:rFonts w:hint="eastAsia"/>
          <w:color w:val="auto"/>
          <w:highlight w:val="none"/>
          <w:lang w:eastAsia="zh-CN"/>
        </w:rPr>
      </w:pPr>
    </w:p>
    <w:p w14:paraId="1874D3CC">
      <w:pPr>
        <w:pStyle w:val="6"/>
        <w:jc w:val="both"/>
        <w:rPr>
          <w:rFonts w:hint="eastAsia" w:ascii="宋体" w:hAnsi="宋体"/>
          <w:b/>
          <w:color w:val="auto"/>
          <w:sz w:val="36"/>
          <w:szCs w:val="36"/>
          <w:highlight w:val="none"/>
          <w:lang w:eastAsia="zh-CN"/>
        </w:rPr>
      </w:pPr>
    </w:p>
    <w:p w14:paraId="4FC3DAA0">
      <w:pPr>
        <w:pStyle w:val="6"/>
        <w:jc w:val="center"/>
        <w:rPr>
          <w:rFonts w:hint="eastAsia" w:ascii="宋体" w:hAnsi="宋体"/>
          <w:b/>
          <w:color w:val="auto"/>
          <w:sz w:val="36"/>
          <w:szCs w:val="36"/>
          <w:highlight w:val="none"/>
          <w:lang w:eastAsia="zh-CN"/>
        </w:rPr>
      </w:pPr>
      <w:r>
        <w:rPr>
          <w:rFonts w:hint="eastAsia" w:ascii="宋体" w:hAnsi="宋体"/>
          <w:b/>
          <w:color w:val="auto"/>
          <w:sz w:val="36"/>
          <w:szCs w:val="36"/>
          <w:highlight w:val="none"/>
          <w:lang w:eastAsia="zh-CN"/>
        </w:rPr>
        <w:t>采购需求一览表</w:t>
      </w:r>
    </w:p>
    <w:p w14:paraId="538E57C5">
      <w:pPr>
        <w:pStyle w:val="6"/>
        <w:rPr>
          <w:rFonts w:hint="eastAsia" w:ascii="宋体" w:hAnsi="宋体"/>
          <w:b/>
          <w:color w:val="auto"/>
          <w:sz w:val="21"/>
          <w:szCs w:val="21"/>
          <w:highlight w:val="none"/>
          <w:lang w:eastAsia="zh-CN"/>
        </w:rPr>
      </w:pPr>
    </w:p>
    <w:p w14:paraId="23085246">
      <w:pPr>
        <w:rPr>
          <w:rFonts w:hint="default" w:ascii="宋体" w:hAnsi="宋体"/>
          <w:b/>
          <w:bCs/>
          <w:color w:val="auto"/>
          <w:sz w:val="21"/>
          <w:szCs w:val="21"/>
          <w:highlight w:val="none"/>
          <w:lang w:val="en-US" w:eastAsia="zh-CN"/>
        </w:rPr>
      </w:pPr>
      <w:r>
        <w:rPr>
          <w:rFonts w:hint="eastAsia" w:ascii="宋体" w:hAnsi="宋体" w:eastAsia="宋体" w:cs="宋体"/>
          <w:b/>
          <w:bCs/>
          <w:i w:val="0"/>
          <w:iCs w:val="0"/>
          <w:color w:val="auto"/>
          <w:kern w:val="0"/>
          <w:sz w:val="21"/>
          <w:szCs w:val="21"/>
          <w:highlight w:val="none"/>
          <w:u w:val="none"/>
          <w:lang w:val="en-US" w:eastAsia="zh-CN" w:bidi="ar"/>
        </w:rPr>
        <w:t>本项目采购预算价：￥3067350.00元</w:t>
      </w:r>
    </w:p>
    <w:p w14:paraId="40D90644">
      <w:pPr>
        <w:pStyle w:val="6"/>
        <w:rPr>
          <w:rFonts w:hint="eastAsia"/>
          <w:color w:val="auto"/>
          <w:highlight w:val="none"/>
          <w:lang w:eastAsia="zh-CN"/>
        </w:rPr>
      </w:pPr>
    </w:p>
    <w:tbl>
      <w:tblPr>
        <w:tblStyle w:val="7"/>
        <w:tblW w:w="93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3"/>
        <w:gridCol w:w="1211"/>
        <w:gridCol w:w="842"/>
        <w:gridCol w:w="305"/>
        <w:gridCol w:w="6365"/>
      </w:tblGrid>
      <w:tr w14:paraId="2CF4E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9346" w:type="dxa"/>
            <w:gridSpan w:val="5"/>
            <w:tcBorders>
              <w:top w:val="single" w:color="auto" w:sz="4" w:space="0"/>
              <w:left w:val="single" w:color="auto" w:sz="4" w:space="0"/>
              <w:bottom w:val="single" w:color="auto" w:sz="4" w:space="0"/>
              <w:right w:val="single" w:color="auto" w:sz="4" w:space="0"/>
            </w:tcBorders>
            <w:noWrap w:val="0"/>
            <w:vAlign w:val="center"/>
          </w:tcPr>
          <w:p w14:paraId="524FA000">
            <w:pPr>
              <w:spacing w:line="360" w:lineRule="auto"/>
              <w:jc w:val="left"/>
              <w:rPr>
                <w:rFonts w:hint="eastAsia" w:ascii="宋体" w:hAnsi="宋体"/>
                <w:b/>
                <w:bCs/>
                <w:color w:val="auto"/>
                <w:sz w:val="21"/>
                <w:szCs w:val="21"/>
                <w:highlight w:val="none"/>
              </w:rPr>
            </w:pPr>
            <w:r>
              <w:rPr>
                <w:rFonts w:hint="eastAsia" w:ascii="宋体" w:hAnsi="宋体"/>
                <w:b/>
                <w:bCs/>
                <w:color w:val="auto"/>
                <w:sz w:val="21"/>
                <w:szCs w:val="21"/>
                <w:highlight w:val="none"/>
                <w:lang w:val="en-US" w:eastAsia="zh-CN"/>
              </w:rPr>
              <w:t>一、技术需求</w:t>
            </w:r>
          </w:p>
        </w:tc>
      </w:tr>
      <w:tr w14:paraId="6B3DE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623" w:type="dxa"/>
            <w:tcBorders>
              <w:top w:val="single" w:color="auto" w:sz="4" w:space="0"/>
              <w:left w:val="single" w:color="auto" w:sz="4" w:space="0"/>
              <w:bottom w:val="single" w:color="auto" w:sz="4" w:space="0"/>
              <w:right w:val="single" w:color="auto" w:sz="4" w:space="0"/>
            </w:tcBorders>
            <w:noWrap w:val="0"/>
            <w:vAlign w:val="center"/>
          </w:tcPr>
          <w:p w14:paraId="10EE6A69">
            <w:pPr>
              <w:widowControl/>
              <w:spacing w:line="240" w:lineRule="auto"/>
              <w:jc w:val="both"/>
              <w:rPr>
                <w:rFonts w:hint="eastAsia" w:ascii="宋体" w:hAnsi="宋体" w:cs="宋体"/>
                <w:b/>
                <w:color w:val="auto"/>
                <w:kern w:val="0"/>
                <w:sz w:val="21"/>
                <w:szCs w:val="21"/>
                <w:highlight w:val="none"/>
                <w:lang w:val="en-US" w:eastAsia="zh-CN" w:bidi="ar-SA"/>
              </w:rPr>
            </w:pPr>
            <w:r>
              <w:rPr>
                <w:rFonts w:hint="eastAsia" w:ascii="宋体" w:hAnsi="宋体" w:cs="宋体"/>
                <w:b/>
                <w:color w:val="auto"/>
                <w:kern w:val="0"/>
                <w:sz w:val="21"/>
                <w:szCs w:val="21"/>
                <w:highlight w:val="none"/>
              </w:rPr>
              <w:t>序号</w:t>
            </w:r>
          </w:p>
        </w:tc>
        <w:tc>
          <w:tcPr>
            <w:tcW w:w="1211" w:type="dxa"/>
            <w:tcBorders>
              <w:top w:val="single" w:color="auto" w:sz="4" w:space="0"/>
              <w:left w:val="single" w:color="auto" w:sz="4" w:space="0"/>
              <w:bottom w:val="single" w:color="auto" w:sz="4" w:space="0"/>
              <w:right w:val="single" w:color="auto" w:sz="4" w:space="0"/>
            </w:tcBorders>
            <w:noWrap w:val="0"/>
            <w:vAlign w:val="center"/>
          </w:tcPr>
          <w:p w14:paraId="5AD86A92">
            <w:pPr>
              <w:widowControl/>
              <w:spacing w:line="360" w:lineRule="auto"/>
              <w:jc w:val="both"/>
              <w:rPr>
                <w:rFonts w:hint="eastAsia" w:ascii="宋体" w:hAnsi="宋体" w:cs="宋体"/>
                <w:b/>
                <w:color w:val="auto"/>
                <w:kern w:val="0"/>
                <w:sz w:val="21"/>
                <w:szCs w:val="21"/>
                <w:highlight w:val="none"/>
                <w:lang w:val="en-US" w:eastAsia="zh-CN" w:bidi="ar-SA"/>
              </w:rPr>
            </w:pPr>
            <w:r>
              <w:rPr>
                <w:rFonts w:hint="eastAsia" w:ascii="宋体" w:hAnsi="宋体" w:cs="宋体"/>
                <w:color w:val="auto"/>
                <w:szCs w:val="21"/>
                <w:highlight w:val="none"/>
                <w:lang w:val="en-US" w:eastAsia="zh-CN"/>
              </w:rPr>
              <w:t>标的</w:t>
            </w:r>
            <w:r>
              <w:rPr>
                <w:rFonts w:hint="eastAsia" w:ascii="宋体" w:hAnsi="宋体" w:cs="宋体"/>
                <w:color w:val="auto"/>
                <w:szCs w:val="21"/>
                <w:highlight w:val="none"/>
              </w:rPr>
              <w:t>名称</w:t>
            </w:r>
          </w:p>
        </w:tc>
        <w:tc>
          <w:tcPr>
            <w:tcW w:w="1147" w:type="dxa"/>
            <w:gridSpan w:val="2"/>
            <w:tcBorders>
              <w:top w:val="single" w:color="auto" w:sz="4" w:space="0"/>
              <w:left w:val="single" w:color="auto" w:sz="4" w:space="0"/>
              <w:bottom w:val="single" w:color="auto" w:sz="4" w:space="0"/>
              <w:right w:val="single" w:color="auto" w:sz="4" w:space="0"/>
            </w:tcBorders>
            <w:noWrap w:val="0"/>
            <w:vAlign w:val="center"/>
          </w:tcPr>
          <w:p w14:paraId="418FF53F">
            <w:pPr>
              <w:tabs>
                <w:tab w:val="left" w:pos="180"/>
                <w:tab w:val="left" w:pos="1620"/>
              </w:tabs>
              <w:spacing w:line="360" w:lineRule="auto"/>
              <w:jc w:val="center"/>
              <w:rPr>
                <w:rFonts w:hint="eastAsia" w:ascii="宋体" w:hAnsi="宋体"/>
                <w:b/>
                <w:color w:val="auto"/>
                <w:kern w:val="2"/>
                <w:sz w:val="21"/>
                <w:szCs w:val="21"/>
                <w:highlight w:val="none"/>
                <w:lang w:val="en-US" w:eastAsia="zh-CN" w:bidi="ar-SA"/>
              </w:rPr>
            </w:pPr>
            <w:r>
              <w:rPr>
                <w:rFonts w:hint="eastAsia" w:ascii="宋体" w:hAnsi="宋体" w:cs="宋体"/>
                <w:color w:val="auto"/>
                <w:szCs w:val="21"/>
                <w:highlight w:val="none"/>
              </w:rPr>
              <w:t>数量及单位</w:t>
            </w:r>
          </w:p>
        </w:tc>
        <w:tc>
          <w:tcPr>
            <w:tcW w:w="6365" w:type="dxa"/>
            <w:tcBorders>
              <w:top w:val="single" w:color="auto" w:sz="4" w:space="0"/>
              <w:left w:val="single" w:color="auto" w:sz="4" w:space="0"/>
              <w:bottom w:val="single" w:color="auto" w:sz="4" w:space="0"/>
              <w:right w:val="single" w:color="auto" w:sz="4" w:space="0"/>
            </w:tcBorders>
            <w:noWrap w:val="0"/>
            <w:vAlign w:val="center"/>
          </w:tcPr>
          <w:p w14:paraId="15F90C91">
            <w:pPr>
              <w:spacing w:line="360" w:lineRule="auto"/>
              <w:jc w:val="center"/>
              <w:rPr>
                <w:rFonts w:hint="eastAsia" w:ascii="宋体" w:hAnsi="宋体"/>
                <w:b/>
                <w:bCs/>
                <w:color w:val="auto"/>
                <w:kern w:val="2"/>
                <w:sz w:val="21"/>
                <w:szCs w:val="21"/>
                <w:highlight w:val="none"/>
                <w:lang w:val="en-US" w:eastAsia="zh-CN" w:bidi="ar-SA"/>
              </w:rPr>
            </w:pPr>
            <w:r>
              <w:rPr>
                <w:rFonts w:hint="eastAsia" w:ascii="宋体" w:hAnsi="宋体"/>
                <w:b/>
                <w:bCs/>
                <w:color w:val="auto"/>
                <w:kern w:val="2"/>
                <w:sz w:val="21"/>
                <w:szCs w:val="21"/>
                <w:highlight w:val="none"/>
                <w:lang w:val="en-US" w:eastAsia="zh-CN" w:bidi="ar-SA"/>
              </w:rPr>
              <w:t>技术参数要求</w:t>
            </w:r>
          </w:p>
        </w:tc>
      </w:tr>
      <w:tr w14:paraId="22344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5" w:hRule="atLeast"/>
          <w:jc w:val="center"/>
        </w:trPr>
        <w:tc>
          <w:tcPr>
            <w:tcW w:w="623" w:type="dxa"/>
            <w:tcBorders>
              <w:top w:val="single" w:color="auto" w:sz="4" w:space="0"/>
              <w:left w:val="single" w:color="auto" w:sz="4" w:space="0"/>
              <w:bottom w:val="single" w:color="auto" w:sz="4" w:space="0"/>
              <w:right w:val="single" w:color="auto" w:sz="4" w:space="0"/>
            </w:tcBorders>
            <w:noWrap w:val="0"/>
            <w:vAlign w:val="center"/>
          </w:tcPr>
          <w:p w14:paraId="0EA78E75">
            <w:pPr>
              <w:widowControl/>
              <w:spacing w:line="360" w:lineRule="auto"/>
              <w:jc w:val="center"/>
              <w:rPr>
                <w:rFonts w:hint="eastAsia" w:ascii="宋体" w:hAnsi="宋体" w:eastAsia="宋体" w:cs="宋体"/>
                <w:b w:val="0"/>
                <w:bCs/>
                <w:color w:val="auto"/>
                <w:kern w:val="0"/>
                <w:sz w:val="21"/>
                <w:szCs w:val="21"/>
                <w:highlight w:val="none"/>
                <w:lang w:val="en-US" w:eastAsia="zh-CN"/>
              </w:rPr>
            </w:pPr>
            <w:r>
              <w:rPr>
                <w:rFonts w:hint="eastAsia" w:ascii="宋体" w:hAnsi="宋体" w:eastAsia="宋体" w:cs="宋体"/>
                <w:b w:val="0"/>
                <w:bCs/>
                <w:color w:val="auto"/>
                <w:kern w:val="0"/>
                <w:sz w:val="21"/>
                <w:szCs w:val="21"/>
                <w:highlight w:val="none"/>
                <w:lang w:val="en-US" w:eastAsia="zh-CN"/>
              </w:rPr>
              <w:t>1</w:t>
            </w:r>
          </w:p>
        </w:tc>
        <w:tc>
          <w:tcPr>
            <w:tcW w:w="1211" w:type="dxa"/>
            <w:tcBorders>
              <w:top w:val="single" w:color="auto" w:sz="4" w:space="0"/>
              <w:left w:val="single" w:color="auto" w:sz="4" w:space="0"/>
              <w:bottom w:val="single" w:color="auto" w:sz="4" w:space="0"/>
              <w:right w:val="single" w:color="auto" w:sz="4" w:space="0"/>
            </w:tcBorders>
            <w:noWrap w:val="0"/>
            <w:vAlign w:val="center"/>
          </w:tcPr>
          <w:p w14:paraId="2194823A">
            <w:pPr>
              <w:spacing w:line="360" w:lineRule="auto"/>
              <w:jc w:val="center"/>
              <w:rPr>
                <w:rFonts w:hint="eastAsia" w:ascii="宋体" w:hAnsi="宋体" w:eastAsia="宋体" w:cs="宋体"/>
                <w:color w:val="auto"/>
                <w:sz w:val="21"/>
                <w:szCs w:val="21"/>
                <w:highlight w:val="none"/>
              </w:rPr>
            </w:pPr>
            <w:r>
              <w:rPr>
                <w:rFonts w:hint="eastAsia"/>
                <w:color w:val="auto"/>
                <w:highlight w:val="none"/>
              </w:rPr>
              <w:t>牛奶</w:t>
            </w:r>
          </w:p>
        </w:tc>
        <w:tc>
          <w:tcPr>
            <w:tcW w:w="1147" w:type="dxa"/>
            <w:gridSpan w:val="2"/>
            <w:tcBorders>
              <w:top w:val="single" w:color="auto" w:sz="4" w:space="0"/>
              <w:left w:val="single" w:color="auto" w:sz="4" w:space="0"/>
              <w:bottom w:val="single" w:color="auto" w:sz="4" w:space="0"/>
              <w:right w:val="single" w:color="auto" w:sz="4" w:space="0"/>
            </w:tcBorders>
            <w:noWrap w:val="0"/>
            <w:vAlign w:val="center"/>
          </w:tcPr>
          <w:p w14:paraId="2DBD315A">
            <w:pPr>
              <w:tabs>
                <w:tab w:val="left" w:pos="180"/>
                <w:tab w:val="left" w:pos="1620"/>
              </w:tabs>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1批</w:t>
            </w:r>
          </w:p>
        </w:tc>
        <w:tc>
          <w:tcPr>
            <w:tcW w:w="6365" w:type="dxa"/>
            <w:tcBorders>
              <w:top w:val="single" w:color="auto" w:sz="4" w:space="0"/>
              <w:left w:val="single" w:color="auto" w:sz="4" w:space="0"/>
              <w:bottom w:val="single" w:color="auto" w:sz="4" w:space="0"/>
              <w:right w:val="single" w:color="auto" w:sz="4" w:space="0"/>
            </w:tcBorders>
            <w:noWrap w:val="0"/>
            <w:vAlign w:val="center"/>
          </w:tcPr>
          <w:p w14:paraId="59461ABC">
            <w:pPr>
              <w:spacing w:line="360" w:lineRule="auto"/>
              <w:rPr>
                <w:rFonts w:hint="eastAsia" w:ascii="宋体" w:hAnsi="宋体"/>
                <w:color w:val="auto"/>
                <w:szCs w:val="21"/>
                <w:highlight w:val="none"/>
              </w:rPr>
            </w:pPr>
            <w:r>
              <w:rPr>
                <w:rFonts w:hint="eastAsia" w:ascii="宋体" w:hAnsi="宋体"/>
                <w:color w:val="auto"/>
                <w:szCs w:val="21"/>
                <w:highlight w:val="none"/>
              </w:rPr>
              <w:t>1.牛奶生产企业为取得中国奶业协会学生奶定点生产企业证书及标牌，必须符合《中华人民共和国食品卫生法</w:t>
            </w:r>
            <w:r>
              <w:rPr>
                <w:rFonts w:hint="eastAsia" w:ascii="宋体" w:hAnsi="宋体"/>
                <w:color w:val="auto"/>
                <w:szCs w:val="21"/>
                <w:highlight w:val="none"/>
                <w:lang w:eastAsia="zh-CN"/>
              </w:rPr>
              <w:t>》《</w:t>
            </w:r>
            <w:r>
              <w:rPr>
                <w:rFonts w:hint="eastAsia" w:ascii="宋体" w:hAnsi="宋体"/>
                <w:color w:val="auto"/>
                <w:szCs w:val="21"/>
                <w:highlight w:val="none"/>
              </w:rPr>
              <w:t>中华人民共和国产品质量法》相关规定，通过国家食品质量安全管理体系认证以及乳制品企业良好生产规范体系认证。</w:t>
            </w:r>
          </w:p>
          <w:p w14:paraId="0FA2184F">
            <w:pPr>
              <w:spacing w:line="360" w:lineRule="auto"/>
              <w:rPr>
                <w:rFonts w:hint="eastAsia" w:ascii="宋体" w:hAnsi="宋体"/>
                <w:color w:val="auto"/>
                <w:szCs w:val="21"/>
                <w:highlight w:val="none"/>
              </w:rPr>
            </w:pPr>
            <w:r>
              <w:rPr>
                <w:rFonts w:hint="eastAsia" w:ascii="宋体" w:hAnsi="宋体"/>
                <w:color w:val="auto"/>
                <w:szCs w:val="21"/>
                <w:highlight w:val="none"/>
              </w:rPr>
              <w:t>2.纯牛奶蛋白质含量≥2.9%，执行 GB25190《食品安全国家标准灭茵乳》，不得添加任何防腐剂，执行GB19301《生鲜牛乳收购标准》，不得使用复原乳生产。</w:t>
            </w:r>
          </w:p>
          <w:p w14:paraId="49CA712A">
            <w:pPr>
              <w:spacing w:line="360" w:lineRule="auto"/>
              <w:rPr>
                <w:rFonts w:hint="eastAsia" w:ascii="宋体" w:hAnsi="宋体"/>
                <w:color w:val="auto"/>
                <w:szCs w:val="21"/>
                <w:highlight w:val="none"/>
              </w:rPr>
            </w:pPr>
            <w:r>
              <w:rPr>
                <w:rFonts w:hint="eastAsia" w:ascii="宋体" w:hAnsi="宋体"/>
                <w:color w:val="auto"/>
                <w:szCs w:val="21"/>
                <w:highlight w:val="none"/>
              </w:rPr>
              <w:t>3.规格：每份1盒或2盒，总容量不得低于</w:t>
            </w:r>
            <w:r>
              <w:rPr>
                <w:rFonts w:hint="eastAsia" w:ascii="宋体" w:hAnsi="宋体"/>
                <w:color w:val="auto"/>
                <w:szCs w:val="21"/>
                <w:highlight w:val="none"/>
                <w:lang w:val="en-US" w:eastAsia="zh-CN"/>
              </w:rPr>
              <w:t>200</w:t>
            </w:r>
            <w:r>
              <w:rPr>
                <w:rFonts w:hint="eastAsia" w:ascii="宋体" w:hAnsi="宋体"/>
                <w:color w:val="auto"/>
                <w:szCs w:val="21"/>
                <w:highlight w:val="none"/>
              </w:rPr>
              <w:t>ml。</w:t>
            </w:r>
          </w:p>
          <w:p w14:paraId="3EF65D01">
            <w:pPr>
              <w:spacing w:line="360" w:lineRule="auto"/>
              <w:rPr>
                <w:rFonts w:hint="eastAsia" w:ascii="宋体" w:hAnsi="宋体"/>
                <w:color w:val="auto"/>
                <w:szCs w:val="21"/>
                <w:highlight w:val="none"/>
              </w:rPr>
            </w:pPr>
            <w:r>
              <w:rPr>
                <w:rFonts w:hint="eastAsia" w:ascii="宋体" w:hAnsi="宋体"/>
                <w:color w:val="auto"/>
                <w:szCs w:val="21"/>
                <w:highlight w:val="none"/>
              </w:rPr>
              <w:t>4.包装：使用合格包装盒，有中国学生饮用奶标志，注明产品营养成分、保质期、规格等技术指标。</w:t>
            </w:r>
          </w:p>
          <w:p w14:paraId="2EBD3418">
            <w:pPr>
              <w:spacing w:line="360" w:lineRule="auto"/>
              <w:rPr>
                <w:rFonts w:hint="eastAsia" w:ascii="宋体" w:hAnsi="宋体"/>
                <w:color w:val="auto"/>
                <w:szCs w:val="21"/>
                <w:highlight w:val="none"/>
              </w:rPr>
            </w:pPr>
            <w:r>
              <w:rPr>
                <w:rFonts w:hint="eastAsia" w:ascii="宋体" w:hAnsi="宋体"/>
                <w:color w:val="auto"/>
                <w:szCs w:val="21"/>
                <w:highlight w:val="none"/>
              </w:rPr>
              <w:t>5.产品常温保存，送到学校的牛奶必须保证距离保质期到期日期90天以上。</w:t>
            </w:r>
          </w:p>
          <w:p w14:paraId="0C8A572C">
            <w:pPr>
              <w:spacing w:line="360" w:lineRule="auto"/>
              <w:rPr>
                <w:rFonts w:hint="eastAsia" w:ascii="宋体" w:hAnsi="宋体" w:eastAsia="宋体" w:cs="宋体"/>
                <w:b/>
                <w:bCs/>
                <w:color w:val="auto"/>
                <w:sz w:val="21"/>
                <w:szCs w:val="21"/>
                <w:highlight w:val="none"/>
              </w:rPr>
            </w:pPr>
            <w:r>
              <w:rPr>
                <w:rFonts w:hint="eastAsia" w:ascii="宋体" w:hAnsi="宋体"/>
                <w:color w:val="auto"/>
                <w:szCs w:val="21"/>
                <w:highlight w:val="none"/>
              </w:rPr>
              <w:t>6.如现行国家标准参数有变，则按新标准参数执行。</w:t>
            </w:r>
          </w:p>
        </w:tc>
      </w:tr>
      <w:tr w14:paraId="666FA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3" w:hRule="atLeast"/>
          <w:jc w:val="center"/>
        </w:trPr>
        <w:tc>
          <w:tcPr>
            <w:tcW w:w="623" w:type="dxa"/>
            <w:tcBorders>
              <w:top w:val="single" w:color="auto" w:sz="4" w:space="0"/>
              <w:left w:val="single" w:color="auto" w:sz="4" w:space="0"/>
              <w:bottom w:val="single" w:color="auto" w:sz="4" w:space="0"/>
              <w:right w:val="single" w:color="auto" w:sz="4" w:space="0"/>
            </w:tcBorders>
            <w:noWrap w:val="0"/>
            <w:vAlign w:val="center"/>
          </w:tcPr>
          <w:p w14:paraId="33F507E4">
            <w:pPr>
              <w:widowControl/>
              <w:spacing w:line="360" w:lineRule="auto"/>
              <w:jc w:val="center"/>
              <w:rPr>
                <w:rFonts w:hint="eastAsia" w:ascii="宋体" w:hAnsi="宋体" w:eastAsia="宋体" w:cs="宋体"/>
                <w:b w:val="0"/>
                <w:bCs/>
                <w:color w:val="auto"/>
                <w:kern w:val="0"/>
                <w:sz w:val="21"/>
                <w:szCs w:val="21"/>
                <w:highlight w:val="none"/>
                <w:lang w:val="en-US" w:eastAsia="zh-CN"/>
              </w:rPr>
            </w:pPr>
            <w:r>
              <w:rPr>
                <w:rFonts w:hint="eastAsia" w:ascii="宋体" w:hAnsi="宋体" w:eastAsia="宋体" w:cs="宋体"/>
                <w:b w:val="0"/>
                <w:bCs/>
                <w:color w:val="auto"/>
                <w:kern w:val="0"/>
                <w:sz w:val="21"/>
                <w:szCs w:val="21"/>
                <w:highlight w:val="none"/>
                <w:lang w:val="en-US" w:eastAsia="zh-CN"/>
              </w:rPr>
              <w:t>2</w:t>
            </w:r>
          </w:p>
        </w:tc>
        <w:tc>
          <w:tcPr>
            <w:tcW w:w="1211" w:type="dxa"/>
            <w:tcBorders>
              <w:top w:val="single" w:color="auto" w:sz="4" w:space="0"/>
              <w:left w:val="single" w:color="auto" w:sz="4" w:space="0"/>
              <w:bottom w:val="single" w:color="auto" w:sz="4" w:space="0"/>
              <w:right w:val="single" w:color="auto" w:sz="4" w:space="0"/>
            </w:tcBorders>
            <w:noWrap w:val="0"/>
            <w:vAlign w:val="center"/>
          </w:tcPr>
          <w:p w14:paraId="5EF579E9">
            <w:pPr>
              <w:spacing w:line="360" w:lineRule="auto"/>
              <w:jc w:val="center"/>
              <w:rPr>
                <w:rFonts w:hint="eastAsia" w:ascii="宋体" w:hAnsi="宋体" w:eastAsia="宋体" w:cs="宋体"/>
                <w:color w:val="auto"/>
                <w:sz w:val="21"/>
                <w:szCs w:val="21"/>
                <w:highlight w:val="none"/>
              </w:rPr>
            </w:pPr>
            <w:r>
              <w:rPr>
                <w:rFonts w:hint="eastAsia"/>
                <w:color w:val="auto"/>
                <w:highlight w:val="none"/>
              </w:rPr>
              <w:t>蛋糕</w:t>
            </w:r>
          </w:p>
        </w:tc>
        <w:tc>
          <w:tcPr>
            <w:tcW w:w="1147" w:type="dxa"/>
            <w:gridSpan w:val="2"/>
            <w:tcBorders>
              <w:top w:val="single" w:color="auto" w:sz="4" w:space="0"/>
              <w:left w:val="single" w:color="auto" w:sz="4" w:space="0"/>
              <w:bottom w:val="single" w:color="auto" w:sz="4" w:space="0"/>
              <w:right w:val="single" w:color="auto" w:sz="4" w:space="0"/>
            </w:tcBorders>
            <w:noWrap w:val="0"/>
            <w:vAlign w:val="center"/>
          </w:tcPr>
          <w:p w14:paraId="0C3F9024">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1批</w:t>
            </w:r>
          </w:p>
        </w:tc>
        <w:tc>
          <w:tcPr>
            <w:tcW w:w="6365" w:type="dxa"/>
            <w:tcBorders>
              <w:top w:val="single" w:color="auto" w:sz="4" w:space="0"/>
              <w:left w:val="single" w:color="auto" w:sz="4" w:space="0"/>
              <w:bottom w:val="single" w:color="auto" w:sz="4" w:space="0"/>
              <w:right w:val="single" w:color="auto" w:sz="4" w:space="0"/>
            </w:tcBorders>
            <w:noWrap w:val="0"/>
            <w:vAlign w:val="center"/>
          </w:tcPr>
          <w:p w14:paraId="3CF02827">
            <w:pPr>
              <w:spacing w:line="360" w:lineRule="auto"/>
              <w:rPr>
                <w:rFonts w:hint="eastAsia"/>
                <w:color w:val="auto"/>
                <w:highlight w:val="none"/>
              </w:rPr>
            </w:pPr>
            <w:r>
              <w:rPr>
                <w:rFonts w:hint="eastAsia"/>
                <w:color w:val="auto"/>
                <w:highlight w:val="none"/>
              </w:rPr>
              <w:t>1.严格执行国家食品安全卫生标准，食品添加剂的使用实行检查部门备案制，符合《食品添加剂使用标准》及《食品污染物限量》规定，产品采用高温加热灭菌方式制成，注明产品配料、营养成分、保质期、规格等技术指标。</w:t>
            </w:r>
          </w:p>
          <w:p w14:paraId="6528937D">
            <w:pPr>
              <w:spacing w:line="360" w:lineRule="auto"/>
              <w:rPr>
                <w:rFonts w:hint="eastAsia" w:eastAsia="宋体"/>
                <w:color w:val="auto"/>
                <w:highlight w:val="none"/>
                <w:lang w:eastAsia="zh-CN"/>
              </w:rPr>
            </w:pPr>
            <w:r>
              <w:rPr>
                <w:rFonts w:hint="eastAsia"/>
                <w:color w:val="auto"/>
                <w:highlight w:val="none"/>
              </w:rPr>
              <w:t>2.产品执行标准：蛋糕产品执行标准：GB/T20977。</w:t>
            </w:r>
          </w:p>
          <w:p w14:paraId="363C1632">
            <w:pPr>
              <w:spacing w:line="360" w:lineRule="auto"/>
              <w:rPr>
                <w:rFonts w:hint="eastAsia"/>
                <w:color w:val="auto"/>
                <w:highlight w:val="none"/>
              </w:rPr>
            </w:pPr>
            <w:r>
              <w:rPr>
                <w:rFonts w:hint="eastAsia"/>
                <w:color w:val="auto"/>
                <w:highlight w:val="none"/>
              </w:rPr>
              <w:t>3.口感柔软，规格每份净重≥40克。</w:t>
            </w:r>
          </w:p>
          <w:p w14:paraId="46E98599">
            <w:pPr>
              <w:spacing w:line="360" w:lineRule="auto"/>
              <w:rPr>
                <w:rFonts w:hint="eastAsia"/>
                <w:color w:val="auto"/>
                <w:highlight w:val="none"/>
              </w:rPr>
            </w:pPr>
            <w:r>
              <w:rPr>
                <w:rFonts w:hint="eastAsia"/>
                <w:color w:val="auto"/>
                <w:highlight w:val="none"/>
              </w:rPr>
              <w:t>4.包装：预独立包装。</w:t>
            </w:r>
          </w:p>
          <w:p w14:paraId="40D99433">
            <w:pPr>
              <w:spacing w:line="360" w:lineRule="auto"/>
              <w:rPr>
                <w:rFonts w:hint="eastAsia" w:eastAsia="宋体"/>
                <w:color w:val="auto"/>
                <w:highlight w:val="none"/>
                <w:lang w:val="en-US" w:eastAsia="zh-CN"/>
              </w:rPr>
            </w:pPr>
            <w:r>
              <w:rPr>
                <w:rFonts w:hint="eastAsia"/>
                <w:color w:val="auto"/>
                <w:highlight w:val="none"/>
                <w:lang w:val="en-US" w:eastAsia="zh-CN"/>
              </w:rPr>
              <w:t>5.</w:t>
            </w:r>
            <w:r>
              <w:rPr>
                <w:rFonts w:hint="eastAsia"/>
                <w:color w:val="auto"/>
                <w:highlight w:val="none"/>
              </w:rPr>
              <w:t>保质期</w:t>
            </w:r>
            <w:r>
              <w:rPr>
                <w:rFonts w:hint="eastAsia"/>
                <w:color w:val="auto"/>
                <w:highlight w:val="none"/>
                <w:lang w:val="en-US" w:eastAsia="zh-CN"/>
              </w:rPr>
              <w:t>20</w:t>
            </w:r>
            <w:r>
              <w:rPr>
                <w:rFonts w:hint="eastAsia"/>
                <w:color w:val="auto"/>
                <w:highlight w:val="none"/>
              </w:rPr>
              <w:t>天以上</w:t>
            </w:r>
            <w:r>
              <w:rPr>
                <w:rFonts w:hint="eastAsia"/>
                <w:color w:val="auto"/>
                <w:highlight w:val="none"/>
                <w:lang w:eastAsia="zh-CN"/>
              </w:rPr>
              <w:t>。</w:t>
            </w:r>
          </w:p>
          <w:p w14:paraId="42A84414">
            <w:pPr>
              <w:spacing w:line="360" w:lineRule="auto"/>
              <w:rPr>
                <w:rFonts w:hint="eastAsia" w:eastAsia="宋体"/>
                <w:color w:val="auto"/>
                <w:sz w:val="21"/>
                <w:szCs w:val="21"/>
                <w:highlight w:val="none"/>
                <w:lang w:val="en-US" w:eastAsia="zh-CN"/>
              </w:rPr>
            </w:pPr>
            <w:r>
              <w:rPr>
                <w:rFonts w:hint="eastAsia"/>
                <w:color w:val="auto"/>
                <w:highlight w:val="none"/>
                <w:lang w:val="en-US" w:eastAsia="zh-CN"/>
              </w:rPr>
              <w:t>6</w:t>
            </w:r>
            <w:r>
              <w:rPr>
                <w:rFonts w:hint="eastAsia"/>
                <w:color w:val="auto"/>
                <w:highlight w:val="none"/>
              </w:rPr>
              <w:t>.如现行国家标准参数有变，则按新标准参数执行。</w:t>
            </w:r>
          </w:p>
        </w:tc>
      </w:tr>
      <w:tr w14:paraId="58566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0" w:hRule="atLeast"/>
          <w:jc w:val="center"/>
        </w:trPr>
        <w:tc>
          <w:tcPr>
            <w:tcW w:w="623" w:type="dxa"/>
            <w:tcBorders>
              <w:top w:val="single" w:color="auto" w:sz="4" w:space="0"/>
              <w:left w:val="single" w:color="auto" w:sz="4" w:space="0"/>
              <w:bottom w:val="single" w:color="auto" w:sz="4" w:space="0"/>
              <w:right w:val="single" w:color="auto" w:sz="4" w:space="0"/>
            </w:tcBorders>
            <w:noWrap w:val="0"/>
            <w:vAlign w:val="center"/>
          </w:tcPr>
          <w:p w14:paraId="1F64E531">
            <w:pPr>
              <w:widowControl/>
              <w:spacing w:line="360" w:lineRule="auto"/>
              <w:jc w:val="center"/>
              <w:rPr>
                <w:rFonts w:hint="eastAsia" w:ascii="宋体" w:hAnsi="宋体" w:eastAsia="宋体" w:cs="宋体"/>
                <w:b w:val="0"/>
                <w:bCs/>
                <w:color w:val="auto"/>
                <w:kern w:val="0"/>
                <w:sz w:val="21"/>
                <w:szCs w:val="21"/>
                <w:highlight w:val="none"/>
                <w:lang w:val="en-US" w:eastAsia="zh-CN"/>
              </w:rPr>
            </w:pPr>
            <w:r>
              <w:rPr>
                <w:rFonts w:hint="eastAsia" w:ascii="宋体" w:hAnsi="宋体" w:eastAsia="宋体" w:cs="宋体"/>
                <w:b w:val="0"/>
                <w:bCs/>
                <w:color w:val="auto"/>
                <w:kern w:val="0"/>
                <w:sz w:val="21"/>
                <w:szCs w:val="21"/>
                <w:highlight w:val="none"/>
                <w:lang w:val="en-US" w:eastAsia="zh-CN"/>
              </w:rPr>
              <w:t>3</w:t>
            </w:r>
          </w:p>
        </w:tc>
        <w:tc>
          <w:tcPr>
            <w:tcW w:w="1211" w:type="dxa"/>
            <w:tcBorders>
              <w:top w:val="single" w:color="auto" w:sz="4" w:space="0"/>
              <w:left w:val="single" w:color="auto" w:sz="4" w:space="0"/>
              <w:bottom w:val="single" w:color="auto" w:sz="4" w:space="0"/>
              <w:right w:val="single" w:color="auto" w:sz="4" w:space="0"/>
            </w:tcBorders>
            <w:noWrap w:val="0"/>
            <w:vAlign w:val="center"/>
          </w:tcPr>
          <w:p w14:paraId="6F9F6E21">
            <w:pPr>
              <w:spacing w:line="360" w:lineRule="auto"/>
              <w:jc w:val="center"/>
              <w:rPr>
                <w:rFonts w:hint="eastAsia" w:ascii="宋体" w:hAnsi="宋体" w:eastAsia="宋体" w:cs="宋体"/>
                <w:b w:val="0"/>
                <w:bCs/>
                <w:color w:val="auto"/>
                <w:sz w:val="21"/>
                <w:szCs w:val="21"/>
                <w:highlight w:val="none"/>
              </w:rPr>
            </w:pPr>
            <w:r>
              <w:rPr>
                <w:rFonts w:hint="eastAsia" w:ascii="宋体" w:hAnsi="宋体" w:cs="宋体"/>
                <w:b w:val="0"/>
                <w:bCs/>
                <w:color w:val="auto"/>
                <w:szCs w:val="21"/>
                <w:highlight w:val="none"/>
              </w:rPr>
              <w:t>面包</w:t>
            </w:r>
          </w:p>
        </w:tc>
        <w:tc>
          <w:tcPr>
            <w:tcW w:w="1147" w:type="dxa"/>
            <w:gridSpan w:val="2"/>
            <w:tcBorders>
              <w:top w:val="single" w:color="auto" w:sz="4" w:space="0"/>
              <w:left w:val="single" w:color="auto" w:sz="4" w:space="0"/>
              <w:bottom w:val="single" w:color="auto" w:sz="4" w:space="0"/>
              <w:right w:val="single" w:color="auto" w:sz="4" w:space="0"/>
            </w:tcBorders>
            <w:noWrap w:val="0"/>
            <w:vAlign w:val="center"/>
          </w:tcPr>
          <w:p w14:paraId="05A4C74B">
            <w:pPr>
              <w:spacing w:line="360" w:lineRule="auto"/>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val="en-US" w:eastAsia="zh-CN"/>
              </w:rPr>
              <w:t>1批</w:t>
            </w:r>
          </w:p>
        </w:tc>
        <w:tc>
          <w:tcPr>
            <w:tcW w:w="6365" w:type="dxa"/>
            <w:tcBorders>
              <w:top w:val="single" w:color="auto" w:sz="4" w:space="0"/>
              <w:left w:val="single" w:color="auto" w:sz="4" w:space="0"/>
              <w:bottom w:val="single" w:color="auto" w:sz="4" w:space="0"/>
              <w:right w:val="single" w:color="auto" w:sz="4" w:space="0"/>
            </w:tcBorders>
            <w:noWrap w:val="0"/>
            <w:vAlign w:val="center"/>
          </w:tcPr>
          <w:p w14:paraId="3DDC5AC0">
            <w:pPr>
              <w:spacing w:line="360" w:lineRule="auto"/>
              <w:rPr>
                <w:rFonts w:hint="eastAsia"/>
                <w:color w:val="auto"/>
                <w:highlight w:val="none"/>
              </w:rPr>
            </w:pPr>
            <w:r>
              <w:rPr>
                <w:rFonts w:hint="eastAsia"/>
                <w:color w:val="auto"/>
                <w:highlight w:val="none"/>
              </w:rPr>
              <w:t>1.严格执行国家食品安全卫生标准，食品添加剂的使用实行检查部门备案制，符合《食品添加剂使用标准》及《食品污染物限量》规定，产品采用高温加热灭菌方式制成，注明产品配料、营养成分、保质期、规格等技术指标。</w:t>
            </w:r>
          </w:p>
          <w:p w14:paraId="743F65B2">
            <w:pPr>
              <w:spacing w:line="360" w:lineRule="auto"/>
              <w:rPr>
                <w:rFonts w:hint="eastAsia"/>
                <w:color w:val="auto"/>
                <w:highlight w:val="none"/>
              </w:rPr>
            </w:pPr>
            <w:r>
              <w:rPr>
                <w:rFonts w:hint="eastAsia"/>
                <w:color w:val="auto"/>
                <w:highlight w:val="none"/>
              </w:rPr>
              <w:t>2.产品执行标准：面包产品执行标准：GB/T20981。</w:t>
            </w:r>
          </w:p>
          <w:p w14:paraId="719C4009">
            <w:pPr>
              <w:spacing w:line="360" w:lineRule="auto"/>
              <w:rPr>
                <w:rFonts w:hint="eastAsia"/>
                <w:color w:val="auto"/>
                <w:highlight w:val="none"/>
              </w:rPr>
            </w:pPr>
            <w:r>
              <w:rPr>
                <w:rFonts w:hint="eastAsia"/>
                <w:color w:val="auto"/>
                <w:highlight w:val="none"/>
              </w:rPr>
              <w:t>3.口感柔软，规格每份净重≥40克。</w:t>
            </w:r>
          </w:p>
          <w:p w14:paraId="67C07089">
            <w:pPr>
              <w:spacing w:line="360" w:lineRule="auto"/>
              <w:rPr>
                <w:rFonts w:hint="eastAsia"/>
                <w:color w:val="auto"/>
                <w:highlight w:val="none"/>
              </w:rPr>
            </w:pPr>
            <w:r>
              <w:rPr>
                <w:rFonts w:hint="eastAsia"/>
                <w:color w:val="auto"/>
                <w:highlight w:val="none"/>
              </w:rPr>
              <w:t>4.包装：预独立包装。</w:t>
            </w:r>
          </w:p>
          <w:p w14:paraId="59B0098E">
            <w:pPr>
              <w:spacing w:line="360" w:lineRule="auto"/>
              <w:rPr>
                <w:rFonts w:hint="eastAsia" w:eastAsia="宋体"/>
                <w:color w:val="auto"/>
                <w:highlight w:val="none"/>
                <w:lang w:val="en-US" w:eastAsia="zh-CN"/>
              </w:rPr>
            </w:pPr>
            <w:r>
              <w:rPr>
                <w:rFonts w:hint="eastAsia"/>
                <w:color w:val="auto"/>
                <w:highlight w:val="none"/>
                <w:lang w:val="en-US" w:eastAsia="zh-CN"/>
              </w:rPr>
              <w:t>5.</w:t>
            </w:r>
            <w:r>
              <w:rPr>
                <w:rFonts w:hint="eastAsia"/>
                <w:color w:val="auto"/>
                <w:highlight w:val="none"/>
              </w:rPr>
              <w:t>保质期</w:t>
            </w:r>
            <w:r>
              <w:rPr>
                <w:rFonts w:hint="eastAsia"/>
                <w:color w:val="auto"/>
                <w:highlight w:val="none"/>
                <w:lang w:val="en-US" w:eastAsia="zh-CN"/>
              </w:rPr>
              <w:t>20</w:t>
            </w:r>
            <w:r>
              <w:rPr>
                <w:rFonts w:hint="eastAsia"/>
                <w:color w:val="auto"/>
                <w:highlight w:val="none"/>
              </w:rPr>
              <w:t>天以上</w:t>
            </w:r>
            <w:r>
              <w:rPr>
                <w:rFonts w:hint="eastAsia"/>
                <w:color w:val="auto"/>
                <w:highlight w:val="none"/>
                <w:lang w:eastAsia="zh-CN"/>
              </w:rPr>
              <w:t>。</w:t>
            </w:r>
          </w:p>
          <w:p w14:paraId="7C0FC3C8">
            <w:pPr>
              <w:spacing w:line="360" w:lineRule="auto"/>
              <w:rPr>
                <w:rFonts w:hint="eastAsia" w:ascii="宋体" w:hAnsi="宋体" w:eastAsia="宋体" w:cs="宋体"/>
                <w:b/>
                <w:bCs/>
                <w:color w:val="auto"/>
                <w:sz w:val="21"/>
                <w:szCs w:val="21"/>
                <w:highlight w:val="none"/>
                <w:lang w:eastAsia="zh-CN"/>
              </w:rPr>
            </w:pPr>
            <w:r>
              <w:rPr>
                <w:rFonts w:hint="eastAsia"/>
                <w:color w:val="auto"/>
                <w:highlight w:val="none"/>
                <w:lang w:val="en-US" w:eastAsia="zh-CN"/>
              </w:rPr>
              <w:t>6</w:t>
            </w:r>
            <w:r>
              <w:rPr>
                <w:rFonts w:hint="eastAsia"/>
                <w:color w:val="auto"/>
                <w:highlight w:val="none"/>
              </w:rPr>
              <w:t>.如现行国家标准参数有变，则按新标准参数执行。</w:t>
            </w:r>
          </w:p>
        </w:tc>
      </w:tr>
      <w:tr w14:paraId="771F5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9346" w:type="dxa"/>
            <w:gridSpan w:val="5"/>
            <w:tcBorders>
              <w:top w:val="single" w:color="auto" w:sz="4" w:space="0"/>
              <w:left w:val="single" w:color="auto" w:sz="4" w:space="0"/>
              <w:bottom w:val="single" w:color="auto" w:sz="4" w:space="0"/>
              <w:right w:val="single" w:color="auto" w:sz="4" w:space="0"/>
            </w:tcBorders>
            <w:noWrap w:val="0"/>
            <w:vAlign w:val="center"/>
          </w:tcPr>
          <w:p w14:paraId="188F8CC2">
            <w:pPr>
              <w:spacing w:line="360" w:lineRule="auto"/>
              <w:rPr>
                <w:rFonts w:hint="eastAsia"/>
                <w:color w:val="auto"/>
                <w:highlight w:val="none"/>
                <w:lang w:val="en-US" w:eastAsia="zh-CN"/>
              </w:rPr>
            </w:pPr>
            <w:r>
              <w:rPr>
                <w:rFonts w:hint="eastAsia" w:ascii="宋体" w:hAnsi="宋体"/>
                <w:bCs/>
                <w:color w:val="auto"/>
                <w:szCs w:val="21"/>
                <w:highlight w:val="none"/>
                <w:lang w:val="en-US" w:eastAsia="zh-CN"/>
              </w:rPr>
              <w:t>二、其他技术要求</w:t>
            </w:r>
          </w:p>
        </w:tc>
      </w:tr>
      <w:tr w14:paraId="7EED2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623" w:type="dxa"/>
            <w:tcBorders>
              <w:top w:val="single" w:color="auto" w:sz="4" w:space="0"/>
              <w:left w:val="single" w:color="auto" w:sz="4" w:space="0"/>
              <w:bottom w:val="single" w:color="auto" w:sz="4" w:space="0"/>
              <w:right w:val="single" w:color="auto" w:sz="4" w:space="0"/>
            </w:tcBorders>
            <w:noWrap w:val="0"/>
            <w:vAlign w:val="center"/>
          </w:tcPr>
          <w:p w14:paraId="63E6F87B">
            <w:pPr>
              <w:widowControl/>
              <w:spacing w:line="240" w:lineRule="auto"/>
              <w:jc w:val="both"/>
              <w:rPr>
                <w:rFonts w:hint="default" w:ascii="宋体" w:hAnsi="宋体" w:cs="宋体"/>
                <w:b/>
                <w:color w:val="auto"/>
                <w:kern w:val="0"/>
                <w:sz w:val="21"/>
                <w:szCs w:val="21"/>
                <w:highlight w:val="none"/>
                <w:lang w:val="en-US" w:eastAsia="zh-CN"/>
              </w:rPr>
            </w:pPr>
            <w:r>
              <w:rPr>
                <w:rFonts w:hint="eastAsia" w:ascii="宋体" w:hAnsi="宋体" w:cs="宋体"/>
                <w:b/>
                <w:color w:val="auto"/>
                <w:kern w:val="0"/>
                <w:sz w:val="21"/>
                <w:szCs w:val="21"/>
                <w:highlight w:val="none"/>
                <w:lang w:val="en-US" w:eastAsia="zh-CN"/>
              </w:rPr>
              <w:t>1</w:t>
            </w:r>
          </w:p>
        </w:tc>
        <w:tc>
          <w:tcPr>
            <w:tcW w:w="1211" w:type="dxa"/>
            <w:tcBorders>
              <w:top w:val="single" w:color="auto" w:sz="4" w:space="0"/>
              <w:left w:val="single" w:color="auto" w:sz="4" w:space="0"/>
              <w:bottom w:val="single" w:color="auto" w:sz="4" w:space="0"/>
              <w:right w:val="single" w:color="auto" w:sz="4" w:space="0"/>
            </w:tcBorders>
            <w:noWrap w:val="0"/>
            <w:vAlign w:val="center"/>
          </w:tcPr>
          <w:p w14:paraId="0CAA31D2">
            <w:pPr>
              <w:spacing w:line="360" w:lineRule="auto"/>
              <w:jc w:val="center"/>
              <w:rPr>
                <w:rFonts w:hint="eastAsia"/>
                <w:color w:val="auto"/>
                <w:sz w:val="21"/>
                <w:szCs w:val="21"/>
                <w:highlight w:val="none"/>
              </w:rPr>
            </w:pPr>
            <w:r>
              <w:rPr>
                <w:rFonts w:hint="eastAsia"/>
                <w:color w:val="auto"/>
                <w:highlight w:val="none"/>
                <w:lang w:val="zh-TW" w:eastAsia="zh-CN"/>
              </w:rPr>
              <w:t>其他技术要求</w:t>
            </w:r>
          </w:p>
        </w:tc>
        <w:tc>
          <w:tcPr>
            <w:tcW w:w="7512" w:type="dxa"/>
            <w:gridSpan w:val="3"/>
            <w:tcBorders>
              <w:top w:val="single" w:color="auto" w:sz="4" w:space="0"/>
              <w:left w:val="single" w:color="auto" w:sz="4" w:space="0"/>
              <w:bottom w:val="single" w:color="auto" w:sz="4" w:space="0"/>
              <w:right w:val="single" w:color="auto" w:sz="4" w:space="0"/>
            </w:tcBorders>
            <w:noWrap w:val="0"/>
            <w:vAlign w:val="center"/>
          </w:tcPr>
          <w:p w14:paraId="32AAAD59">
            <w:pPr>
              <w:spacing w:line="360" w:lineRule="auto"/>
              <w:rPr>
                <w:rFonts w:hint="eastAsia"/>
                <w:color w:val="auto"/>
                <w:highlight w:val="none"/>
                <w:lang w:val="zh-TW" w:eastAsia="zh-CN"/>
              </w:rPr>
            </w:pPr>
            <w:r>
              <w:rPr>
                <w:rFonts w:hint="eastAsia"/>
                <w:color w:val="auto"/>
                <w:highlight w:val="none"/>
                <w:lang w:val="zh-TW" w:eastAsia="zh-CN"/>
              </w:rPr>
              <w:t>其他技术要求：</w:t>
            </w:r>
          </w:p>
          <w:p w14:paraId="13DB33CD">
            <w:pPr>
              <w:spacing w:line="360" w:lineRule="auto"/>
              <w:ind w:firstLine="420" w:firstLineChars="200"/>
              <w:jc w:val="left"/>
              <w:rPr>
                <w:rFonts w:hint="eastAsia" w:ascii="宋体" w:hAnsi="宋体" w:cs="宋体"/>
                <w:b/>
                <w:bCs/>
                <w:color w:val="auto"/>
                <w:sz w:val="21"/>
                <w:szCs w:val="21"/>
                <w:highlight w:val="none"/>
              </w:rPr>
            </w:pPr>
            <w:r>
              <w:rPr>
                <w:rFonts w:hint="eastAsia" w:hAnsi="宋体"/>
                <w:b w:val="0"/>
                <w:bCs/>
                <w:color w:val="auto"/>
                <w:highlight w:val="none"/>
              </w:rPr>
              <w:t>▲</w:t>
            </w:r>
            <w:r>
              <w:rPr>
                <w:rFonts w:hint="eastAsia" w:ascii="宋体" w:hAnsi="宋体" w:cs="宋体"/>
                <w:b/>
                <w:bCs/>
                <w:color w:val="auto"/>
                <w:sz w:val="21"/>
                <w:szCs w:val="21"/>
                <w:highlight w:val="none"/>
              </w:rPr>
              <w:t>1</w:t>
            </w:r>
            <w:r>
              <w:rPr>
                <w:rFonts w:hint="eastAsia" w:ascii="宋体" w:hAnsi="宋体" w:cs="宋体"/>
                <w:b/>
                <w:bCs/>
                <w:color w:val="auto"/>
                <w:sz w:val="21"/>
                <w:szCs w:val="21"/>
                <w:highlight w:val="none"/>
                <w:lang w:val="en-US" w:eastAsia="zh-CN"/>
              </w:rPr>
              <w:t>.</w:t>
            </w:r>
            <w:r>
              <w:rPr>
                <w:rFonts w:hint="eastAsia" w:ascii="宋体" w:hAnsi="宋体" w:cs="宋体"/>
                <w:b/>
                <w:bCs/>
                <w:color w:val="auto"/>
                <w:sz w:val="21"/>
                <w:szCs w:val="21"/>
                <w:highlight w:val="none"/>
              </w:rPr>
              <w:t>食品搭配组合</w:t>
            </w:r>
          </w:p>
          <w:p w14:paraId="0AB76A29">
            <w:pPr>
              <w:spacing w:line="360" w:lineRule="auto"/>
              <w:ind w:firstLine="420" w:firstLineChars="200"/>
              <w:jc w:val="left"/>
              <w:rPr>
                <w:rFonts w:hint="eastAsia" w:ascii="宋体" w:hAnsi="宋体" w:cs="宋体"/>
                <w:b/>
                <w:bCs/>
                <w:color w:val="auto"/>
                <w:sz w:val="21"/>
                <w:szCs w:val="21"/>
                <w:highlight w:val="none"/>
              </w:rPr>
            </w:pPr>
            <w:r>
              <w:rPr>
                <w:rFonts w:hint="eastAsia" w:ascii="宋体" w:hAnsi="宋体" w:cs="宋体"/>
                <w:color w:val="auto"/>
                <w:sz w:val="21"/>
                <w:szCs w:val="21"/>
                <w:highlight w:val="none"/>
              </w:rPr>
              <w:t>按照自治区学生营养办《关于印发〈广西农村义务教育阶段学生一周参考食谱〉的通知》（桂学生营养办〔2012〕6号）文件要求，由区学生营养办结合地方实际制订食谱，</w:t>
            </w:r>
            <w:r>
              <w:rPr>
                <w:rFonts w:hint="eastAsia" w:ascii="宋体" w:hAnsi="宋体" w:cs="宋体"/>
                <w:color w:val="auto"/>
                <w:sz w:val="21"/>
                <w:szCs w:val="21"/>
                <w:highlight w:val="none"/>
                <w:lang w:eastAsia="zh-CN"/>
              </w:rPr>
              <w:t>保证学生营养供餐份量，保证学生营养均衡。</w:t>
            </w:r>
            <w:r>
              <w:rPr>
                <w:rFonts w:hint="eastAsia" w:ascii="宋体" w:hAnsi="宋体" w:cs="宋体"/>
                <w:b/>
                <w:bCs/>
                <w:color w:val="auto"/>
                <w:sz w:val="21"/>
                <w:szCs w:val="21"/>
                <w:highlight w:val="none"/>
                <w:lang w:val="en-US" w:eastAsia="zh-CN"/>
              </w:rPr>
              <w:t>本项目标准为每生每天学生奶和蛋糕（或面包）总额不低于5.00元，</w:t>
            </w:r>
            <w:r>
              <w:rPr>
                <w:rFonts w:hint="eastAsia" w:ascii="宋体" w:hAnsi="宋体" w:cs="宋体"/>
                <w:color w:val="auto"/>
                <w:szCs w:val="21"/>
                <w:highlight w:val="none"/>
                <w:lang w:eastAsia="zh-CN"/>
              </w:rPr>
              <w:t>可根据学生实际需求调整</w:t>
            </w:r>
            <w:r>
              <w:rPr>
                <w:rFonts w:hint="eastAsia" w:ascii="宋体" w:hAnsi="宋体" w:cs="宋体"/>
                <w:b/>
                <w:bCs/>
                <w:color w:val="auto"/>
                <w:sz w:val="21"/>
                <w:szCs w:val="21"/>
                <w:highlight w:val="none"/>
              </w:rPr>
              <w:t>。</w:t>
            </w:r>
          </w:p>
          <w:p w14:paraId="6938A55A">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w:t>
            </w:r>
            <w:r>
              <w:rPr>
                <w:rFonts w:hint="eastAsia" w:ascii="宋体" w:hAnsi="宋体" w:cs="宋体"/>
                <w:color w:val="auto"/>
                <w:sz w:val="21"/>
                <w:szCs w:val="21"/>
                <w:highlight w:val="none"/>
              </w:rPr>
              <w:t>各校</w:t>
            </w:r>
            <w:r>
              <w:rPr>
                <w:rFonts w:hint="eastAsia" w:ascii="宋体" w:hAnsi="宋体" w:cs="宋体"/>
                <w:color w:val="auto"/>
                <w:sz w:val="21"/>
                <w:szCs w:val="21"/>
                <w:highlight w:val="none"/>
                <w:lang w:eastAsia="zh-CN"/>
              </w:rPr>
              <w:t>按月</w:t>
            </w:r>
            <w:r>
              <w:rPr>
                <w:rFonts w:hint="eastAsia" w:ascii="宋体" w:hAnsi="宋体" w:cs="宋体"/>
                <w:color w:val="auto"/>
                <w:sz w:val="21"/>
                <w:szCs w:val="21"/>
                <w:highlight w:val="none"/>
              </w:rPr>
              <w:t>提前</w:t>
            </w:r>
            <w:r>
              <w:rPr>
                <w:rFonts w:hint="eastAsia" w:ascii="宋体" w:hAnsi="宋体" w:cs="宋体"/>
                <w:color w:val="auto"/>
                <w:sz w:val="21"/>
                <w:szCs w:val="21"/>
                <w:highlight w:val="none"/>
                <w:lang w:eastAsia="zh-CN"/>
              </w:rPr>
              <w:t>计划</w:t>
            </w:r>
            <w:r>
              <w:rPr>
                <w:rFonts w:hint="eastAsia" w:ascii="宋体" w:hAnsi="宋体" w:cs="宋体"/>
                <w:color w:val="auto"/>
                <w:sz w:val="21"/>
                <w:szCs w:val="21"/>
                <w:highlight w:val="none"/>
              </w:rPr>
              <w:t>出本校</w:t>
            </w:r>
            <w:r>
              <w:rPr>
                <w:rFonts w:hint="eastAsia" w:ascii="宋体" w:hAnsi="宋体" w:cs="宋体"/>
                <w:color w:val="auto"/>
                <w:sz w:val="21"/>
                <w:szCs w:val="21"/>
                <w:highlight w:val="none"/>
                <w:lang w:eastAsia="zh-CN"/>
              </w:rPr>
              <w:t>货物需求量</w:t>
            </w:r>
            <w:r>
              <w:rPr>
                <w:rFonts w:hint="eastAsia" w:ascii="宋体" w:hAnsi="宋体" w:cs="宋体"/>
                <w:color w:val="auto"/>
                <w:sz w:val="21"/>
                <w:szCs w:val="21"/>
                <w:highlight w:val="none"/>
              </w:rPr>
              <w:t>后报区学生营养办，区学生营养办通知中标供应商做好供货准</w:t>
            </w:r>
            <w:r>
              <w:rPr>
                <w:rFonts w:hint="eastAsia" w:ascii="宋体" w:hAnsi="宋体" w:eastAsia="宋体" w:cs="宋体"/>
                <w:color w:val="auto"/>
                <w:sz w:val="21"/>
                <w:szCs w:val="21"/>
                <w:highlight w:val="none"/>
              </w:rPr>
              <w:t>备，按采购人的要求免费按时送货到各用户现场，在用户规定的时间内完成验收。</w:t>
            </w:r>
            <w:r>
              <w:rPr>
                <w:rFonts w:hint="eastAsia" w:ascii="宋体" w:hAnsi="宋体" w:eastAsia="宋体" w:cs="宋体"/>
                <w:color w:val="auto"/>
                <w:sz w:val="21"/>
                <w:szCs w:val="21"/>
                <w:highlight w:val="none"/>
                <w:lang w:eastAsia="zh-CN"/>
              </w:rPr>
              <w:t>保证学生的营养供餐</w:t>
            </w:r>
            <w:r>
              <w:rPr>
                <w:rFonts w:hint="eastAsia" w:ascii="宋体" w:hAnsi="宋体" w:eastAsia="宋体" w:cs="宋体"/>
                <w:color w:val="auto"/>
                <w:sz w:val="21"/>
                <w:szCs w:val="21"/>
                <w:highlight w:val="none"/>
              </w:rPr>
              <w:t>。</w:t>
            </w:r>
          </w:p>
          <w:p w14:paraId="52E76ECB">
            <w:pPr>
              <w:spacing w:line="360" w:lineRule="auto"/>
              <w:ind w:firstLine="420" w:firstLineChars="200"/>
              <w:jc w:val="left"/>
              <w:rPr>
                <w:rFonts w:hint="eastAsia" w:ascii="宋体" w:hAnsi="宋体" w:cs="宋体"/>
                <w:b/>
                <w:bCs/>
                <w:color w:val="auto"/>
                <w:sz w:val="21"/>
                <w:szCs w:val="21"/>
                <w:highlight w:val="none"/>
              </w:rPr>
            </w:pPr>
            <w:r>
              <w:rPr>
                <w:rFonts w:hint="eastAsia" w:hAnsi="宋体"/>
                <w:b w:val="0"/>
                <w:bCs/>
                <w:color w:val="auto"/>
                <w:highlight w:val="none"/>
              </w:rPr>
              <w:t>▲</w:t>
            </w:r>
            <w:r>
              <w:rPr>
                <w:rFonts w:hint="eastAsia" w:ascii="宋体" w:hAnsi="宋体" w:cs="宋体"/>
                <w:b/>
                <w:bCs/>
                <w:color w:val="auto"/>
                <w:sz w:val="21"/>
                <w:szCs w:val="21"/>
                <w:highlight w:val="none"/>
                <w:lang w:val="en-US" w:eastAsia="zh-CN"/>
              </w:rPr>
              <w:t>3.</w:t>
            </w:r>
            <w:r>
              <w:rPr>
                <w:rFonts w:hint="eastAsia" w:ascii="宋体" w:hAnsi="宋体" w:cs="宋体"/>
                <w:b/>
                <w:bCs/>
                <w:color w:val="auto"/>
                <w:sz w:val="21"/>
                <w:szCs w:val="21"/>
                <w:highlight w:val="none"/>
              </w:rPr>
              <w:t>质量技术标准要求：</w:t>
            </w:r>
          </w:p>
          <w:p w14:paraId="7DC66D4A">
            <w:pPr>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3.1中标人</w:t>
            </w:r>
            <w:r>
              <w:rPr>
                <w:rFonts w:hint="eastAsia" w:ascii="宋体" w:hAnsi="宋体" w:cs="宋体"/>
                <w:color w:val="auto"/>
                <w:sz w:val="21"/>
                <w:szCs w:val="21"/>
                <w:highlight w:val="none"/>
              </w:rPr>
              <w:t>提供的食品必须是</w:t>
            </w:r>
            <w:r>
              <w:rPr>
                <w:rFonts w:hint="eastAsia" w:ascii="宋体" w:hAnsi="宋体"/>
                <w:color w:val="auto"/>
                <w:szCs w:val="21"/>
                <w:highlight w:val="none"/>
              </w:rPr>
              <w:t>具有合法销售途径的</w:t>
            </w:r>
            <w:r>
              <w:rPr>
                <w:rFonts w:hint="eastAsia" w:ascii="宋体" w:hAnsi="宋体" w:cs="宋体"/>
                <w:color w:val="auto"/>
                <w:sz w:val="21"/>
                <w:szCs w:val="21"/>
                <w:highlight w:val="none"/>
              </w:rPr>
              <w:t>合格产品，产品质量指标有国家标准的应符合现行国家标准,无国家标准的应符合部颁标准或行业标准。“技术参数及功能要求”中未明确的技术指标，均按国家及行业相关规定执行。</w:t>
            </w:r>
          </w:p>
          <w:p w14:paraId="3CBFB4AB">
            <w:pPr>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3.2中标人</w:t>
            </w:r>
            <w:r>
              <w:rPr>
                <w:rFonts w:hint="eastAsia" w:ascii="宋体" w:hAnsi="宋体" w:cs="宋体"/>
                <w:color w:val="auto"/>
                <w:sz w:val="21"/>
                <w:szCs w:val="21"/>
                <w:highlight w:val="none"/>
              </w:rPr>
              <w:t>所交付配送的食品还应符合国家有关安全、环保、卫生等规定。</w:t>
            </w:r>
          </w:p>
          <w:p w14:paraId="61F55129">
            <w:pPr>
              <w:spacing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3.3中标人</w:t>
            </w:r>
            <w:r>
              <w:rPr>
                <w:rFonts w:hint="eastAsia" w:ascii="宋体" w:hAnsi="宋体" w:cs="宋体"/>
                <w:color w:val="auto"/>
                <w:sz w:val="21"/>
                <w:szCs w:val="21"/>
                <w:highlight w:val="none"/>
              </w:rPr>
              <w:t>应保证所供食品是全新的、未使用过的，并符合合同规定的质量、规格和营养的要求。交货验收时发现有污损、霉变、</w:t>
            </w:r>
            <w:r>
              <w:rPr>
                <w:rFonts w:hint="eastAsia" w:ascii="宋体" w:hAnsi="宋体" w:cs="宋体"/>
                <w:color w:val="auto"/>
                <w:sz w:val="21"/>
                <w:szCs w:val="21"/>
                <w:highlight w:val="none"/>
                <w:lang w:val="en-US" w:eastAsia="zh-CN"/>
              </w:rPr>
              <w:t>包装</w:t>
            </w:r>
            <w:r>
              <w:rPr>
                <w:rFonts w:hint="eastAsia" w:ascii="宋体" w:hAnsi="宋体" w:cs="宋体"/>
                <w:color w:val="auto"/>
                <w:sz w:val="21"/>
                <w:szCs w:val="21"/>
                <w:highlight w:val="none"/>
              </w:rPr>
              <w:t>开裂、自然破损由投标人在1天内免费更换</w:t>
            </w:r>
            <w:r>
              <w:rPr>
                <w:rFonts w:hint="eastAsia" w:ascii="宋体" w:hAnsi="宋体" w:cs="宋体"/>
                <w:color w:val="auto"/>
                <w:sz w:val="21"/>
                <w:szCs w:val="21"/>
                <w:highlight w:val="none"/>
                <w:lang w:eastAsia="zh-CN"/>
              </w:rPr>
              <w:t>。</w:t>
            </w:r>
          </w:p>
          <w:p w14:paraId="0E8ABA43">
            <w:pPr>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3.4</w:t>
            </w:r>
            <w:r>
              <w:rPr>
                <w:rFonts w:hint="eastAsia" w:ascii="宋体" w:hAnsi="宋体" w:cs="宋体"/>
                <w:color w:val="auto"/>
                <w:sz w:val="21"/>
                <w:szCs w:val="21"/>
                <w:highlight w:val="none"/>
              </w:rPr>
              <w:t>在质量保证期内，如果食品的质量或规格与合同不符，或证实食品是有缺陷的，包括潜在的缺陷或使用不符合要求的材料等，</w:t>
            </w:r>
            <w:r>
              <w:rPr>
                <w:rFonts w:hint="eastAsia" w:ascii="宋体" w:hAnsi="宋体" w:cs="宋体"/>
                <w:color w:val="auto"/>
                <w:sz w:val="21"/>
                <w:szCs w:val="21"/>
                <w:highlight w:val="none"/>
                <w:lang w:val="en-US" w:eastAsia="zh-CN"/>
              </w:rPr>
              <w:t>采购人</w:t>
            </w:r>
            <w:r>
              <w:rPr>
                <w:rFonts w:hint="eastAsia" w:ascii="宋体" w:hAnsi="宋体" w:cs="宋体"/>
                <w:color w:val="auto"/>
                <w:sz w:val="21"/>
                <w:szCs w:val="21"/>
                <w:highlight w:val="none"/>
              </w:rPr>
              <w:t>可以向</w:t>
            </w:r>
            <w:r>
              <w:rPr>
                <w:rFonts w:hint="eastAsia" w:ascii="宋体" w:hAnsi="宋体" w:cs="宋体"/>
                <w:color w:val="auto"/>
                <w:sz w:val="21"/>
                <w:szCs w:val="21"/>
                <w:highlight w:val="none"/>
                <w:lang w:val="en-US" w:eastAsia="zh-CN"/>
              </w:rPr>
              <w:t>中标人</w:t>
            </w:r>
            <w:r>
              <w:rPr>
                <w:rFonts w:hint="eastAsia" w:ascii="宋体" w:hAnsi="宋体" w:cs="宋体"/>
                <w:color w:val="auto"/>
                <w:sz w:val="21"/>
                <w:szCs w:val="21"/>
                <w:highlight w:val="none"/>
              </w:rPr>
              <w:t>提出补救措施或索赔。</w:t>
            </w:r>
          </w:p>
          <w:p w14:paraId="19166AA6">
            <w:pPr>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3.5中标人</w:t>
            </w:r>
            <w:r>
              <w:rPr>
                <w:rFonts w:hint="eastAsia" w:ascii="宋体" w:hAnsi="宋体" w:cs="宋体"/>
                <w:color w:val="auto"/>
                <w:sz w:val="21"/>
                <w:szCs w:val="21"/>
                <w:highlight w:val="none"/>
              </w:rPr>
              <w:t>在约定的时间内未能弥补缺陷，</w:t>
            </w:r>
            <w:r>
              <w:rPr>
                <w:rFonts w:hint="eastAsia" w:ascii="宋体" w:hAnsi="宋体" w:cs="宋体"/>
                <w:color w:val="auto"/>
                <w:sz w:val="21"/>
                <w:szCs w:val="21"/>
                <w:highlight w:val="none"/>
                <w:lang w:val="en-US" w:eastAsia="zh-CN"/>
              </w:rPr>
              <w:t>采购人</w:t>
            </w:r>
            <w:r>
              <w:rPr>
                <w:rFonts w:hint="eastAsia" w:ascii="宋体" w:hAnsi="宋体" w:cs="宋体"/>
                <w:color w:val="auto"/>
                <w:sz w:val="21"/>
                <w:szCs w:val="21"/>
                <w:highlight w:val="none"/>
              </w:rPr>
              <w:t>可采取必要的补救措施，但其风险和费用将由</w:t>
            </w:r>
            <w:r>
              <w:rPr>
                <w:rFonts w:hint="eastAsia" w:ascii="宋体" w:hAnsi="宋体" w:cs="宋体"/>
                <w:color w:val="auto"/>
                <w:sz w:val="21"/>
                <w:szCs w:val="21"/>
                <w:highlight w:val="none"/>
                <w:lang w:val="en-US" w:eastAsia="zh-CN"/>
              </w:rPr>
              <w:t>中标人</w:t>
            </w:r>
            <w:r>
              <w:rPr>
                <w:rFonts w:hint="eastAsia" w:ascii="宋体" w:hAnsi="宋体" w:cs="宋体"/>
                <w:color w:val="auto"/>
                <w:sz w:val="21"/>
                <w:szCs w:val="21"/>
                <w:highlight w:val="none"/>
              </w:rPr>
              <w:t>承担，</w:t>
            </w:r>
            <w:r>
              <w:rPr>
                <w:rFonts w:hint="eastAsia" w:ascii="宋体" w:hAnsi="宋体" w:cs="宋体"/>
                <w:color w:val="auto"/>
                <w:sz w:val="21"/>
                <w:szCs w:val="21"/>
                <w:highlight w:val="none"/>
                <w:lang w:val="en-US" w:eastAsia="zh-CN"/>
              </w:rPr>
              <w:t>采购人</w:t>
            </w:r>
            <w:r>
              <w:rPr>
                <w:rFonts w:hint="eastAsia" w:ascii="宋体" w:hAnsi="宋体" w:cs="宋体"/>
                <w:color w:val="auto"/>
                <w:sz w:val="21"/>
                <w:szCs w:val="21"/>
                <w:highlight w:val="none"/>
              </w:rPr>
              <w:t>根据合同规定对</w:t>
            </w:r>
            <w:r>
              <w:rPr>
                <w:rFonts w:hint="eastAsia" w:ascii="宋体" w:hAnsi="宋体" w:cs="宋体"/>
                <w:color w:val="auto"/>
                <w:sz w:val="21"/>
                <w:szCs w:val="21"/>
                <w:highlight w:val="none"/>
                <w:lang w:val="en-US" w:eastAsia="zh-CN"/>
              </w:rPr>
              <w:t>中标人</w:t>
            </w:r>
            <w:r>
              <w:rPr>
                <w:rFonts w:hint="eastAsia" w:ascii="宋体" w:hAnsi="宋体" w:cs="宋体"/>
                <w:color w:val="auto"/>
                <w:sz w:val="21"/>
                <w:szCs w:val="21"/>
                <w:highlight w:val="none"/>
              </w:rPr>
              <w:t>行使的其他权利不受影响。</w:t>
            </w:r>
          </w:p>
          <w:p w14:paraId="1908E0B0">
            <w:pPr>
              <w:spacing w:line="360" w:lineRule="auto"/>
              <w:ind w:firstLine="420" w:firstLineChars="200"/>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3.6</w:t>
            </w:r>
            <w:r>
              <w:rPr>
                <w:rFonts w:hint="eastAsia" w:ascii="宋体" w:hAnsi="宋体" w:cs="宋体"/>
                <w:color w:val="auto"/>
                <w:szCs w:val="21"/>
                <w:highlight w:val="none"/>
              </w:rPr>
              <w:t>中标</w:t>
            </w:r>
            <w:r>
              <w:rPr>
                <w:rFonts w:hint="eastAsia" w:ascii="宋体" w:hAnsi="宋体" w:cs="宋体"/>
                <w:color w:val="auto"/>
                <w:szCs w:val="21"/>
                <w:highlight w:val="none"/>
                <w:lang w:val="en-US" w:eastAsia="zh-CN"/>
              </w:rPr>
              <w:t>人</w:t>
            </w:r>
            <w:r>
              <w:rPr>
                <w:rFonts w:hint="eastAsia" w:ascii="宋体" w:hAnsi="宋体" w:cs="宋体"/>
                <w:color w:val="auto"/>
                <w:szCs w:val="21"/>
                <w:highlight w:val="none"/>
              </w:rPr>
              <w:t>须统一为用餐师生购买价值 500 万元</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含</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以上</w:t>
            </w:r>
            <w:r>
              <w:rPr>
                <w:rFonts w:hint="eastAsia" w:ascii="宋体" w:hAnsi="宋体" w:cs="宋体"/>
                <w:color w:val="auto"/>
                <w:szCs w:val="21"/>
                <w:highlight w:val="none"/>
              </w:rPr>
              <w:t>的“食品安全责任险”,并约定食品安全事故赔偿额为</w:t>
            </w:r>
            <w:r>
              <w:rPr>
                <w:rFonts w:hint="eastAsia" w:ascii="宋体" w:hAnsi="宋体" w:cs="宋体"/>
                <w:color w:val="auto"/>
                <w:szCs w:val="21"/>
                <w:highlight w:val="none"/>
                <w:lang w:eastAsia="zh-CN"/>
              </w:rPr>
              <w:t>：</w:t>
            </w:r>
            <w:r>
              <w:rPr>
                <w:rFonts w:hint="eastAsia" w:ascii="宋体" w:hAnsi="宋体" w:cs="宋体"/>
                <w:color w:val="auto"/>
                <w:szCs w:val="21"/>
                <w:highlight w:val="none"/>
              </w:rPr>
              <w:t>单人次死亡最高额赔偿40万元</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含</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以上，</w:t>
            </w:r>
            <w:r>
              <w:rPr>
                <w:rFonts w:hint="eastAsia" w:ascii="宋体" w:hAnsi="宋体" w:cs="宋体"/>
                <w:color w:val="auto"/>
                <w:szCs w:val="21"/>
                <w:highlight w:val="none"/>
              </w:rPr>
              <w:t>医疗10 万元</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含</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以上</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 xml:space="preserve">        </w:t>
            </w:r>
          </w:p>
          <w:p w14:paraId="2FB34182">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lang w:val="en-US" w:eastAsia="zh-CN"/>
              </w:rPr>
              <w:t>3.7</w:t>
            </w:r>
            <w:r>
              <w:rPr>
                <w:rFonts w:hint="eastAsia" w:ascii="宋体" w:hAnsi="宋体" w:cs="宋体"/>
                <w:color w:val="auto"/>
                <w:szCs w:val="21"/>
                <w:highlight w:val="none"/>
              </w:rPr>
              <w:t>若发生疑似食品安全事故,由中标</w:t>
            </w:r>
            <w:r>
              <w:rPr>
                <w:rFonts w:hint="eastAsia" w:ascii="宋体" w:hAnsi="宋体" w:cs="宋体"/>
                <w:color w:val="auto"/>
                <w:szCs w:val="21"/>
                <w:highlight w:val="none"/>
                <w:lang w:val="en-US" w:eastAsia="zh-CN"/>
              </w:rPr>
              <w:t>人</w:t>
            </w:r>
            <w:r>
              <w:rPr>
                <w:rFonts w:hint="eastAsia" w:ascii="宋体" w:hAnsi="宋体" w:cs="宋体"/>
                <w:color w:val="auto"/>
                <w:szCs w:val="21"/>
                <w:highlight w:val="none"/>
              </w:rPr>
              <w:t>先行垫付因事故产生的抢救、治疗等费用,待相关有资质部门对留样样品进行检测检验及其他综合评定后确认为产品质量问题的,或由人民法院裁定为中标</w:t>
            </w:r>
            <w:r>
              <w:rPr>
                <w:rFonts w:hint="eastAsia" w:ascii="宋体" w:hAnsi="宋体" w:cs="宋体"/>
                <w:color w:val="auto"/>
                <w:szCs w:val="21"/>
                <w:highlight w:val="none"/>
                <w:lang w:val="en-US" w:eastAsia="zh-CN"/>
              </w:rPr>
              <w:t>人</w:t>
            </w:r>
            <w:r>
              <w:rPr>
                <w:rFonts w:hint="eastAsia" w:ascii="宋体" w:hAnsi="宋体" w:cs="宋体"/>
                <w:color w:val="auto"/>
                <w:szCs w:val="21"/>
                <w:highlight w:val="none"/>
              </w:rPr>
              <w:t>责任的,由</w:t>
            </w:r>
            <w:r>
              <w:rPr>
                <w:rFonts w:hint="eastAsia" w:ascii="宋体" w:hAnsi="宋体" w:cs="宋体"/>
                <w:color w:val="auto"/>
                <w:szCs w:val="21"/>
                <w:highlight w:val="none"/>
                <w:lang w:val="en-US" w:eastAsia="zh-CN"/>
              </w:rPr>
              <w:t>中标人</w:t>
            </w:r>
            <w:r>
              <w:rPr>
                <w:rFonts w:hint="eastAsia" w:ascii="宋体" w:hAnsi="宋体" w:cs="宋体"/>
                <w:color w:val="auto"/>
                <w:szCs w:val="21"/>
                <w:highlight w:val="none"/>
              </w:rPr>
              <w:t>承担全部责任,并启动保险理赔程序；如不属于</w:t>
            </w:r>
            <w:r>
              <w:rPr>
                <w:rFonts w:hint="eastAsia" w:ascii="宋体" w:hAnsi="宋体" w:cs="宋体"/>
                <w:color w:val="auto"/>
                <w:szCs w:val="21"/>
                <w:highlight w:val="none"/>
                <w:lang w:val="en-US" w:eastAsia="zh-CN"/>
              </w:rPr>
              <w:t>中标人</w:t>
            </w:r>
            <w:r>
              <w:rPr>
                <w:rFonts w:hint="eastAsia" w:ascii="宋体" w:hAnsi="宋体" w:cs="宋体"/>
                <w:color w:val="auto"/>
                <w:szCs w:val="21"/>
                <w:highlight w:val="none"/>
              </w:rPr>
              <w:t>责任的,校方退回企业垫付的费用。</w:t>
            </w:r>
          </w:p>
          <w:p w14:paraId="0137D287">
            <w:pPr>
              <w:spacing w:line="360" w:lineRule="auto"/>
              <w:ind w:firstLine="420" w:firstLineChars="200"/>
              <w:jc w:val="left"/>
              <w:rPr>
                <w:rFonts w:hint="eastAsia" w:ascii="宋体" w:hAnsi="宋体" w:cs="宋体"/>
                <w:color w:val="auto"/>
                <w:szCs w:val="21"/>
                <w:highlight w:val="none"/>
                <w:lang w:eastAsia="zh-CN"/>
              </w:rPr>
            </w:pPr>
            <w:r>
              <w:rPr>
                <w:rFonts w:hint="eastAsia" w:ascii="宋体" w:hAnsi="宋体" w:cs="宋体"/>
                <w:color w:val="auto"/>
                <w:szCs w:val="21"/>
                <w:highlight w:val="none"/>
                <w:lang w:val="en-US" w:eastAsia="zh-CN"/>
              </w:rPr>
              <w:t>3.8</w:t>
            </w:r>
            <w:r>
              <w:rPr>
                <w:rFonts w:hint="eastAsia" w:ascii="宋体" w:hAnsi="宋体" w:cs="宋体"/>
                <w:color w:val="auto"/>
                <w:szCs w:val="21"/>
                <w:highlight w:val="none"/>
              </w:rPr>
              <w:t>杜绝假冒伪劣产品</w:t>
            </w:r>
            <w:r>
              <w:rPr>
                <w:rFonts w:hint="eastAsia" w:ascii="宋体" w:hAnsi="宋体" w:cs="宋体"/>
                <w:color w:val="auto"/>
                <w:szCs w:val="21"/>
                <w:highlight w:val="none"/>
                <w:lang w:eastAsia="zh-CN"/>
              </w:rPr>
              <w:t>。</w:t>
            </w:r>
          </w:p>
          <w:p w14:paraId="3FB437A9">
            <w:pPr>
              <w:spacing w:line="360" w:lineRule="auto"/>
              <w:ind w:firstLine="420" w:firstLineChars="200"/>
              <w:jc w:val="left"/>
              <w:rPr>
                <w:rFonts w:hint="eastAsia" w:ascii="宋体" w:hAnsi="宋体" w:cs="宋体"/>
                <w:color w:val="auto"/>
                <w:szCs w:val="21"/>
                <w:highlight w:val="none"/>
                <w:lang w:eastAsia="zh-CN"/>
              </w:rPr>
            </w:pPr>
            <w:r>
              <w:rPr>
                <w:rFonts w:hint="eastAsia" w:ascii="宋体" w:hAnsi="宋体" w:cs="宋体"/>
                <w:color w:val="auto"/>
                <w:szCs w:val="21"/>
                <w:highlight w:val="none"/>
                <w:lang w:val="en-US" w:eastAsia="zh-CN"/>
              </w:rPr>
              <w:t>3.9杜绝</w:t>
            </w:r>
            <w:r>
              <w:rPr>
                <w:rFonts w:hint="eastAsia" w:ascii="宋体" w:hAnsi="宋体" w:cs="宋体"/>
                <w:color w:val="auto"/>
                <w:szCs w:val="21"/>
                <w:highlight w:val="none"/>
              </w:rPr>
              <w:t>其他不符合食品安全标准和要求的食品</w:t>
            </w:r>
            <w:r>
              <w:rPr>
                <w:rFonts w:hint="eastAsia" w:ascii="宋体" w:hAnsi="宋体" w:cs="宋体"/>
                <w:color w:val="auto"/>
                <w:szCs w:val="21"/>
                <w:highlight w:val="none"/>
                <w:lang w:eastAsia="zh-CN"/>
              </w:rPr>
              <w:t>。</w:t>
            </w:r>
          </w:p>
          <w:p w14:paraId="1A088932">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lang w:val="en-US" w:eastAsia="zh-CN"/>
              </w:rPr>
              <w:t>3.10</w:t>
            </w:r>
            <w:r>
              <w:rPr>
                <w:rFonts w:hint="eastAsia" w:ascii="宋体" w:hAnsi="宋体" w:cs="宋体"/>
                <w:color w:val="auto"/>
                <w:szCs w:val="21"/>
                <w:highlight w:val="none"/>
              </w:rPr>
              <w:t>不能提供临期产品</w:t>
            </w:r>
            <w:r>
              <w:rPr>
                <w:rFonts w:hint="eastAsia" w:ascii="宋体" w:hAnsi="宋体" w:cs="宋体"/>
                <w:color w:val="auto"/>
                <w:szCs w:val="21"/>
                <w:highlight w:val="none"/>
                <w:lang w:eastAsia="zh-CN"/>
              </w:rPr>
              <w:t>，剩余保存期不少于原有保质期的三分之二且学生预计食用时间在产品</w:t>
            </w:r>
            <w:r>
              <w:rPr>
                <w:rFonts w:hint="eastAsia" w:ascii="宋体" w:hAnsi="宋体" w:cs="宋体"/>
                <w:color w:val="auto"/>
                <w:szCs w:val="21"/>
                <w:highlight w:val="none"/>
                <w:lang w:val="en-US" w:eastAsia="zh-CN"/>
              </w:rPr>
              <w:t>保质</w:t>
            </w:r>
            <w:r>
              <w:rPr>
                <w:rFonts w:hint="eastAsia" w:ascii="宋体" w:hAnsi="宋体" w:cs="宋体"/>
                <w:color w:val="auto"/>
                <w:szCs w:val="21"/>
                <w:highlight w:val="none"/>
                <w:lang w:eastAsia="zh-CN"/>
              </w:rPr>
              <w:t>期内。</w:t>
            </w:r>
          </w:p>
          <w:p w14:paraId="04051CEE">
            <w:pPr>
              <w:pStyle w:val="2"/>
              <w:rPr>
                <w:rFonts w:hint="eastAsia"/>
                <w:color w:val="auto"/>
                <w:highlight w:val="none"/>
              </w:rPr>
            </w:pPr>
          </w:p>
          <w:p w14:paraId="31FBFFD1">
            <w:pPr>
              <w:spacing w:line="360" w:lineRule="auto"/>
              <w:ind w:firstLine="420" w:firstLineChars="200"/>
              <w:jc w:val="left"/>
              <w:rPr>
                <w:rFonts w:hint="eastAsia" w:ascii="宋体" w:hAnsi="宋体" w:cs="宋体"/>
                <w:b/>
                <w:bCs/>
                <w:color w:val="auto"/>
                <w:sz w:val="21"/>
                <w:szCs w:val="21"/>
                <w:highlight w:val="none"/>
              </w:rPr>
            </w:pPr>
            <w:r>
              <w:rPr>
                <w:rFonts w:hint="eastAsia" w:hAnsi="宋体"/>
                <w:b w:val="0"/>
                <w:bCs/>
                <w:color w:val="auto"/>
                <w:highlight w:val="none"/>
              </w:rPr>
              <w:t>▲</w:t>
            </w:r>
            <w:r>
              <w:rPr>
                <w:rFonts w:hint="eastAsia" w:ascii="宋体" w:hAnsi="宋体" w:cs="宋体"/>
                <w:b/>
                <w:bCs/>
                <w:color w:val="auto"/>
                <w:sz w:val="21"/>
                <w:szCs w:val="21"/>
                <w:highlight w:val="none"/>
                <w:lang w:val="en-US" w:eastAsia="zh-CN"/>
              </w:rPr>
              <w:t>4.</w:t>
            </w:r>
            <w:r>
              <w:rPr>
                <w:rFonts w:hint="eastAsia" w:ascii="宋体" w:hAnsi="宋体" w:cs="宋体"/>
                <w:b/>
                <w:bCs/>
                <w:color w:val="auto"/>
                <w:sz w:val="21"/>
                <w:szCs w:val="21"/>
                <w:highlight w:val="none"/>
                <w:lang w:eastAsia="zh-CN"/>
              </w:rPr>
              <w:t>配送</w:t>
            </w:r>
            <w:r>
              <w:rPr>
                <w:rFonts w:hint="eastAsia" w:ascii="宋体" w:hAnsi="宋体" w:cs="宋体"/>
                <w:b/>
                <w:bCs/>
                <w:color w:val="auto"/>
                <w:sz w:val="21"/>
                <w:szCs w:val="21"/>
                <w:highlight w:val="none"/>
              </w:rPr>
              <w:t>要求：</w:t>
            </w:r>
          </w:p>
          <w:p w14:paraId="2723D990">
            <w:pPr>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4.1</w:t>
            </w:r>
            <w:r>
              <w:rPr>
                <w:rFonts w:hint="eastAsia" w:ascii="宋体" w:hAnsi="宋体" w:cs="宋体"/>
                <w:color w:val="auto"/>
                <w:sz w:val="21"/>
                <w:szCs w:val="21"/>
                <w:highlight w:val="none"/>
              </w:rPr>
              <w:t>按照《中华人民共和国食品安全法</w:t>
            </w:r>
            <w:r>
              <w:rPr>
                <w:rFonts w:hint="eastAsia" w:ascii="宋体" w:hAnsi="宋体" w:cs="宋体"/>
                <w:color w:val="auto"/>
                <w:sz w:val="21"/>
                <w:szCs w:val="21"/>
                <w:highlight w:val="none"/>
                <w:lang w:eastAsia="zh-CN"/>
              </w:rPr>
              <w:t>》《中华人民共和国农产品质量安全法</w:t>
            </w:r>
            <w:r>
              <w:rPr>
                <w:rFonts w:hint="eastAsia" w:ascii="宋体" w:hAnsi="宋体" w:cs="宋体"/>
                <w:color w:val="auto"/>
                <w:sz w:val="21"/>
                <w:szCs w:val="21"/>
                <w:highlight w:val="none"/>
              </w:rPr>
              <w:t>》规定，提供有关的证明材料和证件是供应商的义务，在合同期内供应商应提供具有销售相应种类物料的许可证、食品生产许可证或食品经营许可证、产品检验合格证等相关证明，无证产品采购人不予接受。</w:t>
            </w:r>
            <w:r>
              <w:rPr>
                <w:rFonts w:hint="eastAsia" w:ascii="宋体" w:hAnsi="宋体" w:cs="宋体"/>
                <w:color w:val="auto"/>
                <w:sz w:val="21"/>
                <w:szCs w:val="21"/>
                <w:highlight w:val="none"/>
                <w:lang w:val="en-US" w:eastAsia="zh-CN"/>
              </w:rPr>
              <w:t>中标人</w:t>
            </w:r>
            <w:r>
              <w:rPr>
                <w:rFonts w:hint="eastAsia" w:ascii="宋体" w:hAnsi="宋体" w:cs="宋体"/>
                <w:color w:val="auto"/>
                <w:sz w:val="21"/>
                <w:szCs w:val="21"/>
                <w:highlight w:val="none"/>
              </w:rPr>
              <w:t>所提交货物应为全新的食品，食品符合国家及行业有关认证标准和安全规定。交货验收时发现有问题的食品材料时采购人将一律拒收。</w:t>
            </w:r>
          </w:p>
          <w:p w14:paraId="77919F0B">
            <w:pPr>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4.2</w:t>
            </w:r>
            <w:r>
              <w:rPr>
                <w:rFonts w:hint="eastAsia" w:ascii="宋体" w:hAnsi="宋体" w:cs="宋体"/>
                <w:color w:val="auto"/>
                <w:sz w:val="21"/>
                <w:szCs w:val="21"/>
                <w:highlight w:val="none"/>
              </w:rPr>
              <w:t>由</w:t>
            </w:r>
            <w:r>
              <w:rPr>
                <w:rFonts w:hint="eastAsia" w:ascii="宋体" w:hAnsi="宋体" w:cs="宋体"/>
                <w:color w:val="auto"/>
                <w:sz w:val="21"/>
                <w:szCs w:val="21"/>
                <w:highlight w:val="none"/>
                <w:lang w:val="en-US" w:eastAsia="zh-CN"/>
              </w:rPr>
              <w:t>中标人</w:t>
            </w:r>
            <w:r>
              <w:rPr>
                <w:rFonts w:hint="eastAsia" w:ascii="宋体" w:hAnsi="宋体" w:cs="宋体"/>
                <w:color w:val="auto"/>
                <w:sz w:val="21"/>
                <w:szCs w:val="21"/>
                <w:highlight w:val="none"/>
              </w:rPr>
              <w:t>安排专人专车直接配送到各指定学校。</w:t>
            </w:r>
            <w:r>
              <w:rPr>
                <w:rFonts w:hint="eastAsia" w:ascii="宋体" w:hAnsi="宋体" w:cs="宋体"/>
                <w:color w:val="auto"/>
                <w:sz w:val="21"/>
                <w:szCs w:val="21"/>
                <w:highlight w:val="none"/>
                <w:lang w:val="en-US" w:eastAsia="zh-CN"/>
              </w:rPr>
              <w:t>中标人</w:t>
            </w:r>
            <w:r>
              <w:rPr>
                <w:rFonts w:hint="eastAsia" w:ascii="宋体" w:hAnsi="宋体" w:cs="宋体"/>
                <w:color w:val="auto"/>
                <w:sz w:val="21"/>
                <w:szCs w:val="21"/>
                <w:highlight w:val="none"/>
              </w:rPr>
              <w:t>必须确保运输车辆和周转包装容器的清洁卫生，运输车辆应当保持清洁，无霉斑、鼠迹、苍蝇、蟑螂，不得存放有毒、有害物品及个人生活用品</w:t>
            </w:r>
            <w:r>
              <w:rPr>
                <w:rFonts w:hint="eastAsia" w:ascii="宋体" w:hAnsi="宋体" w:cs="宋体"/>
                <w:color w:val="auto"/>
                <w:szCs w:val="21"/>
                <w:highlight w:val="none"/>
                <w:lang w:eastAsia="zh-CN"/>
              </w:rPr>
              <w:t>等与食品配送无关的物品</w:t>
            </w:r>
            <w:r>
              <w:rPr>
                <w:rFonts w:hint="eastAsia" w:ascii="宋体" w:hAnsi="宋体" w:cs="宋体"/>
                <w:color w:val="auto"/>
                <w:sz w:val="21"/>
                <w:szCs w:val="21"/>
                <w:highlight w:val="none"/>
              </w:rPr>
              <w:t>，防止食品在运输过程中受到污染是</w:t>
            </w:r>
            <w:r>
              <w:rPr>
                <w:rFonts w:hint="eastAsia" w:ascii="宋体" w:hAnsi="宋体" w:cs="宋体"/>
                <w:color w:val="auto"/>
                <w:sz w:val="21"/>
                <w:szCs w:val="21"/>
                <w:highlight w:val="none"/>
                <w:lang w:val="en-US" w:eastAsia="zh-CN"/>
              </w:rPr>
              <w:t>中标人</w:t>
            </w:r>
            <w:r>
              <w:rPr>
                <w:rFonts w:hint="eastAsia" w:ascii="宋体" w:hAnsi="宋体" w:cs="宋体"/>
                <w:color w:val="auto"/>
                <w:sz w:val="21"/>
                <w:szCs w:val="21"/>
                <w:highlight w:val="none"/>
              </w:rPr>
              <w:t>的责任。</w:t>
            </w:r>
          </w:p>
          <w:p w14:paraId="19419520">
            <w:pPr>
              <w:spacing w:line="360" w:lineRule="auto"/>
              <w:ind w:firstLine="420" w:firstLineChars="200"/>
              <w:jc w:val="left"/>
              <w:rPr>
                <w:rFonts w:hint="eastAsia" w:ascii="宋体" w:hAnsi="宋体" w:cs="宋体"/>
                <w:b/>
                <w:bCs/>
                <w:color w:val="auto"/>
                <w:sz w:val="21"/>
                <w:szCs w:val="21"/>
                <w:highlight w:val="none"/>
              </w:rPr>
            </w:pPr>
            <w:r>
              <w:rPr>
                <w:rFonts w:hint="eastAsia" w:ascii="宋体" w:hAnsi="宋体" w:cs="宋体"/>
                <w:color w:val="auto"/>
                <w:sz w:val="21"/>
                <w:szCs w:val="21"/>
                <w:highlight w:val="none"/>
                <w:lang w:val="en-US" w:eastAsia="zh-CN"/>
              </w:rPr>
              <w:t>4.3</w:t>
            </w:r>
            <w:r>
              <w:rPr>
                <w:rFonts w:hint="eastAsia" w:ascii="宋体" w:hAnsi="宋体" w:cs="宋体"/>
                <w:color w:val="auto"/>
                <w:sz w:val="21"/>
                <w:szCs w:val="21"/>
                <w:highlight w:val="none"/>
              </w:rPr>
              <w:t>投标人必须承诺按采购人的要求免费按时送货到各乡镇村屯学校用户现场。</w:t>
            </w:r>
            <w:r>
              <w:rPr>
                <w:rFonts w:hint="eastAsia" w:ascii="宋体" w:hAnsi="宋体" w:cs="宋体"/>
                <w:b/>
                <w:bCs/>
                <w:color w:val="auto"/>
                <w:sz w:val="21"/>
                <w:szCs w:val="21"/>
                <w:highlight w:val="none"/>
                <w:lang w:eastAsia="zh-CN"/>
              </w:rPr>
              <w:t>根据采购人安排每月配送</w:t>
            </w:r>
            <w:r>
              <w:rPr>
                <w:rFonts w:hint="eastAsia" w:ascii="宋体" w:hAnsi="宋体" w:eastAsia="宋体" w:cs="宋体"/>
                <w:b/>
                <w:bCs/>
                <w:color w:val="auto"/>
                <w:sz w:val="21"/>
                <w:szCs w:val="21"/>
                <w:highlight w:val="none"/>
                <w:lang w:val="en-US" w:eastAsia="zh-CN"/>
              </w:rPr>
              <w:t>2-4次</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eastAsia="zh-CN"/>
              </w:rPr>
              <w:t>具体</w:t>
            </w:r>
            <w:r>
              <w:rPr>
                <w:rFonts w:hint="eastAsia" w:ascii="宋体" w:hAnsi="宋体" w:eastAsia="宋体" w:cs="宋体"/>
                <w:b/>
                <w:bCs/>
                <w:color w:val="auto"/>
                <w:sz w:val="21"/>
                <w:szCs w:val="21"/>
                <w:highlight w:val="none"/>
                <w:lang w:val="en-US" w:eastAsia="zh-CN"/>
              </w:rPr>
              <w:t>以招标人工作安排的通知为准</w:t>
            </w:r>
            <w:r>
              <w:rPr>
                <w:rFonts w:hint="eastAsia" w:ascii="宋体" w:hAnsi="宋体" w:eastAsia="宋体" w:cs="宋体"/>
                <w:b/>
                <w:bCs/>
                <w:color w:val="auto"/>
                <w:sz w:val="21"/>
                <w:szCs w:val="21"/>
                <w:highlight w:val="none"/>
              </w:rPr>
              <w:t>。</w:t>
            </w:r>
          </w:p>
          <w:p w14:paraId="6DC736AF">
            <w:pPr>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4.4本项目中食品的实际采购数量以采购单位通知为准。</w:t>
            </w:r>
            <w:r>
              <w:rPr>
                <w:rFonts w:hint="eastAsia" w:hAnsi="宋体"/>
                <w:b w:val="0"/>
                <w:bCs w:val="0"/>
                <w:color w:val="auto"/>
                <w:sz w:val="21"/>
                <w:szCs w:val="21"/>
                <w:highlight w:val="none"/>
                <w:lang w:val="en-US" w:eastAsia="zh-CN"/>
              </w:rPr>
              <w:t>因食品价格随市场波动，采购货物价格执行期限为每学期开学后至该学期结束，中标人必须在学期开学</w:t>
            </w:r>
            <w:r>
              <w:rPr>
                <w:rFonts w:hint="eastAsia" w:hAnsi="宋体"/>
                <w:b/>
                <w:bCs/>
                <w:color w:val="auto"/>
                <w:sz w:val="21"/>
                <w:szCs w:val="21"/>
                <w:highlight w:val="none"/>
                <w:lang w:val="en-US" w:eastAsia="zh-CN"/>
              </w:rPr>
              <w:t>前</w:t>
            </w:r>
            <w:r>
              <w:rPr>
                <w:rFonts w:hint="eastAsia" w:hAnsi="宋体"/>
                <w:b w:val="0"/>
                <w:bCs w:val="0"/>
                <w:color w:val="auto"/>
                <w:sz w:val="21"/>
                <w:szCs w:val="21"/>
                <w:highlight w:val="none"/>
                <w:lang w:val="en-US" w:eastAsia="zh-CN"/>
              </w:rPr>
              <w:t>7天内向招标人申报货物价格，再由采购人组织成立学生营养改善计划食材价格询价议价小组和中标供应商代表到天和超市、沃尔玛超市等</w:t>
            </w:r>
            <w:r>
              <w:rPr>
                <w:rFonts w:hint="eastAsia" w:hAnsi="宋体"/>
                <w:b/>
                <w:bCs/>
                <w:color w:val="auto"/>
                <w:sz w:val="21"/>
                <w:szCs w:val="21"/>
                <w:highlight w:val="none"/>
              </w:rPr>
              <w:t>大型超市进行询价</w:t>
            </w:r>
            <w:r>
              <w:rPr>
                <w:rFonts w:hint="eastAsia" w:hAnsi="宋体"/>
                <w:b/>
                <w:bCs/>
                <w:color w:val="auto"/>
                <w:sz w:val="21"/>
                <w:szCs w:val="21"/>
                <w:highlight w:val="none"/>
                <w:lang w:val="en-US" w:eastAsia="zh-CN"/>
              </w:rPr>
              <w:t>并</w:t>
            </w:r>
            <w:r>
              <w:rPr>
                <w:rFonts w:hint="eastAsia"/>
                <w:color w:val="auto"/>
                <w:highlight w:val="none"/>
                <w:lang w:eastAsia="zh-CN"/>
              </w:rPr>
              <w:t>参考防城港市发改委、防城区发改局公布物价</w:t>
            </w:r>
            <w:r>
              <w:rPr>
                <w:rFonts w:hint="eastAsia"/>
                <w:color w:val="auto"/>
                <w:highlight w:val="none"/>
              </w:rPr>
              <w:t>作为参数</w:t>
            </w:r>
            <w:r>
              <w:rPr>
                <w:rFonts w:hint="eastAsia" w:hAnsi="宋体"/>
                <w:b w:val="0"/>
                <w:bCs w:val="0"/>
                <w:color w:val="auto"/>
                <w:sz w:val="21"/>
                <w:szCs w:val="21"/>
                <w:highlight w:val="none"/>
                <w:lang w:val="en-US" w:eastAsia="zh-CN"/>
              </w:rPr>
              <w:t>，</w:t>
            </w:r>
            <w:r>
              <w:rPr>
                <w:rFonts w:hint="eastAsia"/>
                <w:color w:val="auto"/>
                <w:highlight w:val="none"/>
                <w:lang w:eastAsia="zh-CN"/>
              </w:rPr>
              <w:t>本学期</w:t>
            </w:r>
            <w:r>
              <w:rPr>
                <w:rFonts w:hint="eastAsia"/>
                <w:color w:val="auto"/>
                <w:highlight w:val="none"/>
              </w:rPr>
              <w:t>货物价格最终以于询价结果</w:t>
            </w:r>
            <w:r>
              <w:rPr>
                <w:rFonts w:hint="eastAsia" w:ascii="宋体" w:hAnsi="宋体" w:eastAsia="宋体" w:cs="宋体"/>
                <w:b/>
                <w:bCs/>
                <w:color w:val="auto"/>
                <w:sz w:val="21"/>
                <w:szCs w:val="21"/>
                <w:highlight w:val="none"/>
                <w:lang w:val="en-US" w:eastAsia="zh-CN"/>
              </w:rPr>
              <w:t>并根据中标人报价的下浮系数计算出最终的结算价格，</w:t>
            </w:r>
            <w:r>
              <w:rPr>
                <w:rFonts w:hint="eastAsia" w:hAnsi="宋体"/>
                <w:b w:val="0"/>
                <w:bCs w:val="0"/>
                <w:color w:val="auto"/>
                <w:sz w:val="21"/>
                <w:szCs w:val="21"/>
                <w:highlight w:val="none"/>
                <w:lang w:val="en-US" w:eastAsia="zh-CN"/>
              </w:rPr>
              <w:t>所定价格不能高于</w:t>
            </w:r>
            <w:r>
              <w:rPr>
                <w:rFonts w:hint="eastAsia" w:hAnsi="宋体"/>
                <w:b/>
                <w:bCs/>
                <w:color w:val="auto"/>
                <w:sz w:val="21"/>
                <w:szCs w:val="21"/>
                <w:highlight w:val="none"/>
                <w:lang w:val="en-US" w:eastAsia="zh-CN"/>
              </w:rPr>
              <w:t>市场询价的最高价</w:t>
            </w:r>
            <w:r>
              <w:rPr>
                <w:rFonts w:hint="eastAsia" w:hAnsi="宋体"/>
                <w:b w:val="0"/>
                <w:bCs w:val="0"/>
                <w:color w:val="auto"/>
                <w:sz w:val="21"/>
                <w:szCs w:val="21"/>
                <w:highlight w:val="none"/>
                <w:lang w:val="en-US" w:eastAsia="zh-CN"/>
              </w:rPr>
              <w:t>。</w:t>
            </w:r>
            <w:r>
              <w:rPr>
                <w:rFonts w:hint="eastAsia" w:hAnsi="宋体"/>
                <w:b/>
                <w:bCs/>
                <w:color w:val="auto"/>
                <w:sz w:val="21"/>
                <w:szCs w:val="21"/>
                <w:highlight w:val="none"/>
                <w:lang w:val="en-US" w:eastAsia="zh-CN"/>
              </w:rPr>
              <w:t>结算价格=学生营养改善计划食材价格询价议价小组定价×（1-中标优惠率）。</w:t>
            </w:r>
          </w:p>
          <w:p w14:paraId="62F5BF2C">
            <w:pPr>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4.5中标人</w:t>
            </w:r>
            <w:r>
              <w:rPr>
                <w:rFonts w:hint="eastAsia" w:ascii="宋体" w:hAnsi="宋体" w:cs="宋体"/>
                <w:color w:val="auto"/>
                <w:sz w:val="21"/>
                <w:szCs w:val="21"/>
                <w:highlight w:val="none"/>
              </w:rPr>
              <w:t>所配送食品必须按照</w:t>
            </w:r>
            <w:r>
              <w:rPr>
                <w:rFonts w:hint="eastAsia" w:ascii="宋体" w:hAnsi="宋体" w:cs="宋体"/>
                <w:color w:val="auto"/>
                <w:szCs w:val="21"/>
                <w:highlight w:val="none"/>
                <w:lang w:val="en-US" w:eastAsia="zh-CN"/>
              </w:rPr>
              <w:t>本表中的</w:t>
            </w:r>
            <w:r>
              <w:rPr>
                <w:rFonts w:hint="eastAsia" w:ascii="宋体" w:hAnsi="宋体" w:cs="宋体"/>
                <w:color w:val="auto"/>
                <w:szCs w:val="21"/>
                <w:highlight w:val="none"/>
                <w:lang w:eastAsia="zh-CN"/>
              </w:rPr>
              <w:t>“一、技术需求”</w:t>
            </w:r>
            <w:r>
              <w:rPr>
                <w:rFonts w:hint="eastAsia" w:ascii="宋体" w:hAnsi="宋体" w:cs="宋体"/>
                <w:color w:val="auto"/>
                <w:szCs w:val="21"/>
                <w:highlight w:val="none"/>
                <w:lang w:val="en-US" w:eastAsia="zh-CN"/>
              </w:rPr>
              <w:t>的货物名称</w:t>
            </w:r>
            <w:r>
              <w:rPr>
                <w:rFonts w:hint="eastAsia"/>
                <w:color w:val="auto"/>
                <w:highlight w:val="none"/>
                <w:lang w:eastAsia="zh-CN"/>
              </w:rPr>
              <w:t>、采购参数及要求</w:t>
            </w:r>
            <w:r>
              <w:rPr>
                <w:rFonts w:hint="eastAsia" w:ascii="宋体" w:hAnsi="宋体" w:cs="宋体"/>
                <w:color w:val="auto"/>
                <w:sz w:val="21"/>
                <w:szCs w:val="21"/>
                <w:highlight w:val="none"/>
              </w:rPr>
              <w:t>进行配送，若因其他原因更改食品品种的，须提供有关材料报</w:t>
            </w:r>
            <w:r>
              <w:rPr>
                <w:rFonts w:hint="eastAsia" w:ascii="宋体" w:hAnsi="宋体" w:cs="宋体"/>
                <w:color w:val="auto"/>
                <w:sz w:val="21"/>
                <w:szCs w:val="21"/>
                <w:highlight w:val="none"/>
                <w:lang w:val="en-US" w:eastAsia="zh-CN"/>
              </w:rPr>
              <w:t>采购人</w:t>
            </w:r>
            <w:r>
              <w:rPr>
                <w:rFonts w:hint="eastAsia" w:ascii="宋体" w:hAnsi="宋体" w:cs="宋体"/>
                <w:color w:val="auto"/>
                <w:sz w:val="21"/>
                <w:szCs w:val="21"/>
                <w:highlight w:val="none"/>
              </w:rPr>
              <w:t>审批同意备案后方可配送至学校。如未经</w:t>
            </w:r>
            <w:r>
              <w:rPr>
                <w:rFonts w:hint="eastAsia" w:ascii="宋体" w:hAnsi="宋体" w:cs="宋体"/>
                <w:color w:val="auto"/>
                <w:sz w:val="21"/>
                <w:szCs w:val="21"/>
                <w:highlight w:val="none"/>
                <w:lang w:val="en-US" w:eastAsia="zh-CN"/>
              </w:rPr>
              <w:t>采购人</w:t>
            </w:r>
            <w:r>
              <w:rPr>
                <w:rFonts w:hint="eastAsia" w:ascii="宋体" w:hAnsi="宋体" w:cs="宋体"/>
                <w:color w:val="auto"/>
                <w:sz w:val="21"/>
                <w:szCs w:val="21"/>
                <w:highlight w:val="none"/>
              </w:rPr>
              <w:t>审批同意，</w:t>
            </w:r>
            <w:r>
              <w:rPr>
                <w:rFonts w:hint="eastAsia" w:ascii="宋体" w:hAnsi="宋体" w:cs="宋体"/>
                <w:color w:val="auto"/>
                <w:sz w:val="21"/>
                <w:szCs w:val="21"/>
                <w:highlight w:val="none"/>
                <w:lang w:val="en-US" w:eastAsia="zh-CN"/>
              </w:rPr>
              <w:t>中标人</w:t>
            </w:r>
            <w:r>
              <w:rPr>
                <w:rFonts w:hint="eastAsia" w:ascii="宋体" w:hAnsi="宋体" w:cs="宋体"/>
                <w:color w:val="auto"/>
                <w:sz w:val="21"/>
                <w:szCs w:val="21"/>
                <w:highlight w:val="none"/>
              </w:rPr>
              <w:t>擅自更改合同之外的食品并配送到学校，所造成一切后果由</w:t>
            </w:r>
            <w:r>
              <w:rPr>
                <w:rFonts w:hint="eastAsia" w:ascii="宋体" w:hAnsi="宋体" w:cs="宋体"/>
                <w:color w:val="auto"/>
                <w:sz w:val="21"/>
                <w:szCs w:val="21"/>
                <w:highlight w:val="none"/>
                <w:lang w:val="en-US" w:eastAsia="zh-CN"/>
              </w:rPr>
              <w:t>中标人</w:t>
            </w:r>
            <w:r>
              <w:rPr>
                <w:rFonts w:hint="eastAsia" w:ascii="宋体" w:hAnsi="宋体" w:cs="宋体"/>
                <w:color w:val="auto"/>
                <w:sz w:val="21"/>
                <w:szCs w:val="21"/>
                <w:highlight w:val="none"/>
              </w:rPr>
              <w:t>负责，</w:t>
            </w:r>
            <w:r>
              <w:rPr>
                <w:rFonts w:hint="eastAsia" w:ascii="宋体" w:hAnsi="宋体" w:cs="宋体"/>
                <w:color w:val="auto"/>
                <w:sz w:val="21"/>
                <w:szCs w:val="21"/>
                <w:highlight w:val="none"/>
                <w:lang w:val="en-US" w:eastAsia="zh-CN"/>
              </w:rPr>
              <w:t>采购人</w:t>
            </w:r>
            <w:r>
              <w:rPr>
                <w:rFonts w:hint="eastAsia" w:ascii="宋体" w:hAnsi="宋体" w:cs="宋体"/>
                <w:color w:val="auto"/>
                <w:sz w:val="21"/>
                <w:szCs w:val="21"/>
                <w:highlight w:val="none"/>
              </w:rPr>
              <w:t>有权要求</w:t>
            </w:r>
            <w:r>
              <w:rPr>
                <w:rFonts w:hint="eastAsia" w:ascii="宋体" w:hAnsi="宋体" w:cs="宋体"/>
                <w:color w:val="auto"/>
                <w:sz w:val="21"/>
                <w:szCs w:val="21"/>
                <w:highlight w:val="none"/>
                <w:lang w:val="en-US" w:eastAsia="zh-CN"/>
              </w:rPr>
              <w:t>中标人</w:t>
            </w:r>
            <w:r>
              <w:rPr>
                <w:rFonts w:hint="eastAsia" w:ascii="宋体" w:hAnsi="宋体" w:cs="宋体"/>
                <w:color w:val="auto"/>
                <w:sz w:val="21"/>
                <w:szCs w:val="21"/>
                <w:highlight w:val="none"/>
              </w:rPr>
              <w:t>在规定的时间内整改，</w:t>
            </w:r>
            <w:r>
              <w:rPr>
                <w:rFonts w:hint="eastAsia" w:ascii="宋体" w:hAnsi="宋体" w:cs="宋体"/>
                <w:color w:val="auto"/>
                <w:sz w:val="21"/>
                <w:szCs w:val="21"/>
                <w:highlight w:val="none"/>
                <w:lang w:val="en-US" w:eastAsia="zh-CN"/>
              </w:rPr>
              <w:t>中标人</w:t>
            </w:r>
            <w:r>
              <w:rPr>
                <w:rFonts w:hint="eastAsia" w:ascii="宋体" w:hAnsi="宋体" w:cs="宋体"/>
                <w:color w:val="auto"/>
                <w:sz w:val="21"/>
                <w:szCs w:val="21"/>
                <w:highlight w:val="none"/>
              </w:rPr>
              <w:t>拒绝整改的，</w:t>
            </w:r>
            <w:r>
              <w:rPr>
                <w:rFonts w:hint="eastAsia" w:ascii="宋体" w:hAnsi="宋体" w:cs="宋体"/>
                <w:color w:val="auto"/>
                <w:sz w:val="21"/>
                <w:szCs w:val="21"/>
                <w:highlight w:val="none"/>
                <w:lang w:val="en-US" w:eastAsia="zh-CN"/>
              </w:rPr>
              <w:t>采购人</w:t>
            </w:r>
            <w:r>
              <w:rPr>
                <w:rFonts w:hint="eastAsia" w:ascii="宋体" w:hAnsi="宋体" w:cs="宋体"/>
                <w:color w:val="auto"/>
                <w:sz w:val="21"/>
                <w:szCs w:val="21"/>
                <w:highlight w:val="none"/>
              </w:rPr>
              <w:t>不予支付该食品货款；连续发生三次以上的，视为</w:t>
            </w:r>
            <w:r>
              <w:rPr>
                <w:rFonts w:hint="eastAsia" w:ascii="宋体" w:hAnsi="宋体" w:cs="宋体"/>
                <w:color w:val="auto"/>
                <w:sz w:val="21"/>
                <w:szCs w:val="21"/>
                <w:highlight w:val="none"/>
                <w:lang w:val="en-US" w:eastAsia="zh-CN"/>
              </w:rPr>
              <w:t>中标人</w:t>
            </w:r>
            <w:r>
              <w:rPr>
                <w:rFonts w:hint="eastAsia" w:ascii="宋体" w:hAnsi="宋体" w:cs="宋体"/>
                <w:color w:val="auto"/>
                <w:sz w:val="21"/>
                <w:szCs w:val="21"/>
                <w:highlight w:val="none"/>
              </w:rPr>
              <w:t>违约，</w:t>
            </w:r>
            <w:r>
              <w:rPr>
                <w:rFonts w:hint="eastAsia" w:ascii="宋体" w:hAnsi="宋体" w:cs="宋体"/>
                <w:color w:val="auto"/>
                <w:sz w:val="21"/>
                <w:szCs w:val="21"/>
                <w:highlight w:val="none"/>
                <w:lang w:val="en-US" w:eastAsia="zh-CN"/>
              </w:rPr>
              <w:t>采购人</w:t>
            </w:r>
            <w:r>
              <w:rPr>
                <w:rFonts w:hint="eastAsia" w:ascii="宋体" w:hAnsi="宋体" w:cs="宋体"/>
                <w:color w:val="auto"/>
                <w:sz w:val="21"/>
                <w:szCs w:val="21"/>
                <w:highlight w:val="none"/>
              </w:rPr>
              <w:t>有权终止合同并由</w:t>
            </w:r>
            <w:r>
              <w:rPr>
                <w:rFonts w:hint="eastAsia" w:ascii="宋体" w:hAnsi="宋体" w:cs="宋体"/>
                <w:color w:val="auto"/>
                <w:sz w:val="21"/>
                <w:szCs w:val="21"/>
                <w:highlight w:val="none"/>
                <w:lang w:val="en-US" w:eastAsia="zh-CN"/>
              </w:rPr>
              <w:t>中标人</w:t>
            </w:r>
            <w:r>
              <w:rPr>
                <w:rFonts w:hint="eastAsia" w:ascii="宋体" w:hAnsi="宋体" w:cs="宋体"/>
                <w:color w:val="auto"/>
                <w:sz w:val="21"/>
                <w:szCs w:val="21"/>
                <w:highlight w:val="none"/>
              </w:rPr>
              <w:t>承担违约赔偿责任。</w:t>
            </w:r>
          </w:p>
          <w:p w14:paraId="42297015">
            <w:pPr>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4.6</w:t>
            </w:r>
            <w:r>
              <w:rPr>
                <w:rFonts w:hint="eastAsia" w:ascii="宋体" w:hAnsi="宋体" w:cs="宋体"/>
                <w:color w:val="auto"/>
                <w:sz w:val="21"/>
                <w:szCs w:val="21"/>
                <w:highlight w:val="none"/>
              </w:rPr>
              <w:t>每次配送的</w:t>
            </w:r>
            <w:r>
              <w:rPr>
                <w:rFonts w:hint="eastAsia" w:ascii="宋体" w:hAnsi="宋体" w:cs="宋体"/>
                <w:b/>
                <w:bCs/>
                <w:color w:val="auto"/>
                <w:sz w:val="21"/>
                <w:szCs w:val="21"/>
                <w:highlight w:val="none"/>
                <w:lang w:val="en-US" w:eastAsia="zh-CN"/>
              </w:rPr>
              <w:t>学生奶和</w:t>
            </w:r>
            <w:r>
              <w:rPr>
                <w:rFonts w:hint="eastAsia" w:ascii="宋体" w:hAnsi="宋体" w:cs="宋体"/>
                <w:b/>
                <w:bCs/>
                <w:color w:val="auto"/>
                <w:sz w:val="21"/>
                <w:szCs w:val="21"/>
                <w:highlight w:val="none"/>
              </w:rPr>
              <w:t>蛋糕</w:t>
            </w:r>
            <w:r>
              <w:rPr>
                <w:rFonts w:hint="eastAsia" w:ascii="宋体" w:hAnsi="宋体" w:cs="宋体"/>
                <w:b/>
                <w:bCs/>
                <w:color w:val="auto"/>
                <w:sz w:val="21"/>
                <w:szCs w:val="21"/>
                <w:highlight w:val="none"/>
                <w:lang w:val="en-US" w:eastAsia="zh-CN"/>
              </w:rPr>
              <w:t>（或</w:t>
            </w:r>
            <w:r>
              <w:rPr>
                <w:rFonts w:hint="eastAsia" w:ascii="宋体" w:hAnsi="宋体" w:cs="宋体"/>
                <w:b/>
                <w:bCs/>
                <w:color w:val="auto"/>
                <w:sz w:val="21"/>
                <w:szCs w:val="21"/>
                <w:highlight w:val="none"/>
                <w:lang w:eastAsia="zh-CN"/>
              </w:rPr>
              <w:t>面包</w:t>
            </w:r>
            <w:r>
              <w:rPr>
                <w:rFonts w:hint="eastAsia" w:ascii="宋体" w:hAnsi="宋体" w:cs="宋体"/>
                <w:b/>
                <w:bCs/>
                <w:color w:val="auto"/>
                <w:sz w:val="21"/>
                <w:szCs w:val="21"/>
                <w:highlight w:val="none"/>
                <w:lang w:val="en-US" w:eastAsia="zh-CN"/>
              </w:rPr>
              <w:t>）</w:t>
            </w:r>
            <w:r>
              <w:rPr>
                <w:rFonts w:hint="eastAsia" w:ascii="宋体" w:hAnsi="宋体" w:cs="宋体"/>
                <w:color w:val="auto"/>
                <w:sz w:val="21"/>
                <w:szCs w:val="21"/>
                <w:highlight w:val="none"/>
              </w:rPr>
              <w:t>需向所供学校提供产品质量检验报告，并同时向防城区</w:t>
            </w:r>
            <w:r>
              <w:rPr>
                <w:rFonts w:hint="eastAsia" w:ascii="宋体" w:hAnsi="宋体" w:cs="宋体"/>
                <w:color w:val="auto"/>
                <w:sz w:val="21"/>
                <w:szCs w:val="21"/>
                <w:highlight w:val="none"/>
                <w:lang w:eastAsia="zh-CN"/>
              </w:rPr>
              <w:t>教育局</w:t>
            </w:r>
            <w:r>
              <w:rPr>
                <w:rFonts w:hint="eastAsia" w:ascii="宋体" w:hAnsi="宋体" w:cs="宋体"/>
                <w:color w:val="auto"/>
                <w:sz w:val="21"/>
                <w:szCs w:val="21"/>
                <w:highlight w:val="none"/>
              </w:rPr>
              <w:t>营养办提供每批次自检报告，每两个月提供一次省检验报告。</w:t>
            </w:r>
          </w:p>
          <w:p w14:paraId="171F8153">
            <w:pPr>
              <w:spacing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4.7中标人</w:t>
            </w:r>
            <w:r>
              <w:rPr>
                <w:rFonts w:hint="eastAsia" w:ascii="宋体" w:hAnsi="宋体" w:cs="宋体"/>
                <w:color w:val="auto"/>
                <w:sz w:val="21"/>
                <w:szCs w:val="21"/>
                <w:highlight w:val="none"/>
              </w:rPr>
              <w:t>必须建立配送</w:t>
            </w:r>
            <w:r>
              <w:rPr>
                <w:rFonts w:hint="eastAsia" w:ascii="宋体" w:hAnsi="宋体" w:cs="宋体"/>
                <w:color w:val="auto"/>
                <w:sz w:val="21"/>
                <w:szCs w:val="21"/>
                <w:highlight w:val="none"/>
                <w:lang w:eastAsia="zh-CN"/>
              </w:rPr>
              <w:t>台账</w:t>
            </w:r>
            <w:r>
              <w:rPr>
                <w:rFonts w:hint="eastAsia" w:ascii="宋体" w:hAnsi="宋体" w:cs="宋体"/>
                <w:color w:val="auto"/>
                <w:sz w:val="21"/>
                <w:szCs w:val="21"/>
                <w:highlight w:val="none"/>
              </w:rPr>
              <w:t>，注明时间、数量、规格、送货人、验收人等相关信息。</w:t>
            </w:r>
            <w:r>
              <w:rPr>
                <w:rFonts w:hint="eastAsia" w:ascii="宋体" w:hAnsi="宋体"/>
                <w:color w:val="auto"/>
                <w:sz w:val="21"/>
                <w:szCs w:val="21"/>
                <w:highlight w:val="none"/>
              </w:rPr>
              <w:t>中标</w:t>
            </w:r>
            <w:r>
              <w:rPr>
                <w:rFonts w:hint="eastAsia" w:ascii="宋体" w:hAnsi="宋体"/>
                <w:color w:val="auto"/>
                <w:sz w:val="21"/>
                <w:szCs w:val="21"/>
                <w:highlight w:val="none"/>
                <w:lang w:val="en-US" w:eastAsia="zh-CN"/>
              </w:rPr>
              <w:t>人</w:t>
            </w:r>
            <w:r>
              <w:rPr>
                <w:rFonts w:hint="eastAsia" w:ascii="宋体" w:hAnsi="宋体"/>
                <w:color w:val="auto"/>
                <w:sz w:val="21"/>
                <w:szCs w:val="21"/>
                <w:highlight w:val="none"/>
              </w:rPr>
              <w:t>从生产加工单位、生产基地、流通经营单位（商店、超市、个体工商户）采购食品原材料的，要留存有供货方盖章（或签字）的购物凭证或每笔送货单</w:t>
            </w:r>
            <w:r>
              <w:rPr>
                <w:rFonts w:hint="eastAsia" w:ascii="宋体" w:hAnsi="宋体"/>
                <w:color w:val="auto"/>
                <w:sz w:val="21"/>
                <w:szCs w:val="21"/>
                <w:highlight w:val="none"/>
                <w:lang w:eastAsia="zh-CN"/>
              </w:rPr>
              <w:t>。</w:t>
            </w:r>
          </w:p>
          <w:p w14:paraId="3C24557B">
            <w:pPr>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4.8</w:t>
            </w:r>
            <w:r>
              <w:rPr>
                <w:rFonts w:hint="eastAsia" w:ascii="宋体" w:hAnsi="宋体" w:cs="宋体"/>
                <w:color w:val="auto"/>
                <w:sz w:val="21"/>
                <w:szCs w:val="21"/>
                <w:highlight w:val="none"/>
              </w:rPr>
              <w:t>每个学校组织专人负责对学生营养改善计划配餐</w:t>
            </w:r>
            <w:r>
              <w:rPr>
                <w:rFonts w:hint="eastAsia" w:ascii="宋体" w:hAnsi="宋体" w:cs="宋体"/>
                <w:color w:val="auto"/>
                <w:sz w:val="21"/>
                <w:szCs w:val="21"/>
                <w:highlight w:val="none"/>
                <w:lang w:eastAsia="zh-CN"/>
              </w:rPr>
              <w:t>进行</w:t>
            </w:r>
            <w:r>
              <w:rPr>
                <w:rFonts w:hint="eastAsia" w:ascii="宋体" w:hAnsi="宋体" w:cs="宋体"/>
                <w:color w:val="auto"/>
                <w:sz w:val="21"/>
                <w:szCs w:val="21"/>
                <w:highlight w:val="none"/>
              </w:rPr>
              <w:t>留样，每个学校每次留样1份，留样时间</w:t>
            </w:r>
            <w:r>
              <w:rPr>
                <w:rFonts w:hint="eastAsia" w:ascii="宋体" w:hAnsi="宋体" w:cs="宋体"/>
                <w:color w:val="auto"/>
                <w:sz w:val="21"/>
                <w:szCs w:val="21"/>
                <w:highlight w:val="none"/>
                <w:lang w:eastAsia="zh-CN"/>
              </w:rPr>
              <w:t>截止该批次食品学生食用完当天</w:t>
            </w:r>
            <w:r>
              <w:rPr>
                <w:rFonts w:hint="eastAsia" w:ascii="宋体" w:hAnsi="宋体" w:cs="宋体"/>
                <w:color w:val="auto"/>
                <w:sz w:val="21"/>
                <w:szCs w:val="21"/>
                <w:highlight w:val="none"/>
                <w:lang w:val="en-US" w:eastAsia="zh-CN"/>
              </w:rPr>
              <w:t>48小时后</w:t>
            </w:r>
            <w:r>
              <w:rPr>
                <w:rFonts w:hint="eastAsia" w:ascii="宋体" w:hAnsi="宋体" w:cs="宋体"/>
                <w:color w:val="auto"/>
                <w:sz w:val="21"/>
                <w:szCs w:val="21"/>
                <w:highlight w:val="none"/>
              </w:rPr>
              <w:t>。由相关部门适时对学生营养改善计划配餐进行抽样检查，并对检查情况建立档案。抽样检查出现不合格产品的，</w:t>
            </w:r>
            <w:r>
              <w:rPr>
                <w:rFonts w:hint="eastAsia" w:ascii="宋体" w:hAnsi="宋体" w:cs="宋体"/>
                <w:color w:val="auto"/>
                <w:sz w:val="21"/>
                <w:szCs w:val="21"/>
                <w:highlight w:val="none"/>
                <w:lang w:val="en-US" w:eastAsia="zh-CN"/>
              </w:rPr>
              <w:t>采购人</w:t>
            </w:r>
            <w:r>
              <w:rPr>
                <w:rFonts w:hint="eastAsia" w:ascii="宋体" w:hAnsi="宋体" w:cs="宋体"/>
                <w:color w:val="auto"/>
                <w:sz w:val="21"/>
                <w:szCs w:val="21"/>
                <w:highlight w:val="none"/>
              </w:rPr>
              <w:t>有权终止合同，供餐企业负责人是食品安全第一责任人。如出现因产品质量不合格发生的安全事故，由</w:t>
            </w:r>
            <w:r>
              <w:rPr>
                <w:rFonts w:hint="eastAsia" w:ascii="宋体" w:hAnsi="宋体" w:cs="宋体"/>
                <w:color w:val="auto"/>
                <w:sz w:val="21"/>
                <w:szCs w:val="21"/>
                <w:highlight w:val="none"/>
                <w:lang w:val="en-US" w:eastAsia="zh-CN"/>
              </w:rPr>
              <w:t>中标人</w:t>
            </w:r>
            <w:r>
              <w:rPr>
                <w:rFonts w:hint="eastAsia" w:ascii="宋体" w:hAnsi="宋体" w:cs="宋体"/>
                <w:color w:val="auto"/>
                <w:sz w:val="21"/>
                <w:szCs w:val="21"/>
                <w:highlight w:val="none"/>
              </w:rPr>
              <w:t>负全责。</w:t>
            </w:r>
          </w:p>
          <w:p w14:paraId="5B4198E9">
            <w:pPr>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4.9中标人</w:t>
            </w:r>
            <w:r>
              <w:rPr>
                <w:rFonts w:hint="eastAsia" w:ascii="宋体" w:hAnsi="宋体" w:cs="宋体"/>
                <w:color w:val="auto"/>
                <w:sz w:val="21"/>
                <w:szCs w:val="21"/>
                <w:highlight w:val="none"/>
              </w:rPr>
              <w:t>配合各学校做好宣传推进工作，组织开展对相关人员进行有关产品、储藏、食用行为规范、食品安全等方面的培训工作，并协助各学校做好营养餐饮用效果评估工作等。</w:t>
            </w:r>
          </w:p>
          <w:p w14:paraId="02F33CA6">
            <w:pPr>
              <w:pStyle w:val="6"/>
              <w:spacing w:line="360" w:lineRule="auto"/>
              <w:ind w:firstLine="422" w:firstLineChars="20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5.配送时间计划、场所及运输等配送条件要求：</w:t>
            </w:r>
          </w:p>
          <w:p w14:paraId="2746D9EB">
            <w:pPr>
              <w:pStyle w:val="6"/>
              <w:spacing w:line="360" w:lineRule="auto"/>
              <w:ind w:firstLine="422" w:firstLineChars="200"/>
              <w:rPr>
                <w:rFonts w:hint="eastAsia" w:ascii="宋体" w:hAnsi="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要求开学前配送到位，为了保证食品卫生安全质量，中标人须在配送前（最迟15日内）在中标区域范围完备基本的配送条件。即：（1）</w:t>
            </w:r>
            <w:r>
              <w:rPr>
                <w:rFonts w:hint="eastAsia" w:ascii="宋体" w:hAnsi="宋体" w:cs="宋体"/>
                <w:b/>
                <w:bCs/>
                <w:color w:val="auto"/>
                <w:sz w:val="21"/>
                <w:szCs w:val="21"/>
                <w:highlight w:val="none"/>
                <w:lang w:val="en-US" w:eastAsia="zh-CN"/>
              </w:rPr>
              <w:t>必须能满足本项目范围的足够面积的配送专用仓储场所，应当有分类存储区（储存温度等条件按照标准执行）；（2）必须能满足本项目范围的足够数量的配送运输车辆</w:t>
            </w:r>
            <w:r>
              <w:rPr>
                <w:rFonts w:hint="eastAsia" w:ascii="宋体" w:hAnsi="宋体" w:cs="宋体"/>
                <w:b/>
                <w:bCs/>
                <w:color w:val="auto"/>
                <w:sz w:val="21"/>
                <w:szCs w:val="21"/>
                <w:highlight w:val="none"/>
                <w:lang w:eastAsia="zh-CN"/>
              </w:rPr>
              <w:t>和人员</w:t>
            </w:r>
            <w:r>
              <w:rPr>
                <w:rFonts w:hint="eastAsia" w:ascii="宋体" w:hAnsi="宋体" w:cs="宋体"/>
                <w:b/>
                <w:bCs/>
                <w:color w:val="auto"/>
                <w:sz w:val="21"/>
                <w:szCs w:val="21"/>
                <w:highlight w:val="none"/>
                <w:lang w:val="en-US" w:eastAsia="zh-CN"/>
              </w:rPr>
              <w:t>，应有</w:t>
            </w:r>
            <w:r>
              <w:rPr>
                <w:rFonts w:hint="eastAsia" w:ascii="宋体" w:hAnsi="宋体" w:cs="宋体"/>
                <w:b/>
                <w:bCs/>
                <w:color w:val="auto"/>
                <w:sz w:val="21"/>
                <w:szCs w:val="21"/>
                <w:highlight w:val="none"/>
              </w:rPr>
              <w:t>食品运送专用</w:t>
            </w:r>
            <w:r>
              <w:rPr>
                <w:rFonts w:hint="eastAsia" w:ascii="宋体" w:hAnsi="宋体" w:cs="宋体"/>
                <w:b/>
                <w:bCs/>
                <w:color w:val="auto"/>
                <w:sz w:val="21"/>
                <w:szCs w:val="21"/>
                <w:highlight w:val="none"/>
                <w:lang w:val="en-US" w:eastAsia="zh-CN"/>
              </w:rPr>
              <w:t>的</w:t>
            </w:r>
            <w:r>
              <w:rPr>
                <w:rFonts w:hint="eastAsia" w:ascii="宋体" w:hAnsi="宋体" w:cs="宋体"/>
                <w:b/>
                <w:bCs/>
                <w:color w:val="auto"/>
                <w:sz w:val="21"/>
                <w:szCs w:val="21"/>
                <w:highlight w:val="none"/>
              </w:rPr>
              <w:t>厢式车辆</w:t>
            </w:r>
            <w:r>
              <w:rPr>
                <w:rFonts w:hint="eastAsia" w:ascii="宋体" w:hAnsi="宋体" w:cs="宋体"/>
                <w:b/>
                <w:bCs/>
                <w:color w:val="auto"/>
                <w:sz w:val="21"/>
                <w:szCs w:val="21"/>
                <w:highlight w:val="none"/>
                <w:lang w:eastAsia="zh-CN"/>
              </w:rPr>
              <w:t>，</w:t>
            </w:r>
            <w:r>
              <w:rPr>
                <w:rFonts w:hint="eastAsia" w:ascii="宋体" w:hAnsi="宋体" w:cs="宋体"/>
                <w:b/>
                <w:bCs/>
                <w:color w:val="auto"/>
                <w:sz w:val="21"/>
                <w:szCs w:val="21"/>
                <w:highlight w:val="none"/>
                <w:lang w:val="en-US" w:eastAsia="zh-CN"/>
              </w:rPr>
              <w:t>合理的配送路线；</w:t>
            </w:r>
            <w:r>
              <w:rPr>
                <w:rFonts w:hint="eastAsia" w:ascii="宋体" w:hAnsi="宋体" w:cs="宋体"/>
                <w:b/>
                <w:bCs/>
                <w:color w:val="auto"/>
                <w:sz w:val="21"/>
                <w:szCs w:val="21"/>
                <w:highlight w:val="none"/>
                <w:lang w:eastAsia="zh-CN"/>
              </w:rPr>
              <w:t>（</w:t>
            </w:r>
            <w:r>
              <w:rPr>
                <w:rFonts w:hint="eastAsia" w:ascii="宋体" w:hAnsi="宋体" w:cs="宋体"/>
                <w:b/>
                <w:bCs/>
                <w:color w:val="auto"/>
                <w:sz w:val="21"/>
                <w:szCs w:val="21"/>
                <w:highlight w:val="none"/>
                <w:lang w:val="en-US" w:eastAsia="zh-CN"/>
              </w:rPr>
              <w:t>3</w:t>
            </w:r>
            <w:r>
              <w:rPr>
                <w:rFonts w:hint="eastAsia" w:ascii="宋体" w:hAnsi="宋体" w:cs="宋体"/>
                <w:b/>
                <w:bCs/>
                <w:color w:val="auto"/>
                <w:sz w:val="21"/>
                <w:szCs w:val="21"/>
                <w:highlight w:val="none"/>
                <w:lang w:eastAsia="zh-CN"/>
              </w:rPr>
              <w:t>）</w:t>
            </w:r>
            <w:r>
              <w:rPr>
                <w:rFonts w:hint="eastAsia" w:ascii="宋体" w:hAnsi="宋体" w:cs="宋体"/>
                <w:b/>
                <w:bCs/>
                <w:color w:val="auto"/>
                <w:sz w:val="21"/>
                <w:szCs w:val="21"/>
                <w:highlight w:val="none"/>
                <w:lang w:val="en-US" w:eastAsia="zh-CN"/>
              </w:rPr>
              <w:t>通过采购人配送条件检查和验收。</w:t>
            </w:r>
          </w:p>
          <w:p w14:paraId="6FCAFCFA">
            <w:pPr>
              <w:pStyle w:val="6"/>
              <w:spacing w:line="360" w:lineRule="auto"/>
              <w:ind w:firstLine="422" w:firstLineChars="200"/>
              <w:rPr>
                <w:rFonts w:hint="eastAsia"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备注：如因本项目定标时间推迟、合同签订时间推迟，中标人无法确保在</w:t>
            </w:r>
            <w:r>
              <w:rPr>
                <w:rFonts w:hint="eastAsia" w:ascii="宋体" w:hAnsi="宋体" w:eastAsia="宋体" w:cs="宋体"/>
                <w:b/>
                <w:bCs/>
                <w:color w:val="auto"/>
                <w:sz w:val="21"/>
                <w:szCs w:val="21"/>
                <w:highlight w:val="none"/>
                <w:lang w:val="en-US" w:eastAsia="zh-CN"/>
              </w:rPr>
              <w:t>开学时正常配送的，由中标人向采购人书面说明，采购人同意后确定具体配送时间，但推迟配送的时间不得超过中标通知书发出后20日。</w:t>
            </w:r>
          </w:p>
          <w:p w14:paraId="3F294B9D">
            <w:pPr>
              <w:pStyle w:val="6"/>
              <w:spacing w:line="360" w:lineRule="auto"/>
              <w:ind w:firstLine="422" w:firstLineChars="200"/>
              <w:rPr>
                <w:rFonts w:hint="default"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投标人应在投标时提供相关证明资料或者提供具体的落实计划、措施及承诺方案，采购人检查和验收时，将对照中标人的投标文件所提供材料或所提供承诺的内容进行核对检查，不满足配送条件的，视为中标人无法履行合同的违约情形，采购人有权取消其中标资格；属于虚假应标、骗取中标的，采购人同时上报财政监督管理部门通报处理。</w:t>
            </w:r>
          </w:p>
          <w:p w14:paraId="7CBCF9BC">
            <w:pPr>
              <w:pStyle w:val="6"/>
              <w:spacing w:line="360" w:lineRule="auto"/>
              <w:ind w:firstLine="422" w:firstLineChars="20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6.合理的配送路线：延展到防城港市防城区内各相应乡镇地点。即：峒中镇、那良镇、水营街道、滩营乡、十万山乡、小峰场、大菉镇、扶隆镇。</w:t>
            </w:r>
          </w:p>
          <w:p w14:paraId="66D1BFA3">
            <w:pPr>
              <w:spacing w:line="360" w:lineRule="auto"/>
              <w:ind w:firstLine="422" w:firstLineChars="200"/>
              <w:rPr>
                <w:rFonts w:hint="eastAsia"/>
                <w:color w:val="auto"/>
                <w:sz w:val="21"/>
                <w:szCs w:val="21"/>
                <w:highlight w:val="none"/>
                <w:lang w:val="zh-TW"/>
              </w:rPr>
            </w:pPr>
            <w:r>
              <w:rPr>
                <w:rFonts w:hint="eastAsia" w:ascii="宋体" w:hAnsi="宋体" w:eastAsia="宋体" w:cs="宋体"/>
                <w:b/>
                <w:bCs/>
                <w:color w:val="auto"/>
                <w:sz w:val="21"/>
                <w:szCs w:val="21"/>
                <w:highlight w:val="none"/>
                <w:lang w:val="en-US" w:eastAsia="zh-CN"/>
              </w:rPr>
              <w:t>投标人应自行充分了解本项目配送区域地理位置情况，自行考虑投标风险，合理规划配送路线，确保食品食材按时、保质量送达各使用地点。</w:t>
            </w:r>
          </w:p>
        </w:tc>
      </w:tr>
      <w:tr w14:paraId="1A3D7D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346" w:type="dxa"/>
            <w:gridSpan w:val="5"/>
            <w:tcBorders>
              <w:top w:val="single" w:color="auto" w:sz="4" w:space="0"/>
              <w:left w:val="single" w:color="auto" w:sz="4" w:space="0"/>
              <w:bottom w:val="single" w:color="auto" w:sz="4" w:space="0"/>
              <w:right w:val="single" w:color="auto" w:sz="4" w:space="0"/>
            </w:tcBorders>
            <w:noWrap w:val="0"/>
            <w:vAlign w:val="top"/>
          </w:tcPr>
          <w:p w14:paraId="6E332269">
            <w:pPr>
              <w:spacing w:line="360" w:lineRule="auto"/>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三</w:t>
            </w:r>
            <w:r>
              <w:rPr>
                <w:rFonts w:hint="eastAsia" w:ascii="宋体" w:hAnsi="宋体"/>
                <w:color w:val="auto"/>
                <w:szCs w:val="21"/>
                <w:highlight w:val="none"/>
              </w:rPr>
              <w:t>、</w:t>
            </w:r>
            <w:r>
              <w:rPr>
                <w:rFonts w:hint="eastAsia" w:ascii="宋体" w:hAnsi="宋体"/>
                <w:b/>
                <w:color w:val="auto"/>
                <w:szCs w:val="21"/>
                <w:highlight w:val="none"/>
              </w:rPr>
              <w:t>商务条款</w:t>
            </w:r>
          </w:p>
        </w:tc>
      </w:tr>
      <w:tr w14:paraId="342507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676" w:type="dxa"/>
            <w:gridSpan w:val="3"/>
            <w:tcBorders>
              <w:top w:val="single" w:color="auto" w:sz="4" w:space="0"/>
              <w:left w:val="single" w:color="auto" w:sz="4" w:space="0"/>
              <w:bottom w:val="single" w:color="auto" w:sz="4" w:space="0"/>
              <w:right w:val="single" w:color="auto" w:sz="4" w:space="0"/>
            </w:tcBorders>
            <w:noWrap w:val="0"/>
            <w:vAlign w:val="center"/>
          </w:tcPr>
          <w:p w14:paraId="0E785CA7">
            <w:pPr>
              <w:spacing w:line="360" w:lineRule="auto"/>
              <w:jc w:val="center"/>
              <w:rPr>
                <w:rFonts w:ascii="宋体" w:hAnsi="宋体"/>
                <w:color w:val="auto"/>
                <w:szCs w:val="21"/>
                <w:highlight w:val="none"/>
              </w:rPr>
            </w:pPr>
            <w:r>
              <w:rPr>
                <w:rFonts w:hint="eastAsia" w:ascii="宋体" w:hAnsi="宋体"/>
                <w:color w:val="auto"/>
                <w:szCs w:val="21"/>
                <w:highlight w:val="none"/>
              </w:rPr>
              <w:t>售后服务要求</w:t>
            </w:r>
          </w:p>
        </w:tc>
        <w:tc>
          <w:tcPr>
            <w:tcW w:w="6670" w:type="dxa"/>
            <w:gridSpan w:val="2"/>
            <w:tcBorders>
              <w:top w:val="single" w:color="auto" w:sz="4" w:space="0"/>
              <w:left w:val="single" w:color="auto" w:sz="4" w:space="0"/>
              <w:bottom w:val="single" w:color="auto" w:sz="4" w:space="0"/>
              <w:right w:val="single" w:color="auto" w:sz="4" w:space="0"/>
            </w:tcBorders>
            <w:noWrap w:val="0"/>
            <w:vAlign w:val="top"/>
          </w:tcPr>
          <w:p w14:paraId="38B6EF96">
            <w:pPr>
              <w:spacing w:line="360" w:lineRule="auto"/>
              <w:ind w:firstLine="420" w:firstLineChars="200"/>
              <w:rPr>
                <w:rFonts w:hint="eastAsia" w:ascii="宋体" w:hAnsi="宋体" w:eastAsia="宋体" w:cs="Courier New"/>
                <w:color w:val="auto"/>
                <w:szCs w:val="21"/>
                <w:highlight w:val="none"/>
                <w:lang w:eastAsia="zh-CN"/>
              </w:rPr>
            </w:pPr>
            <w:r>
              <w:rPr>
                <w:rFonts w:hint="eastAsia" w:ascii="宋体" w:hAnsi="宋体" w:cs="Courier New"/>
                <w:color w:val="auto"/>
                <w:szCs w:val="21"/>
                <w:highlight w:val="none"/>
              </w:rPr>
              <w:t>1</w:t>
            </w:r>
            <w:r>
              <w:rPr>
                <w:rFonts w:hint="eastAsia" w:ascii="宋体" w:hAnsi="宋体" w:cs="Courier New"/>
                <w:color w:val="auto"/>
                <w:szCs w:val="21"/>
                <w:highlight w:val="none"/>
                <w:lang w:eastAsia="zh-CN"/>
              </w:rPr>
              <w:t>.</w:t>
            </w:r>
            <w:r>
              <w:rPr>
                <w:rFonts w:hint="eastAsia" w:ascii="宋体" w:hAnsi="宋体" w:cs="Courier New"/>
                <w:color w:val="auto"/>
                <w:szCs w:val="21"/>
                <w:highlight w:val="none"/>
              </w:rPr>
              <w:t>货物按国家有关产品“三包”规定执行“三包”</w:t>
            </w:r>
            <w:r>
              <w:rPr>
                <w:rFonts w:hint="eastAsia" w:ascii="宋体" w:hAnsi="宋体" w:cs="Courier New"/>
                <w:color w:val="auto"/>
                <w:szCs w:val="21"/>
                <w:highlight w:val="none"/>
                <w:lang w:eastAsia="zh-CN"/>
              </w:rPr>
              <w:t>。</w:t>
            </w:r>
          </w:p>
          <w:p w14:paraId="36648C07">
            <w:pPr>
              <w:spacing w:line="360" w:lineRule="auto"/>
              <w:ind w:firstLine="420" w:firstLineChars="200"/>
              <w:rPr>
                <w:rFonts w:hint="eastAsia" w:ascii="宋体" w:hAnsi="宋体" w:eastAsia="宋体" w:cs="Courier New"/>
                <w:color w:val="auto"/>
                <w:szCs w:val="21"/>
                <w:highlight w:val="none"/>
                <w:lang w:eastAsia="zh-CN"/>
              </w:rPr>
            </w:pPr>
            <w:r>
              <w:rPr>
                <w:rFonts w:hint="eastAsia" w:ascii="宋体" w:hAnsi="宋体" w:cs="Courier New"/>
                <w:color w:val="auto"/>
                <w:szCs w:val="21"/>
                <w:highlight w:val="none"/>
              </w:rPr>
              <w:t>2</w:t>
            </w:r>
            <w:r>
              <w:rPr>
                <w:rFonts w:hint="eastAsia" w:ascii="宋体" w:hAnsi="宋体" w:cs="Courier New"/>
                <w:color w:val="auto"/>
                <w:szCs w:val="21"/>
                <w:highlight w:val="none"/>
                <w:lang w:eastAsia="zh-CN"/>
              </w:rPr>
              <w:t>.</w:t>
            </w:r>
            <w:r>
              <w:rPr>
                <w:rFonts w:hint="eastAsia" w:ascii="宋体" w:hAnsi="宋体" w:cs="Courier New"/>
                <w:color w:val="auto"/>
                <w:szCs w:val="21"/>
                <w:highlight w:val="none"/>
              </w:rPr>
              <w:t>免费送货上门</w:t>
            </w:r>
            <w:r>
              <w:rPr>
                <w:rFonts w:hint="eastAsia" w:ascii="宋体" w:hAnsi="宋体" w:cs="Courier New"/>
                <w:color w:val="auto"/>
                <w:szCs w:val="21"/>
                <w:highlight w:val="none"/>
                <w:lang w:eastAsia="zh-CN"/>
              </w:rPr>
              <w:t>。</w:t>
            </w:r>
          </w:p>
          <w:p w14:paraId="7CA58D67">
            <w:pPr>
              <w:spacing w:line="360" w:lineRule="auto"/>
              <w:ind w:firstLine="420" w:firstLineChars="200"/>
              <w:rPr>
                <w:rFonts w:hint="eastAsia" w:ascii="宋体" w:hAnsi="宋体" w:cs="Courier New"/>
                <w:color w:val="auto"/>
                <w:szCs w:val="21"/>
                <w:highlight w:val="none"/>
              </w:rPr>
            </w:pPr>
            <w:r>
              <w:rPr>
                <w:rFonts w:hint="eastAsia" w:ascii="宋体" w:hAnsi="宋体" w:cs="Courier New"/>
                <w:color w:val="auto"/>
                <w:szCs w:val="21"/>
                <w:highlight w:val="none"/>
              </w:rPr>
              <w:t>3</w:t>
            </w:r>
            <w:r>
              <w:rPr>
                <w:rFonts w:hint="eastAsia" w:ascii="宋体" w:hAnsi="宋体" w:cs="Courier New"/>
                <w:color w:val="auto"/>
                <w:szCs w:val="21"/>
                <w:highlight w:val="none"/>
                <w:lang w:eastAsia="zh-CN"/>
              </w:rPr>
              <w:t>.</w:t>
            </w:r>
            <w:r>
              <w:rPr>
                <w:rFonts w:hint="eastAsia" w:ascii="宋体" w:hAnsi="宋体" w:cs="Courier New"/>
                <w:color w:val="auto"/>
                <w:szCs w:val="21"/>
                <w:highlight w:val="none"/>
              </w:rPr>
              <w:t>保质保量，如在质保期内发现质量问题，中标人必须在接到采购人通知后2小时内到达现场处理，如属质量问题的及时给予更换。</w:t>
            </w:r>
          </w:p>
          <w:p w14:paraId="454F05EF">
            <w:pPr>
              <w:tabs>
                <w:tab w:val="left" w:pos="431"/>
              </w:tabs>
              <w:snapToGrid w:val="0"/>
              <w:spacing w:line="420" w:lineRule="exact"/>
              <w:ind w:firstLine="420" w:firstLineChars="200"/>
              <w:jc w:val="left"/>
              <w:rPr>
                <w:color w:val="auto"/>
                <w:highlight w:val="none"/>
              </w:rPr>
            </w:pPr>
            <w:r>
              <w:rPr>
                <w:rFonts w:hint="eastAsia" w:ascii="宋体" w:hAnsi="宋体" w:cs="Courier New"/>
                <w:color w:val="auto"/>
                <w:szCs w:val="21"/>
                <w:highlight w:val="none"/>
              </w:rPr>
              <w:t>4</w:t>
            </w:r>
            <w:r>
              <w:rPr>
                <w:rFonts w:hint="eastAsia" w:ascii="宋体" w:hAnsi="宋体" w:cs="Courier New"/>
                <w:color w:val="auto"/>
                <w:szCs w:val="21"/>
                <w:highlight w:val="none"/>
                <w:lang w:eastAsia="zh-CN"/>
              </w:rPr>
              <w:t>.</w:t>
            </w:r>
            <w:r>
              <w:rPr>
                <w:rFonts w:hint="eastAsia" w:ascii="宋体" w:hAnsi="宋体" w:cs="Courier New"/>
                <w:color w:val="auto"/>
                <w:szCs w:val="21"/>
                <w:highlight w:val="none"/>
              </w:rPr>
              <w:t>投标人所提交食品应为全新的产品，产品符合国家有关认证标准及安全规定。交货验收时发现有污损、霉变、包装开裂、自然破损由投标人在1天内免费更换。</w:t>
            </w:r>
          </w:p>
        </w:tc>
      </w:tr>
      <w:tr w14:paraId="3B0644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676" w:type="dxa"/>
            <w:gridSpan w:val="3"/>
            <w:tcBorders>
              <w:top w:val="single" w:color="auto" w:sz="4" w:space="0"/>
              <w:left w:val="single" w:color="auto" w:sz="4" w:space="0"/>
              <w:bottom w:val="single" w:color="auto" w:sz="4" w:space="0"/>
              <w:right w:val="single" w:color="auto" w:sz="4" w:space="0"/>
            </w:tcBorders>
            <w:noWrap w:val="0"/>
            <w:vAlign w:val="center"/>
          </w:tcPr>
          <w:p w14:paraId="6BEFF3AE">
            <w:pPr>
              <w:spacing w:line="360" w:lineRule="auto"/>
              <w:jc w:val="center"/>
              <w:rPr>
                <w:rFonts w:hint="eastAsia" w:ascii="宋体" w:hAnsi="宋体"/>
                <w:color w:val="auto"/>
                <w:szCs w:val="21"/>
                <w:highlight w:val="none"/>
              </w:rPr>
            </w:pPr>
            <w:r>
              <w:rPr>
                <w:rFonts w:hint="eastAsia" w:ascii="宋体" w:hAnsi="宋体"/>
                <w:color w:val="auto"/>
                <w:szCs w:val="21"/>
                <w:highlight w:val="none"/>
              </w:rPr>
              <w:t>合同签订时间</w:t>
            </w:r>
          </w:p>
        </w:tc>
        <w:tc>
          <w:tcPr>
            <w:tcW w:w="6670" w:type="dxa"/>
            <w:gridSpan w:val="2"/>
            <w:tcBorders>
              <w:top w:val="single" w:color="auto" w:sz="4" w:space="0"/>
              <w:left w:val="single" w:color="auto" w:sz="4" w:space="0"/>
              <w:bottom w:val="single" w:color="auto" w:sz="4" w:space="0"/>
              <w:right w:val="single" w:color="auto" w:sz="4" w:space="0"/>
            </w:tcBorders>
            <w:noWrap w:val="0"/>
            <w:vAlign w:val="center"/>
          </w:tcPr>
          <w:p w14:paraId="398BBF9E">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lang w:val="en-US" w:eastAsia="zh-CN"/>
              </w:rPr>
              <w:t>1.</w:t>
            </w:r>
            <w:r>
              <w:rPr>
                <w:rFonts w:hint="eastAsia" w:ascii="宋体" w:hAnsi="宋体"/>
                <w:color w:val="auto"/>
                <w:szCs w:val="21"/>
                <w:highlight w:val="none"/>
              </w:rPr>
              <w:t>自中标通知书发出之日起</w:t>
            </w:r>
            <w:r>
              <w:rPr>
                <w:rFonts w:hint="eastAsia" w:ascii="宋体" w:hAnsi="宋体"/>
                <w:color w:val="auto"/>
                <w:szCs w:val="21"/>
                <w:highlight w:val="none"/>
                <w:lang w:val="en-US" w:eastAsia="zh-CN"/>
              </w:rPr>
              <w:t>25</w:t>
            </w:r>
            <w:r>
              <w:rPr>
                <w:rFonts w:hint="eastAsia" w:ascii="宋体" w:hAnsi="宋体"/>
                <w:color w:val="auto"/>
                <w:szCs w:val="21"/>
                <w:highlight w:val="none"/>
              </w:rPr>
              <w:t>天（日历天）内</w:t>
            </w:r>
            <w:r>
              <w:rPr>
                <w:rFonts w:hint="eastAsia" w:ascii="宋体" w:hAnsi="宋体"/>
                <w:color w:val="auto"/>
                <w:szCs w:val="21"/>
                <w:highlight w:val="none"/>
                <w:lang w:eastAsia="zh-CN"/>
              </w:rPr>
              <w:t>签订合同</w:t>
            </w:r>
            <w:r>
              <w:rPr>
                <w:rFonts w:hint="eastAsia" w:ascii="宋体" w:hAnsi="宋体"/>
                <w:color w:val="auto"/>
                <w:szCs w:val="21"/>
                <w:highlight w:val="none"/>
              </w:rPr>
              <w:t>。</w:t>
            </w:r>
          </w:p>
          <w:p w14:paraId="28ED299B">
            <w:pPr>
              <w:spacing w:line="360" w:lineRule="auto"/>
              <w:ind w:firstLine="420" w:firstLineChars="200"/>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2.</w:t>
            </w:r>
            <w:r>
              <w:rPr>
                <w:rFonts w:hint="eastAsia" w:ascii="宋体" w:hAnsi="宋体"/>
                <w:color w:val="auto"/>
                <w:szCs w:val="21"/>
                <w:highlight w:val="none"/>
              </w:rPr>
              <w:t>合同履行期限：</w:t>
            </w:r>
            <w:r>
              <w:rPr>
                <w:rFonts w:hint="eastAsia" w:ascii="宋体" w:hAnsi="宋体"/>
                <w:b/>
                <w:bCs/>
                <w:color w:val="auto"/>
                <w:szCs w:val="21"/>
                <w:highlight w:val="none"/>
                <w:lang w:eastAsia="zh-CN"/>
              </w:rPr>
              <w:t>202</w:t>
            </w:r>
            <w:r>
              <w:rPr>
                <w:rFonts w:hint="eastAsia" w:ascii="宋体" w:hAnsi="宋体"/>
                <w:b/>
                <w:bCs/>
                <w:color w:val="auto"/>
                <w:szCs w:val="21"/>
                <w:highlight w:val="none"/>
                <w:lang w:val="en-US" w:eastAsia="zh-CN"/>
              </w:rPr>
              <w:t>5</w:t>
            </w:r>
            <w:r>
              <w:rPr>
                <w:rFonts w:hint="eastAsia" w:ascii="宋体" w:hAnsi="宋体"/>
                <w:b/>
                <w:bCs/>
                <w:color w:val="auto"/>
                <w:szCs w:val="21"/>
                <w:highlight w:val="none"/>
                <w:lang w:eastAsia="zh-CN"/>
              </w:rPr>
              <w:t>年秋季学期至202</w:t>
            </w:r>
            <w:r>
              <w:rPr>
                <w:rFonts w:hint="eastAsia" w:ascii="宋体" w:hAnsi="宋体"/>
                <w:b/>
                <w:bCs/>
                <w:color w:val="auto"/>
                <w:szCs w:val="21"/>
                <w:highlight w:val="none"/>
                <w:lang w:val="en-US" w:eastAsia="zh-CN"/>
              </w:rPr>
              <w:t>6</w:t>
            </w:r>
            <w:r>
              <w:rPr>
                <w:rFonts w:hint="eastAsia" w:ascii="宋体" w:hAnsi="宋体"/>
                <w:b/>
                <w:bCs/>
                <w:color w:val="auto"/>
                <w:szCs w:val="21"/>
                <w:highlight w:val="none"/>
                <w:lang w:eastAsia="zh-CN"/>
              </w:rPr>
              <w:t>年春季学期，具体开始时间按采购人通知，按采购单位要求分批次配送。</w:t>
            </w:r>
          </w:p>
        </w:tc>
      </w:tr>
      <w:tr w14:paraId="1F849A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676" w:type="dxa"/>
            <w:gridSpan w:val="3"/>
            <w:tcBorders>
              <w:top w:val="single" w:color="auto" w:sz="4" w:space="0"/>
              <w:left w:val="single" w:color="auto" w:sz="4" w:space="0"/>
              <w:bottom w:val="single" w:color="auto" w:sz="4" w:space="0"/>
              <w:right w:val="single" w:color="auto" w:sz="4" w:space="0"/>
            </w:tcBorders>
            <w:noWrap w:val="0"/>
            <w:vAlign w:val="center"/>
          </w:tcPr>
          <w:p w14:paraId="182E6803">
            <w:pPr>
              <w:spacing w:line="360" w:lineRule="auto"/>
              <w:jc w:val="center"/>
              <w:rPr>
                <w:rFonts w:ascii="宋体" w:hAnsi="宋体"/>
                <w:color w:val="auto"/>
                <w:szCs w:val="21"/>
                <w:highlight w:val="none"/>
              </w:rPr>
            </w:pPr>
            <w:r>
              <w:rPr>
                <w:rFonts w:hint="eastAsia" w:ascii="宋体" w:hAnsi="宋体"/>
                <w:color w:val="auto"/>
                <w:szCs w:val="21"/>
                <w:highlight w:val="none"/>
              </w:rPr>
              <w:t>交付时间及地点</w:t>
            </w:r>
          </w:p>
        </w:tc>
        <w:tc>
          <w:tcPr>
            <w:tcW w:w="6670" w:type="dxa"/>
            <w:gridSpan w:val="2"/>
            <w:tcBorders>
              <w:top w:val="single" w:color="auto" w:sz="4" w:space="0"/>
              <w:left w:val="single" w:color="auto" w:sz="4" w:space="0"/>
              <w:bottom w:val="single" w:color="auto" w:sz="4" w:space="0"/>
              <w:right w:val="single" w:color="auto" w:sz="4" w:space="0"/>
            </w:tcBorders>
            <w:noWrap w:val="0"/>
            <w:vAlign w:val="center"/>
          </w:tcPr>
          <w:p w14:paraId="7342887F">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w:t>
            </w:r>
            <w:r>
              <w:rPr>
                <w:rFonts w:hint="eastAsia" w:ascii="宋体" w:hAnsi="宋体"/>
                <w:color w:val="auto"/>
                <w:szCs w:val="21"/>
                <w:highlight w:val="none"/>
              </w:rPr>
              <w:t>交付时间：</w:t>
            </w:r>
            <w:r>
              <w:rPr>
                <w:rFonts w:hint="eastAsia" w:ascii="宋体" w:hAnsi="宋体" w:eastAsia="宋体" w:cs="宋体"/>
                <w:b/>
                <w:bCs/>
                <w:color w:val="auto"/>
                <w:sz w:val="21"/>
                <w:szCs w:val="21"/>
                <w:highlight w:val="none"/>
                <w:lang w:val="en-US" w:eastAsia="zh-CN"/>
              </w:rPr>
              <w:t>要求开学时开始配送或者采购人同意中标人推迟配送的具体时间。</w:t>
            </w:r>
          </w:p>
          <w:p w14:paraId="2241707E">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eastAsia="zh-CN"/>
              </w:rPr>
              <w:t>.</w:t>
            </w:r>
            <w:r>
              <w:rPr>
                <w:rFonts w:hint="eastAsia" w:ascii="宋体" w:hAnsi="宋体"/>
                <w:color w:val="auto"/>
                <w:szCs w:val="21"/>
                <w:highlight w:val="none"/>
              </w:rPr>
              <w:t>交付地点：</w:t>
            </w:r>
            <w:r>
              <w:rPr>
                <w:rFonts w:hint="eastAsia"/>
                <w:color w:val="auto"/>
                <w:highlight w:val="none"/>
              </w:rPr>
              <w:t>防城港市防城区内采购单位指定地点</w:t>
            </w:r>
            <w:r>
              <w:rPr>
                <w:rFonts w:hint="eastAsia"/>
                <w:color w:val="auto"/>
                <w:highlight w:val="none"/>
                <w:lang w:eastAsia="zh-CN"/>
              </w:rPr>
              <w:t>，</w:t>
            </w:r>
            <w:r>
              <w:rPr>
                <w:rFonts w:hint="eastAsia"/>
                <w:b/>
                <w:bCs/>
                <w:color w:val="auto"/>
                <w:highlight w:val="none"/>
                <w:lang w:eastAsia="zh-CN"/>
              </w:rPr>
              <w:t>即：</w:t>
            </w:r>
            <w:r>
              <w:rPr>
                <w:rFonts w:hint="eastAsia" w:ascii="宋体" w:hAnsi="宋体" w:cs="宋体"/>
                <w:b/>
                <w:bCs/>
                <w:color w:val="auto"/>
                <w:kern w:val="0"/>
                <w:szCs w:val="21"/>
                <w:highlight w:val="none"/>
              </w:rPr>
              <w:t>峒中镇</w:t>
            </w:r>
            <w:r>
              <w:rPr>
                <w:rFonts w:hint="eastAsia" w:ascii="宋体" w:hAnsi="宋体" w:cs="宋体"/>
                <w:b/>
                <w:bCs/>
                <w:color w:val="auto"/>
                <w:kern w:val="0"/>
                <w:szCs w:val="21"/>
                <w:highlight w:val="none"/>
                <w:lang w:eastAsia="zh-CN"/>
              </w:rPr>
              <w:t>、</w:t>
            </w:r>
            <w:r>
              <w:rPr>
                <w:rFonts w:hint="eastAsia" w:ascii="宋体" w:hAnsi="宋体" w:cs="宋体"/>
                <w:b/>
                <w:bCs/>
                <w:color w:val="auto"/>
                <w:kern w:val="0"/>
                <w:szCs w:val="21"/>
                <w:highlight w:val="none"/>
              </w:rPr>
              <w:t>那良镇</w:t>
            </w:r>
            <w:r>
              <w:rPr>
                <w:rFonts w:hint="eastAsia" w:ascii="宋体" w:hAnsi="宋体" w:cs="宋体"/>
                <w:b/>
                <w:bCs/>
                <w:color w:val="auto"/>
                <w:kern w:val="0"/>
                <w:szCs w:val="21"/>
                <w:highlight w:val="none"/>
                <w:lang w:eastAsia="zh-CN"/>
              </w:rPr>
              <w:t>、</w:t>
            </w:r>
            <w:r>
              <w:rPr>
                <w:rFonts w:hint="eastAsia" w:ascii="宋体" w:hAnsi="宋体" w:cs="宋体"/>
                <w:b/>
                <w:bCs/>
                <w:color w:val="auto"/>
                <w:kern w:val="0"/>
                <w:szCs w:val="21"/>
                <w:highlight w:val="none"/>
              </w:rPr>
              <w:t>水营街道</w:t>
            </w:r>
            <w:r>
              <w:rPr>
                <w:rFonts w:hint="eastAsia" w:ascii="宋体" w:hAnsi="宋体" w:cs="宋体"/>
                <w:b/>
                <w:bCs/>
                <w:color w:val="auto"/>
                <w:kern w:val="0"/>
                <w:szCs w:val="21"/>
                <w:highlight w:val="none"/>
                <w:lang w:eastAsia="zh-CN"/>
              </w:rPr>
              <w:t>、</w:t>
            </w:r>
            <w:r>
              <w:rPr>
                <w:rFonts w:hint="eastAsia" w:ascii="宋体" w:hAnsi="宋体" w:cs="宋体"/>
                <w:b/>
                <w:bCs/>
                <w:color w:val="auto"/>
                <w:kern w:val="0"/>
                <w:szCs w:val="21"/>
                <w:highlight w:val="none"/>
              </w:rPr>
              <w:t>滩营乡</w:t>
            </w:r>
            <w:r>
              <w:rPr>
                <w:rFonts w:hint="eastAsia" w:ascii="宋体" w:hAnsi="宋体" w:cs="宋体"/>
                <w:b/>
                <w:bCs/>
                <w:color w:val="auto"/>
                <w:kern w:val="0"/>
                <w:szCs w:val="21"/>
                <w:highlight w:val="none"/>
                <w:lang w:eastAsia="zh-CN"/>
              </w:rPr>
              <w:t>、</w:t>
            </w:r>
            <w:r>
              <w:rPr>
                <w:rFonts w:hint="eastAsia" w:ascii="宋体" w:hAnsi="宋体" w:cs="宋体"/>
                <w:b/>
                <w:bCs/>
                <w:color w:val="auto"/>
                <w:kern w:val="0"/>
                <w:szCs w:val="21"/>
                <w:highlight w:val="none"/>
              </w:rPr>
              <w:t>十万山乡</w:t>
            </w:r>
            <w:r>
              <w:rPr>
                <w:rFonts w:hint="eastAsia" w:ascii="宋体" w:hAnsi="宋体" w:cs="宋体"/>
                <w:b/>
                <w:bCs/>
                <w:color w:val="auto"/>
                <w:kern w:val="0"/>
                <w:szCs w:val="21"/>
                <w:highlight w:val="none"/>
                <w:lang w:eastAsia="zh-CN"/>
              </w:rPr>
              <w:t>、</w:t>
            </w:r>
            <w:r>
              <w:rPr>
                <w:rFonts w:hint="eastAsia" w:ascii="宋体" w:hAnsi="宋体" w:cs="宋体"/>
                <w:b/>
                <w:bCs/>
                <w:color w:val="auto"/>
                <w:kern w:val="0"/>
                <w:szCs w:val="21"/>
                <w:highlight w:val="none"/>
              </w:rPr>
              <w:t>小峰场</w:t>
            </w:r>
            <w:r>
              <w:rPr>
                <w:rFonts w:hint="eastAsia" w:ascii="宋体" w:hAnsi="宋体" w:cs="宋体"/>
                <w:b/>
                <w:bCs/>
                <w:color w:val="auto"/>
                <w:kern w:val="0"/>
                <w:szCs w:val="21"/>
                <w:highlight w:val="none"/>
                <w:lang w:eastAsia="zh-CN"/>
              </w:rPr>
              <w:t>、</w:t>
            </w:r>
            <w:r>
              <w:rPr>
                <w:rFonts w:hint="eastAsia" w:ascii="宋体" w:hAnsi="宋体" w:cs="宋体"/>
                <w:b/>
                <w:bCs/>
                <w:color w:val="auto"/>
                <w:kern w:val="0"/>
                <w:szCs w:val="21"/>
                <w:highlight w:val="none"/>
              </w:rPr>
              <w:t>大菉镇</w:t>
            </w:r>
            <w:r>
              <w:rPr>
                <w:rFonts w:hint="eastAsia" w:ascii="宋体" w:hAnsi="宋体" w:cs="宋体"/>
                <w:b/>
                <w:bCs/>
                <w:color w:val="auto"/>
                <w:kern w:val="0"/>
                <w:szCs w:val="21"/>
                <w:highlight w:val="none"/>
                <w:lang w:eastAsia="zh-CN"/>
              </w:rPr>
              <w:t>、</w:t>
            </w:r>
            <w:r>
              <w:rPr>
                <w:rFonts w:hint="eastAsia" w:ascii="宋体" w:hAnsi="宋体" w:cs="宋体"/>
                <w:b/>
                <w:bCs/>
                <w:color w:val="auto"/>
                <w:kern w:val="0"/>
                <w:szCs w:val="21"/>
                <w:highlight w:val="none"/>
              </w:rPr>
              <w:t>扶隆镇</w:t>
            </w:r>
            <w:r>
              <w:rPr>
                <w:rFonts w:hint="eastAsia"/>
                <w:b/>
                <w:bCs/>
                <w:color w:val="auto"/>
                <w:highlight w:val="none"/>
                <w:lang w:eastAsia="zh-CN"/>
              </w:rPr>
              <w:t>。</w:t>
            </w:r>
          </w:p>
        </w:tc>
      </w:tr>
      <w:tr w14:paraId="5714DA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676" w:type="dxa"/>
            <w:gridSpan w:val="3"/>
            <w:tcBorders>
              <w:top w:val="single" w:color="auto" w:sz="4" w:space="0"/>
              <w:left w:val="single" w:color="auto" w:sz="4" w:space="0"/>
              <w:bottom w:val="single" w:color="auto" w:sz="4" w:space="0"/>
              <w:right w:val="single" w:color="auto" w:sz="4" w:space="0"/>
            </w:tcBorders>
            <w:noWrap w:val="0"/>
            <w:vAlign w:val="center"/>
          </w:tcPr>
          <w:p w14:paraId="28F25C1E">
            <w:pPr>
              <w:spacing w:line="360" w:lineRule="auto"/>
              <w:jc w:val="center"/>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报价及结算说明</w:t>
            </w:r>
          </w:p>
        </w:tc>
        <w:tc>
          <w:tcPr>
            <w:tcW w:w="6670" w:type="dxa"/>
            <w:gridSpan w:val="2"/>
            <w:tcBorders>
              <w:top w:val="single" w:color="auto" w:sz="4" w:space="0"/>
              <w:left w:val="single" w:color="auto" w:sz="4" w:space="0"/>
              <w:bottom w:val="single" w:color="auto" w:sz="4" w:space="0"/>
              <w:right w:val="single" w:color="auto" w:sz="4" w:space="0"/>
            </w:tcBorders>
            <w:noWrap w:val="0"/>
            <w:vAlign w:val="top"/>
          </w:tcPr>
          <w:p w14:paraId="44B0783D">
            <w:pPr>
              <w:spacing w:line="360" w:lineRule="auto"/>
              <w:ind w:firstLine="420" w:firstLineChars="200"/>
              <w:rPr>
                <w:rFonts w:hint="eastAsia" w:eastAsia="宋体"/>
                <w:color w:val="auto"/>
                <w:highlight w:val="none"/>
                <w:lang w:eastAsia="zh-CN"/>
              </w:rPr>
            </w:pPr>
            <w:r>
              <w:rPr>
                <w:rFonts w:hint="eastAsia"/>
                <w:color w:val="auto"/>
                <w:highlight w:val="none"/>
                <w:lang w:val="en-US" w:eastAsia="zh-CN"/>
              </w:rPr>
              <w:t>1.</w:t>
            </w:r>
            <w:r>
              <w:rPr>
                <w:rFonts w:hint="eastAsia"/>
                <w:color w:val="auto"/>
                <w:highlight w:val="none"/>
              </w:rPr>
              <w:t>报价包括货物及服务采购、人工费及配送费等各种费用和售后服务、税金</w:t>
            </w:r>
            <w:r>
              <w:rPr>
                <w:rFonts w:hint="eastAsia"/>
                <w:color w:val="auto"/>
                <w:highlight w:val="none"/>
                <w:lang w:eastAsia="zh-CN"/>
              </w:rPr>
              <w:t>及其他</w:t>
            </w:r>
            <w:r>
              <w:rPr>
                <w:rFonts w:hint="eastAsia"/>
                <w:color w:val="auto"/>
                <w:highlight w:val="none"/>
              </w:rPr>
              <w:t>所有成本费用的总和。</w:t>
            </w:r>
            <w:r>
              <w:rPr>
                <w:rFonts w:hint="eastAsia"/>
                <w:b/>
                <w:bCs/>
                <w:color w:val="auto"/>
                <w:highlight w:val="none"/>
                <w:lang w:eastAsia="zh-CN"/>
              </w:rPr>
              <w:t>本项目采用优惠率进行报价（</w:t>
            </w:r>
            <w:r>
              <w:rPr>
                <w:rFonts w:hint="eastAsia" w:ascii="Times New Roman" w:hAnsi="Times New Roman" w:eastAsia="宋体" w:cs="Times New Roman"/>
                <w:color w:val="auto"/>
                <w:kern w:val="2"/>
                <w:sz w:val="21"/>
                <w:szCs w:val="24"/>
                <w:highlight w:val="none"/>
                <w:lang w:val="en-US" w:eastAsia="zh-CN" w:bidi="ar-SA"/>
              </w:rPr>
              <w:t>注：0%≤</w:t>
            </w:r>
            <w:r>
              <w:rPr>
                <w:rFonts w:hint="eastAsia" w:cs="Times New Roman"/>
                <w:color w:val="auto"/>
                <w:kern w:val="2"/>
                <w:sz w:val="21"/>
                <w:szCs w:val="24"/>
                <w:highlight w:val="none"/>
                <w:lang w:val="en-US" w:eastAsia="zh-CN" w:bidi="ar-SA"/>
              </w:rPr>
              <w:t>下浮优惠率</w:t>
            </w:r>
            <w:r>
              <w:rPr>
                <w:rFonts w:hint="eastAsia" w:ascii="Times New Roman" w:hAnsi="Times New Roman" w:eastAsia="宋体" w:cs="Times New Roman"/>
                <w:color w:val="auto"/>
                <w:kern w:val="2"/>
                <w:sz w:val="21"/>
                <w:szCs w:val="24"/>
                <w:highlight w:val="none"/>
                <w:lang w:val="en-US" w:eastAsia="zh-CN" w:bidi="ar-SA"/>
              </w:rPr>
              <w:t>＜100%内为有效报价，超出有效报价范围的视为无效报价</w:t>
            </w:r>
            <w:r>
              <w:rPr>
                <w:rFonts w:hint="eastAsia"/>
                <w:b/>
                <w:bCs/>
                <w:color w:val="auto"/>
                <w:highlight w:val="none"/>
                <w:lang w:eastAsia="zh-CN"/>
              </w:rPr>
              <w:t>），投标人以中标的优惠率签订合同，结算时按照实际的配送工作量（配送天数、配送人数或数量要求的累计数）计算费用。</w:t>
            </w:r>
          </w:p>
          <w:p w14:paraId="1A5E93CB">
            <w:pPr>
              <w:spacing w:line="360" w:lineRule="auto"/>
              <w:ind w:firstLine="420" w:firstLineChars="200"/>
              <w:rPr>
                <w:rFonts w:hint="eastAsia" w:ascii="Times New Roman" w:hAnsi="Times New Roman" w:eastAsia="宋体" w:cs="Times New Roman"/>
                <w:color w:val="auto"/>
                <w:highlight w:val="none"/>
                <w:lang w:val="en-US" w:eastAsia="zh-CN"/>
              </w:rPr>
            </w:pPr>
            <w:r>
              <w:rPr>
                <w:rFonts w:hint="eastAsia"/>
                <w:color w:val="auto"/>
                <w:highlight w:val="none"/>
                <w:lang w:val="en-US" w:eastAsia="zh-CN"/>
              </w:rPr>
              <w:t>2.为了确保产品质量和食品安全，投标人不得以低于成本价的方式报价或者以劣质产品质量的低价商品进行报价。评标委员会认为投标人的报价明显低于其他通过符合性审查投标人的报价，有可能影响产品质量或者不能诚信履约的，评标委员会应当要求投标人在评标现场合理的时间内提供书面说明，必要时提交相关证明材料；投标人不能证明其报价合理性的，其投标作为无效投标处理。</w:t>
            </w:r>
          </w:p>
          <w:p w14:paraId="68097AE5">
            <w:pPr>
              <w:spacing w:line="360" w:lineRule="auto"/>
              <w:ind w:firstLine="420" w:firstLineChars="200"/>
              <w:rPr>
                <w:rFonts w:hint="default"/>
                <w:color w:val="auto"/>
                <w:highlight w:val="none"/>
                <w:lang w:val="en-US"/>
              </w:rPr>
            </w:pPr>
            <w:r>
              <w:rPr>
                <w:rFonts w:hint="eastAsia" w:ascii="Times New Roman" w:hAnsi="Times New Roman" w:eastAsia="宋体" w:cs="Times New Roman"/>
                <w:color w:val="auto"/>
                <w:highlight w:val="none"/>
                <w:lang w:val="en-US" w:eastAsia="zh-CN"/>
              </w:rPr>
              <w:t>3.</w:t>
            </w:r>
            <w:r>
              <w:rPr>
                <w:rFonts w:hint="eastAsia" w:eastAsia="宋体"/>
                <w:color w:val="auto"/>
                <w:highlight w:val="none"/>
                <w:lang w:eastAsia="zh-CN"/>
              </w:rPr>
              <w:t>本项目中食品的实际采购数量以采购单位通知为准。因食品价格随市场波动，采购货物价格执行期限为每学期开学后至该学期结束（如有必要可在学期中期开展一次询价进行调整），中标人必须在学期开学前7天内向招标人申报货物价格，再由招标人组织成立学生营养改善计划食材价格询价议价小组和中标供应商代表到防城区</w:t>
            </w:r>
            <w:r>
              <w:rPr>
                <w:rFonts w:hint="eastAsia" w:hAnsi="宋体"/>
                <w:b w:val="0"/>
                <w:bCs w:val="0"/>
                <w:color w:val="auto"/>
                <w:sz w:val="21"/>
                <w:szCs w:val="21"/>
                <w:highlight w:val="none"/>
                <w:lang w:val="en-US" w:eastAsia="zh-CN"/>
              </w:rPr>
              <w:t>天和超市、沃尔玛超市等</w:t>
            </w:r>
            <w:r>
              <w:rPr>
                <w:rFonts w:hint="eastAsia" w:eastAsia="宋体"/>
                <w:color w:val="auto"/>
                <w:highlight w:val="none"/>
                <w:lang w:eastAsia="zh-CN"/>
              </w:rPr>
              <w:t>大型超市进行询价</w:t>
            </w:r>
            <w:r>
              <w:rPr>
                <w:rFonts w:hint="eastAsia" w:eastAsia="宋体"/>
                <w:color w:val="auto"/>
                <w:highlight w:val="none"/>
                <w:lang w:val="en-US" w:eastAsia="zh-CN"/>
              </w:rPr>
              <w:t>并</w:t>
            </w:r>
            <w:r>
              <w:rPr>
                <w:rFonts w:hint="eastAsia"/>
                <w:color w:val="auto"/>
                <w:highlight w:val="none"/>
                <w:lang w:eastAsia="zh-CN"/>
              </w:rPr>
              <w:t>参考防城港市发改委、防城区发改局公布物价</w:t>
            </w:r>
            <w:r>
              <w:rPr>
                <w:rFonts w:hint="eastAsia"/>
                <w:color w:val="auto"/>
                <w:highlight w:val="none"/>
              </w:rPr>
              <w:t>作为参数</w:t>
            </w:r>
            <w:r>
              <w:rPr>
                <w:rFonts w:hint="eastAsia" w:eastAsia="宋体"/>
                <w:color w:val="auto"/>
                <w:highlight w:val="none"/>
                <w:lang w:eastAsia="zh-CN"/>
              </w:rPr>
              <w:t>，</w:t>
            </w:r>
            <w:r>
              <w:rPr>
                <w:rFonts w:hint="eastAsia"/>
                <w:color w:val="auto"/>
                <w:highlight w:val="none"/>
              </w:rPr>
              <w:t>次月货物价格最终</w:t>
            </w:r>
            <w:r>
              <w:rPr>
                <w:rFonts w:hint="eastAsia"/>
                <w:color w:val="auto"/>
                <w:highlight w:val="none"/>
                <w:lang w:eastAsia="zh-CN"/>
              </w:rPr>
              <w:t>以</w:t>
            </w:r>
            <w:r>
              <w:rPr>
                <w:rFonts w:hint="eastAsia"/>
                <w:color w:val="auto"/>
                <w:highlight w:val="none"/>
              </w:rPr>
              <w:t>询价结果</w:t>
            </w:r>
            <w:r>
              <w:rPr>
                <w:rFonts w:hint="eastAsia" w:ascii="宋体" w:hAnsi="宋体" w:eastAsia="宋体" w:cs="宋体"/>
                <w:b/>
                <w:bCs/>
                <w:color w:val="auto"/>
                <w:sz w:val="21"/>
                <w:szCs w:val="21"/>
                <w:highlight w:val="none"/>
                <w:lang w:val="en-US" w:eastAsia="zh-CN"/>
              </w:rPr>
              <w:t>并根据中标人报价的下浮系数计算出最终的结算价格</w:t>
            </w:r>
            <w:r>
              <w:rPr>
                <w:rFonts w:hint="eastAsia" w:eastAsia="宋体"/>
                <w:color w:val="auto"/>
                <w:highlight w:val="none"/>
                <w:lang w:eastAsia="zh-CN"/>
              </w:rPr>
              <w:t>，所定价格不能高于市场询价的最高价。结算价格=学生营养改善计划食材价格询价议价小组定价×（1-中标优惠率）</w:t>
            </w:r>
            <w:r>
              <w:rPr>
                <w:rFonts w:hint="eastAsia" w:ascii="Times New Roman" w:hAnsi="Times New Roman" w:eastAsia="宋体" w:cs="Times New Roman"/>
                <w:color w:val="auto"/>
                <w:highlight w:val="none"/>
                <w:lang w:val="en-US" w:eastAsia="zh-CN"/>
              </w:rPr>
              <w:t>。</w:t>
            </w:r>
          </w:p>
        </w:tc>
      </w:tr>
      <w:tr w14:paraId="5EB7CC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676" w:type="dxa"/>
            <w:gridSpan w:val="3"/>
            <w:tcBorders>
              <w:top w:val="single" w:color="auto" w:sz="4" w:space="0"/>
              <w:left w:val="single" w:color="auto" w:sz="4" w:space="0"/>
              <w:bottom w:val="single" w:color="auto" w:sz="4" w:space="0"/>
              <w:right w:val="single" w:color="auto" w:sz="4" w:space="0"/>
            </w:tcBorders>
            <w:noWrap w:val="0"/>
            <w:vAlign w:val="center"/>
          </w:tcPr>
          <w:p w14:paraId="4FE1FDB8">
            <w:pPr>
              <w:spacing w:line="360" w:lineRule="auto"/>
              <w:jc w:val="center"/>
              <w:rPr>
                <w:rFonts w:hint="eastAsia"/>
                <w:b/>
                <w:bCs/>
                <w:color w:val="auto"/>
                <w:highlight w:val="none"/>
                <w:lang w:eastAsia="zh-CN"/>
              </w:rPr>
            </w:pPr>
            <w:r>
              <w:rPr>
                <w:rFonts w:hint="eastAsia"/>
                <w:b w:val="0"/>
                <w:bCs w:val="0"/>
                <w:color w:val="auto"/>
                <w:highlight w:val="none"/>
                <w:lang w:eastAsia="zh-CN"/>
              </w:rPr>
              <w:t>履约保证金</w:t>
            </w:r>
          </w:p>
        </w:tc>
        <w:tc>
          <w:tcPr>
            <w:tcW w:w="6670" w:type="dxa"/>
            <w:gridSpan w:val="2"/>
            <w:tcBorders>
              <w:top w:val="single" w:color="auto" w:sz="4" w:space="0"/>
              <w:left w:val="single" w:color="auto" w:sz="4" w:space="0"/>
              <w:bottom w:val="single" w:color="auto" w:sz="4" w:space="0"/>
              <w:right w:val="single" w:color="auto" w:sz="4" w:space="0"/>
            </w:tcBorders>
            <w:noWrap w:val="0"/>
            <w:vAlign w:val="center"/>
          </w:tcPr>
          <w:p w14:paraId="4106110E">
            <w:pPr>
              <w:spacing w:line="360" w:lineRule="auto"/>
              <w:jc w:val="both"/>
              <w:rPr>
                <w:rFonts w:hint="eastAsia"/>
                <w:b/>
                <w:bCs/>
                <w:color w:val="auto"/>
                <w:highlight w:val="none"/>
                <w:lang w:eastAsia="zh-CN"/>
              </w:rPr>
            </w:pPr>
            <w:r>
              <w:rPr>
                <w:rFonts w:hint="eastAsia" w:ascii="宋体" w:hAnsi="宋体"/>
                <w:b/>
                <w:bCs/>
                <w:color w:val="auto"/>
                <w:szCs w:val="21"/>
                <w:highlight w:val="none"/>
                <w:lang w:val="en-US" w:eastAsia="zh-CN"/>
              </w:rPr>
              <w:t>履约保证金金额：按合同暂定价的1.0 %计取。</w:t>
            </w:r>
            <w:r>
              <w:rPr>
                <w:rFonts w:hint="eastAsia" w:ascii="宋体" w:hAnsi="宋体" w:cs="Courier New"/>
                <w:b/>
                <w:bCs w:val="0"/>
                <w:color w:val="auto"/>
                <w:szCs w:val="21"/>
                <w:highlight w:val="none"/>
                <w:lang w:eastAsia="zh-CN"/>
              </w:rPr>
              <w:t>合同暂定价</w:t>
            </w:r>
            <w:r>
              <w:rPr>
                <w:rFonts w:hint="eastAsia" w:ascii="宋体" w:hAnsi="宋体" w:cs="Courier New"/>
                <w:b/>
                <w:bCs w:val="0"/>
                <w:color w:val="auto"/>
                <w:szCs w:val="21"/>
                <w:highlight w:val="none"/>
              </w:rPr>
              <w:t>=预算价×</w:t>
            </w:r>
            <w:r>
              <w:rPr>
                <w:rFonts w:hint="eastAsia" w:ascii="宋体" w:hAnsi="宋体" w:cs="Courier New"/>
                <w:b/>
                <w:bCs w:val="0"/>
                <w:color w:val="auto"/>
                <w:szCs w:val="21"/>
                <w:highlight w:val="none"/>
                <w:lang w:eastAsia="zh-CN"/>
              </w:rPr>
              <w:t>（</w:t>
            </w:r>
            <w:r>
              <w:rPr>
                <w:rFonts w:hint="eastAsia" w:ascii="宋体" w:hAnsi="宋体" w:cs="Courier New"/>
                <w:b/>
                <w:bCs w:val="0"/>
                <w:color w:val="auto"/>
                <w:szCs w:val="21"/>
                <w:highlight w:val="none"/>
                <w:lang w:val="en-US" w:eastAsia="zh-CN"/>
              </w:rPr>
              <w:t>1-中标优惠率</w:t>
            </w:r>
            <w:r>
              <w:rPr>
                <w:rFonts w:hint="eastAsia" w:ascii="宋体" w:hAnsi="宋体" w:cs="Courier New"/>
                <w:b/>
                <w:bCs w:val="0"/>
                <w:color w:val="auto"/>
                <w:szCs w:val="21"/>
                <w:highlight w:val="none"/>
                <w:lang w:eastAsia="zh-CN"/>
              </w:rPr>
              <w:t>）。</w:t>
            </w:r>
          </w:p>
        </w:tc>
      </w:tr>
      <w:tr w14:paraId="763948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65" w:hRule="atLeast"/>
          <w:jc w:val="center"/>
        </w:trPr>
        <w:tc>
          <w:tcPr>
            <w:tcW w:w="2676" w:type="dxa"/>
            <w:gridSpan w:val="3"/>
            <w:tcBorders>
              <w:top w:val="single" w:color="auto" w:sz="4" w:space="0"/>
              <w:left w:val="single" w:color="auto" w:sz="4" w:space="0"/>
              <w:bottom w:val="single" w:color="auto" w:sz="4" w:space="0"/>
              <w:right w:val="single" w:color="auto" w:sz="4" w:space="0"/>
            </w:tcBorders>
            <w:noWrap w:val="0"/>
            <w:vAlign w:val="center"/>
          </w:tcPr>
          <w:p w14:paraId="613C5FAA">
            <w:pPr>
              <w:spacing w:line="360" w:lineRule="auto"/>
              <w:jc w:val="center"/>
              <w:rPr>
                <w:rFonts w:hint="eastAsia"/>
                <w:b/>
                <w:bCs/>
                <w:caps w:val="0"/>
                <w:color w:val="auto"/>
                <w:highlight w:val="none"/>
                <w:lang w:eastAsia="zh-CN"/>
              </w:rPr>
            </w:pPr>
            <w:r>
              <w:rPr>
                <w:rFonts w:hint="eastAsia"/>
                <w:b w:val="0"/>
                <w:bCs w:val="0"/>
                <w:caps w:val="0"/>
                <w:color w:val="auto"/>
                <w:highlight w:val="none"/>
                <w:lang w:eastAsia="zh-CN"/>
              </w:rPr>
              <w:t>付款方式</w:t>
            </w:r>
          </w:p>
        </w:tc>
        <w:tc>
          <w:tcPr>
            <w:tcW w:w="6670" w:type="dxa"/>
            <w:gridSpan w:val="2"/>
            <w:tcBorders>
              <w:top w:val="single" w:color="auto" w:sz="4" w:space="0"/>
              <w:left w:val="single" w:color="auto" w:sz="4" w:space="0"/>
              <w:bottom w:val="single" w:color="auto" w:sz="4" w:space="0"/>
              <w:right w:val="single" w:color="auto" w:sz="4" w:space="0"/>
            </w:tcBorders>
            <w:noWrap w:val="0"/>
            <w:vAlign w:val="center"/>
          </w:tcPr>
          <w:p w14:paraId="0E1D641E">
            <w:pPr>
              <w:spacing w:line="420" w:lineRule="exact"/>
              <w:ind w:firstLine="420" w:firstLineChars="200"/>
              <w:jc w:val="both"/>
              <w:rPr>
                <w:rFonts w:hint="eastAsia" w:ascii="宋体" w:hAnsi="宋体" w:eastAsia="宋体" w:cs="宋体"/>
                <w:caps w:val="0"/>
                <w:color w:val="auto"/>
                <w:sz w:val="21"/>
                <w:szCs w:val="21"/>
                <w:highlight w:val="none"/>
              </w:rPr>
            </w:pPr>
            <w:r>
              <w:rPr>
                <w:rFonts w:hint="eastAsia" w:ascii="宋体" w:hAnsi="宋体" w:eastAsia="宋体" w:cs="宋体"/>
                <w:caps w:val="0"/>
                <w:color w:val="auto"/>
                <w:sz w:val="21"/>
                <w:szCs w:val="21"/>
                <w:highlight w:val="none"/>
                <w:lang w:val="en-US" w:eastAsia="zh-CN"/>
              </w:rPr>
              <w:t>1.付款方式：</w:t>
            </w:r>
            <w:r>
              <w:rPr>
                <w:rFonts w:hint="eastAsia" w:ascii="宋体" w:hAnsi="宋体" w:eastAsia="宋体" w:cs="宋体"/>
                <w:color w:val="auto"/>
                <w:sz w:val="21"/>
                <w:szCs w:val="21"/>
                <w:highlight w:val="none"/>
              </w:rPr>
              <w:t>结算方式为月结，营养餐费用由甲方按照各学校指定签收人签收的货物数据（和乙方签发的货物数据相符的原则）结算给乙方</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乙方于次月5日前凭采购人指定签收人签字的签收单办理款项结算手续并出具正规发票给</w:t>
            </w:r>
            <w:r>
              <w:rPr>
                <w:rFonts w:hint="eastAsia" w:ascii="宋体" w:hAnsi="宋体" w:eastAsia="宋体" w:cs="宋体"/>
                <w:color w:val="auto"/>
                <w:sz w:val="21"/>
                <w:szCs w:val="21"/>
                <w:highlight w:val="none"/>
                <w:lang w:val="en-US" w:eastAsia="zh-CN"/>
              </w:rPr>
              <w:t>甲方</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甲方收到乙方发票后统计汇总月度资金额，并于3个工作日内向区财政申请资金划拨，学校在财政拨付资金到位后3个工作日内通过对公账户结清上月货款。每学期</w:t>
            </w:r>
            <w:r>
              <w:rPr>
                <w:rFonts w:hint="eastAsia" w:ascii="宋体" w:hAnsi="宋体" w:eastAsia="宋体" w:cs="宋体"/>
                <w:color w:val="auto"/>
                <w:sz w:val="21"/>
                <w:szCs w:val="21"/>
                <w:highlight w:val="none"/>
              </w:rPr>
              <w:t>结束前一个月，甲方和乙方做好发货数和实际食用数的核对工作，</w:t>
            </w:r>
            <w:r>
              <w:rPr>
                <w:rFonts w:hint="eastAsia" w:ascii="宋体" w:hAnsi="宋体" w:eastAsia="宋体" w:cs="宋体"/>
                <w:color w:val="auto"/>
                <w:sz w:val="21"/>
                <w:szCs w:val="21"/>
                <w:highlight w:val="none"/>
                <w:lang w:val="en-US" w:eastAsia="zh-CN"/>
              </w:rPr>
              <w:t>要求达到每生每天不低于5元。</w:t>
            </w:r>
            <w:r>
              <w:rPr>
                <w:rFonts w:hint="eastAsia" w:ascii="宋体" w:hAnsi="宋体" w:eastAsia="宋体" w:cs="宋体"/>
                <w:color w:val="auto"/>
                <w:sz w:val="21"/>
                <w:szCs w:val="21"/>
                <w:highlight w:val="none"/>
              </w:rPr>
              <w:t>不足的货物数量</w:t>
            </w:r>
            <w:r>
              <w:rPr>
                <w:rFonts w:hint="eastAsia" w:ascii="宋体" w:hAnsi="宋体" w:eastAsia="宋体" w:cs="宋体"/>
                <w:color w:val="auto"/>
                <w:sz w:val="21"/>
                <w:szCs w:val="21"/>
                <w:highlight w:val="none"/>
                <w:lang w:val="en-US" w:eastAsia="zh-CN"/>
              </w:rPr>
              <w:t>按甲方的</w:t>
            </w:r>
            <w:r>
              <w:rPr>
                <w:rFonts w:hint="eastAsia" w:ascii="宋体" w:hAnsi="宋体" w:eastAsia="宋体" w:cs="宋体"/>
                <w:color w:val="auto"/>
                <w:sz w:val="21"/>
                <w:szCs w:val="21"/>
                <w:highlight w:val="none"/>
              </w:rPr>
              <w:t>实际</w:t>
            </w:r>
            <w:r>
              <w:rPr>
                <w:rFonts w:hint="eastAsia" w:ascii="宋体" w:hAnsi="宋体" w:eastAsia="宋体" w:cs="宋体"/>
                <w:color w:val="auto"/>
                <w:sz w:val="21"/>
                <w:szCs w:val="21"/>
                <w:highlight w:val="none"/>
                <w:lang w:val="en-US" w:eastAsia="zh-CN"/>
              </w:rPr>
              <w:t>需求决定是否需要补足</w:t>
            </w:r>
            <w:r>
              <w:rPr>
                <w:rFonts w:hint="eastAsia" w:ascii="宋体" w:hAnsi="宋体" w:eastAsia="宋体" w:cs="宋体"/>
                <w:color w:val="auto"/>
                <w:sz w:val="21"/>
                <w:szCs w:val="21"/>
                <w:highlight w:val="none"/>
              </w:rPr>
              <w:t>，甲方不负责乙方发货数多过合同规定的数量及产生的货款。</w:t>
            </w:r>
          </w:p>
          <w:p w14:paraId="6D7EBA79">
            <w:pPr>
              <w:spacing w:line="360" w:lineRule="auto"/>
              <w:ind w:firstLine="422" w:firstLineChars="200"/>
              <w:jc w:val="both"/>
              <w:rPr>
                <w:rFonts w:hint="eastAsia" w:ascii="宋体" w:hAnsi="宋体"/>
                <w:b/>
                <w:bCs/>
                <w:caps w:val="0"/>
                <w:color w:val="auto"/>
                <w:szCs w:val="21"/>
                <w:highlight w:val="none"/>
                <w:lang w:val="en-US" w:eastAsia="zh-CN"/>
              </w:rPr>
            </w:pPr>
            <w:r>
              <w:rPr>
                <w:rFonts w:hint="eastAsia" w:ascii="宋体" w:hAnsi="宋体" w:eastAsia="宋体" w:cs="宋体"/>
                <w:b/>
                <w:bCs/>
                <w:caps w:val="0"/>
                <w:color w:val="auto"/>
                <w:sz w:val="21"/>
                <w:szCs w:val="21"/>
                <w:highlight w:val="none"/>
                <w:lang w:val="en-US" w:eastAsia="zh-CN"/>
              </w:rPr>
              <w:t>2.结算价格=</w:t>
            </w:r>
            <w:r>
              <w:rPr>
                <w:rFonts w:hint="eastAsia" w:ascii="宋体" w:hAnsi="宋体" w:eastAsia="宋体" w:cs="宋体"/>
                <w:b/>
                <w:bCs/>
                <w:caps w:val="0"/>
                <w:color w:val="auto"/>
                <w:sz w:val="21"/>
                <w:szCs w:val="21"/>
                <w:highlight w:val="none"/>
              </w:rPr>
              <w:t>学生营养改善计划食材价格询价议价小组</w:t>
            </w:r>
            <w:r>
              <w:rPr>
                <w:rFonts w:hint="eastAsia" w:ascii="宋体" w:hAnsi="宋体" w:eastAsia="宋体" w:cs="宋体"/>
                <w:b/>
                <w:bCs/>
                <w:caps w:val="0"/>
                <w:color w:val="auto"/>
                <w:sz w:val="21"/>
                <w:szCs w:val="21"/>
                <w:highlight w:val="none"/>
                <w:lang w:val="en-US" w:eastAsia="zh-CN"/>
              </w:rPr>
              <w:t>定价×（1-中标优惠率）。</w:t>
            </w:r>
          </w:p>
        </w:tc>
      </w:tr>
      <w:tr w14:paraId="45B42B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5" w:hRule="atLeast"/>
          <w:jc w:val="center"/>
        </w:trPr>
        <w:tc>
          <w:tcPr>
            <w:tcW w:w="2676" w:type="dxa"/>
            <w:gridSpan w:val="3"/>
            <w:tcBorders>
              <w:top w:val="single" w:color="auto" w:sz="4" w:space="0"/>
              <w:left w:val="single" w:color="auto" w:sz="4" w:space="0"/>
              <w:bottom w:val="single" w:color="auto" w:sz="4" w:space="0"/>
              <w:right w:val="single" w:color="auto" w:sz="4" w:space="0"/>
            </w:tcBorders>
            <w:noWrap w:val="0"/>
            <w:vAlign w:val="center"/>
          </w:tcPr>
          <w:p w14:paraId="75FE3CF3">
            <w:pPr>
              <w:spacing w:line="360" w:lineRule="auto"/>
              <w:jc w:val="center"/>
              <w:rPr>
                <w:rFonts w:hint="eastAsia"/>
                <w:b/>
                <w:bCs/>
                <w:caps w:val="0"/>
                <w:color w:val="auto"/>
                <w:highlight w:val="none"/>
                <w:lang w:eastAsia="zh-CN"/>
              </w:rPr>
            </w:pPr>
            <w:r>
              <w:rPr>
                <w:rFonts w:hint="eastAsia" w:ascii="宋体" w:hAnsi="宋体"/>
                <w:b w:val="0"/>
                <w:bCs w:val="0"/>
                <w:caps w:val="0"/>
                <w:color w:val="auto"/>
                <w:szCs w:val="21"/>
                <w:highlight w:val="none"/>
              </w:rPr>
              <w:t>其他要求</w:t>
            </w:r>
          </w:p>
        </w:tc>
        <w:tc>
          <w:tcPr>
            <w:tcW w:w="6670" w:type="dxa"/>
            <w:gridSpan w:val="2"/>
            <w:tcBorders>
              <w:top w:val="single" w:color="auto" w:sz="4" w:space="0"/>
              <w:left w:val="single" w:color="auto" w:sz="4" w:space="0"/>
              <w:bottom w:val="single" w:color="auto" w:sz="4" w:space="0"/>
              <w:right w:val="single" w:color="auto" w:sz="4" w:space="0"/>
            </w:tcBorders>
            <w:noWrap w:val="0"/>
            <w:vAlign w:val="center"/>
          </w:tcPr>
          <w:p w14:paraId="69676D51">
            <w:pPr>
              <w:spacing w:line="360" w:lineRule="auto"/>
              <w:ind w:firstLine="422" w:firstLineChars="200"/>
              <w:jc w:val="left"/>
              <w:rPr>
                <w:rFonts w:hint="eastAsia" w:ascii="宋体" w:hAnsi="宋体" w:eastAsia="宋体" w:cs="宋体"/>
                <w:b/>
                <w:bCs/>
                <w:caps w:val="0"/>
                <w:color w:val="auto"/>
                <w:sz w:val="21"/>
                <w:szCs w:val="21"/>
                <w:highlight w:val="none"/>
                <w:lang w:val="en-US" w:eastAsia="zh-CN"/>
              </w:rPr>
            </w:pPr>
            <w:r>
              <w:rPr>
                <w:rFonts w:hint="eastAsia" w:ascii="Times New Roman" w:hAnsi="宋体" w:eastAsia="宋体" w:cs="Times New Roman"/>
                <w:b/>
                <w:bCs/>
                <w:caps w:val="0"/>
                <w:color w:val="auto"/>
                <w:highlight w:val="none"/>
                <w:lang w:val="en-US" w:eastAsia="zh-CN"/>
              </w:rPr>
              <w:t>1</w:t>
            </w:r>
            <w:r>
              <w:rPr>
                <w:rFonts w:hint="eastAsia" w:ascii="Times New Roman" w:hAnsi="宋体" w:eastAsia="宋体" w:cs="Times New Roman"/>
                <w:b/>
                <w:bCs/>
                <w:caps w:val="0"/>
                <w:color w:val="auto"/>
                <w:highlight w:val="none"/>
                <w:lang w:eastAsia="zh-CN"/>
              </w:rPr>
              <w:t>.投标人必须充分了解</w:t>
            </w:r>
            <w:r>
              <w:rPr>
                <w:rFonts w:hint="eastAsia" w:ascii="宋体" w:hAnsi="宋体" w:eastAsia="宋体" w:cs="宋体"/>
                <w:b/>
                <w:bCs/>
                <w:caps w:val="0"/>
                <w:color w:val="auto"/>
                <w:sz w:val="21"/>
                <w:szCs w:val="21"/>
                <w:highlight w:val="none"/>
                <w:lang w:val="en-US" w:eastAsia="zh-CN"/>
              </w:rPr>
              <w:t>的</w:t>
            </w:r>
            <w:r>
              <w:rPr>
                <w:rFonts w:hint="eastAsia" w:ascii="Times New Roman" w:hAnsi="宋体" w:eastAsia="宋体" w:cs="宋体"/>
                <w:b/>
                <w:bCs/>
                <w:caps w:val="0"/>
                <w:color w:val="auto"/>
                <w:kern w:val="0"/>
                <w:sz w:val="21"/>
                <w:szCs w:val="21"/>
                <w:highlight w:val="none"/>
                <w:lang w:val="en-US" w:eastAsia="zh-CN" w:bidi="ar-SA"/>
              </w:rPr>
              <w:t>投标及合同风险</w:t>
            </w:r>
            <w:r>
              <w:rPr>
                <w:rFonts w:hint="eastAsia" w:ascii="宋体" w:hAnsi="宋体" w:eastAsia="宋体" w:cs="宋体"/>
                <w:b/>
                <w:bCs/>
                <w:caps w:val="0"/>
                <w:color w:val="auto"/>
                <w:sz w:val="21"/>
                <w:szCs w:val="21"/>
                <w:highlight w:val="none"/>
                <w:lang w:val="en-US" w:eastAsia="zh-CN"/>
              </w:rPr>
              <w:t>：</w:t>
            </w:r>
          </w:p>
          <w:p w14:paraId="0F98292C">
            <w:pPr>
              <w:spacing w:line="360" w:lineRule="auto"/>
              <w:ind w:firstLine="422" w:firstLineChars="200"/>
              <w:jc w:val="left"/>
              <w:rPr>
                <w:rFonts w:hint="eastAsia" w:ascii="宋体" w:hAnsi="宋体" w:eastAsia="宋体" w:cs="宋体"/>
                <w:b/>
                <w:bCs/>
                <w:caps w:val="0"/>
                <w:color w:val="auto"/>
                <w:sz w:val="21"/>
                <w:szCs w:val="21"/>
                <w:highlight w:val="none"/>
                <w:lang w:val="en-US" w:eastAsia="zh-CN"/>
              </w:rPr>
            </w:pPr>
            <w:r>
              <w:rPr>
                <w:rFonts w:hint="eastAsia" w:ascii="宋体" w:hAnsi="宋体" w:eastAsia="宋体" w:cs="宋体"/>
                <w:b/>
                <w:bCs/>
                <w:caps w:val="0"/>
                <w:color w:val="auto"/>
                <w:sz w:val="21"/>
                <w:szCs w:val="21"/>
                <w:highlight w:val="none"/>
                <w:lang w:val="en-US" w:eastAsia="zh-CN"/>
              </w:rPr>
              <w:t>（1）本项目内容为食品采购、存储及配送服务，实施地点为防城港市防城区的</w:t>
            </w:r>
            <w:r>
              <w:rPr>
                <w:rFonts w:hint="eastAsia" w:ascii="宋体" w:hAnsi="宋体" w:eastAsia="宋体" w:cs="宋体"/>
                <w:b/>
                <w:bCs/>
                <w:caps w:val="0"/>
                <w:color w:val="auto"/>
                <w:sz w:val="21"/>
                <w:szCs w:val="21"/>
                <w:highlight w:val="none"/>
                <w:u w:val="single"/>
                <w:lang w:val="en-US" w:eastAsia="zh-CN"/>
              </w:rPr>
              <w:t>峒中镇、那良镇、水营街道、滩营乡、十万山乡、小峰场、大菉镇、扶隆镇</w:t>
            </w:r>
            <w:r>
              <w:rPr>
                <w:rFonts w:hint="eastAsia" w:ascii="宋体" w:hAnsi="宋体" w:eastAsia="宋体" w:cs="宋体"/>
                <w:b/>
                <w:bCs/>
                <w:caps w:val="0"/>
                <w:color w:val="auto"/>
                <w:sz w:val="21"/>
                <w:szCs w:val="21"/>
                <w:highlight w:val="none"/>
                <w:lang w:val="en-US" w:eastAsia="zh-CN"/>
              </w:rPr>
              <w:t>的村屯学校，服务范围包含数八所学校约3300多名学生的营养食品配送，项目的采购、存储、配送等工作量大，琐碎，供应商必须保障各学校每天所需食材按时、保质、保量配送到位，且食品安全是重中之重。</w:t>
            </w:r>
          </w:p>
          <w:p w14:paraId="21AFA598">
            <w:pPr>
              <w:spacing w:line="360" w:lineRule="auto"/>
              <w:ind w:firstLine="422" w:firstLineChars="200"/>
              <w:jc w:val="left"/>
              <w:rPr>
                <w:rFonts w:hint="eastAsia" w:ascii="宋体" w:hAnsi="宋体" w:eastAsia="宋体" w:cs="宋体"/>
                <w:b/>
                <w:bCs/>
                <w:caps w:val="0"/>
                <w:color w:val="auto"/>
                <w:sz w:val="21"/>
                <w:szCs w:val="21"/>
                <w:highlight w:val="none"/>
                <w:lang w:val="en-US" w:eastAsia="zh-CN"/>
              </w:rPr>
            </w:pPr>
            <w:r>
              <w:rPr>
                <w:rFonts w:hint="eastAsia" w:ascii="宋体" w:hAnsi="宋体" w:eastAsia="宋体" w:cs="宋体"/>
                <w:b/>
                <w:bCs/>
                <w:caps w:val="0"/>
                <w:color w:val="auto"/>
                <w:sz w:val="21"/>
                <w:szCs w:val="21"/>
                <w:highlight w:val="none"/>
                <w:lang w:val="en-US" w:eastAsia="zh-CN"/>
              </w:rPr>
              <w:t>（2）本项目需配送的绝大多数学校为偏远区域乡镇学校，各学校互相之间的距离远近不一，最远的相距有数十公里或近百公里路程，道路情况比较复杂。</w:t>
            </w:r>
          </w:p>
          <w:p w14:paraId="7A670D16">
            <w:pPr>
              <w:spacing w:line="360" w:lineRule="auto"/>
              <w:ind w:firstLine="422" w:firstLineChars="200"/>
              <w:jc w:val="left"/>
              <w:rPr>
                <w:rFonts w:hint="eastAsia" w:ascii="宋体" w:hAnsi="宋体" w:eastAsia="宋体" w:cs="宋体"/>
                <w:b/>
                <w:bCs/>
                <w:caps w:val="0"/>
                <w:color w:val="auto"/>
                <w:sz w:val="21"/>
                <w:szCs w:val="21"/>
                <w:highlight w:val="none"/>
                <w:lang w:val="en-US" w:eastAsia="zh-CN"/>
              </w:rPr>
            </w:pPr>
            <w:r>
              <w:rPr>
                <w:rFonts w:hint="eastAsia" w:ascii="宋体" w:hAnsi="宋体" w:eastAsia="宋体" w:cs="宋体"/>
                <w:b/>
                <w:bCs/>
                <w:caps w:val="0"/>
                <w:color w:val="auto"/>
                <w:sz w:val="21"/>
                <w:szCs w:val="21"/>
                <w:highlight w:val="none"/>
                <w:lang w:val="en-US" w:eastAsia="zh-CN"/>
              </w:rPr>
              <w:t>（3）投标人应自行考量本项目实施的现实情况再进行投标，必要时投标前可自行进行现场踏勘，投标报价时须考虑投标风险，合理报价。现场踏勘咨询招标人联系方式：甲世斌；0770-3251870。</w:t>
            </w:r>
          </w:p>
          <w:p w14:paraId="2CA8E4D7">
            <w:pPr>
              <w:spacing w:line="360" w:lineRule="auto"/>
              <w:ind w:firstLine="422" w:firstLineChars="200"/>
              <w:jc w:val="left"/>
              <w:rPr>
                <w:rFonts w:hint="eastAsia" w:ascii="宋体" w:hAnsi="宋体" w:eastAsia="宋体"/>
                <w:b w:val="0"/>
                <w:bCs/>
                <w:caps w:val="0"/>
                <w:color w:val="auto"/>
                <w:szCs w:val="21"/>
                <w:highlight w:val="none"/>
                <w:lang w:eastAsia="zh-CN"/>
              </w:rPr>
            </w:pPr>
            <w:r>
              <w:rPr>
                <w:rFonts w:hint="eastAsia" w:ascii="宋体" w:hAnsi="宋体" w:eastAsia="宋体" w:cs="宋体"/>
                <w:b/>
                <w:bCs/>
                <w:caps w:val="0"/>
                <w:color w:val="auto"/>
                <w:sz w:val="21"/>
                <w:szCs w:val="21"/>
                <w:highlight w:val="none"/>
                <w:lang w:val="en-US" w:eastAsia="zh-CN"/>
              </w:rPr>
              <w:t>（4）</w:t>
            </w:r>
            <w:r>
              <w:rPr>
                <w:rFonts w:hint="eastAsia" w:hAnsi="宋体" w:cs="宋体"/>
                <w:b/>
                <w:bCs/>
                <w:caps w:val="0"/>
                <w:color w:val="auto"/>
                <w:sz w:val="21"/>
                <w:szCs w:val="21"/>
                <w:highlight w:val="none"/>
                <w:lang w:eastAsia="zh-CN"/>
              </w:rPr>
              <w:t>本项目合同履行期限为202</w:t>
            </w:r>
            <w:r>
              <w:rPr>
                <w:rFonts w:hint="eastAsia" w:hAnsi="宋体" w:cs="宋体"/>
                <w:b/>
                <w:bCs/>
                <w:caps w:val="0"/>
                <w:color w:val="auto"/>
                <w:sz w:val="21"/>
                <w:szCs w:val="21"/>
                <w:highlight w:val="none"/>
                <w:lang w:val="en-US" w:eastAsia="zh-CN"/>
              </w:rPr>
              <w:t>5</w:t>
            </w:r>
            <w:r>
              <w:rPr>
                <w:rFonts w:hint="eastAsia" w:hAnsi="宋体" w:cs="宋体"/>
                <w:b/>
                <w:bCs/>
                <w:caps w:val="0"/>
                <w:color w:val="auto"/>
                <w:sz w:val="21"/>
                <w:szCs w:val="21"/>
                <w:highlight w:val="none"/>
                <w:lang w:eastAsia="zh-CN"/>
              </w:rPr>
              <w:t>年秋季学期至202</w:t>
            </w:r>
            <w:r>
              <w:rPr>
                <w:rFonts w:hint="eastAsia" w:hAnsi="宋体" w:cs="宋体"/>
                <w:b/>
                <w:bCs/>
                <w:caps w:val="0"/>
                <w:color w:val="auto"/>
                <w:sz w:val="21"/>
                <w:szCs w:val="21"/>
                <w:highlight w:val="none"/>
                <w:lang w:val="en-US" w:eastAsia="zh-CN"/>
              </w:rPr>
              <w:t>6</w:t>
            </w:r>
            <w:r>
              <w:rPr>
                <w:rFonts w:hint="eastAsia" w:hAnsi="宋体" w:cs="宋体"/>
                <w:b/>
                <w:bCs/>
                <w:caps w:val="0"/>
                <w:color w:val="auto"/>
                <w:sz w:val="21"/>
                <w:szCs w:val="21"/>
                <w:highlight w:val="none"/>
                <w:lang w:eastAsia="zh-CN"/>
              </w:rPr>
              <w:t>年春季学期，</w:t>
            </w:r>
            <w:r>
              <w:rPr>
                <w:rFonts w:hint="eastAsia" w:ascii="宋体" w:hAnsi="宋体" w:eastAsia="宋体" w:cs="宋体"/>
                <w:b/>
                <w:bCs/>
                <w:caps w:val="0"/>
                <w:color w:val="auto"/>
                <w:sz w:val="21"/>
                <w:szCs w:val="21"/>
                <w:highlight w:val="none"/>
              </w:rPr>
              <w:t>合同</w:t>
            </w:r>
            <w:r>
              <w:rPr>
                <w:rFonts w:hint="eastAsia" w:hAnsi="宋体" w:cs="宋体"/>
                <w:b/>
                <w:bCs/>
                <w:caps w:val="0"/>
                <w:color w:val="auto"/>
                <w:sz w:val="21"/>
                <w:szCs w:val="21"/>
                <w:highlight w:val="none"/>
                <w:lang w:eastAsia="zh-CN"/>
              </w:rPr>
              <w:t>签订后</w:t>
            </w:r>
            <w:r>
              <w:rPr>
                <w:rFonts w:hint="eastAsia" w:ascii="宋体" w:hAnsi="宋体" w:eastAsia="宋体" w:cs="宋体"/>
                <w:b/>
                <w:bCs/>
                <w:caps w:val="0"/>
                <w:color w:val="auto"/>
                <w:sz w:val="21"/>
                <w:szCs w:val="21"/>
                <w:highlight w:val="none"/>
              </w:rPr>
              <w:t>，因不可抗力事件</w:t>
            </w:r>
            <w:r>
              <w:rPr>
                <w:rFonts w:hint="eastAsia" w:hAnsi="宋体" w:cs="宋体"/>
                <w:b/>
                <w:bCs/>
                <w:caps w:val="0"/>
                <w:color w:val="auto"/>
                <w:sz w:val="21"/>
                <w:szCs w:val="21"/>
                <w:highlight w:val="none"/>
                <w:lang w:eastAsia="zh-CN"/>
              </w:rPr>
              <w:t>（如受疫情影响延期开学时间）</w:t>
            </w:r>
            <w:r>
              <w:rPr>
                <w:rFonts w:hint="eastAsia" w:ascii="宋体" w:hAnsi="宋体" w:eastAsia="宋体" w:cs="宋体"/>
                <w:b/>
                <w:bCs/>
                <w:caps w:val="0"/>
                <w:color w:val="auto"/>
                <w:sz w:val="21"/>
                <w:szCs w:val="21"/>
                <w:highlight w:val="none"/>
              </w:rPr>
              <w:t>导致</w:t>
            </w:r>
            <w:r>
              <w:rPr>
                <w:rFonts w:hint="eastAsia" w:hAnsi="宋体" w:eastAsia="宋体" w:cs="宋体"/>
                <w:b/>
                <w:bCs/>
                <w:caps w:val="0"/>
                <w:color w:val="auto"/>
                <w:sz w:val="21"/>
                <w:szCs w:val="21"/>
                <w:highlight w:val="none"/>
                <w:lang w:eastAsia="zh-CN"/>
              </w:rPr>
              <w:t>中标人</w:t>
            </w:r>
            <w:r>
              <w:rPr>
                <w:rFonts w:hint="eastAsia" w:hAnsi="宋体" w:cs="宋体"/>
                <w:b/>
                <w:bCs/>
                <w:caps w:val="0"/>
                <w:color w:val="auto"/>
                <w:sz w:val="21"/>
                <w:szCs w:val="21"/>
                <w:highlight w:val="none"/>
                <w:lang w:eastAsia="zh-CN"/>
              </w:rPr>
              <w:t>合同无法</w:t>
            </w:r>
            <w:r>
              <w:rPr>
                <w:rFonts w:hint="eastAsia" w:ascii="宋体" w:hAnsi="宋体" w:eastAsia="宋体" w:cs="宋体"/>
                <w:b/>
                <w:bCs/>
                <w:caps w:val="0"/>
                <w:color w:val="auto"/>
                <w:sz w:val="21"/>
                <w:szCs w:val="21"/>
                <w:highlight w:val="none"/>
              </w:rPr>
              <w:t>履行</w:t>
            </w:r>
            <w:r>
              <w:rPr>
                <w:rFonts w:hint="eastAsia" w:hAnsi="宋体" w:cs="宋体"/>
                <w:b/>
                <w:bCs/>
                <w:caps w:val="0"/>
                <w:color w:val="auto"/>
                <w:sz w:val="21"/>
                <w:szCs w:val="21"/>
                <w:highlight w:val="none"/>
                <w:lang w:eastAsia="zh-CN"/>
              </w:rPr>
              <w:t>或开展，至202</w:t>
            </w:r>
            <w:r>
              <w:rPr>
                <w:rFonts w:hint="eastAsia" w:hAnsi="宋体" w:cs="宋体"/>
                <w:b/>
                <w:bCs/>
                <w:caps w:val="0"/>
                <w:color w:val="auto"/>
                <w:sz w:val="21"/>
                <w:szCs w:val="21"/>
                <w:highlight w:val="none"/>
                <w:lang w:val="en-US" w:eastAsia="zh-CN"/>
              </w:rPr>
              <w:t>6</w:t>
            </w:r>
            <w:r>
              <w:rPr>
                <w:rFonts w:hint="eastAsia" w:hAnsi="宋体" w:cs="宋体"/>
                <w:b/>
                <w:bCs/>
                <w:caps w:val="0"/>
                <w:color w:val="auto"/>
                <w:sz w:val="21"/>
                <w:szCs w:val="21"/>
                <w:highlight w:val="none"/>
                <w:lang w:eastAsia="zh-CN"/>
              </w:rPr>
              <w:t>年春季学期结束，中标人配送的金额不足合同暂定价的</w:t>
            </w:r>
            <w:r>
              <w:rPr>
                <w:rFonts w:hint="eastAsia" w:hAnsi="宋体" w:cs="宋体"/>
                <w:b/>
                <w:bCs/>
                <w:caps w:val="0"/>
                <w:color w:val="auto"/>
                <w:sz w:val="21"/>
                <w:szCs w:val="21"/>
                <w:highlight w:val="none"/>
                <w:lang w:val="en-US" w:eastAsia="zh-CN"/>
              </w:rPr>
              <w:t>60%</w:t>
            </w:r>
            <w:r>
              <w:rPr>
                <w:rFonts w:hint="eastAsia" w:hAnsi="宋体" w:cs="宋体"/>
                <w:b/>
                <w:bCs/>
                <w:caps w:val="0"/>
                <w:color w:val="auto"/>
                <w:sz w:val="21"/>
                <w:szCs w:val="21"/>
                <w:highlight w:val="none"/>
                <w:lang w:eastAsia="zh-CN"/>
              </w:rPr>
              <w:t>的</w:t>
            </w:r>
            <w:r>
              <w:rPr>
                <w:rFonts w:hint="eastAsia" w:ascii="宋体" w:hAnsi="宋体" w:eastAsia="宋体" w:cs="宋体"/>
                <w:b/>
                <w:bCs/>
                <w:caps w:val="0"/>
                <w:color w:val="auto"/>
                <w:sz w:val="21"/>
                <w:szCs w:val="21"/>
                <w:highlight w:val="none"/>
              </w:rPr>
              <w:t>，</w:t>
            </w:r>
            <w:r>
              <w:rPr>
                <w:rFonts w:hint="eastAsia" w:hAnsi="宋体" w:cs="宋体"/>
                <w:b/>
                <w:bCs/>
                <w:caps w:val="0"/>
                <w:color w:val="auto"/>
                <w:sz w:val="21"/>
                <w:szCs w:val="21"/>
                <w:highlight w:val="none"/>
                <w:lang w:eastAsia="zh-CN"/>
              </w:rPr>
              <w:t>经采购人同意，</w:t>
            </w:r>
            <w:r>
              <w:rPr>
                <w:rFonts w:hint="eastAsia" w:ascii="宋体" w:hAnsi="宋体" w:eastAsia="宋体" w:cs="宋体"/>
                <w:b/>
                <w:bCs/>
                <w:caps w:val="0"/>
                <w:color w:val="auto"/>
                <w:sz w:val="21"/>
                <w:szCs w:val="21"/>
                <w:highlight w:val="none"/>
              </w:rPr>
              <w:t>则合同履行</w:t>
            </w:r>
            <w:r>
              <w:rPr>
                <w:rFonts w:hint="eastAsia" w:hAnsi="宋体" w:cs="宋体"/>
                <w:b/>
                <w:bCs/>
                <w:caps w:val="0"/>
                <w:color w:val="auto"/>
                <w:sz w:val="21"/>
                <w:szCs w:val="21"/>
                <w:highlight w:val="none"/>
                <w:lang w:eastAsia="zh-CN"/>
              </w:rPr>
              <w:t>服务期</w:t>
            </w:r>
            <w:r>
              <w:rPr>
                <w:rFonts w:hint="eastAsia" w:ascii="宋体" w:hAnsi="宋体" w:eastAsia="宋体" w:cs="宋体"/>
                <w:b/>
                <w:bCs/>
                <w:caps w:val="0"/>
                <w:color w:val="auto"/>
                <w:sz w:val="21"/>
                <w:szCs w:val="21"/>
                <w:highlight w:val="none"/>
              </w:rPr>
              <w:t>可</w:t>
            </w:r>
            <w:r>
              <w:rPr>
                <w:rFonts w:hint="eastAsia" w:hAnsi="宋体" w:eastAsia="宋体" w:cs="宋体"/>
                <w:b/>
                <w:bCs/>
                <w:caps w:val="0"/>
                <w:color w:val="auto"/>
                <w:sz w:val="21"/>
                <w:szCs w:val="21"/>
                <w:highlight w:val="none"/>
                <w:lang w:eastAsia="zh-CN"/>
              </w:rPr>
              <w:t>延期至</w:t>
            </w:r>
            <w:r>
              <w:rPr>
                <w:rFonts w:hint="eastAsia" w:hAnsi="宋体" w:eastAsia="宋体" w:cs="宋体"/>
                <w:b/>
                <w:bCs/>
                <w:caps w:val="0"/>
                <w:color w:val="auto"/>
                <w:sz w:val="21"/>
                <w:szCs w:val="21"/>
                <w:highlight w:val="none"/>
                <w:lang w:val="en-US" w:eastAsia="zh-CN"/>
              </w:rPr>
              <w:t>2025年秋季学期结束</w:t>
            </w:r>
            <w:r>
              <w:rPr>
                <w:rFonts w:hint="eastAsia" w:hAnsi="宋体" w:cs="宋体"/>
                <w:b/>
                <w:bCs/>
                <w:caps w:val="0"/>
                <w:color w:val="auto"/>
                <w:sz w:val="21"/>
                <w:szCs w:val="21"/>
                <w:highlight w:val="none"/>
                <w:lang w:eastAsia="zh-CN"/>
              </w:rPr>
              <w:t>；如果至202</w:t>
            </w:r>
            <w:r>
              <w:rPr>
                <w:rFonts w:hint="eastAsia" w:hAnsi="宋体" w:cs="宋体"/>
                <w:b/>
                <w:bCs/>
                <w:caps w:val="0"/>
                <w:color w:val="auto"/>
                <w:sz w:val="21"/>
                <w:szCs w:val="21"/>
                <w:highlight w:val="none"/>
                <w:lang w:val="en-US" w:eastAsia="zh-CN"/>
              </w:rPr>
              <w:t>5</w:t>
            </w:r>
            <w:r>
              <w:rPr>
                <w:rFonts w:hint="eastAsia" w:hAnsi="宋体" w:cs="宋体"/>
                <w:b/>
                <w:bCs/>
                <w:caps w:val="0"/>
                <w:color w:val="auto"/>
                <w:sz w:val="21"/>
                <w:szCs w:val="21"/>
                <w:highlight w:val="none"/>
                <w:lang w:eastAsia="zh-CN"/>
              </w:rPr>
              <w:t>年春季学期结束，中标人配送的金额已经达到合同暂定价的</w:t>
            </w:r>
            <w:r>
              <w:rPr>
                <w:rFonts w:hint="eastAsia" w:hAnsi="宋体" w:cs="宋体"/>
                <w:b/>
                <w:bCs/>
                <w:caps w:val="0"/>
                <w:color w:val="auto"/>
                <w:sz w:val="21"/>
                <w:szCs w:val="21"/>
                <w:highlight w:val="none"/>
                <w:lang w:val="en-US" w:eastAsia="zh-CN"/>
              </w:rPr>
              <w:t>60%</w:t>
            </w:r>
            <w:r>
              <w:rPr>
                <w:rFonts w:hint="eastAsia" w:ascii="宋体" w:hAnsi="宋体" w:eastAsia="宋体" w:cs="宋体"/>
                <w:b/>
                <w:bCs/>
                <w:caps w:val="0"/>
                <w:color w:val="auto"/>
                <w:sz w:val="21"/>
                <w:szCs w:val="21"/>
                <w:highlight w:val="none"/>
                <w:lang w:eastAsia="zh-CN"/>
              </w:rPr>
              <w:t>及以上，则合同按期终止，</w:t>
            </w:r>
            <w:r>
              <w:rPr>
                <w:rFonts w:hint="eastAsia" w:hAnsi="宋体" w:cs="宋体"/>
                <w:b/>
                <w:bCs/>
                <w:caps w:val="0"/>
                <w:color w:val="auto"/>
                <w:sz w:val="21"/>
                <w:szCs w:val="21"/>
                <w:highlight w:val="none"/>
                <w:lang w:eastAsia="zh-CN"/>
              </w:rPr>
              <w:t>不做任何延期。</w:t>
            </w:r>
            <w:r>
              <w:rPr>
                <w:rFonts w:hint="eastAsia" w:ascii="Times New Roman" w:hAnsi="宋体" w:eastAsia="宋体" w:cs="宋体"/>
                <w:b/>
                <w:bCs/>
                <w:caps w:val="0"/>
                <w:color w:val="auto"/>
                <w:sz w:val="21"/>
                <w:szCs w:val="21"/>
                <w:highlight w:val="none"/>
                <w:lang w:val="en-US" w:eastAsia="zh-CN"/>
              </w:rPr>
              <w:t>投标人应自行考虑合同履约风险后再进行投标。</w:t>
            </w:r>
          </w:p>
          <w:p w14:paraId="51B0A1E7">
            <w:pPr>
              <w:pStyle w:val="6"/>
              <w:spacing w:line="360" w:lineRule="auto"/>
              <w:ind w:firstLine="422" w:firstLineChars="200"/>
              <w:rPr>
                <w:rFonts w:hint="eastAsia" w:ascii="宋体" w:hAnsi="宋体" w:eastAsia="宋体" w:cs="宋体"/>
                <w:b/>
                <w:bCs/>
                <w:caps w:val="0"/>
                <w:color w:val="auto"/>
                <w:sz w:val="21"/>
                <w:szCs w:val="21"/>
                <w:highlight w:val="none"/>
                <w:lang w:val="en-US" w:eastAsia="zh-CN"/>
              </w:rPr>
            </w:pPr>
            <w:r>
              <w:rPr>
                <w:rFonts w:hint="eastAsia" w:ascii="宋体" w:hAnsi="宋体" w:eastAsia="宋体" w:cs="宋体"/>
                <w:b/>
                <w:bCs/>
                <w:caps w:val="0"/>
                <w:color w:val="auto"/>
                <w:sz w:val="21"/>
                <w:szCs w:val="21"/>
                <w:highlight w:val="none"/>
                <w:lang w:val="en-US" w:eastAsia="zh-CN"/>
              </w:rPr>
              <w:t>2.配送时间计划、场所及运输等配送条件要求</w:t>
            </w:r>
          </w:p>
          <w:p w14:paraId="7EFE9AEA">
            <w:pPr>
              <w:pStyle w:val="6"/>
              <w:spacing w:line="360" w:lineRule="auto"/>
              <w:ind w:firstLine="422" w:firstLineChars="200"/>
              <w:rPr>
                <w:rFonts w:hint="eastAsia" w:ascii="宋体" w:hAnsi="宋体" w:cs="宋体"/>
                <w:b/>
                <w:bCs/>
                <w:caps w:val="0"/>
                <w:color w:val="auto"/>
                <w:sz w:val="21"/>
                <w:szCs w:val="21"/>
                <w:highlight w:val="none"/>
                <w:lang w:val="en-US" w:eastAsia="zh-CN"/>
              </w:rPr>
            </w:pPr>
            <w:r>
              <w:rPr>
                <w:rFonts w:hint="eastAsia" w:ascii="宋体" w:hAnsi="宋体" w:eastAsia="宋体" w:cs="宋体"/>
                <w:b/>
                <w:bCs/>
                <w:caps w:val="0"/>
                <w:color w:val="auto"/>
                <w:sz w:val="21"/>
                <w:szCs w:val="21"/>
                <w:highlight w:val="none"/>
                <w:lang w:val="en-US" w:eastAsia="zh-CN"/>
              </w:rPr>
              <w:t>要求开学前配送到位，为了保证食品卫生安全质量，中标人须在配送前（最迟15日内）在中标区域范围完备基本的配送条件。即：（1）</w:t>
            </w:r>
            <w:r>
              <w:rPr>
                <w:rFonts w:hint="eastAsia" w:ascii="宋体" w:hAnsi="宋体" w:cs="宋体"/>
                <w:b/>
                <w:bCs/>
                <w:caps w:val="0"/>
                <w:color w:val="auto"/>
                <w:sz w:val="21"/>
                <w:szCs w:val="21"/>
                <w:highlight w:val="none"/>
                <w:lang w:val="en-US" w:eastAsia="zh-CN"/>
              </w:rPr>
              <w:t>必须能满足本项目范围的足够面积的配送专用仓储场所，应当有分类存储区（储存温度等条件按照标准执行）；（2）必须能满足本项目范围的足够数量的配送运输车辆，应有</w:t>
            </w:r>
            <w:r>
              <w:rPr>
                <w:rFonts w:hint="eastAsia" w:ascii="宋体" w:hAnsi="宋体" w:cs="宋体"/>
                <w:b/>
                <w:bCs/>
                <w:caps w:val="0"/>
                <w:color w:val="auto"/>
                <w:sz w:val="21"/>
                <w:szCs w:val="21"/>
                <w:highlight w:val="none"/>
              </w:rPr>
              <w:t>食品运送专用</w:t>
            </w:r>
            <w:r>
              <w:rPr>
                <w:rFonts w:hint="eastAsia" w:ascii="宋体" w:hAnsi="宋体" w:cs="宋体"/>
                <w:b/>
                <w:bCs/>
                <w:caps w:val="0"/>
                <w:color w:val="auto"/>
                <w:sz w:val="21"/>
                <w:szCs w:val="21"/>
                <w:highlight w:val="none"/>
                <w:lang w:val="en-US" w:eastAsia="zh-CN"/>
              </w:rPr>
              <w:t>的</w:t>
            </w:r>
            <w:r>
              <w:rPr>
                <w:rFonts w:hint="eastAsia" w:ascii="宋体" w:hAnsi="宋体" w:cs="宋体"/>
                <w:b/>
                <w:bCs/>
                <w:caps w:val="0"/>
                <w:color w:val="auto"/>
                <w:sz w:val="21"/>
                <w:szCs w:val="21"/>
                <w:highlight w:val="none"/>
              </w:rPr>
              <w:t>厢式车辆</w:t>
            </w:r>
            <w:r>
              <w:rPr>
                <w:rFonts w:hint="eastAsia" w:ascii="宋体" w:hAnsi="宋体" w:cs="宋体"/>
                <w:b/>
                <w:bCs/>
                <w:caps w:val="0"/>
                <w:color w:val="auto"/>
                <w:sz w:val="21"/>
                <w:szCs w:val="21"/>
                <w:highlight w:val="none"/>
                <w:lang w:eastAsia="zh-CN"/>
              </w:rPr>
              <w:t>，</w:t>
            </w:r>
            <w:r>
              <w:rPr>
                <w:rFonts w:hint="eastAsia" w:ascii="宋体" w:hAnsi="宋体" w:cs="宋体"/>
                <w:b/>
                <w:bCs/>
                <w:caps w:val="0"/>
                <w:color w:val="auto"/>
                <w:sz w:val="21"/>
                <w:szCs w:val="21"/>
                <w:highlight w:val="none"/>
                <w:lang w:val="en-US" w:eastAsia="zh-CN"/>
              </w:rPr>
              <w:t>合理的配送路线；</w:t>
            </w:r>
            <w:r>
              <w:rPr>
                <w:rFonts w:hint="eastAsia" w:ascii="宋体" w:hAnsi="宋体" w:cs="宋体"/>
                <w:b/>
                <w:bCs/>
                <w:caps w:val="0"/>
                <w:color w:val="auto"/>
                <w:sz w:val="21"/>
                <w:szCs w:val="21"/>
                <w:highlight w:val="none"/>
                <w:lang w:eastAsia="zh-CN"/>
              </w:rPr>
              <w:t>（</w:t>
            </w:r>
            <w:r>
              <w:rPr>
                <w:rFonts w:hint="eastAsia" w:ascii="宋体" w:hAnsi="宋体" w:cs="宋体"/>
                <w:b/>
                <w:bCs/>
                <w:caps w:val="0"/>
                <w:color w:val="auto"/>
                <w:sz w:val="21"/>
                <w:szCs w:val="21"/>
                <w:highlight w:val="none"/>
                <w:lang w:val="en-US" w:eastAsia="zh-CN"/>
              </w:rPr>
              <w:t>3</w:t>
            </w:r>
            <w:r>
              <w:rPr>
                <w:rFonts w:hint="eastAsia" w:ascii="宋体" w:hAnsi="宋体" w:cs="宋体"/>
                <w:b/>
                <w:bCs/>
                <w:caps w:val="0"/>
                <w:color w:val="auto"/>
                <w:sz w:val="21"/>
                <w:szCs w:val="21"/>
                <w:highlight w:val="none"/>
                <w:lang w:eastAsia="zh-CN"/>
              </w:rPr>
              <w:t>）</w:t>
            </w:r>
            <w:r>
              <w:rPr>
                <w:rFonts w:hint="eastAsia" w:ascii="宋体" w:hAnsi="宋体" w:cs="宋体"/>
                <w:b/>
                <w:bCs/>
                <w:caps w:val="0"/>
                <w:color w:val="auto"/>
                <w:sz w:val="21"/>
                <w:szCs w:val="21"/>
                <w:highlight w:val="none"/>
                <w:lang w:val="en-US" w:eastAsia="zh-CN"/>
              </w:rPr>
              <w:t>通过采购人配送条件检查和验收。</w:t>
            </w:r>
          </w:p>
          <w:p w14:paraId="720E5D2D">
            <w:pPr>
              <w:pStyle w:val="6"/>
              <w:spacing w:line="360" w:lineRule="auto"/>
              <w:rPr>
                <w:rFonts w:hint="eastAsia" w:ascii="宋体" w:hAnsi="宋体" w:eastAsia="宋体" w:cs="宋体"/>
                <w:b/>
                <w:bCs/>
                <w:caps w:val="0"/>
                <w:color w:val="auto"/>
                <w:sz w:val="21"/>
                <w:szCs w:val="21"/>
                <w:highlight w:val="none"/>
                <w:lang w:val="en-US" w:eastAsia="zh-CN"/>
              </w:rPr>
            </w:pPr>
            <w:r>
              <w:rPr>
                <w:rFonts w:hint="eastAsia" w:ascii="宋体" w:hAnsi="宋体" w:cs="宋体"/>
                <w:b/>
                <w:bCs/>
                <w:caps w:val="0"/>
                <w:color w:val="auto"/>
                <w:sz w:val="21"/>
                <w:szCs w:val="21"/>
                <w:highlight w:val="none"/>
                <w:lang w:val="en-US" w:eastAsia="zh-CN"/>
              </w:rPr>
              <w:t>备注：如因本项目定标时间推迟、合同签订时间推迟，中标人无法确保在开学前</w:t>
            </w:r>
            <w:r>
              <w:rPr>
                <w:rFonts w:hint="eastAsia" w:ascii="宋体" w:hAnsi="宋体" w:eastAsia="宋体" w:cs="宋体"/>
                <w:b/>
                <w:bCs/>
                <w:caps w:val="0"/>
                <w:color w:val="auto"/>
                <w:sz w:val="21"/>
                <w:szCs w:val="21"/>
                <w:highlight w:val="none"/>
                <w:lang w:val="en-US" w:eastAsia="zh-CN"/>
              </w:rPr>
              <w:t>正常配送的，由中标人向采购人书面说明，采购人同意后确定具体配送时间，但推迟配送的时间不得超过中标通知书发出后20日。</w:t>
            </w:r>
          </w:p>
          <w:p w14:paraId="76981301">
            <w:pPr>
              <w:pStyle w:val="6"/>
              <w:spacing w:line="360" w:lineRule="auto"/>
              <w:rPr>
                <w:rFonts w:hint="default" w:ascii="宋体" w:hAnsi="宋体" w:cs="宋体"/>
                <w:b/>
                <w:bCs/>
                <w:caps w:val="0"/>
                <w:color w:val="auto"/>
                <w:sz w:val="21"/>
                <w:szCs w:val="21"/>
                <w:highlight w:val="none"/>
                <w:lang w:val="en-US" w:eastAsia="zh-CN"/>
              </w:rPr>
            </w:pPr>
            <w:r>
              <w:rPr>
                <w:rFonts w:hint="eastAsia" w:ascii="宋体" w:hAnsi="宋体" w:cs="宋体"/>
                <w:b/>
                <w:bCs/>
                <w:caps w:val="0"/>
                <w:color w:val="auto"/>
                <w:sz w:val="21"/>
                <w:szCs w:val="21"/>
                <w:highlight w:val="none"/>
                <w:lang w:val="en-US" w:eastAsia="zh-CN"/>
              </w:rPr>
              <w:t>投标人应在投标时提供相关证明资料或者提供具体的落实计划、措施及承诺方案，采购人检查和验收时，将对照中标人的投标文件所提供材料或所提供承诺的内容进行核对检查，不满足配送条件的，视为中标人无法履行合同的违约情形，采购人有权取消其中标资格；属于虚假应标、骗取中标的，采购人同时上报财政监督管理部门通报处理。</w:t>
            </w:r>
          </w:p>
          <w:p w14:paraId="785B239C">
            <w:pPr>
              <w:spacing w:line="360" w:lineRule="auto"/>
              <w:ind w:firstLine="422" w:firstLineChars="200"/>
              <w:jc w:val="left"/>
              <w:rPr>
                <w:rFonts w:hint="eastAsia" w:eastAsia="宋体"/>
                <w:b/>
                <w:bCs/>
                <w:caps w:val="0"/>
                <w:color w:val="auto"/>
                <w:highlight w:val="none"/>
                <w:lang w:eastAsia="zh-CN"/>
              </w:rPr>
            </w:pPr>
            <w:r>
              <w:rPr>
                <w:rFonts w:hint="eastAsia"/>
                <w:b/>
                <w:bCs/>
                <w:caps w:val="0"/>
                <w:color w:val="auto"/>
                <w:highlight w:val="none"/>
                <w:lang w:val="en-US" w:eastAsia="zh-CN"/>
              </w:rPr>
              <w:t>3</w:t>
            </w:r>
            <w:r>
              <w:rPr>
                <w:rFonts w:hint="eastAsia"/>
                <w:b/>
                <w:bCs/>
                <w:caps w:val="0"/>
                <w:color w:val="auto"/>
                <w:highlight w:val="none"/>
                <w:lang w:eastAsia="zh-CN"/>
              </w:rPr>
              <w:t>.合法开展经营活动</w:t>
            </w:r>
          </w:p>
          <w:p w14:paraId="29E7B772">
            <w:pPr>
              <w:spacing w:line="360" w:lineRule="auto"/>
              <w:ind w:firstLine="420" w:firstLineChars="200"/>
              <w:jc w:val="left"/>
              <w:rPr>
                <w:rFonts w:hint="eastAsia" w:ascii="Times New Roman" w:hAnsi="Times New Roman" w:eastAsia="宋体" w:cs="Times New Roman"/>
                <w:caps w:val="0"/>
                <w:color w:val="auto"/>
                <w:highlight w:val="none"/>
              </w:rPr>
            </w:pPr>
            <w:r>
              <w:rPr>
                <w:rFonts w:hint="eastAsia"/>
                <w:caps w:val="0"/>
                <w:color w:val="auto"/>
                <w:highlight w:val="none"/>
              </w:rPr>
              <w:t>投标人中标后必须按相关法律法规合法开展本项目经营活动，否则将报送采购监管部门进行处理。如对招标人造成损失的，招标人可依法追究其相应责任。排名第一的中标候选人放弃中标</w:t>
            </w:r>
            <w:r>
              <w:rPr>
                <w:rFonts w:hint="eastAsia"/>
                <w:caps w:val="0"/>
                <w:color w:val="auto"/>
                <w:highlight w:val="none"/>
                <w:lang w:eastAsia="zh-CN"/>
              </w:rPr>
              <w:t>或</w:t>
            </w:r>
            <w:r>
              <w:rPr>
                <w:rFonts w:hint="eastAsia"/>
                <w:caps w:val="0"/>
                <w:color w:val="auto"/>
                <w:highlight w:val="none"/>
              </w:rPr>
              <w:t>因不可抗力提出不能履行合同，或者招标文件规定应当提交履约保证金而在规定的期限内未能提交的，招标人可以确定评标排名第二的中标候选人为中标人。排名第二的中标候选人因前款规定的同样原因不能签订合同的，招标人可以确定排名第三的中标候选人为中标人，其余以此类推，也可以重新招标。</w:t>
            </w:r>
          </w:p>
          <w:p w14:paraId="2CAC4729">
            <w:pPr>
              <w:numPr>
                <w:ilvl w:val="0"/>
                <w:numId w:val="0"/>
              </w:numPr>
              <w:spacing w:line="360" w:lineRule="auto"/>
              <w:ind w:firstLine="422" w:firstLineChars="200"/>
              <w:jc w:val="left"/>
              <w:rPr>
                <w:rFonts w:hint="eastAsia" w:ascii="Times New Roman" w:hAnsi="Times New Roman" w:eastAsia="宋体" w:cs="Times New Roman"/>
                <w:b/>
                <w:bCs/>
                <w:caps w:val="0"/>
                <w:color w:val="auto"/>
                <w:highlight w:val="none"/>
              </w:rPr>
            </w:pPr>
            <w:r>
              <w:rPr>
                <w:rFonts w:hint="eastAsia" w:ascii="Times New Roman" w:hAnsi="Times New Roman" w:eastAsia="宋体" w:cs="Times New Roman"/>
                <w:b/>
                <w:bCs/>
                <w:caps w:val="0"/>
                <w:color w:val="auto"/>
                <w:highlight w:val="none"/>
                <w:lang w:val="en-US" w:eastAsia="zh-CN"/>
              </w:rPr>
              <w:t>4.</w:t>
            </w:r>
            <w:r>
              <w:rPr>
                <w:rFonts w:hint="eastAsia" w:ascii="Times New Roman" w:hAnsi="Times New Roman" w:eastAsia="宋体" w:cs="Times New Roman"/>
                <w:b/>
                <w:bCs/>
                <w:caps w:val="0"/>
                <w:color w:val="auto"/>
                <w:highlight w:val="none"/>
              </w:rPr>
              <w:t>中标人履约期间，如有以下情形之一的，将报采购监管部门进行处置：</w:t>
            </w:r>
          </w:p>
          <w:p w14:paraId="5BFBE94D">
            <w:pPr>
              <w:numPr>
                <w:ilvl w:val="0"/>
                <w:numId w:val="0"/>
              </w:numPr>
              <w:spacing w:line="360" w:lineRule="auto"/>
              <w:ind w:firstLine="420" w:firstLineChars="200"/>
              <w:jc w:val="left"/>
              <w:rPr>
                <w:rFonts w:hint="eastAsia" w:ascii="Times New Roman" w:hAnsi="Times New Roman" w:eastAsia="宋体" w:cs="Times New Roman"/>
                <w:caps w:val="0"/>
                <w:color w:val="auto"/>
                <w:highlight w:val="none"/>
              </w:rPr>
            </w:pPr>
            <w:r>
              <w:rPr>
                <w:rFonts w:hint="eastAsia" w:ascii="Times New Roman" w:hAnsi="Times New Roman" w:eastAsia="宋体" w:cs="Times New Roman"/>
                <w:caps w:val="0"/>
                <w:color w:val="auto"/>
                <w:highlight w:val="none"/>
              </w:rPr>
              <w:t>（1）严重违法违规，被食品安全监管部门或其他部门处罚的；</w:t>
            </w:r>
          </w:p>
          <w:p w14:paraId="2FFDDE3A">
            <w:pPr>
              <w:spacing w:line="360" w:lineRule="auto"/>
              <w:ind w:firstLine="420" w:firstLineChars="200"/>
              <w:jc w:val="left"/>
              <w:rPr>
                <w:rFonts w:hint="eastAsia" w:ascii="Times New Roman" w:hAnsi="Times New Roman" w:eastAsia="宋体" w:cs="Times New Roman"/>
                <w:caps w:val="0"/>
                <w:color w:val="auto"/>
                <w:highlight w:val="none"/>
              </w:rPr>
            </w:pPr>
            <w:r>
              <w:rPr>
                <w:rFonts w:hint="eastAsia" w:ascii="Times New Roman" w:hAnsi="Times New Roman" w:eastAsia="宋体" w:cs="Times New Roman"/>
                <w:caps w:val="0"/>
                <w:color w:val="auto"/>
                <w:highlight w:val="none"/>
              </w:rPr>
              <w:t>（2）虚开发票，套取资金，被纪委、监察、审计、财政、物价、教育等有关部门查实的；</w:t>
            </w:r>
          </w:p>
          <w:p w14:paraId="0F6F9CD5">
            <w:pPr>
              <w:spacing w:line="360" w:lineRule="auto"/>
              <w:ind w:firstLine="420" w:firstLineChars="200"/>
              <w:jc w:val="left"/>
              <w:rPr>
                <w:rFonts w:hint="eastAsia" w:ascii="Times New Roman" w:hAnsi="Times New Roman" w:eastAsia="宋体" w:cs="Times New Roman"/>
                <w:caps w:val="0"/>
                <w:color w:val="auto"/>
                <w:highlight w:val="none"/>
              </w:rPr>
            </w:pPr>
            <w:r>
              <w:rPr>
                <w:rFonts w:hint="eastAsia" w:ascii="Times New Roman" w:hAnsi="Times New Roman" w:eastAsia="宋体" w:cs="Times New Roman"/>
                <w:caps w:val="0"/>
                <w:color w:val="auto"/>
                <w:highlight w:val="none"/>
              </w:rPr>
              <w:t>（3）因食品原材料问题而发生学校食品安全事故，造成不良后果的；</w:t>
            </w:r>
          </w:p>
          <w:p w14:paraId="2FFDA33B">
            <w:pPr>
              <w:spacing w:line="360" w:lineRule="auto"/>
              <w:ind w:firstLine="420" w:firstLineChars="200"/>
              <w:jc w:val="left"/>
              <w:rPr>
                <w:rFonts w:hint="eastAsia" w:ascii="Times New Roman" w:hAnsi="Times New Roman" w:eastAsia="宋体" w:cs="Times New Roman"/>
                <w:caps w:val="0"/>
                <w:color w:val="auto"/>
                <w:highlight w:val="none"/>
              </w:rPr>
            </w:pPr>
            <w:r>
              <w:rPr>
                <w:rFonts w:hint="eastAsia" w:ascii="Times New Roman" w:hAnsi="Times New Roman" w:eastAsia="宋体" w:cs="Times New Roman"/>
                <w:caps w:val="0"/>
                <w:color w:val="auto"/>
                <w:highlight w:val="none"/>
              </w:rPr>
              <w:t>（4）被食品药品监督局、农业局抽检食品原材料发现存在严重质量问题的；</w:t>
            </w:r>
          </w:p>
          <w:p w14:paraId="08E7E898">
            <w:pPr>
              <w:spacing w:line="360" w:lineRule="auto"/>
              <w:ind w:firstLine="420" w:firstLineChars="200"/>
              <w:jc w:val="left"/>
              <w:rPr>
                <w:rFonts w:hint="eastAsia" w:ascii="Times New Roman" w:hAnsi="Times New Roman" w:eastAsia="宋体" w:cs="Times New Roman"/>
                <w:caps w:val="0"/>
                <w:color w:val="auto"/>
                <w:highlight w:val="none"/>
              </w:rPr>
            </w:pPr>
            <w:r>
              <w:rPr>
                <w:rFonts w:hint="eastAsia" w:ascii="Times New Roman" w:hAnsi="Times New Roman" w:eastAsia="宋体" w:cs="Times New Roman"/>
                <w:caps w:val="0"/>
                <w:color w:val="auto"/>
                <w:highlight w:val="none"/>
              </w:rPr>
              <w:t>（5）被媒体曝光，造成不良社会影响的；</w:t>
            </w:r>
          </w:p>
          <w:p w14:paraId="79A01D55">
            <w:pPr>
              <w:spacing w:line="360" w:lineRule="auto"/>
              <w:ind w:firstLine="420" w:firstLineChars="200"/>
              <w:jc w:val="left"/>
              <w:rPr>
                <w:rFonts w:hint="eastAsia" w:ascii="Times New Roman" w:hAnsi="Times New Roman" w:eastAsia="宋体" w:cs="Times New Roman"/>
                <w:caps w:val="0"/>
                <w:color w:val="auto"/>
                <w:highlight w:val="none"/>
              </w:rPr>
            </w:pPr>
            <w:r>
              <w:rPr>
                <w:rFonts w:hint="eastAsia" w:ascii="Times New Roman" w:hAnsi="Times New Roman" w:eastAsia="宋体" w:cs="Times New Roman"/>
                <w:caps w:val="0"/>
                <w:color w:val="auto"/>
                <w:highlight w:val="none"/>
              </w:rPr>
              <w:t>（6）被吊销或注销食品生产许可证或者食品经营许可证的；</w:t>
            </w:r>
          </w:p>
          <w:p w14:paraId="643AA9BF">
            <w:pPr>
              <w:spacing w:line="360" w:lineRule="auto"/>
              <w:ind w:firstLine="420" w:firstLineChars="200"/>
              <w:jc w:val="left"/>
              <w:rPr>
                <w:rFonts w:hint="eastAsia" w:ascii="Times New Roman" w:hAnsi="Times New Roman" w:eastAsia="宋体" w:cs="Times New Roman"/>
                <w:caps w:val="0"/>
                <w:color w:val="auto"/>
                <w:highlight w:val="none"/>
              </w:rPr>
            </w:pPr>
            <w:r>
              <w:rPr>
                <w:rFonts w:hint="eastAsia" w:ascii="Times New Roman" w:hAnsi="Times New Roman" w:eastAsia="宋体" w:cs="Times New Roman"/>
                <w:caps w:val="0"/>
                <w:color w:val="auto"/>
                <w:highlight w:val="none"/>
              </w:rPr>
              <w:t>（7）存在严重短斤缺两行为的；</w:t>
            </w:r>
          </w:p>
          <w:p w14:paraId="70D68325">
            <w:pPr>
              <w:spacing w:line="360" w:lineRule="auto"/>
              <w:ind w:firstLine="420" w:firstLineChars="200"/>
              <w:jc w:val="left"/>
              <w:rPr>
                <w:rFonts w:hint="eastAsia" w:ascii="Times New Roman" w:hAnsi="Times New Roman" w:eastAsia="宋体" w:cs="Times New Roman"/>
                <w:caps w:val="0"/>
                <w:color w:val="auto"/>
                <w:highlight w:val="none"/>
              </w:rPr>
            </w:pPr>
            <w:r>
              <w:rPr>
                <w:rFonts w:hint="eastAsia" w:ascii="Times New Roman" w:hAnsi="Times New Roman" w:eastAsia="宋体" w:cs="Times New Roman"/>
                <w:caps w:val="0"/>
                <w:color w:val="auto"/>
                <w:highlight w:val="none"/>
              </w:rPr>
              <w:t>（8）</w:t>
            </w:r>
            <w:r>
              <w:rPr>
                <w:rFonts w:hint="eastAsia" w:ascii="Times New Roman" w:hAnsi="Times New Roman" w:eastAsia="宋体" w:cs="Times New Roman"/>
                <w:caps w:val="0"/>
                <w:color w:val="auto"/>
                <w:highlight w:val="none"/>
                <w:lang w:val="en-US" w:eastAsia="zh-CN"/>
              </w:rPr>
              <w:t>配送的</w:t>
            </w:r>
            <w:r>
              <w:rPr>
                <w:rFonts w:hint="eastAsia" w:ascii="Times New Roman" w:hAnsi="Times New Roman" w:eastAsia="宋体" w:cs="Times New Roman"/>
                <w:caps w:val="0"/>
                <w:color w:val="auto"/>
                <w:highlight w:val="none"/>
              </w:rPr>
              <w:t>学校评议</w:t>
            </w:r>
            <w:r>
              <w:rPr>
                <w:rFonts w:hint="eastAsia" w:ascii="Times New Roman" w:hAnsi="Times New Roman" w:eastAsia="宋体" w:cs="Times New Roman"/>
                <w:caps w:val="0"/>
                <w:color w:val="auto"/>
                <w:highlight w:val="none"/>
                <w:lang w:val="en-US" w:eastAsia="zh-CN"/>
              </w:rPr>
              <w:t>配送服务不达标、</w:t>
            </w:r>
            <w:r>
              <w:rPr>
                <w:rFonts w:hint="eastAsia" w:ascii="Times New Roman" w:hAnsi="Times New Roman" w:eastAsia="宋体" w:cs="Times New Roman"/>
                <w:caps w:val="0"/>
                <w:color w:val="auto"/>
                <w:highlight w:val="none"/>
              </w:rPr>
              <w:t>不合格的；</w:t>
            </w:r>
          </w:p>
          <w:p w14:paraId="505DB6B5">
            <w:pPr>
              <w:spacing w:line="360" w:lineRule="auto"/>
              <w:ind w:firstLine="420" w:firstLineChars="200"/>
              <w:jc w:val="left"/>
              <w:rPr>
                <w:rFonts w:hint="eastAsia" w:ascii="Times New Roman" w:hAnsi="Times New Roman" w:eastAsia="宋体" w:cs="Times New Roman"/>
                <w:caps w:val="0"/>
                <w:color w:val="auto"/>
                <w:highlight w:val="none"/>
                <w:lang w:val="en-US" w:eastAsia="zh-CN"/>
              </w:rPr>
            </w:pPr>
            <w:r>
              <w:rPr>
                <w:rFonts w:hint="eastAsia" w:ascii="Times New Roman" w:hAnsi="Times New Roman" w:eastAsia="宋体" w:cs="Times New Roman"/>
                <w:caps w:val="0"/>
                <w:color w:val="auto"/>
                <w:highlight w:val="none"/>
              </w:rPr>
              <w:t>（9）</w:t>
            </w:r>
            <w:r>
              <w:rPr>
                <w:rFonts w:hint="eastAsia" w:ascii="Times New Roman" w:hAnsi="Times New Roman" w:eastAsia="宋体" w:cs="Times New Roman"/>
                <w:caps w:val="0"/>
                <w:color w:val="auto"/>
                <w:highlight w:val="none"/>
                <w:lang w:val="en-US" w:eastAsia="zh-CN"/>
              </w:rPr>
              <w:t>经</w:t>
            </w:r>
            <w:r>
              <w:rPr>
                <w:rFonts w:hint="eastAsia" w:ascii="Times New Roman" w:hAnsi="Times New Roman" w:eastAsia="宋体" w:cs="Times New Roman"/>
                <w:caps w:val="0"/>
                <w:color w:val="auto"/>
                <w:highlight w:val="none"/>
              </w:rPr>
              <w:t>行政主管部门认定违反学校食堂食品原材料采购配送规定的。</w:t>
            </w:r>
          </w:p>
          <w:p w14:paraId="4ADC2EAF">
            <w:pPr>
              <w:spacing w:line="360" w:lineRule="auto"/>
              <w:ind w:firstLine="422" w:firstLineChars="200"/>
              <w:jc w:val="both"/>
              <w:rPr>
                <w:rFonts w:hint="eastAsia" w:ascii="宋体" w:hAnsi="宋体" w:eastAsia="宋体" w:cs="宋体"/>
                <w:b/>
                <w:bCs/>
                <w:caps w:val="0"/>
                <w:color w:val="auto"/>
                <w:sz w:val="21"/>
                <w:szCs w:val="21"/>
                <w:highlight w:val="none"/>
                <w:lang w:val="en-US" w:eastAsia="zh-CN"/>
              </w:rPr>
            </w:pPr>
            <w:r>
              <w:rPr>
                <w:rFonts w:hint="eastAsia" w:ascii="宋体" w:hAnsi="宋体" w:eastAsia="宋体" w:cs="Times New Roman"/>
                <w:b/>
                <w:bCs/>
                <w:caps w:val="0"/>
                <w:color w:val="auto"/>
                <w:sz w:val="21"/>
                <w:highlight w:val="none"/>
                <w:lang w:val="en-US" w:eastAsia="zh-CN"/>
              </w:rPr>
              <w:t>5.中标人中标后与采购人签订合同时，必须由中标人的法定代表人或委托代理人到采购单位现场签订，否则不予签订政府采购合同。</w:t>
            </w:r>
          </w:p>
        </w:tc>
      </w:tr>
      <w:tr w14:paraId="5ECB32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346" w:type="dxa"/>
            <w:gridSpan w:val="5"/>
            <w:tcBorders>
              <w:top w:val="single" w:color="auto" w:sz="4" w:space="0"/>
              <w:left w:val="single" w:color="auto" w:sz="4" w:space="0"/>
              <w:bottom w:val="single" w:color="auto" w:sz="4" w:space="0"/>
              <w:right w:val="single" w:color="auto" w:sz="4" w:space="0"/>
            </w:tcBorders>
            <w:noWrap w:val="0"/>
            <w:vAlign w:val="center"/>
          </w:tcPr>
          <w:p w14:paraId="523EC176">
            <w:pPr>
              <w:spacing w:line="360" w:lineRule="auto"/>
              <w:jc w:val="both"/>
              <w:rPr>
                <w:rFonts w:hint="eastAsia" w:ascii="宋体" w:hAnsi="宋体"/>
                <w:b/>
                <w:caps w:val="0"/>
                <w:color w:val="auto"/>
                <w:szCs w:val="21"/>
                <w:highlight w:val="none"/>
              </w:rPr>
            </w:pPr>
            <w:r>
              <w:rPr>
                <w:rFonts w:hint="eastAsia" w:ascii="宋体" w:hAnsi="宋体"/>
                <w:b/>
                <w:caps w:val="0"/>
                <w:color w:val="auto"/>
                <w:szCs w:val="21"/>
                <w:highlight w:val="none"/>
              </w:rPr>
              <w:t>▲</w:t>
            </w:r>
            <w:r>
              <w:rPr>
                <w:rFonts w:hint="eastAsia" w:ascii="宋体" w:hAnsi="宋体"/>
                <w:b/>
                <w:caps w:val="0"/>
                <w:color w:val="auto"/>
                <w:szCs w:val="21"/>
                <w:highlight w:val="none"/>
                <w:lang w:val="en-US" w:eastAsia="zh-CN"/>
              </w:rPr>
              <w:t>四</w:t>
            </w:r>
            <w:r>
              <w:rPr>
                <w:rFonts w:hint="eastAsia" w:ascii="宋体" w:hAnsi="宋体"/>
                <w:b/>
                <w:caps w:val="0"/>
                <w:color w:val="auto"/>
                <w:szCs w:val="21"/>
                <w:highlight w:val="none"/>
              </w:rPr>
              <w:t>、核心产品</w:t>
            </w:r>
          </w:p>
        </w:tc>
      </w:tr>
      <w:tr w14:paraId="78545A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346" w:type="dxa"/>
            <w:gridSpan w:val="5"/>
            <w:tcBorders>
              <w:top w:val="single" w:color="auto" w:sz="4" w:space="0"/>
              <w:left w:val="single" w:color="auto" w:sz="4" w:space="0"/>
              <w:bottom w:val="single" w:color="auto" w:sz="4" w:space="0"/>
              <w:right w:val="single" w:color="auto" w:sz="4" w:space="0"/>
            </w:tcBorders>
            <w:noWrap w:val="0"/>
            <w:vAlign w:val="center"/>
          </w:tcPr>
          <w:p w14:paraId="05B08A57">
            <w:pPr>
              <w:spacing w:line="360" w:lineRule="auto"/>
              <w:ind w:firstLine="422" w:firstLineChars="200"/>
              <w:jc w:val="both"/>
              <w:rPr>
                <w:rFonts w:hint="eastAsia" w:ascii="宋体" w:hAnsi="宋体"/>
                <w:b/>
                <w:caps w:val="0"/>
                <w:color w:val="auto"/>
                <w:szCs w:val="21"/>
                <w:highlight w:val="none"/>
              </w:rPr>
            </w:pPr>
            <w:r>
              <w:rPr>
                <w:rFonts w:hint="eastAsia" w:ascii="宋体" w:hAnsi="宋体"/>
                <w:b/>
                <w:caps w:val="0"/>
                <w:color w:val="auto"/>
                <w:szCs w:val="21"/>
                <w:highlight w:val="none"/>
                <w:lang w:val="en-US" w:eastAsia="zh-CN"/>
              </w:rPr>
              <w:t>1.</w:t>
            </w:r>
            <w:r>
              <w:rPr>
                <w:rFonts w:hint="eastAsia" w:ascii="宋体" w:hAnsi="宋体"/>
                <w:b/>
                <w:caps w:val="0"/>
                <w:color w:val="auto"/>
                <w:szCs w:val="21"/>
                <w:highlight w:val="none"/>
              </w:rPr>
              <w:t>本表的核心产品为第</w:t>
            </w:r>
            <w:r>
              <w:rPr>
                <w:rFonts w:hint="eastAsia" w:ascii="宋体" w:hAnsi="宋体"/>
                <w:b/>
                <w:caps w:val="0"/>
                <w:color w:val="auto"/>
                <w:szCs w:val="21"/>
                <w:highlight w:val="none"/>
                <w:u w:val="single"/>
                <w:lang w:val="en-US" w:eastAsia="zh-CN"/>
              </w:rPr>
              <w:t>1</w:t>
            </w:r>
            <w:r>
              <w:rPr>
                <w:rFonts w:hint="eastAsia" w:ascii="宋体" w:hAnsi="宋体"/>
                <w:b/>
                <w:caps w:val="0"/>
                <w:color w:val="auto"/>
                <w:szCs w:val="21"/>
                <w:highlight w:val="none"/>
              </w:rPr>
              <w:t>项</w:t>
            </w:r>
            <w:r>
              <w:rPr>
                <w:rFonts w:hint="eastAsia" w:ascii="宋体" w:hAnsi="宋体" w:eastAsia="宋体" w:cs="Times New Roman"/>
                <w:b/>
                <w:bCs/>
                <w:caps w:val="0"/>
                <w:color w:val="auto"/>
                <w:highlight w:val="none"/>
              </w:rPr>
              <w:t>“</w:t>
            </w:r>
            <w:r>
              <w:rPr>
                <w:rFonts w:hint="eastAsia" w:ascii="宋体" w:hAnsi="宋体"/>
                <w:b/>
                <w:caps w:val="0"/>
                <w:color w:val="auto"/>
                <w:kern w:val="0"/>
                <w:highlight w:val="none"/>
                <w:lang w:val="en-US" w:eastAsia="zh-CN"/>
              </w:rPr>
              <w:t>牛奶</w:t>
            </w:r>
            <w:r>
              <w:rPr>
                <w:rFonts w:hint="eastAsia" w:ascii="宋体" w:hAnsi="宋体" w:eastAsia="宋体" w:cs="Times New Roman"/>
                <w:b/>
                <w:bCs/>
                <w:caps w:val="0"/>
                <w:color w:val="auto"/>
                <w:highlight w:val="none"/>
              </w:rPr>
              <w:t>”</w:t>
            </w:r>
            <w:r>
              <w:rPr>
                <w:rFonts w:hint="eastAsia" w:ascii="宋体" w:hAnsi="宋体"/>
                <w:b/>
                <w:caps w:val="0"/>
                <w:color w:val="auto"/>
                <w:szCs w:val="21"/>
                <w:highlight w:val="none"/>
              </w:rPr>
              <w:t>产品。</w:t>
            </w:r>
          </w:p>
          <w:p w14:paraId="454A6F04">
            <w:pPr>
              <w:spacing w:line="360" w:lineRule="auto"/>
              <w:ind w:firstLine="422" w:firstLineChars="200"/>
              <w:jc w:val="both"/>
              <w:rPr>
                <w:rFonts w:hint="eastAsia" w:ascii="宋体" w:hAnsi="宋体"/>
                <w:b/>
                <w:caps w:val="0"/>
                <w:color w:val="auto"/>
                <w:szCs w:val="21"/>
                <w:highlight w:val="none"/>
              </w:rPr>
            </w:pPr>
            <w:r>
              <w:rPr>
                <w:rFonts w:hint="eastAsia"/>
                <w:b/>
                <w:bCs/>
                <w:caps w:val="0"/>
                <w:color w:val="auto"/>
                <w:highlight w:val="none"/>
                <w:lang w:val="en-US" w:eastAsia="zh-CN"/>
              </w:rPr>
              <w:t xml:space="preserve">2. </w:t>
            </w:r>
            <w:r>
              <w:rPr>
                <w:rFonts w:hint="eastAsia"/>
                <w:b/>
                <w:bCs/>
                <w:caps w:val="0"/>
                <w:color w:val="auto"/>
                <w:highlight w:val="none"/>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tc>
      </w:tr>
      <w:tr w14:paraId="0244F8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346" w:type="dxa"/>
            <w:gridSpan w:val="5"/>
            <w:tcBorders>
              <w:top w:val="single" w:color="auto" w:sz="4" w:space="0"/>
              <w:left w:val="single" w:color="auto" w:sz="4" w:space="0"/>
              <w:bottom w:val="single" w:color="auto" w:sz="4" w:space="0"/>
              <w:right w:val="single" w:color="auto" w:sz="4" w:space="0"/>
            </w:tcBorders>
            <w:noWrap w:val="0"/>
            <w:vAlign w:val="center"/>
          </w:tcPr>
          <w:p w14:paraId="011C3F3D">
            <w:pPr>
              <w:spacing w:line="360" w:lineRule="auto"/>
              <w:jc w:val="both"/>
              <w:rPr>
                <w:rFonts w:ascii="宋体" w:hAnsi="宋体"/>
                <w:caps w:val="0"/>
                <w:color w:val="auto"/>
                <w:szCs w:val="21"/>
                <w:highlight w:val="none"/>
              </w:rPr>
            </w:pPr>
            <w:r>
              <w:rPr>
                <w:rFonts w:hint="eastAsia" w:ascii="宋体" w:hAnsi="宋体"/>
                <w:b/>
                <w:caps w:val="0"/>
                <w:color w:val="auto"/>
                <w:szCs w:val="21"/>
                <w:highlight w:val="none"/>
                <w:lang w:val="en-US" w:eastAsia="zh-CN"/>
              </w:rPr>
              <w:t>五</w:t>
            </w:r>
            <w:r>
              <w:rPr>
                <w:rFonts w:hint="eastAsia" w:ascii="宋体" w:hAnsi="宋体"/>
                <w:b/>
                <w:caps w:val="0"/>
                <w:color w:val="auto"/>
                <w:szCs w:val="21"/>
                <w:highlight w:val="none"/>
              </w:rPr>
              <w:t>、投标人的履约能力要求表</w:t>
            </w:r>
          </w:p>
        </w:tc>
      </w:tr>
      <w:tr w14:paraId="16B08F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676" w:type="dxa"/>
            <w:gridSpan w:val="3"/>
            <w:tcBorders>
              <w:top w:val="single" w:color="auto" w:sz="4" w:space="0"/>
              <w:left w:val="single" w:color="auto" w:sz="4" w:space="0"/>
              <w:bottom w:val="single" w:color="auto" w:sz="4" w:space="0"/>
              <w:right w:val="single" w:color="auto" w:sz="4" w:space="0"/>
            </w:tcBorders>
            <w:noWrap w:val="0"/>
            <w:vAlign w:val="center"/>
          </w:tcPr>
          <w:p w14:paraId="0D977C80">
            <w:pPr>
              <w:spacing w:line="360" w:lineRule="auto"/>
              <w:jc w:val="both"/>
              <w:rPr>
                <w:rFonts w:ascii="宋体" w:hAnsi="宋体"/>
                <w:caps w:val="0"/>
                <w:color w:val="auto"/>
                <w:szCs w:val="21"/>
                <w:highlight w:val="none"/>
              </w:rPr>
            </w:pPr>
            <w:r>
              <w:rPr>
                <w:rFonts w:hint="eastAsia" w:ascii="宋体" w:hAnsi="宋体"/>
                <w:caps w:val="0"/>
                <w:color w:val="auto"/>
                <w:szCs w:val="21"/>
                <w:highlight w:val="none"/>
              </w:rPr>
              <w:t>质量管理、企业信用要求</w:t>
            </w:r>
          </w:p>
        </w:tc>
        <w:tc>
          <w:tcPr>
            <w:tcW w:w="6670" w:type="dxa"/>
            <w:gridSpan w:val="2"/>
            <w:tcBorders>
              <w:top w:val="single" w:color="auto" w:sz="4" w:space="0"/>
              <w:left w:val="single" w:color="auto" w:sz="4" w:space="0"/>
              <w:bottom w:val="single" w:color="auto" w:sz="4" w:space="0"/>
              <w:right w:val="single" w:color="auto" w:sz="4" w:space="0"/>
            </w:tcBorders>
            <w:noWrap w:val="0"/>
            <w:vAlign w:val="center"/>
          </w:tcPr>
          <w:p w14:paraId="71137E8D">
            <w:pPr>
              <w:spacing w:line="360" w:lineRule="auto"/>
              <w:jc w:val="both"/>
              <w:rPr>
                <w:rFonts w:hint="eastAsia" w:ascii="宋体" w:hAnsi="宋体" w:eastAsia="宋体"/>
                <w:caps w:val="0"/>
                <w:color w:val="auto"/>
                <w:szCs w:val="21"/>
                <w:highlight w:val="none"/>
                <w:lang w:eastAsia="zh-CN"/>
              </w:rPr>
            </w:pPr>
            <w:r>
              <w:rPr>
                <w:rFonts w:hint="eastAsia" w:ascii="宋体" w:hAnsi="宋体"/>
                <w:caps w:val="0"/>
                <w:color w:val="auto"/>
                <w:szCs w:val="21"/>
                <w:highlight w:val="none"/>
                <w:lang w:eastAsia="zh-CN"/>
              </w:rPr>
              <w:t>无</w:t>
            </w:r>
          </w:p>
        </w:tc>
      </w:tr>
      <w:tr w14:paraId="26BE00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676" w:type="dxa"/>
            <w:gridSpan w:val="3"/>
            <w:tcBorders>
              <w:top w:val="single" w:color="auto" w:sz="4" w:space="0"/>
              <w:left w:val="single" w:color="auto" w:sz="4" w:space="0"/>
              <w:bottom w:val="single" w:color="auto" w:sz="4" w:space="0"/>
              <w:right w:val="single" w:color="auto" w:sz="4" w:space="0"/>
            </w:tcBorders>
            <w:noWrap w:val="0"/>
            <w:vAlign w:val="center"/>
          </w:tcPr>
          <w:p w14:paraId="4EE20292">
            <w:pPr>
              <w:spacing w:line="360" w:lineRule="auto"/>
              <w:jc w:val="both"/>
              <w:rPr>
                <w:rFonts w:ascii="宋体" w:hAnsi="宋体"/>
                <w:caps w:val="0"/>
                <w:color w:val="auto"/>
                <w:szCs w:val="21"/>
                <w:highlight w:val="none"/>
              </w:rPr>
            </w:pPr>
            <w:r>
              <w:rPr>
                <w:rFonts w:hint="eastAsia" w:ascii="宋体" w:hAnsi="宋体"/>
                <w:caps w:val="0"/>
                <w:color w:val="auto"/>
                <w:szCs w:val="21"/>
                <w:highlight w:val="none"/>
              </w:rPr>
              <w:t>能力或者业绩要求</w:t>
            </w:r>
          </w:p>
        </w:tc>
        <w:tc>
          <w:tcPr>
            <w:tcW w:w="6670" w:type="dxa"/>
            <w:gridSpan w:val="2"/>
            <w:tcBorders>
              <w:top w:val="single" w:color="auto" w:sz="4" w:space="0"/>
              <w:left w:val="single" w:color="auto" w:sz="4" w:space="0"/>
              <w:bottom w:val="single" w:color="auto" w:sz="4" w:space="0"/>
              <w:right w:val="single" w:color="auto" w:sz="4" w:space="0"/>
            </w:tcBorders>
            <w:noWrap w:val="0"/>
            <w:vAlign w:val="center"/>
          </w:tcPr>
          <w:p w14:paraId="1EC684A6">
            <w:pPr>
              <w:spacing w:line="360" w:lineRule="auto"/>
              <w:jc w:val="both"/>
              <w:rPr>
                <w:rFonts w:hint="eastAsia" w:ascii="宋体" w:hAnsi="宋体" w:eastAsia="宋体"/>
                <w:caps w:val="0"/>
                <w:color w:val="auto"/>
                <w:szCs w:val="21"/>
                <w:highlight w:val="none"/>
                <w:lang w:eastAsia="zh-CN"/>
              </w:rPr>
            </w:pPr>
            <w:r>
              <w:rPr>
                <w:rFonts w:hint="eastAsia" w:ascii="宋体" w:hAnsi="宋体"/>
                <w:caps w:val="0"/>
                <w:color w:val="auto"/>
                <w:szCs w:val="21"/>
                <w:highlight w:val="none"/>
                <w:lang w:eastAsia="zh-CN"/>
              </w:rPr>
              <w:t>无</w:t>
            </w:r>
          </w:p>
        </w:tc>
      </w:tr>
      <w:tr w14:paraId="726FC3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346" w:type="dxa"/>
            <w:gridSpan w:val="5"/>
            <w:tcBorders>
              <w:top w:val="single" w:color="auto" w:sz="4" w:space="0"/>
              <w:left w:val="single" w:color="auto" w:sz="4" w:space="0"/>
              <w:bottom w:val="single" w:color="auto" w:sz="4" w:space="0"/>
              <w:right w:val="single" w:color="auto" w:sz="4" w:space="0"/>
            </w:tcBorders>
            <w:noWrap w:val="0"/>
            <w:vAlign w:val="center"/>
          </w:tcPr>
          <w:p w14:paraId="28D94483">
            <w:pPr>
              <w:spacing w:line="360" w:lineRule="auto"/>
              <w:jc w:val="both"/>
              <w:rPr>
                <w:rFonts w:ascii="宋体" w:hAnsi="宋体"/>
                <w:b/>
                <w:caps w:val="0"/>
                <w:color w:val="auto"/>
                <w:szCs w:val="21"/>
                <w:highlight w:val="none"/>
              </w:rPr>
            </w:pPr>
            <w:r>
              <w:rPr>
                <w:rFonts w:hint="eastAsia" w:ascii="宋体" w:hAnsi="宋体"/>
                <w:b/>
                <w:caps w:val="0"/>
                <w:color w:val="auto"/>
                <w:szCs w:val="21"/>
                <w:highlight w:val="none"/>
                <w:lang w:val="en-US" w:eastAsia="zh-CN"/>
              </w:rPr>
              <w:t>六</w:t>
            </w:r>
            <w:r>
              <w:rPr>
                <w:rFonts w:hint="eastAsia" w:ascii="宋体" w:hAnsi="宋体"/>
                <w:b/>
                <w:caps w:val="0"/>
                <w:color w:val="auto"/>
                <w:szCs w:val="21"/>
                <w:highlight w:val="none"/>
              </w:rPr>
              <w:t>、政策性加分条件</w:t>
            </w:r>
          </w:p>
        </w:tc>
      </w:tr>
      <w:tr w14:paraId="473FE1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676" w:type="dxa"/>
            <w:gridSpan w:val="3"/>
            <w:tcBorders>
              <w:top w:val="single" w:color="auto" w:sz="4" w:space="0"/>
              <w:left w:val="single" w:color="auto" w:sz="4" w:space="0"/>
              <w:bottom w:val="single" w:color="auto" w:sz="4" w:space="0"/>
              <w:right w:val="single" w:color="auto" w:sz="4" w:space="0"/>
            </w:tcBorders>
            <w:noWrap w:val="0"/>
            <w:vAlign w:val="center"/>
          </w:tcPr>
          <w:p w14:paraId="61FF9953">
            <w:pPr>
              <w:spacing w:line="360" w:lineRule="auto"/>
              <w:jc w:val="both"/>
              <w:rPr>
                <w:rFonts w:ascii="宋体" w:hAnsi="宋体"/>
                <w:caps w:val="0"/>
                <w:color w:val="auto"/>
                <w:szCs w:val="21"/>
                <w:highlight w:val="none"/>
              </w:rPr>
            </w:pPr>
            <w:r>
              <w:rPr>
                <w:rFonts w:hint="eastAsia" w:ascii="宋体" w:hAnsi="宋体"/>
                <w:caps w:val="0"/>
                <w:color w:val="auto"/>
                <w:szCs w:val="21"/>
                <w:highlight w:val="none"/>
              </w:rPr>
              <w:t>政策性加分条件</w:t>
            </w:r>
          </w:p>
        </w:tc>
        <w:tc>
          <w:tcPr>
            <w:tcW w:w="6670" w:type="dxa"/>
            <w:gridSpan w:val="2"/>
            <w:tcBorders>
              <w:top w:val="single" w:color="auto" w:sz="4" w:space="0"/>
              <w:left w:val="single" w:color="auto" w:sz="4" w:space="0"/>
              <w:bottom w:val="single" w:color="auto" w:sz="4" w:space="0"/>
              <w:right w:val="single" w:color="auto" w:sz="4" w:space="0"/>
            </w:tcBorders>
            <w:noWrap w:val="0"/>
            <w:vAlign w:val="center"/>
          </w:tcPr>
          <w:p w14:paraId="3BE70382">
            <w:pPr>
              <w:spacing w:line="360" w:lineRule="auto"/>
              <w:jc w:val="both"/>
              <w:rPr>
                <w:rFonts w:hint="eastAsia" w:ascii="宋体" w:hAnsi="宋体" w:eastAsia="宋体"/>
                <w:caps w:val="0"/>
                <w:color w:val="auto"/>
                <w:szCs w:val="21"/>
                <w:highlight w:val="none"/>
                <w:lang w:eastAsia="zh-CN"/>
              </w:rPr>
            </w:pPr>
            <w:r>
              <w:rPr>
                <w:rFonts w:hint="eastAsia" w:ascii="宋体" w:hAnsi="宋体"/>
                <w:caps w:val="0"/>
                <w:color w:val="auto"/>
                <w:szCs w:val="21"/>
                <w:highlight w:val="none"/>
              </w:rPr>
              <w:t>符合节能环保等国家政策要求。</w:t>
            </w:r>
            <w:r>
              <w:rPr>
                <w:rFonts w:hint="eastAsia" w:ascii="宋体" w:hAnsi="宋体"/>
                <w:caps w:val="0"/>
                <w:color w:val="auto"/>
                <w:szCs w:val="21"/>
                <w:highlight w:val="none"/>
                <w:lang w:eastAsia="zh-CN"/>
              </w:rPr>
              <w:t>本项目无</w:t>
            </w:r>
            <w:r>
              <w:rPr>
                <w:rFonts w:hint="eastAsia" w:ascii="宋体" w:hAnsi="宋体"/>
                <w:caps w:val="0"/>
                <w:color w:val="auto"/>
                <w:szCs w:val="21"/>
                <w:highlight w:val="none"/>
              </w:rPr>
              <w:t>节能环保</w:t>
            </w:r>
            <w:r>
              <w:rPr>
                <w:rFonts w:hint="eastAsia" w:ascii="宋体" w:hAnsi="宋体"/>
                <w:caps w:val="0"/>
                <w:color w:val="auto"/>
                <w:szCs w:val="21"/>
                <w:highlight w:val="none"/>
                <w:lang w:eastAsia="zh-CN"/>
              </w:rPr>
              <w:t>要求。</w:t>
            </w:r>
          </w:p>
        </w:tc>
      </w:tr>
      <w:tr w14:paraId="0AD6F4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676" w:type="dxa"/>
            <w:gridSpan w:val="3"/>
            <w:tcBorders>
              <w:top w:val="single" w:color="auto" w:sz="4" w:space="0"/>
              <w:left w:val="single" w:color="auto" w:sz="4" w:space="0"/>
              <w:bottom w:val="single" w:color="auto" w:sz="4" w:space="0"/>
              <w:right w:val="single" w:color="auto" w:sz="4" w:space="0"/>
            </w:tcBorders>
            <w:noWrap w:val="0"/>
            <w:vAlign w:val="center"/>
          </w:tcPr>
          <w:p w14:paraId="7D233FEC">
            <w:pPr>
              <w:spacing w:line="360" w:lineRule="auto"/>
              <w:jc w:val="both"/>
              <w:rPr>
                <w:rFonts w:hint="eastAsia" w:ascii="宋体" w:hAnsi="宋体"/>
                <w:caps w:val="0"/>
                <w:color w:val="auto"/>
                <w:szCs w:val="21"/>
                <w:highlight w:val="none"/>
              </w:rPr>
            </w:pPr>
            <w:r>
              <w:rPr>
                <w:rFonts w:hint="eastAsia" w:ascii="宋体" w:hAnsi="宋体"/>
                <w:b/>
                <w:caps w:val="0"/>
                <w:color w:val="auto"/>
                <w:szCs w:val="21"/>
                <w:highlight w:val="none"/>
                <w:lang w:val="en-US" w:eastAsia="zh-CN"/>
              </w:rPr>
              <w:t>七</w:t>
            </w:r>
            <w:r>
              <w:rPr>
                <w:rFonts w:hint="eastAsia" w:ascii="宋体" w:hAnsi="宋体"/>
                <w:b/>
                <w:caps w:val="0"/>
                <w:color w:val="auto"/>
                <w:szCs w:val="21"/>
                <w:highlight w:val="none"/>
              </w:rPr>
              <w:t>、其他要求</w:t>
            </w:r>
          </w:p>
        </w:tc>
        <w:tc>
          <w:tcPr>
            <w:tcW w:w="6670" w:type="dxa"/>
            <w:gridSpan w:val="2"/>
            <w:tcBorders>
              <w:top w:val="single" w:color="auto" w:sz="4" w:space="0"/>
              <w:left w:val="single" w:color="auto" w:sz="4" w:space="0"/>
              <w:bottom w:val="single" w:color="auto" w:sz="4" w:space="0"/>
              <w:right w:val="single" w:color="auto" w:sz="4" w:space="0"/>
            </w:tcBorders>
            <w:noWrap w:val="0"/>
            <w:vAlign w:val="center"/>
          </w:tcPr>
          <w:p w14:paraId="457F8BA0">
            <w:pPr>
              <w:spacing w:line="360" w:lineRule="auto"/>
              <w:jc w:val="both"/>
              <w:rPr>
                <w:rFonts w:ascii="宋体" w:hAnsi="宋体"/>
                <w:caps w:val="0"/>
                <w:color w:val="auto"/>
                <w:szCs w:val="21"/>
                <w:highlight w:val="none"/>
              </w:rPr>
            </w:pPr>
            <w:r>
              <w:rPr>
                <w:rFonts w:hint="eastAsia" w:ascii="宋体" w:hAnsi="宋体"/>
                <w:caps w:val="0"/>
                <w:color w:val="auto"/>
                <w:szCs w:val="21"/>
                <w:highlight w:val="none"/>
                <w:lang w:eastAsia="zh-CN"/>
              </w:rPr>
              <w:t>投标人具有有效的《食品生产许可证》或《食品经营许可证》。</w:t>
            </w:r>
          </w:p>
        </w:tc>
      </w:tr>
      <w:tr w14:paraId="5A7A29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346" w:type="dxa"/>
            <w:gridSpan w:val="5"/>
            <w:tcBorders>
              <w:top w:val="single" w:color="auto" w:sz="4" w:space="0"/>
              <w:left w:val="single" w:color="auto" w:sz="4" w:space="0"/>
              <w:bottom w:val="single" w:color="auto" w:sz="4" w:space="0"/>
              <w:right w:val="single" w:color="auto" w:sz="4" w:space="0"/>
            </w:tcBorders>
            <w:noWrap w:val="0"/>
            <w:vAlign w:val="center"/>
          </w:tcPr>
          <w:p w14:paraId="60191505">
            <w:pPr>
              <w:spacing w:line="360" w:lineRule="auto"/>
              <w:jc w:val="both"/>
              <w:rPr>
                <w:rFonts w:ascii="宋体" w:hAnsi="宋体"/>
                <w:caps w:val="0"/>
                <w:color w:val="auto"/>
                <w:szCs w:val="21"/>
                <w:highlight w:val="none"/>
              </w:rPr>
            </w:pPr>
            <w:r>
              <w:rPr>
                <w:rFonts w:hint="eastAsia" w:ascii="宋体" w:hAnsi="宋体"/>
                <w:b/>
                <w:caps w:val="0"/>
                <w:color w:val="auto"/>
                <w:szCs w:val="21"/>
                <w:highlight w:val="none"/>
                <w:lang w:val="en-US" w:eastAsia="zh-CN"/>
              </w:rPr>
              <w:t>八</w:t>
            </w:r>
            <w:r>
              <w:rPr>
                <w:rFonts w:hint="eastAsia" w:ascii="宋体" w:hAnsi="宋体"/>
                <w:b/>
                <w:caps w:val="0"/>
                <w:color w:val="auto"/>
                <w:szCs w:val="21"/>
                <w:highlight w:val="none"/>
              </w:rPr>
              <w:t>、进口产品说明</w:t>
            </w:r>
          </w:p>
        </w:tc>
      </w:tr>
      <w:tr w14:paraId="6C03E5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676" w:type="dxa"/>
            <w:gridSpan w:val="3"/>
            <w:tcBorders>
              <w:top w:val="single" w:color="auto" w:sz="4" w:space="0"/>
              <w:left w:val="single" w:color="auto" w:sz="4" w:space="0"/>
              <w:bottom w:val="single" w:color="auto" w:sz="4" w:space="0"/>
              <w:right w:val="single" w:color="auto" w:sz="4" w:space="0"/>
            </w:tcBorders>
            <w:noWrap w:val="0"/>
            <w:vAlign w:val="center"/>
          </w:tcPr>
          <w:p w14:paraId="31374FA1">
            <w:pPr>
              <w:spacing w:line="360" w:lineRule="auto"/>
              <w:jc w:val="both"/>
              <w:rPr>
                <w:rFonts w:ascii="宋体" w:hAnsi="宋体"/>
                <w:caps w:val="0"/>
                <w:color w:val="auto"/>
                <w:szCs w:val="21"/>
                <w:highlight w:val="none"/>
              </w:rPr>
            </w:pPr>
            <w:r>
              <w:rPr>
                <w:rFonts w:hint="eastAsia" w:ascii="宋体" w:hAnsi="宋体"/>
                <w:caps w:val="0"/>
                <w:color w:val="auto"/>
                <w:szCs w:val="21"/>
                <w:highlight w:val="none"/>
              </w:rPr>
              <w:t>进口产品说明</w:t>
            </w:r>
          </w:p>
        </w:tc>
        <w:tc>
          <w:tcPr>
            <w:tcW w:w="6670" w:type="dxa"/>
            <w:gridSpan w:val="2"/>
            <w:tcBorders>
              <w:top w:val="single" w:color="auto" w:sz="4" w:space="0"/>
              <w:left w:val="single" w:color="auto" w:sz="4" w:space="0"/>
              <w:bottom w:val="single" w:color="auto" w:sz="4" w:space="0"/>
              <w:right w:val="single" w:color="auto" w:sz="4" w:space="0"/>
            </w:tcBorders>
            <w:noWrap w:val="0"/>
            <w:vAlign w:val="center"/>
          </w:tcPr>
          <w:p w14:paraId="4C4D78C0">
            <w:pPr>
              <w:spacing w:line="360" w:lineRule="auto"/>
              <w:jc w:val="both"/>
              <w:rPr>
                <w:rFonts w:ascii="宋体" w:hAnsi="宋体"/>
                <w:caps w:val="0"/>
                <w:color w:val="auto"/>
                <w:szCs w:val="21"/>
                <w:highlight w:val="none"/>
              </w:rPr>
            </w:pPr>
            <w:r>
              <w:rPr>
                <w:rFonts w:hint="eastAsia" w:ascii="宋体" w:hAnsi="宋体"/>
                <w:caps w:val="0"/>
                <w:color w:val="auto"/>
                <w:szCs w:val="21"/>
                <w:highlight w:val="none"/>
                <w:lang w:eastAsia="zh-CN"/>
              </w:rPr>
              <w:t>本项目</w:t>
            </w:r>
            <w:r>
              <w:rPr>
                <w:rFonts w:hint="eastAsia" w:ascii="宋体" w:hAnsi="宋体"/>
                <w:caps w:val="0"/>
                <w:color w:val="auto"/>
                <w:szCs w:val="21"/>
                <w:highlight w:val="none"/>
              </w:rPr>
              <w:t>货物不接受进口产品（即通过中国海关报关验放进入中国境内且产自关境外的产品）参与投标，</w:t>
            </w:r>
            <w:r>
              <w:rPr>
                <w:rFonts w:hint="eastAsia" w:ascii="宋体" w:hAnsi="宋体"/>
                <w:b/>
                <w:caps w:val="0"/>
                <w:color w:val="auto"/>
                <w:szCs w:val="21"/>
                <w:highlight w:val="none"/>
              </w:rPr>
              <w:t>如有进口产品参与投标的作无</w:t>
            </w:r>
            <w:r>
              <w:rPr>
                <w:rFonts w:hint="eastAsia" w:ascii="宋体" w:hAnsi="宋体"/>
                <w:b/>
                <w:caps w:val="0"/>
                <w:color w:val="auto"/>
                <w:szCs w:val="21"/>
                <w:highlight w:val="none"/>
                <w:lang w:eastAsia="zh-CN"/>
              </w:rPr>
              <w:t>效投</w:t>
            </w:r>
            <w:r>
              <w:rPr>
                <w:rFonts w:hint="eastAsia" w:ascii="宋体" w:hAnsi="宋体"/>
                <w:b/>
                <w:caps w:val="0"/>
                <w:color w:val="auto"/>
                <w:szCs w:val="21"/>
                <w:highlight w:val="none"/>
              </w:rPr>
              <w:t>标处理</w:t>
            </w:r>
            <w:r>
              <w:rPr>
                <w:rFonts w:hint="eastAsia" w:ascii="宋体" w:hAnsi="宋体"/>
                <w:caps w:val="0"/>
                <w:color w:val="auto"/>
                <w:szCs w:val="21"/>
                <w:highlight w:val="none"/>
              </w:rPr>
              <w:t>。</w:t>
            </w:r>
          </w:p>
        </w:tc>
      </w:tr>
    </w:tbl>
    <w:p w14:paraId="1FA54F3D">
      <w:pPr>
        <w:pStyle w:val="6"/>
        <w:rPr>
          <w:rFonts w:hint="eastAsia" w:ascii="宋体" w:hAnsi="宋体"/>
          <w:b/>
          <w:caps w:val="0"/>
          <w:color w:val="auto"/>
          <w:sz w:val="21"/>
          <w:szCs w:val="21"/>
          <w:highlight w:val="none"/>
          <w:lang w:eastAsia="zh-CN"/>
        </w:rPr>
      </w:pPr>
    </w:p>
    <w:p w14:paraId="29C92F33">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11E798B"/>
    <w:rsid w:val="2E4336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qFormat/>
    <w:uiPriority w:val="0"/>
    <w:pPr>
      <w:keepNext/>
      <w:keepLines/>
      <w:spacing w:before="340" w:beforeLines="0" w:after="330" w:afterLines="0" w:line="576" w:lineRule="auto"/>
      <w:outlineLvl w:val="0"/>
    </w:pPr>
    <w:rPr>
      <w:b/>
      <w:bCs/>
      <w:kern w:val="44"/>
      <w:sz w:val="44"/>
      <w:szCs w:val="4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四级标题"/>
    <w:basedOn w:val="3"/>
    <w:next w:val="4"/>
    <w:qFormat/>
    <w:uiPriority w:val="0"/>
    <w:pPr>
      <w:ind w:left="0" w:leftChars="0"/>
      <w:jc w:val="both"/>
    </w:pPr>
    <w:rPr>
      <w:rFonts w:eastAsia="黑体"/>
      <w:szCs w:val="22"/>
    </w:rPr>
  </w:style>
  <w:style w:type="paragraph" w:styleId="3">
    <w:name w:val="Date"/>
    <w:basedOn w:val="1"/>
    <w:next w:val="1"/>
    <w:qFormat/>
    <w:uiPriority w:val="0"/>
    <w:pPr>
      <w:ind w:left="100" w:leftChars="2500"/>
    </w:pPr>
  </w:style>
  <w:style w:type="paragraph" w:styleId="4">
    <w:name w:val="Normal Indent"/>
    <w:basedOn w:val="1"/>
    <w:qFormat/>
    <w:uiPriority w:val="0"/>
    <w:pPr>
      <w:ind w:firstLine="420"/>
    </w:pPr>
    <w:rPr>
      <w:szCs w:val="20"/>
    </w:rPr>
  </w:style>
  <w:style w:type="paragraph" w:styleId="6">
    <w:name w:val="footer"/>
    <w:basedOn w:val="1"/>
    <w:next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7830</Words>
  <Characters>8124</Characters>
  <Lines>0</Lines>
  <Paragraphs>0</Paragraphs>
  <TotalTime>0</TotalTime>
  <ScaleCrop>false</ScaleCrop>
  <LinksUpToDate>false</LinksUpToDate>
  <CharactersWithSpaces>8144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2025-06-20T09:22:00Z</dcterms:created>
  <dc:creator>Administrator</dc:creator>
  <cp:lastModifiedBy>小猪</cp:lastModifiedBy>
  <dcterms:modified xsi:type="dcterms:W3CDTF">2025-07-08T07:41:40Z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eyJoZGlkIjoiMDg4MGExNjAzZTNjZDdjMTc5ZmZkODNlNGY4NzAxN2MiLCJ1c2VySWQiOiI2MjA0ODA0MDcifQ==</vt:lpwstr>
  </property>
  <property fmtid="{D5CDD505-2E9C-101B-9397-08002B2CF9AE}" pid="4" name="ICV">
    <vt:lpwstr>54DD2DCA7E15414DA777FE3313C2FFD8_12</vt:lpwstr>
  </property>
</Properties>
</file>