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2E7BC">
      <w:pPr>
        <w:jc w:val="center"/>
        <w:rPr>
          <w:rFonts w:hint="eastAsia"/>
          <w:b/>
          <w:bCs/>
          <w:color w:val="auto"/>
          <w:sz w:val="44"/>
          <w:szCs w:val="44"/>
          <w:highlight w:val="none"/>
          <w:lang w:eastAsia="zh-CN"/>
        </w:rPr>
      </w:pPr>
      <w:r>
        <w:rPr>
          <w:rFonts w:hint="eastAsia"/>
          <w:b/>
          <w:bCs/>
          <w:color w:val="auto"/>
          <w:sz w:val="44"/>
          <w:szCs w:val="44"/>
          <w:highlight w:val="none"/>
          <w:lang w:val="en-US" w:eastAsia="zh-CN"/>
        </w:rPr>
        <w:t>项目</w:t>
      </w:r>
      <w:r>
        <w:rPr>
          <w:rFonts w:hint="eastAsia"/>
          <w:b/>
          <w:bCs/>
          <w:color w:val="auto"/>
          <w:sz w:val="44"/>
          <w:szCs w:val="44"/>
          <w:highlight w:val="none"/>
        </w:rPr>
        <w:t>采购需求</w:t>
      </w:r>
    </w:p>
    <w:p w14:paraId="712E486C">
      <w:pPr>
        <w:ind w:firstLine="422" w:firstLineChars="200"/>
        <w:jc w:val="left"/>
        <w:rPr>
          <w:rFonts w:hint="eastAsia"/>
          <w:b/>
          <w:bCs/>
          <w:color w:val="auto"/>
          <w:highlight w:val="none"/>
          <w:lang w:eastAsia="zh-CN"/>
        </w:rPr>
      </w:pPr>
    </w:p>
    <w:p w14:paraId="2F1476BC">
      <w:pPr>
        <w:ind w:firstLine="422" w:firstLineChars="200"/>
        <w:jc w:val="left"/>
        <w:rPr>
          <w:rFonts w:hint="eastAsia"/>
          <w:b/>
          <w:bCs/>
          <w:color w:val="auto"/>
          <w:highlight w:val="none"/>
          <w:lang w:eastAsia="zh-CN"/>
        </w:rPr>
      </w:pPr>
      <w:r>
        <w:rPr>
          <w:rFonts w:hint="eastAsia"/>
          <w:b/>
          <w:bCs/>
          <w:color w:val="auto"/>
          <w:highlight w:val="none"/>
          <w:lang w:eastAsia="zh-CN"/>
        </w:rPr>
        <w:t>防城区教育局2025-2026学年农村义务教育学生营养改善计划食堂供餐食品配送</w:t>
      </w:r>
      <w:r>
        <w:rPr>
          <w:rFonts w:hint="eastAsia"/>
          <w:b/>
          <w:bCs/>
          <w:color w:val="auto"/>
          <w:highlight w:val="none"/>
        </w:rPr>
        <w:t>表</w:t>
      </w:r>
      <w:r>
        <w:rPr>
          <w:rFonts w:hint="eastAsia"/>
          <w:b/>
          <w:bCs/>
          <w:color w:val="auto"/>
          <w:highlight w:val="none"/>
          <w:lang w:eastAsia="zh-CN"/>
        </w:rPr>
        <w:t>（</w:t>
      </w:r>
      <w:r>
        <w:rPr>
          <w:rFonts w:hint="eastAsia" w:ascii="宋体" w:hAnsi="宋体" w:eastAsia="宋体" w:cs="宋体"/>
          <w:b/>
          <w:bCs/>
          <w:color w:val="auto"/>
          <w:kern w:val="2"/>
          <w:sz w:val="21"/>
          <w:szCs w:val="21"/>
          <w:highlight w:val="none"/>
          <w:lang w:val="en-US" w:eastAsia="zh-CN" w:bidi="ar-SA"/>
        </w:rPr>
        <w:t>最终配送人数以实际在校学生数为准</w:t>
      </w:r>
      <w:r>
        <w:rPr>
          <w:rFonts w:hint="eastAsia"/>
          <w:b/>
          <w:bCs/>
          <w:color w:val="auto"/>
          <w:highlight w:val="none"/>
          <w:lang w:eastAsia="zh-CN"/>
        </w:rPr>
        <w:t>）</w:t>
      </w:r>
    </w:p>
    <w:tbl>
      <w:tblPr>
        <w:tblStyle w:val="6"/>
        <w:tblW w:w="0" w:type="auto"/>
        <w:tblInd w:w="93" w:type="dxa"/>
        <w:tblLayout w:type="autofit"/>
        <w:tblCellMar>
          <w:top w:w="0" w:type="dxa"/>
          <w:left w:w="108" w:type="dxa"/>
          <w:bottom w:w="0" w:type="dxa"/>
          <w:right w:w="108" w:type="dxa"/>
        </w:tblCellMar>
      </w:tblPr>
      <w:tblGrid>
        <w:gridCol w:w="2984"/>
        <w:gridCol w:w="1336"/>
        <w:gridCol w:w="1439"/>
        <w:gridCol w:w="1038"/>
        <w:gridCol w:w="1632"/>
      </w:tblGrid>
      <w:tr w14:paraId="0656DAAB">
        <w:tblPrEx>
          <w:tblCellMar>
            <w:top w:w="0" w:type="dxa"/>
            <w:left w:w="108" w:type="dxa"/>
            <w:bottom w:w="0" w:type="dxa"/>
            <w:right w:w="108" w:type="dxa"/>
          </w:tblCellMar>
        </w:tblPrEx>
        <w:trPr>
          <w:trHeight w:val="500" w:hRule="atLeast"/>
        </w:trPr>
        <w:tc>
          <w:tcPr>
            <w:tcW w:w="3545" w:type="dxa"/>
            <w:tcBorders>
              <w:top w:val="single" w:color="000000" w:sz="4" w:space="0"/>
              <w:left w:val="single" w:color="000000" w:sz="4" w:space="0"/>
              <w:bottom w:val="single" w:color="000000" w:sz="4" w:space="0"/>
              <w:right w:val="single" w:color="000000" w:sz="4" w:space="0"/>
            </w:tcBorders>
            <w:noWrap w:val="0"/>
            <w:vAlign w:val="center"/>
          </w:tcPr>
          <w:p w14:paraId="66B18864">
            <w:pPr>
              <w:widowControl/>
              <w:spacing w:line="360" w:lineRule="auto"/>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分标名称</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2E2EB69C">
            <w:pPr>
              <w:widowControl/>
              <w:spacing w:line="360" w:lineRule="auto"/>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实施地点</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545EBC78">
            <w:pPr>
              <w:widowControl/>
              <w:spacing w:line="360" w:lineRule="auto"/>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计划人数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2214BE7">
            <w:pPr>
              <w:widowControl/>
              <w:spacing w:line="360" w:lineRule="auto"/>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总人数</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7D404794">
            <w:pPr>
              <w:widowControl/>
              <w:spacing w:line="360" w:lineRule="auto"/>
              <w:jc w:val="center"/>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采购预算价/</w:t>
            </w:r>
          </w:p>
          <w:p w14:paraId="2654D570">
            <w:pPr>
              <w:widowControl/>
              <w:spacing w:line="360" w:lineRule="auto"/>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最高限价</w:t>
            </w:r>
          </w:p>
        </w:tc>
      </w:tr>
      <w:tr w14:paraId="7E6A3256">
        <w:tblPrEx>
          <w:tblCellMar>
            <w:top w:w="0" w:type="dxa"/>
            <w:left w:w="108" w:type="dxa"/>
            <w:bottom w:w="0" w:type="dxa"/>
            <w:right w:w="108" w:type="dxa"/>
          </w:tblCellMar>
        </w:tblPrEx>
        <w:trPr>
          <w:trHeight w:val="500" w:hRule="atLeast"/>
        </w:trPr>
        <w:tc>
          <w:tcPr>
            <w:tcW w:w="35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69259ED">
            <w:pPr>
              <w:widowControl/>
              <w:spacing w:line="360" w:lineRule="auto"/>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分标1（峒中镇、那梭镇、华石镇）</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22FBA1BD">
            <w:pPr>
              <w:widowControl/>
              <w:spacing w:line="360" w:lineRule="auto"/>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峒中镇</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17646488">
            <w:pPr>
              <w:widowControl/>
              <w:spacing w:line="360" w:lineRule="auto"/>
              <w:jc w:val="center"/>
              <w:textAlignment w:val="top"/>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176</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A4898BE">
            <w:pPr>
              <w:widowControl/>
              <w:spacing w:line="360" w:lineRule="auto"/>
              <w:jc w:val="center"/>
              <w:textAlignment w:val="top"/>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7</w:t>
            </w:r>
            <w:r>
              <w:rPr>
                <w:rFonts w:hint="eastAsia" w:ascii="宋体" w:hAnsi="宋体" w:cs="宋体"/>
                <w:color w:val="auto"/>
                <w:kern w:val="0"/>
                <w:szCs w:val="21"/>
                <w:highlight w:val="none"/>
                <w:lang w:val="en-US" w:eastAsia="zh-CN" w:bidi="ar"/>
              </w:rPr>
              <w:t>483</w:t>
            </w:r>
          </w:p>
        </w:tc>
        <w:tc>
          <w:tcPr>
            <w:tcW w:w="1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AB1F381">
            <w:pPr>
              <w:widowControl/>
              <w:spacing w:line="360" w:lineRule="auto"/>
              <w:jc w:val="center"/>
              <w:textAlignment w:val="top"/>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6912000.00元</w:t>
            </w:r>
          </w:p>
        </w:tc>
      </w:tr>
      <w:tr w14:paraId="3FAF8DEE">
        <w:tblPrEx>
          <w:tblCellMar>
            <w:top w:w="0" w:type="dxa"/>
            <w:left w:w="108" w:type="dxa"/>
            <w:bottom w:w="0" w:type="dxa"/>
            <w:right w:w="108" w:type="dxa"/>
          </w:tblCellMar>
        </w:tblPrEx>
        <w:trPr>
          <w:trHeight w:val="500" w:hRule="atLeast"/>
        </w:trPr>
        <w:tc>
          <w:tcPr>
            <w:tcW w:w="3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289E47">
            <w:pPr>
              <w:spacing w:line="360" w:lineRule="auto"/>
              <w:jc w:val="left"/>
              <w:rPr>
                <w:rFonts w:hint="eastAsia" w:ascii="宋体" w:hAnsi="宋体" w:cs="宋体"/>
                <w:color w:val="auto"/>
                <w:szCs w:val="21"/>
                <w:highlight w:val="none"/>
              </w:rPr>
            </w:pP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6C202426">
            <w:pPr>
              <w:widowControl/>
              <w:spacing w:line="360" w:lineRule="auto"/>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那梭镇</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401A7D32">
            <w:pPr>
              <w:widowControl/>
              <w:spacing w:line="360" w:lineRule="auto"/>
              <w:jc w:val="center"/>
              <w:textAlignment w:val="top"/>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2996</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2EDAA7">
            <w:pPr>
              <w:spacing w:line="360" w:lineRule="auto"/>
              <w:jc w:val="center"/>
              <w:rPr>
                <w:rFonts w:hint="eastAsia" w:ascii="宋体" w:hAnsi="宋体" w:cs="宋体"/>
                <w:color w:val="auto"/>
                <w:szCs w:val="21"/>
                <w:highlight w:val="none"/>
              </w:rPr>
            </w:pP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15F143">
            <w:pPr>
              <w:spacing w:line="360" w:lineRule="auto"/>
              <w:jc w:val="center"/>
              <w:rPr>
                <w:rFonts w:hint="eastAsia" w:ascii="宋体" w:hAnsi="宋体" w:cs="宋体"/>
                <w:color w:val="auto"/>
                <w:szCs w:val="21"/>
                <w:highlight w:val="none"/>
              </w:rPr>
            </w:pPr>
          </w:p>
        </w:tc>
      </w:tr>
      <w:tr w14:paraId="4BBDD88D">
        <w:tblPrEx>
          <w:tblCellMar>
            <w:top w:w="0" w:type="dxa"/>
            <w:left w:w="108" w:type="dxa"/>
            <w:bottom w:w="0" w:type="dxa"/>
            <w:right w:w="108" w:type="dxa"/>
          </w:tblCellMar>
        </w:tblPrEx>
        <w:trPr>
          <w:trHeight w:val="500" w:hRule="atLeast"/>
        </w:trPr>
        <w:tc>
          <w:tcPr>
            <w:tcW w:w="3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FDA5F">
            <w:pPr>
              <w:spacing w:line="360" w:lineRule="auto"/>
              <w:jc w:val="left"/>
              <w:rPr>
                <w:rFonts w:hint="eastAsia" w:ascii="宋体" w:hAnsi="宋体" w:cs="宋体"/>
                <w:color w:val="auto"/>
                <w:szCs w:val="21"/>
                <w:highlight w:val="none"/>
              </w:rPr>
            </w:pP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0FECAEF7">
            <w:pPr>
              <w:widowControl/>
              <w:spacing w:line="360" w:lineRule="auto"/>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华石镇</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150066BE">
            <w:pPr>
              <w:widowControl/>
              <w:spacing w:line="360" w:lineRule="auto"/>
              <w:jc w:val="center"/>
              <w:textAlignment w:val="top"/>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1311</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AFB262">
            <w:pPr>
              <w:spacing w:line="360" w:lineRule="auto"/>
              <w:jc w:val="center"/>
              <w:rPr>
                <w:rFonts w:hint="eastAsia" w:ascii="宋体" w:hAnsi="宋体" w:cs="宋体"/>
                <w:color w:val="auto"/>
                <w:szCs w:val="21"/>
                <w:highlight w:val="none"/>
              </w:rPr>
            </w:pP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2AE6D">
            <w:pPr>
              <w:spacing w:line="360" w:lineRule="auto"/>
              <w:jc w:val="center"/>
              <w:rPr>
                <w:rFonts w:hint="eastAsia" w:ascii="宋体" w:hAnsi="宋体" w:cs="宋体"/>
                <w:color w:val="auto"/>
                <w:szCs w:val="21"/>
                <w:highlight w:val="none"/>
              </w:rPr>
            </w:pPr>
          </w:p>
        </w:tc>
      </w:tr>
      <w:tr w14:paraId="4558960C">
        <w:tblPrEx>
          <w:tblCellMar>
            <w:top w:w="0" w:type="dxa"/>
            <w:left w:w="108" w:type="dxa"/>
            <w:bottom w:w="0" w:type="dxa"/>
            <w:right w:w="108" w:type="dxa"/>
          </w:tblCellMar>
        </w:tblPrEx>
        <w:trPr>
          <w:trHeight w:val="500" w:hRule="atLeast"/>
        </w:trPr>
        <w:tc>
          <w:tcPr>
            <w:tcW w:w="35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FDD1AD2">
            <w:pPr>
              <w:widowControl/>
              <w:spacing w:line="360" w:lineRule="auto"/>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分标2（那良镇、江山镇）</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50D0194F">
            <w:pPr>
              <w:widowControl/>
              <w:spacing w:line="360" w:lineRule="auto"/>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那良镇</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7E19E9C1">
            <w:pPr>
              <w:widowControl/>
              <w:spacing w:line="360" w:lineRule="auto"/>
              <w:jc w:val="center"/>
              <w:textAlignment w:val="top"/>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51</w:t>
            </w:r>
            <w:r>
              <w:rPr>
                <w:rFonts w:hint="eastAsia" w:ascii="宋体" w:hAnsi="宋体" w:cs="宋体"/>
                <w:color w:val="auto"/>
                <w:kern w:val="0"/>
                <w:szCs w:val="21"/>
                <w:highlight w:val="none"/>
                <w:lang w:val="en-US" w:eastAsia="zh-CN" w:bidi="ar"/>
              </w:rPr>
              <w:t>62</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25B38783">
            <w:pPr>
              <w:widowControl/>
              <w:spacing w:line="360" w:lineRule="auto"/>
              <w:jc w:val="center"/>
              <w:textAlignment w:val="top"/>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77</w:t>
            </w:r>
            <w:r>
              <w:rPr>
                <w:rFonts w:hint="eastAsia" w:ascii="宋体" w:hAnsi="宋体" w:cs="宋体"/>
                <w:color w:val="auto"/>
                <w:kern w:val="0"/>
                <w:szCs w:val="21"/>
                <w:highlight w:val="none"/>
                <w:lang w:val="en-US" w:eastAsia="zh-CN" w:bidi="ar"/>
              </w:rPr>
              <w:t>20</w:t>
            </w:r>
          </w:p>
        </w:tc>
        <w:tc>
          <w:tcPr>
            <w:tcW w:w="1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10C21D">
            <w:pPr>
              <w:widowControl/>
              <w:spacing w:line="360" w:lineRule="auto"/>
              <w:jc w:val="center"/>
              <w:textAlignment w:val="top"/>
              <w:rPr>
                <w:rFonts w:hint="default" w:ascii="宋体" w:hAnsi="宋体" w:cs="宋体"/>
                <w:color w:val="auto"/>
                <w:szCs w:val="21"/>
                <w:highlight w:val="none"/>
                <w:lang w:val="en-US"/>
              </w:rPr>
            </w:pPr>
            <w:r>
              <w:rPr>
                <w:rFonts w:hint="eastAsia" w:ascii="宋体" w:hAnsi="宋体" w:cs="宋体"/>
                <w:color w:val="auto"/>
                <w:szCs w:val="21"/>
                <w:highlight w:val="none"/>
              </w:rPr>
              <w:t>7238</w:t>
            </w:r>
            <w:r>
              <w:rPr>
                <w:rFonts w:hint="eastAsia" w:ascii="宋体" w:hAnsi="宋体" w:cs="宋体"/>
                <w:color w:val="auto"/>
                <w:szCs w:val="21"/>
                <w:highlight w:val="none"/>
                <w:lang w:val="en-US" w:eastAsia="zh-CN"/>
              </w:rPr>
              <w:t>000.00元</w:t>
            </w:r>
          </w:p>
        </w:tc>
      </w:tr>
      <w:tr w14:paraId="183F1148">
        <w:tblPrEx>
          <w:tblCellMar>
            <w:top w:w="0" w:type="dxa"/>
            <w:left w:w="108" w:type="dxa"/>
            <w:bottom w:w="0" w:type="dxa"/>
            <w:right w:w="108" w:type="dxa"/>
          </w:tblCellMar>
        </w:tblPrEx>
        <w:trPr>
          <w:trHeight w:val="500" w:hRule="atLeast"/>
        </w:trPr>
        <w:tc>
          <w:tcPr>
            <w:tcW w:w="3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DA4168">
            <w:pPr>
              <w:spacing w:line="360" w:lineRule="auto"/>
              <w:jc w:val="left"/>
              <w:rPr>
                <w:rFonts w:hint="eastAsia" w:ascii="宋体" w:hAnsi="宋体" w:cs="宋体"/>
                <w:color w:val="auto"/>
                <w:szCs w:val="21"/>
                <w:highlight w:val="none"/>
              </w:rPr>
            </w:pP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2DC168E3">
            <w:pPr>
              <w:widowControl/>
              <w:spacing w:line="360" w:lineRule="auto"/>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江山镇</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5A753D45">
            <w:pPr>
              <w:widowControl/>
              <w:spacing w:line="360" w:lineRule="auto"/>
              <w:jc w:val="center"/>
              <w:textAlignment w:val="top"/>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25</w:t>
            </w:r>
            <w:r>
              <w:rPr>
                <w:rFonts w:hint="eastAsia" w:ascii="宋体" w:hAnsi="宋体" w:cs="宋体"/>
                <w:color w:val="auto"/>
                <w:kern w:val="0"/>
                <w:szCs w:val="21"/>
                <w:highlight w:val="none"/>
                <w:lang w:val="en-US" w:eastAsia="zh-CN" w:bidi="ar"/>
              </w:rPr>
              <w:t>58</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B5B96">
            <w:pPr>
              <w:spacing w:line="360" w:lineRule="auto"/>
              <w:jc w:val="center"/>
              <w:rPr>
                <w:rFonts w:hint="eastAsia" w:ascii="宋体" w:hAnsi="宋体" w:cs="宋体"/>
                <w:color w:val="auto"/>
                <w:szCs w:val="21"/>
                <w:highlight w:val="none"/>
              </w:rPr>
            </w:pP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6B30EA">
            <w:pPr>
              <w:spacing w:line="360" w:lineRule="auto"/>
              <w:jc w:val="center"/>
              <w:rPr>
                <w:rFonts w:hint="eastAsia" w:ascii="宋体" w:hAnsi="宋体" w:cs="宋体"/>
                <w:color w:val="auto"/>
                <w:szCs w:val="21"/>
                <w:highlight w:val="none"/>
              </w:rPr>
            </w:pPr>
          </w:p>
        </w:tc>
      </w:tr>
      <w:tr w14:paraId="5DC8DC2D">
        <w:tblPrEx>
          <w:tblCellMar>
            <w:top w:w="0" w:type="dxa"/>
            <w:left w:w="108" w:type="dxa"/>
            <w:bottom w:w="0" w:type="dxa"/>
            <w:right w:w="108" w:type="dxa"/>
          </w:tblCellMar>
        </w:tblPrEx>
        <w:trPr>
          <w:trHeight w:val="500" w:hRule="atLeast"/>
        </w:trPr>
        <w:tc>
          <w:tcPr>
            <w:tcW w:w="35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99D08B4">
            <w:pPr>
              <w:widowControl/>
              <w:spacing w:line="360" w:lineRule="auto"/>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分标3（扶隆镇、小峰场、水营街道、滩营乡、文昌街道）</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702303D4">
            <w:pPr>
              <w:widowControl/>
              <w:spacing w:line="360" w:lineRule="auto"/>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扶隆镇</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38022393">
            <w:pPr>
              <w:widowControl/>
              <w:spacing w:line="360" w:lineRule="auto"/>
              <w:jc w:val="center"/>
              <w:textAlignment w:val="top"/>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1949</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48C406E2">
            <w:pPr>
              <w:widowControl/>
              <w:spacing w:line="360" w:lineRule="auto"/>
              <w:jc w:val="center"/>
              <w:textAlignment w:val="top"/>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7</w:t>
            </w:r>
            <w:r>
              <w:rPr>
                <w:rFonts w:hint="eastAsia" w:ascii="宋体" w:hAnsi="宋体" w:cs="宋体"/>
                <w:color w:val="auto"/>
                <w:kern w:val="0"/>
                <w:szCs w:val="21"/>
                <w:highlight w:val="none"/>
                <w:lang w:val="en-US" w:eastAsia="zh-CN" w:bidi="ar"/>
              </w:rPr>
              <w:t>119</w:t>
            </w:r>
          </w:p>
        </w:tc>
        <w:tc>
          <w:tcPr>
            <w:tcW w:w="1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6809DF">
            <w:pPr>
              <w:widowControl/>
              <w:spacing w:line="360" w:lineRule="auto"/>
              <w:jc w:val="center"/>
              <w:textAlignment w:val="top"/>
              <w:rPr>
                <w:rFonts w:hint="default" w:ascii="宋体" w:hAnsi="宋体" w:cs="宋体"/>
                <w:color w:val="auto"/>
                <w:szCs w:val="21"/>
                <w:highlight w:val="none"/>
                <w:lang w:val="en-US"/>
              </w:rPr>
            </w:pPr>
            <w:r>
              <w:rPr>
                <w:rFonts w:hint="eastAsia" w:ascii="宋体" w:hAnsi="宋体" w:cs="宋体"/>
                <w:color w:val="auto"/>
                <w:szCs w:val="21"/>
                <w:highlight w:val="none"/>
              </w:rPr>
              <w:t>6011</w:t>
            </w:r>
            <w:r>
              <w:rPr>
                <w:rFonts w:hint="eastAsia" w:ascii="宋体" w:hAnsi="宋体" w:cs="宋体"/>
                <w:color w:val="auto"/>
                <w:szCs w:val="21"/>
                <w:highlight w:val="none"/>
                <w:lang w:val="en-US" w:eastAsia="zh-CN"/>
              </w:rPr>
              <w:t>000.00元</w:t>
            </w:r>
          </w:p>
        </w:tc>
      </w:tr>
      <w:tr w14:paraId="3DC80C83">
        <w:tblPrEx>
          <w:tblCellMar>
            <w:top w:w="0" w:type="dxa"/>
            <w:left w:w="108" w:type="dxa"/>
            <w:bottom w:w="0" w:type="dxa"/>
            <w:right w:w="108" w:type="dxa"/>
          </w:tblCellMar>
        </w:tblPrEx>
        <w:trPr>
          <w:trHeight w:val="500" w:hRule="atLeast"/>
        </w:trPr>
        <w:tc>
          <w:tcPr>
            <w:tcW w:w="3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EFA9A">
            <w:pPr>
              <w:spacing w:line="360" w:lineRule="auto"/>
              <w:jc w:val="left"/>
              <w:rPr>
                <w:rFonts w:hint="eastAsia" w:ascii="宋体" w:hAnsi="宋体" w:cs="宋体"/>
                <w:color w:val="auto"/>
                <w:szCs w:val="21"/>
                <w:highlight w:val="none"/>
              </w:rPr>
            </w:pP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35047F29">
            <w:pPr>
              <w:widowControl/>
              <w:spacing w:line="360" w:lineRule="auto"/>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小峰场</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763B19BC">
            <w:pPr>
              <w:widowControl/>
              <w:spacing w:line="360" w:lineRule="auto"/>
              <w:jc w:val="center"/>
              <w:textAlignment w:val="top"/>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199</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54415">
            <w:pPr>
              <w:spacing w:line="360" w:lineRule="auto"/>
              <w:jc w:val="center"/>
              <w:rPr>
                <w:rFonts w:hint="eastAsia" w:ascii="宋体" w:hAnsi="宋体" w:cs="宋体"/>
                <w:color w:val="auto"/>
                <w:szCs w:val="21"/>
                <w:highlight w:val="none"/>
              </w:rPr>
            </w:pP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A301F">
            <w:pPr>
              <w:spacing w:line="360" w:lineRule="auto"/>
              <w:jc w:val="center"/>
              <w:rPr>
                <w:rFonts w:hint="eastAsia" w:ascii="宋体" w:hAnsi="宋体" w:cs="宋体"/>
                <w:color w:val="auto"/>
                <w:szCs w:val="21"/>
                <w:highlight w:val="none"/>
              </w:rPr>
            </w:pPr>
          </w:p>
        </w:tc>
      </w:tr>
      <w:tr w14:paraId="0EE1A288">
        <w:tblPrEx>
          <w:tblCellMar>
            <w:top w:w="0" w:type="dxa"/>
            <w:left w:w="108" w:type="dxa"/>
            <w:bottom w:w="0" w:type="dxa"/>
            <w:right w:w="108" w:type="dxa"/>
          </w:tblCellMar>
        </w:tblPrEx>
        <w:trPr>
          <w:trHeight w:val="500" w:hRule="atLeast"/>
        </w:trPr>
        <w:tc>
          <w:tcPr>
            <w:tcW w:w="3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F20572">
            <w:pPr>
              <w:spacing w:line="360" w:lineRule="auto"/>
              <w:jc w:val="left"/>
              <w:rPr>
                <w:rFonts w:hint="eastAsia" w:ascii="宋体" w:hAnsi="宋体" w:cs="宋体"/>
                <w:color w:val="auto"/>
                <w:szCs w:val="21"/>
                <w:highlight w:val="none"/>
              </w:rPr>
            </w:pP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7D202D76">
            <w:pPr>
              <w:widowControl/>
              <w:spacing w:line="360" w:lineRule="auto"/>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水营街道</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3CB6B89A">
            <w:pPr>
              <w:widowControl/>
              <w:spacing w:line="360" w:lineRule="auto"/>
              <w:jc w:val="center"/>
              <w:textAlignment w:val="top"/>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778</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19E17F">
            <w:pPr>
              <w:spacing w:line="360" w:lineRule="auto"/>
              <w:jc w:val="center"/>
              <w:rPr>
                <w:rFonts w:hint="eastAsia" w:ascii="宋体" w:hAnsi="宋体" w:cs="宋体"/>
                <w:color w:val="auto"/>
                <w:szCs w:val="21"/>
                <w:highlight w:val="none"/>
              </w:rPr>
            </w:pP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AC5138">
            <w:pPr>
              <w:spacing w:line="360" w:lineRule="auto"/>
              <w:jc w:val="center"/>
              <w:rPr>
                <w:rFonts w:hint="eastAsia" w:ascii="宋体" w:hAnsi="宋体" w:cs="宋体"/>
                <w:color w:val="auto"/>
                <w:szCs w:val="21"/>
                <w:highlight w:val="none"/>
              </w:rPr>
            </w:pPr>
          </w:p>
        </w:tc>
      </w:tr>
      <w:tr w14:paraId="3EF922FA">
        <w:tblPrEx>
          <w:tblCellMar>
            <w:top w:w="0" w:type="dxa"/>
            <w:left w:w="108" w:type="dxa"/>
            <w:bottom w:w="0" w:type="dxa"/>
            <w:right w:w="108" w:type="dxa"/>
          </w:tblCellMar>
        </w:tblPrEx>
        <w:trPr>
          <w:trHeight w:val="500" w:hRule="atLeast"/>
        </w:trPr>
        <w:tc>
          <w:tcPr>
            <w:tcW w:w="3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DC98E">
            <w:pPr>
              <w:spacing w:line="360" w:lineRule="auto"/>
              <w:jc w:val="left"/>
              <w:rPr>
                <w:rFonts w:hint="eastAsia" w:ascii="宋体" w:hAnsi="宋体" w:cs="宋体"/>
                <w:color w:val="auto"/>
                <w:szCs w:val="21"/>
                <w:highlight w:val="none"/>
              </w:rPr>
            </w:pP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7FF909C7">
            <w:pPr>
              <w:widowControl/>
              <w:spacing w:line="360" w:lineRule="auto"/>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滩营乡</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14DA3BB3">
            <w:pPr>
              <w:widowControl/>
              <w:spacing w:line="360" w:lineRule="auto"/>
              <w:jc w:val="center"/>
              <w:textAlignment w:val="top"/>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022</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63A9A">
            <w:pPr>
              <w:spacing w:line="360" w:lineRule="auto"/>
              <w:jc w:val="center"/>
              <w:rPr>
                <w:rFonts w:hint="eastAsia" w:ascii="宋体" w:hAnsi="宋体" w:cs="宋体"/>
                <w:color w:val="auto"/>
                <w:szCs w:val="21"/>
                <w:highlight w:val="none"/>
              </w:rPr>
            </w:pP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AEFAB">
            <w:pPr>
              <w:spacing w:line="360" w:lineRule="auto"/>
              <w:jc w:val="center"/>
              <w:rPr>
                <w:rFonts w:hint="eastAsia" w:ascii="宋体" w:hAnsi="宋体" w:cs="宋体"/>
                <w:color w:val="auto"/>
                <w:szCs w:val="21"/>
                <w:highlight w:val="none"/>
              </w:rPr>
            </w:pPr>
          </w:p>
        </w:tc>
      </w:tr>
      <w:tr w14:paraId="0E38056B">
        <w:tblPrEx>
          <w:tblCellMar>
            <w:top w:w="0" w:type="dxa"/>
            <w:left w:w="108" w:type="dxa"/>
            <w:bottom w:w="0" w:type="dxa"/>
            <w:right w:w="108" w:type="dxa"/>
          </w:tblCellMar>
        </w:tblPrEx>
        <w:trPr>
          <w:trHeight w:val="500" w:hRule="atLeast"/>
        </w:trPr>
        <w:tc>
          <w:tcPr>
            <w:tcW w:w="35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228D10">
            <w:pPr>
              <w:spacing w:line="360" w:lineRule="auto"/>
              <w:jc w:val="left"/>
              <w:rPr>
                <w:rFonts w:hint="eastAsia" w:ascii="宋体" w:hAnsi="宋体" w:cs="宋体"/>
                <w:color w:val="auto"/>
                <w:szCs w:val="21"/>
                <w:highlight w:val="none"/>
              </w:rPr>
            </w:pP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47A325AE">
            <w:pPr>
              <w:widowControl/>
              <w:spacing w:line="360" w:lineRule="auto"/>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文昌街道</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132187C0">
            <w:pPr>
              <w:widowControl/>
              <w:spacing w:line="360" w:lineRule="auto"/>
              <w:jc w:val="center"/>
              <w:textAlignment w:val="top"/>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171</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CD583">
            <w:pPr>
              <w:spacing w:line="360" w:lineRule="auto"/>
              <w:jc w:val="center"/>
              <w:rPr>
                <w:rFonts w:hint="eastAsia" w:ascii="宋体" w:hAnsi="宋体" w:cs="宋体"/>
                <w:color w:val="auto"/>
                <w:szCs w:val="21"/>
                <w:highlight w:val="none"/>
              </w:rPr>
            </w:pP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8C7A3">
            <w:pPr>
              <w:spacing w:line="360" w:lineRule="auto"/>
              <w:jc w:val="center"/>
              <w:rPr>
                <w:rFonts w:hint="eastAsia" w:ascii="宋体" w:hAnsi="宋体" w:cs="宋体"/>
                <w:color w:val="auto"/>
                <w:szCs w:val="21"/>
                <w:highlight w:val="none"/>
              </w:rPr>
            </w:pPr>
          </w:p>
        </w:tc>
      </w:tr>
      <w:tr w14:paraId="1E9E9BCC">
        <w:tblPrEx>
          <w:tblCellMar>
            <w:top w:w="0" w:type="dxa"/>
            <w:left w:w="108" w:type="dxa"/>
            <w:bottom w:w="0" w:type="dxa"/>
            <w:right w:w="108" w:type="dxa"/>
          </w:tblCellMar>
        </w:tblPrEx>
        <w:trPr>
          <w:trHeight w:val="500" w:hRule="atLeast"/>
        </w:trPr>
        <w:tc>
          <w:tcPr>
            <w:tcW w:w="35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D6210A">
            <w:pPr>
              <w:widowControl/>
              <w:spacing w:line="360" w:lineRule="auto"/>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分标4（大菉镇、十万山乡、茅岭镇、珠河街道）</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51F4A1DC">
            <w:pPr>
              <w:widowControl/>
              <w:spacing w:line="360" w:lineRule="auto"/>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大菉镇</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13C03D75">
            <w:pPr>
              <w:widowControl/>
              <w:spacing w:line="360" w:lineRule="auto"/>
              <w:jc w:val="center"/>
              <w:textAlignment w:val="top"/>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2816</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087F8D1">
            <w:pPr>
              <w:widowControl/>
              <w:spacing w:line="360" w:lineRule="auto"/>
              <w:jc w:val="center"/>
              <w:textAlignment w:val="top"/>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7</w:t>
            </w:r>
            <w:r>
              <w:rPr>
                <w:rFonts w:hint="eastAsia" w:ascii="宋体" w:hAnsi="宋体" w:cs="宋体"/>
                <w:color w:val="auto"/>
                <w:kern w:val="0"/>
                <w:szCs w:val="21"/>
                <w:highlight w:val="none"/>
                <w:lang w:val="en-US" w:eastAsia="zh-CN" w:bidi="ar"/>
              </w:rPr>
              <w:t>005</w:t>
            </w:r>
          </w:p>
        </w:tc>
        <w:tc>
          <w:tcPr>
            <w:tcW w:w="1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5AF11E">
            <w:pPr>
              <w:widowControl/>
              <w:spacing w:line="360" w:lineRule="auto"/>
              <w:jc w:val="center"/>
              <w:textAlignment w:val="top"/>
              <w:rPr>
                <w:rFonts w:hint="default" w:ascii="宋体" w:hAnsi="宋体" w:cs="宋体"/>
                <w:color w:val="auto"/>
                <w:kern w:val="0"/>
                <w:szCs w:val="21"/>
                <w:highlight w:val="none"/>
                <w:lang w:val="en-US" w:bidi="ar"/>
              </w:rPr>
            </w:pPr>
            <w:r>
              <w:rPr>
                <w:rFonts w:hint="eastAsia" w:ascii="宋体" w:hAnsi="宋体"/>
                <w:color w:val="auto"/>
                <w:szCs w:val="21"/>
                <w:highlight w:val="none"/>
                <w:u w:val="none"/>
              </w:rPr>
              <w:t>6349</w:t>
            </w:r>
            <w:r>
              <w:rPr>
                <w:rFonts w:hint="eastAsia" w:ascii="宋体" w:hAnsi="宋体"/>
                <w:color w:val="auto"/>
                <w:szCs w:val="21"/>
                <w:highlight w:val="none"/>
                <w:u w:val="none"/>
                <w:lang w:val="en-US" w:eastAsia="zh-CN"/>
              </w:rPr>
              <w:t>000.00元</w:t>
            </w:r>
          </w:p>
        </w:tc>
      </w:tr>
      <w:tr w14:paraId="6F82E9D1">
        <w:tblPrEx>
          <w:tblCellMar>
            <w:top w:w="0" w:type="dxa"/>
            <w:left w:w="108" w:type="dxa"/>
            <w:bottom w:w="0" w:type="dxa"/>
            <w:right w:w="108" w:type="dxa"/>
          </w:tblCellMar>
        </w:tblPrEx>
        <w:trPr>
          <w:trHeight w:val="500" w:hRule="atLeast"/>
        </w:trPr>
        <w:tc>
          <w:tcPr>
            <w:tcW w:w="3545" w:type="dxa"/>
            <w:vMerge w:val="continue"/>
            <w:tcBorders>
              <w:top w:val="single" w:color="000000" w:sz="4" w:space="0"/>
              <w:left w:val="single" w:color="000000" w:sz="4" w:space="0"/>
              <w:bottom w:val="single" w:color="000000" w:sz="4" w:space="0"/>
              <w:right w:val="single" w:color="000000" w:sz="4" w:space="0"/>
            </w:tcBorders>
            <w:noWrap w:val="0"/>
            <w:vAlign w:val="top"/>
          </w:tcPr>
          <w:p w14:paraId="719E3531">
            <w:pPr>
              <w:spacing w:line="360" w:lineRule="auto"/>
              <w:jc w:val="center"/>
              <w:rPr>
                <w:rFonts w:hint="eastAsia" w:ascii="宋体" w:hAnsi="宋体" w:cs="宋体"/>
                <w:color w:val="auto"/>
                <w:szCs w:val="21"/>
                <w:highlight w:val="none"/>
              </w:rPr>
            </w:pP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53492151">
            <w:pPr>
              <w:widowControl/>
              <w:spacing w:line="360" w:lineRule="auto"/>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十万山乡</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4D9BCBA4">
            <w:pPr>
              <w:widowControl/>
              <w:spacing w:line="360" w:lineRule="auto"/>
              <w:jc w:val="center"/>
              <w:textAlignment w:val="top"/>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898</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top"/>
          </w:tcPr>
          <w:p w14:paraId="2DE4528E">
            <w:pPr>
              <w:spacing w:line="360" w:lineRule="auto"/>
              <w:jc w:val="center"/>
              <w:rPr>
                <w:rFonts w:hint="eastAsia" w:ascii="宋体" w:hAnsi="宋体" w:cs="宋体"/>
                <w:color w:val="auto"/>
                <w:szCs w:val="21"/>
                <w:highlight w:val="none"/>
              </w:rPr>
            </w:pP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top"/>
          </w:tcPr>
          <w:p w14:paraId="04A7650E">
            <w:pPr>
              <w:spacing w:line="360" w:lineRule="auto"/>
              <w:jc w:val="center"/>
              <w:rPr>
                <w:rFonts w:hint="eastAsia" w:ascii="宋体" w:hAnsi="宋体" w:cs="宋体"/>
                <w:color w:val="auto"/>
                <w:szCs w:val="21"/>
                <w:highlight w:val="none"/>
              </w:rPr>
            </w:pPr>
          </w:p>
        </w:tc>
      </w:tr>
      <w:tr w14:paraId="3920EC72">
        <w:tblPrEx>
          <w:tblCellMar>
            <w:top w:w="0" w:type="dxa"/>
            <w:left w:w="108" w:type="dxa"/>
            <w:bottom w:w="0" w:type="dxa"/>
            <w:right w:w="108" w:type="dxa"/>
          </w:tblCellMar>
        </w:tblPrEx>
        <w:trPr>
          <w:trHeight w:val="500" w:hRule="atLeast"/>
        </w:trPr>
        <w:tc>
          <w:tcPr>
            <w:tcW w:w="3545" w:type="dxa"/>
            <w:vMerge w:val="continue"/>
            <w:tcBorders>
              <w:top w:val="single" w:color="000000" w:sz="4" w:space="0"/>
              <w:left w:val="single" w:color="000000" w:sz="4" w:space="0"/>
              <w:bottom w:val="single" w:color="000000" w:sz="4" w:space="0"/>
              <w:right w:val="single" w:color="000000" w:sz="4" w:space="0"/>
            </w:tcBorders>
            <w:noWrap w:val="0"/>
            <w:vAlign w:val="top"/>
          </w:tcPr>
          <w:p w14:paraId="2B26B6B8">
            <w:pPr>
              <w:spacing w:line="360" w:lineRule="auto"/>
              <w:jc w:val="center"/>
              <w:rPr>
                <w:rFonts w:hint="eastAsia" w:ascii="宋体" w:hAnsi="宋体" w:cs="宋体"/>
                <w:color w:val="auto"/>
                <w:szCs w:val="21"/>
                <w:highlight w:val="none"/>
              </w:rPr>
            </w:pP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4B432601">
            <w:pPr>
              <w:widowControl/>
              <w:spacing w:line="360" w:lineRule="auto"/>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茅岭镇</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2FED888D">
            <w:pPr>
              <w:widowControl/>
              <w:spacing w:line="360" w:lineRule="auto"/>
              <w:jc w:val="center"/>
              <w:textAlignment w:val="top"/>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1875</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top"/>
          </w:tcPr>
          <w:p w14:paraId="158BF15D">
            <w:pPr>
              <w:spacing w:line="360" w:lineRule="auto"/>
              <w:jc w:val="center"/>
              <w:rPr>
                <w:rFonts w:hint="eastAsia" w:ascii="宋体" w:hAnsi="宋体" w:cs="宋体"/>
                <w:color w:val="auto"/>
                <w:szCs w:val="21"/>
                <w:highlight w:val="none"/>
              </w:rPr>
            </w:pP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top"/>
          </w:tcPr>
          <w:p w14:paraId="43D4C9E0">
            <w:pPr>
              <w:spacing w:line="360" w:lineRule="auto"/>
              <w:jc w:val="center"/>
              <w:rPr>
                <w:rFonts w:hint="eastAsia" w:ascii="宋体" w:hAnsi="宋体" w:cs="宋体"/>
                <w:color w:val="auto"/>
                <w:szCs w:val="21"/>
                <w:highlight w:val="none"/>
              </w:rPr>
            </w:pPr>
          </w:p>
        </w:tc>
      </w:tr>
      <w:tr w14:paraId="7AE5DBB9">
        <w:tblPrEx>
          <w:tblCellMar>
            <w:top w:w="0" w:type="dxa"/>
            <w:left w:w="108" w:type="dxa"/>
            <w:bottom w:w="0" w:type="dxa"/>
            <w:right w:w="108" w:type="dxa"/>
          </w:tblCellMar>
        </w:tblPrEx>
        <w:trPr>
          <w:trHeight w:val="500" w:hRule="atLeast"/>
        </w:trPr>
        <w:tc>
          <w:tcPr>
            <w:tcW w:w="3545" w:type="dxa"/>
            <w:vMerge w:val="continue"/>
            <w:tcBorders>
              <w:top w:val="single" w:color="000000" w:sz="4" w:space="0"/>
              <w:left w:val="single" w:color="000000" w:sz="4" w:space="0"/>
              <w:bottom w:val="single" w:color="000000" w:sz="4" w:space="0"/>
              <w:right w:val="single" w:color="000000" w:sz="4" w:space="0"/>
            </w:tcBorders>
            <w:noWrap w:val="0"/>
            <w:vAlign w:val="top"/>
          </w:tcPr>
          <w:p w14:paraId="70A8D8EE">
            <w:pPr>
              <w:spacing w:line="360" w:lineRule="auto"/>
              <w:jc w:val="center"/>
              <w:rPr>
                <w:rFonts w:hint="eastAsia" w:ascii="宋体" w:hAnsi="宋体" w:cs="宋体"/>
                <w:color w:val="auto"/>
                <w:szCs w:val="21"/>
                <w:highlight w:val="none"/>
              </w:rPr>
            </w:pPr>
          </w:p>
        </w:tc>
        <w:tc>
          <w:tcPr>
            <w:tcW w:w="1553" w:type="dxa"/>
            <w:tcBorders>
              <w:top w:val="single" w:color="000000" w:sz="4" w:space="0"/>
              <w:left w:val="single" w:color="000000" w:sz="4" w:space="0"/>
              <w:bottom w:val="single" w:color="000000" w:sz="4" w:space="0"/>
              <w:right w:val="single" w:color="000000" w:sz="4" w:space="0"/>
            </w:tcBorders>
            <w:noWrap w:val="0"/>
            <w:vAlign w:val="center"/>
          </w:tcPr>
          <w:p w14:paraId="4217931E">
            <w:pPr>
              <w:widowControl/>
              <w:spacing w:line="360" w:lineRule="auto"/>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珠河街道</w:t>
            </w:r>
          </w:p>
        </w:tc>
        <w:tc>
          <w:tcPr>
            <w:tcW w:w="1631" w:type="dxa"/>
            <w:tcBorders>
              <w:top w:val="single" w:color="000000" w:sz="4" w:space="0"/>
              <w:left w:val="single" w:color="000000" w:sz="4" w:space="0"/>
              <w:bottom w:val="single" w:color="000000" w:sz="4" w:space="0"/>
              <w:right w:val="single" w:color="000000" w:sz="4" w:space="0"/>
            </w:tcBorders>
            <w:noWrap w:val="0"/>
            <w:vAlign w:val="center"/>
          </w:tcPr>
          <w:p w14:paraId="57A22565">
            <w:pPr>
              <w:widowControl/>
              <w:spacing w:line="360" w:lineRule="auto"/>
              <w:jc w:val="center"/>
              <w:textAlignment w:val="top"/>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1416</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top"/>
          </w:tcPr>
          <w:p w14:paraId="31EAB263">
            <w:pPr>
              <w:spacing w:line="360" w:lineRule="auto"/>
              <w:jc w:val="center"/>
              <w:rPr>
                <w:rFonts w:hint="eastAsia" w:ascii="宋体" w:hAnsi="宋体" w:cs="宋体"/>
                <w:color w:val="auto"/>
                <w:szCs w:val="21"/>
                <w:highlight w:val="none"/>
              </w:rPr>
            </w:pPr>
          </w:p>
        </w:tc>
        <w:tc>
          <w:tcPr>
            <w:tcW w:w="1720" w:type="dxa"/>
            <w:vMerge w:val="continue"/>
            <w:tcBorders>
              <w:top w:val="single" w:color="000000" w:sz="4" w:space="0"/>
              <w:left w:val="single" w:color="000000" w:sz="4" w:space="0"/>
              <w:bottom w:val="single" w:color="000000" w:sz="4" w:space="0"/>
              <w:right w:val="single" w:color="000000" w:sz="4" w:space="0"/>
            </w:tcBorders>
            <w:noWrap w:val="0"/>
            <w:vAlign w:val="top"/>
          </w:tcPr>
          <w:p w14:paraId="70EC0EAB">
            <w:pPr>
              <w:spacing w:line="360" w:lineRule="auto"/>
              <w:jc w:val="center"/>
              <w:rPr>
                <w:rFonts w:hint="eastAsia" w:ascii="宋体" w:hAnsi="宋体" w:cs="宋体"/>
                <w:color w:val="auto"/>
                <w:szCs w:val="21"/>
                <w:highlight w:val="none"/>
              </w:rPr>
            </w:pPr>
          </w:p>
        </w:tc>
      </w:tr>
    </w:tbl>
    <w:p w14:paraId="1A008AC5">
      <w:pPr>
        <w:snapToGrid w:val="0"/>
        <w:jc w:val="left"/>
        <w:rPr>
          <w:rFonts w:hint="eastAsia"/>
          <w:color w:val="auto"/>
          <w:highlight w:val="none"/>
        </w:rPr>
      </w:pPr>
      <w:r>
        <w:rPr>
          <w:rFonts w:hint="eastAsia"/>
          <w:color w:val="auto"/>
          <w:highlight w:val="none"/>
        </w:rPr>
        <w:t xml:space="preserve"> </w:t>
      </w:r>
    </w:p>
    <w:p w14:paraId="74174A8B">
      <w:pPr>
        <w:spacing w:line="360" w:lineRule="auto"/>
        <w:ind w:firstLine="521" w:firstLineChars="247"/>
        <w:jc w:val="left"/>
        <w:rPr>
          <w:rFonts w:hint="eastAsia" w:ascii="宋体" w:hAnsi="宋体" w:eastAsia="宋体" w:cs="Times New Roman"/>
          <w:b/>
          <w:bCs/>
          <w:color w:val="auto"/>
          <w:sz w:val="24"/>
          <w:szCs w:val="32"/>
          <w:highlight w:val="none"/>
          <w:lang w:val="en-US" w:eastAsia="zh-CN"/>
        </w:rPr>
      </w:pPr>
      <w:r>
        <w:rPr>
          <w:rFonts w:hint="eastAsia"/>
          <w:b/>
          <w:bCs/>
          <w:color w:val="auto"/>
          <w:highlight w:val="none"/>
          <w:lang w:eastAsia="zh-CN"/>
        </w:rPr>
        <w:t>投标、中标原则说明：为保证本项目服务质量及服务完成进度，本项目设定多个分标，投标人可以对某个或某几个分标同时进行投标报价，但最多只能中标其中的一个分标，投标人在其中一个分标被评标委员会推荐为第一中标候选人的，不再参与后续其它分标的中标候选人推荐。本项目评标、定标顺序为分标</w:t>
      </w:r>
      <w:r>
        <w:rPr>
          <w:rFonts w:hint="eastAsia"/>
          <w:b/>
          <w:bCs/>
          <w:color w:val="auto"/>
          <w:highlight w:val="none"/>
          <w:lang w:val="en-US" w:eastAsia="zh-CN"/>
        </w:rPr>
        <w:t>1</w:t>
      </w:r>
      <w:r>
        <w:rPr>
          <w:rFonts w:hint="eastAsia"/>
          <w:b/>
          <w:bCs/>
          <w:color w:val="auto"/>
          <w:highlight w:val="none"/>
          <w:lang w:eastAsia="zh-CN"/>
        </w:rPr>
        <w:t>→分标</w:t>
      </w:r>
      <w:r>
        <w:rPr>
          <w:rFonts w:hint="eastAsia"/>
          <w:b/>
          <w:bCs/>
          <w:color w:val="auto"/>
          <w:highlight w:val="none"/>
          <w:lang w:val="en-US" w:eastAsia="zh-CN"/>
        </w:rPr>
        <w:t>2</w:t>
      </w:r>
      <w:r>
        <w:rPr>
          <w:rFonts w:hint="eastAsia"/>
          <w:b/>
          <w:bCs/>
          <w:color w:val="auto"/>
          <w:highlight w:val="none"/>
          <w:lang w:eastAsia="zh-CN"/>
        </w:rPr>
        <w:t>→分标</w:t>
      </w:r>
      <w:r>
        <w:rPr>
          <w:rFonts w:hint="eastAsia"/>
          <w:b/>
          <w:bCs/>
          <w:color w:val="auto"/>
          <w:highlight w:val="none"/>
          <w:lang w:val="en-US" w:eastAsia="zh-CN"/>
        </w:rPr>
        <w:t>3</w:t>
      </w:r>
      <w:r>
        <w:rPr>
          <w:rFonts w:hint="eastAsia"/>
          <w:b/>
          <w:bCs/>
          <w:color w:val="auto"/>
          <w:highlight w:val="none"/>
          <w:lang w:eastAsia="zh-CN"/>
        </w:rPr>
        <w:t>→分标</w:t>
      </w:r>
      <w:r>
        <w:rPr>
          <w:rFonts w:hint="eastAsia"/>
          <w:b/>
          <w:bCs/>
          <w:color w:val="auto"/>
          <w:highlight w:val="none"/>
          <w:lang w:val="en-US" w:eastAsia="zh-CN"/>
        </w:rPr>
        <w:t>4</w:t>
      </w:r>
      <w:r>
        <w:rPr>
          <w:rFonts w:hint="eastAsia"/>
          <w:b/>
          <w:bCs/>
          <w:color w:val="auto"/>
          <w:highlight w:val="none"/>
          <w:lang w:eastAsia="zh-CN"/>
        </w:rPr>
        <w:t>。</w:t>
      </w:r>
    </w:p>
    <w:p w14:paraId="2E7E33EC">
      <w:pPr>
        <w:spacing w:line="360" w:lineRule="auto"/>
        <w:ind w:firstLine="595" w:firstLineChars="247"/>
        <w:jc w:val="center"/>
        <w:rPr>
          <w:rFonts w:hint="eastAsia" w:ascii="宋体" w:hAnsi="宋体" w:eastAsia="宋体" w:cs="Times New Roman"/>
          <w:b/>
          <w:bCs/>
          <w:color w:val="auto"/>
          <w:sz w:val="24"/>
          <w:szCs w:val="32"/>
          <w:highlight w:val="none"/>
          <w:lang w:val="en-US" w:eastAsia="zh-CN"/>
        </w:rPr>
      </w:pPr>
    </w:p>
    <w:p w14:paraId="5EEE6BCA">
      <w:pPr>
        <w:spacing w:line="360" w:lineRule="auto"/>
        <w:rPr>
          <w:rFonts w:hint="eastAsia" w:ascii="宋体" w:hAnsi="宋体"/>
          <w:b/>
          <w:color w:val="auto"/>
          <w:sz w:val="21"/>
          <w:szCs w:val="21"/>
          <w:highlight w:val="none"/>
          <w:lang w:eastAsia="zh-CN"/>
        </w:rPr>
      </w:pPr>
    </w:p>
    <w:p w14:paraId="6267F039">
      <w:pPr>
        <w:pStyle w:val="4"/>
        <w:rPr>
          <w:rFonts w:hint="eastAsia" w:ascii="宋体" w:hAnsi="宋体"/>
          <w:b/>
          <w:color w:val="auto"/>
          <w:sz w:val="21"/>
          <w:szCs w:val="21"/>
          <w:highlight w:val="none"/>
          <w:lang w:eastAsia="zh-CN"/>
        </w:rPr>
      </w:pPr>
      <w:bookmarkStart w:id="0" w:name="_GoBack"/>
      <w:bookmarkEnd w:id="0"/>
    </w:p>
    <w:p w14:paraId="4A0715D1">
      <w:pPr>
        <w:rPr>
          <w:rFonts w:hint="eastAsia" w:ascii="宋体" w:hAnsi="宋体"/>
          <w:b/>
          <w:color w:val="auto"/>
          <w:sz w:val="21"/>
          <w:szCs w:val="21"/>
          <w:highlight w:val="none"/>
          <w:lang w:eastAsia="zh-CN"/>
        </w:rPr>
      </w:pPr>
    </w:p>
    <w:p w14:paraId="291C059A">
      <w:pPr>
        <w:pStyle w:val="4"/>
        <w:rPr>
          <w:rFonts w:hint="eastAsia" w:ascii="宋体" w:hAnsi="宋体"/>
          <w:b/>
          <w:color w:val="auto"/>
          <w:sz w:val="21"/>
          <w:szCs w:val="21"/>
          <w:highlight w:val="none"/>
          <w:lang w:eastAsia="zh-CN"/>
        </w:rPr>
      </w:pPr>
    </w:p>
    <w:p w14:paraId="05754681">
      <w:pPr>
        <w:rPr>
          <w:rFonts w:hint="eastAsia" w:ascii="宋体" w:hAnsi="宋体"/>
          <w:b/>
          <w:color w:val="auto"/>
          <w:sz w:val="21"/>
          <w:szCs w:val="21"/>
          <w:highlight w:val="none"/>
          <w:lang w:eastAsia="zh-CN"/>
        </w:rPr>
      </w:pPr>
    </w:p>
    <w:p w14:paraId="7DF8327A">
      <w:pPr>
        <w:pStyle w:val="4"/>
        <w:spacing w:line="360" w:lineRule="auto"/>
        <w:jc w:val="center"/>
        <w:rPr>
          <w:rFonts w:hint="eastAsia" w:ascii="宋体" w:hAnsi="宋体"/>
          <w:b/>
          <w:color w:val="auto"/>
          <w:sz w:val="36"/>
          <w:szCs w:val="36"/>
          <w:highlight w:val="none"/>
          <w:lang w:eastAsia="zh-CN"/>
        </w:rPr>
      </w:pPr>
      <w:r>
        <w:rPr>
          <w:rFonts w:hint="eastAsia" w:ascii="宋体" w:hAnsi="宋体"/>
          <w:b/>
          <w:color w:val="auto"/>
          <w:sz w:val="36"/>
          <w:szCs w:val="36"/>
          <w:highlight w:val="none"/>
          <w:lang w:eastAsia="zh-CN"/>
        </w:rPr>
        <w:t>采购需求一览表</w:t>
      </w:r>
    </w:p>
    <w:p w14:paraId="5A2F6A71">
      <w:pPr>
        <w:pStyle w:val="4"/>
        <w:spacing w:line="360" w:lineRule="auto"/>
        <w:rPr>
          <w:rFonts w:hint="eastAsia" w:ascii="宋体" w:hAnsi="宋体" w:eastAsia="宋体" w:cs="Times New Roman"/>
          <w:b/>
          <w:bCs/>
          <w:color w:val="auto"/>
          <w:kern w:val="2"/>
          <w:sz w:val="21"/>
          <w:szCs w:val="21"/>
          <w:highlight w:val="none"/>
          <w:lang w:val="en-US" w:eastAsia="zh-CN" w:bidi="ar-SA"/>
        </w:rPr>
      </w:pPr>
    </w:p>
    <w:p w14:paraId="6C2001CE">
      <w:pPr>
        <w:pStyle w:val="4"/>
        <w:spacing w:line="360" w:lineRule="auto"/>
        <w:rPr>
          <w:rFonts w:hint="default"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分标1、分标2、分标3、分标4</w:t>
      </w:r>
    </w:p>
    <w:tbl>
      <w:tblPr>
        <w:tblStyle w:val="6"/>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211"/>
        <w:gridCol w:w="1147"/>
        <w:gridCol w:w="6365"/>
      </w:tblGrid>
      <w:tr w14:paraId="0838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346" w:type="dxa"/>
            <w:gridSpan w:val="4"/>
            <w:tcBorders>
              <w:top w:val="single" w:color="auto" w:sz="4" w:space="0"/>
              <w:left w:val="single" w:color="auto" w:sz="4" w:space="0"/>
              <w:bottom w:val="single" w:color="auto" w:sz="4" w:space="0"/>
              <w:right w:val="single" w:color="auto" w:sz="4" w:space="0"/>
            </w:tcBorders>
            <w:noWrap w:val="0"/>
            <w:vAlign w:val="center"/>
          </w:tcPr>
          <w:p w14:paraId="265DB817">
            <w:pPr>
              <w:spacing w:line="360" w:lineRule="auto"/>
              <w:jc w:val="left"/>
              <w:rPr>
                <w:rFonts w:hint="default"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一、技术需求</w:t>
            </w:r>
          </w:p>
        </w:tc>
      </w:tr>
      <w:tr w14:paraId="01D0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7A3E70EA">
            <w:pPr>
              <w:widowControl/>
              <w:spacing w:line="360" w:lineRule="auto"/>
              <w:jc w:val="center"/>
              <w:rPr>
                <w:rFonts w:hint="eastAsia" w:ascii="宋体" w:hAnsi="宋体" w:cs="宋体"/>
                <w:b/>
                <w:color w:val="auto"/>
                <w:kern w:val="0"/>
                <w:sz w:val="21"/>
                <w:szCs w:val="21"/>
                <w:highlight w:val="none"/>
                <w:lang w:val="en-US" w:eastAsia="zh-CN" w:bidi="ar-SA"/>
              </w:rPr>
            </w:pPr>
            <w:r>
              <w:rPr>
                <w:rFonts w:hint="eastAsia" w:ascii="宋体" w:hAnsi="宋体" w:cs="宋体"/>
                <w:b/>
                <w:color w:val="auto"/>
                <w:kern w:val="0"/>
                <w:sz w:val="21"/>
                <w:szCs w:val="21"/>
                <w:highlight w:val="none"/>
              </w:rPr>
              <w:t>序号</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60938D4">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标的的</w:t>
            </w:r>
          </w:p>
          <w:p w14:paraId="04269E4B">
            <w:pPr>
              <w:widowControl/>
              <w:spacing w:line="360" w:lineRule="auto"/>
              <w:jc w:val="center"/>
              <w:rPr>
                <w:rFonts w:hint="eastAsia" w:ascii="宋体" w:hAnsi="宋体" w:cs="宋体"/>
                <w:b/>
                <w:color w:val="auto"/>
                <w:kern w:val="0"/>
                <w:sz w:val="21"/>
                <w:szCs w:val="21"/>
                <w:highlight w:val="none"/>
                <w:lang w:val="en-US" w:eastAsia="zh-CN" w:bidi="ar-SA"/>
              </w:rPr>
            </w:pPr>
            <w:r>
              <w:rPr>
                <w:rFonts w:hint="eastAsia" w:ascii="宋体" w:hAnsi="宋体" w:cs="宋体"/>
                <w:color w:val="auto"/>
                <w:szCs w:val="21"/>
                <w:highlight w:val="none"/>
              </w:rPr>
              <w:t>名称</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5C373C9F">
            <w:pPr>
              <w:tabs>
                <w:tab w:val="left" w:pos="180"/>
                <w:tab w:val="left" w:pos="1620"/>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数量及</w:t>
            </w:r>
          </w:p>
          <w:p w14:paraId="3623A2BD">
            <w:pPr>
              <w:tabs>
                <w:tab w:val="left" w:pos="180"/>
                <w:tab w:val="left" w:pos="1620"/>
              </w:tabs>
              <w:spacing w:line="360" w:lineRule="auto"/>
              <w:jc w:val="center"/>
              <w:rPr>
                <w:rFonts w:hint="eastAsia" w:ascii="宋体" w:hAnsi="宋体"/>
                <w:b/>
                <w:color w:val="auto"/>
                <w:kern w:val="2"/>
                <w:sz w:val="21"/>
                <w:szCs w:val="21"/>
                <w:highlight w:val="none"/>
                <w:lang w:val="en-US" w:eastAsia="zh-CN" w:bidi="ar-SA"/>
              </w:rPr>
            </w:pPr>
            <w:r>
              <w:rPr>
                <w:rFonts w:hint="eastAsia" w:ascii="宋体" w:hAnsi="宋体" w:cs="宋体"/>
                <w:color w:val="auto"/>
                <w:szCs w:val="21"/>
                <w:highlight w:val="none"/>
              </w:rPr>
              <w:t>单位</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3B7C13AF">
            <w:pPr>
              <w:spacing w:line="360" w:lineRule="auto"/>
              <w:jc w:val="center"/>
              <w:rPr>
                <w:rFonts w:hint="eastAsia" w:ascii="宋体" w:hAnsi="宋体"/>
                <w:b/>
                <w:bCs/>
                <w:color w:val="auto"/>
                <w:kern w:val="2"/>
                <w:sz w:val="21"/>
                <w:szCs w:val="21"/>
                <w:highlight w:val="none"/>
                <w:lang w:val="en-US" w:eastAsia="zh-CN" w:bidi="ar-SA"/>
              </w:rPr>
            </w:pPr>
            <w:r>
              <w:rPr>
                <w:rFonts w:hint="eastAsia" w:ascii="宋体" w:hAnsi="宋体"/>
                <w:b/>
                <w:bCs/>
                <w:color w:val="auto"/>
                <w:kern w:val="2"/>
                <w:sz w:val="21"/>
                <w:szCs w:val="21"/>
                <w:highlight w:val="none"/>
                <w:lang w:val="en-US" w:eastAsia="zh-CN" w:bidi="ar-SA"/>
              </w:rPr>
              <w:t>技术参数要求</w:t>
            </w:r>
          </w:p>
        </w:tc>
      </w:tr>
      <w:tr w14:paraId="31B1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21E548F4">
            <w:pPr>
              <w:widowControl/>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1</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AB34EFD">
            <w:pPr>
              <w:spacing w:line="360" w:lineRule="auto"/>
              <w:jc w:val="center"/>
              <w:rPr>
                <w:rFonts w:hint="eastAsia" w:ascii="宋体" w:hAnsi="宋体" w:cs="宋体"/>
                <w:color w:val="auto"/>
                <w:szCs w:val="21"/>
                <w:highlight w:val="none"/>
              </w:rPr>
            </w:pPr>
            <w:r>
              <w:rPr>
                <w:rFonts w:hint="eastAsia"/>
                <w:color w:val="auto"/>
                <w:sz w:val="21"/>
                <w:szCs w:val="21"/>
                <w:highlight w:val="none"/>
                <w:lang w:eastAsia="zh-CN"/>
              </w:rPr>
              <w:t>蔬</w:t>
            </w:r>
            <w:r>
              <w:rPr>
                <w:rFonts w:hint="eastAsia"/>
                <w:color w:val="auto"/>
                <w:sz w:val="21"/>
                <w:szCs w:val="21"/>
                <w:highlight w:val="none"/>
              </w:rPr>
              <w:t>菜类</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50B6C569">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1批</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091D0E20">
            <w:pPr>
              <w:spacing w:line="360" w:lineRule="auto"/>
              <w:rPr>
                <w:rFonts w:hint="eastAsia"/>
                <w:color w:val="auto"/>
                <w:szCs w:val="21"/>
                <w:highlight w:val="none"/>
              </w:rPr>
            </w:pPr>
            <w:r>
              <w:rPr>
                <w:rFonts w:hint="eastAsia"/>
                <w:b/>
                <w:bCs/>
                <w:color w:val="auto"/>
                <w:szCs w:val="21"/>
                <w:highlight w:val="none"/>
              </w:rPr>
              <w:t>1.冬瓜</w:t>
            </w:r>
            <w:r>
              <w:rPr>
                <w:rFonts w:hint="eastAsia"/>
                <w:color w:val="auto"/>
                <w:szCs w:val="21"/>
                <w:highlight w:val="none"/>
              </w:rPr>
              <w:t>：皮青翠，有白霜，肉洁白、厚嫩、紧密，膛小有一定硬度。无压伤、烂斑、较软，肉无空 隙、水分少、发糠。表皮平整光滑、无外伤腐烂。</w:t>
            </w:r>
          </w:p>
          <w:p w14:paraId="4C662FAF">
            <w:pPr>
              <w:spacing w:line="360" w:lineRule="auto"/>
              <w:rPr>
                <w:rFonts w:hint="eastAsia"/>
                <w:color w:val="auto"/>
                <w:szCs w:val="21"/>
                <w:highlight w:val="none"/>
              </w:rPr>
            </w:pPr>
            <w:r>
              <w:rPr>
                <w:rFonts w:hint="eastAsia"/>
                <w:b/>
                <w:bCs/>
                <w:color w:val="auto"/>
                <w:szCs w:val="21"/>
                <w:highlight w:val="none"/>
              </w:rPr>
              <w:t>2.</w:t>
            </w:r>
            <w:r>
              <w:rPr>
                <w:rFonts w:hint="eastAsia"/>
                <w:b/>
                <w:bCs/>
                <w:color w:val="auto"/>
                <w:szCs w:val="21"/>
                <w:highlight w:val="none"/>
                <w:lang w:eastAsia="zh-CN"/>
              </w:rPr>
              <w:t>南</w:t>
            </w:r>
            <w:r>
              <w:rPr>
                <w:rFonts w:hint="eastAsia"/>
                <w:b/>
                <w:bCs/>
                <w:color w:val="auto"/>
                <w:szCs w:val="21"/>
                <w:highlight w:val="none"/>
              </w:rPr>
              <w:t>瓜：</w:t>
            </w:r>
            <w:r>
              <w:rPr>
                <w:rFonts w:hint="eastAsia"/>
                <w:color w:val="auto"/>
                <w:szCs w:val="21"/>
                <w:highlight w:val="none"/>
              </w:rPr>
              <w:t>颜色金黄色或橙黄色，瓜形周正，肉金黄紧密、粉甜、表面 硬实，无斑疤、破裂、虫洞、料斑、 软烂、畸形。</w:t>
            </w:r>
          </w:p>
          <w:p w14:paraId="2864F43C">
            <w:pPr>
              <w:pStyle w:val="3"/>
              <w:spacing w:after="0" w:line="360" w:lineRule="auto"/>
              <w:ind w:left="0" w:leftChars="0"/>
              <w:jc w:val="left"/>
              <w:rPr>
                <w:rFonts w:hint="eastAsia"/>
                <w:color w:val="auto"/>
                <w:szCs w:val="21"/>
                <w:highlight w:val="none"/>
              </w:rPr>
            </w:pPr>
            <w:r>
              <w:rPr>
                <w:rFonts w:hint="eastAsia"/>
                <w:b/>
                <w:bCs/>
                <w:color w:val="auto"/>
                <w:szCs w:val="21"/>
                <w:highlight w:val="none"/>
              </w:rPr>
              <w:t>3.青瓜：</w:t>
            </w:r>
            <w:r>
              <w:rPr>
                <w:rFonts w:hint="eastAsia"/>
                <w:color w:val="auto"/>
                <w:szCs w:val="21"/>
                <w:highlight w:val="none"/>
              </w:rPr>
              <w:t>颜色青绿，瓜身细短、条直均匀瓜把小，顶花带剌，有白霜或光泽，无压伤、腐烂、断裂色黄、皮皱、肉白或空心。</w:t>
            </w:r>
          </w:p>
          <w:p w14:paraId="03132578">
            <w:pPr>
              <w:pStyle w:val="3"/>
              <w:spacing w:after="0" w:line="360" w:lineRule="auto"/>
              <w:ind w:left="0" w:leftChars="0"/>
              <w:jc w:val="left"/>
              <w:rPr>
                <w:rFonts w:hint="eastAsia"/>
                <w:color w:val="auto"/>
                <w:szCs w:val="21"/>
                <w:highlight w:val="none"/>
              </w:rPr>
            </w:pPr>
            <w:r>
              <w:rPr>
                <w:rFonts w:hint="eastAsia"/>
                <w:b/>
                <w:bCs/>
                <w:color w:val="auto"/>
                <w:szCs w:val="21"/>
                <w:highlight w:val="none"/>
              </w:rPr>
              <w:t>4.丝瓜：</w:t>
            </w:r>
            <w:r>
              <w:rPr>
                <w:rFonts w:hint="eastAsia"/>
                <w:color w:val="auto"/>
                <w:szCs w:val="21"/>
                <w:highlight w:val="none"/>
              </w:rPr>
              <w:t>皮颜色翠绿、薄嫩、有白霜，条直均匀、易断无弹性，肉洁白软嫩、子小，无弯曲、伤疤、烂斑、色发黄、皮粗糙。</w:t>
            </w:r>
          </w:p>
          <w:p w14:paraId="500366FF">
            <w:pPr>
              <w:pStyle w:val="3"/>
              <w:spacing w:after="0" w:line="360" w:lineRule="auto"/>
              <w:ind w:left="0" w:leftChars="0"/>
              <w:jc w:val="left"/>
              <w:rPr>
                <w:rFonts w:hint="eastAsia"/>
                <w:color w:val="auto"/>
                <w:szCs w:val="21"/>
                <w:highlight w:val="none"/>
              </w:rPr>
            </w:pPr>
            <w:r>
              <w:rPr>
                <w:rFonts w:hint="eastAsia"/>
                <w:b/>
                <w:bCs/>
                <w:color w:val="auto"/>
                <w:szCs w:val="21"/>
                <w:highlight w:val="none"/>
              </w:rPr>
              <w:t>5.节瓜：</w:t>
            </w:r>
            <w:r>
              <w:rPr>
                <w:rFonts w:hint="eastAsia"/>
                <w:color w:val="auto"/>
                <w:szCs w:val="21"/>
                <w:highlight w:val="none"/>
              </w:rPr>
              <w:t>皮颜色翠绿、薄嫩、肉洁白、厚嫩、紧密，表皮平整光滑、无外伤腐烂。</w:t>
            </w:r>
          </w:p>
          <w:p w14:paraId="74533A32">
            <w:pPr>
              <w:pStyle w:val="3"/>
              <w:spacing w:after="0" w:line="360" w:lineRule="auto"/>
              <w:ind w:left="0" w:leftChars="0"/>
              <w:jc w:val="left"/>
              <w:rPr>
                <w:rFonts w:hint="eastAsia"/>
                <w:color w:val="auto"/>
                <w:szCs w:val="21"/>
                <w:highlight w:val="none"/>
              </w:rPr>
            </w:pPr>
            <w:r>
              <w:rPr>
                <w:rFonts w:hint="eastAsia"/>
                <w:b/>
                <w:bCs/>
                <w:color w:val="auto"/>
                <w:szCs w:val="21"/>
                <w:highlight w:val="none"/>
              </w:rPr>
              <w:t>6.蒲瓜：</w:t>
            </w:r>
            <w:r>
              <w:rPr>
                <w:rFonts w:hint="eastAsia"/>
                <w:color w:val="auto"/>
                <w:szCs w:val="21"/>
                <w:highlight w:val="none"/>
              </w:rPr>
              <w:t>瓜体表面光滑有光泽，个头圆润、适中，无损伤。</w:t>
            </w:r>
          </w:p>
          <w:p w14:paraId="4450542E">
            <w:pPr>
              <w:spacing w:line="360" w:lineRule="auto"/>
              <w:rPr>
                <w:rFonts w:hint="eastAsia"/>
                <w:color w:val="auto"/>
                <w:szCs w:val="21"/>
                <w:highlight w:val="none"/>
              </w:rPr>
            </w:pPr>
            <w:r>
              <w:rPr>
                <w:rFonts w:hint="eastAsia"/>
                <w:b/>
                <w:bCs/>
                <w:color w:val="auto"/>
                <w:szCs w:val="21"/>
                <w:highlight w:val="none"/>
              </w:rPr>
              <w:t>7.白萝卜：</w:t>
            </w:r>
            <w:r>
              <w:rPr>
                <w:rFonts w:hint="eastAsia"/>
                <w:color w:val="auto"/>
                <w:szCs w:val="21"/>
                <w:highlight w:val="none"/>
              </w:rPr>
              <w:t>颜色洁白发亮，表面光滑、细腻，形体完整，底部切面洁白水分大，肉嫩脆，无糠心、空心、灰心、断裂、压伤、虫洞、毛根、糙皮、泥土、黄斑、褐斑。</w:t>
            </w:r>
          </w:p>
          <w:p w14:paraId="37BDEA00">
            <w:pPr>
              <w:spacing w:line="360" w:lineRule="auto"/>
              <w:rPr>
                <w:rFonts w:hint="eastAsia"/>
                <w:color w:val="auto"/>
                <w:szCs w:val="21"/>
                <w:highlight w:val="none"/>
              </w:rPr>
            </w:pPr>
            <w:r>
              <w:rPr>
                <w:rFonts w:hint="eastAsia"/>
                <w:b/>
                <w:bCs/>
                <w:color w:val="auto"/>
                <w:sz w:val="18"/>
                <w:szCs w:val="18"/>
                <w:highlight w:val="none"/>
              </w:rPr>
              <w:t>8.红萝卜：</w:t>
            </w:r>
            <w:r>
              <w:rPr>
                <w:rFonts w:hint="eastAsia"/>
                <w:color w:val="auto"/>
                <w:szCs w:val="21"/>
                <w:highlight w:val="none"/>
              </w:rPr>
              <w:t>颜色红色可橘黄色，表面光滑、条直匀称，粗壮、硬实，肉质甜脆、中心柱细小，无硬芯，表皮无争缩、刀伤、开裂、体软、褐斑、发糠、泥土。</w:t>
            </w:r>
          </w:p>
          <w:p w14:paraId="1F56D4C8">
            <w:pPr>
              <w:spacing w:line="360" w:lineRule="auto"/>
              <w:rPr>
                <w:rFonts w:hint="eastAsia"/>
                <w:color w:val="auto"/>
                <w:szCs w:val="21"/>
                <w:highlight w:val="none"/>
              </w:rPr>
            </w:pPr>
            <w:r>
              <w:rPr>
                <w:rFonts w:hint="eastAsia"/>
                <w:b/>
                <w:bCs/>
                <w:color w:val="auto"/>
                <w:szCs w:val="21"/>
                <w:highlight w:val="none"/>
              </w:rPr>
              <w:t>9.大白菜：</w:t>
            </w:r>
            <w:r>
              <w:rPr>
                <w:rFonts w:hint="eastAsia"/>
                <w:color w:val="auto"/>
                <w:szCs w:val="21"/>
                <w:highlight w:val="none"/>
              </w:rPr>
              <w:t>外叶淡绿色、奶黄色；内叶乳白色，棵株大、完整、新鲜有光泽。包心坚实紧密无发芽，根部断面洁白完整，无空心、压伤、冻伤、虫蛀、雨淋、水浸、裂缝、老帮黄叶、外叶萎蔫、包心松、泥土。</w:t>
            </w:r>
          </w:p>
          <w:p w14:paraId="561B795F">
            <w:pPr>
              <w:spacing w:line="360" w:lineRule="auto"/>
              <w:rPr>
                <w:rFonts w:hint="eastAsia"/>
                <w:color w:val="auto"/>
                <w:szCs w:val="21"/>
                <w:highlight w:val="none"/>
              </w:rPr>
            </w:pPr>
            <w:r>
              <w:rPr>
                <w:rFonts w:hint="eastAsia"/>
                <w:b/>
                <w:bCs/>
                <w:color w:val="auto"/>
                <w:szCs w:val="21"/>
                <w:highlight w:val="none"/>
              </w:rPr>
              <w:t>10.小白菜</w:t>
            </w:r>
            <w:r>
              <w:rPr>
                <w:rFonts w:hint="eastAsia"/>
                <w:color w:val="auto"/>
                <w:szCs w:val="21"/>
                <w:highlight w:val="none"/>
              </w:rPr>
              <w:t>：梗白色，较嫩较短，叶子淡绿色，整棵菜水分充足，无根无腐烂现象。</w:t>
            </w:r>
          </w:p>
          <w:p w14:paraId="0A675F6E">
            <w:pPr>
              <w:spacing w:line="360" w:lineRule="auto"/>
              <w:rPr>
                <w:rFonts w:hint="eastAsia"/>
                <w:color w:val="auto"/>
                <w:szCs w:val="21"/>
                <w:highlight w:val="none"/>
              </w:rPr>
            </w:pPr>
            <w:r>
              <w:rPr>
                <w:rFonts w:hint="eastAsia"/>
                <w:b/>
                <w:bCs/>
                <w:color w:val="auto"/>
                <w:szCs w:val="21"/>
                <w:highlight w:val="none"/>
              </w:rPr>
              <w:t>11.上海青：</w:t>
            </w:r>
            <w:r>
              <w:rPr>
                <w:rFonts w:hint="eastAsia"/>
                <w:color w:val="auto"/>
                <w:szCs w:val="21"/>
                <w:highlight w:val="none"/>
              </w:rPr>
              <w:t>梗短粗，呈淡绿色或白色，叶子厚、肥大，主茎无花蕾，水分充足。</w:t>
            </w:r>
          </w:p>
          <w:p w14:paraId="4C476FD6">
            <w:pPr>
              <w:spacing w:line="360" w:lineRule="auto"/>
              <w:rPr>
                <w:color w:val="auto"/>
                <w:szCs w:val="21"/>
                <w:highlight w:val="none"/>
              </w:rPr>
            </w:pPr>
            <w:r>
              <w:rPr>
                <w:rFonts w:hint="eastAsia"/>
                <w:b/>
                <w:bCs/>
                <w:color w:val="auto"/>
                <w:szCs w:val="21"/>
                <w:highlight w:val="none"/>
              </w:rPr>
              <w:t>12.韭菜：</w:t>
            </w:r>
            <w:r>
              <w:rPr>
                <w:rFonts w:hint="eastAsia"/>
                <w:color w:val="auto"/>
                <w:szCs w:val="21"/>
                <w:highlight w:val="none"/>
              </w:rPr>
              <w:t>叶较宽，挺直，翠绿色，概况洁白，软嫩且有韭香味，长20cm以内。</w:t>
            </w:r>
          </w:p>
          <w:p w14:paraId="077B263F">
            <w:pPr>
              <w:spacing w:line="360" w:lineRule="auto"/>
              <w:rPr>
                <w:color w:val="auto"/>
                <w:szCs w:val="21"/>
                <w:highlight w:val="none"/>
              </w:rPr>
            </w:pPr>
            <w:r>
              <w:rPr>
                <w:rFonts w:hint="eastAsia"/>
                <w:b/>
                <w:bCs/>
                <w:color w:val="auto"/>
                <w:szCs w:val="21"/>
                <w:highlight w:val="none"/>
              </w:rPr>
              <w:t>13.香芹：</w:t>
            </w:r>
            <w:r>
              <w:rPr>
                <w:rFonts w:hint="eastAsia"/>
                <w:color w:val="auto"/>
                <w:szCs w:val="21"/>
                <w:highlight w:val="none"/>
              </w:rPr>
              <w:t>叶翠绿，无主茎，分支少，根细，茎挺直，芹香味浓，水分 充足，长约30cm.</w:t>
            </w:r>
          </w:p>
          <w:p w14:paraId="08A6DBE2">
            <w:pPr>
              <w:spacing w:line="360" w:lineRule="auto"/>
              <w:rPr>
                <w:color w:val="auto"/>
                <w:szCs w:val="21"/>
                <w:highlight w:val="none"/>
              </w:rPr>
            </w:pPr>
            <w:r>
              <w:rPr>
                <w:rFonts w:hint="eastAsia"/>
                <w:b/>
                <w:bCs/>
                <w:color w:val="auto"/>
                <w:szCs w:val="21"/>
                <w:highlight w:val="none"/>
              </w:rPr>
              <w:t>14.西芹：</w:t>
            </w:r>
            <w:r>
              <w:rPr>
                <w:rFonts w:hint="eastAsia"/>
                <w:color w:val="auto"/>
                <w:szCs w:val="21"/>
                <w:highlight w:val="none"/>
              </w:rPr>
              <w:t>叶茎宽厚，颜色深绿，新鲜肥嫩，爽口无渣，根部绿白色，茎长30-45cm</w:t>
            </w:r>
          </w:p>
          <w:p w14:paraId="67E794BC">
            <w:pPr>
              <w:spacing w:line="360" w:lineRule="auto"/>
              <w:rPr>
                <w:rFonts w:hint="eastAsia"/>
                <w:color w:val="auto"/>
                <w:szCs w:val="21"/>
                <w:highlight w:val="none"/>
              </w:rPr>
            </w:pPr>
            <w:r>
              <w:rPr>
                <w:rFonts w:hint="eastAsia"/>
                <w:b/>
                <w:bCs/>
                <w:color w:val="auto"/>
                <w:szCs w:val="21"/>
                <w:highlight w:val="none"/>
              </w:rPr>
              <w:t>15.生菜：</w:t>
            </w:r>
            <w:r>
              <w:rPr>
                <w:rFonts w:hint="eastAsia"/>
                <w:color w:val="auto"/>
                <w:szCs w:val="21"/>
                <w:highlight w:val="none"/>
              </w:rPr>
              <w:t>颜色淡绿，叶子水分充足，脆嫩薄，可竖起，棵株挺直。</w:t>
            </w:r>
          </w:p>
          <w:p w14:paraId="66BB6E76">
            <w:pPr>
              <w:spacing w:line="360" w:lineRule="auto"/>
              <w:rPr>
                <w:color w:val="auto"/>
                <w:szCs w:val="21"/>
                <w:highlight w:val="none"/>
              </w:rPr>
            </w:pPr>
            <w:r>
              <w:rPr>
                <w:rFonts w:hint="eastAsia"/>
                <w:b/>
                <w:bCs/>
                <w:color w:val="auto"/>
                <w:szCs w:val="21"/>
                <w:highlight w:val="none"/>
              </w:rPr>
              <w:t>16空心菜：</w:t>
            </w:r>
            <w:r>
              <w:rPr>
                <w:rFonts w:hint="eastAsia"/>
                <w:color w:val="auto"/>
                <w:szCs w:val="21"/>
                <w:highlight w:val="none"/>
              </w:rPr>
              <w:t>叶薄小翠绿，有光泽，棵株挺直，梗细嫩脆，淡绿色，无黄斑，易折断，棵株约15cm</w:t>
            </w:r>
          </w:p>
          <w:p w14:paraId="2F732A23">
            <w:pPr>
              <w:spacing w:line="360" w:lineRule="auto"/>
              <w:rPr>
                <w:rFonts w:hint="eastAsia"/>
                <w:color w:val="auto"/>
                <w:szCs w:val="21"/>
                <w:highlight w:val="none"/>
              </w:rPr>
            </w:pPr>
            <w:r>
              <w:rPr>
                <w:rFonts w:hint="eastAsia"/>
                <w:b/>
                <w:bCs/>
                <w:color w:val="auto"/>
                <w:szCs w:val="21"/>
                <w:highlight w:val="none"/>
              </w:rPr>
              <w:t>17.尖椒：</w:t>
            </w:r>
            <w:r>
              <w:rPr>
                <w:rFonts w:hint="eastAsia"/>
                <w:color w:val="auto"/>
                <w:szCs w:val="21"/>
                <w:highlight w:val="none"/>
              </w:rPr>
              <w:t>细长圆锥状，颜色黄绿或碧绿，有光泽，表面光滑，饱满有一定硬度和弹性。</w:t>
            </w:r>
          </w:p>
          <w:p w14:paraId="6F7B4213">
            <w:pPr>
              <w:spacing w:line="360" w:lineRule="auto"/>
              <w:rPr>
                <w:rFonts w:hint="eastAsia"/>
                <w:color w:val="auto"/>
                <w:szCs w:val="21"/>
                <w:highlight w:val="none"/>
              </w:rPr>
            </w:pPr>
            <w:r>
              <w:rPr>
                <w:rFonts w:hint="eastAsia"/>
                <w:b/>
                <w:bCs/>
                <w:color w:val="auto"/>
                <w:szCs w:val="21"/>
                <w:highlight w:val="none"/>
              </w:rPr>
              <w:t>18.细圆椒：</w:t>
            </w:r>
            <w:r>
              <w:rPr>
                <w:rFonts w:hint="eastAsia"/>
                <w:color w:val="auto"/>
                <w:szCs w:val="21"/>
                <w:highlight w:val="none"/>
              </w:rPr>
              <w:t>颜色红艳，有光泽，表面光滑，饱满有一定吏度和弹性，形状、肉层、味道依品种不同而有别</w:t>
            </w:r>
          </w:p>
          <w:p w14:paraId="4EF11600">
            <w:pPr>
              <w:spacing w:line="360" w:lineRule="auto"/>
              <w:rPr>
                <w:rFonts w:hint="eastAsia"/>
                <w:color w:val="auto"/>
                <w:szCs w:val="21"/>
                <w:highlight w:val="none"/>
              </w:rPr>
            </w:pPr>
            <w:r>
              <w:rPr>
                <w:rFonts w:hint="eastAsia"/>
                <w:b/>
                <w:bCs/>
                <w:color w:val="auto"/>
                <w:szCs w:val="21"/>
                <w:highlight w:val="none"/>
              </w:rPr>
              <w:t>19.娃娃菜：</w:t>
            </w:r>
            <w:r>
              <w:rPr>
                <w:rFonts w:hint="eastAsia"/>
                <w:color w:val="auto"/>
                <w:szCs w:val="21"/>
                <w:highlight w:val="none"/>
              </w:rPr>
              <w:t>叶子嫩黄，菜帮薄，叶脉细，页面平整，微甜，味道无生性味。</w:t>
            </w:r>
          </w:p>
          <w:p w14:paraId="65816581">
            <w:pPr>
              <w:spacing w:line="360" w:lineRule="auto"/>
              <w:rPr>
                <w:rFonts w:hint="eastAsia"/>
                <w:color w:val="auto"/>
                <w:szCs w:val="21"/>
                <w:highlight w:val="none"/>
              </w:rPr>
            </w:pPr>
            <w:r>
              <w:rPr>
                <w:rFonts w:hint="eastAsia"/>
                <w:b/>
                <w:bCs/>
                <w:color w:val="auto"/>
                <w:szCs w:val="21"/>
                <w:highlight w:val="none"/>
              </w:rPr>
              <w:t>20.包菜：</w:t>
            </w:r>
            <w:r>
              <w:rPr>
                <w:rFonts w:hint="eastAsia"/>
                <w:color w:val="auto"/>
                <w:szCs w:val="21"/>
                <w:highlight w:val="none"/>
              </w:rPr>
              <w:t>外叶淡绿色，内叶淡色，叶肥厚硬脆，棵株大，完整，包心坚实紧密，根部断面洁白完整。</w:t>
            </w:r>
          </w:p>
          <w:p w14:paraId="58F2477B">
            <w:pPr>
              <w:spacing w:line="360" w:lineRule="auto"/>
              <w:rPr>
                <w:rFonts w:hint="eastAsia"/>
                <w:color w:val="auto"/>
                <w:szCs w:val="21"/>
                <w:highlight w:val="none"/>
              </w:rPr>
            </w:pPr>
            <w:r>
              <w:rPr>
                <w:rFonts w:hint="eastAsia"/>
                <w:b/>
                <w:bCs/>
                <w:color w:val="auto"/>
                <w:szCs w:val="21"/>
                <w:highlight w:val="none"/>
              </w:rPr>
              <w:t>21.莴笋：</w:t>
            </w:r>
            <w:r>
              <w:rPr>
                <w:rFonts w:hint="eastAsia"/>
                <w:color w:val="auto"/>
                <w:szCs w:val="21"/>
                <w:highlight w:val="none"/>
              </w:rPr>
              <w:t>笋形粗壮，条直，均匀，叶绿色，茎皮光泽，绿或淡绿色，断面碧绿，嫩叶少。</w:t>
            </w:r>
          </w:p>
          <w:p w14:paraId="0BD440B8">
            <w:pPr>
              <w:spacing w:line="360" w:lineRule="auto"/>
              <w:rPr>
                <w:rFonts w:hint="eastAsia"/>
                <w:color w:val="auto"/>
                <w:szCs w:val="21"/>
                <w:highlight w:val="none"/>
              </w:rPr>
            </w:pPr>
            <w:r>
              <w:rPr>
                <w:rFonts w:hint="eastAsia"/>
                <w:b/>
                <w:bCs/>
                <w:color w:val="auto"/>
                <w:szCs w:val="21"/>
                <w:highlight w:val="none"/>
              </w:rPr>
              <w:t>22.蒜苔：</w:t>
            </w:r>
            <w:r>
              <w:rPr>
                <w:rFonts w:hint="eastAsia"/>
                <w:color w:val="auto"/>
                <w:szCs w:val="21"/>
                <w:highlight w:val="none"/>
              </w:rPr>
              <w:t>颜色深绿，梗细，有光泽，挺直，鲜嫩，指甲掐之易断。</w:t>
            </w:r>
          </w:p>
          <w:p w14:paraId="4FC0319E">
            <w:pPr>
              <w:spacing w:line="360" w:lineRule="auto"/>
              <w:rPr>
                <w:rFonts w:hint="eastAsia"/>
                <w:color w:val="auto"/>
                <w:szCs w:val="21"/>
                <w:highlight w:val="none"/>
              </w:rPr>
            </w:pPr>
            <w:r>
              <w:rPr>
                <w:rFonts w:hint="eastAsia"/>
                <w:b/>
                <w:bCs/>
                <w:color w:val="auto"/>
                <w:szCs w:val="21"/>
                <w:highlight w:val="none"/>
                <w:lang w:val="en-US" w:eastAsia="zh-CN"/>
              </w:rPr>
              <w:t>2</w:t>
            </w:r>
            <w:r>
              <w:rPr>
                <w:rFonts w:hint="eastAsia"/>
                <w:b/>
                <w:bCs/>
                <w:color w:val="auto"/>
                <w:szCs w:val="21"/>
                <w:highlight w:val="none"/>
              </w:rPr>
              <w:t>3.花椰菜：</w:t>
            </w:r>
            <w:r>
              <w:rPr>
                <w:rFonts w:hint="eastAsia"/>
                <w:color w:val="auto"/>
                <w:szCs w:val="21"/>
                <w:highlight w:val="none"/>
              </w:rPr>
              <w:t>花蕾颜色洁白或乳白，细密坚实不散，球形完整，表面湿润，花梗乳白或淡绿，紧凑，外叶绿色且少，主茎短，断面洁白。</w:t>
            </w:r>
          </w:p>
          <w:p w14:paraId="2064FA79">
            <w:pPr>
              <w:spacing w:line="360" w:lineRule="auto"/>
              <w:rPr>
                <w:rFonts w:hint="eastAsia"/>
                <w:color w:val="auto"/>
                <w:szCs w:val="21"/>
                <w:highlight w:val="none"/>
              </w:rPr>
            </w:pPr>
            <w:r>
              <w:rPr>
                <w:rFonts w:hint="eastAsia"/>
                <w:b/>
                <w:bCs/>
                <w:color w:val="auto"/>
                <w:szCs w:val="21"/>
                <w:highlight w:val="none"/>
              </w:rPr>
              <w:t>24.西兰花：</w:t>
            </w:r>
            <w:r>
              <w:rPr>
                <w:rFonts w:hint="eastAsia"/>
                <w:color w:val="auto"/>
                <w:szCs w:val="21"/>
                <w:highlight w:val="none"/>
              </w:rPr>
              <w:t>花蕾颜色深绿，细密坚实不散，球形完整，表面有白霜，花梗深绿，紧凑，外叶绿色且少，主茎短。</w:t>
            </w:r>
          </w:p>
          <w:p w14:paraId="584D1EEB">
            <w:pPr>
              <w:spacing w:line="360" w:lineRule="auto"/>
              <w:rPr>
                <w:rFonts w:hint="eastAsia"/>
                <w:color w:val="auto"/>
                <w:szCs w:val="21"/>
                <w:highlight w:val="none"/>
              </w:rPr>
            </w:pPr>
            <w:r>
              <w:rPr>
                <w:rFonts w:hint="eastAsia"/>
                <w:b/>
                <w:bCs/>
                <w:color w:val="auto"/>
                <w:szCs w:val="21"/>
                <w:highlight w:val="none"/>
              </w:rPr>
              <w:t>25.包心菜：</w:t>
            </w:r>
            <w:r>
              <w:rPr>
                <w:rFonts w:hint="eastAsia"/>
                <w:color w:val="auto"/>
                <w:szCs w:val="21"/>
                <w:highlight w:val="none"/>
              </w:rPr>
              <w:t>叶新鲜光泽，棵株大、完整，包心坚实紧密，根部断面洁白完整无空心、乱心、压伤、冻伤、虫蛀、雨淋、水浸、裂缝、老帮黄叶、外叶萎蔫、包心松、泥土，无苔。</w:t>
            </w:r>
          </w:p>
          <w:p w14:paraId="17C12E43">
            <w:pPr>
              <w:spacing w:line="360" w:lineRule="auto"/>
              <w:rPr>
                <w:rFonts w:hint="eastAsia"/>
                <w:color w:val="auto"/>
                <w:szCs w:val="21"/>
                <w:highlight w:val="none"/>
              </w:rPr>
            </w:pPr>
            <w:r>
              <w:rPr>
                <w:rFonts w:hint="eastAsia"/>
                <w:b/>
                <w:bCs/>
                <w:color w:val="auto"/>
                <w:szCs w:val="21"/>
                <w:highlight w:val="none"/>
              </w:rPr>
              <w:t>26.西红柿：</w:t>
            </w:r>
            <w:r>
              <w:rPr>
                <w:rFonts w:hint="eastAsia"/>
                <w:color w:val="auto"/>
                <w:szCs w:val="21"/>
                <w:highlight w:val="none"/>
              </w:rPr>
              <w:t>颜色大红、粉红或黄色，光泽亮艳，个大圆整饱满有弹性，肉厚籽少，无叶、无腐烂、压伤、过软、过硬、斑点、畸形、表面光滑无干疤。</w:t>
            </w:r>
          </w:p>
          <w:p w14:paraId="04605FD6">
            <w:pPr>
              <w:spacing w:line="360" w:lineRule="auto"/>
              <w:rPr>
                <w:rFonts w:hint="eastAsia"/>
                <w:color w:val="auto"/>
                <w:szCs w:val="21"/>
                <w:highlight w:val="none"/>
              </w:rPr>
            </w:pPr>
            <w:r>
              <w:rPr>
                <w:rFonts w:hint="eastAsia"/>
                <w:b/>
                <w:bCs/>
                <w:color w:val="auto"/>
                <w:szCs w:val="21"/>
                <w:highlight w:val="none"/>
              </w:rPr>
              <w:t>27.茄子：</w:t>
            </w:r>
            <w:r>
              <w:rPr>
                <w:rFonts w:hint="eastAsia"/>
                <w:color w:val="auto"/>
                <w:szCs w:val="21"/>
                <w:highlight w:val="none"/>
              </w:rPr>
              <w:t>色正（青、紫、白）、形正（棒形、卵形、灯泡形）、表面光滑有光泽，有弹性不软、无压伤、虫蛀、烂斑、皮皱。</w:t>
            </w:r>
          </w:p>
          <w:p w14:paraId="58120B9D">
            <w:pPr>
              <w:spacing w:line="360" w:lineRule="auto"/>
              <w:rPr>
                <w:rFonts w:hint="eastAsia" w:eastAsia="宋体"/>
                <w:color w:val="auto"/>
                <w:szCs w:val="21"/>
                <w:highlight w:val="none"/>
                <w:lang w:eastAsia="zh-CN"/>
              </w:rPr>
            </w:pPr>
            <w:r>
              <w:rPr>
                <w:rFonts w:hint="eastAsia"/>
                <w:b/>
                <w:bCs/>
                <w:color w:val="auto"/>
                <w:szCs w:val="21"/>
                <w:highlight w:val="none"/>
              </w:rPr>
              <w:t>28.洋葱：</w:t>
            </w:r>
            <w:r>
              <w:rPr>
                <w:rFonts w:hint="eastAsia"/>
                <w:color w:val="auto"/>
                <w:szCs w:val="21"/>
                <w:highlight w:val="none"/>
              </w:rPr>
              <w:t>鳞片颜色粉白或紫白，鳞片肥厚完整无损，抱合紧密，球茎干度适中、有一定硬度。无腐烂、干枯、过软、裂开、发芽、发乌、泥土。单个</w:t>
            </w:r>
            <w:r>
              <w:rPr>
                <w:color w:val="auto"/>
                <w:szCs w:val="21"/>
                <w:highlight w:val="none"/>
              </w:rPr>
              <w:t>≥</w:t>
            </w:r>
            <w:r>
              <w:rPr>
                <w:rFonts w:hint="eastAsia"/>
                <w:color w:val="auto"/>
                <w:szCs w:val="21"/>
                <w:highlight w:val="none"/>
              </w:rPr>
              <w:t>250g</w:t>
            </w:r>
            <w:r>
              <w:rPr>
                <w:rFonts w:hint="eastAsia"/>
                <w:color w:val="auto"/>
                <w:szCs w:val="21"/>
                <w:highlight w:val="none"/>
                <w:lang w:eastAsia="zh-CN"/>
              </w:rPr>
              <w:t>。</w:t>
            </w:r>
          </w:p>
          <w:p w14:paraId="32075399">
            <w:pPr>
              <w:pStyle w:val="4"/>
              <w:spacing w:line="360" w:lineRule="auto"/>
              <w:rPr>
                <w:rFonts w:hint="eastAsia"/>
                <w:color w:val="auto"/>
                <w:sz w:val="21"/>
                <w:szCs w:val="21"/>
                <w:highlight w:val="none"/>
              </w:rPr>
            </w:pPr>
            <w:r>
              <w:rPr>
                <w:rFonts w:hint="eastAsia"/>
                <w:b/>
                <w:bCs/>
                <w:color w:val="auto"/>
                <w:sz w:val="21"/>
                <w:szCs w:val="21"/>
                <w:highlight w:val="none"/>
              </w:rPr>
              <w:t>29.荷兰豆：</w:t>
            </w:r>
            <w:r>
              <w:rPr>
                <w:rFonts w:hint="eastAsia"/>
                <w:color w:val="auto"/>
                <w:sz w:val="21"/>
                <w:szCs w:val="21"/>
                <w:highlight w:val="none"/>
              </w:rPr>
              <w:t>颜色嫩绿有光泽，挺直，折之易断，筋丝不明显，豆粒小</w:t>
            </w:r>
            <w:r>
              <w:rPr>
                <w:rFonts w:hint="eastAsia"/>
                <w:color w:val="auto"/>
                <w:sz w:val="21"/>
                <w:szCs w:val="21"/>
                <w:highlight w:val="none"/>
                <w:lang w:val="en-US" w:eastAsia="zh-CN"/>
              </w:rPr>
              <w:t>或</w:t>
            </w:r>
            <w:r>
              <w:rPr>
                <w:rFonts w:hint="eastAsia"/>
                <w:color w:val="auto"/>
                <w:sz w:val="21"/>
                <w:szCs w:val="21"/>
                <w:highlight w:val="none"/>
              </w:rPr>
              <w:t>无。</w:t>
            </w:r>
          </w:p>
          <w:p w14:paraId="78EBFC3C">
            <w:pPr>
              <w:spacing w:line="360" w:lineRule="auto"/>
              <w:rPr>
                <w:rFonts w:hint="eastAsia"/>
                <w:color w:val="auto"/>
                <w:szCs w:val="21"/>
                <w:highlight w:val="none"/>
              </w:rPr>
            </w:pPr>
            <w:r>
              <w:rPr>
                <w:rFonts w:hint="eastAsia"/>
                <w:b/>
                <w:bCs/>
                <w:color w:val="auto"/>
                <w:szCs w:val="21"/>
                <w:highlight w:val="none"/>
              </w:rPr>
              <w:t>30.土豆：</w:t>
            </w:r>
            <w:r>
              <w:rPr>
                <w:rFonts w:hint="eastAsia"/>
                <w:color w:val="auto"/>
                <w:szCs w:val="21"/>
                <w:highlight w:val="none"/>
              </w:rPr>
              <w:t>颜色为淡黄色，个大形正、大小均匀、表皮光滑，体硬不软，饱满，无虫眼、无斑点。</w:t>
            </w:r>
          </w:p>
          <w:p w14:paraId="1E2BE505">
            <w:pPr>
              <w:pStyle w:val="4"/>
              <w:spacing w:line="360" w:lineRule="auto"/>
              <w:rPr>
                <w:rFonts w:hint="eastAsia"/>
                <w:color w:val="auto"/>
                <w:sz w:val="21"/>
                <w:szCs w:val="21"/>
                <w:highlight w:val="none"/>
              </w:rPr>
            </w:pPr>
            <w:r>
              <w:rPr>
                <w:rFonts w:hint="eastAsia"/>
                <w:b/>
                <w:bCs/>
                <w:color w:val="auto"/>
                <w:sz w:val="21"/>
                <w:szCs w:val="21"/>
                <w:highlight w:val="none"/>
              </w:rPr>
              <w:t>31.山药：</w:t>
            </w:r>
            <w:r>
              <w:rPr>
                <w:rFonts w:hint="eastAsia"/>
                <w:color w:val="auto"/>
                <w:sz w:val="21"/>
                <w:szCs w:val="21"/>
                <w:highlight w:val="none"/>
              </w:rPr>
              <w:t>表皮</w:t>
            </w:r>
            <w:r>
              <w:rPr>
                <w:rFonts w:hint="eastAsia"/>
                <w:color w:val="auto"/>
                <w:sz w:val="21"/>
                <w:szCs w:val="21"/>
                <w:highlight w:val="none"/>
                <w:lang w:val="en-US" w:eastAsia="zh-CN"/>
              </w:rPr>
              <w:t>呈</w:t>
            </w:r>
            <w:r>
              <w:rPr>
                <w:rFonts w:hint="eastAsia"/>
                <w:color w:val="auto"/>
                <w:sz w:val="21"/>
                <w:szCs w:val="21"/>
                <w:highlight w:val="none"/>
              </w:rPr>
              <w:t>淡黄色，肉色，带有小须，横切面肉质洁白，味甘粉足，个大质坚。</w:t>
            </w:r>
          </w:p>
          <w:p w14:paraId="1B64B70C">
            <w:pPr>
              <w:spacing w:line="360" w:lineRule="auto"/>
              <w:rPr>
                <w:rFonts w:hint="eastAsia"/>
                <w:color w:val="auto"/>
                <w:szCs w:val="21"/>
                <w:highlight w:val="none"/>
              </w:rPr>
            </w:pPr>
            <w:r>
              <w:rPr>
                <w:rFonts w:hint="eastAsia"/>
                <w:b/>
                <w:bCs/>
                <w:color w:val="auto"/>
                <w:szCs w:val="21"/>
                <w:highlight w:val="none"/>
              </w:rPr>
              <w:t>32.地菠萝：</w:t>
            </w:r>
            <w:r>
              <w:rPr>
                <w:rFonts w:hint="eastAsia"/>
                <w:color w:val="auto"/>
                <w:szCs w:val="21"/>
                <w:highlight w:val="none"/>
              </w:rPr>
              <w:t>果体较圆矮胖，颜色呈黄色、亮黄色或浅黄带绿色，表面疙瘩较大，轻按为微有弹性，有淡淡清香或浓郁果味。</w:t>
            </w:r>
          </w:p>
          <w:p w14:paraId="32F866EF">
            <w:pPr>
              <w:spacing w:line="360" w:lineRule="auto"/>
              <w:rPr>
                <w:rFonts w:hint="eastAsia"/>
                <w:color w:val="auto"/>
                <w:szCs w:val="21"/>
                <w:highlight w:val="none"/>
              </w:rPr>
            </w:pPr>
            <w:r>
              <w:rPr>
                <w:rFonts w:hint="eastAsia"/>
                <w:b/>
                <w:bCs/>
                <w:color w:val="auto"/>
                <w:szCs w:val="21"/>
                <w:highlight w:val="none"/>
              </w:rPr>
              <w:t>33.生姜：</w:t>
            </w:r>
            <w:r>
              <w:rPr>
                <w:rFonts w:hint="eastAsia"/>
                <w:color w:val="auto"/>
                <w:szCs w:val="21"/>
                <w:highlight w:val="none"/>
              </w:rPr>
              <w:t>颜色淡黄，表皮完整，姜体硬脆、肥大，有辛香味。</w:t>
            </w:r>
          </w:p>
          <w:p w14:paraId="7B8467AB">
            <w:pPr>
              <w:widowControl/>
              <w:shd w:val="clear" w:color="auto" w:fill="FFFFFF"/>
              <w:spacing w:line="360" w:lineRule="auto"/>
              <w:jc w:val="left"/>
              <w:rPr>
                <w:rFonts w:hint="eastAsia"/>
                <w:color w:val="auto"/>
                <w:szCs w:val="21"/>
                <w:highlight w:val="none"/>
              </w:rPr>
            </w:pPr>
            <w:r>
              <w:rPr>
                <w:rFonts w:hint="eastAsia"/>
                <w:b/>
                <w:bCs/>
                <w:color w:val="auto"/>
                <w:szCs w:val="21"/>
                <w:highlight w:val="none"/>
              </w:rPr>
              <w:t>34.蒜头：</w:t>
            </w:r>
            <w:r>
              <w:rPr>
                <w:rFonts w:hint="eastAsia"/>
                <w:color w:val="auto"/>
                <w:szCs w:val="21"/>
                <w:highlight w:val="none"/>
              </w:rPr>
              <w:t>颜色白色或紫色，蒜皮干燥，蒜瓣结实不散，高硬度。</w:t>
            </w:r>
          </w:p>
          <w:p w14:paraId="26545C17">
            <w:pPr>
              <w:widowControl/>
              <w:shd w:val="clear" w:color="auto" w:fill="FFFFFF"/>
              <w:spacing w:line="360" w:lineRule="auto"/>
              <w:jc w:val="left"/>
              <w:rPr>
                <w:color w:val="auto"/>
                <w:szCs w:val="21"/>
                <w:highlight w:val="none"/>
              </w:rPr>
            </w:pPr>
            <w:r>
              <w:rPr>
                <w:rFonts w:hint="eastAsia"/>
                <w:b/>
                <w:bCs/>
                <w:color w:val="auto"/>
                <w:szCs w:val="21"/>
                <w:highlight w:val="none"/>
              </w:rPr>
              <w:t>35.西葫芦：</w:t>
            </w:r>
            <w:r>
              <w:rPr>
                <w:rFonts w:hint="eastAsia"/>
                <w:color w:val="auto"/>
                <w:szCs w:val="21"/>
                <w:highlight w:val="none"/>
              </w:rPr>
              <w:t>青绿色、表面圆滑、无压伤、通体大小均匀、有光泽。</w:t>
            </w:r>
          </w:p>
          <w:p w14:paraId="04CDE1CA">
            <w:pPr>
              <w:widowControl/>
              <w:shd w:val="clear" w:color="auto" w:fill="FFFFFF"/>
              <w:spacing w:line="360" w:lineRule="auto"/>
              <w:jc w:val="left"/>
              <w:rPr>
                <w:rFonts w:hint="eastAsia" w:ascii="宋体" w:hAnsi="宋体"/>
                <w:b/>
                <w:bCs/>
                <w:color w:val="auto"/>
                <w:sz w:val="21"/>
                <w:szCs w:val="21"/>
                <w:highlight w:val="none"/>
              </w:rPr>
            </w:pPr>
            <w:r>
              <w:rPr>
                <w:rFonts w:hint="eastAsia"/>
                <w:b/>
                <w:bCs/>
                <w:color w:val="auto"/>
                <w:szCs w:val="21"/>
                <w:highlight w:val="none"/>
              </w:rPr>
              <w:t>36.</w:t>
            </w:r>
            <w:r>
              <w:rPr>
                <w:rFonts w:hint="eastAsia"/>
                <w:b/>
                <w:bCs/>
                <w:color w:val="auto"/>
                <w:sz w:val="21"/>
                <w:szCs w:val="21"/>
                <w:highlight w:val="none"/>
              </w:rPr>
              <w:t>玉米（带叶）：</w:t>
            </w:r>
            <w:r>
              <w:rPr>
                <w:rFonts w:hint="eastAsia"/>
                <w:color w:val="auto"/>
                <w:sz w:val="21"/>
                <w:szCs w:val="21"/>
                <w:highlight w:val="none"/>
              </w:rPr>
              <w:t>带叶玉米外皮包裹紧实，无损坏。玉米粒饱满完整，在小均匀，玉米须颜色较深且鲜嫩不干燥。</w:t>
            </w:r>
          </w:p>
        </w:tc>
      </w:tr>
      <w:tr w14:paraId="6655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3DCD1173">
            <w:pPr>
              <w:widowControl/>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900D4D0">
            <w:pPr>
              <w:spacing w:line="360" w:lineRule="auto"/>
              <w:jc w:val="center"/>
              <w:rPr>
                <w:rFonts w:hint="eastAsia"/>
                <w:color w:val="auto"/>
                <w:sz w:val="21"/>
                <w:szCs w:val="21"/>
                <w:highlight w:val="none"/>
              </w:rPr>
            </w:pPr>
            <w:r>
              <w:rPr>
                <w:rFonts w:hint="eastAsia"/>
                <w:color w:val="auto"/>
                <w:szCs w:val="21"/>
                <w:highlight w:val="none"/>
              </w:rPr>
              <w:t>干货类</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175D6A60">
            <w:pPr>
              <w:tabs>
                <w:tab w:val="left" w:pos="180"/>
                <w:tab w:val="left" w:pos="1620"/>
              </w:tabs>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1批</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181A69D9">
            <w:pPr>
              <w:pStyle w:val="4"/>
              <w:spacing w:line="360" w:lineRule="auto"/>
              <w:rPr>
                <w:rFonts w:hint="eastAsia"/>
                <w:color w:val="auto"/>
                <w:sz w:val="21"/>
                <w:szCs w:val="21"/>
                <w:highlight w:val="none"/>
              </w:rPr>
            </w:pPr>
            <w:r>
              <w:rPr>
                <w:rFonts w:hint="eastAsia"/>
                <w:b/>
                <w:bCs/>
                <w:color w:val="auto"/>
                <w:sz w:val="21"/>
                <w:szCs w:val="21"/>
                <w:highlight w:val="none"/>
              </w:rPr>
              <w:t>1.黄豆：</w:t>
            </w:r>
            <w:r>
              <w:rPr>
                <w:rFonts w:hint="eastAsia"/>
                <w:color w:val="auto"/>
                <w:sz w:val="21"/>
                <w:szCs w:val="21"/>
                <w:highlight w:val="none"/>
              </w:rPr>
              <w:t>颗粒饱满均匀，无破瓣、无霉变、无虫害。表面色泽呈黄色。豆体干燥豆粒落地声音清脆，具有大豆正常的香气。</w:t>
            </w:r>
          </w:p>
          <w:p w14:paraId="73A94C5A">
            <w:pPr>
              <w:spacing w:line="360" w:lineRule="auto"/>
              <w:rPr>
                <w:color w:val="auto"/>
                <w:szCs w:val="21"/>
                <w:highlight w:val="none"/>
              </w:rPr>
            </w:pPr>
            <w:r>
              <w:rPr>
                <w:rFonts w:hint="eastAsia"/>
                <w:b/>
                <w:bCs/>
                <w:color w:val="auto"/>
                <w:szCs w:val="21"/>
                <w:highlight w:val="none"/>
              </w:rPr>
              <w:t>2.粉丝：</w:t>
            </w:r>
            <w:r>
              <w:rPr>
                <w:rFonts w:hint="eastAsia"/>
                <w:color w:val="auto"/>
                <w:szCs w:val="21"/>
                <w:highlight w:val="none"/>
              </w:rPr>
              <w:t>不同品种颜色有所相差，呈半透明状。手感柔韧、有弹性，粗细均匀、无并条、无酥碎。</w:t>
            </w:r>
          </w:p>
          <w:p w14:paraId="1822952A">
            <w:pPr>
              <w:pStyle w:val="4"/>
              <w:spacing w:line="360" w:lineRule="auto"/>
              <w:rPr>
                <w:rFonts w:hint="eastAsia"/>
                <w:color w:val="auto"/>
                <w:sz w:val="21"/>
                <w:szCs w:val="21"/>
                <w:highlight w:val="none"/>
              </w:rPr>
            </w:pPr>
            <w:r>
              <w:rPr>
                <w:rFonts w:hint="eastAsia"/>
                <w:b/>
                <w:bCs/>
                <w:color w:val="auto"/>
                <w:sz w:val="21"/>
                <w:szCs w:val="21"/>
                <w:highlight w:val="none"/>
              </w:rPr>
              <w:t>3.花生：</w:t>
            </w:r>
            <w:r>
              <w:rPr>
                <w:rFonts w:hint="eastAsia"/>
                <w:color w:val="auto"/>
                <w:sz w:val="21"/>
                <w:szCs w:val="21"/>
                <w:highlight w:val="none"/>
              </w:rPr>
              <w:t>颗粒大小均匀、饱满无皱纹，外层衣光亮、光泽均匀，无异味、无发霉、发牙现象。</w:t>
            </w:r>
          </w:p>
          <w:p w14:paraId="5038CE13">
            <w:pPr>
              <w:pStyle w:val="4"/>
              <w:spacing w:line="360" w:lineRule="auto"/>
              <w:rPr>
                <w:rFonts w:hint="eastAsia"/>
                <w:color w:val="auto"/>
                <w:szCs w:val="21"/>
                <w:highlight w:val="none"/>
              </w:rPr>
            </w:pPr>
            <w:r>
              <w:rPr>
                <w:rFonts w:hint="eastAsia"/>
                <w:b/>
                <w:bCs/>
                <w:color w:val="auto"/>
                <w:szCs w:val="21"/>
                <w:highlight w:val="none"/>
              </w:rPr>
              <w:t>4.</w:t>
            </w:r>
            <w:r>
              <w:rPr>
                <w:rFonts w:hint="eastAsia"/>
                <w:b/>
                <w:bCs/>
                <w:color w:val="auto"/>
                <w:sz w:val="21"/>
                <w:szCs w:val="21"/>
                <w:highlight w:val="none"/>
              </w:rPr>
              <w:t>腐竹：</w:t>
            </w:r>
            <w:r>
              <w:rPr>
                <w:rFonts w:hint="eastAsia"/>
                <w:color w:val="auto"/>
                <w:sz w:val="21"/>
                <w:szCs w:val="21"/>
                <w:highlight w:val="none"/>
              </w:rPr>
              <w:t>颜色呈淡黄色有光泽，腐竹体为枝条或片状，质脆易折，断声清脆，条状折断有空心，无霉斑、杂质、虫蛀，无硬芯。</w:t>
            </w:r>
          </w:p>
          <w:p w14:paraId="5683C65B">
            <w:pPr>
              <w:pStyle w:val="4"/>
              <w:spacing w:line="360" w:lineRule="auto"/>
              <w:rPr>
                <w:color w:val="auto"/>
                <w:sz w:val="21"/>
                <w:szCs w:val="21"/>
                <w:highlight w:val="none"/>
              </w:rPr>
            </w:pPr>
            <w:r>
              <w:rPr>
                <w:rFonts w:hint="eastAsia"/>
                <w:b/>
                <w:bCs/>
                <w:color w:val="auto"/>
                <w:sz w:val="21"/>
                <w:szCs w:val="21"/>
                <w:highlight w:val="none"/>
              </w:rPr>
              <w:t>5.</w:t>
            </w:r>
            <w:r>
              <w:rPr>
                <w:rFonts w:hint="eastAsia"/>
                <w:b/>
                <w:bCs/>
                <w:color w:val="auto"/>
                <w:szCs w:val="21"/>
                <w:highlight w:val="none"/>
              </w:rPr>
              <w:t>干木耳：</w:t>
            </w:r>
            <w:r>
              <w:rPr>
                <w:rFonts w:hint="eastAsia"/>
                <w:color w:val="auto"/>
                <w:szCs w:val="21"/>
                <w:highlight w:val="none"/>
              </w:rPr>
              <w:t>正面颜色黑色，背面为灰白色。有淡淡清香味，手捏声音清脆易碎。</w:t>
            </w:r>
          </w:p>
          <w:p w14:paraId="75745D28">
            <w:pPr>
              <w:spacing w:line="360" w:lineRule="auto"/>
              <w:jc w:val="left"/>
              <w:rPr>
                <w:rFonts w:hint="eastAsia"/>
                <w:color w:val="auto"/>
                <w:szCs w:val="21"/>
                <w:highlight w:val="none"/>
              </w:rPr>
            </w:pPr>
            <w:r>
              <w:rPr>
                <w:rFonts w:hint="eastAsia"/>
                <w:b/>
                <w:bCs/>
                <w:color w:val="auto"/>
                <w:szCs w:val="21"/>
                <w:highlight w:val="none"/>
              </w:rPr>
              <w:t>6.</w:t>
            </w:r>
            <w:r>
              <w:rPr>
                <w:rFonts w:hint="eastAsia"/>
                <w:b/>
                <w:bCs/>
                <w:color w:val="auto"/>
                <w:szCs w:val="21"/>
                <w:highlight w:val="none"/>
                <w:lang w:val="en-US" w:eastAsia="zh-CN"/>
              </w:rPr>
              <w:t>香菇：</w:t>
            </w:r>
            <w:r>
              <w:rPr>
                <w:rFonts w:hint="eastAsia" w:ascii="Times New Roman" w:hAnsi="Times New Roman" w:eastAsia="宋体" w:cs="Times New Roman"/>
                <w:color w:val="auto"/>
                <w:szCs w:val="21"/>
                <w:highlight w:val="none"/>
              </w:rPr>
              <w:t>同一规格的大小一致</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菌柄比较短，根小</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菌槽整齐，没有缺陷，淡黄色至乳白色</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肉厚，呈半圆形或圆形而整齐</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水分含量在13％以下</w:t>
            </w:r>
            <w:r>
              <w:rPr>
                <w:rFonts w:hint="eastAsia" w:ascii="Times New Roman" w:hAnsi="Times New Roman" w:eastAsia="宋体" w:cs="Times New Roman"/>
                <w:color w:val="auto"/>
                <w:szCs w:val="21"/>
                <w:highlight w:val="none"/>
                <w:lang w:eastAsia="zh-CN"/>
              </w:rPr>
              <w:t>，香菇香味大。</w:t>
            </w:r>
          </w:p>
          <w:p w14:paraId="1117EC00">
            <w:pPr>
              <w:spacing w:line="360" w:lineRule="auto"/>
              <w:jc w:val="left"/>
              <w:rPr>
                <w:rFonts w:hint="eastAsia" w:ascii="Times New Roman" w:hAnsi="Times New Roman" w:eastAsia="宋体" w:cs="Times New Roman"/>
                <w:color w:val="auto"/>
                <w:szCs w:val="21"/>
                <w:highlight w:val="none"/>
                <w:lang w:eastAsia="zh-CN"/>
              </w:rPr>
            </w:pPr>
            <w:r>
              <w:rPr>
                <w:rFonts w:hint="eastAsia"/>
                <w:b/>
                <w:bCs/>
                <w:color w:val="auto"/>
                <w:szCs w:val="21"/>
                <w:highlight w:val="none"/>
                <w:lang w:val="en-US" w:eastAsia="zh-CN"/>
              </w:rPr>
              <w:t>7.银耳：</w:t>
            </w:r>
            <w:r>
              <w:rPr>
                <w:rFonts w:hint="eastAsia" w:ascii="Times New Roman" w:hAnsi="Times New Roman" w:eastAsia="宋体" w:cs="Times New Roman"/>
                <w:color w:val="auto"/>
                <w:szCs w:val="21"/>
                <w:highlight w:val="none"/>
              </w:rPr>
              <w:t>朵大且圆</w:t>
            </w:r>
            <w:r>
              <w:rPr>
                <w:rFonts w:hint="eastAsia" w:ascii="Times New Roman" w:hAnsi="Times New Roman" w:eastAsia="宋体" w:cs="Times New Roman"/>
                <w:color w:val="auto"/>
                <w:szCs w:val="21"/>
                <w:highlight w:val="none"/>
                <w:lang w:eastAsia="zh-CN"/>
              </w:rPr>
              <w:t>，色泽</w:t>
            </w:r>
            <w:r>
              <w:rPr>
                <w:rFonts w:hint="eastAsia" w:ascii="Times New Roman" w:hAnsi="Times New Roman" w:eastAsia="宋体" w:cs="Times New Roman"/>
                <w:color w:val="auto"/>
                <w:szCs w:val="21"/>
                <w:highlight w:val="none"/>
              </w:rPr>
              <w:t>淡黄色</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晒</w:t>
            </w:r>
            <w:r>
              <w:rPr>
                <w:rFonts w:hint="eastAsia" w:ascii="Times New Roman" w:hAnsi="Times New Roman" w:eastAsia="宋体" w:cs="Times New Roman"/>
                <w:color w:val="auto"/>
                <w:szCs w:val="21"/>
                <w:highlight w:val="none"/>
                <w:lang w:eastAsia="zh-CN"/>
              </w:rPr>
              <w:t>得</w:t>
            </w:r>
            <w:r>
              <w:rPr>
                <w:rFonts w:hint="eastAsia" w:ascii="Times New Roman" w:hAnsi="Times New Roman" w:eastAsia="宋体" w:cs="Times New Roman"/>
                <w:color w:val="auto"/>
                <w:szCs w:val="21"/>
                <w:highlight w:val="none"/>
              </w:rPr>
              <w:t>干</w:t>
            </w:r>
            <w:r>
              <w:rPr>
                <w:rFonts w:hint="eastAsia" w:ascii="Times New Roman" w:hAnsi="Times New Roman" w:eastAsia="宋体" w:cs="Times New Roman"/>
                <w:color w:val="auto"/>
                <w:szCs w:val="21"/>
                <w:highlight w:val="none"/>
                <w:lang w:eastAsia="zh-CN"/>
              </w:rPr>
              <w:t>而</w:t>
            </w:r>
            <w:r>
              <w:rPr>
                <w:rFonts w:hint="eastAsia" w:ascii="Times New Roman" w:hAnsi="Times New Roman" w:eastAsia="宋体" w:cs="Times New Roman"/>
                <w:color w:val="auto"/>
                <w:szCs w:val="21"/>
                <w:highlight w:val="none"/>
              </w:rPr>
              <w:t>脆，重量轻</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味道有淡淡的菌香味</w:t>
            </w:r>
            <w:r>
              <w:rPr>
                <w:rFonts w:hint="eastAsia" w:ascii="Times New Roman" w:hAnsi="Times New Roman" w:eastAsia="宋体" w:cs="Times New Roman"/>
                <w:color w:val="auto"/>
                <w:szCs w:val="21"/>
                <w:highlight w:val="none"/>
                <w:lang w:eastAsia="zh-CN"/>
              </w:rPr>
              <w:t>。</w:t>
            </w:r>
          </w:p>
          <w:p w14:paraId="4AD72A75">
            <w:pPr>
              <w:spacing w:line="360" w:lineRule="auto"/>
              <w:jc w:val="left"/>
              <w:rPr>
                <w:rFonts w:hint="eastAsia" w:ascii="Times New Roman" w:hAnsi="Times New Roman" w:eastAsia="宋体" w:cs="Times New Roman"/>
                <w:color w:val="auto"/>
                <w:szCs w:val="21"/>
                <w:highlight w:val="none"/>
                <w:lang w:val="en-US" w:eastAsia="zh-CN"/>
              </w:rPr>
            </w:pPr>
            <w:r>
              <w:rPr>
                <w:rFonts w:hint="eastAsia"/>
                <w:b/>
                <w:bCs/>
                <w:color w:val="auto"/>
                <w:szCs w:val="21"/>
                <w:highlight w:val="none"/>
                <w:lang w:val="en-US" w:eastAsia="zh-CN"/>
              </w:rPr>
              <w:t>8.云耳：</w:t>
            </w:r>
            <w:r>
              <w:rPr>
                <w:rFonts w:hint="eastAsia" w:ascii="Times New Roman" w:hAnsi="Times New Roman" w:eastAsia="宋体" w:cs="Times New Roman"/>
                <w:color w:val="auto"/>
                <w:szCs w:val="21"/>
                <w:highlight w:val="none"/>
              </w:rPr>
              <w:t>朵大适度，耳瓣略展，朵面乌黑有无光泽，朵背略呈灰白色</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含水量保持在11%以下，手捏易碎，放开后朵片能很好伸展，有弹性</w:t>
            </w:r>
            <w:r>
              <w:rPr>
                <w:rFonts w:hint="eastAsia" w:ascii="Times New Roman" w:hAnsi="Times New Roman" w:eastAsia="宋体" w:cs="Times New Roman"/>
                <w:color w:val="auto"/>
                <w:szCs w:val="21"/>
                <w:highlight w:val="none"/>
                <w:lang w:eastAsia="zh-CN"/>
              </w:rPr>
              <w:t>。</w:t>
            </w:r>
          </w:p>
          <w:p w14:paraId="4D08E0DB">
            <w:pPr>
              <w:spacing w:line="360" w:lineRule="auto"/>
              <w:jc w:val="left"/>
              <w:rPr>
                <w:rFonts w:hint="eastAsia" w:ascii="Times New Roman" w:hAnsi="Times New Roman" w:eastAsia="宋体" w:cs="Times New Roman"/>
                <w:color w:val="auto"/>
                <w:szCs w:val="21"/>
                <w:highlight w:val="none"/>
                <w:lang w:val="en-US" w:eastAsia="zh-CN"/>
              </w:rPr>
            </w:pPr>
            <w:r>
              <w:rPr>
                <w:rFonts w:hint="eastAsia"/>
                <w:b/>
                <w:bCs/>
                <w:color w:val="auto"/>
                <w:szCs w:val="21"/>
                <w:highlight w:val="none"/>
                <w:lang w:val="en-US" w:eastAsia="zh-CN"/>
              </w:rPr>
              <w:t>9.</w:t>
            </w:r>
            <w:r>
              <w:rPr>
                <w:rFonts w:hint="eastAsia" w:ascii="Times New Roman" w:hAnsi="Times New Roman" w:eastAsia="宋体" w:cs="Times New Roman"/>
                <w:b/>
                <w:bCs/>
                <w:color w:val="auto"/>
                <w:szCs w:val="21"/>
                <w:highlight w:val="none"/>
                <w:lang w:val="en-US" w:eastAsia="zh-CN"/>
              </w:rPr>
              <w:t>红枣：</w:t>
            </w:r>
            <w:r>
              <w:rPr>
                <w:rFonts w:hint="eastAsia" w:ascii="Times New Roman" w:hAnsi="Times New Roman" w:eastAsia="宋体" w:cs="Times New Roman"/>
                <w:color w:val="auto"/>
                <w:szCs w:val="21"/>
                <w:highlight w:val="none"/>
              </w:rPr>
              <w:t>皮色紫红，颗粒大而均匀、果形短壮圆整，皱纹少，痕迹浅</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皮薄核小，肉质厚而细实</w:t>
            </w:r>
            <w:r>
              <w:rPr>
                <w:rFonts w:hint="eastAsia" w:ascii="Times New Roman" w:hAnsi="Times New Roman" w:eastAsia="宋体" w:cs="Times New Roman"/>
                <w:color w:val="auto"/>
                <w:szCs w:val="21"/>
                <w:highlight w:val="none"/>
                <w:lang w:eastAsia="zh-CN"/>
              </w:rPr>
              <w:t>。</w:t>
            </w:r>
          </w:p>
          <w:p w14:paraId="37FC3D5B">
            <w:pPr>
              <w:spacing w:line="360" w:lineRule="auto"/>
              <w:jc w:val="left"/>
              <w:rPr>
                <w:rFonts w:hint="eastAsia" w:ascii="Times New Roman" w:hAnsi="Times New Roman" w:eastAsia="宋体" w:cs="Times New Roman"/>
                <w:color w:val="auto"/>
                <w:szCs w:val="21"/>
                <w:highlight w:val="none"/>
                <w:lang w:val="en-US" w:eastAsia="zh-CN"/>
              </w:rPr>
            </w:pPr>
            <w:r>
              <w:rPr>
                <w:rFonts w:hint="eastAsia"/>
                <w:b/>
                <w:bCs/>
                <w:color w:val="auto"/>
                <w:szCs w:val="21"/>
                <w:highlight w:val="none"/>
                <w:lang w:val="en-US" w:eastAsia="zh-CN"/>
              </w:rPr>
              <w:t>10.枸杞：</w:t>
            </w:r>
            <w:r>
              <w:rPr>
                <w:rFonts w:hint="eastAsia" w:ascii="Times New Roman" w:hAnsi="Times New Roman" w:eastAsia="宋体" w:cs="Times New Roman"/>
                <w:color w:val="auto"/>
                <w:szCs w:val="21"/>
                <w:highlight w:val="none"/>
              </w:rPr>
              <w:t>呈果实椭圆形，短胖，果实饱满，果肉较厚，颜色鲜红或暗红</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rPr>
              <w:t>枸杞果实比较光滑，柔润而有粘性</w:t>
            </w:r>
            <w:r>
              <w:rPr>
                <w:rFonts w:hint="eastAsia" w:ascii="Times New Roman" w:hAnsi="Times New Roman" w:eastAsia="宋体" w:cs="Times New Roman"/>
                <w:color w:val="auto"/>
                <w:szCs w:val="21"/>
                <w:highlight w:val="none"/>
                <w:lang w:eastAsia="zh-CN"/>
              </w:rPr>
              <w:t>。</w:t>
            </w:r>
          </w:p>
          <w:p w14:paraId="4F29FEA7">
            <w:pPr>
              <w:spacing w:line="360" w:lineRule="auto"/>
              <w:jc w:val="left"/>
              <w:rPr>
                <w:rFonts w:hint="eastAsia" w:eastAsia="微软雅黑"/>
                <w:color w:val="auto"/>
                <w:szCs w:val="21"/>
                <w:highlight w:val="none"/>
                <w:lang w:val="en-US" w:eastAsia="zh-CN"/>
              </w:rPr>
            </w:pPr>
            <w:r>
              <w:rPr>
                <w:rFonts w:hint="eastAsia"/>
                <w:b/>
                <w:bCs/>
                <w:color w:val="auto"/>
                <w:szCs w:val="21"/>
                <w:highlight w:val="none"/>
                <w:lang w:val="en-US" w:eastAsia="zh-CN"/>
              </w:rPr>
              <w:t>11.海带：</w:t>
            </w:r>
            <w:r>
              <w:rPr>
                <w:rFonts w:hint="eastAsia" w:ascii="宋体" w:hAnsi="宋体" w:eastAsia="宋体" w:cs="Times New Roman"/>
                <w:b w:val="0"/>
                <w:bCs w:val="0"/>
                <w:color w:val="auto"/>
                <w:sz w:val="21"/>
                <w:szCs w:val="21"/>
                <w:highlight w:val="none"/>
              </w:rPr>
              <w:t>叶宽厚、色浓绿或紫中微黄、无枯黄叶</w:t>
            </w:r>
            <w:r>
              <w:rPr>
                <w:rFonts w:hint="eastAsia" w:ascii="宋体" w:hAnsi="宋体" w:eastAsia="宋体" w:cs="Times New Roman"/>
                <w:b w:val="0"/>
                <w:bCs w:val="0"/>
                <w:color w:val="auto"/>
                <w:sz w:val="21"/>
                <w:szCs w:val="21"/>
                <w:highlight w:val="none"/>
                <w:lang w:eastAsia="zh-CN"/>
              </w:rPr>
              <w:t>。</w:t>
            </w:r>
          </w:p>
          <w:p w14:paraId="78355E6E">
            <w:pPr>
              <w:spacing w:line="360" w:lineRule="auto"/>
              <w:jc w:val="left"/>
              <w:rPr>
                <w:rFonts w:hint="default"/>
                <w:color w:val="auto"/>
                <w:szCs w:val="21"/>
                <w:highlight w:val="none"/>
                <w:lang w:val="en-US" w:eastAsia="zh-CN"/>
              </w:rPr>
            </w:pPr>
            <w:r>
              <w:rPr>
                <w:rFonts w:hint="eastAsia"/>
                <w:b/>
                <w:bCs/>
                <w:color w:val="auto"/>
                <w:szCs w:val="21"/>
                <w:highlight w:val="none"/>
                <w:lang w:val="en-US" w:eastAsia="zh-CN"/>
              </w:rPr>
              <w:t>12.紫菜：</w:t>
            </w:r>
            <w:r>
              <w:rPr>
                <w:rFonts w:hint="eastAsia" w:ascii="宋体" w:hAnsi="宋体"/>
                <w:b w:val="0"/>
                <w:bCs w:val="0"/>
                <w:color w:val="auto"/>
                <w:sz w:val="21"/>
                <w:szCs w:val="21"/>
                <w:highlight w:val="none"/>
              </w:rPr>
              <w:t>色泽紫红，干燥、无泥沙杂质，紫菜香味浓郁。</w:t>
            </w:r>
          </w:p>
        </w:tc>
      </w:tr>
      <w:tr w14:paraId="21FF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637FA104">
            <w:pPr>
              <w:widowControl/>
              <w:spacing w:line="36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3</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9671AF6">
            <w:pPr>
              <w:spacing w:line="360" w:lineRule="auto"/>
              <w:jc w:val="center"/>
              <w:rPr>
                <w:rFonts w:hint="default" w:ascii="宋体" w:hAnsi="宋体" w:eastAsia="宋体" w:cs="宋体"/>
                <w:b w:val="0"/>
                <w:bCs/>
                <w:color w:val="auto"/>
                <w:szCs w:val="21"/>
                <w:highlight w:val="none"/>
                <w:lang w:val="en-US" w:eastAsia="zh-CN"/>
              </w:rPr>
            </w:pPr>
            <w:r>
              <w:rPr>
                <w:rFonts w:hint="eastAsia"/>
                <w:b w:val="0"/>
                <w:bCs/>
                <w:color w:val="auto"/>
                <w:sz w:val="21"/>
                <w:szCs w:val="21"/>
                <w:highlight w:val="none"/>
                <w:lang w:val="en-US" w:eastAsia="zh-CN"/>
              </w:rPr>
              <w:t>禽畜肉类</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5970B14C">
            <w:pPr>
              <w:spacing w:line="360" w:lineRule="auto"/>
              <w:jc w:val="cente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1批</w:t>
            </w:r>
          </w:p>
        </w:tc>
        <w:tc>
          <w:tcPr>
            <w:tcW w:w="6365" w:type="dxa"/>
            <w:tcBorders>
              <w:top w:val="single" w:color="auto" w:sz="4" w:space="0"/>
              <w:left w:val="single" w:color="auto" w:sz="4" w:space="0"/>
              <w:bottom w:val="single" w:color="auto" w:sz="4" w:space="0"/>
              <w:right w:val="single" w:color="auto" w:sz="4" w:space="0"/>
            </w:tcBorders>
            <w:noWrap w:val="0"/>
            <w:vAlign w:val="top"/>
          </w:tcPr>
          <w:p w14:paraId="640FF6DC">
            <w:pPr>
              <w:spacing w:line="360" w:lineRule="auto"/>
              <w:rPr>
                <w:rFonts w:hint="eastAsia" w:ascii="宋体" w:hAnsi="宋体"/>
                <w:b w:val="0"/>
                <w:bCs w:val="0"/>
                <w:color w:val="auto"/>
                <w:sz w:val="21"/>
                <w:szCs w:val="21"/>
                <w:highlight w:val="none"/>
              </w:rPr>
            </w:pPr>
            <w:r>
              <w:rPr>
                <w:rFonts w:hint="eastAsia" w:ascii="宋体" w:hAnsi="宋体"/>
                <w:b/>
                <w:bCs/>
                <w:color w:val="auto"/>
                <w:sz w:val="21"/>
                <w:szCs w:val="21"/>
                <w:highlight w:val="none"/>
              </w:rPr>
              <w:t>1.</w:t>
            </w:r>
            <w:r>
              <w:rPr>
                <w:rFonts w:hint="eastAsia"/>
                <w:b/>
                <w:bCs w:val="0"/>
                <w:color w:val="auto"/>
                <w:sz w:val="21"/>
                <w:szCs w:val="21"/>
                <w:highlight w:val="none"/>
                <w:lang w:val="en-US" w:eastAsia="zh-CN"/>
              </w:rPr>
              <w:t>冰</w:t>
            </w:r>
            <w:r>
              <w:rPr>
                <w:rFonts w:hint="eastAsia" w:ascii="宋体" w:hAnsi="宋体"/>
                <w:b/>
                <w:bCs/>
                <w:color w:val="auto"/>
                <w:sz w:val="21"/>
                <w:szCs w:val="21"/>
                <w:highlight w:val="none"/>
              </w:rPr>
              <w:t>鲜猪前后腿肉、猪瘦肉：</w:t>
            </w:r>
            <w:r>
              <w:rPr>
                <w:rFonts w:hint="eastAsia" w:ascii="宋体" w:hAnsi="宋体"/>
                <w:b w:val="0"/>
                <w:bCs w:val="0"/>
                <w:color w:val="auto"/>
                <w:sz w:val="21"/>
                <w:szCs w:val="21"/>
                <w:highlight w:val="none"/>
              </w:rPr>
              <w:t>肉质新鲜、有弹性、色泽红润、不注水、无寄生虫，无病、毒猪肉。</w:t>
            </w:r>
          </w:p>
          <w:p w14:paraId="6BB883F6">
            <w:pPr>
              <w:spacing w:line="360" w:lineRule="auto"/>
              <w:rPr>
                <w:rFonts w:hint="eastAsia" w:ascii="宋体" w:hAnsi="宋体"/>
                <w:b w:val="0"/>
                <w:bCs w:val="0"/>
                <w:color w:val="auto"/>
                <w:sz w:val="21"/>
                <w:szCs w:val="21"/>
                <w:highlight w:val="none"/>
              </w:rPr>
            </w:pPr>
            <w:r>
              <w:rPr>
                <w:rFonts w:hint="eastAsia" w:ascii="宋体" w:hAnsi="宋体"/>
                <w:b/>
                <w:bCs/>
                <w:color w:val="auto"/>
                <w:sz w:val="21"/>
                <w:szCs w:val="21"/>
                <w:highlight w:val="none"/>
              </w:rPr>
              <w:t>2.</w:t>
            </w:r>
            <w:r>
              <w:rPr>
                <w:rFonts w:hint="eastAsia"/>
                <w:b/>
                <w:bCs w:val="0"/>
                <w:color w:val="auto"/>
                <w:sz w:val="21"/>
                <w:szCs w:val="21"/>
                <w:highlight w:val="none"/>
                <w:lang w:val="en-US" w:eastAsia="zh-CN"/>
              </w:rPr>
              <w:t>冰</w:t>
            </w:r>
            <w:r>
              <w:rPr>
                <w:rFonts w:hint="eastAsia" w:ascii="宋体" w:hAnsi="宋体"/>
                <w:b/>
                <w:bCs/>
                <w:color w:val="auto"/>
                <w:sz w:val="21"/>
                <w:szCs w:val="21"/>
                <w:highlight w:val="none"/>
              </w:rPr>
              <w:t>鲜猪全脚：</w:t>
            </w:r>
            <w:r>
              <w:rPr>
                <w:rFonts w:hint="eastAsia" w:ascii="宋体" w:hAnsi="宋体"/>
                <w:b w:val="0"/>
                <w:bCs w:val="0"/>
                <w:color w:val="auto"/>
                <w:sz w:val="21"/>
                <w:szCs w:val="21"/>
                <w:highlight w:val="none"/>
              </w:rPr>
              <w:t>膝、肘关节以下整只猪脚，肉质新鲜、有弹性、色泽红润、不注水、无寄生虫，无病、毒猪肉。</w:t>
            </w:r>
          </w:p>
          <w:p w14:paraId="0120D5F1">
            <w:pPr>
              <w:spacing w:line="360" w:lineRule="auto"/>
              <w:rPr>
                <w:rFonts w:hint="eastAsia" w:ascii="宋体" w:hAnsi="宋体"/>
                <w:b w:val="0"/>
                <w:bCs w:val="0"/>
                <w:color w:val="auto"/>
                <w:sz w:val="21"/>
                <w:szCs w:val="21"/>
                <w:highlight w:val="none"/>
              </w:rPr>
            </w:pPr>
            <w:r>
              <w:rPr>
                <w:rFonts w:hint="eastAsia" w:ascii="宋体" w:hAnsi="宋体"/>
                <w:b/>
                <w:bCs/>
                <w:color w:val="auto"/>
                <w:sz w:val="21"/>
                <w:szCs w:val="21"/>
                <w:highlight w:val="none"/>
              </w:rPr>
              <w:t>3.</w:t>
            </w:r>
            <w:r>
              <w:rPr>
                <w:rFonts w:hint="eastAsia"/>
                <w:b/>
                <w:bCs w:val="0"/>
                <w:color w:val="auto"/>
                <w:sz w:val="21"/>
                <w:szCs w:val="21"/>
                <w:highlight w:val="none"/>
                <w:lang w:val="en-US" w:eastAsia="zh-CN"/>
              </w:rPr>
              <w:t>冰</w:t>
            </w:r>
            <w:r>
              <w:rPr>
                <w:rFonts w:hint="eastAsia" w:ascii="宋体" w:hAnsi="宋体"/>
                <w:b/>
                <w:bCs/>
                <w:color w:val="auto"/>
                <w:sz w:val="21"/>
                <w:szCs w:val="21"/>
                <w:highlight w:val="none"/>
              </w:rPr>
              <w:t>鲜猪排骨(肋排)：</w:t>
            </w:r>
            <w:r>
              <w:rPr>
                <w:rFonts w:hint="eastAsia" w:ascii="宋体" w:hAnsi="宋体"/>
                <w:b w:val="0"/>
                <w:bCs w:val="0"/>
                <w:color w:val="auto"/>
                <w:sz w:val="21"/>
                <w:szCs w:val="21"/>
                <w:highlight w:val="none"/>
              </w:rPr>
              <w:t>猪排为整条肋排，颜色呈鲜红无异味，肉质新鲜、有弹性、不注水、无寄生虫，无病、毒猪肉。</w:t>
            </w:r>
          </w:p>
          <w:p w14:paraId="0FF17B76">
            <w:pPr>
              <w:spacing w:line="360" w:lineRule="auto"/>
              <w:rPr>
                <w:rFonts w:hint="eastAsia" w:ascii="宋体" w:hAnsi="宋体"/>
                <w:b w:val="0"/>
                <w:bCs w:val="0"/>
                <w:color w:val="auto"/>
                <w:sz w:val="21"/>
                <w:szCs w:val="21"/>
                <w:highlight w:val="none"/>
              </w:rPr>
            </w:pPr>
            <w:r>
              <w:rPr>
                <w:rFonts w:hint="eastAsia" w:ascii="宋体" w:hAnsi="宋体"/>
                <w:b/>
                <w:bCs/>
                <w:color w:val="auto"/>
                <w:sz w:val="21"/>
                <w:szCs w:val="21"/>
                <w:highlight w:val="none"/>
              </w:rPr>
              <w:t>4.</w:t>
            </w:r>
            <w:r>
              <w:rPr>
                <w:rFonts w:hint="eastAsia"/>
                <w:b/>
                <w:bCs w:val="0"/>
                <w:color w:val="auto"/>
                <w:sz w:val="21"/>
                <w:szCs w:val="21"/>
                <w:highlight w:val="none"/>
                <w:lang w:val="en-US" w:eastAsia="zh-CN"/>
              </w:rPr>
              <w:t>冰</w:t>
            </w:r>
            <w:r>
              <w:rPr>
                <w:rFonts w:hint="eastAsia" w:ascii="宋体" w:hAnsi="宋体"/>
                <w:b/>
                <w:bCs/>
                <w:color w:val="auto"/>
                <w:sz w:val="21"/>
                <w:szCs w:val="21"/>
                <w:highlight w:val="none"/>
              </w:rPr>
              <w:t>鲜猪五花肉：</w:t>
            </w:r>
            <w:r>
              <w:rPr>
                <w:rFonts w:hint="eastAsia" w:ascii="宋体" w:hAnsi="宋体"/>
                <w:b w:val="0"/>
                <w:bCs w:val="0"/>
                <w:color w:val="auto"/>
                <w:sz w:val="21"/>
                <w:szCs w:val="21"/>
                <w:highlight w:val="none"/>
              </w:rPr>
              <w:t>颜色呈鲜红无异味，肉质新鲜、有弹性、肉质层层肥瘦相间，猪皮表面细致，不注水、无寄生虫，无病、毒猪肉。</w:t>
            </w:r>
          </w:p>
          <w:p w14:paraId="5542EF62">
            <w:pPr>
              <w:spacing w:line="360" w:lineRule="auto"/>
              <w:rPr>
                <w:rFonts w:hint="eastAsia" w:ascii="宋体" w:hAnsi="宋体"/>
                <w:b w:val="0"/>
                <w:bCs w:val="0"/>
                <w:color w:val="auto"/>
                <w:sz w:val="21"/>
                <w:szCs w:val="21"/>
                <w:highlight w:val="none"/>
                <w:lang w:eastAsia="zh-CN"/>
              </w:rPr>
            </w:pPr>
            <w:r>
              <w:rPr>
                <w:rFonts w:hint="eastAsia" w:ascii="宋体" w:hAnsi="宋体"/>
                <w:b/>
                <w:bCs/>
                <w:color w:val="auto"/>
                <w:sz w:val="21"/>
                <w:szCs w:val="21"/>
                <w:highlight w:val="none"/>
                <w:lang w:val="en-US" w:eastAsia="zh-CN"/>
              </w:rPr>
              <w:t>5.</w:t>
            </w:r>
            <w:r>
              <w:rPr>
                <w:rFonts w:hint="eastAsia" w:ascii="宋体" w:hAnsi="宋体"/>
                <w:b/>
                <w:bCs/>
                <w:color w:val="auto"/>
                <w:sz w:val="21"/>
                <w:szCs w:val="21"/>
                <w:highlight w:val="none"/>
                <w:lang w:eastAsia="zh-CN"/>
              </w:rPr>
              <w:t>新（冰）鲜猪肝：</w:t>
            </w:r>
            <w:r>
              <w:rPr>
                <w:rFonts w:hint="eastAsia" w:ascii="宋体" w:hAnsi="宋体"/>
                <w:b w:val="0"/>
                <w:bCs w:val="0"/>
                <w:color w:val="auto"/>
                <w:sz w:val="21"/>
                <w:szCs w:val="21"/>
                <w:highlight w:val="none"/>
                <w:lang w:eastAsia="zh-CN"/>
              </w:rPr>
              <w:t>颜色呈紫约红色，富有光泽，表面无水泡，用手轻压后压痕能很快恢复，富有弹性。无硬块、水肿、白点。</w:t>
            </w:r>
          </w:p>
          <w:p w14:paraId="2D42D773">
            <w:pPr>
              <w:spacing w:line="360" w:lineRule="auto"/>
              <w:rPr>
                <w:rFonts w:hint="default" w:ascii="宋体" w:hAnsi="宋体"/>
                <w:b w:val="0"/>
                <w:bCs w:val="0"/>
                <w:color w:val="auto"/>
                <w:sz w:val="21"/>
                <w:szCs w:val="21"/>
                <w:highlight w:val="none"/>
                <w:lang w:val="en-US" w:eastAsia="zh-CN"/>
              </w:rPr>
            </w:pPr>
            <w:r>
              <w:rPr>
                <w:rFonts w:hint="eastAsia" w:ascii="宋体" w:hAnsi="宋体"/>
                <w:b/>
                <w:bCs/>
                <w:color w:val="auto"/>
                <w:sz w:val="21"/>
                <w:szCs w:val="21"/>
                <w:highlight w:val="none"/>
                <w:lang w:val="en-US" w:eastAsia="zh-CN"/>
              </w:rPr>
              <w:t>6.</w:t>
            </w:r>
            <w:r>
              <w:rPr>
                <w:rFonts w:hint="eastAsia" w:ascii="宋体" w:hAnsi="宋体"/>
                <w:b/>
                <w:bCs/>
                <w:color w:val="auto"/>
                <w:sz w:val="21"/>
                <w:szCs w:val="21"/>
                <w:highlight w:val="none"/>
                <w:lang w:eastAsia="zh-CN"/>
              </w:rPr>
              <w:t>新（冰）</w:t>
            </w:r>
            <w:r>
              <w:rPr>
                <w:rFonts w:hint="eastAsia" w:ascii="宋体" w:hAnsi="宋体"/>
                <w:b/>
                <w:bCs/>
                <w:color w:val="auto"/>
                <w:sz w:val="21"/>
                <w:szCs w:val="21"/>
                <w:highlight w:val="none"/>
                <w:lang w:val="en-US" w:eastAsia="zh-CN"/>
              </w:rPr>
              <w:t>鲜猪肚：</w:t>
            </w:r>
            <w:r>
              <w:rPr>
                <w:rFonts w:hint="eastAsia" w:ascii="宋体" w:hAnsi="宋体"/>
                <w:b w:val="0"/>
                <w:bCs w:val="0"/>
                <w:color w:val="auto"/>
                <w:sz w:val="21"/>
                <w:szCs w:val="21"/>
                <w:highlight w:val="none"/>
                <w:lang w:eastAsia="zh-CN"/>
              </w:rPr>
              <w:t>颜色呈黄白色或肉粉色，用手触摸表面较黏且富有弹性、光泽，肚内无小疙瘩。</w:t>
            </w:r>
          </w:p>
          <w:p w14:paraId="4E8D6FA1">
            <w:pPr>
              <w:spacing w:line="360" w:lineRule="auto"/>
              <w:rPr>
                <w:rFonts w:hint="eastAsia" w:ascii="宋体" w:hAnsi="宋体"/>
                <w:b w:val="0"/>
                <w:bCs w:val="0"/>
                <w:color w:val="auto"/>
                <w:sz w:val="21"/>
                <w:szCs w:val="21"/>
                <w:highlight w:val="none"/>
              </w:rPr>
            </w:pPr>
            <w:r>
              <w:rPr>
                <w:rFonts w:hint="eastAsia" w:ascii="宋体" w:hAnsi="宋体"/>
                <w:b/>
                <w:bCs/>
                <w:color w:val="auto"/>
                <w:sz w:val="21"/>
                <w:szCs w:val="21"/>
                <w:highlight w:val="none"/>
                <w:lang w:val="en-US" w:eastAsia="zh-CN"/>
              </w:rPr>
              <w:t>6</w:t>
            </w:r>
            <w:r>
              <w:rPr>
                <w:rFonts w:hint="eastAsia" w:ascii="宋体" w:hAnsi="宋体"/>
                <w:b/>
                <w:bCs/>
                <w:color w:val="auto"/>
                <w:sz w:val="21"/>
                <w:szCs w:val="21"/>
                <w:highlight w:val="none"/>
              </w:rPr>
              <w:t>.</w:t>
            </w:r>
            <w:r>
              <w:rPr>
                <w:rFonts w:hint="eastAsia"/>
                <w:b/>
                <w:bCs w:val="0"/>
                <w:color w:val="auto"/>
                <w:sz w:val="21"/>
                <w:szCs w:val="21"/>
                <w:highlight w:val="none"/>
                <w:lang w:val="en-US" w:eastAsia="zh-CN"/>
              </w:rPr>
              <w:t>冰</w:t>
            </w:r>
            <w:r>
              <w:rPr>
                <w:rFonts w:hint="eastAsia" w:ascii="宋体" w:hAnsi="宋体"/>
                <w:b/>
                <w:bCs/>
                <w:color w:val="auto"/>
                <w:sz w:val="21"/>
                <w:szCs w:val="21"/>
                <w:highlight w:val="none"/>
              </w:rPr>
              <w:t>鲜戒指鸡（去杂）、</w:t>
            </w:r>
            <w:r>
              <w:rPr>
                <w:rFonts w:hint="eastAsia"/>
                <w:b/>
                <w:bCs w:val="0"/>
                <w:color w:val="auto"/>
                <w:sz w:val="21"/>
                <w:szCs w:val="21"/>
                <w:highlight w:val="none"/>
                <w:lang w:val="en-US" w:eastAsia="zh-CN"/>
              </w:rPr>
              <w:t>冰</w:t>
            </w:r>
            <w:r>
              <w:rPr>
                <w:rFonts w:hint="eastAsia" w:ascii="宋体" w:hAnsi="宋体"/>
                <w:b/>
                <w:bCs/>
                <w:color w:val="auto"/>
                <w:sz w:val="21"/>
                <w:szCs w:val="21"/>
                <w:highlight w:val="none"/>
              </w:rPr>
              <w:t>鲜三黄项鸡（去杂)、</w:t>
            </w:r>
            <w:r>
              <w:rPr>
                <w:rFonts w:hint="eastAsia"/>
                <w:b/>
                <w:bCs w:val="0"/>
                <w:color w:val="auto"/>
                <w:sz w:val="21"/>
                <w:szCs w:val="21"/>
                <w:highlight w:val="none"/>
                <w:lang w:val="en-US" w:eastAsia="zh-CN"/>
              </w:rPr>
              <w:t>冰</w:t>
            </w:r>
            <w:r>
              <w:rPr>
                <w:rFonts w:hint="eastAsia" w:ascii="宋体" w:hAnsi="宋体"/>
                <w:b/>
                <w:bCs/>
                <w:color w:val="auto"/>
                <w:sz w:val="21"/>
                <w:szCs w:val="21"/>
                <w:highlight w:val="none"/>
              </w:rPr>
              <w:t>鲜火鸭（去杂）、</w:t>
            </w:r>
            <w:r>
              <w:rPr>
                <w:rFonts w:hint="eastAsia"/>
                <w:b/>
                <w:bCs w:val="0"/>
                <w:color w:val="auto"/>
                <w:sz w:val="21"/>
                <w:szCs w:val="21"/>
                <w:highlight w:val="none"/>
                <w:lang w:val="en-US" w:eastAsia="zh-CN"/>
              </w:rPr>
              <w:t>冰</w:t>
            </w:r>
            <w:r>
              <w:rPr>
                <w:rFonts w:hint="eastAsia" w:ascii="宋体" w:hAnsi="宋体"/>
                <w:b/>
                <w:bCs/>
                <w:color w:val="auto"/>
                <w:sz w:val="21"/>
                <w:szCs w:val="21"/>
                <w:highlight w:val="none"/>
              </w:rPr>
              <w:t>鲜假西洋鸭（去杂）：</w:t>
            </w:r>
            <w:r>
              <w:rPr>
                <w:rFonts w:hint="eastAsia" w:ascii="宋体" w:hAnsi="宋体"/>
                <w:b w:val="0"/>
                <w:bCs w:val="0"/>
                <w:color w:val="auto"/>
                <w:sz w:val="21"/>
                <w:szCs w:val="21"/>
                <w:highlight w:val="none"/>
              </w:rPr>
              <w:t>表皮有光泽，因品种不同呈淡黄色、淡红色或灰白色。肌肉切而发光、外表微干或微湿润、不粘手、指压后的凹陷立即恢复。具有鲜鸡、鸭肉正常气味，无淤血斑无或极少，无打水症状、无破皮、鸡、鸭的翼部或鸡关节，不能有骨折或因骨折破皮而使骨头外露。</w:t>
            </w:r>
          </w:p>
          <w:p w14:paraId="762E8033">
            <w:pPr>
              <w:spacing w:line="360" w:lineRule="auto"/>
              <w:rPr>
                <w:rFonts w:hint="eastAsia" w:ascii="宋体" w:hAnsi="宋体"/>
                <w:b w:val="0"/>
                <w:bCs w:val="0"/>
                <w:color w:val="auto"/>
                <w:sz w:val="21"/>
                <w:szCs w:val="21"/>
                <w:highlight w:val="none"/>
              </w:rPr>
            </w:pPr>
            <w:r>
              <w:rPr>
                <w:rFonts w:hint="eastAsia" w:ascii="宋体" w:hAnsi="宋体"/>
                <w:b/>
                <w:bCs w:val="0"/>
                <w:color w:val="auto"/>
                <w:sz w:val="21"/>
                <w:szCs w:val="21"/>
                <w:highlight w:val="none"/>
                <w:lang w:val="en-US" w:eastAsia="zh-CN"/>
              </w:rPr>
              <w:t>7</w:t>
            </w:r>
            <w:r>
              <w:rPr>
                <w:rFonts w:hint="eastAsia" w:ascii="宋体" w:hAnsi="宋体"/>
                <w:b/>
                <w:bCs w:val="0"/>
                <w:color w:val="auto"/>
                <w:sz w:val="21"/>
                <w:szCs w:val="21"/>
                <w:highlight w:val="none"/>
              </w:rPr>
              <w:t>.</w:t>
            </w:r>
            <w:r>
              <w:rPr>
                <w:rFonts w:hint="eastAsia"/>
                <w:b/>
                <w:bCs w:val="0"/>
                <w:color w:val="auto"/>
                <w:sz w:val="21"/>
                <w:szCs w:val="21"/>
                <w:highlight w:val="none"/>
                <w:lang w:val="en-US" w:eastAsia="zh-CN"/>
              </w:rPr>
              <w:t>冰</w:t>
            </w:r>
            <w:r>
              <w:rPr>
                <w:rFonts w:hint="eastAsia" w:ascii="宋体" w:hAnsi="宋体"/>
                <w:b/>
                <w:bCs/>
                <w:color w:val="auto"/>
                <w:sz w:val="21"/>
                <w:szCs w:val="21"/>
                <w:highlight w:val="none"/>
              </w:rPr>
              <w:t>鲜</w:t>
            </w:r>
            <w:r>
              <w:rPr>
                <w:rFonts w:hint="eastAsia" w:ascii="宋体" w:hAnsi="宋体"/>
                <w:b/>
                <w:bCs w:val="0"/>
                <w:color w:val="auto"/>
                <w:sz w:val="21"/>
                <w:szCs w:val="21"/>
                <w:highlight w:val="none"/>
              </w:rPr>
              <w:t>鸡全翅、</w:t>
            </w:r>
            <w:r>
              <w:rPr>
                <w:rFonts w:hint="eastAsia"/>
                <w:b/>
                <w:bCs w:val="0"/>
                <w:color w:val="auto"/>
                <w:sz w:val="21"/>
                <w:szCs w:val="21"/>
                <w:highlight w:val="none"/>
                <w:lang w:val="en-US" w:eastAsia="zh-CN"/>
              </w:rPr>
              <w:t>冰</w:t>
            </w:r>
            <w:r>
              <w:rPr>
                <w:rFonts w:hint="eastAsia" w:ascii="宋体" w:hAnsi="宋体"/>
                <w:b/>
                <w:bCs/>
                <w:color w:val="auto"/>
                <w:sz w:val="21"/>
                <w:szCs w:val="21"/>
                <w:highlight w:val="none"/>
              </w:rPr>
              <w:t>鲜</w:t>
            </w:r>
            <w:r>
              <w:rPr>
                <w:rFonts w:hint="eastAsia" w:ascii="宋体" w:hAnsi="宋体"/>
                <w:b/>
                <w:bCs w:val="0"/>
                <w:color w:val="auto"/>
                <w:sz w:val="21"/>
                <w:szCs w:val="21"/>
                <w:highlight w:val="none"/>
              </w:rPr>
              <w:t>鸡腿：</w:t>
            </w:r>
            <w:r>
              <w:rPr>
                <w:rFonts w:hint="eastAsia" w:ascii="宋体" w:hAnsi="宋体"/>
                <w:b w:val="0"/>
                <w:bCs/>
                <w:color w:val="auto"/>
                <w:sz w:val="21"/>
                <w:szCs w:val="21"/>
                <w:highlight w:val="none"/>
              </w:rPr>
              <w:t>鸡翅、鸡腿大小均匀，</w:t>
            </w:r>
            <w:r>
              <w:rPr>
                <w:rFonts w:hint="eastAsia" w:ascii="宋体" w:hAnsi="宋体"/>
                <w:b w:val="0"/>
                <w:bCs w:val="0"/>
                <w:color w:val="auto"/>
                <w:sz w:val="21"/>
                <w:szCs w:val="21"/>
                <w:highlight w:val="none"/>
              </w:rPr>
              <w:t>表皮有光泽，因品种不同呈淡黄色、淡红色或灰白色。肌肉切而发光、外表微干或微湿润、不粘手、指压后的凹陷立即恢复。</w:t>
            </w:r>
          </w:p>
          <w:p w14:paraId="2BEA82BB">
            <w:pPr>
              <w:spacing w:line="360" w:lineRule="auto"/>
              <w:rPr>
                <w:rFonts w:hint="eastAsia" w:ascii="宋体" w:hAnsi="宋体"/>
                <w:b w:val="0"/>
                <w:bCs w:val="0"/>
                <w:color w:val="auto"/>
                <w:sz w:val="21"/>
                <w:szCs w:val="21"/>
                <w:highlight w:val="none"/>
              </w:rPr>
            </w:pPr>
            <w:r>
              <w:rPr>
                <w:rFonts w:hint="eastAsia" w:ascii="宋体" w:hAnsi="宋体"/>
                <w:b/>
                <w:bCs/>
                <w:color w:val="auto"/>
                <w:sz w:val="21"/>
                <w:szCs w:val="21"/>
                <w:highlight w:val="none"/>
                <w:lang w:val="en-US" w:eastAsia="zh-CN"/>
              </w:rPr>
              <w:t>8</w:t>
            </w:r>
            <w:r>
              <w:rPr>
                <w:rFonts w:hint="eastAsia" w:ascii="宋体" w:hAnsi="宋体"/>
                <w:b/>
                <w:bCs/>
                <w:color w:val="auto"/>
                <w:sz w:val="21"/>
                <w:szCs w:val="21"/>
                <w:highlight w:val="none"/>
              </w:rPr>
              <w:t>.</w:t>
            </w:r>
            <w:r>
              <w:rPr>
                <w:rFonts w:hint="eastAsia"/>
                <w:b/>
                <w:bCs w:val="0"/>
                <w:color w:val="auto"/>
                <w:sz w:val="21"/>
                <w:szCs w:val="21"/>
                <w:highlight w:val="none"/>
                <w:lang w:val="en-US" w:eastAsia="zh-CN"/>
              </w:rPr>
              <w:t>冰</w:t>
            </w:r>
            <w:r>
              <w:rPr>
                <w:rFonts w:hint="eastAsia" w:ascii="宋体" w:hAnsi="宋体"/>
                <w:b/>
                <w:bCs/>
                <w:color w:val="auto"/>
                <w:sz w:val="21"/>
                <w:szCs w:val="21"/>
                <w:highlight w:val="none"/>
              </w:rPr>
              <w:t>鲜牛肉、</w:t>
            </w:r>
            <w:r>
              <w:rPr>
                <w:rFonts w:hint="eastAsia"/>
                <w:b/>
                <w:bCs w:val="0"/>
                <w:color w:val="auto"/>
                <w:sz w:val="21"/>
                <w:szCs w:val="21"/>
                <w:highlight w:val="none"/>
                <w:lang w:val="en-US" w:eastAsia="zh-CN"/>
              </w:rPr>
              <w:t>冰</w:t>
            </w:r>
            <w:r>
              <w:rPr>
                <w:rFonts w:hint="eastAsia" w:ascii="宋体" w:hAnsi="宋体"/>
                <w:b/>
                <w:bCs/>
                <w:color w:val="auto"/>
                <w:sz w:val="21"/>
                <w:szCs w:val="21"/>
                <w:highlight w:val="none"/>
              </w:rPr>
              <w:t>鲜牛腩：</w:t>
            </w:r>
            <w:r>
              <w:rPr>
                <w:rFonts w:hint="eastAsia" w:ascii="宋体" w:hAnsi="宋体"/>
                <w:b w:val="0"/>
                <w:bCs w:val="0"/>
                <w:color w:val="auto"/>
                <w:sz w:val="21"/>
                <w:szCs w:val="21"/>
                <w:highlight w:val="none"/>
              </w:rPr>
              <w:t>肉色深红、肉质有弹性、指压陷部分立刻恢复、切面有光泽及微湿润，极小渗出物、具有浓郁的牛肉气味、脂肪白色或乳白色、无寄生虫、无注水。</w:t>
            </w:r>
          </w:p>
          <w:p w14:paraId="59FED8A9">
            <w:pPr>
              <w:spacing w:line="360" w:lineRule="auto"/>
              <w:rPr>
                <w:rFonts w:hint="eastAsia" w:ascii="宋体" w:hAnsi="宋体"/>
                <w:b w:val="0"/>
                <w:bCs w:val="0"/>
                <w:color w:val="auto"/>
                <w:sz w:val="21"/>
                <w:szCs w:val="21"/>
                <w:highlight w:val="none"/>
              </w:rPr>
            </w:pPr>
            <w:r>
              <w:rPr>
                <w:rFonts w:hint="eastAsia" w:ascii="宋体" w:hAnsi="宋体"/>
                <w:b/>
                <w:bCs/>
                <w:color w:val="auto"/>
                <w:sz w:val="21"/>
                <w:szCs w:val="21"/>
                <w:highlight w:val="none"/>
                <w:lang w:val="en-US" w:eastAsia="zh-CN"/>
              </w:rPr>
              <w:t>9</w:t>
            </w:r>
            <w:r>
              <w:rPr>
                <w:rFonts w:hint="eastAsia" w:ascii="宋体" w:hAnsi="宋体"/>
                <w:b/>
                <w:bCs/>
                <w:color w:val="auto"/>
                <w:sz w:val="21"/>
                <w:szCs w:val="21"/>
                <w:highlight w:val="none"/>
              </w:rPr>
              <w:t>.</w:t>
            </w:r>
            <w:r>
              <w:rPr>
                <w:rFonts w:hint="eastAsia"/>
                <w:b/>
                <w:bCs w:val="0"/>
                <w:color w:val="auto"/>
                <w:sz w:val="21"/>
                <w:szCs w:val="21"/>
                <w:highlight w:val="none"/>
                <w:lang w:val="en-US" w:eastAsia="zh-CN"/>
              </w:rPr>
              <w:t>冰</w:t>
            </w:r>
            <w:r>
              <w:rPr>
                <w:rFonts w:hint="eastAsia" w:ascii="宋体" w:hAnsi="宋体"/>
                <w:b/>
                <w:bCs/>
                <w:color w:val="auto"/>
                <w:sz w:val="21"/>
                <w:szCs w:val="21"/>
                <w:highlight w:val="none"/>
              </w:rPr>
              <w:t>鲜山羊肉、</w:t>
            </w:r>
            <w:r>
              <w:rPr>
                <w:rFonts w:hint="eastAsia"/>
                <w:b/>
                <w:bCs w:val="0"/>
                <w:color w:val="auto"/>
                <w:sz w:val="21"/>
                <w:szCs w:val="21"/>
                <w:highlight w:val="none"/>
                <w:lang w:val="en-US" w:eastAsia="zh-CN"/>
              </w:rPr>
              <w:t>冰</w:t>
            </w:r>
            <w:r>
              <w:rPr>
                <w:rFonts w:hint="eastAsia" w:ascii="宋体" w:hAnsi="宋体"/>
                <w:b/>
                <w:bCs/>
                <w:color w:val="auto"/>
                <w:sz w:val="21"/>
                <w:szCs w:val="21"/>
                <w:highlight w:val="none"/>
              </w:rPr>
              <w:t>鲜绵羊肉：</w:t>
            </w:r>
            <w:r>
              <w:rPr>
                <w:rFonts w:hint="eastAsia" w:ascii="宋体" w:hAnsi="宋体"/>
                <w:b w:val="0"/>
                <w:bCs w:val="0"/>
                <w:color w:val="auto"/>
                <w:sz w:val="21"/>
                <w:szCs w:val="21"/>
                <w:highlight w:val="none"/>
              </w:rPr>
              <w:t>肉色红而均匀，有光泽，肉质坚而细，有弹性，外表微干，不粘手，气味新鲜，无其他异味。</w:t>
            </w:r>
          </w:p>
        </w:tc>
      </w:tr>
      <w:tr w14:paraId="0E24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00C0A34F">
            <w:pPr>
              <w:widowControl/>
              <w:spacing w:line="360" w:lineRule="auto"/>
              <w:jc w:val="center"/>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4</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B7A09BD">
            <w:pPr>
              <w:widowControl/>
              <w:spacing w:line="36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水产类</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6A331A8B">
            <w:pPr>
              <w:widowControl/>
              <w:spacing w:line="360" w:lineRule="auto"/>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szCs w:val="21"/>
                <w:highlight w:val="none"/>
                <w:lang w:val="en-US" w:eastAsia="zh-CN"/>
              </w:rPr>
              <w:t>1批</w:t>
            </w:r>
          </w:p>
        </w:tc>
        <w:tc>
          <w:tcPr>
            <w:tcW w:w="6365" w:type="dxa"/>
            <w:tcBorders>
              <w:top w:val="single" w:color="auto" w:sz="4" w:space="0"/>
              <w:left w:val="single" w:color="auto" w:sz="4" w:space="0"/>
              <w:bottom w:val="single" w:color="auto" w:sz="4" w:space="0"/>
              <w:right w:val="single" w:color="auto" w:sz="4" w:space="0"/>
            </w:tcBorders>
            <w:noWrap w:val="0"/>
            <w:vAlign w:val="top"/>
          </w:tcPr>
          <w:p w14:paraId="2045E7DD">
            <w:pPr>
              <w:spacing w:line="360" w:lineRule="auto"/>
              <w:rPr>
                <w:rFonts w:hint="eastAsia" w:ascii="宋体" w:hAnsi="宋体"/>
                <w:b w:val="0"/>
                <w:bCs w:val="0"/>
                <w:color w:val="auto"/>
                <w:sz w:val="21"/>
                <w:szCs w:val="21"/>
                <w:highlight w:val="none"/>
              </w:rPr>
            </w:pPr>
            <w:r>
              <w:rPr>
                <w:rFonts w:hint="eastAsia" w:ascii="宋体" w:hAnsi="宋体"/>
                <w:b/>
                <w:bCs/>
                <w:color w:val="auto"/>
                <w:sz w:val="21"/>
                <w:szCs w:val="21"/>
                <w:highlight w:val="none"/>
              </w:rPr>
              <w:t>1.沙虫干：</w:t>
            </w:r>
            <w:r>
              <w:rPr>
                <w:rFonts w:hint="eastAsia" w:ascii="宋体" w:hAnsi="宋体"/>
                <w:b w:val="0"/>
                <w:bCs w:val="0"/>
                <w:color w:val="auto"/>
                <w:sz w:val="21"/>
                <w:szCs w:val="21"/>
                <w:highlight w:val="none"/>
              </w:rPr>
              <w:t>色泽为淡米黄色。色泽不能为暗黄或暗黑。干度体硬不软，不粘手。等级为中等以上6cm至8cm，50至60条=50克。</w:t>
            </w:r>
          </w:p>
          <w:p w14:paraId="3F921A9F">
            <w:pPr>
              <w:spacing w:line="360" w:lineRule="auto"/>
              <w:rPr>
                <w:rFonts w:hint="eastAsia" w:ascii="宋体" w:hAnsi="宋体"/>
                <w:b w:val="0"/>
                <w:bCs w:val="0"/>
                <w:color w:val="auto"/>
                <w:sz w:val="21"/>
                <w:szCs w:val="21"/>
                <w:highlight w:val="none"/>
              </w:rPr>
            </w:pPr>
            <w:r>
              <w:rPr>
                <w:rFonts w:hint="eastAsia" w:ascii="宋体" w:hAnsi="宋体"/>
                <w:b/>
                <w:bCs/>
                <w:color w:val="auto"/>
                <w:sz w:val="21"/>
                <w:szCs w:val="21"/>
                <w:highlight w:val="none"/>
              </w:rPr>
              <w:t>2.</w:t>
            </w:r>
            <w:r>
              <w:rPr>
                <w:rFonts w:hint="eastAsia" w:ascii="宋体" w:hAnsi="宋体"/>
                <w:b/>
                <w:bCs/>
                <w:color w:val="auto"/>
                <w:sz w:val="21"/>
                <w:szCs w:val="21"/>
                <w:highlight w:val="none"/>
                <w:lang w:eastAsia="zh-CN"/>
              </w:rPr>
              <w:t>干贝</w:t>
            </w:r>
            <w:r>
              <w:rPr>
                <w:rFonts w:hint="eastAsia" w:ascii="宋体" w:hAnsi="宋体"/>
                <w:b/>
                <w:bCs/>
                <w:color w:val="auto"/>
                <w:sz w:val="21"/>
                <w:szCs w:val="21"/>
                <w:highlight w:val="none"/>
              </w:rPr>
              <w:t>：</w:t>
            </w:r>
            <w:r>
              <w:rPr>
                <w:rFonts w:hint="eastAsia" w:ascii="宋体" w:hAnsi="宋体"/>
                <w:b w:val="0"/>
                <w:bCs w:val="0"/>
                <w:color w:val="auto"/>
                <w:sz w:val="21"/>
                <w:szCs w:val="21"/>
                <w:highlight w:val="none"/>
              </w:rPr>
              <w:t>表面呈金黄色，掰开内呈金黄或略呈棕色，大小统一饱满，成品表面完整。</w:t>
            </w:r>
          </w:p>
          <w:p w14:paraId="19A4B775">
            <w:pPr>
              <w:spacing w:line="360" w:lineRule="auto"/>
              <w:rPr>
                <w:rFonts w:hint="eastAsia" w:ascii="宋体" w:hAnsi="宋体"/>
                <w:b w:val="0"/>
                <w:bCs w:val="0"/>
                <w:color w:val="auto"/>
                <w:sz w:val="21"/>
                <w:szCs w:val="21"/>
                <w:highlight w:val="none"/>
              </w:rPr>
            </w:pPr>
            <w:r>
              <w:rPr>
                <w:rFonts w:hint="eastAsia" w:ascii="宋体" w:hAnsi="宋体"/>
                <w:b/>
                <w:bCs/>
                <w:color w:val="auto"/>
                <w:sz w:val="21"/>
                <w:szCs w:val="21"/>
                <w:highlight w:val="none"/>
              </w:rPr>
              <w:t>3.虾米：</w:t>
            </w:r>
            <w:r>
              <w:rPr>
                <w:rFonts w:hint="eastAsia" w:ascii="宋体" w:hAnsi="宋体"/>
                <w:b w:val="0"/>
                <w:bCs w:val="0"/>
                <w:color w:val="auto"/>
                <w:sz w:val="21"/>
                <w:szCs w:val="21"/>
                <w:highlight w:val="none"/>
              </w:rPr>
              <w:t>体表色泽鲜亮，黄或浅红色，虾体弯曲无贴皮，无空头壳，手抓较松散、不粘连。</w:t>
            </w:r>
          </w:p>
        </w:tc>
      </w:tr>
      <w:tr w14:paraId="5802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55369691">
            <w:pPr>
              <w:widowControl/>
              <w:spacing w:line="36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5</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6AABCA6">
            <w:pPr>
              <w:spacing w:line="360" w:lineRule="auto"/>
              <w:jc w:val="center"/>
              <w:rPr>
                <w:rFonts w:hint="eastAsia" w:ascii="宋体" w:hAnsi="宋体" w:cs="宋体"/>
                <w:b w:val="0"/>
                <w:bCs/>
                <w:color w:val="auto"/>
                <w:szCs w:val="21"/>
                <w:highlight w:val="none"/>
              </w:rPr>
            </w:pPr>
            <w:r>
              <w:rPr>
                <w:rFonts w:hint="eastAsia"/>
                <w:b w:val="0"/>
                <w:bCs/>
                <w:color w:val="auto"/>
                <w:sz w:val="21"/>
                <w:szCs w:val="21"/>
                <w:highlight w:val="none"/>
              </w:rPr>
              <w:t>鲜蛋类（鸡蛋、鸭蛋）</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2C046C30">
            <w:pPr>
              <w:spacing w:line="360" w:lineRule="auto"/>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1批</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0AB99995">
            <w:pPr>
              <w:spacing w:line="360" w:lineRule="auto"/>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蛋壳清洁充整，灯光透视时，整个蛋呈桔黄色至橙红色，蛋黄不见或</w:t>
            </w:r>
            <w:r>
              <w:rPr>
                <w:rFonts w:hint="eastAsia" w:ascii="宋体" w:hAnsi="宋体"/>
                <w:color w:val="auto"/>
                <w:szCs w:val="21"/>
                <w:highlight w:val="none"/>
              </w:rPr>
              <w:t>略</w:t>
            </w:r>
            <w:r>
              <w:rPr>
                <w:rFonts w:ascii="宋体" w:hAnsi="宋体"/>
                <w:color w:val="auto"/>
                <w:szCs w:val="21"/>
                <w:highlight w:val="none"/>
              </w:rPr>
              <w:t>见阴影。打开后蛋黄凸起，</w:t>
            </w:r>
            <w:r>
              <w:rPr>
                <w:rFonts w:hint="eastAsia" w:ascii="宋体" w:hAnsi="宋体"/>
                <w:color w:val="auto"/>
                <w:szCs w:val="21"/>
                <w:highlight w:val="none"/>
              </w:rPr>
              <w:t>完整</w:t>
            </w:r>
            <w:r>
              <w:rPr>
                <w:rFonts w:ascii="宋体" w:hAnsi="宋体"/>
                <w:color w:val="auto"/>
                <w:szCs w:val="21"/>
                <w:highlight w:val="none"/>
              </w:rPr>
              <w:t>，有</w:t>
            </w:r>
            <w:r>
              <w:rPr>
                <w:rFonts w:hint="eastAsia" w:ascii="宋体" w:hAnsi="宋体"/>
                <w:color w:val="auto"/>
                <w:szCs w:val="21"/>
                <w:highlight w:val="none"/>
              </w:rPr>
              <w:t>韧性</w:t>
            </w:r>
            <w:r>
              <w:rPr>
                <w:rFonts w:ascii="宋体" w:hAnsi="宋体"/>
                <w:color w:val="auto"/>
                <w:szCs w:val="21"/>
                <w:highlight w:val="none"/>
              </w:rPr>
              <w:t>，蛋白澄清、透明、稀稠分明，无异味。</w:t>
            </w:r>
          </w:p>
          <w:p w14:paraId="7B19EA08">
            <w:pPr>
              <w:spacing w:line="360" w:lineRule="auto"/>
              <w:rPr>
                <w:rFonts w:hint="eastAsia" w:ascii="宋体" w:hAnsi="宋体"/>
                <w:color w:val="auto"/>
                <w:szCs w:val="21"/>
                <w:highlight w:val="none"/>
              </w:rPr>
            </w:pPr>
            <w:r>
              <w:rPr>
                <w:rFonts w:hint="eastAsia" w:ascii="宋体" w:hAnsi="宋体"/>
                <w:color w:val="auto"/>
                <w:szCs w:val="21"/>
                <w:highlight w:val="none"/>
              </w:rPr>
              <w:t>2.蛋壳内部应为纯白蛋，不能有斑点或 污浊，卵白透明，卵黄膜不破裂，卵黄卵白分明，不能有血管形成，不能有腐败等异臭味。</w:t>
            </w:r>
          </w:p>
          <w:p w14:paraId="58FC66C7">
            <w:pPr>
              <w:spacing w:line="360" w:lineRule="auto"/>
              <w:rPr>
                <w:rFonts w:hint="eastAsia" w:ascii="宋体" w:hAnsi="宋体"/>
                <w:b/>
                <w:bCs/>
                <w:color w:val="auto"/>
                <w:sz w:val="21"/>
                <w:szCs w:val="21"/>
                <w:highlight w:val="none"/>
              </w:rPr>
            </w:pPr>
            <w:r>
              <w:rPr>
                <w:rFonts w:hint="eastAsia"/>
                <w:color w:val="auto"/>
                <w:szCs w:val="21"/>
                <w:highlight w:val="none"/>
                <w:lang w:val="zh-TW"/>
              </w:rPr>
              <w:t>3.</w:t>
            </w:r>
            <w:r>
              <w:rPr>
                <w:color w:val="auto"/>
                <w:szCs w:val="21"/>
                <w:highlight w:val="none"/>
                <w:lang w:val="zh-TW"/>
              </w:rPr>
              <w:t>将蛋握在手中摇动</w:t>
            </w:r>
            <w:r>
              <w:rPr>
                <w:rFonts w:hint="eastAsia"/>
                <w:color w:val="auto"/>
                <w:szCs w:val="21"/>
                <w:highlight w:val="none"/>
                <w:lang w:val="zh-TW"/>
              </w:rPr>
              <w:t>时</w:t>
            </w:r>
            <w:r>
              <w:rPr>
                <w:color w:val="auto"/>
                <w:szCs w:val="21"/>
                <w:highlight w:val="none"/>
                <w:lang w:val="zh-TW"/>
              </w:rPr>
              <w:t>，蛋无哑板声，内容物无流动感，无活动声</w:t>
            </w:r>
            <w:r>
              <w:rPr>
                <w:rFonts w:hint="eastAsia"/>
                <w:color w:val="auto"/>
                <w:szCs w:val="21"/>
                <w:highlight w:val="none"/>
                <w:lang w:val="zh-TW"/>
              </w:rPr>
              <w:t>。</w:t>
            </w:r>
          </w:p>
        </w:tc>
      </w:tr>
      <w:tr w14:paraId="6774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57C80AB2">
            <w:pPr>
              <w:widowControl/>
              <w:spacing w:line="36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6</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C4A7F30">
            <w:pPr>
              <w:spacing w:line="360" w:lineRule="auto"/>
              <w:jc w:val="center"/>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rPr>
              <w:t>大米</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618A9692">
            <w:pPr>
              <w:spacing w:before="65" w:line="229"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pacing w:val="-18"/>
                <w:sz w:val="21"/>
                <w:szCs w:val="21"/>
                <w:highlight w:val="none"/>
              </w:rPr>
              <w:t xml:space="preserve">1 </w:t>
            </w:r>
            <w:r>
              <w:rPr>
                <w:rFonts w:hint="eastAsia" w:ascii="宋体" w:hAnsi="宋体" w:eastAsia="宋体" w:cs="宋体"/>
                <w:b w:val="0"/>
                <w:bCs/>
                <w:color w:val="auto"/>
                <w:spacing w:val="-18"/>
                <w:sz w:val="21"/>
                <w:szCs w:val="21"/>
                <w:highlight w:val="none"/>
                <w:lang w:val="en-US" w:eastAsia="zh-CN"/>
              </w:rPr>
              <w:t>批</w:t>
            </w:r>
          </w:p>
        </w:tc>
        <w:tc>
          <w:tcPr>
            <w:tcW w:w="6365" w:type="dxa"/>
            <w:tcBorders>
              <w:top w:val="single" w:color="auto" w:sz="4" w:space="0"/>
              <w:left w:val="single" w:color="auto" w:sz="4" w:space="0"/>
              <w:bottom w:val="single" w:color="auto" w:sz="4" w:space="0"/>
              <w:right w:val="single" w:color="auto" w:sz="4" w:space="0"/>
            </w:tcBorders>
            <w:noWrap w:val="0"/>
            <w:vAlign w:val="top"/>
          </w:tcPr>
          <w:p w14:paraId="7430D124">
            <w:pPr>
              <w:spacing w:line="360" w:lineRule="auto"/>
              <w:rPr>
                <w:rFonts w:hint="eastAsia" w:ascii="宋体" w:hAnsi="宋体"/>
                <w:bCs/>
                <w:color w:val="auto"/>
                <w:szCs w:val="21"/>
                <w:highlight w:val="none"/>
              </w:rPr>
            </w:pPr>
            <w:r>
              <w:rPr>
                <w:rFonts w:hint="eastAsia" w:ascii="宋体" w:hAnsi="宋体"/>
                <w:bCs/>
                <w:color w:val="auto"/>
                <w:szCs w:val="21"/>
                <w:highlight w:val="none"/>
              </w:rPr>
              <w:t>1.优质大米；优先考虑广西本地两年内生产的稻谷碾出的大米，禁止提供陈化粮。备注：根据采购人需求配送。</w:t>
            </w:r>
          </w:p>
          <w:p w14:paraId="7EAA97E8">
            <w:pPr>
              <w:spacing w:line="360" w:lineRule="auto"/>
              <w:rPr>
                <w:rFonts w:hint="eastAsia" w:ascii="宋体" w:hAnsi="宋体"/>
                <w:bCs/>
                <w:color w:val="auto"/>
                <w:szCs w:val="21"/>
                <w:highlight w:val="none"/>
              </w:rPr>
            </w:pPr>
            <w:r>
              <w:rPr>
                <w:rFonts w:hint="eastAsia" w:ascii="宋体" w:hAnsi="宋体"/>
                <w:bCs/>
                <w:color w:val="auto"/>
                <w:szCs w:val="21"/>
                <w:highlight w:val="none"/>
              </w:rPr>
              <w:t xml:space="preserve">2.必须符合 GB/T 1354-2018 大米国家标准，并具有“SC”食品质量安全认证，包装完好，品牌、商标、生产厂家、生产日期齐全。 </w:t>
            </w:r>
          </w:p>
          <w:p w14:paraId="64EBDFCA">
            <w:pPr>
              <w:spacing w:line="360" w:lineRule="auto"/>
              <w:rPr>
                <w:rFonts w:hint="eastAsia" w:ascii="宋体" w:hAnsi="宋体"/>
                <w:bCs/>
                <w:color w:val="auto"/>
                <w:szCs w:val="21"/>
                <w:highlight w:val="none"/>
              </w:rPr>
            </w:pPr>
            <w:r>
              <w:rPr>
                <w:rFonts w:hint="eastAsia" w:ascii="宋体" w:hAnsi="宋体"/>
                <w:bCs/>
                <w:color w:val="auto"/>
                <w:szCs w:val="21"/>
                <w:highlight w:val="none"/>
              </w:rPr>
              <w:t xml:space="preserve">3.具有大米固有色泽和香味，无污染、无虫害，色泽、气味、 口味正常，无异味或霉味 (霉变），无虫蛀结块挂丝或杂质异物等。   </w:t>
            </w:r>
          </w:p>
          <w:p w14:paraId="38F75530">
            <w:pPr>
              <w:spacing w:line="360" w:lineRule="auto"/>
              <w:rPr>
                <w:rFonts w:hint="eastAsia" w:ascii="宋体" w:hAnsi="宋体"/>
                <w:bCs/>
                <w:color w:val="auto"/>
                <w:szCs w:val="21"/>
                <w:highlight w:val="none"/>
              </w:rPr>
            </w:pPr>
            <w:r>
              <w:rPr>
                <w:rFonts w:hint="eastAsia" w:ascii="宋体" w:hAnsi="宋体"/>
                <w:bCs/>
                <w:color w:val="auto"/>
                <w:szCs w:val="21"/>
                <w:highlight w:val="none"/>
              </w:rPr>
              <w:t xml:space="preserve">4.供货时，保质期或保存期不少于一年，不允许提供过期物资。   </w:t>
            </w:r>
          </w:p>
          <w:p w14:paraId="1DEA5A21">
            <w:pPr>
              <w:spacing w:line="360" w:lineRule="auto"/>
              <w:rPr>
                <w:rFonts w:hint="eastAsia" w:ascii="宋体" w:hAnsi="宋体" w:eastAsia="宋体" w:cs="宋体"/>
                <w:color w:val="auto"/>
                <w:kern w:val="2"/>
                <w:sz w:val="21"/>
                <w:szCs w:val="21"/>
                <w:highlight w:val="none"/>
                <w:lang w:val="zh-TW" w:eastAsia="zh-CN" w:bidi="ar-SA"/>
              </w:rPr>
            </w:pPr>
            <w:r>
              <w:rPr>
                <w:rFonts w:hint="eastAsia" w:ascii="宋体" w:hAnsi="宋体"/>
                <w:bCs/>
                <w:color w:val="auto"/>
                <w:szCs w:val="21"/>
                <w:highlight w:val="none"/>
              </w:rPr>
              <w:t>▲5.供货时，提供大米近1年以来第三方权威部门出具的大米检测报告清晰复印件，提供的检测数据符合国家对食品的相关要求。</w:t>
            </w:r>
          </w:p>
        </w:tc>
      </w:tr>
      <w:tr w14:paraId="5487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21E52976">
            <w:pPr>
              <w:widowControl/>
              <w:spacing w:line="36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7</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08ECC67">
            <w:pPr>
              <w:spacing w:line="360" w:lineRule="auto"/>
              <w:jc w:val="center"/>
              <w:rPr>
                <w:rFonts w:hint="eastAsia" w:ascii="Times New Roman" w:hAnsi="Times New Roman" w:eastAsia="宋体" w:cs="Times New Roman"/>
                <w:b w:val="0"/>
                <w:bCs/>
                <w:color w:val="auto"/>
                <w:sz w:val="21"/>
                <w:szCs w:val="21"/>
                <w:highlight w:val="none"/>
              </w:rPr>
            </w:pPr>
          </w:p>
          <w:p w14:paraId="5B9BBAD6">
            <w:pPr>
              <w:spacing w:line="360" w:lineRule="auto"/>
              <w:jc w:val="center"/>
              <w:rPr>
                <w:rFonts w:hint="eastAsia" w:ascii="Times New Roman" w:hAnsi="Times New Roman" w:eastAsia="宋体" w:cs="Times New Roman"/>
                <w:b w:val="0"/>
                <w:bCs/>
                <w:color w:val="auto"/>
                <w:sz w:val="21"/>
                <w:szCs w:val="21"/>
                <w:highlight w:val="none"/>
              </w:rPr>
            </w:pPr>
          </w:p>
          <w:p w14:paraId="2EEBD39E">
            <w:pPr>
              <w:spacing w:line="360" w:lineRule="auto"/>
              <w:jc w:val="center"/>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rPr>
              <w:t>食用调和 油</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04C43243">
            <w:pPr>
              <w:spacing w:line="274" w:lineRule="auto"/>
              <w:jc w:val="center"/>
              <w:rPr>
                <w:rFonts w:hint="eastAsia" w:ascii="宋体" w:hAnsi="宋体" w:eastAsia="宋体" w:cs="宋体"/>
                <w:b w:val="0"/>
                <w:bCs/>
                <w:color w:val="auto"/>
                <w:sz w:val="21"/>
                <w:szCs w:val="21"/>
                <w:highlight w:val="none"/>
              </w:rPr>
            </w:pPr>
          </w:p>
          <w:p w14:paraId="7D0A58B4">
            <w:pPr>
              <w:spacing w:before="65" w:line="229"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pacing w:val="-18"/>
                <w:sz w:val="21"/>
                <w:szCs w:val="21"/>
                <w:highlight w:val="none"/>
              </w:rPr>
              <w:t xml:space="preserve">1 </w:t>
            </w:r>
            <w:r>
              <w:rPr>
                <w:rFonts w:hint="eastAsia" w:ascii="宋体" w:hAnsi="宋体" w:eastAsia="宋体" w:cs="宋体"/>
                <w:b w:val="0"/>
                <w:bCs/>
                <w:color w:val="auto"/>
                <w:spacing w:val="-18"/>
                <w:sz w:val="21"/>
                <w:szCs w:val="21"/>
                <w:highlight w:val="none"/>
                <w:lang w:val="en-US" w:eastAsia="zh-CN"/>
              </w:rPr>
              <w:t>批</w:t>
            </w:r>
          </w:p>
        </w:tc>
        <w:tc>
          <w:tcPr>
            <w:tcW w:w="6365" w:type="dxa"/>
            <w:tcBorders>
              <w:top w:val="single" w:color="auto" w:sz="4" w:space="0"/>
              <w:left w:val="single" w:color="auto" w:sz="4" w:space="0"/>
              <w:bottom w:val="single" w:color="auto" w:sz="4" w:space="0"/>
              <w:right w:val="single" w:color="auto" w:sz="4" w:space="0"/>
            </w:tcBorders>
            <w:noWrap w:val="0"/>
            <w:vAlign w:val="top"/>
          </w:tcPr>
          <w:p w14:paraId="2AC9FD16">
            <w:pPr>
              <w:spacing w:line="360" w:lineRule="auto"/>
              <w:rPr>
                <w:rFonts w:hint="eastAsia" w:ascii="宋体" w:hAnsi="宋体"/>
                <w:bCs/>
                <w:color w:val="auto"/>
                <w:szCs w:val="21"/>
                <w:highlight w:val="none"/>
              </w:rPr>
            </w:pPr>
            <w:r>
              <w:rPr>
                <w:rFonts w:hint="eastAsia" w:ascii="宋体" w:hAnsi="宋体"/>
                <w:bCs/>
                <w:color w:val="auto"/>
                <w:szCs w:val="21"/>
                <w:highlight w:val="none"/>
              </w:rPr>
              <w:t>1.优质食用调和油，必须为非转基因原料；规格：瓶装/正规厂家包装，5L/瓶。备注：根据采购人需求配送。</w:t>
            </w:r>
          </w:p>
          <w:p w14:paraId="1987928E">
            <w:pPr>
              <w:spacing w:line="360" w:lineRule="auto"/>
              <w:rPr>
                <w:rFonts w:hint="eastAsia" w:ascii="宋体" w:hAnsi="宋体"/>
                <w:bCs/>
                <w:color w:val="auto"/>
                <w:szCs w:val="21"/>
                <w:highlight w:val="none"/>
              </w:rPr>
            </w:pPr>
            <w:r>
              <w:rPr>
                <w:rFonts w:hint="eastAsia" w:ascii="宋体" w:hAnsi="宋体"/>
                <w:bCs/>
                <w:color w:val="auto"/>
                <w:szCs w:val="21"/>
                <w:highlight w:val="none"/>
              </w:rPr>
              <w:t>2.质量等级：一级。全部按标准规格包装，品牌、商标、生产地址、 食品生产许可证编号、重量、成分表、保质期或保存期、执行标准等标识。</w:t>
            </w:r>
          </w:p>
          <w:p w14:paraId="6D3FD29D">
            <w:pPr>
              <w:spacing w:line="360" w:lineRule="auto"/>
              <w:rPr>
                <w:rFonts w:hint="eastAsia" w:ascii="宋体" w:hAnsi="宋体"/>
                <w:bCs/>
                <w:color w:val="auto"/>
                <w:szCs w:val="21"/>
                <w:highlight w:val="none"/>
              </w:rPr>
            </w:pPr>
            <w:r>
              <w:rPr>
                <w:rFonts w:hint="eastAsia" w:ascii="宋体" w:hAnsi="宋体"/>
                <w:bCs/>
                <w:color w:val="auto"/>
                <w:szCs w:val="21"/>
                <w:highlight w:val="none"/>
              </w:rPr>
              <w:t>3.投标人自行提供品牌，应相当于或优于参考品牌 (金龙鱼、香满园、鲁花等) 的性能和指标。</w:t>
            </w:r>
          </w:p>
          <w:p w14:paraId="2FC5C800">
            <w:pPr>
              <w:spacing w:line="360" w:lineRule="auto"/>
              <w:rPr>
                <w:rFonts w:hint="eastAsia" w:ascii="宋体" w:hAnsi="宋体"/>
                <w:bCs/>
                <w:color w:val="auto"/>
                <w:szCs w:val="21"/>
                <w:highlight w:val="none"/>
              </w:rPr>
            </w:pPr>
            <w:r>
              <w:rPr>
                <w:rFonts w:hint="eastAsia" w:ascii="宋体" w:hAnsi="宋体"/>
                <w:bCs/>
                <w:color w:val="auto"/>
                <w:szCs w:val="21"/>
                <w:highlight w:val="none"/>
              </w:rPr>
              <w:t>▲4.必须符合 GB2716-2018 标准，并具有“SC”食品质量安全认证，且满足国家及行业标准，供货时，提供近 1 年以来第三方权威部门出具的食用调和油检测报告清晰复印件，提供的检测数据符合国家对食品的相关要求。</w:t>
            </w:r>
          </w:p>
          <w:p w14:paraId="24E2354A">
            <w:pPr>
              <w:spacing w:line="360" w:lineRule="auto"/>
              <w:rPr>
                <w:rFonts w:hint="eastAsia" w:ascii="宋体" w:hAnsi="宋体"/>
                <w:bCs/>
                <w:color w:val="auto"/>
                <w:szCs w:val="21"/>
                <w:highlight w:val="none"/>
              </w:rPr>
            </w:pPr>
            <w:r>
              <w:rPr>
                <w:rFonts w:hint="eastAsia" w:ascii="宋体" w:hAnsi="宋体"/>
                <w:bCs/>
                <w:color w:val="auto"/>
                <w:szCs w:val="21"/>
                <w:highlight w:val="none"/>
              </w:rPr>
              <w:t>5.具有正常植物油的色泽、透明度。具有固定的气味和滋味，无焦臭、酸败及其他异味；</w:t>
            </w:r>
          </w:p>
          <w:p w14:paraId="11F1FAB6">
            <w:pPr>
              <w:spacing w:line="360" w:lineRule="auto"/>
              <w:rPr>
                <w:rFonts w:hint="eastAsia" w:ascii="宋体" w:hAnsi="宋体" w:eastAsia="宋体" w:cs="宋体"/>
                <w:color w:val="auto"/>
                <w:kern w:val="2"/>
                <w:sz w:val="21"/>
                <w:szCs w:val="21"/>
                <w:highlight w:val="none"/>
                <w:lang w:val="zh-TW" w:eastAsia="zh-CN" w:bidi="ar-SA"/>
              </w:rPr>
            </w:pPr>
            <w:r>
              <w:rPr>
                <w:rFonts w:hint="eastAsia" w:ascii="宋体" w:hAnsi="宋体"/>
                <w:bCs/>
                <w:color w:val="auto"/>
                <w:szCs w:val="21"/>
                <w:highlight w:val="none"/>
              </w:rPr>
              <w:t>6.供货时，保质期或保存期不少于一年，不允许提供过期物资。</w:t>
            </w:r>
          </w:p>
        </w:tc>
      </w:tr>
      <w:tr w14:paraId="7564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430C73BD">
            <w:pPr>
              <w:widowControl/>
              <w:spacing w:line="36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8</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BF90D17">
            <w:pPr>
              <w:spacing w:line="360" w:lineRule="auto"/>
              <w:jc w:val="center"/>
              <w:rPr>
                <w:rFonts w:hint="eastAsia" w:ascii="Times New Roman" w:hAnsi="Times New Roman" w:eastAsia="宋体" w:cs="Times New Roman"/>
                <w:b w:val="0"/>
                <w:bCs/>
                <w:color w:val="auto"/>
                <w:sz w:val="21"/>
                <w:szCs w:val="21"/>
                <w:highlight w:val="none"/>
              </w:rPr>
            </w:pPr>
          </w:p>
          <w:p w14:paraId="0CB63A42">
            <w:pPr>
              <w:spacing w:line="360" w:lineRule="auto"/>
              <w:jc w:val="center"/>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rPr>
              <w:t>食用盐</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5FBDBEBD">
            <w:pPr>
              <w:spacing w:before="65" w:line="229" w:lineRule="auto"/>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pacing w:val="-18"/>
                <w:sz w:val="21"/>
                <w:szCs w:val="21"/>
                <w:highlight w:val="none"/>
              </w:rPr>
              <w:t xml:space="preserve">1 </w:t>
            </w:r>
            <w:r>
              <w:rPr>
                <w:rFonts w:hint="eastAsia" w:ascii="宋体" w:hAnsi="宋体" w:eastAsia="宋体" w:cs="宋体"/>
                <w:b w:val="0"/>
                <w:bCs/>
                <w:color w:val="auto"/>
                <w:spacing w:val="-18"/>
                <w:sz w:val="21"/>
                <w:szCs w:val="21"/>
                <w:highlight w:val="none"/>
                <w:lang w:val="en-US" w:eastAsia="zh-CN"/>
              </w:rPr>
              <w:t>批</w:t>
            </w:r>
          </w:p>
        </w:tc>
        <w:tc>
          <w:tcPr>
            <w:tcW w:w="6365" w:type="dxa"/>
            <w:tcBorders>
              <w:top w:val="single" w:color="auto" w:sz="4" w:space="0"/>
              <w:left w:val="single" w:color="auto" w:sz="4" w:space="0"/>
              <w:bottom w:val="single" w:color="auto" w:sz="4" w:space="0"/>
              <w:right w:val="single" w:color="auto" w:sz="4" w:space="0"/>
            </w:tcBorders>
            <w:noWrap w:val="0"/>
            <w:vAlign w:val="top"/>
          </w:tcPr>
          <w:p w14:paraId="74CC9F50">
            <w:pPr>
              <w:spacing w:line="360" w:lineRule="auto"/>
              <w:rPr>
                <w:rFonts w:hint="eastAsia" w:ascii="宋体" w:hAnsi="宋体"/>
                <w:bCs/>
                <w:color w:val="auto"/>
                <w:szCs w:val="21"/>
                <w:highlight w:val="none"/>
              </w:rPr>
            </w:pPr>
            <w:r>
              <w:rPr>
                <w:rFonts w:hint="eastAsia" w:ascii="宋体" w:hAnsi="宋体"/>
                <w:bCs/>
                <w:color w:val="auto"/>
                <w:szCs w:val="21"/>
                <w:highlight w:val="none"/>
              </w:rPr>
              <w:t>1.食用加碘低钠盐，规格：约 500g/包。备注：根据采购人需求配送。</w:t>
            </w:r>
          </w:p>
          <w:p w14:paraId="75490EFB">
            <w:pPr>
              <w:spacing w:line="360" w:lineRule="auto"/>
              <w:rPr>
                <w:rFonts w:hint="eastAsia" w:ascii="宋体" w:hAnsi="宋体"/>
                <w:bCs/>
                <w:color w:val="auto"/>
                <w:szCs w:val="21"/>
                <w:highlight w:val="none"/>
              </w:rPr>
            </w:pPr>
            <w:r>
              <w:rPr>
                <w:rFonts w:hint="eastAsia" w:ascii="宋体" w:hAnsi="宋体"/>
                <w:bCs/>
                <w:color w:val="auto"/>
                <w:szCs w:val="21"/>
                <w:highlight w:val="none"/>
              </w:rPr>
              <w:t>2.质量等级：一级。全部按标准规格包装，品牌、商标、生产地址、食品生产许可证编号、重量、成分表。保质期或保存期、执行标准等标识。</w:t>
            </w:r>
          </w:p>
          <w:p w14:paraId="46FFD661">
            <w:pPr>
              <w:spacing w:line="360" w:lineRule="auto"/>
              <w:rPr>
                <w:rFonts w:hint="eastAsia" w:ascii="宋体" w:hAnsi="宋体"/>
                <w:bCs/>
                <w:color w:val="auto"/>
                <w:szCs w:val="21"/>
                <w:highlight w:val="none"/>
              </w:rPr>
            </w:pPr>
            <w:r>
              <w:rPr>
                <w:rFonts w:hint="eastAsia" w:ascii="宋体" w:hAnsi="宋体"/>
                <w:bCs/>
                <w:color w:val="auto"/>
                <w:szCs w:val="21"/>
                <w:highlight w:val="none"/>
              </w:rPr>
              <w:t>3.符合 GB 5461-2000 食用盐国家标准，并具有“SC”食品质量安全认证。</w:t>
            </w:r>
          </w:p>
          <w:p w14:paraId="526774EE">
            <w:pPr>
              <w:spacing w:line="360" w:lineRule="auto"/>
              <w:rPr>
                <w:rFonts w:hint="eastAsia" w:ascii="宋体" w:hAnsi="宋体"/>
                <w:bCs/>
                <w:color w:val="auto"/>
                <w:szCs w:val="21"/>
                <w:highlight w:val="none"/>
              </w:rPr>
            </w:pPr>
            <w:r>
              <w:rPr>
                <w:rFonts w:hint="eastAsia" w:ascii="宋体" w:hAnsi="宋体"/>
                <w:bCs/>
                <w:color w:val="auto"/>
                <w:szCs w:val="21"/>
                <w:highlight w:val="none"/>
              </w:rPr>
              <w:t>4.投标人自行提供品牌，按生产厂家包装，包装完好，品牌、商标、 生产厂家、生产日期齐全。 白色、味咸、无异味、无明显的与盐无关的外来异物。</w:t>
            </w:r>
          </w:p>
          <w:p w14:paraId="14CC7A4A">
            <w:pPr>
              <w:spacing w:line="360" w:lineRule="auto"/>
              <w:rPr>
                <w:rFonts w:hint="eastAsia" w:ascii="宋体" w:hAnsi="宋体" w:eastAsia="宋体" w:cs="宋体"/>
                <w:color w:val="auto"/>
                <w:kern w:val="2"/>
                <w:sz w:val="21"/>
                <w:szCs w:val="21"/>
                <w:highlight w:val="none"/>
                <w:lang w:val="zh-TW" w:eastAsia="zh-CN" w:bidi="ar-SA"/>
              </w:rPr>
            </w:pPr>
            <w:r>
              <w:rPr>
                <w:rFonts w:hint="eastAsia" w:ascii="宋体" w:hAnsi="宋体"/>
                <w:bCs/>
                <w:color w:val="auto"/>
                <w:szCs w:val="21"/>
                <w:highlight w:val="none"/>
              </w:rPr>
              <w:t>5.供货时，保质期或保存期不少于 3 年。不允许提供过期物资。</w:t>
            </w:r>
          </w:p>
        </w:tc>
      </w:tr>
      <w:tr w14:paraId="5ACE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0085CA83">
            <w:pPr>
              <w:widowControl/>
              <w:spacing w:line="360" w:lineRule="auto"/>
              <w:jc w:val="center"/>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9</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7DE3DB2">
            <w:pPr>
              <w:spacing w:line="360" w:lineRule="auto"/>
              <w:jc w:val="center"/>
              <w:rPr>
                <w:rFonts w:hint="eastAsia" w:ascii="Times New Roman" w:hAnsi="Times New Roman" w:eastAsia="宋体" w:cs="Times New Roman"/>
                <w:b w:val="0"/>
                <w:bCs/>
                <w:color w:val="auto"/>
                <w:sz w:val="21"/>
                <w:szCs w:val="21"/>
                <w:highlight w:val="none"/>
              </w:rPr>
            </w:pPr>
          </w:p>
          <w:p w14:paraId="4B87680C">
            <w:pPr>
              <w:spacing w:line="360" w:lineRule="auto"/>
              <w:jc w:val="center"/>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rPr>
              <w:t>食用酱油/ 蚝油</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453F128A">
            <w:pPr>
              <w:spacing w:before="65" w:line="229"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pacing w:val="-18"/>
                <w:sz w:val="21"/>
                <w:szCs w:val="21"/>
                <w:highlight w:val="none"/>
              </w:rPr>
              <w:t xml:space="preserve">1 </w:t>
            </w:r>
            <w:r>
              <w:rPr>
                <w:rFonts w:hint="eastAsia" w:ascii="宋体" w:hAnsi="宋体" w:eastAsia="宋体" w:cs="宋体"/>
                <w:b w:val="0"/>
                <w:bCs/>
                <w:color w:val="auto"/>
                <w:spacing w:val="-18"/>
                <w:sz w:val="21"/>
                <w:szCs w:val="21"/>
                <w:highlight w:val="none"/>
                <w:lang w:val="en-US" w:eastAsia="zh-CN"/>
              </w:rPr>
              <w:t>批</w:t>
            </w:r>
          </w:p>
        </w:tc>
        <w:tc>
          <w:tcPr>
            <w:tcW w:w="6365" w:type="dxa"/>
            <w:tcBorders>
              <w:top w:val="single" w:color="auto" w:sz="4" w:space="0"/>
              <w:left w:val="single" w:color="auto" w:sz="4" w:space="0"/>
              <w:bottom w:val="single" w:color="auto" w:sz="4" w:space="0"/>
              <w:right w:val="single" w:color="auto" w:sz="4" w:space="0"/>
            </w:tcBorders>
            <w:noWrap w:val="0"/>
            <w:vAlign w:val="top"/>
          </w:tcPr>
          <w:p w14:paraId="2FE08346">
            <w:pPr>
              <w:spacing w:line="360" w:lineRule="auto"/>
              <w:rPr>
                <w:rFonts w:hint="eastAsia" w:ascii="宋体" w:hAnsi="宋体"/>
                <w:bCs/>
                <w:color w:val="auto"/>
                <w:szCs w:val="21"/>
                <w:highlight w:val="none"/>
              </w:rPr>
            </w:pPr>
            <w:r>
              <w:rPr>
                <w:rFonts w:hint="eastAsia" w:ascii="宋体" w:hAnsi="宋体"/>
                <w:bCs/>
                <w:color w:val="auto"/>
                <w:szCs w:val="21"/>
                <w:highlight w:val="none"/>
              </w:rPr>
              <w:t>1.食用酿造酱油，规格：不小于 1.8L/桶。食用蚝油，规格：不小于2.0kg/桶。备注：根据采购人需求配送。</w:t>
            </w:r>
          </w:p>
          <w:p w14:paraId="620E33F1">
            <w:pPr>
              <w:spacing w:line="360" w:lineRule="auto"/>
              <w:rPr>
                <w:rFonts w:hint="eastAsia" w:ascii="宋体" w:hAnsi="宋体"/>
                <w:bCs/>
                <w:color w:val="auto"/>
                <w:szCs w:val="21"/>
                <w:highlight w:val="none"/>
              </w:rPr>
            </w:pPr>
            <w:r>
              <w:rPr>
                <w:rFonts w:hint="eastAsia" w:ascii="宋体" w:hAnsi="宋体"/>
                <w:bCs/>
                <w:color w:val="auto"/>
                <w:szCs w:val="21"/>
                <w:highlight w:val="none"/>
              </w:rPr>
              <w:t>2.质量等级：一级。全部按标准规格包装，品牌、商标、生产地址、 食品生产许可证编号、重量、成分表、保质期或保存期、执行标准 等标识。</w:t>
            </w:r>
          </w:p>
          <w:p w14:paraId="132478D9">
            <w:pPr>
              <w:spacing w:line="360" w:lineRule="auto"/>
              <w:rPr>
                <w:rFonts w:hint="eastAsia" w:ascii="宋体" w:hAnsi="宋体"/>
                <w:bCs/>
                <w:color w:val="auto"/>
                <w:szCs w:val="21"/>
                <w:highlight w:val="none"/>
              </w:rPr>
            </w:pPr>
            <w:r>
              <w:rPr>
                <w:rFonts w:hint="eastAsia" w:ascii="宋体" w:hAnsi="宋体"/>
                <w:bCs/>
                <w:color w:val="auto"/>
                <w:szCs w:val="21"/>
                <w:highlight w:val="none"/>
              </w:rPr>
              <w:t>3.符合 GB/T 18186-2000 酿造酱油、GB/T 21999-2008 食用蚝油国 家标准。</w:t>
            </w:r>
          </w:p>
          <w:p w14:paraId="06E0E143">
            <w:pPr>
              <w:spacing w:line="360" w:lineRule="auto"/>
              <w:rPr>
                <w:rFonts w:hint="eastAsia" w:ascii="宋体" w:hAnsi="宋体"/>
                <w:bCs/>
                <w:color w:val="auto"/>
                <w:szCs w:val="21"/>
                <w:highlight w:val="none"/>
              </w:rPr>
            </w:pPr>
            <w:r>
              <w:rPr>
                <w:rFonts w:hint="eastAsia" w:ascii="宋体" w:hAnsi="宋体"/>
                <w:bCs/>
                <w:color w:val="auto"/>
                <w:szCs w:val="21"/>
                <w:highlight w:val="none"/>
              </w:rPr>
              <w:t xml:space="preserve">4.按生产厂家包装，色泽正常、 自然，滋味和气味正常，无异味。 </w:t>
            </w:r>
          </w:p>
          <w:p w14:paraId="3D755483">
            <w:pPr>
              <w:spacing w:line="360" w:lineRule="auto"/>
              <w:rPr>
                <w:rFonts w:hint="eastAsia" w:ascii="宋体" w:hAnsi="宋体" w:eastAsia="宋体" w:cs="宋体"/>
                <w:color w:val="auto"/>
                <w:sz w:val="21"/>
                <w:szCs w:val="21"/>
                <w:highlight w:val="none"/>
                <w:lang w:val="zh-TW"/>
              </w:rPr>
            </w:pPr>
            <w:r>
              <w:rPr>
                <w:rFonts w:hint="eastAsia" w:ascii="宋体" w:hAnsi="宋体"/>
                <w:bCs/>
                <w:color w:val="auto"/>
                <w:szCs w:val="21"/>
                <w:highlight w:val="none"/>
              </w:rPr>
              <w:t>5.供货时，保质期或保存期不少于一年，不允许提供过期物资。</w:t>
            </w:r>
          </w:p>
        </w:tc>
      </w:tr>
      <w:tr w14:paraId="414C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25869AF0">
            <w:pPr>
              <w:widowControl/>
              <w:spacing w:line="360" w:lineRule="auto"/>
              <w:jc w:val="center"/>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10</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7EC5FDC">
            <w:pPr>
              <w:spacing w:line="360" w:lineRule="auto"/>
              <w:jc w:val="center"/>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rPr>
              <w:t>食用醋</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011ABA20">
            <w:pPr>
              <w:spacing w:line="360" w:lineRule="auto"/>
              <w:jc w:val="center"/>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rPr>
              <w:t>1</w:t>
            </w:r>
            <w:r>
              <w:rPr>
                <w:rFonts w:hint="eastAsia" w:ascii="Times New Roman" w:hAnsi="Times New Roman" w:eastAsia="宋体" w:cs="Times New Roman"/>
                <w:b w:val="0"/>
                <w:bCs/>
                <w:color w:val="auto"/>
                <w:sz w:val="21"/>
                <w:szCs w:val="21"/>
                <w:highlight w:val="none"/>
                <w:lang w:val="en-US" w:eastAsia="zh-CN"/>
              </w:rPr>
              <w:t>批</w:t>
            </w:r>
          </w:p>
        </w:tc>
        <w:tc>
          <w:tcPr>
            <w:tcW w:w="6365" w:type="dxa"/>
            <w:tcBorders>
              <w:top w:val="single" w:color="auto" w:sz="4" w:space="0"/>
              <w:left w:val="single" w:color="auto" w:sz="4" w:space="0"/>
              <w:bottom w:val="single" w:color="auto" w:sz="4" w:space="0"/>
              <w:right w:val="single" w:color="auto" w:sz="4" w:space="0"/>
            </w:tcBorders>
            <w:noWrap w:val="0"/>
            <w:vAlign w:val="top"/>
          </w:tcPr>
          <w:p w14:paraId="36674BE0">
            <w:pPr>
              <w:spacing w:line="360" w:lineRule="auto"/>
              <w:rPr>
                <w:rFonts w:hint="eastAsia" w:ascii="宋体" w:hAnsi="宋体"/>
                <w:bCs/>
                <w:color w:val="auto"/>
                <w:szCs w:val="21"/>
                <w:highlight w:val="none"/>
              </w:rPr>
            </w:pPr>
            <w:r>
              <w:rPr>
                <w:rFonts w:hint="eastAsia" w:ascii="宋体" w:hAnsi="宋体"/>
                <w:bCs/>
                <w:color w:val="auto"/>
                <w:szCs w:val="21"/>
                <w:highlight w:val="none"/>
              </w:rPr>
              <w:t xml:space="preserve">食用白醋，规格：450-500ml/瓶。备注：根据采购人需求配送。 </w:t>
            </w:r>
          </w:p>
          <w:p w14:paraId="04928F29">
            <w:pPr>
              <w:spacing w:line="360" w:lineRule="auto"/>
              <w:rPr>
                <w:rFonts w:hint="eastAsia" w:ascii="宋体" w:hAnsi="宋体"/>
                <w:bCs/>
                <w:color w:val="auto"/>
                <w:szCs w:val="21"/>
                <w:highlight w:val="none"/>
              </w:rPr>
            </w:pPr>
            <w:r>
              <w:rPr>
                <w:rFonts w:hint="eastAsia" w:ascii="宋体" w:hAnsi="宋体"/>
                <w:bCs/>
                <w:color w:val="auto"/>
                <w:szCs w:val="21"/>
                <w:highlight w:val="none"/>
              </w:rPr>
              <w:t>2.质量等级：一级。全部按标准规格包装，品牌、商标、生产地址、 食品生产许可证编号、重量、成分表、保质期或保存期、执行标准等标识。</w:t>
            </w:r>
          </w:p>
          <w:p w14:paraId="12ECC581">
            <w:pPr>
              <w:spacing w:line="360" w:lineRule="auto"/>
              <w:rPr>
                <w:rFonts w:hint="eastAsia" w:ascii="宋体" w:hAnsi="宋体"/>
                <w:bCs/>
                <w:color w:val="auto"/>
                <w:szCs w:val="21"/>
                <w:highlight w:val="none"/>
              </w:rPr>
            </w:pPr>
            <w:r>
              <w:rPr>
                <w:rFonts w:hint="eastAsia" w:ascii="宋体" w:hAnsi="宋体"/>
                <w:bCs/>
                <w:color w:val="auto"/>
                <w:szCs w:val="21"/>
                <w:highlight w:val="none"/>
              </w:rPr>
              <w:t>3.符合GB/T 18187-2000 酿造食醋国家标准。</w:t>
            </w:r>
          </w:p>
          <w:p w14:paraId="46FA8ADF">
            <w:pPr>
              <w:spacing w:line="360" w:lineRule="auto"/>
              <w:rPr>
                <w:rFonts w:hint="eastAsia" w:ascii="宋体" w:hAnsi="宋体"/>
                <w:bCs/>
                <w:color w:val="auto"/>
                <w:szCs w:val="21"/>
                <w:highlight w:val="none"/>
              </w:rPr>
            </w:pPr>
            <w:r>
              <w:rPr>
                <w:rFonts w:hint="eastAsia" w:ascii="宋体" w:hAnsi="宋体"/>
                <w:bCs/>
                <w:color w:val="auto"/>
                <w:szCs w:val="21"/>
                <w:highlight w:val="none"/>
              </w:rPr>
              <w:t xml:space="preserve">4.按生产厂家包装，色泽正常、自然，滋味和气味正常，无异味。 </w:t>
            </w:r>
          </w:p>
          <w:p w14:paraId="6BD73DE4">
            <w:pPr>
              <w:spacing w:line="360" w:lineRule="auto"/>
              <w:rPr>
                <w:rFonts w:hint="eastAsia" w:ascii="宋体" w:hAnsi="宋体" w:eastAsia="宋体" w:cs="宋体"/>
                <w:color w:val="auto"/>
                <w:sz w:val="21"/>
                <w:szCs w:val="21"/>
                <w:highlight w:val="none"/>
                <w:lang w:val="zh-TW"/>
              </w:rPr>
            </w:pPr>
            <w:r>
              <w:rPr>
                <w:rFonts w:hint="eastAsia" w:ascii="宋体" w:hAnsi="宋体"/>
                <w:bCs/>
                <w:color w:val="auto"/>
                <w:szCs w:val="21"/>
                <w:highlight w:val="none"/>
              </w:rPr>
              <w:t>5.供货时，保质期或保存期不少于一年，不允许提供过期物资。</w:t>
            </w:r>
          </w:p>
        </w:tc>
      </w:tr>
      <w:tr w14:paraId="2B01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346" w:type="dxa"/>
            <w:gridSpan w:val="4"/>
            <w:tcBorders>
              <w:top w:val="single" w:color="auto" w:sz="4" w:space="0"/>
              <w:left w:val="single" w:color="auto" w:sz="4" w:space="0"/>
              <w:bottom w:val="single" w:color="auto" w:sz="4" w:space="0"/>
              <w:right w:val="single" w:color="auto" w:sz="4" w:space="0"/>
            </w:tcBorders>
            <w:noWrap w:val="0"/>
            <w:vAlign w:val="center"/>
          </w:tcPr>
          <w:p w14:paraId="37627C89">
            <w:pPr>
              <w:spacing w:line="360" w:lineRule="auto"/>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二、其它技术要求</w:t>
            </w:r>
          </w:p>
        </w:tc>
      </w:tr>
      <w:tr w14:paraId="3B37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27912ED6">
            <w:pPr>
              <w:widowControl/>
              <w:spacing w:line="360" w:lineRule="auto"/>
              <w:jc w:val="both"/>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1</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AF39680">
            <w:pPr>
              <w:spacing w:line="360" w:lineRule="auto"/>
              <w:jc w:val="center"/>
              <w:rPr>
                <w:rFonts w:hint="eastAsia"/>
                <w:color w:val="auto"/>
                <w:sz w:val="21"/>
                <w:szCs w:val="21"/>
                <w:highlight w:val="none"/>
              </w:rPr>
            </w:pPr>
            <w:r>
              <w:rPr>
                <w:rFonts w:hint="eastAsia"/>
                <w:color w:val="auto"/>
                <w:highlight w:val="none"/>
                <w:lang w:val="zh-TW" w:eastAsia="zh-CN"/>
              </w:rPr>
              <w:t>其它技术要求</w:t>
            </w:r>
          </w:p>
        </w:tc>
        <w:tc>
          <w:tcPr>
            <w:tcW w:w="7512" w:type="dxa"/>
            <w:gridSpan w:val="2"/>
            <w:tcBorders>
              <w:top w:val="single" w:color="auto" w:sz="4" w:space="0"/>
              <w:left w:val="single" w:color="auto" w:sz="4" w:space="0"/>
              <w:bottom w:val="single" w:color="auto" w:sz="4" w:space="0"/>
              <w:right w:val="single" w:color="auto" w:sz="4" w:space="0"/>
            </w:tcBorders>
            <w:noWrap w:val="0"/>
            <w:vAlign w:val="center"/>
          </w:tcPr>
          <w:p w14:paraId="0E7D7214">
            <w:pPr>
              <w:spacing w:line="360" w:lineRule="auto"/>
              <w:rPr>
                <w:rFonts w:hint="eastAsia"/>
                <w:color w:val="auto"/>
                <w:highlight w:val="none"/>
                <w:lang w:val="zh-TW" w:eastAsia="zh-CN"/>
              </w:rPr>
            </w:pPr>
            <w:r>
              <w:rPr>
                <w:rFonts w:hint="eastAsia"/>
                <w:color w:val="auto"/>
                <w:highlight w:val="none"/>
                <w:lang w:val="zh-TW" w:eastAsia="zh-CN"/>
              </w:rPr>
              <w:t>其它技术要求：</w:t>
            </w:r>
          </w:p>
          <w:p w14:paraId="5C51E6AE">
            <w:pPr>
              <w:spacing w:line="360" w:lineRule="auto"/>
              <w:ind w:firstLine="420" w:firstLineChars="200"/>
              <w:jc w:val="left"/>
              <w:rPr>
                <w:rFonts w:hint="eastAsia" w:ascii="宋体" w:hAnsi="宋体" w:cs="宋体"/>
                <w:b/>
                <w:bCs/>
                <w:color w:val="auto"/>
                <w:szCs w:val="21"/>
                <w:highlight w:val="none"/>
              </w:rPr>
            </w:pPr>
            <w:r>
              <w:rPr>
                <w:rFonts w:hint="eastAsia" w:hAnsi="宋体"/>
                <w:bCs/>
                <w:color w:val="auto"/>
                <w:highlight w:val="none"/>
              </w:rPr>
              <w:t>▲</w:t>
            </w: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食品搭配组合</w:t>
            </w:r>
          </w:p>
          <w:p w14:paraId="363F4725">
            <w:pPr>
              <w:spacing w:line="360" w:lineRule="auto"/>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按照自治区学生营养办《关于印发〈广西农村义务教育阶段学生一周参考食谱〉的通知》（桂学生营养办〔2012〕6号）文件要求，由区学生营养办结合地方实际制订食谱，食谱搭配标准是两荤一素一汤，食物品种必须多样化，保证学生营养均衡。</w:t>
            </w:r>
            <w:r>
              <w:rPr>
                <w:rFonts w:hint="eastAsia" w:ascii="宋体" w:hAnsi="宋体" w:cs="宋体"/>
                <w:b/>
                <w:bCs/>
                <w:color w:val="auto"/>
                <w:szCs w:val="21"/>
                <w:highlight w:val="none"/>
              </w:rPr>
              <w:t>本项目标准为</w:t>
            </w:r>
            <w:r>
              <w:rPr>
                <w:rFonts w:hint="eastAsia" w:ascii="宋体" w:hAnsi="宋体" w:cs="宋体"/>
                <w:color w:val="auto"/>
                <w:szCs w:val="21"/>
                <w:highlight w:val="none"/>
              </w:rPr>
              <w:t>每生每天肉类和蔬菜类、粮油佐料等总额不低于5.00元；其中肉类约3.00元，蔬菜类约1.00元，粮油配料等1.00元</w:t>
            </w:r>
            <w:r>
              <w:rPr>
                <w:rFonts w:hint="eastAsia" w:ascii="宋体" w:hAnsi="宋体" w:cs="宋体"/>
                <w:color w:val="auto"/>
                <w:szCs w:val="21"/>
                <w:highlight w:val="none"/>
                <w:lang w:eastAsia="zh-CN"/>
              </w:rPr>
              <w:t>，可根据学生实际需求调整</w:t>
            </w:r>
            <w:r>
              <w:rPr>
                <w:rFonts w:hint="eastAsia" w:ascii="宋体" w:hAnsi="宋体" w:cs="宋体"/>
                <w:b/>
                <w:bCs/>
                <w:color w:val="auto"/>
                <w:szCs w:val="21"/>
                <w:highlight w:val="none"/>
              </w:rPr>
              <w:t>。</w:t>
            </w:r>
          </w:p>
          <w:p w14:paraId="5FEDC63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各校在区学生营养办提供的菜式中提前罗列出本校一周食谱后报区学生营养办，区学生营养办通知中标人做好供货准备，按时供货，保证学生按时就餐。蔬菜以提供时令蔬菜为主。中标人所提供的素菜类与肉类食物参照每周食谱按实际提供。</w:t>
            </w:r>
          </w:p>
          <w:p w14:paraId="65419B8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中标人所提交货物应为全新的食品，食品符合国家及行业有关认证标准和安全规定。交货验收时发现有问题的食品材料时采购人将一律拒收。</w:t>
            </w:r>
          </w:p>
          <w:p w14:paraId="3BFB8D7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附表2中“采购参数及要求”中未明确的技术指标，均按国家及行业相关规定执行。</w:t>
            </w:r>
          </w:p>
          <w:p w14:paraId="57300039">
            <w:pPr>
              <w:spacing w:line="360" w:lineRule="auto"/>
              <w:ind w:firstLine="420" w:firstLineChars="200"/>
              <w:jc w:val="left"/>
              <w:rPr>
                <w:rFonts w:hint="eastAsia" w:ascii="宋体" w:hAnsi="宋体" w:cs="宋体"/>
                <w:b/>
                <w:bCs/>
                <w:color w:val="auto"/>
                <w:szCs w:val="21"/>
                <w:highlight w:val="none"/>
              </w:rPr>
            </w:pPr>
            <w:r>
              <w:rPr>
                <w:rFonts w:hint="eastAsia" w:hAnsi="宋体"/>
                <w:bCs/>
                <w:color w:val="auto"/>
                <w:highlight w:val="none"/>
              </w:rPr>
              <w:t>▲</w:t>
            </w:r>
            <w:r>
              <w:rPr>
                <w:rFonts w:hint="eastAsia" w:ascii="宋体" w:hAnsi="宋体" w:cs="宋体"/>
                <w:b/>
                <w:bCs/>
                <w:color w:val="auto"/>
                <w:szCs w:val="21"/>
                <w:highlight w:val="none"/>
              </w:rPr>
              <w:t>6</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质量技术标准要求：</w:t>
            </w:r>
          </w:p>
          <w:p w14:paraId="00D636D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中标人提供的食品必须是</w:t>
            </w:r>
            <w:r>
              <w:rPr>
                <w:rFonts w:hint="eastAsia" w:ascii="宋体" w:hAnsi="宋体"/>
                <w:color w:val="auto"/>
                <w:szCs w:val="21"/>
                <w:highlight w:val="none"/>
              </w:rPr>
              <w:t>具有合法销售途径的</w:t>
            </w:r>
            <w:r>
              <w:rPr>
                <w:rFonts w:hint="eastAsia" w:ascii="宋体" w:hAnsi="宋体" w:cs="宋体"/>
                <w:color w:val="auto"/>
                <w:szCs w:val="21"/>
                <w:highlight w:val="none"/>
              </w:rPr>
              <w:t>合格产品，产品质量指标有国家标准的应符合现行国家标准,无国家标准的应符合部颁标准或行业标准</w:t>
            </w:r>
            <w:r>
              <w:rPr>
                <w:rFonts w:hint="eastAsia" w:ascii="宋体" w:hAnsi="宋体" w:cs="宋体"/>
                <w:color w:val="auto"/>
                <w:szCs w:val="21"/>
                <w:highlight w:val="none"/>
                <w:lang w:val="en-US" w:eastAsia="zh-CN"/>
              </w:rPr>
              <w:t>和地方标准</w:t>
            </w:r>
            <w:r>
              <w:rPr>
                <w:rFonts w:hint="eastAsia" w:ascii="宋体" w:hAnsi="宋体" w:cs="宋体"/>
                <w:color w:val="auto"/>
                <w:szCs w:val="21"/>
                <w:highlight w:val="none"/>
              </w:rPr>
              <w:t>。</w:t>
            </w:r>
          </w:p>
          <w:p w14:paraId="2369555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6.1中标人所交付配送的食品还应符合国家有关安全、环保、卫生等规定。</w:t>
            </w:r>
          </w:p>
          <w:p w14:paraId="5A95DBC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6.2中标人应保证所供食品是全新的、未使用过的，并符合合同规定的质量、规格和营养的要求。</w:t>
            </w:r>
          </w:p>
          <w:p w14:paraId="782F9C5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6.3在质量保证期内，如果食品的质量或规格与合同不符，或证实食品是有缺陷的，包括潜在的缺陷或使用不符合要求的材料等，采购人可以向</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提出补救措施或索赔。</w:t>
            </w:r>
          </w:p>
          <w:p w14:paraId="0DE4C14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6.4中标人在约定的时间内未能弥补缺陷，采购人可采取必要的补救措施，但其风险和费用将由中标人承担，采购人根据合同规定对中标人行使的其他权利不受影响。</w:t>
            </w:r>
          </w:p>
          <w:p w14:paraId="4946BE71">
            <w:pPr>
              <w:spacing w:line="360" w:lineRule="auto"/>
              <w:ind w:firstLine="420" w:firstLineChars="200"/>
              <w:jc w:val="left"/>
              <w:rPr>
                <w:rFonts w:hint="eastAsia" w:ascii="宋体" w:hAnsi="宋体" w:cs="宋体"/>
                <w:color w:val="auto"/>
                <w:szCs w:val="21"/>
                <w:highlight w:val="none"/>
              </w:rPr>
            </w:pPr>
            <w:r>
              <w:rPr>
                <w:rFonts w:hint="eastAsia"/>
                <w:color w:val="auto"/>
                <w:highlight w:val="none"/>
                <w:lang w:val="en-US" w:eastAsia="zh-CN"/>
              </w:rPr>
              <w:t xml:space="preserve">6.5 </w:t>
            </w:r>
            <w:r>
              <w:rPr>
                <w:rFonts w:hint="eastAsia"/>
                <w:color w:val="auto"/>
                <w:highlight w:val="none"/>
              </w:rPr>
              <w:t>除货物需求一览表标注的蔬菜外，其余配送的蔬菜以时令蔬菜为主，但配送之前必须报送招标人审批方可实施。</w:t>
            </w:r>
          </w:p>
          <w:p w14:paraId="2011C5E3">
            <w:pPr>
              <w:spacing w:line="360" w:lineRule="auto"/>
              <w:ind w:firstLine="420" w:firstLineChars="200"/>
              <w:jc w:val="left"/>
              <w:rPr>
                <w:rFonts w:hint="eastAsia" w:ascii="宋体" w:hAnsi="宋体" w:cs="宋体"/>
                <w:b/>
                <w:bCs/>
                <w:color w:val="auto"/>
                <w:szCs w:val="21"/>
                <w:highlight w:val="none"/>
              </w:rPr>
            </w:pPr>
            <w:r>
              <w:rPr>
                <w:rFonts w:hint="eastAsia" w:hAnsi="宋体"/>
                <w:bCs/>
                <w:color w:val="auto"/>
                <w:highlight w:val="none"/>
              </w:rPr>
              <w:t>▲</w:t>
            </w:r>
            <w:r>
              <w:rPr>
                <w:rFonts w:hint="eastAsia" w:ascii="宋体" w:hAnsi="宋体" w:cs="宋体"/>
                <w:b/>
                <w:bCs/>
                <w:color w:val="auto"/>
                <w:szCs w:val="21"/>
                <w:highlight w:val="none"/>
              </w:rPr>
              <w:t>7</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配送要求：</w:t>
            </w:r>
          </w:p>
          <w:p w14:paraId="657FDA4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7.1按照《中华人民共和国食品安全法》、《农产品质量安全法》规定，提供有关的证明材料和证件是供应商的义务，在合同期内供应商应提供具有销售相应种类物料的许可证、食品生产许可证或食品经营许可证、产品检验合格证等相关证明，无证产品采购人不予接受。</w:t>
            </w:r>
          </w:p>
          <w:p w14:paraId="5DF761A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7.2由中标人安排专人专车直接配送到各指定学校。中标人必须确保运输车辆和周转包装容器的清洁卫生，运输车辆应当保持清洁，无霉斑、鼠迹、苍蝇、蟑螂，不得存放有毒、有害物品及个人生活用品</w:t>
            </w:r>
            <w:r>
              <w:rPr>
                <w:rFonts w:hint="eastAsia" w:ascii="宋体" w:hAnsi="宋体" w:cs="宋体"/>
                <w:color w:val="auto"/>
                <w:szCs w:val="21"/>
                <w:highlight w:val="none"/>
                <w:lang w:eastAsia="zh-CN"/>
              </w:rPr>
              <w:t>等与食品配送无关的物品</w:t>
            </w:r>
            <w:r>
              <w:rPr>
                <w:rFonts w:hint="eastAsia" w:ascii="宋体" w:hAnsi="宋体" w:cs="宋体"/>
                <w:color w:val="auto"/>
                <w:szCs w:val="21"/>
                <w:highlight w:val="none"/>
              </w:rPr>
              <w:t>，防止食品在运输过程中受到污染是中标人的责任。</w:t>
            </w:r>
          </w:p>
          <w:p w14:paraId="1EAF78A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7.3中标人所配送产品必须保持新鲜，必须承诺按采购人的要求按时送货到各乡镇</w:t>
            </w:r>
            <w:r>
              <w:rPr>
                <w:rFonts w:hint="eastAsia"/>
                <w:color w:val="auto"/>
                <w:highlight w:val="none"/>
              </w:rPr>
              <w:t>辖区</w:t>
            </w:r>
            <w:r>
              <w:rPr>
                <w:rFonts w:hint="eastAsia" w:ascii="宋体" w:hAnsi="宋体" w:cs="宋体"/>
                <w:color w:val="auto"/>
                <w:szCs w:val="21"/>
                <w:highlight w:val="none"/>
              </w:rPr>
              <w:t>学校用户现场。中学、中心校和学生数达到</w:t>
            </w:r>
            <w:r>
              <w:rPr>
                <w:rFonts w:hint="eastAsia" w:ascii="宋体" w:hAnsi="宋体" w:cs="宋体"/>
                <w:color w:val="auto"/>
                <w:szCs w:val="21"/>
                <w:highlight w:val="none"/>
                <w:lang w:val="en-US" w:eastAsia="zh-CN"/>
              </w:rPr>
              <w:t>200人以上</w:t>
            </w:r>
            <w:r>
              <w:rPr>
                <w:rFonts w:hint="eastAsia" w:ascii="宋体" w:hAnsi="宋体" w:cs="宋体"/>
                <w:color w:val="auto"/>
                <w:szCs w:val="21"/>
                <w:highlight w:val="none"/>
              </w:rPr>
              <w:t>的村校每天一送，其余学校配送间隔时间不得超过2天，以采购人工作安排的通知为准。（配送人数分布情况参见防城区营养改善项目配送表,最终配送人数以实际在校学生数为准）。每次配送的数量严格按照采购方的数字配送。</w:t>
            </w:r>
            <w:r>
              <w:rPr>
                <w:rFonts w:hint="eastAsia" w:ascii="宋体" w:hAnsi="宋体" w:cs="宋体"/>
                <w:b/>
                <w:bCs/>
                <w:color w:val="auto"/>
                <w:szCs w:val="21"/>
                <w:highlight w:val="none"/>
              </w:rPr>
              <w:t>如有紧急配送供货要求的：在收到采购单位发出紧急供货通知后，配送人视路程远近需于2-3小时内完成本次供货</w:t>
            </w:r>
            <w:r>
              <w:rPr>
                <w:rFonts w:hint="eastAsia" w:ascii="宋体" w:hAnsi="宋体" w:cs="宋体"/>
                <w:color w:val="auto"/>
                <w:szCs w:val="21"/>
                <w:highlight w:val="none"/>
              </w:rPr>
              <w:t>。</w:t>
            </w:r>
          </w:p>
          <w:p w14:paraId="4F8CF26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7.4每次配送的蔬菜</w:t>
            </w:r>
            <w:r>
              <w:rPr>
                <w:rFonts w:hint="eastAsia" w:ascii="宋体" w:hAnsi="宋体" w:cs="宋体"/>
                <w:color w:val="auto"/>
                <w:szCs w:val="21"/>
                <w:highlight w:val="none"/>
                <w:lang w:eastAsia="zh-CN"/>
              </w:rPr>
              <w:t>必须是新鲜的</w:t>
            </w:r>
            <w:r>
              <w:rPr>
                <w:rFonts w:hint="eastAsia" w:ascii="宋体" w:hAnsi="宋体" w:cs="宋体"/>
                <w:color w:val="auto"/>
                <w:szCs w:val="21"/>
                <w:highlight w:val="none"/>
              </w:rPr>
              <w:t>、</w:t>
            </w:r>
            <w:r>
              <w:rPr>
                <w:rFonts w:hint="eastAsia" w:ascii="宋体" w:hAnsi="宋体" w:cs="宋体"/>
                <w:color w:val="auto"/>
                <w:szCs w:val="21"/>
                <w:highlight w:val="none"/>
                <w:lang w:eastAsia="zh-CN"/>
              </w:rPr>
              <w:t>冰鲜</w:t>
            </w:r>
            <w:r>
              <w:rPr>
                <w:rFonts w:hint="eastAsia" w:ascii="宋体" w:hAnsi="宋体" w:cs="宋体"/>
                <w:color w:val="auto"/>
                <w:szCs w:val="21"/>
                <w:highlight w:val="none"/>
              </w:rPr>
              <w:t>肉类必须是出厂3天以内。禁止一切问题物料进入采购人库房，在验收时发现以下问题的物料一律拒收（包括但不限于）：①致病性微生物，农药残留、兽药残留、生物毒素、重金属等污染物质以及其他危害人体健康的物质含量超过食品安全标准限量的食品；②腐败变质、油脂酯败、霉变生虫、污秽不洁、混有异物、掺假掺杂或者感官性状异常的食品；③病死、毒死或者死因不明的禽、畜、兽、水产动物肉类及其制品；④未按规定进行检疫或者检疫不合格的肉类，或者</w:t>
            </w:r>
            <w:r>
              <w:rPr>
                <w:rFonts w:hint="eastAsia" w:ascii="宋体" w:hAnsi="宋体" w:cs="宋体"/>
                <w:color w:val="auto"/>
                <w:szCs w:val="21"/>
                <w:highlight w:val="none"/>
                <w:lang w:val="en-US" w:eastAsia="zh-CN"/>
              </w:rPr>
              <w:t>质量</w:t>
            </w:r>
            <w:r>
              <w:rPr>
                <w:rFonts w:hint="eastAsia" w:ascii="宋体" w:hAnsi="宋体" w:cs="宋体"/>
                <w:color w:val="auto"/>
                <w:szCs w:val="21"/>
                <w:highlight w:val="none"/>
              </w:rPr>
              <w:t>未经检验或者检验不合格的肉类制品；⑤被包装材料、容器、运输工具等污染的食品；⑥标注虚假生产日期、</w:t>
            </w:r>
            <w:r>
              <w:rPr>
                <w:rFonts w:hint="eastAsia" w:ascii="宋体" w:hAnsi="宋体" w:cs="宋体"/>
                <w:color w:val="auto"/>
                <w:szCs w:val="21"/>
                <w:highlight w:val="none"/>
                <w:lang w:val="en-US" w:eastAsia="zh-CN"/>
              </w:rPr>
              <w:t>保存</w:t>
            </w:r>
            <w:r>
              <w:rPr>
                <w:rFonts w:hint="eastAsia" w:ascii="宋体" w:hAnsi="宋体" w:cs="宋体"/>
                <w:color w:val="auto"/>
                <w:szCs w:val="21"/>
                <w:highlight w:val="none"/>
              </w:rPr>
              <w:t>期或者超过保质期的食品；⑦贮存、运输、装卸的容器、工具和设备不符合要求的食品；⑧无标签或标签内容不符合规定的包装食品，没有中文标识的进</w:t>
            </w:r>
            <w:r>
              <w:rPr>
                <w:rFonts w:hint="eastAsia" w:ascii="宋体" w:hAnsi="宋体" w:cs="宋体"/>
                <w:color w:val="auto"/>
                <w:szCs w:val="21"/>
                <w:highlight w:val="none"/>
                <w:lang w:val="en-US" w:eastAsia="zh-CN"/>
              </w:rPr>
              <w:t>口</w:t>
            </w:r>
            <w:r>
              <w:rPr>
                <w:rFonts w:hint="eastAsia" w:ascii="宋体" w:hAnsi="宋体" w:cs="宋体"/>
                <w:color w:val="auto"/>
                <w:szCs w:val="21"/>
                <w:highlight w:val="none"/>
              </w:rPr>
              <w:t>食品；⑨杜绝假冒伪劣产品；</w:t>
            </w:r>
            <w:r>
              <w:rPr>
                <w:rFonts w:hint="eastAsia" w:ascii="宋体" w:hAnsi="宋体" w:eastAsia="宋体" w:cs="宋体"/>
                <w:color w:val="auto"/>
                <w:szCs w:val="21"/>
                <w:highlight w:val="none"/>
              </w:rPr>
              <w:t>⑩</w:t>
            </w:r>
            <w:r>
              <w:rPr>
                <w:rFonts w:hint="eastAsia" w:ascii="宋体" w:hAnsi="宋体" w:cs="宋体"/>
                <w:color w:val="auto"/>
                <w:szCs w:val="21"/>
                <w:highlight w:val="none"/>
              </w:rPr>
              <w:t>其他不符合食品安全标准和要求的食品</w:t>
            </w:r>
            <w:r>
              <w:rPr>
                <w:rFonts w:hint="eastAsia" w:ascii="宋体" w:hAnsi="宋体" w:cs="宋体"/>
                <w:color w:val="auto"/>
                <w:szCs w:val="21"/>
                <w:highlight w:val="none"/>
                <w:lang w:eastAsia="zh-CN"/>
              </w:rPr>
              <w:t>；⑪</w:t>
            </w:r>
            <w:r>
              <w:rPr>
                <w:rFonts w:hint="eastAsia" w:ascii="宋体" w:hAnsi="宋体" w:cs="宋体"/>
                <w:color w:val="auto"/>
                <w:szCs w:val="21"/>
                <w:highlight w:val="none"/>
              </w:rPr>
              <w:t>不能提供临期产品</w:t>
            </w:r>
            <w:r>
              <w:rPr>
                <w:rFonts w:hint="eastAsia" w:ascii="宋体" w:hAnsi="宋体" w:cs="宋体"/>
                <w:color w:val="auto"/>
                <w:szCs w:val="21"/>
                <w:highlight w:val="none"/>
                <w:lang w:eastAsia="zh-CN"/>
              </w:rPr>
              <w:t>，剩余保存期不少于原有保质期的三分之二且学生预计食用时间在产品</w:t>
            </w:r>
            <w:r>
              <w:rPr>
                <w:rFonts w:hint="eastAsia" w:ascii="宋体" w:hAnsi="宋体" w:cs="宋体"/>
                <w:color w:val="auto"/>
                <w:szCs w:val="21"/>
                <w:highlight w:val="none"/>
                <w:lang w:val="en-US" w:eastAsia="zh-CN"/>
              </w:rPr>
              <w:t>保质</w:t>
            </w:r>
            <w:r>
              <w:rPr>
                <w:rFonts w:hint="eastAsia" w:ascii="宋体" w:hAnsi="宋体" w:cs="宋体"/>
                <w:color w:val="auto"/>
                <w:szCs w:val="21"/>
                <w:highlight w:val="none"/>
                <w:lang w:eastAsia="zh-CN"/>
              </w:rPr>
              <w:t>期内。</w:t>
            </w:r>
          </w:p>
          <w:p w14:paraId="2435728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7.5中标人所配送食品必须按照与采购人签订合同进行配送，若因其他原因更改食品品种的，须提供有关材料报采购人审批同意备案后方可配送至学校。如未经采购人审批同意，中标人擅自更改合同之外的食品并配送到学校，所造成一切后果由中标人负责，采购人有权要求中标人在规定的时间内整改，中标人拒绝整改的，采购人不予支付该食品货款；连续发生三次以上的，视为中标人违约，采购人有权终止合同并由中标人承担违约赔偿责任。</w:t>
            </w:r>
          </w:p>
          <w:p w14:paraId="3825ECA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7.6每次配送的蔬菜、肉类需向所供学校提供产品质量检验检疫报告单，并同时向防城区</w:t>
            </w:r>
            <w:r>
              <w:rPr>
                <w:rFonts w:hint="eastAsia" w:ascii="宋体" w:hAnsi="宋体" w:cs="宋体"/>
                <w:color w:val="auto"/>
                <w:szCs w:val="21"/>
                <w:highlight w:val="none"/>
                <w:lang w:eastAsia="zh-CN"/>
              </w:rPr>
              <w:t>教育局</w:t>
            </w:r>
            <w:r>
              <w:rPr>
                <w:rFonts w:hint="eastAsia" w:ascii="宋体" w:hAnsi="宋体" w:cs="宋体"/>
                <w:color w:val="auto"/>
                <w:szCs w:val="21"/>
                <w:highlight w:val="none"/>
              </w:rPr>
              <w:t>营养办提供每批次自检报告，每两个月提供一次省检验报告。</w:t>
            </w:r>
          </w:p>
          <w:p w14:paraId="3163CE8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7.7中标人必须建立配送台帐，注明时间、数量、规格、送货人、验收人等相关信息。</w:t>
            </w:r>
          </w:p>
          <w:p w14:paraId="02E20C5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7.8每个学校组织专人负责对学生营养改善计划配餐进行留样，每个学校每次留样1份，留样时间为48小时。由相关部门适时对学生营养改善计划配餐进行抽样检查，并对检查情况建立档案。抽样检查出现不合格产品的，采购人有权终止合同，供餐企业负责人是食品安全第一责任人。如出现因产品质量不合格发生的安全事故，由中标人负全责。</w:t>
            </w:r>
          </w:p>
          <w:p w14:paraId="6DB98A5B">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7.9</w:t>
            </w:r>
            <w:r>
              <w:rPr>
                <w:rFonts w:hint="eastAsia" w:ascii="宋体" w:hAnsi="宋体" w:cs="宋体"/>
                <w:color w:val="auto"/>
                <w:szCs w:val="21"/>
                <w:highlight w:val="none"/>
              </w:rPr>
              <w:t>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须统一为用餐师生购买价值 500 万元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以上</w:t>
            </w:r>
            <w:r>
              <w:rPr>
                <w:rFonts w:hint="eastAsia" w:ascii="宋体" w:hAnsi="宋体" w:cs="宋体"/>
                <w:color w:val="auto"/>
                <w:szCs w:val="21"/>
                <w:highlight w:val="none"/>
              </w:rPr>
              <w:t>的“食品安全责任险”,并约定食品安全事故赔偿额为:单人次死亡最高额赔偿40万元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以上</w:t>
            </w:r>
            <w:r>
              <w:rPr>
                <w:rFonts w:hint="eastAsia" w:ascii="宋体" w:hAnsi="宋体" w:cs="宋体"/>
                <w:color w:val="auto"/>
                <w:szCs w:val="21"/>
                <w:highlight w:val="none"/>
              </w:rPr>
              <w:t>,医疗10 万元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以上</w:t>
            </w:r>
            <w:r>
              <w:rPr>
                <w:rFonts w:hint="eastAsia" w:ascii="宋体" w:hAnsi="宋体" w:cs="宋体"/>
                <w:color w:val="auto"/>
                <w:szCs w:val="21"/>
                <w:highlight w:val="none"/>
              </w:rPr>
              <w:t>。</w:t>
            </w:r>
            <w:r>
              <w:rPr>
                <w:rFonts w:hint="eastAsia" w:ascii="宋体" w:hAnsi="宋体" w:cs="宋体"/>
                <w:b/>
                <w:bCs/>
                <w:color w:val="auto"/>
                <w:szCs w:val="21"/>
                <w:highlight w:val="none"/>
                <w:lang w:val="en-US" w:eastAsia="zh-CN"/>
              </w:rPr>
              <w:t xml:space="preserve"> （供应商需在投标文件中提供承诺函） </w:t>
            </w:r>
            <w:r>
              <w:rPr>
                <w:rFonts w:hint="eastAsia" w:ascii="宋体" w:hAnsi="宋体" w:cs="宋体"/>
                <w:color w:val="auto"/>
                <w:szCs w:val="21"/>
                <w:highlight w:val="none"/>
                <w:lang w:val="en-US" w:eastAsia="zh-CN"/>
              </w:rPr>
              <w:t xml:space="preserve">      </w:t>
            </w:r>
          </w:p>
          <w:p w14:paraId="1195F14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7.10</w:t>
            </w:r>
            <w:r>
              <w:rPr>
                <w:rFonts w:hint="eastAsia" w:ascii="宋体" w:hAnsi="宋体" w:cs="宋体"/>
                <w:color w:val="auto"/>
                <w:szCs w:val="21"/>
                <w:highlight w:val="none"/>
              </w:rPr>
              <w:t>若发生疑似食品安全事故,由中标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先行垫付因事故产生的抢救、治疗等费用,待相关有资质部门对留样样品进行检测检验及其他综合评定后确认为产品质量问题的,或由人民法院裁定为中标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责任的,由</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承担全部责任,并启动保险理赔程序；如不属于</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责任的,校方退回</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垫付的费用。</w:t>
            </w:r>
          </w:p>
          <w:p w14:paraId="78F8024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中标人配合各学校做好宣传推进工作，配合学校开展形式多样的营养健康教育活动，普及营养科学知识，引导学生养成健康饮食习惯等。组织开展对相关人员进行有关产品、储藏、食用行为规范、食品安全等方面的培训工作，并协助各学校做好营养餐饮用效果评估工作等。</w:t>
            </w:r>
          </w:p>
          <w:p w14:paraId="30EE7D50">
            <w:pPr>
              <w:pStyle w:val="4"/>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8</w:t>
            </w:r>
            <w:r>
              <w:rPr>
                <w:rFonts w:hint="eastAsia" w:ascii="宋体" w:hAnsi="宋体" w:cs="宋体"/>
                <w:b/>
                <w:bCs/>
                <w:color w:val="auto"/>
                <w:sz w:val="21"/>
                <w:szCs w:val="21"/>
                <w:highlight w:val="none"/>
                <w:lang w:val="en-US" w:eastAsia="zh-CN"/>
              </w:rPr>
              <w:t>.</w:t>
            </w:r>
            <w:r>
              <w:rPr>
                <w:rFonts w:hint="eastAsia" w:ascii="宋体" w:hAnsi="宋体" w:cs="宋体"/>
                <w:b/>
                <w:bCs/>
                <w:color w:val="auto"/>
                <w:sz w:val="21"/>
                <w:szCs w:val="21"/>
                <w:highlight w:val="none"/>
              </w:rPr>
              <w:t>配送时间计划、场所及运输等配送条件要求：</w:t>
            </w:r>
          </w:p>
          <w:p w14:paraId="07D97A07">
            <w:pPr>
              <w:pStyle w:val="4"/>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本分标要求开学时配送到位，为了保证食品食材的新鲜度和卫生安全质量，中标人须在领取中标通知书后</w:t>
            </w:r>
            <w:r>
              <w:rPr>
                <w:rFonts w:hint="eastAsia" w:ascii="宋体" w:hAnsi="宋体" w:cs="宋体"/>
                <w:b/>
                <w:bCs/>
                <w:color w:val="auto"/>
                <w:sz w:val="21"/>
                <w:szCs w:val="21"/>
                <w:highlight w:val="none"/>
                <w:lang w:val="en-US" w:eastAsia="zh-CN"/>
              </w:rPr>
              <w:t>于15日</w:t>
            </w:r>
            <w:r>
              <w:rPr>
                <w:rFonts w:hint="eastAsia" w:ascii="宋体" w:hAnsi="宋体" w:cs="宋体"/>
                <w:b/>
                <w:bCs/>
                <w:color w:val="auto"/>
                <w:sz w:val="21"/>
                <w:szCs w:val="21"/>
                <w:highlight w:val="none"/>
              </w:rPr>
              <w:t>内在中标区域范围完备基本的配送条件。即：（1）必须能满足本分标范围的足够面积的配送专用仓储场所：</w:t>
            </w:r>
            <w:r>
              <w:rPr>
                <w:rFonts w:hint="eastAsia" w:ascii="宋体" w:hAnsi="宋体" w:cs="宋体"/>
                <w:b/>
                <w:bCs/>
                <w:color w:val="auto"/>
                <w:sz w:val="21"/>
                <w:szCs w:val="21"/>
                <w:highlight w:val="none"/>
                <w:lang w:val="en-US" w:eastAsia="zh-CN"/>
              </w:rPr>
              <w:t>满足食品要求的冷藏库、冷冻库、食品分拣区、粮油干货贮存区、食品安全检测室、检测设备及配备专业食品安全检测人员等</w:t>
            </w:r>
            <w:r>
              <w:rPr>
                <w:rFonts w:hint="eastAsia" w:ascii="宋体" w:hAnsi="宋体" w:cs="宋体"/>
                <w:b/>
                <w:bCs/>
                <w:color w:val="auto"/>
                <w:sz w:val="21"/>
                <w:szCs w:val="21"/>
                <w:highlight w:val="none"/>
              </w:rPr>
              <w:t>，食材安全卫生</w:t>
            </w:r>
            <w:r>
              <w:rPr>
                <w:rFonts w:hint="eastAsia" w:ascii="宋体" w:hAnsi="宋体" w:cs="宋体"/>
                <w:b/>
                <w:bCs/>
                <w:color w:val="auto"/>
                <w:sz w:val="21"/>
                <w:szCs w:val="21"/>
                <w:highlight w:val="none"/>
                <w:lang w:val="en-US" w:eastAsia="zh-CN"/>
              </w:rPr>
              <w:t>得到</w:t>
            </w:r>
            <w:r>
              <w:rPr>
                <w:rFonts w:hint="eastAsia" w:ascii="宋体" w:hAnsi="宋体" w:cs="宋体"/>
                <w:b/>
                <w:bCs/>
                <w:color w:val="auto"/>
                <w:sz w:val="21"/>
                <w:szCs w:val="21"/>
                <w:highlight w:val="none"/>
              </w:rPr>
              <w:t>保障，</w:t>
            </w:r>
            <w:r>
              <w:rPr>
                <w:rFonts w:hint="eastAsia" w:ascii="宋体" w:hAnsi="宋体" w:cs="宋体"/>
                <w:b/>
                <w:bCs/>
                <w:color w:val="auto"/>
                <w:sz w:val="21"/>
                <w:szCs w:val="21"/>
                <w:highlight w:val="none"/>
                <w:lang w:val="en-US" w:eastAsia="zh-CN"/>
              </w:rPr>
              <w:t>具有</w:t>
            </w:r>
            <w:r>
              <w:rPr>
                <w:rFonts w:hint="eastAsia" w:ascii="宋体" w:hAnsi="宋体" w:cs="宋体"/>
                <w:b/>
                <w:bCs/>
                <w:color w:val="auto"/>
                <w:sz w:val="21"/>
                <w:szCs w:val="21"/>
                <w:highlight w:val="none"/>
              </w:rPr>
              <w:t>仓储保障能力</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（2）必须能满足本分标范围的足够数量的配送运输车辆</w:t>
            </w:r>
            <w:r>
              <w:rPr>
                <w:rFonts w:hint="eastAsia" w:ascii="宋体" w:hAnsi="宋体" w:cs="宋体"/>
                <w:b/>
                <w:bCs/>
                <w:color w:val="auto"/>
                <w:sz w:val="21"/>
                <w:szCs w:val="21"/>
                <w:highlight w:val="none"/>
                <w:lang w:eastAsia="zh-CN"/>
              </w:rPr>
              <w:t>和人员</w:t>
            </w:r>
            <w:r>
              <w:rPr>
                <w:rFonts w:hint="eastAsia" w:ascii="宋体" w:hAnsi="宋体" w:cs="宋体"/>
                <w:b/>
                <w:bCs/>
                <w:color w:val="auto"/>
                <w:sz w:val="21"/>
                <w:szCs w:val="21"/>
                <w:highlight w:val="none"/>
              </w:rPr>
              <w:t>，且有食品运送专用的冷藏厢式车辆，合理的配送路线；（3）通过采购人配送条件检查和验收。</w:t>
            </w:r>
          </w:p>
          <w:p w14:paraId="51FECCDE">
            <w:pPr>
              <w:pStyle w:val="4"/>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备注：如因本项目定标时间推迟、合同签订时间推迟，中标人无法确保在开学时正常配送的，由中标人向采购人书面说明，采购人同意后确定具体配送时间，但推迟配送的时间不得超过中标通知书发出后</w:t>
            </w:r>
            <w:r>
              <w:rPr>
                <w:rFonts w:hint="eastAsia" w:ascii="宋体" w:hAnsi="宋体" w:cs="宋体"/>
                <w:b/>
                <w:bCs/>
                <w:color w:val="auto"/>
                <w:sz w:val="21"/>
                <w:szCs w:val="21"/>
                <w:highlight w:val="none"/>
                <w:lang w:val="en-US" w:eastAsia="zh-CN"/>
              </w:rPr>
              <w:t>25</w:t>
            </w:r>
            <w:r>
              <w:rPr>
                <w:rFonts w:hint="eastAsia" w:ascii="宋体" w:hAnsi="宋体" w:cs="宋体"/>
                <w:b/>
                <w:bCs/>
                <w:color w:val="auto"/>
                <w:sz w:val="21"/>
                <w:szCs w:val="21"/>
                <w:highlight w:val="none"/>
              </w:rPr>
              <w:t>日。</w:t>
            </w:r>
          </w:p>
          <w:p w14:paraId="3ABDC7F5">
            <w:pPr>
              <w:pStyle w:val="4"/>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投标人应在投标时提供相关证明资料或者提供具体的落实计划、措施及承诺方案，采购人检查和验收时，将对照中标人的投标文件所提供材料或所提供承诺的内容进行核对检查，不满足配送条件的，视为中标人无法履行合同的违约情形，采购人有权取消其中标资格；属于虚假应标、骗取中标的，采购人同时上报财政监督管理部门通报处理。</w:t>
            </w:r>
          </w:p>
          <w:p w14:paraId="52865E83">
            <w:pPr>
              <w:pStyle w:val="4"/>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9</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投标人应自行充分了解各分标配送区域地理位置情况，自行考虑投标风险，合理规划配送路线，确保食品食材按时、保质量送达各使用地点。</w:t>
            </w:r>
          </w:p>
          <w:p w14:paraId="3F3081FB">
            <w:pPr>
              <w:spacing w:line="360" w:lineRule="auto"/>
              <w:ind w:firstLine="422" w:firstLineChars="200"/>
              <w:rPr>
                <w:rFonts w:hint="eastAsia"/>
                <w:color w:val="auto"/>
                <w:sz w:val="21"/>
                <w:szCs w:val="21"/>
                <w:highlight w:val="none"/>
                <w:lang w:val="zh-TW"/>
              </w:rPr>
            </w:pPr>
            <w:r>
              <w:rPr>
                <w:rFonts w:hint="eastAsia"/>
                <w:b/>
                <w:bCs/>
                <w:color w:val="auto"/>
                <w:highlight w:val="none"/>
              </w:rPr>
              <w:t>10</w:t>
            </w:r>
            <w:r>
              <w:rPr>
                <w:rFonts w:hint="eastAsia"/>
                <w:b/>
                <w:bCs/>
                <w:color w:val="auto"/>
                <w:highlight w:val="none"/>
                <w:lang w:eastAsia="zh-CN"/>
              </w:rPr>
              <w:t>.</w:t>
            </w:r>
            <w:r>
              <w:rPr>
                <w:rFonts w:hint="eastAsia"/>
                <w:b/>
                <w:bCs/>
                <w:color w:val="auto"/>
                <w:highlight w:val="none"/>
              </w:rPr>
              <w:t>多分标同时投标要求：投标人可以对某个或某几个分标同时进行投标报价，但最多只能中标其中的一个分标。投标人多分标投标时，应体现不同分标的技术需求。</w:t>
            </w:r>
          </w:p>
        </w:tc>
      </w:tr>
      <w:tr w14:paraId="6F035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6" w:type="dxa"/>
            <w:gridSpan w:val="4"/>
            <w:tcBorders>
              <w:top w:val="single" w:color="auto" w:sz="4" w:space="0"/>
              <w:left w:val="single" w:color="auto" w:sz="4" w:space="0"/>
              <w:bottom w:val="single" w:color="auto" w:sz="4" w:space="0"/>
              <w:right w:val="single" w:color="auto" w:sz="4" w:space="0"/>
            </w:tcBorders>
            <w:noWrap w:val="0"/>
            <w:vAlign w:val="top"/>
          </w:tcPr>
          <w:p w14:paraId="7CD107D1">
            <w:pPr>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三</w:t>
            </w:r>
            <w:r>
              <w:rPr>
                <w:rFonts w:hint="eastAsia" w:ascii="宋体" w:hAnsi="宋体"/>
                <w:color w:val="auto"/>
                <w:szCs w:val="21"/>
                <w:highlight w:val="none"/>
              </w:rPr>
              <w:t>、</w:t>
            </w:r>
            <w:r>
              <w:rPr>
                <w:rFonts w:hint="eastAsia" w:ascii="宋体" w:hAnsi="宋体"/>
                <w:b/>
                <w:color w:val="auto"/>
                <w:szCs w:val="21"/>
                <w:highlight w:val="none"/>
              </w:rPr>
              <w:t>商务条款</w:t>
            </w:r>
          </w:p>
        </w:tc>
      </w:tr>
      <w:tr w14:paraId="500F9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34" w:type="dxa"/>
            <w:gridSpan w:val="2"/>
            <w:tcBorders>
              <w:top w:val="single" w:color="auto" w:sz="4" w:space="0"/>
              <w:left w:val="single" w:color="auto" w:sz="4" w:space="0"/>
              <w:bottom w:val="single" w:color="auto" w:sz="4" w:space="0"/>
              <w:right w:val="single" w:color="auto" w:sz="4" w:space="0"/>
            </w:tcBorders>
            <w:noWrap w:val="0"/>
            <w:vAlign w:val="center"/>
          </w:tcPr>
          <w:p w14:paraId="3E29548E">
            <w:pPr>
              <w:spacing w:line="360" w:lineRule="auto"/>
              <w:jc w:val="center"/>
              <w:rPr>
                <w:rFonts w:ascii="宋体" w:hAnsi="宋体"/>
                <w:color w:val="auto"/>
                <w:szCs w:val="21"/>
                <w:highlight w:val="none"/>
              </w:rPr>
            </w:pPr>
            <w:r>
              <w:rPr>
                <w:rFonts w:hint="eastAsia" w:ascii="宋体" w:hAnsi="宋体"/>
                <w:color w:val="auto"/>
                <w:szCs w:val="21"/>
                <w:highlight w:val="none"/>
              </w:rPr>
              <w:t>售后服务要求</w:t>
            </w:r>
          </w:p>
        </w:tc>
        <w:tc>
          <w:tcPr>
            <w:tcW w:w="7512" w:type="dxa"/>
            <w:gridSpan w:val="2"/>
            <w:tcBorders>
              <w:top w:val="single" w:color="auto" w:sz="4" w:space="0"/>
              <w:left w:val="single" w:color="auto" w:sz="4" w:space="0"/>
              <w:bottom w:val="single" w:color="auto" w:sz="4" w:space="0"/>
              <w:right w:val="single" w:color="auto" w:sz="4" w:space="0"/>
            </w:tcBorders>
            <w:noWrap w:val="0"/>
            <w:vAlign w:val="top"/>
          </w:tcPr>
          <w:p w14:paraId="40FB6710">
            <w:pPr>
              <w:tabs>
                <w:tab w:val="left" w:pos="431"/>
              </w:tabs>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按厂家承诺实行“三包”；</w:t>
            </w:r>
          </w:p>
          <w:p w14:paraId="489E66AC">
            <w:pPr>
              <w:tabs>
                <w:tab w:val="left" w:pos="431"/>
              </w:tabs>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免费送货上门；</w:t>
            </w:r>
          </w:p>
          <w:p w14:paraId="4A97598F">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保质保量，如在质保期内发现质量问题，中标人必须在接到采购人通知后2小时内到达现场处理，如属质量问题的及时给予更换。</w:t>
            </w:r>
          </w:p>
        </w:tc>
      </w:tr>
      <w:tr w14:paraId="6EF20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34" w:type="dxa"/>
            <w:gridSpan w:val="2"/>
            <w:tcBorders>
              <w:top w:val="single" w:color="auto" w:sz="4" w:space="0"/>
              <w:left w:val="single" w:color="auto" w:sz="4" w:space="0"/>
              <w:bottom w:val="single" w:color="auto" w:sz="4" w:space="0"/>
              <w:right w:val="single" w:color="auto" w:sz="4" w:space="0"/>
            </w:tcBorders>
            <w:noWrap w:val="0"/>
            <w:vAlign w:val="center"/>
          </w:tcPr>
          <w:p w14:paraId="40334B94">
            <w:pPr>
              <w:spacing w:line="360" w:lineRule="auto"/>
              <w:jc w:val="center"/>
              <w:rPr>
                <w:rFonts w:hint="eastAsia" w:ascii="宋体" w:hAnsi="宋体"/>
                <w:color w:val="auto"/>
                <w:szCs w:val="21"/>
                <w:highlight w:val="none"/>
              </w:rPr>
            </w:pPr>
            <w:r>
              <w:rPr>
                <w:rFonts w:hint="eastAsia" w:ascii="宋体" w:hAnsi="宋体"/>
                <w:color w:val="auto"/>
                <w:szCs w:val="21"/>
                <w:highlight w:val="none"/>
              </w:rPr>
              <w:t>合同签订时间</w:t>
            </w:r>
          </w:p>
        </w:tc>
        <w:tc>
          <w:tcPr>
            <w:tcW w:w="7512" w:type="dxa"/>
            <w:gridSpan w:val="2"/>
            <w:tcBorders>
              <w:top w:val="single" w:color="auto" w:sz="4" w:space="0"/>
              <w:left w:val="single" w:color="auto" w:sz="4" w:space="0"/>
              <w:bottom w:val="single" w:color="auto" w:sz="4" w:space="0"/>
              <w:right w:val="single" w:color="auto" w:sz="4" w:space="0"/>
            </w:tcBorders>
            <w:noWrap w:val="0"/>
            <w:vAlign w:val="center"/>
          </w:tcPr>
          <w:p w14:paraId="19172D1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自中标通知书发出之日起</w:t>
            </w:r>
            <w:r>
              <w:rPr>
                <w:rFonts w:hint="eastAsia" w:ascii="宋体" w:hAnsi="宋体"/>
                <w:color w:val="auto"/>
                <w:szCs w:val="21"/>
                <w:highlight w:val="none"/>
                <w:lang w:val="en-US" w:eastAsia="zh-CN"/>
              </w:rPr>
              <w:t>25</w:t>
            </w:r>
            <w:r>
              <w:rPr>
                <w:rFonts w:hint="eastAsia" w:ascii="宋体" w:hAnsi="宋体"/>
                <w:color w:val="auto"/>
                <w:szCs w:val="21"/>
                <w:highlight w:val="none"/>
              </w:rPr>
              <w:t>天（日历天）签订合同。</w:t>
            </w:r>
          </w:p>
          <w:p w14:paraId="26FB7124">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合同履行期限：</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年秋季学期至202</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年春季学期，具体开始时间按采购人通知，</w:t>
            </w:r>
            <w:r>
              <w:rPr>
                <w:rFonts w:hint="eastAsia" w:ascii="宋体" w:hAnsi="宋体"/>
                <w:color w:val="auto"/>
                <w:szCs w:val="21"/>
                <w:highlight w:val="none"/>
              </w:rPr>
              <w:t>按采购单位要求分批次配送。</w:t>
            </w:r>
          </w:p>
        </w:tc>
      </w:tr>
      <w:tr w14:paraId="3A9B1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34" w:type="dxa"/>
            <w:gridSpan w:val="2"/>
            <w:tcBorders>
              <w:top w:val="single" w:color="auto" w:sz="4" w:space="0"/>
              <w:left w:val="single" w:color="auto" w:sz="4" w:space="0"/>
              <w:bottom w:val="single" w:color="auto" w:sz="4" w:space="0"/>
              <w:right w:val="single" w:color="auto" w:sz="4" w:space="0"/>
            </w:tcBorders>
            <w:noWrap w:val="0"/>
            <w:vAlign w:val="center"/>
          </w:tcPr>
          <w:p w14:paraId="315CD086">
            <w:pPr>
              <w:spacing w:line="360" w:lineRule="auto"/>
              <w:jc w:val="center"/>
              <w:rPr>
                <w:rFonts w:ascii="宋体" w:hAnsi="宋体"/>
                <w:color w:val="auto"/>
                <w:szCs w:val="21"/>
                <w:highlight w:val="none"/>
              </w:rPr>
            </w:pPr>
            <w:r>
              <w:rPr>
                <w:rFonts w:hint="eastAsia" w:ascii="宋体" w:hAnsi="宋体"/>
                <w:color w:val="auto"/>
                <w:szCs w:val="21"/>
                <w:highlight w:val="none"/>
              </w:rPr>
              <w:t>交付时间及地点</w:t>
            </w:r>
          </w:p>
        </w:tc>
        <w:tc>
          <w:tcPr>
            <w:tcW w:w="7512" w:type="dxa"/>
            <w:gridSpan w:val="2"/>
            <w:tcBorders>
              <w:top w:val="single" w:color="auto" w:sz="4" w:space="0"/>
              <w:left w:val="single" w:color="auto" w:sz="4" w:space="0"/>
              <w:bottom w:val="single" w:color="auto" w:sz="4" w:space="0"/>
              <w:right w:val="single" w:color="auto" w:sz="4" w:space="0"/>
            </w:tcBorders>
            <w:noWrap w:val="0"/>
            <w:vAlign w:val="center"/>
          </w:tcPr>
          <w:p w14:paraId="0F24DA4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交付时间：</w:t>
            </w:r>
            <w:r>
              <w:rPr>
                <w:rFonts w:hint="eastAsia" w:ascii="宋体" w:hAnsi="宋体" w:cs="宋体"/>
                <w:b/>
                <w:bCs/>
                <w:color w:val="auto"/>
                <w:szCs w:val="21"/>
                <w:highlight w:val="none"/>
              </w:rPr>
              <w:t>要求开学时开始配送或者采购人同意中标人推迟配送的具体时间。</w:t>
            </w:r>
          </w:p>
          <w:p w14:paraId="03221C6B">
            <w:pPr>
              <w:spacing w:line="360" w:lineRule="auto"/>
              <w:ind w:firstLine="420" w:firstLineChars="200"/>
              <w:rPr>
                <w:rFonts w:hint="eastAsia" w:eastAsia="宋体"/>
                <w:color w:val="auto"/>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交付地点：</w:t>
            </w:r>
            <w:r>
              <w:rPr>
                <w:rFonts w:hint="eastAsia"/>
                <w:color w:val="auto"/>
                <w:highlight w:val="none"/>
              </w:rPr>
              <w:t>防城港市防城区内采购单位指定地点</w:t>
            </w:r>
            <w:r>
              <w:rPr>
                <w:rFonts w:hint="eastAsia"/>
                <w:color w:val="auto"/>
                <w:highlight w:val="none"/>
                <w:lang w:eastAsia="zh-CN"/>
              </w:rPr>
              <w:t>，</w:t>
            </w:r>
          </w:p>
          <w:p w14:paraId="6AF112E3">
            <w:pPr>
              <w:spacing w:line="360" w:lineRule="auto"/>
              <w:ind w:firstLine="422" w:firstLineChars="200"/>
              <w:rPr>
                <w:rFonts w:ascii="宋体" w:hAnsi="宋体"/>
                <w:color w:val="auto"/>
                <w:szCs w:val="21"/>
                <w:highlight w:val="none"/>
              </w:rPr>
            </w:pPr>
            <w:r>
              <w:rPr>
                <w:rFonts w:hint="eastAsia"/>
                <w:b/>
                <w:bCs/>
                <w:color w:val="auto"/>
                <w:highlight w:val="none"/>
              </w:rPr>
              <w:t>即：分标1</w:t>
            </w:r>
            <w:r>
              <w:rPr>
                <w:rFonts w:hint="eastAsia"/>
                <w:b/>
                <w:bCs/>
                <w:color w:val="auto"/>
                <w:highlight w:val="none"/>
                <w:lang w:eastAsia="zh-CN"/>
              </w:rPr>
              <w:t>：</w:t>
            </w:r>
            <w:r>
              <w:rPr>
                <w:rFonts w:hint="eastAsia"/>
                <w:b/>
                <w:bCs/>
                <w:color w:val="auto"/>
                <w:highlight w:val="none"/>
              </w:rPr>
              <w:t>峒中镇、那梭镇、华石镇</w:t>
            </w:r>
            <w:r>
              <w:rPr>
                <w:rFonts w:hint="eastAsia"/>
                <w:b/>
                <w:bCs/>
                <w:color w:val="auto"/>
                <w:highlight w:val="none"/>
                <w:lang w:eastAsia="zh-CN"/>
              </w:rPr>
              <w:t>中小学校；</w:t>
            </w:r>
            <w:r>
              <w:rPr>
                <w:rFonts w:hint="eastAsia"/>
                <w:b/>
                <w:bCs/>
                <w:color w:val="auto"/>
                <w:highlight w:val="none"/>
              </w:rPr>
              <w:t>分标2：那良镇、江山镇</w:t>
            </w:r>
            <w:r>
              <w:rPr>
                <w:rFonts w:hint="eastAsia"/>
                <w:b/>
                <w:bCs/>
                <w:color w:val="auto"/>
                <w:highlight w:val="none"/>
                <w:lang w:eastAsia="zh-CN"/>
              </w:rPr>
              <w:t>中小学校</w:t>
            </w:r>
            <w:r>
              <w:rPr>
                <w:rFonts w:hint="eastAsia"/>
                <w:b/>
                <w:bCs/>
                <w:color w:val="auto"/>
                <w:highlight w:val="none"/>
              </w:rPr>
              <w:t>；分标3：扶隆镇、小峰场、水营街道、滩营乡、文昌街道</w:t>
            </w:r>
            <w:r>
              <w:rPr>
                <w:rFonts w:hint="eastAsia"/>
                <w:b/>
                <w:bCs/>
                <w:color w:val="auto"/>
                <w:highlight w:val="none"/>
                <w:lang w:eastAsia="zh-CN"/>
              </w:rPr>
              <w:t>中小学校</w:t>
            </w:r>
            <w:r>
              <w:rPr>
                <w:rFonts w:hint="eastAsia"/>
                <w:b/>
                <w:bCs/>
                <w:color w:val="auto"/>
                <w:highlight w:val="none"/>
              </w:rPr>
              <w:t>；分标4：大菉镇、十万山乡、茅岭镇、珠河街道</w:t>
            </w:r>
            <w:r>
              <w:rPr>
                <w:rFonts w:hint="eastAsia"/>
                <w:b/>
                <w:bCs/>
                <w:color w:val="auto"/>
                <w:highlight w:val="none"/>
                <w:lang w:eastAsia="zh-CN"/>
              </w:rPr>
              <w:t>中小学校</w:t>
            </w:r>
            <w:r>
              <w:rPr>
                <w:rFonts w:hint="eastAsia"/>
                <w:b/>
                <w:bCs/>
                <w:color w:val="auto"/>
                <w:highlight w:val="none"/>
              </w:rPr>
              <w:t>。</w:t>
            </w:r>
          </w:p>
        </w:tc>
      </w:tr>
      <w:tr w14:paraId="422F4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34" w:type="dxa"/>
            <w:gridSpan w:val="2"/>
            <w:tcBorders>
              <w:top w:val="single" w:color="auto" w:sz="4" w:space="0"/>
              <w:left w:val="single" w:color="auto" w:sz="4" w:space="0"/>
              <w:bottom w:val="single" w:color="auto" w:sz="4" w:space="0"/>
              <w:right w:val="single" w:color="auto" w:sz="4" w:space="0"/>
            </w:tcBorders>
            <w:noWrap w:val="0"/>
            <w:vAlign w:val="center"/>
          </w:tcPr>
          <w:p w14:paraId="5FADC9D5">
            <w:pPr>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报价说明</w:t>
            </w:r>
          </w:p>
        </w:tc>
        <w:tc>
          <w:tcPr>
            <w:tcW w:w="7512" w:type="dxa"/>
            <w:gridSpan w:val="2"/>
            <w:tcBorders>
              <w:top w:val="single" w:color="auto" w:sz="4" w:space="0"/>
              <w:left w:val="single" w:color="auto" w:sz="4" w:space="0"/>
              <w:bottom w:val="single" w:color="auto" w:sz="4" w:space="0"/>
              <w:right w:val="single" w:color="auto" w:sz="4" w:space="0"/>
            </w:tcBorders>
            <w:noWrap w:val="0"/>
            <w:vAlign w:val="center"/>
          </w:tcPr>
          <w:p w14:paraId="39B9C406">
            <w:pPr>
              <w:spacing w:line="360" w:lineRule="auto"/>
              <w:ind w:firstLine="420" w:firstLineChars="20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lang w:val="en-US" w:eastAsia="zh-CN"/>
              </w:rPr>
              <w:t>投标</w:t>
            </w:r>
            <w:r>
              <w:rPr>
                <w:rFonts w:hint="eastAsia"/>
                <w:color w:val="auto"/>
                <w:highlight w:val="none"/>
              </w:rPr>
              <w:t>报价</w:t>
            </w:r>
            <w:r>
              <w:rPr>
                <w:rFonts w:hint="eastAsia" w:ascii="宋体" w:hAnsi="宋体"/>
                <w:color w:val="auto"/>
                <w:sz w:val="21"/>
                <w:szCs w:val="21"/>
                <w:highlight w:val="none"/>
              </w:rPr>
              <w:t>包括</w:t>
            </w:r>
            <w:r>
              <w:rPr>
                <w:rFonts w:hint="eastAsia" w:ascii="宋体" w:hAnsi="宋体"/>
                <w:color w:val="auto"/>
                <w:sz w:val="21"/>
                <w:szCs w:val="21"/>
                <w:highlight w:val="none"/>
                <w:lang w:val="en-US" w:eastAsia="zh-CN"/>
              </w:rPr>
              <w:t>本次采购范围内的货物价款、包装、运输、保险、税金、检验等全部费用，产品包装、运输过程中的损耗在报价中综合考虑等一切履行本合同所可能产生的费用。</w:t>
            </w:r>
            <w:r>
              <w:rPr>
                <w:rFonts w:hint="eastAsia"/>
                <w:b/>
                <w:bCs/>
                <w:color w:val="auto"/>
                <w:highlight w:val="none"/>
              </w:rPr>
              <w:t>本项目采用</w:t>
            </w:r>
            <w:r>
              <w:rPr>
                <w:rFonts w:hint="eastAsia"/>
                <w:b/>
                <w:bCs/>
                <w:color w:val="auto"/>
                <w:highlight w:val="none"/>
                <w:lang w:val="en-US" w:eastAsia="zh-CN"/>
              </w:rPr>
              <w:t>优惠率</w:t>
            </w:r>
            <w:r>
              <w:rPr>
                <w:rFonts w:hint="eastAsia"/>
                <w:b/>
                <w:bCs/>
                <w:color w:val="auto"/>
                <w:highlight w:val="none"/>
              </w:rPr>
              <w:t>进行报价</w:t>
            </w:r>
            <w:r>
              <w:rPr>
                <w:rFonts w:hint="eastAsia"/>
                <w:b/>
                <w:bCs/>
                <w:color w:val="auto"/>
                <w:highlight w:val="none"/>
                <w:lang w:eastAsia="zh-CN"/>
              </w:rPr>
              <w:t>（</w:t>
            </w:r>
            <w:r>
              <w:rPr>
                <w:rFonts w:hint="eastAsia" w:ascii="Times New Roman" w:hAnsi="Times New Roman" w:eastAsia="宋体" w:cs="Times New Roman"/>
                <w:color w:val="auto"/>
                <w:kern w:val="2"/>
                <w:sz w:val="21"/>
                <w:szCs w:val="24"/>
                <w:highlight w:val="none"/>
                <w:lang w:val="en-US" w:eastAsia="zh-CN" w:bidi="ar-SA"/>
              </w:rPr>
              <w:t>注：0%≤</w:t>
            </w:r>
            <w:r>
              <w:rPr>
                <w:rFonts w:hint="eastAsia" w:cs="Times New Roman"/>
                <w:color w:val="auto"/>
                <w:kern w:val="2"/>
                <w:sz w:val="21"/>
                <w:szCs w:val="24"/>
                <w:highlight w:val="none"/>
                <w:lang w:val="en-US" w:eastAsia="zh-CN" w:bidi="ar-SA"/>
              </w:rPr>
              <w:t>下浮优惠率</w:t>
            </w:r>
            <w:r>
              <w:rPr>
                <w:rFonts w:hint="eastAsia" w:ascii="Times New Roman" w:hAnsi="Times New Roman" w:eastAsia="宋体" w:cs="Times New Roman"/>
                <w:color w:val="auto"/>
                <w:kern w:val="2"/>
                <w:sz w:val="21"/>
                <w:szCs w:val="24"/>
                <w:highlight w:val="none"/>
                <w:lang w:val="en-US" w:eastAsia="zh-CN" w:bidi="ar-SA"/>
              </w:rPr>
              <w:t>＜100%内为有效报价，超出有效报价范围的视为无效报价</w:t>
            </w:r>
            <w:r>
              <w:rPr>
                <w:rFonts w:hint="eastAsia"/>
                <w:b/>
                <w:bCs/>
                <w:color w:val="auto"/>
                <w:highlight w:val="none"/>
                <w:lang w:eastAsia="zh-CN"/>
              </w:rPr>
              <w:t>）</w:t>
            </w:r>
            <w:r>
              <w:rPr>
                <w:rFonts w:hint="eastAsia"/>
                <w:b/>
                <w:bCs/>
                <w:color w:val="auto"/>
                <w:highlight w:val="none"/>
              </w:rPr>
              <w:t>，</w:t>
            </w:r>
            <w:r>
              <w:rPr>
                <w:rFonts w:hint="eastAsia"/>
                <w:color w:val="auto"/>
                <w:highlight w:val="none"/>
              </w:rPr>
              <w:t>投标人以中标的优惠率签订合同，结算时按照实际的配送工作量（配送天数、配送人数或数量要求的累计数）计算费用。</w:t>
            </w:r>
          </w:p>
          <w:p w14:paraId="68F2703D">
            <w:pPr>
              <w:spacing w:line="360" w:lineRule="auto"/>
              <w:ind w:firstLine="420" w:firstLineChars="200"/>
              <w:rPr>
                <w:rFonts w:hint="default" w:eastAsia="宋体"/>
                <w:color w:val="auto"/>
                <w:highlight w:val="none"/>
                <w:lang w:val="en-US" w:eastAsia="zh-CN"/>
              </w:rPr>
            </w:pPr>
            <w:r>
              <w:rPr>
                <w:rFonts w:hint="eastAsia"/>
                <w:color w:val="auto"/>
                <w:highlight w:val="none"/>
              </w:rPr>
              <w:t>2</w:t>
            </w:r>
            <w:r>
              <w:rPr>
                <w:rFonts w:hint="eastAsia"/>
                <w:color w:val="auto"/>
                <w:highlight w:val="none"/>
                <w:lang w:eastAsia="zh-CN"/>
              </w:rPr>
              <w:t>.</w:t>
            </w:r>
            <w:r>
              <w:rPr>
                <w:rFonts w:hint="eastAsia"/>
                <w:color w:val="auto"/>
                <w:highlight w:val="none"/>
              </w:rPr>
              <w:t>为了确保产品质量和食品安全，投标人不得以低于成本价的方式报价或者以劣质产品质量的低价商品进行报价。评标委员会认为投标人的报价明显低于其他通过符合性审查投标人的报价，有可能影响产品质量或者不能诚信履约的，评标委员会应当要求投标人在评标现场合理的时间内提供书面说明，必要时提交相关证明材料；投标人不能证明其报价合理性的，其投标作为无效投标处理。</w:t>
            </w:r>
          </w:p>
        </w:tc>
      </w:tr>
      <w:tr w14:paraId="22DF9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34" w:type="dxa"/>
            <w:gridSpan w:val="2"/>
            <w:tcBorders>
              <w:top w:val="single" w:color="auto" w:sz="4" w:space="0"/>
              <w:left w:val="single" w:color="auto" w:sz="4" w:space="0"/>
              <w:bottom w:val="single" w:color="auto" w:sz="4" w:space="0"/>
              <w:right w:val="single" w:color="auto" w:sz="4" w:space="0"/>
            </w:tcBorders>
            <w:noWrap w:val="0"/>
            <w:vAlign w:val="center"/>
          </w:tcPr>
          <w:p w14:paraId="30E765C7">
            <w:pPr>
              <w:spacing w:line="360" w:lineRule="auto"/>
              <w:jc w:val="center"/>
              <w:rPr>
                <w:rFonts w:hint="eastAsia"/>
                <w:b/>
                <w:bCs/>
                <w:color w:val="auto"/>
                <w:highlight w:val="none"/>
                <w:lang w:eastAsia="zh-CN"/>
              </w:rPr>
            </w:pPr>
            <w:r>
              <w:rPr>
                <w:rFonts w:hint="eastAsia"/>
                <w:b/>
                <w:bCs/>
                <w:color w:val="auto"/>
                <w:highlight w:val="none"/>
                <w:lang w:eastAsia="zh-CN"/>
              </w:rPr>
              <w:t>投标、中标原则</w:t>
            </w:r>
          </w:p>
          <w:p w14:paraId="0ED5BE6F">
            <w:pPr>
              <w:spacing w:line="360" w:lineRule="auto"/>
              <w:jc w:val="center"/>
              <w:rPr>
                <w:rFonts w:hint="eastAsia" w:ascii="宋体" w:hAnsi="宋体"/>
                <w:color w:val="auto"/>
                <w:szCs w:val="21"/>
                <w:highlight w:val="none"/>
                <w:lang w:eastAsia="zh-CN"/>
              </w:rPr>
            </w:pPr>
            <w:r>
              <w:rPr>
                <w:rFonts w:hint="eastAsia"/>
                <w:b/>
                <w:bCs/>
                <w:color w:val="auto"/>
                <w:highlight w:val="none"/>
                <w:lang w:eastAsia="zh-CN"/>
              </w:rPr>
              <w:t>说明</w:t>
            </w:r>
          </w:p>
        </w:tc>
        <w:tc>
          <w:tcPr>
            <w:tcW w:w="7512" w:type="dxa"/>
            <w:gridSpan w:val="2"/>
            <w:tcBorders>
              <w:top w:val="single" w:color="auto" w:sz="4" w:space="0"/>
              <w:left w:val="single" w:color="auto" w:sz="4" w:space="0"/>
              <w:bottom w:val="single" w:color="auto" w:sz="4" w:space="0"/>
              <w:right w:val="single" w:color="auto" w:sz="4" w:space="0"/>
            </w:tcBorders>
            <w:noWrap w:val="0"/>
            <w:vAlign w:val="center"/>
          </w:tcPr>
          <w:p w14:paraId="053DCD47">
            <w:pPr>
              <w:spacing w:line="360" w:lineRule="auto"/>
              <w:ind w:firstLine="422" w:firstLineChars="200"/>
              <w:jc w:val="both"/>
              <w:rPr>
                <w:rFonts w:hint="eastAsia"/>
                <w:color w:val="auto"/>
                <w:highlight w:val="none"/>
              </w:rPr>
            </w:pPr>
            <w:r>
              <w:rPr>
                <w:rFonts w:hint="eastAsia"/>
                <w:b/>
                <w:bCs/>
                <w:color w:val="auto"/>
                <w:highlight w:val="none"/>
              </w:rPr>
              <w:t>为保证本项目服务质量及服务完成进度，本项目设定了多个分标，投标人可以对某个或某几个分标同时进行投标报价，但最多只能中标其中的一个分标，投标人在其中一个分标被评标委员会推荐为第一中标候选人的，不再参与后续其它分标的中标候选人推荐。本项目评标、定标顺序为分标1→分标2→分标3→分标4。</w:t>
            </w:r>
          </w:p>
        </w:tc>
      </w:tr>
      <w:tr w14:paraId="6D104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34" w:type="dxa"/>
            <w:gridSpan w:val="2"/>
            <w:tcBorders>
              <w:top w:val="single" w:color="auto" w:sz="4" w:space="0"/>
              <w:left w:val="single" w:color="auto" w:sz="4" w:space="0"/>
              <w:bottom w:val="single" w:color="auto" w:sz="4" w:space="0"/>
              <w:right w:val="single" w:color="auto" w:sz="4" w:space="0"/>
            </w:tcBorders>
            <w:noWrap w:val="0"/>
            <w:vAlign w:val="center"/>
          </w:tcPr>
          <w:p w14:paraId="51B98B3B">
            <w:pPr>
              <w:spacing w:line="360" w:lineRule="auto"/>
              <w:jc w:val="center"/>
              <w:rPr>
                <w:rFonts w:hint="eastAsia"/>
                <w:b/>
                <w:bCs/>
                <w:color w:val="auto"/>
                <w:highlight w:val="none"/>
                <w:lang w:eastAsia="zh-CN"/>
              </w:rPr>
            </w:pPr>
            <w:r>
              <w:rPr>
                <w:rFonts w:hint="eastAsia"/>
                <w:b/>
                <w:bCs/>
                <w:color w:val="auto"/>
                <w:highlight w:val="none"/>
                <w:lang w:eastAsia="zh-CN"/>
              </w:rPr>
              <w:t>履约保证金</w:t>
            </w:r>
          </w:p>
        </w:tc>
        <w:tc>
          <w:tcPr>
            <w:tcW w:w="7512" w:type="dxa"/>
            <w:gridSpan w:val="2"/>
            <w:tcBorders>
              <w:top w:val="single" w:color="auto" w:sz="4" w:space="0"/>
              <w:left w:val="single" w:color="auto" w:sz="4" w:space="0"/>
              <w:bottom w:val="single" w:color="auto" w:sz="4" w:space="0"/>
              <w:right w:val="single" w:color="auto" w:sz="4" w:space="0"/>
            </w:tcBorders>
            <w:noWrap w:val="0"/>
            <w:vAlign w:val="center"/>
          </w:tcPr>
          <w:p w14:paraId="7BA1B286">
            <w:pPr>
              <w:spacing w:line="360" w:lineRule="auto"/>
              <w:ind w:firstLine="422" w:firstLineChars="200"/>
              <w:jc w:val="both"/>
              <w:rPr>
                <w:rFonts w:hint="eastAsia"/>
                <w:b/>
                <w:bCs/>
                <w:color w:val="auto"/>
                <w:highlight w:val="none"/>
                <w:lang w:eastAsia="zh-CN"/>
              </w:rPr>
            </w:pPr>
            <w:r>
              <w:rPr>
                <w:rFonts w:hint="eastAsia" w:ascii="宋体" w:hAnsi="宋体"/>
                <w:b/>
                <w:bCs/>
                <w:color w:val="auto"/>
                <w:szCs w:val="21"/>
                <w:highlight w:val="none"/>
              </w:rPr>
              <w:t>履约保证金金额：按分标合同暂定价的1.0 %计取。</w:t>
            </w:r>
            <w:r>
              <w:rPr>
                <w:rFonts w:hint="eastAsia" w:ascii="宋体" w:hAnsi="宋体" w:cs="Courier New"/>
                <w:b/>
                <w:color w:val="auto"/>
                <w:szCs w:val="21"/>
                <w:highlight w:val="none"/>
              </w:rPr>
              <w:t>合同暂定价=预算价×（1-中标优惠率）。</w:t>
            </w:r>
          </w:p>
        </w:tc>
      </w:tr>
      <w:tr w14:paraId="139D5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6" w:hRule="atLeast"/>
          <w:jc w:val="center"/>
        </w:trPr>
        <w:tc>
          <w:tcPr>
            <w:tcW w:w="1834" w:type="dxa"/>
            <w:gridSpan w:val="2"/>
            <w:tcBorders>
              <w:top w:val="single" w:color="auto" w:sz="4" w:space="0"/>
              <w:left w:val="single" w:color="auto" w:sz="4" w:space="0"/>
              <w:bottom w:val="single" w:color="auto" w:sz="4" w:space="0"/>
              <w:right w:val="single" w:color="auto" w:sz="4" w:space="0"/>
            </w:tcBorders>
            <w:noWrap w:val="0"/>
            <w:vAlign w:val="center"/>
          </w:tcPr>
          <w:p w14:paraId="490B11C8">
            <w:pPr>
              <w:spacing w:line="360" w:lineRule="auto"/>
              <w:jc w:val="center"/>
              <w:rPr>
                <w:rFonts w:hint="eastAsia"/>
                <w:b/>
                <w:bCs/>
                <w:color w:val="auto"/>
                <w:highlight w:val="none"/>
                <w:lang w:eastAsia="zh-CN"/>
              </w:rPr>
            </w:pPr>
            <w:r>
              <w:rPr>
                <w:rFonts w:hint="eastAsia"/>
                <w:b/>
                <w:bCs/>
                <w:color w:val="auto"/>
                <w:highlight w:val="none"/>
                <w:lang w:eastAsia="zh-CN"/>
              </w:rPr>
              <w:t>付款方式</w:t>
            </w:r>
          </w:p>
        </w:tc>
        <w:tc>
          <w:tcPr>
            <w:tcW w:w="7512" w:type="dxa"/>
            <w:gridSpan w:val="2"/>
            <w:tcBorders>
              <w:top w:val="single" w:color="auto" w:sz="4" w:space="0"/>
              <w:left w:val="single" w:color="auto" w:sz="4" w:space="0"/>
              <w:bottom w:val="single" w:color="auto" w:sz="4" w:space="0"/>
              <w:right w:val="single" w:color="auto" w:sz="4" w:space="0"/>
            </w:tcBorders>
            <w:noWrap w:val="0"/>
            <w:vAlign w:val="center"/>
          </w:tcPr>
          <w:p w14:paraId="7D9C70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结算方式为月结，营养餐费用由甲方按照各学校指定签收人签收的货物数据（和乙方签发的货物数据相符的原则）结算给乙方：乙方于次月5日前凭采购人指定签收人签字的签收单办理款项结算手续并出具正规发票给</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甲方收到各公司发票后统计汇总月度资金额，并于3个工作日内向区财政申请资金划拨，学校在财政拨付资金到位后3个工作日内通过对公账户结清上月货款。每学期</w:t>
            </w:r>
            <w:r>
              <w:rPr>
                <w:rFonts w:hint="eastAsia" w:ascii="宋体" w:hAnsi="宋体" w:eastAsia="宋体" w:cs="宋体"/>
                <w:color w:val="auto"/>
                <w:sz w:val="21"/>
                <w:szCs w:val="21"/>
                <w:highlight w:val="none"/>
              </w:rPr>
              <w:t>结束前一个月，甲方和乙方做好发货数和实际食用数的核对工作，</w:t>
            </w:r>
            <w:r>
              <w:rPr>
                <w:rFonts w:hint="eastAsia" w:ascii="宋体" w:hAnsi="宋体" w:eastAsia="宋体" w:cs="宋体"/>
                <w:color w:val="auto"/>
                <w:sz w:val="21"/>
                <w:szCs w:val="21"/>
                <w:highlight w:val="none"/>
                <w:lang w:val="en-US" w:eastAsia="zh-CN"/>
              </w:rPr>
              <w:t>要求达到每生每天不低于5元。</w:t>
            </w:r>
            <w:r>
              <w:rPr>
                <w:rFonts w:hint="eastAsia" w:ascii="宋体" w:hAnsi="宋体" w:eastAsia="宋体" w:cs="宋体"/>
                <w:color w:val="auto"/>
                <w:sz w:val="21"/>
                <w:szCs w:val="21"/>
                <w:highlight w:val="none"/>
              </w:rPr>
              <w:t>不足的货物数量</w:t>
            </w:r>
            <w:r>
              <w:rPr>
                <w:rFonts w:hint="eastAsia" w:ascii="宋体" w:hAnsi="宋体" w:eastAsia="宋体" w:cs="宋体"/>
                <w:color w:val="auto"/>
                <w:sz w:val="21"/>
                <w:szCs w:val="21"/>
                <w:highlight w:val="none"/>
                <w:lang w:val="en-US" w:eastAsia="zh-CN"/>
              </w:rPr>
              <w:t>按甲方的</w:t>
            </w:r>
            <w:r>
              <w:rPr>
                <w:rFonts w:hint="eastAsia" w:ascii="宋体" w:hAnsi="宋体" w:eastAsia="宋体" w:cs="宋体"/>
                <w:color w:val="auto"/>
                <w:sz w:val="21"/>
                <w:szCs w:val="21"/>
                <w:highlight w:val="none"/>
              </w:rPr>
              <w:t>实际</w:t>
            </w:r>
            <w:r>
              <w:rPr>
                <w:rFonts w:hint="eastAsia" w:ascii="宋体" w:hAnsi="宋体" w:eastAsia="宋体" w:cs="宋体"/>
                <w:color w:val="auto"/>
                <w:sz w:val="21"/>
                <w:szCs w:val="21"/>
                <w:highlight w:val="none"/>
                <w:lang w:val="en-US" w:eastAsia="zh-CN"/>
              </w:rPr>
              <w:t>需求决定是否需要补足</w:t>
            </w:r>
            <w:r>
              <w:rPr>
                <w:rFonts w:hint="eastAsia" w:ascii="宋体" w:hAnsi="宋体" w:eastAsia="宋体" w:cs="宋体"/>
                <w:color w:val="auto"/>
                <w:sz w:val="21"/>
                <w:szCs w:val="21"/>
                <w:highlight w:val="none"/>
              </w:rPr>
              <w:t>，甲方不负责乙方发货数多过合同规定的数量及产生的货款。</w:t>
            </w:r>
          </w:p>
          <w:p w14:paraId="20B120EF">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二）因农产品价格随市场波动较大，采购货物价格执行期限为每月1号至当月月末（遇到学期初首月或学期末最后一月开餐时间不超过10天的可以并入前、后月一起定价），乙方必须在每月25号前向甲方申报次月的价格，再由甲方组织成立学生营养改善计划食材价格询价议价小组和中标供应商代表、家长代表到防城区第一人民市场（含一建司市场）、防城区中心市场、天和超市、沃尔玛超市等部分大型超市进行询价并参考防城港市发改委、防城区发改局在相关网站公布或提供的物价作为参考定出询价结果，次月货物价格最终以询价结果并根据中标人报价的下浮系数计算出最终的结算价格，所定价格不能高于市场询价最高价。除货物需求一览表标注的蔬菜外，其余配送的蔬菜以时令蔬菜为主，但配送之前必须报送甲方和药监部门审批方可实施。结算价格=学生营养改善计划食材价格询价议价小组定价×（1-中标优惠率）。</w:t>
            </w:r>
          </w:p>
          <w:p w14:paraId="1F56F9B5">
            <w:pPr>
              <w:pStyle w:val="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）税费：本合同执行中相关的一切税费均由乙方负担。</w:t>
            </w:r>
          </w:p>
          <w:p w14:paraId="5E9D6D60">
            <w:pPr>
              <w:pStyle w:val="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当采购数量与实际使用数量不一致时，乙方应根据实际使用量供货，合同的最终结算金额按实际使用量乘以成交单价进行计算，但不得超出合同价的10%。</w:t>
            </w:r>
          </w:p>
          <w:p w14:paraId="5BBB908A">
            <w:pPr>
              <w:pStyle w:val="2"/>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付款方式：财政性资金按财政国库集中支付规定程序办理。</w:t>
            </w:r>
          </w:p>
          <w:p w14:paraId="03E2D24F">
            <w:pPr>
              <w:pStyle w:val="2"/>
              <w:snapToGrid w:val="0"/>
              <w:spacing w:line="360" w:lineRule="auto"/>
              <w:ind w:firstLine="420" w:firstLineChars="200"/>
              <w:rPr>
                <w:rFonts w:hint="eastAsia" w:ascii="宋体" w:hAnsi="宋体"/>
                <w:b/>
                <w:bCs/>
                <w:color w:val="auto"/>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）合同结算：</w:t>
            </w:r>
            <w:r>
              <w:rPr>
                <w:rFonts w:hint="eastAsia" w:ascii="宋体" w:hAnsi="宋体" w:eastAsia="宋体" w:cs="宋体"/>
                <w:color w:val="auto"/>
                <w:sz w:val="21"/>
                <w:szCs w:val="21"/>
                <w:highlight w:val="none"/>
                <w:lang w:val="en-US" w:eastAsia="zh-CN"/>
              </w:rPr>
              <w:t>结算时按照实际的配送工作量（配送天数、配送人数或数量要求的累计数）计算费用。结算价格=</w:t>
            </w:r>
            <w:r>
              <w:rPr>
                <w:rFonts w:hint="eastAsia" w:ascii="宋体" w:hAnsi="宋体" w:eastAsia="宋体" w:cs="宋体"/>
                <w:color w:val="auto"/>
                <w:sz w:val="21"/>
                <w:szCs w:val="21"/>
                <w:highlight w:val="none"/>
              </w:rPr>
              <w:t>学生营养改善计划食材价格询价议价小组</w:t>
            </w:r>
            <w:r>
              <w:rPr>
                <w:rFonts w:hint="eastAsia" w:ascii="宋体" w:hAnsi="宋体" w:eastAsia="宋体" w:cs="宋体"/>
                <w:color w:val="auto"/>
                <w:sz w:val="21"/>
                <w:szCs w:val="21"/>
                <w:highlight w:val="none"/>
                <w:lang w:val="en-US" w:eastAsia="zh-CN"/>
              </w:rPr>
              <w:t>定价×（1-中标优惠率）。</w:t>
            </w:r>
          </w:p>
        </w:tc>
      </w:tr>
      <w:tr w14:paraId="174E1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5" w:hRule="atLeast"/>
          <w:jc w:val="center"/>
        </w:trPr>
        <w:tc>
          <w:tcPr>
            <w:tcW w:w="1834" w:type="dxa"/>
            <w:gridSpan w:val="2"/>
            <w:tcBorders>
              <w:top w:val="single" w:color="auto" w:sz="4" w:space="0"/>
              <w:left w:val="single" w:color="auto" w:sz="4" w:space="0"/>
              <w:bottom w:val="single" w:color="auto" w:sz="4" w:space="0"/>
              <w:right w:val="single" w:color="auto" w:sz="4" w:space="0"/>
            </w:tcBorders>
            <w:noWrap w:val="0"/>
            <w:vAlign w:val="center"/>
          </w:tcPr>
          <w:p w14:paraId="0FB273E6">
            <w:pPr>
              <w:spacing w:line="360" w:lineRule="auto"/>
              <w:jc w:val="center"/>
              <w:rPr>
                <w:rFonts w:hint="eastAsia"/>
                <w:b/>
                <w:bCs/>
                <w:color w:val="auto"/>
                <w:highlight w:val="none"/>
                <w:lang w:eastAsia="zh-CN"/>
              </w:rPr>
            </w:pPr>
            <w:r>
              <w:rPr>
                <w:rFonts w:hint="eastAsia"/>
                <w:b/>
                <w:bCs/>
                <w:color w:val="auto"/>
                <w:highlight w:val="none"/>
              </w:rPr>
              <w:t>其他要求</w:t>
            </w:r>
          </w:p>
        </w:tc>
        <w:tc>
          <w:tcPr>
            <w:tcW w:w="7512" w:type="dxa"/>
            <w:gridSpan w:val="2"/>
            <w:tcBorders>
              <w:top w:val="single" w:color="auto" w:sz="4" w:space="0"/>
              <w:left w:val="single" w:color="auto" w:sz="4" w:space="0"/>
              <w:bottom w:val="single" w:color="auto" w:sz="4" w:space="0"/>
              <w:right w:val="single" w:color="auto" w:sz="4" w:space="0"/>
            </w:tcBorders>
            <w:noWrap w:val="0"/>
            <w:vAlign w:val="center"/>
          </w:tcPr>
          <w:p w14:paraId="631936BF">
            <w:pPr>
              <w:spacing w:line="360" w:lineRule="auto"/>
              <w:ind w:firstLine="420" w:firstLineChars="20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本项目各个分标需配送的绝大多数学校为偏远区域乡镇学校，各学校互相之间的距离远近不一，最远的相距有数十公里或近百公里路程，道路情况比较复杂。投标人应自行考量本项目实施的现实情况再进行投标，必要时投标前可自行进行现场踏勘，投标报价时须考虑投标风险，合理报价。</w:t>
            </w:r>
          </w:p>
          <w:p w14:paraId="1C3F275D">
            <w:pPr>
              <w:pStyle w:val="4"/>
              <w:spacing w:line="360" w:lineRule="auto"/>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2</w:t>
            </w:r>
            <w:r>
              <w:rPr>
                <w:rFonts w:hint="eastAsia" w:hAnsi="宋体" w:cs="宋体"/>
                <w:b/>
                <w:bCs/>
                <w:color w:val="auto"/>
                <w:sz w:val="21"/>
                <w:szCs w:val="21"/>
                <w:highlight w:val="none"/>
                <w:lang w:eastAsia="zh-CN"/>
              </w:rPr>
              <w:t>.</w:t>
            </w:r>
            <w:r>
              <w:rPr>
                <w:rFonts w:hint="eastAsia" w:hAnsi="宋体" w:cs="宋体"/>
                <w:b/>
                <w:bCs/>
                <w:color w:val="auto"/>
                <w:sz w:val="21"/>
                <w:szCs w:val="21"/>
                <w:highlight w:val="none"/>
              </w:rPr>
              <w:t>本项目合同履行期限为202</w:t>
            </w:r>
            <w:r>
              <w:rPr>
                <w:rFonts w:hint="eastAsia" w:hAnsi="宋体" w:cs="宋体"/>
                <w:b/>
                <w:bCs/>
                <w:color w:val="auto"/>
                <w:sz w:val="21"/>
                <w:szCs w:val="21"/>
                <w:highlight w:val="none"/>
                <w:lang w:val="en-US" w:eastAsia="zh-CN"/>
              </w:rPr>
              <w:t>5</w:t>
            </w:r>
            <w:r>
              <w:rPr>
                <w:rFonts w:hint="eastAsia" w:hAnsi="宋体" w:cs="宋体"/>
                <w:b/>
                <w:bCs/>
                <w:color w:val="auto"/>
                <w:sz w:val="21"/>
                <w:szCs w:val="21"/>
                <w:highlight w:val="none"/>
              </w:rPr>
              <w:t>年秋季学期开学至202</w:t>
            </w:r>
            <w:r>
              <w:rPr>
                <w:rFonts w:hint="eastAsia" w:hAnsi="宋体" w:cs="宋体"/>
                <w:b/>
                <w:bCs/>
                <w:color w:val="auto"/>
                <w:sz w:val="21"/>
                <w:szCs w:val="21"/>
                <w:highlight w:val="none"/>
                <w:lang w:val="en-US" w:eastAsia="zh-CN"/>
              </w:rPr>
              <w:t>6</w:t>
            </w:r>
            <w:r>
              <w:rPr>
                <w:rFonts w:hint="eastAsia" w:hAnsi="宋体" w:cs="宋体"/>
                <w:b/>
                <w:bCs/>
                <w:color w:val="auto"/>
                <w:sz w:val="21"/>
                <w:szCs w:val="21"/>
                <w:highlight w:val="none"/>
              </w:rPr>
              <w:t>年春季学期结束，</w:t>
            </w:r>
            <w:r>
              <w:rPr>
                <w:rFonts w:hint="eastAsia" w:ascii="宋体" w:hAnsi="宋体" w:cs="宋体"/>
                <w:b/>
                <w:bCs/>
                <w:color w:val="auto"/>
                <w:sz w:val="21"/>
                <w:szCs w:val="21"/>
                <w:highlight w:val="none"/>
              </w:rPr>
              <w:t>合同</w:t>
            </w:r>
            <w:r>
              <w:rPr>
                <w:rFonts w:hint="eastAsia" w:hAnsi="宋体" w:cs="宋体"/>
                <w:b/>
                <w:bCs/>
                <w:color w:val="auto"/>
                <w:sz w:val="21"/>
                <w:szCs w:val="21"/>
                <w:highlight w:val="none"/>
              </w:rPr>
              <w:t>签订后</w:t>
            </w:r>
            <w:r>
              <w:rPr>
                <w:rFonts w:hint="eastAsia" w:ascii="宋体" w:hAnsi="宋体" w:cs="宋体"/>
                <w:b/>
                <w:bCs/>
                <w:color w:val="auto"/>
                <w:sz w:val="21"/>
                <w:szCs w:val="21"/>
                <w:highlight w:val="none"/>
              </w:rPr>
              <w:t>，因不可抗力事件</w:t>
            </w:r>
            <w:r>
              <w:rPr>
                <w:rFonts w:hint="eastAsia" w:hAnsi="宋体" w:cs="宋体"/>
                <w:b/>
                <w:bCs/>
                <w:color w:val="auto"/>
                <w:sz w:val="21"/>
                <w:szCs w:val="21"/>
                <w:highlight w:val="none"/>
              </w:rPr>
              <w:t>（如受疫情影响延期开学时间）</w:t>
            </w:r>
            <w:r>
              <w:rPr>
                <w:rFonts w:hint="eastAsia" w:ascii="宋体" w:hAnsi="宋体" w:cs="宋体"/>
                <w:b/>
                <w:bCs/>
                <w:color w:val="auto"/>
                <w:sz w:val="21"/>
                <w:szCs w:val="21"/>
                <w:highlight w:val="none"/>
              </w:rPr>
              <w:t>导致</w:t>
            </w:r>
            <w:r>
              <w:rPr>
                <w:rFonts w:hint="eastAsia" w:hAnsi="宋体" w:cs="宋体"/>
                <w:b/>
                <w:bCs/>
                <w:color w:val="auto"/>
                <w:sz w:val="21"/>
                <w:szCs w:val="21"/>
                <w:highlight w:val="none"/>
              </w:rPr>
              <w:t>中标人合同无法</w:t>
            </w:r>
            <w:r>
              <w:rPr>
                <w:rFonts w:hint="eastAsia" w:ascii="宋体" w:hAnsi="宋体" w:cs="宋体"/>
                <w:b/>
                <w:bCs/>
                <w:color w:val="auto"/>
                <w:sz w:val="21"/>
                <w:szCs w:val="21"/>
                <w:highlight w:val="none"/>
              </w:rPr>
              <w:t>履行</w:t>
            </w:r>
            <w:r>
              <w:rPr>
                <w:rFonts w:hint="eastAsia" w:hAnsi="宋体" w:cs="宋体"/>
                <w:b/>
                <w:bCs/>
                <w:color w:val="auto"/>
                <w:sz w:val="21"/>
                <w:szCs w:val="21"/>
                <w:highlight w:val="none"/>
              </w:rPr>
              <w:t>或开展，至202</w:t>
            </w:r>
            <w:r>
              <w:rPr>
                <w:rFonts w:hint="eastAsia" w:hAnsi="宋体" w:cs="宋体"/>
                <w:b/>
                <w:bCs/>
                <w:color w:val="auto"/>
                <w:sz w:val="21"/>
                <w:szCs w:val="21"/>
                <w:highlight w:val="none"/>
                <w:lang w:val="en-US" w:eastAsia="zh-CN"/>
              </w:rPr>
              <w:t>6</w:t>
            </w:r>
            <w:r>
              <w:rPr>
                <w:rFonts w:hint="eastAsia" w:hAnsi="宋体" w:cs="宋体"/>
                <w:b/>
                <w:bCs/>
                <w:color w:val="auto"/>
                <w:sz w:val="21"/>
                <w:szCs w:val="21"/>
                <w:highlight w:val="none"/>
              </w:rPr>
              <w:t>年春季学期结束，中标人配送的金额不足合同暂定价的60%的</w:t>
            </w:r>
            <w:r>
              <w:rPr>
                <w:rFonts w:hint="eastAsia" w:ascii="宋体" w:hAnsi="宋体" w:cs="宋体"/>
                <w:b/>
                <w:bCs/>
                <w:color w:val="auto"/>
                <w:sz w:val="21"/>
                <w:szCs w:val="21"/>
                <w:highlight w:val="none"/>
              </w:rPr>
              <w:t>，</w:t>
            </w:r>
            <w:r>
              <w:rPr>
                <w:rFonts w:hint="eastAsia" w:hAnsi="宋体" w:cs="宋体"/>
                <w:b/>
                <w:bCs/>
                <w:color w:val="auto"/>
                <w:sz w:val="21"/>
                <w:szCs w:val="21"/>
                <w:highlight w:val="none"/>
              </w:rPr>
              <w:t>经采购人同意，</w:t>
            </w:r>
            <w:r>
              <w:rPr>
                <w:rFonts w:hint="eastAsia" w:ascii="宋体" w:hAnsi="宋体" w:cs="宋体"/>
                <w:b/>
                <w:bCs/>
                <w:color w:val="auto"/>
                <w:sz w:val="21"/>
                <w:szCs w:val="21"/>
                <w:highlight w:val="none"/>
              </w:rPr>
              <w:t>则合同履行</w:t>
            </w:r>
            <w:r>
              <w:rPr>
                <w:rFonts w:hint="eastAsia" w:hAnsi="宋体" w:cs="宋体"/>
                <w:b/>
                <w:bCs/>
                <w:color w:val="auto"/>
                <w:sz w:val="21"/>
                <w:szCs w:val="21"/>
                <w:highlight w:val="none"/>
              </w:rPr>
              <w:t>服务期</w:t>
            </w:r>
            <w:r>
              <w:rPr>
                <w:rFonts w:hint="eastAsia" w:ascii="宋体" w:hAnsi="宋体" w:cs="宋体"/>
                <w:b/>
                <w:bCs/>
                <w:color w:val="auto"/>
                <w:sz w:val="21"/>
                <w:szCs w:val="21"/>
                <w:highlight w:val="none"/>
              </w:rPr>
              <w:t>可</w:t>
            </w:r>
            <w:r>
              <w:rPr>
                <w:rFonts w:hint="eastAsia" w:hAnsi="宋体" w:cs="宋体"/>
                <w:b/>
                <w:bCs/>
                <w:color w:val="auto"/>
                <w:sz w:val="21"/>
                <w:szCs w:val="21"/>
                <w:highlight w:val="none"/>
              </w:rPr>
              <w:t>延期至202</w:t>
            </w:r>
            <w:r>
              <w:rPr>
                <w:rFonts w:hint="eastAsia" w:hAnsi="宋体" w:cs="宋体"/>
                <w:b/>
                <w:bCs/>
                <w:color w:val="auto"/>
                <w:sz w:val="21"/>
                <w:szCs w:val="21"/>
                <w:highlight w:val="none"/>
                <w:lang w:val="en-US" w:eastAsia="zh-CN"/>
              </w:rPr>
              <w:t>6</w:t>
            </w:r>
            <w:r>
              <w:rPr>
                <w:rFonts w:hint="eastAsia" w:hAnsi="宋体" w:cs="宋体"/>
                <w:b/>
                <w:bCs/>
                <w:color w:val="auto"/>
                <w:sz w:val="21"/>
                <w:szCs w:val="21"/>
                <w:highlight w:val="none"/>
              </w:rPr>
              <w:t>年秋季学期结束；如果至202</w:t>
            </w:r>
            <w:r>
              <w:rPr>
                <w:rFonts w:hint="eastAsia" w:hAnsi="宋体" w:cs="宋体"/>
                <w:b/>
                <w:bCs/>
                <w:color w:val="auto"/>
                <w:sz w:val="21"/>
                <w:szCs w:val="21"/>
                <w:highlight w:val="none"/>
                <w:lang w:val="en-US" w:eastAsia="zh-CN"/>
              </w:rPr>
              <w:t>6</w:t>
            </w:r>
            <w:r>
              <w:rPr>
                <w:rFonts w:hint="eastAsia" w:hAnsi="宋体" w:cs="宋体"/>
                <w:b/>
                <w:bCs/>
                <w:color w:val="auto"/>
                <w:sz w:val="21"/>
                <w:szCs w:val="21"/>
                <w:highlight w:val="none"/>
              </w:rPr>
              <w:t>年春季学期结束，中标人配送的金额已经达到合同暂定价的60%</w:t>
            </w:r>
            <w:r>
              <w:rPr>
                <w:rFonts w:hint="eastAsia" w:ascii="宋体" w:hAnsi="宋体" w:cs="宋体"/>
                <w:b/>
                <w:bCs/>
                <w:color w:val="auto"/>
                <w:sz w:val="21"/>
                <w:szCs w:val="21"/>
                <w:highlight w:val="none"/>
              </w:rPr>
              <w:t>及以上，则合同按期终止，</w:t>
            </w:r>
            <w:r>
              <w:rPr>
                <w:rFonts w:hint="eastAsia" w:hAnsi="宋体" w:cs="宋体"/>
                <w:b/>
                <w:bCs/>
                <w:color w:val="auto"/>
                <w:sz w:val="21"/>
                <w:szCs w:val="21"/>
                <w:highlight w:val="none"/>
              </w:rPr>
              <w:t>不做任何延期。投标人应自行考虑合同履约风险后再进行投标。</w:t>
            </w:r>
          </w:p>
          <w:p w14:paraId="01DEE358">
            <w:pPr>
              <w:pStyle w:val="4"/>
              <w:spacing w:line="360" w:lineRule="auto"/>
              <w:ind w:firstLine="420" w:firstLineChars="200"/>
              <w:rPr>
                <w:rFonts w:hint="eastAsia"/>
                <w:color w:val="auto"/>
                <w:sz w:val="21"/>
                <w:szCs w:val="24"/>
                <w:highlight w:val="none"/>
              </w:rPr>
            </w:pPr>
            <w:r>
              <w:rPr>
                <w:rFonts w:hint="eastAsia" w:hAnsi="宋体" w:cs="宋体"/>
                <w:color w:val="auto"/>
                <w:sz w:val="21"/>
                <w:szCs w:val="21"/>
                <w:highlight w:val="none"/>
              </w:rPr>
              <w:t>3</w:t>
            </w:r>
            <w:r>
              <w:rPr>
                <w:rFonts w:hint="eastAsia" w:hAnsi="宋体" w:cs="宋体"/>
                <w:color w:val="auto"/>
                <w:sz w:val="21"/>
                <w:szCs w:val="21"/>
                <w:highlight w:val="none"/>
                <w:lang w:eastAsia="zh-CN"/>
              </w:rPr>
              <w:t>.</w:t>
            </w:r>
            <w:r>
              <w:rPr>
                <w:rFonts w:hint="eastAsia"/>
                <w:color w:val="auto"/>
                <w:sz w:val="21"/>
                <w:szCs w:val="24"/>
                <w:highlight w:val="none"/>
              </w:rPr>
              <w:t>合法开展经营活动要求：投标人中标后必须按相关法律法规合法开展本项目经营活动，否则将报送采购监管部门进行处理。如对招标人造成损失的，招标人可依法追究其相应责任。排名第一的中标候选人放弃中标、或因不可抗力提出不能履行合同，或者招标文件规定应当提交履约保证金而在规定的期限内未能提交的，招标人可以确定评标排名第二的中标候选人为中标人。排名第二的中标候选人因前款规定的同样原因不能签订合同的，招标人可以确定排名第三的中标候选人为中标人，其余以此类推，也可以重新招标。</w:t>
            </w:r>
          </w:p>
          <w:p w14:paraId="5F443338">
            <w:pPr>
              <w:pStyle w:val="4"/>
              <w:spacing w:line="360" w:lineRule="auto"/>
              <w:ind w:firstLine="420" w:firstLineChars="200"/>
              <w:rPr>
                <w:rFonts w:hint="eastAsia"/>
                <w:color w:val="auto"/>
                <w:sz w:val="21"/>
                <w:szCs w:val="24"/>
                <w:highlight w:val="none"/>
              </w:rPr>
            </w:pPr>
            <w:r>
              <w:rPr>
                <w:rFonts w:hint="eastAsia"/>
                <w:color w:val="auto"/>
                <w:sz w:val="21"/>
                <w:szCs w:val="24"/>
                <w:highlight w:val="none"/>
              </w:rPr>
              <w:t>4</w:t>
            </w:r>
            <w:r>
              <w:rPr>
                <w:rFonts w:hint="eastAsia"/>
                <w:color w:val="auto"/>
                <w:sz w:val="21"/>
                <w:szCs w:val="24"/>
                <w:highlight w:val="none"/>
                <w:lang w:eastAsia="zh-CN"/>
              </w:rPr>
              <w:t>.</w:t>
            </w:r>
            <w:r>
              <w:rPr>
                <w:rFonts w:hint="eastAsia"/>
                <w:color w:val="auto"/>
                <w:sz w:val="21"/>
                <w:szCs w:val="24"/>
                <w:highlight w:val="none"/>
              </w:rPr>
              <w:t>中标人履约期间，如有以下情形之一的，视为中标人违约，采购人有权终止合同。</w:t>
            </w:r>
          </w:p>
          <w:p w14:paraId="4B14DCEC">
            <w:pPr>
              <w:pStyle w:val="4"/>
              <w:spacing w:line="360" w:lineRule="auto"/>
              <w:rPr>
                <w:rFonts w:hint="eastAsia"/>
                <w:color w:val="auto"/>
                <w:sz w:val="21"/>
                <w:szCs w:val="24"/>
                <w:highlight w:val="none"/>
              </w:rPr>
            </w:pPr>
            <w:r>
              <w:rPr>
                <w:rFonts w:hint="eastAsia"/>
                <w:color w:val="auto"/>
                <w:sz w:val="21"/>
                <w:szCs w:val="24"/>
                <w:highlight w:val="none"/>
              </w:rPr>
              <w:t>（1）严重违法违规，被食品安全监管部门或其他部门处罚的；</w:t>
            </w:r>
          </w:p>
          <w:p w14:paraId="76989666">
            <w:pPr>
              <w:pStyle w:val="4"/>
              <w:spacing w:line="360" w:lineRule="auto"/>
              <w:rPr>
                <w:rFonts w:hint="eastAsia"/>
                <w:color w:val="auto"/>
                <w:sz w:val="21"/>
                <w:szCs w:val="24"/>
                <w:highlight w:val="none"/>
              </w:rPr>
            </w:pPr>
            <w:r>
              <w:rPr>
                <w:rFonts w:hint="eastAsia"/>
                <w:color w:val="auto"/>
                <w:sz w:val="21"/>
                <w:szCs w:val="24"/>
                <w:highlight w:val="none"/>
              </w:rPr>
              <w:t>（2）虚开发票，套取资金，被纪委、监察、审计、财政、物价、教育等有关部门查实的；</w:t>
            </w:r>
          </w:p>
          <w:p w14:paraId="0A8A834D">
            <w:pPr>
              <w:pStyle w:val="4"/>
              <w:spacing w:line="360" w:lineRule="auto"/>
              <w:rPr>
                <w:rFonts w:hint="eastAsia"/>
                <w:color w:val="auto"/>
                <w:sz w:val="21"/>
                <w:szCs w:val="24"/>
                <w:highlight w:val="none"/>
              </w:rPr>
            </w:pPr>
            <w:r>
              <w:rPr>
                <w:rFonts w:hint="eastAsia"/>
                <w:color w:val="auto"/>
                <w:sz w:val="21"/>
                <w:szCs w:val="24"/>
                <w:highlight w:val="none"/>
              </w:rPr>
              <w:t>（3）因食品原材料问题而发生学校食品安全事故，造成不良后果的；</w:t>
            </w:r>
          </w:p>
          <w:p w14:paraId="4247E1E3">
            <w:pPr>
              <w:pStyle w:val="4"/>
              <w:spacing w:line="360" w:lineRule="auto"/>
              <w:rPr>
                <w:rFonts w:hint="eastAsia"/>
                <w:color w:val="auto"/>
                <w:sz w:val="21"/>
                <w:szCs w:val="24"/>
                <w:highlight w:val="none"/>
              </w:rPr>
            </w:pPr>
            <w:r>
              <w:rPr>
                <w:rFonts w:hint="eastAsia"/>
                <w:color w:val="auto"/>
                <w:sz w:val="21"/>
                <w:szCs w:val="24"/>
                <w:highlight w:val="none"/>
              </w:rPr>
              <w:t>（4）被食品药品监督局、农业局抽检食品原材料发现存在严重质量问题的；</w:t>
            </w:r>
          </w:p>
          <w:p w14:paraId="7DDA65F3">
            <w:pPr>
              <w:pStyle w:val="4"/>
              <w:spacing w:line="360" w:lineRule="auto"/>
              <w:rPr>
                <w:rFonts w:hint="eastAsia"/>
                <w:color w:val="auto"/>
                <w:sz w:val="21"/>
                <w:szCs w:val="24"/>
                <w:highlight w:val="none"/>
              </w:rPr>
            </w:pPr>
            <w:r>
              <w:rPr>
                <w:rFonts w:hint="eastAsia"/>
                <w:color w:val="auto"/>
                <w:sz w:val="21"/>
                <w:szCs w:val="24"/>
                <w:highlight w:val="none"/>
              </w:rPr>
              <w:t>（5）被媒体曝光，造成不良社会影响的；</w:t>
            </w:r>
          </w:p>
          <w:p w14:paraId="5A11F699">
            <w:pPr>
              <w:pStyle w:val="4"/>
              <w:spacing w:line="360" w:lineRule="auto"/>
              <w:rPr>
                <w:rFonts w:hint="eastAsia"/>
                <w:color w:val="auto"/>
                <w:sz w:val="21"/>
                <w:szCs w:val="24"/>
                <w:highlight w:val="none"/>
              </w:rPr>
            </w:pPr>
            <w:r>
              <w:rPr>
                <w:rFonts w:hint="eastAsia"/>
                <w:color w:val="auto"/>
                <w:sz w:val="21"/>
                <w:szCs w:val="24"/>
                <w:highlight w:val="none"/>
              </w:rPr>
              <w:t>（6）被吊销或注销食品生产许可证或者食品经营许可证的；</w:t>
            </w:r>
          </w:p>
          <w:p w14:paraId="2C06123F">
            <w:pPr>
              <w:pStyle w:val="4"/>
              <w:spacing w:line="360" w:lineRule="auto"/>
              <w:rPr>
                <w:rFonts w:hint="eastAsia"/>
                <w:color w:val="auto"/>
                <w:sz w:val="21"/>
                <w:szCs w:val="24"/>
                <w:highlight w:val="none"/>
              </w:rPr>
            </w:pPr>
            <w:r>
              <w:rPr>
                <w:rFonts w:hint="eastAsia"/>
                <w:color w:val="auto"/>
                <w:sz w:val="21"/>
                <w:szCs w:val="24"/>
                <w:highlight w:val="none"/>
              </w:rPr>
              <w:t>（7）存在严重短斤缺两行为的；</w:t>
            </w:r>
          </w:p>
          <w:p w14:paraId="00210DB1">
            <w:pPr>
              <w:pStyle w:val="4"/>
              <w:spacing w:line="360" w:lineRule="auto"/>
              <w:rPr>
                <w:rFonts w:hint="eastAsia"/>
                <w:color w:val="auto"/>
                <w:sz w:val="21"/>
                <w:szCs w:val="24"/>
                <w:highlight w:val="none"/>
              </w:rPr>
            </w:pPr>
            <w:r>
              <w:rPr>
                <w:rFonts w:hint="eastAsia"/>
                <w:color w:val="auto"/>
                <w:sz w:val="21"/>
                <w:szCs w:val="24"/>
                <w:highlight w:val="none"/>
              </w:rPr>
              <w:t>（8）配送的学校评议配送服务不达标、不合格的；</w:t>
            </w:r>
          </w:p>
          <w:p w14:paraId="7BE4A82F">
            <w:pPr>
              <w:spacing w:line="360" w:lineRule="auto"/>
              <w:jc w:val="both"/>
              <w:rPr>
                <w:rFonts w:hint="eastAsia" w:ascii="宋体" w:hAnsi="宋体" w:cs="宋体"/>
                <w:b/>
                <w:bCs/>
                <w:color w:val="auto"/>
                <w:szCs w:val="21"/>
                <w:highlight w:val="none"/>
              </w:rPr>
            </w:pPr>
            <w:r>
              <w:rPr>
                <w:rFonts w:hint="eastAsia"/>
                <w:color w:val="auto"/>
                <w:sz w:val="21"/>
                <w:szCs w:val="24"/>
                <w:highlight w:val="none"/>
              </w:rPr>
              <w:t>（9）经行政主管部门认定违反学校食堂食品原材料采购配送规定的。</w:t>
            </w:r>
          </w:p>
        </w:tc>
      </w:tr>
      <w:tr w14:paraId="3168E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6" w:type="dxa"/>
            <w:gridSpan w:val="4"/>
            <w:tcBorders>
              <w:top w:val="single" w:color="auto" w:sz="4" w:space="0"/>
              <w:left w:val="single" w:color="auto" w:sz="4" w:space="0"/>
              <w:bottom w:val="single" w:color="auto" w:sz="4" w:space="0"/>
              <w:right w:val="single" w:color="auto" w:sz="4" w:space="0"/>
            </w:tcBorders>
            <w:noWrap w:val="0"/>
            <w:vAlign w:val="center"/>
          </w:tcPr>
          <w:p w14:paraId="652A8A46">
            <w:pPr>
              <w:spacing w:line="360" w:lineRule="auto"/>
              <w:jc w:val="both"/>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四</w:t>
            </w:r>
            <w:r>
              <w:rPr>
                <w:rFonts w:hint="eastAsia" w:ascii="宋体" w:hAnsi="宋体"/>
                <w:b/>
                <w:color w:val="auto"/>
                <w:szCs w:val="21"/>
                <w:highlight w:val="none"/>
              </w:rPr>
              <w:t>、核心产品</w:t>
            </w:r>
          </w:p>
        </w:tc>
      </w:tr>
      <w:tr w14:paraId="6AC82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6" w:type="dxa"/>
            <w:gridSpan w:val="4"/>
            <w:tcBorders>
              <w:top w:val="single" w:color="auto" w:sz="4" w:space="0"/>
              <w:left w:val="single" w:color="auto" w:sz="4" w:space="0"/>
              <w:bottom w:val="single" w:color="auto" w:sz="4" w:space="0"/>
              <w:right w:val="single" w:color="auto" w:sz="4" w:space="0"/>
            </w:tcBorders>
            <w:noWrap w:val="0"/>
            <w:vAlign w:val="center"/>
          </w:tcPr>
          <w:p w14:paraId="15E031BA">
            <w:pPr>
              <w:spacing w:line="360" w:lineRule="auto"/>
              <w:ind w:firstLine="422" w:firstLineChars="200"/>
              <w:jc w:val="both"/>
              <w:rPr>
                <w:rFonts w:hint="eastAsia" w:ascii="宋体" w:hAnsi="宋体"/>
                <w:b/>
                <w:color w:val="auto"/>
                <w:szCs w:val="21"/>
                <w:highlight w:val="none"/>
              </w:rPr>
            </w:pPr>
            <w:r>
              <w:rPr>
                <w:rFonts w:hint="eastAsia" w:ascii="宋体" w:hAnsi="宋体"/>
                <w:b/>
                <w:color w:val="auto"/>
                <w:szCs w:val="21"/>
                <w:highlight w:val="none"/>
                <w:lang w:val="en-US" w:eastAsia="zh-CN"/>
              </w:rPr>
              <w:t>1.</w:t>
            </w:r>
            <w:r>
              <w:rPr>
                <w:rFonts w:hint="eastAsia" w:ascii="宋体" w:hAnsi="宋体"/>
                <w:b/>
                <w:color w:val="auto"/>
                <w:szCs w:val="21"/>
                <w:highlight w:val="none"/>
              </w:rPr>
              <w:t>本</w:t>
            </w:r>
            <w:r>
              <w:rPr>
                <w:rFonts w:hint="eastAsia" w:ascii="宋体" w:hAnsi="宋体"/>
                <w:b/>
                <w:color w:val="auto"/>
                <w:szCs w:val="21"/>
                <w:highlight w:val="none"/>
                <w:lang w:val="en-US" w:eastAsia="zh-CN"/>
              </w:rPr>
              <w:t>项目</w:t>
            </w:r>
            <w:r>
              <w:rPr>
                <w:rFonts w:hint="eastAsia" w:ascii="宋体" w:hAnsi="宋体"/>
                <w:b/>
                <w:color w:val="auto"/>
                <w:szCs w:val="21"/>
                <w:highlight w:val="none"/>
              </w:rPr>
              <w:t>核心产品为第</w:t>
            </w:r>
            <w:r>
              <w:rPr>
                <w:rFonts w:hint="eastAsia" w:ascii="宋体" w:hAnsi="宋体"/>
                <w:b/>
                <w:color w:val="auto"/>
                <w:szCs w:val="21"/>
                <w:highlight w:val="none"/>
                <w:u w:val="single"/>
                <w:lang w:val="en-US" w:eastAsia="zh-CN"/>
              </w:rPr>
              <w:t>6</w:t>
            </w:r>
            <w:r>
              <w:rPr>
                <w:rFonts w:hint="eastAsia" w:ascii="宋体" w:hAnsi="宋体"/>
                <w:b/>
                <w:color w:val="auto"/>
                <w:szCs w:val="21"/>
                <w:highlight w:val="none"/>
              </w:rPr>
              <w:t>项</w:t>
            </w:r>
            <w:r>
              <w:rPr>
                <w:rFonts w:hint="eastAsia" w:ascii="宋体" w:hAnsi="宋体" w:eastAsia="宋体" w:cs="Times New Roman"/>
                <w:b/>
                <w:bCs/>
                <w:color w:val="auto"/>
                <w:highlight w:val="none"/>
              </w:rPr>
              <w:t>“</w:t>
            </w:r>
            <w:r>
              <w:rPr>
                <w:rFonts w:hint="eastAsia" w:ascii="宋体" w:hAnsi="宋体" w:eastAsia="宋体" w:cs="Times New Roman"/>
                <w:b/>
                <w:bCs/>
                <w:color w:val="auto"/>
                <w:highlight w:val="none"/>
                <w:u w:val="single"/>
                <w:lang w:val="en-US" w:eastAsia="zh-CN"/>
              </w:rPr>
              <w:t>大米</w:t>
            </w:r>
            <w:r>
              <w:rPr>
                <w:rFonts w:hint="eastAsia" w:ascii="宋体" w:hAnsi="宋体" w:eastAsia="宋体" w:cs="Times New Roman"/>
                <w:b/>
                <w:bCs/>
                <w:color w:val="auto"/>
                <w:highlight w:val="none"/>
              </w:rPr>
              <w:t>”</w:t>
            </w:r>
            <w:r>
              <w:rPr>
                <w:rFonts w:hint="eastAsia" w:ascii="宋体" w:hAnsi="宋体"/>
                <w:b/>
                <w:color w:val="auto"/>
                <w:szCs w:val="21"/>
                <w:highlight w:val="none"/>
              </w:rPr>
              <w:t>。</w:t>
            </w:r>
          </w:p>
          <w:p w14:paraId="02BF48A8">
            <w:pPr>
              <w:autoSpaceDE w:val="0"/>
              <w:autoSpaceDN w:val="0"/>
              <w:snapToGrid w:val="0"/>
              <w:spacing w:line="360" w:lineRule="auto"/>
              <w:ind w:firstLine="422" w:firstLineChars="200"/>
              <w:textAlignment w:val="bottom"/>
              <w:rPr>
                <w:rFonts w:hint="eastAsia" w:ascii="宋体" w:hAnsi="宋体" w:eastAsia="宋体" w:cs="宋体"/>
                <w:b/>
                <w:bCs/>
                <w:color w:val="auto"/>
                <w:sz w:val="21"/>
                <w:szCs w:val="21"/>
                <w:highlight w:val="none"/>
              </w:rPr>
            </w:pPr>
            <w:r>
              <w:rPr>
                <w:rFonts w:hint="eastAsia"/>
                <w:b/>
                <w:bCs/>
                <w:color w:val="auto"/>
                <w:highlight w:val="none"/>
                <w:lang w:val="en-US" w:eastAsia="zh-CN"/>
              </w:rPr>
              <w:t>2.</w:t>
            </w:r>
            <w:r>
              <w:rPr>
                <w:rFonts w:hint="eastAsia" w:ascii="宋体" w:hAnsi="宋体" w:eastAsia="宋体" w:cs="宋体"/>
                <w:b/>
                <w:bCs/>
                <w:color w:val="auto"/>
                <w:sz w:val="21"/>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180EC98">
            <w:pPr>
              <w:spacing w:line="360" w:lineRule="auto"/>
              <w:ind w:firstLine="422" w:firstLineChars="200"/>
              <w:jc w:val="both"/>
              <w:rPr>
                <w:rFonts w:hint="eastAsia" w:ascii="宋体" w:hAnsi="宋体"/>
                <w:b/>
                <w:color w:val="auto"/>
                <w:szCs w:val="21"/>
                <w:highlight w:val="none"/>
              </w:rPr>
            </w:pPr>
            <w:r>
              <w:rPr>
                <w:rFonts w:hint="eastAsia" w:ascii="宋体" w:hAnsi="宋体" w:eastAsia="宋体" w:cs="宋体"/>
                <w:b/>
                <w:bCs/>
                <w:color w:val="auto"/>
                <w:sz w:val="21"/>
                <w:szCs w:val="21"/>
                <w:highlight w:val="none"/>
              </w:rPr>
              <w:t>非单一产品采购项目，采购人应当根据采购项目技术构成、产品价格比重等合理确定核心产品，并在招标文件中载明。多家投标人提供的核心产品品牌相同的，按前款规定处理。</w:t>
            </w:r>
          </w:p>
        </w:tc>
      </w:tr>
      <w:tr w14:paraId="4EA1B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6" w:type="dxa"/>
            <w:gridSpan w:val="4"/>
            <w:tcBorders>
              <w:top w:val="single" w:color="auto" w:sz="4" w:space="0"/>
              <w:left w:val="single" w:color="auto" w:sz="4" w:space="0"/>
              <w:bottom w:val="single" w:color="auto" w:sz="4" w:space="0"/>
              <w:right w:val="single" w:color="auto" w:sz="4" w:space="0"/>
            </w:tcBorders>
            <w:noWrap w:val="0"/>
            <w:vAlign w:val="center"/>
          </w:tcPr>
          <w:p w14:paraId="0A7CE913">
            <w:pPr>
              <w:spacing w:line="360" w:lineRule="auto"/>
              <w:jc w:val="both"/>
              <w:rPr>
                <w:rFonts w:ascii="宋体" w:hAnsi="宋体"/>
                <w:color w:val="auto"/>
                <w:szCs w:val="21"/>
                <w:highlight w:val="none"/>
              </w:rPr>
            </w:pPr>
            <w:r>
              <w:rPr>
                <w:rFonts w:hint="eastAsia" w:ascii="宋体" w:hAnsi="宋体"/>
                <w:b/>
                <w:color w:val="auto"/>
                <w:szCs w:val="21"/>
                <w:highlight w:val="none"/>
                <w:lang w:val="en-US" w:eastAsia="zh-CN"/>
              </w:rPr>
              <w:t>五</w:t>
            </w:r>
            <w:r>
              <w:rPr>
                <w:rFonts w:hint="eastAsia" w:ascii="宋体" w:hAnsi="宋体"/>
                <w:b/>
                <w:color w:val="auto"/>
                <w:szCs w:val="21"/>
                <w:highlight w:val="none"/>
              </w:rPr>
              <w:t>、投标人的履约能力要求表</w:t>
            </w:r>
          </w:p>
        </w:tc>
      </w:tr>
      <w:tr w14:paraId="2834B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34" w:type="dxa"/>
            <w:gridSpan w:val="2"/>
            <w:tcBorders>
              <w:top w:val="single" w:color="auto" w:sz="4" w:space="0"/>
              <w:left w:val="single" w:color="auto" w:sz="4" w:space="0"/>
              <w:bottom w:val="single" w:color="auto" w:sz="4" w:space="0"/>
              <w:right w:val="single" w:color="auto" w:sz="4" w:space="0"/>
            </w:tcBorders>
            <w:noWrap w:val="0"/>
            <w:vAlign w:val="center"/>
          </w:tcPr>
          <w:p w14:paraId="366AB4F6">
            <w:pPr>
              <w:spacing w:line="360" w:lineRule="auto"/>
              <w:jc w:val="both"/>
              <w:rPr>
                <w:rFonts w:ascii="宋体" w:hAnsi="宋体"/>
                <w:color w:val="auto"/>
                <w:szCs w:val="21"/>
                <w:highlight w:val="none"/>
              </w:rPr>
            </w:pPr>
            <w:r>
              <w:rPr>
                <w:rFonts w:hint="eastAsia" w:ascii="宋体" w:hAnsi="宋体"/>
                <w:color w:val="auto"/>
                <w:szCs w:val="21"/>
                <w:highlight w:val="none"/>
              </w:rPr>
              <w:t>质量管理、企业信用要求</w:t>
            </w:r>
          </w:p>
        </w:tc>
        <w:tc>
          <w:tcPr>
            <w:tcW w:w="7512" w:type="dxa"/>
            <w:gridSpan w:val="2"/>
            <w:tcBorders>
              <w:top w:val="single" w:color="auto" w:sz="4" w:space="0"/>
              <w:left w:val="single" w:color="auto" w:sz="4" w:space="0"/>
              <w:bottom w:val="single" w:color="auto" w:sz="4" w:space="0"/>
              <w:right w:val="single" w:color="auto" w:sz="4" w:space="0"/>
            </w:tcBorders>
            <w:noWrap w:val="0"/>
            <w:vAlign w:val="center"/>
          </w:tcPr>
          <w:p w14:paraId="7A1FF804">
            <w:pPr>
              <w:spacing w:line="360" w:lineRule="auto"/>
              <w:jc w:val="both"/>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无</w:t>
            </w:r>
          </w:p>
        </w:tc>
      </w:tr>
      <w:tr w14:paraId="1BD31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34" w:type="dxa"/>
            <w:gridSpan w:val="2"/>
            <w:tcBorders>
              <w:top w:val="single" w:color="auto" w:sz="4" w:space="0"/>
              <w:left w:val="single" w:color="auto" w:sz="4" w:space="0"/>
              <w:bottom w:val="single" w:color="auto" w:sz="4" w:space="0"/>
              <w:right w:val="single" w:color="auto" w:sz="4" w:space="0"/>
            </w:tcBorders>
            <w:noWrap w:val="0"/>
            <w:vAlign w:val="center"/>
          </w:tcPr>
          <w:p w14:paraId="078E4739">
            <w:pPr>
              <w:spacing w:line="360" w:lineRule="auto"/>
              <w:jc w:val="both"/>
              <w:rPr>
                <w:rFonts w:ascii="宋体" w:hAnsi="宋体"/>
                <w:color w:val="auto"/>
                <w:szCs w:val="21"/>
                <w:highlight w:val="none"/>
              </w:rPr>
            </w:pPr>
            <w:r>
              <w:rPr>
                <w:rFonts w:hint="eastAsia" w:ascii="宋体" w:hAnsi="宋体"/>
                <w:color w:val="auto"/>
                <w:szCs w:val="21"/>
                <w:highlight w:val="none"/>
              </w:rPr>
              <w:t>能力或者业绩要求</w:t>
            </w:r>
          </w:p>
        </w:tc>
        <w:tc>
          <w:tcPr>
            <w:tcW w:w="7512" w:type="dxa"/>
            <w:gridSpan w:val="2"/>
            <w:tcBorders>
              <w:top w:val="single" w:color="auto" w:sz="4" w:space="0"/>
              <w:left w:val="single" w:color="auto" w:sz="4" w:space="0"/>
              <w:bottom w:val="single" w:color="auto" w:sz="4" w:space="0"/>
              <w:right w:val="single" w:color="auto" w:sz="4" w:space="0"/>
            </w:tcBorders>
            <w:noWrap w:val="0"/>
            <w:vAlign w:val="center"/>
          </w:tcPr>
          <w:p w14:paraId="04DE6FA6">
            <w:pPr>
              <w:spacing w:line="360" w:lineRule="auto"/>
              <w:jc w:val="both"/>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无</w:t>
            </w:r>
          </w:p>
        </w:tc>
      </w:tr>
      <w:tr w14:paraId="1DAB8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6" w:type="dxa"/>
            <w:gridSpan w:val="4"/>
            <w:tcBorders>
              <w:top w:val="single" w:color="auto" w:sz="4" w:space="0"/>
              <w:left w:val="single" w:color="auto" w:sz="4" w:space="0"/>
              <w:bottom w:val="single" w:color="auto" w:sz="4" w:space="0"/>
              <w:right w:val="single" w:color="auto" w:sz="4" w:space="0"/>
            </w:tcBorders>
            <w:noWrap w:val="0"/>
            <w:vAlign w:val="center"/>
          </w:tcPr>
          <w:p w14:paraId="1D9AC984">
            <w:pPr>
              <w:spacing w:line="360" w:lineRule="auto"/>
              <w:jc w:val="both"/>
              <w:rPr>
                <w:rFonts w:ascii="宋体" w:hAnsi="宋体"/>
                <w:b/>
                <w:color w:val="auto"/>
                <w:szCs w:val="21"/>
                <w:highlight w:val="none"/>
              </w:rPr>
            </w:pPr>
            <w:r>
              <w:rPr>
                <w:rFonts w:hint="eastAsia" w:ascii="宋体" w:hAnsi="宋体"/>
                <w:b/>
                <w:color w:val="auto"/>
                <w:szCs w:val="21"/>
                <w:highlight w:val="none"/>
                <w:lang w:val="en-US" w:eastAsia="zh-CN"/>
              </w:rPr>
              <w:t>六</w:t>
            </w:r>
            <w:r>
              <w:rPr>
                <w:rFonts w:hint="eastAsia" w:ascii="宋体" w:hAnsi="宋体"/>
                <w:b/>
                <w:color w:val="auto"/>
                <w:szCs w:val="21"/>
                <w:highlight w:val="none"/>
              </w:rPr>
              <w:t>、政策性加分条件</w:t>
            </w:r>
          </w:p>
        </w:tc>
      </w:tr>
      <w:tr w14:paraId="66166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34" w:type="dxa"/>
            <w:gridSpan w:val="2"/>
            <w:tcBorders>
              <w:top w:val="single" w:color="auto" w:sz="4" w:space="0"/>
              <w:left w:val="single" w:color="auto" w:sz="4" w:space="0"/>
              <w:bottom w:val="single" w:color="auto" w:sz="4" w:space="0"/>
              <w:right w:val="single" w:color="auto" w:sz="4" w:space="0"/>
            </w:tcBorders>
            <w:noWrap w:val="0"/>
            <w:vAlign w:val="center"/>
          </w:tcPr>
          <w:p w14:paraId="32698CAE">
            <w:pPr>
              <w:spacing w:line="360" w:lineRule="auto"/>
              <w:jc w:val="both"/>
              <w:rPr>
                <w:rFonts w:ascii="宋体" w:hAnsi="宋体"/>
                <w:color w:val="auto"/>
                <w:szCs w:val="21"/>
                <w:highlight w:val="none"/>
              </w:rPr>
            </w:pPr>
            <w:r>
              <w:rPr>
                <w:rFonts w:hint="eastAsia" w:ascii="宋体" w:hAnsi="宋体"/>
                <w:color w:val="auto"/>
                <w:szCs w:val="21"/>
                <w:highlight w:val="none"/>
              </w:rPr>
              <w:t>政策性加分条件</w:t>
            </w:r>
          </w:p>
        </w:tc>
        <w:tc>
          <w:tcPr>
            <w:tcW w:w="7512" w:type="dxa"/>
            <w:gridSpan w:val="2"/>
            <w:tcBorders>
              <w:top w:val="single" w:color="auto" w:sz="4" w:space="0"/>
              <w:left w:val="single" w:color="auto" w:sz="4" w:space="0"/>
              <w:bottom w:val="single" w:color="auto" w:sz="4" w:space="0"/>
              <w:right w:val="single" w:color="auto" w:sz="4" w:space="0"/>
            </w:tcBorders>
            <w:noWrap w:val="0"/>
            <w:vAlign w:val="center"/>
          </w:tcPr>
          <w:p w14:paraId="7026DBA2">
            <w:pPr>
              <w:spacing w:line="360" w:lineRule="auto"/>
              <w:jc w:val="both"/>
              <w:rPr>
                <w:rFonts w:hint="eastAsia" w:ascii="宋体" w:hAnsi="宋体" w:eastAsia="宋体"/>
                <w:color w:val="auto"/>
                <w:szCs w:val="21"/>
                <w:highlight w:val="none"/>
                <w:lang w:eastAsia="zh-CN"/>
              </w:rPr>
            </w:pPr>
            <w:r>
              <w:rPr>
                <w:rFonts w:hint="eastAsia" w:ascii="宋体" w:hAnsi="宋体"/>
                <w:color w:val="auto"/>
                <w:szCs w:val="21"/>
                <w:highlight w:val="none"/>
              </w:rPr>
              <w:t>符合节能环保等国家政策要求。</w:t>
            </w:r>
            <w:r>
              <w:rPr>
                <w:rFonts w:hint="eastAsia" w:ascii="宋体" w:hAnsi="宋体"/>
                <w:color w:val="auto"/>
                <w:szCs w:val="21"/>
                <w:highlight w:val="none"/>
                <w:lang w:eastAsia="zh-CN"/>
              </w:rPr>
              <w:t>本项目无</w:t>
            </w:r>
            <w:r>
              <w:rPr>
                <w:rFonts w:hint="eastAsia" w:ascii="宋体" w:hAnsi="宋体"/>
                <w:color w:val="auto"/>
                <w:szCs w:val="21"/>
                <w:highlight w:val="none"/>
              </w:rPr>
              <w:t>节能环保</w:t>
            </w:r>
            <w:r>
              <w:rPr>
                <w:rFonts w:hint="eastAsia" w:ascii="宋体" w:hAnsi="宋体"/>
                <w:color w:val="auto"/>
                <w:szCs w:val="21"/>
                <w:highlight w:val="none"/>
                <w:lang w:eastAsia="zh-CN"/>
              </w:rPr>
              <w:t>要求。</w:t>
            </w:r>
          </w:p>
        </w:tc>
      </w:tr>
      <w:tr w14:paraId="5DA23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34" w:type="dxa"/>
            <w:gridSpan w:val="2"/>
            <w:tcBorders>
              <w:top w:val="single" w:color="auto" w:sz="4" w:space="0"/>
              <w:left w:val="single" w:color="auto" w:sz="4" w:space="0"/>
              <w:bottom w:val="single" w:color="auto" w:sz="4" w:space="0"/>
              <w:right w:val="single" w:color="auto" w:sz="4" w:space="0"/>
            </w:tcBorders>
            <w:noWrap w:val="0"/>
            <w:vAlign w:val="center"/>
          </w:tcPr>
          <w:p w14:paraId="367839A2">
            <w:pPr>
              <w:spacing w:line="360" w:lineRule="auto"/>
              <w:jc w:val="both"/>
              <w:rPr>
                <w:rFonts w:hint="eastAsia" w:ascii="宋体" w:hAnsi="宋体"/>
                <w:color w:val="auto"/>
                <w:szCs w:val="21"/>
                <w:highlight w:val="none"/>
              </w:rPr>
            </w:pPr>
            <w:r>
              <w:rPr>
                <w:rFonts w:hint="eastAsia" w:ascii="宋体" w:hAnsi="宋体"/>
                <w:b/>
                <w:color w:val="auto"/>
                <w:szCs w:val="21"/>
                <w:highlight w:val="none"/>
                <w:lang w:val="en-US" w:eastAsia="zh-CN"/>
              </w:rPr>
              <w:t>七</w:t>
            </w:r>
            <w:r>
              <w:rPr>
                <w:rFonts w:hint="eastAsia" w:ascii="宋体" w:hAnsi="宋体"/>
                <w:b/>
                <w:color w:val="auto"/>
                <w:szCs w:val="21"/>
                <w:highlight w:val="none"/>
              </w:rPr>
              <w:t>、其他要求</w:t>
            </w:r>
          </w:p>
        </w:tc>
        <w:tc>
          <w:tcPr>
            <w:tcW w:w="7512" w:type="dxa"/>
            <w:gridSpan w:val="2"/>
            <w:tcBorders>
              <w:top w:val="single" w:color="auto" w:sz="4" w:space="0"/>
              <w:left w:val="single" w:color="auto" w:sz="4" w:space="0"/>
              <w:bottom w:val="single" w:color="auto" w:sz="4" w:space="0"/>
              <w:right w:val="single" w:color="auto" w:sz="4" w:space="0"/>
            </w:tcBorders>
            <w:noWrap w:val="0"/>
            <w:vAlign w:val="center"/>
          </w:tcPr>
          <w:p w14:paraId="2BC13A2B">
            <w:pPr>
              <w:spacing w:line="360" w:lineRule="auto"/>
              <w:jc w:val="both"/>
              <w:rPr>
                <w:rFonts w:ascii="宋体" w:hAnsi="宋体"/>
                <w:color w:val="auto"/>
                <w:szCs w:val="21"/>
                <w:highlight w:val="none"/>
              </w:rPr>
            </w:pPr>
            <w:r>
              <w:rPr>
                <w:rFonts w:hint="eastAsia" w:ascii="宋体" w:hAnsi="宋体"/>
                <w:color w:val="auto"/>
                <w:szCs w:val="21"/>
                <w:highlight w:val="none"/>
                <w:lang w:eastAsia="zh-CN"/>
              </w:rPr>
              <w:t>投标人具有有效的《食品生产许可证》或《食品经营许可证》。</w:t>
            </w:r>
          </w:p>
        </w:tc>
      </w:tr>
      <w:tr w14:paraId="2247D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6" w:type="dxa"/>
            <w:gridSpan w:val="4"/>
            <w:tcBorders>
              <w:top w:val="single" w:color="auto" w:sz="4" w:space="0"/>
              <w:left w:val="single" w:color="auto" w:sz="4" w:space="0"/>
              <w:bottom w:val="single" w:color="auto" w:sz="4" w:space="0"/>
              <w:right w:val="single" w:color="auto" w:sz="4" w:space="0"/>
            </w:tcBorders>
            <w:noWrap w:val="0"/>
            <w:vAlign w:val="center"/>
          </w:tcPr>
          <w:p w14:paraId="26BF8C7B">
            <w:pPr>
              <w:spacing w:line="360" w:lineRule="auto"/>
              <w:jc w:val="both"/>
              <w:rPr>
                <w:rFonts w:ascii="宋体" w:hAnsi="宋体"/>
                <w:color w:val="auto"/>
                <w:szCs w:val="21"/>
                <w:highlight w:val="none"/>
              </w:rPr>
            </w:pPr>
            <w:r>
              <w:rPr>
                <w:rFonts w:hint="eastAsia" w:ascii="宋体" w:hAnsi="宋体"/>
                <w:b/>
                <w:color w:val="auto"/>
                <w:szCs w:val="21"/>
                <w:highlight w:val="none"/>
                <w:lang w:val="en-US" w:eastAsia="zh-CN"/>
              </w:rPr>
              <w:t>八</w:t>
            </w:r>
            <w:r>
              <w:rPr>
                <w:rFonts w:hint="eastAsia" w:ascii="宋体" w:hAnsi="宋体"/>
                <w:b/>
                <w:color w:val="auto"/>
                <w:szCs w:val="21"/>
                <w:highlight w:val="none"/>
              </w:rPr>
              <w:t>、进口产品说明</w:t>
            </w:r>
          </w:p>
        </w:tc>
      </w:tr>
      <w:tr w14:paraId="110D1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34" w:type="dxa"/>
            <w:gridSpan w:val="2"/>
            <w:tcBorders>
              <w:top w:val="single" w:color="auto" w:sz="4" w:space="0"/>
              <w:left w:val="single" w:color="auto" w:sz="4" w:space="0"/>
              <w:bottom w:val="single" w:color="auto" w:sz="4" w:space="0"/>
              <w:right w:val="single" w:color="auto" w:sz="4" w:space="0"/>
            </w:tcBorders>
            <w:noWrap w:val="0"/>
            <w:vAlign w:val="center"/>
          </w:tcPr>
          <w:p w14:paraId="0A9B4A30">
            <w:pPr>
              <w:spacing w:line="360" w:lineRule="auto"/>
              <w:jc w:val="both"/>
              <w:rPr>
                <w:rFonts w:ascii="宋体" w:hAnsi="宋体"/>
                <w:color w:val="auto"/>
                <w:szCs w:val="21"/>
                <w:highlight w:val="none"/>
              </w:rPr>
            </w:pPr>
            <w:r>
              <w:rPr>
                <w:rFonts w:hint="eastAsia" w:ascii="宋体" w:hAnsi="宋体"/>
                <w:color w:val="auto"/>
                <w:szCs w:val="21"/>
                <w:highlight w:val="none"/>
              </w:rPr>
              <w:t>进口产品说明</w:t>
            </w:r>
          </w:p>
        </w:tc>
        <w:tc>
          <w:tcPr>
            <w:tcW w:w="7512" w:type="dxa"/>
            <w:gridSpan w:val="2"/>
            <w:tcBorders>
              <w:top w:val="single" w:color="auto" w:sz="4" w:space="0"/>
              <w:left w:val="single" w:color="auto" w:sz="4" w:space="0"/>
              <w:bottom w:val="single" w:color="auto" w:sz="4" w:space="0"/>
              <w:right w:val="single" w:color="auto" w:sz="4" w:space="0"/>
            </w:tcBorders>
            <w:noWrap w:val="0"/>
            <w:vAlign w:val="center"/>
          </w:tcPr>
          <w:p w14:paraId="31AFD467">
            <w:pPr>
              <w:spacing w:line="360" w:lineRule="auto"/>
              <w:jc w:val="both"/>
              <w:rPr>
                <w:rFonts w:ascii="宋体" w:hAnsi="宋体"/>
                <w:color w:val="auto"/>
                <w:szCs w:val="21"/>
                <w:highlight w:val="none"/>
              </w:rPr>
            </w:pPr>
            <w:r>
              <w:rPr>
                <w:rFonts w:hint="eastAsia" w:ascii="宋体" w:hAnsi="宋体"/>
                <w:color w:val="auto"/>
                <w:szCs w:val="21"/>
                <w:highlight w:val="none"/>
              </w:rPr>
              <w:t>本分标货物不接受进口产品（即通过中国海关报关验放进入中国境内且产自关境外的产品）参与投标，</w:t>
            </w:r>
            <w:r>
              <w:rPr>
                <w:rFonts w:hint="eastAsia" w:ascii="宋体" w:hAnsi="宋体"/>
                <w:b/>
                <w:color w:val="auto"/>
                <w:szCs w:val="21"/>
                <w:highlight w:val="none"/>
              </w:rPr>
              <w:t>如有进口产品参与投标的作无效标处理</w:t>
            </w:r>
            <w:r>
              <w:rPr>
                <w:rFonts w:hint="eastAsia" w:ascii="宋体" w:hAnsi="宋体"/>
                <w:color w:val="auto"/>
                <w:szCs w:val="21"/>
                <w:highlight w:val="none"/>
              </w:rPr>
              <w:t>。</w:t>
            </w:r>
          </w:p>
        </w:tc>
      </w:tr>
    </w:tbl>
    <w:p w14:paraId="63E3E5A3"/>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E7B0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45E78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645E78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D7DEC"/>
    <w:rsid w:val="1AE97737"/>
    <w:rsid w:val="355B0CAB"/>
    <w:rsid w:val="5E7D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3">
    <w:name w:val="Body Text Indent 2"/>
    <w:basedOn w:val="1"/>
    <w:uiPriority w:val="0"/>
    <w:pPr>
      <w:spacing w:after="120" w:afterLines="0" w:line="480" w:lineRule="auto"/>
      <w:ind w:left="420" w:leftChars="200"/>
    </w:pPr>
  </w:style>
  <w:style w:type="paragraph" w:styleId="4">
    <w:name w:val="footer"/>
    <w:basedOn w:val="1"/>
    <w:next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10885</Words>
  <Characters>11346</Characters>
  <Lines>0</Lines>
  <Paragraphs>0</Paragraphs>
  <TotalTime>0</TotalTime>
  <ScaleCrop>false</ScaleCrop>
  <LinksUpToDate>false</LinksUpToDate>
  <CharactersWithSpaces>11414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2025-07-08T02:28:00Z</dcterms:created>
  <dc:creator>Lenovo</dc:creator>
  <cp:lastModifiedBy>Lenovo</cp:lastModifiedBy>
  <dcterms:modified xsi:type="dcterms:W3CDTF">2025-07-08T02:31:55Z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65446F25B3844AFF9F63CE02B0240280_11</vt:lpwstr>
  </property>
  <property fmtid="{D5CDD505-2E9C-101B-9397-08002B2CF9AE}" pid="4" name="KSOTemplateDocerSaveRecord">
    <vt:lpwstr>eyJoZGlkIjoiODU3NTMwMGZlOWJlYjc4NzdjNjliMjMyZmFhMzFlMTIiLCJ1c2VySWQiOiIzOTkwMzk3MDAifQ==</vt:lpwstr>
  </property>
</Properties>
</file>