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bookmarkStart w:id="0" w:name="OLE_LINK6"/>
      <w:bookmarkStart w:id="1" w:name="OLE_LINK210"/>
      <w:bookmarkStart w:id="2" w:name="OLE_LINK5"/>
      <w:r>
        <w:rPr>
          <w:rFonts w:hint="eastAsia" w:ascii="宋体" w:hAnsi="宋体" w:cs="宋体"/>
          <w:color w:val="auto"/>
          <w:sz w:val="48"/>
          <w:szCs w:val="48"/>
          <w:highlight w:val="none"/>
          <w:lang w:eastAsia="zh-CN"/>
        </w:rPr>
        <w:t>2025年第一批义务教育薄弱环节改善与能力提升补助资金项目（伙房设备）</w:t>
      </w:r>
    </w:p>
    <w:bookmarkEnd w:id="0"/>
    <w:bookmarkEnd w:id="1"/>
    <w:bookmarkEnd w:id="2"/>
    <w:p>
      <w:pPr>
        <w:pStyle w:val="3"/>
        <w:rPr>
          <w:color w:val="auto"/>
          <w:highlight w:val="none"/>
          <w:lang w:val="en-US"/>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BHZC2025-G1-210120-CGZX</w:t>
      </w:r>
      <w:r>
        <w:rPr>
          <w:rFonts w:hint="eastAsia" w:ascii="宋体" w:hAnsi="宋体" w:cs="宋体"/>
          <w:color w:val="auto"/>
          <w:sz w:val="30"/>
          <w:szCs w:val="30"/>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合浦县教育局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pStyle w:val="44"/>
        <w:tabs>
          <w:tab w:val="right" w:leader="dot" w:pos="9060"/>
        </w:tabs>
        <w:spacing w:line="360" w:lineRule="auto"/>
        <w:rPr>
          <w:rFonts w:ascii="宋体" w:hAnsi="宋体" w:cstheme="minorBidi"/>
          <w:color w:val="auto"/>
          <w:sz w:val="32"/>
          <w:szCs w:val="32"/>
          <w:highlight w:val="none"/>
        </w:rPr>
      </w:pPr>
      <w:bookmarkStart w:id="4" w:name="_Hlt91233176"/>
      <w:bookmarkEnd w:id="4"/>
      <w:bookmarkStart w:id="5" w:name="_Toc91899869"/>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TOC \o "1-1" \h \z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"_Toc176343848" </w:instrText>
      </w:r>
      <w:r>
        <w:rPr>
          <w:color w:val="auto"/>
          <w:highlight w:val="none"/>
        </w:rPr>
        <w:fldChar w:fldCharType="separate"/>
      </w:r>
      <w:r>
        <w:rPr>
          <w:rStyle w:val="78"/>
          <w:rFonts w:hint="eastAsia" w:ascii="宋体" w:hAnsi="宋体" w:eastAsia="宋体" w:cs="宋体"/>
          <w:color w:val="auto"/>
          <w:sz w:val="32"/>
          <w:szCs w:val="32"/>
          <w:highlight w:val="none"/>
        </w:rPr>
        <w:t>第一部分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招标公告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_Toc176343848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"_Toc176343849" </w:instrText>
      </w:r>
      <w:r>
        <w:rPr>
          <w:color w:val="auto"/>
          <w:highlight w:val="none"/>
        </w:rPr>
        <w:fldChar w:fldCharType="separate"/>
      </w:r>
      <w:r>
        <w:rPr>
          <w:rStyle w:val="78"/>
          <w:rFonts w:hint="eastAsia" w:ascii="宋体" w:hAnsi="宋体" w:eastAsia="宋体" w:cs="宋体"/>
          <w:color w:val="auto"/>
          <w:sz w:val="32"/>
          <w:szCs w:val="32"/>
          <w:highlight w:val="none"/>
        </w:rPr>
        <w:t>第二部分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投标人须知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_Toc176343849 \h </w:instrText>
      </w:r>
      <w:r>
        <w:rPr>
          <w:rFonts w:ascii="宋体" w:hAnsi="宋体"/>
          <w:color w:val="auto"/>
          <w:sz w:val="32"/>
          <w:szCs w:val="32"/>
          <w:highlight w:val="none"/>
        </w:rPr>
        <w:fldChar w:fldCharType="separate"/>
      </w:r>
      <w:r>
        <w:rPr>
          <w:rFonts w:ascii="宋体" w:hAnsi="宋体"/>
          <w:color w:val="auto"/>
          <w:sz w:val="32"/>
          <w:szCs w:val="32"/>
          <w:highlight w:val="none"/>
        </w:rPr>
        <w:t>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"_Toc176343850" </w:instrText>
      </w:r>
      <w:r>
        <w:rPr>
          <w:color w:val="auto"/>
          <w:highlight w:val="none"/>
        </w:rPr>
        <w:fldChar w:fldCharType="separate"/>
      </w:r>
      <w:r>
        <w:rPr>
          <w:rStyle w:val="78"/>
          <w:rFonts w:hint="eastAsia" w:ascii="宋体" w:hAnsi="宋体" w:eastAsia="宋体" w:cs="宋体"/>
          <w:color w:val="auto"/>
          <w:sz w:val="32"/>
          <w:szCs w:val="32"/>
          <w:highlight w:val="none"/>
        </w:rPr>
        <w:t>第三部分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采购需求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_Toc176343850 \h </w:instrText>
      </w:r>
      <w:r>
        <w:rPr>
          <w:rFonts w:ascii="宋体" w:hAnsi="宋体"/>
          <w:color w:val="auto"/>
          <w:sz w:val="32"/>
          <w:szCs w:val="32"/>
          <w:highlight w:val="none"/>
        </w:rPr>
        <w:fldChar w:fldCharType="separate"/>
      </w:r>
      <w:r>
        <w:rPr>
          <w:rFonts w:ascii="宋体" w:hAnsi="宋体"/>
          <w:color w:val="auto"/>
          <w:sz w:val="32"/>
          <w:szCs w:val="32"/>
          <w:highlight w:val="none"/>
        </w:rPr>
        <w:t>25</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"_Toc176343851" </w:instrText>
      </w:r>
      <w:r>
        <w:rPr>
          <w:color w:val="auto"/>
          <w:highlight w:val="none"/>
        </w:rPr>
        <w:fldChar w:fldCharType="separate"/>
      </w:r>
      <w:r>
        <w:rPr>
          <w:rStyle w:val="78"/>
          <w:rFonts w:hint="eastAsia" w:ascii="宋体" w:hAnsi="宋体" w:eastAsia="宋体" w:cs="宋体"/>
          <w:color w:val="auto"/>
          <w:sz w:val="32"/>
          <w:szCs w:val="32"/>
          <w:highlight w:val="none"/>
        </w:rPr>
        <w:t>第四部分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评标办法</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_Toc176343851 \h </w:instrText>
      </w:r>
      <w:r>
        <w:rPr>
          <w:rFonts w:ascii="宋体" w:hAnsi="宋体"/>
          <w:color w:val="auto"/>
          <w:sz w:val="32"/>
          <w:szCs w:val="32"/>
          <w:highlight w:val="none"/>
        </w:rPr>
        <w:fldChar w:fldCharType="separate"/>
      </w:r>
      <w:r>
        <w:rPr>
          <w:rFonts w:ascii="宋体" w:hAnsi="宋体"/>
          <w:color w:val="auto"/>
          <w:sz w:val="32"/>
          <w:szCs w:val="32"/>
          <w:highlight w:val="none"/>
        </w:rPr>
        <w:t>31</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"_Toc176343852" </w:instrText>
      </w:r>
      <w:r>
        <w:rPr>
          <w:color w:val="auto"/>
          <w:highlight w:val="none"/>
        </w:rPr>
        <w:fldChar w:fldCharType="separate"/>
      </w:r>
      <w:r>
        <w:rPr>
          <w:rStyle w:val="78"/>
          <w:rFonts w:hint="eastAsia" w:ascii="宋体" w:hAnsi="宋体" w:eastAsia="宋体" w:cs="宋体"/>
          <w:color w:val="auto"/>
          <w:sz w:val="32"/>
          <w:szCs w:val="32"/>
          <w:highlight w:val="none"/>
        </w:rPr>
        <w:t>第五部分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拟签订的合同文本</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_Toc176343852 \h </w:instrText>
      </w:r>
      <w:r>
        <w:rPr>
          <w:rFonts w:ascii="宋体" w:hAnsi="宋体"/>
          <w:color w:val="auto"/>
          <w:sz w:val="32"/>
          <w:szCs w:val="32"/>
          <w:highlight w:val="none"/>
        </w:rPr>
        <w:fldChar w:fldCharType="separate"/>
      </w:r>
      <w:r>
        <w:rPr>
          <w:rFonts w:ascii="宋体" w:hAnsi="宋体"/>
          <w:color w:val="auto"/>
          <w:sz w:val="32"/>
          <w:szCs w:val="32"/>
          <w:highlight w:val="none"/>
        </w:rPr>
        <w:t>37</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"_Toc176343853" </w:instrText>
      </w:r>
      <w:r>
        <w:rPr>
          <w:color w:val="auto"/>
          <w:highlight w:val="none"/>
        </w:rPr>
        <w:fldChar w:fldCharType="separate"/>
      </w:r>
      <w:r>
        <w:rPr>
          <w:rStyle w:val="78"/>
          <w:rFonts w:hint="eastAsia" w:ascii="宋体" w:hAnsi="宋体" w:eastAsia="宋体" w:cs="宋体"/>
          <w:color w:val="auto"/>
          <w:sz w:val="32"/>
          <w:szCs w:val="32"/>
          <w:highlight w:val="none"/>
        </w:rPr>
        <w:t>第六部分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应提交的有关格式范例</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_Toc176343853 \h </w:instrText>
      </w:r>
      <w:r>
        <w:rPr>
          <w:rFonts w:ascii="宋体" w:hAnsi="宋体"/>
          <w:color w:val="auto"/>
          <w:sz w:val="32"/>
          <w:szCs w:val="32"/>
          <w:highlight w:val="none"/>
        </w:rPr>
        <w:fldChar w:fldCharType="separate"/>
      </w:r>
      <w:r>
        <w:rPr>
          <w:rFonts w:ascii="宋体" w:hAnsi="宋体"/>
          <w:color w:val="auto"/>
          <w:sz w:val="32"/>
          <w:szCs w:val="32"/>
          <w:highlight w:val="none"/>
        </w:rPr>
        <w:t>55</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spacing w:line="360" w:lineRule="auto"/>
        <w:ind w:firstLine="732" w:firstLineChars="229"/>
        <w:rPr>
          <w:rFonts w:ascii="宋体" w:hAnsi="宋体" w:cs="宋体"/>
          <w:color w:val="auto"/>
          <w:sz w:val="32"/>
          <w:szCs w:val="32"/>
          <w:highlight w:val="none"/>
        </w:rPr>
      </w:pPr>
      <w:r>
        <w:rPr>
          <w:rFonts w:ascii="宋体" w:hAnsi="宋体" w:cs="宋体"/>
          <w:color w:val="auto"/>
          <w:sz w:val="32"/>
          <w:szCs w:val="32"/>
          <w:highlight w:val="none"/>
        </w:rPr>
        <w:fldChar w:fldCharType="end"/>
      </w: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6" w:name="第一部分"/>
      <w:r>
        <w:rPr>
          <w:rFonts w:hint="eastAsia" w:ascii="宋体" w:hAnsi="宋体" w:cs="宋体"/>
          <w:b/>
          <w:color w:val="auto"/>
          <w:sz w:val="36"/>
          <w:szCs w:val="36"/>
          <w:highlight w:val="none"/>
        </w:rPr>
        <w:br w:type="page"/>
      </w:r>
      <w:bookmarkEnd w:id="5"/>
      <w:bookmarkEnd w:id="6"/>
      <w:bookmarkStart w:id="7" w:name="_Hlt74729822"/>
      <w:bookmarkEnd w:id="7"/>
      <w:bookmarkStart w:id="8" w:name="_Hlt74649545"/>
      <w:bookmarkEnd w:id="8"/>
      <w:bookmarkStart w:id="9" w:name="_Hlt74707423"/>
      <w:bookmarkEnd w:id="9"/>
      <w:bookmarkStart w:id="10" w:name="_Hlt74728647"/>
      <w:bookmarkEnd w:id="10"/>
      <w:bookmarkStart w:id="11" w:name="_Toc176185119"/>
      <w:bookmarkStart w:id="12" w:name="_Toc176343848"/>
      <w:bookmarkStart w:id="13" w:name="第二部分"/>
      <w:bookmarkStart w:id="14" w:name="_Toc91899870"/>
      <w:bookmarkStart w:id="15" w:name="_Toc91899871"/>
      <w:r>
        <w:rPr>
          <w:rFonts w:hint="eastAsia" w:ascii="宋体" w:hAnsi="宋体" w:cs="宋体"/>
          <w:b/>
          <w:color w:val="auto"/>
          <w:sz w:val="36"/>
          <w:szCs w:val="20"/>
          <w:highlight w:val="none"/>
        </w:rPr>
        <w:t>第一部分  招标公告</w:t>
      </w:r>
      <w:bookmarkEnd w:id="11"/>
      <w:bookmarkEnd w:id="12"/>
    </w:p>
    <w:p>
      <w:pPr>
        <w:pStyle w:val="42"/>
        <w:rPr>
          <w:rFonts w:ascii="宋体" w:hAnsi="宋体" w:cs="宋体"/>
          <w:b/>
          <w:color w:val="auto"/>
          <w:sz w:val="36"/>
          <w:szCs w:val="20"/>
          <w:highlight w:val="none"/>
        </w:rPr>
      </w:pPr>
      <w:bookmarkStart w:id="16" w:name="OLE_LINK2"/>
      <w:bookmarkStart w:id="17" w:name="OLE_LINK41"/>
      <w:bookmarkStart w:id="18" w:name="OLE_LINK40"/>
      <w:bookmarkStart w:id="19" w:name="OLE_LINK202"/>
      <w:r>
        <w:rPr>
          <w:rFonts w:hint="eastAsia" w:ascii="宋体" w:hAnsi="宋体" w:cs="宋体"/>
          <w:b/>
          <w:color w:val="auto"/>
          <w:sz w:val="32"/>
          <w:szCs w:val="32"/>
          <w:highlight w:val="none"/>
        </w:rPr>
        <w:t>北海市政府采购中心关于</w:t>
      </w:r>
      <w:r>
        <w:rPr>
          <w:rFonts w:hint="eastAsia" w:ascii="宋体" w:hAnsi="宋体" w:cs="宋体"/>
          <w:b/>
          <w:color w:val="auto"/>
          <w:sz w:val="32"/>
          <w:szCs w:val="32"/>
          <w:highlight w:val="none"/>
          <w:lang w:eastAsia="zh-CN"/>
        </w:rPr>
        <w:t>合浦县教育局2025年第一批义务教育薄弱环节改善与能力提升补助资金项目（伙房设备）</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BHZC2025-G1-210120-CGZX</w:t>
      </w:r>
      <w:r>
        <w:rPr>
          <w:rFonts w:hint="eastAsia" w:ascii="宋体" w:hAnsi="宋体" w:cs="宋体"/>
          <w:b/>
          <w:color w:val="auto"/>
          <w:sz w:val="32"/>
          <w:szCs w:val="32"/>
          <w:highlight w:val="none"/>
        </w:rPr>
        <w:t>)</w:t>
      </w:r>
      <w:bookmarkEnd w:id="16"/>
      <w:r>
        <w:rPr>
          <w:rFonts w:hint="eastAsia" w:ascii="宋体" w:hAnsi="宋体" w:cs="宋体"/>
          <w:b/>
          <w:color w:val="auto"/>
          <w:sz w:val="32"/>
          <w:szCs w:val="32"/>
          <w:highlight w:val="none"/>
        </w:rPr>
        <w:t>公开招标公告（远程异地评标）</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2025年第一批义务教育薄弱环节改善与能力提升补助资金项目（伙房设备）</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w:t>
      </w:r>
      <w:r>
        <w:rPr>
          <w:color w:val="auto"/>
          <w:highlight w:val="none"/>
        </w:rPr>
        <w:fldChar w:fldCharType="begin"/>
      </w:r>
      <w:r>
        <w:rPr>
          <w:color w:val="auto"/>
          <w:highlight w:val="none"/>
        </w:rPr>
        <w:instrText xml:space="preserve"> HYPERLINK "https://www.gcy.zfcg.gxzf.gov.cn/）获取（下载）招标文件，并于2025年" </w:instrText>
      </w:r>
      <w:r>
        <w:rPr>
          <w:color w:val="auto"/>
          <w:highlight w:val="none"/>
        </w:rPr>
        <w:fldChar w:fldCharType="separate"/>
      </w:r>
      <w:r>
        <w:rPr>
          <w:rStyle w:val="78"/>
          <w:rFonts w:hint="eastAsia" w:ascii="宋体" w:hAnsi="宋体" w:eastAsia="宋体" w:cs="宋体"/>
          <w:color w:val="auto"/>
          <w:sz w:val="24"/>
          <w:szCs w:val="24"/>
          <w:highlight w:val="none"/>
        </w:rPr>
        <w:t>https://www.gcy.zfcg.gxzf.gov.cn/）</w:t>
      </w:r>
      <w:r>
        <w:rPr>
          <w:rStyle w:val="78"/>
          <w:rFonts w:cs="Times New Roman" w:asciiTheme="minorEastAsia" w:hAnsiTheme="minorEastAsia" w:eastAsiaTheme="minorEastAsia"/>
          <w:color w:val="auto"/>
          <w:sz w:val="24"/>
          <w:szCs w:val="24"/>
          <w:highlight w:val="none"/>
        </w:rPr>
        <w:t>获取（下载）招标文件，并于</w:t>
      </w:r>
      <w:r>
        <w:rPr>
          <w:rStyle w:val="78"/>
          <w:rFonts w:hint="eastAsia" w:cs="Times New Roman" w:asciiTheme="minorEastAsia" w:hAnsiTheme="minorEastAsia" w:eastAsiaTheme="minorEastAsia"/>
          <w:color w:val="auto"/>
          <w:sz w:val="24"/>
          <w:szCs w:val="24"/>
          <w:highlight w:val="none"/>
        </w:rPr>
        <w:t>2025年</w:t>
      </w:r>
      <w:r>
        <w:rPr>
          <w:rStyle w:val="78"/>
          <w:rFonts w:hint="eastAsia" w:cs="Times New Roman"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日9点00分00秒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BHZC2025-G1-210120-CGZX</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bookmarkStart w:id="20" w:name="OLE_LINK100"/>
      <w:bookmarkStart w:id="21" w:name="OLE_LINK99"/>
      <w:r>
        <w:rPr>
          <w:rFonts w:hint="eastAsia" w:ascii="宋体" w:hAnsi="宋体" w:cs="宋体"/>
          <w:color w:val="auto"/>
          <w:sz w:val="24"/>
          <w:highlight w:val="none"/>
          <w:lang w:eastAsia="zh-CN"/>
        </w:rPr>
        <w:t>2025年第一批义务教育薄弱环节改善与能力提升补助资金项目（伙房设备）</w:t>
      </w:r>
    </w:p>
    <w:bookmarkEnd w:id="20"/>
    <w:bookmarkEnd w:id="21"/>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3520000.00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采购需求：</w:t>
      </w:r>
    </w:p>
    <w:p>
      <w:pPr>
        <w:spacing w:line="320" w:lineRule="exact"/>
        <w:ind w:firstLine="420" w:firstLineChars="200"/>
        <w:jc w:val="left"/>
        <w:rPr>
          <w:rFonts w:ascii="宋体" w:hAnsi="宋体" w:cs="宋体"/>
          <w:color w:val="auto"/>
          <w:szCs w:val="21"/>
          <w:highlight w:val="none"/>
        </w:rPr>
      </w:pP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标项名称:</w:t>
      </w:r>
      <w:r>
        <w:rPr>
          <w:rFonts w:hint="eastAsia" w:hAnsi="宋体" w:cs="宋体"/>
          <w:color w:val="auto"/>
          <w:kern w:val="0"/>
          <w:sz w:val="24"/>
          <w:highlight w:val="none"/>
          <w:lang w:eastAsia="zh-CN"/>
        </w:rPr>
        <w:t>2025年第一批义务教育薄弱环节改善与能力提升补助资金项目（伙房设备）</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数量:1项</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int="default" w:hAnsi="宋体" w:eastAsia="宋体" w:cs="宋体"/>
          <w:color w:val="auto"/>
          <w:kern w:val="0"/>
          <w:sz w:val="24"/>
          <w:highlight w:val="none"/>
          <w:lang w:val="en-US" w:eastAsia="zh-CN"/>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eastAsia="zh-CN"/>
        </w:rPr>
        <w:t>3520000.00</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简要规格描述或项目基本概况介绍、用途：</w:t>
      </w:r>
      <w:r>
        <w:rPr>
          <w:rFonts w:hint="eastAsia" w:hAnsi="宋体" w:cs="宋体"/>
          <w:color w:val="auto"/>
          <w:kern w:val="0"/>
          <w:sz w:val="24"/>
          <w:highlight w:val="none"/>
          <w:lang w:eastAsia="zh-CN"/>
        </w:rPr>
        <w:t>采购电磁炒菜机+拼台、24盘蒸饭柜、二星级800升消毒柜</w:t>
      </w:r>
      <w:r>
        <w:rPr>
          <w:rFonts w:hint="eastAsia" w:hAnsi="宋体" w:cs="宋体"/>
          <w:color w:val="auto"/>
          <w:kern w:val="0"/>
          <w:sz w:val="24"/>
          <w:highlight w:val="none"/>
        </w:rPr>
        <w:t>等</w:t>
      </w:r>
      <w:r>
        <w:rPr>
          <w:rFonts w:hint="eastAsia" w:hAnsi="宋体" w:cs="宋体"/>
          <w:color w:val="auto"/>
          <w:kern w:val="0"/>
          <w:sz w:val="24"/>
          <w:highlight w:val="none"/>
          <w:lang w:eastAsia="zh-CN"/>
        </w:rPr>
        <w:t>一批</w:t>
      </w:r>
      <w:r>
        <w:rPr>
          <w:rFonts w:hint="eastAsia" w:hAnsi="宋体" w:cs="宋体"/>
          <w:color w:val="auto"/>
          <w:kern w:val="0"/>
          <w:sz w:val="24"/>
          <w:highlight w:val="none"/>
        </w:rPr>
        <w:t>，具体以招标文件第三部分采购需求为准。</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最高限价（如有）：/</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合同履约期限：签订合同后30个日历日，如因甲方及其他客观原因导致交付延期，不算作乙方违约，交付周期可视延期时问往后顺延。</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本标项（否）接受联合体投标</w:t>
      </w:r>
    </w:p>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Ansi="宋体" w:cs="宋体"/>
          <w:color w:val="auto"/>
          <w:kern w:val="0"/>
          <w:sz w:val="24"/>
          <w:highlight w:val="none"/>
        </w:rPr>
      </w:pPr>
      <w:r>
        <w:rPr>
          <w:rFonts w:hint="eastAsia" w:hAnsi="宋体" w:cs="宋体"/>
          <w:color w:val="auto"/>
          <w:kern w:val="0"/>
          <w:sz w:val="24"/>
          <w:highlight w:val="none"/>
        </w:rPr>
        <w:t>备注：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22" w:name="_Hlk101132948"/>
      <w:r>
        <w:rPr>
          <w:rFonts w:hint="eastAsia" w:ascii="宋体" w:hAnsi="宋体" w:cs="宋体"/>
          <w:b/>
          <w:color w:val="auto"/>
          <w:sz w:val="24"/>
          <w:highlight w:val="none"/>
        </w:rPr>
        <w:t>申请人的资格要求</w:t>
      </w:r>
      <w:bookmarkEnd w:id="22"/>
      <w:r>
        <w:rPr>
          <w:rFonts w:hint="eastAsia" w:ascii="宋体" w:hAnsi="宋体" w:cs="宋体"/>
          <w:b/>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pStyle w:val="6"/>
        <w:spacing w:line="360" w:lineRule="auto"/>
        <w:ind w:firstLine="480"/>
        <w:rPr>
          <w:rFonts w:hAnsi="宋体" w:cs="宋体"/>
          <w:color w:val="auto"/>
          <w:sz w:val="24"/>
          <w:highlight w:val="none"/>
        </w:rPr>
      </w:pPr>
      <w:r>
        <w:rPr>
          <w:rFonts w:hint="eastAsia" w:hAnsi="宋体" w:cs="宋体"/>
          <w:color w:val="auto"/>
          <w:sz w:val="24"/>
          <w:highlight w:val="none"/>
        </w:rPr>
        <w:t>3.本项目的特定资格要求：无。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w:t>
      </w:r>
      <w:bookmarkStart w:id="23" w:name="OLE_LINK22"/>
      <w:bookmarkStart w:id="24" w:name="OLE_LINK21"/>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日9点00分00秒</w:t>
      </w:r>
      <w:bookmarkEnd w:id="23"/>
      <w:bookmarkEnd w:id="24"/>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日9点00分00秒</w:t>
      </w:r>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bookmarkStart w:id="25" w:name="OLE_LINK133"/>
      <w:bookmarkStart w:id="26" w:name="OLE_LINK134"/>
      <w:bookmarkStart w:id="27" w:name="OLE_LINK135"/>
      <w:r>
        <w:rPr>
          <w:rFonts w:hint="eastAsia" w:ascii="宋体" w:hAnsi="宋体" w:cs="宋体"/>
          <w:color w:val="auto"/>
          <w:sz w:val="24"/>
          <w:highlight w:val="none"/>
        </w:rPr>
        <w:t>1.本项目不收取投标保证金。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4.网上公告媒体查询：</w:t>
      </w:r>
      <w:bookmarkStart w:id="28" w:name="OLE_LINK124"/>
      <w:bookmarkStart w:id="29" w:name="OLE_LINK123"/>
      <w:bookmarkStart w:id="30" w:name="OLE_LINK32"/>
      <w:bookmarkStart w:id="31" w:name="OLE_LINK33"/>
      <w:r>
        <w:rPr>
          <w:rFonts w:hint="eastAsia" w:ascii="宋体" w:hAnsi="宋体"/>
          <w:color w:val="auto"/>
          <w:sz w:val="24"/>
          <w:highlight w:val="none"/>
        </w:rPr>
        <w:t>中国政府采购网、广西政府采购网、北海市政府采购监管网、全国公共资源交易平台（广西•北海）、北海市人民政府网-北海市政府采购中心网站</w:t>
      </w:r>
      <w:bookmarkEnd w:id="28"/>
      <w:bookmarkEnd w:id="29"/>
      <w:bookmarkEnd w:id="30"/>
      <w:bookmarkEnd w:id="31"/>
      <w:r>
        <w:rPr>
          <w:rFonts w:hint="eastAsia" w:ascii="宋体" w:hAnsi="宋体" w:cs="宋体"/>
          <w:color w:val="auto"/>
          <w:sz w:val="24"/>
          <w:highlight w:val="none"/>
        </w:rPr>
        <w:t>。</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7.本项目采用远程异地评标。</w:t>
      </w:r>
    </w:p>
    <w:bookmarkEnd w:id="25"/>
    <w:bookmarkEnd w:id="26"/>
    <w:bookmarkEnd w:id="27"/>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七、对本次采购提出询问请按以下方式联系</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合浦县教育局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址：合浦县廉州镇小北街44号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包昌海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项目联系方式：0779-7293139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称：北海市政府采购中心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址：北海市海城区陈文村北路7号市直机关第三办公区2号楼一层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pPr>
        <w:spacing w:line="360" w:lineRule="auto"/>
        <w:ind w:firstLine="480" w:firstLineChars="200"/>
        <w:outlineLvl w:val="0"/>
        <w:rPr>
          <w:rFonts w:ascii="宋体" w:hAnsi="宋体" w:cs="宋体"/>
          <w:color w:val="auto"/>
          <w:sz w:val="24"/>
          <w:highlight w:val="none"/>
        </w:rPr>
      </w:pPr>
      <w:bookmarkStart w:id="32" w:name="_Toc6543"/>
      <w:r>
        <w:rPr>
          <w:rFonts w:hint="eastAsia" w:ascii="宋体" w:hAnsi="宋体" w:cs="宋体"/>
          <w:color w:val="auto"/>
          <w:sz w:val="24"/>
          <w:highlight w:val="none"/>
        </w:rPr>
        <w:t>项目联系方式(询问)：0779-3071101</w:t>
      </w:r>
      <w:bookmarkEnd w:id="32"/>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17"/>
    <w:bookmarkEnd w:id="18"/>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bookmarkEnd w:id="19"/>
    <w:p>
      <w:pPr>
        <w:spacing w:line="360" w:lineRule="auto"/>
        <w:ind w:firstLine="480" w:firstLineChars="200"/>
        <w:rPr>
          <w:rFonts w:ascii="宋体" w:hAnsi="宋体" w:cs="宋体"/>
          <w:color w:val="auto"/>
          <w:sz w:val="24"/>
          <w:highlight w:val="none"/>
        </w:rPr>
      </w:pPr>
    </w:p>
    <w:p>
      <w:pPr>
        <w:pStyle w:val="34"/>
        <w:spacing w:line="360" w:lineRule="auto"/>
        <w:jc w:val="center"/>
        <w:rPr>
          <w:rFonts w:hAnsi="宋体" w:cs="宋体"/>
          <w:b/>
          <w:color w:val="auto"/>
          <w:sz w:val="36"/>
          <w:szCs w:val="20"/>
          <w:highlight w:val="none"/>
        </w:rPr>
      </w:pPr>
      <w:bookmarkStart w:id="33" w:name="_Toc176343849"/>
      <w:bookmarkStart w:id="34" w:name="_Toc176185120"/>
      <w:r>
        <w:rPr>
          <w:rFonts w:hint="eastAsia" w:hAnsi="宋体" w:cs="宋体"/>
          <w:b/>
          <w:color w:val="auto"/>
          <w:sz w:val="36"/>
          <w:szCs w:val="20"/>
          <w:highlight w:val="none"/>
        </w:rPr>
        <w:t>第二部分</w:t>
      </w:r>
      <w:bookmarkEnd w:id="13"/>
      <w:r>
        <w:rPr>
          <w:rFonts w:hint="eastAsia" w:hAnsi="宋体" w:cs="宋体"/>
          <w:b/>
          <w:color w:val="auto"/>
          <w:sz w:val="36"/>
          <w:szCs w:val="20"/>
          <w:highlight w:val="none"/>
        </w:rPr>
        <w:t xml:space="preserve">  投标人须知</w:t>
      </w:r>
      <w:bookmarkEnd w:id="14"/>
      <w:bookmarkEnd w:id="33"/>
      <w:bookmarkEnd w:id="34"/>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highlight w:val="none"/>
              </w:rPr>
            </w:pPr>
            <w:bookmarkStart w:id="35" w:name="OLE_LINK3"/>
            <w:bookmarkStart w:id="36" w:name="OLE_LINK1"/>
            <w:r>
              <w:rPr>
                <w:rFonts w:hint="eastAsia" w:ascii="宋体" w:hAnsi="宋体" w:cs="宋体"/>
                <w:color w:val="auto"/>
                <w:sz w:val="24"/>
                <w:highlight w:val="none"/>
              </w:rPr>
              <w:t>货物类，单一产品或核心产品为：电磁炒菜机+拼台。</w:t>
            </w:r>
            <w:bookmarkEnd w:id="35"/>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4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60" w:lineRule="auto"/>
              <w:ind w:left="0" w:firstLine="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标的：</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u w:val="single"/>
                <w:lang w:eastAsia="zh-CN"/>
              </w:rPr>
              <w:t>采购需求中所列的货物</w:t>
            </w:r>
            <w:r>
              <w:rPr>
                <w:rFonts w:hint="eastAsia" w:ascii="宋体" w:hAnsi="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rPr>
              <w:t xml:space="preserve"> </w:t>
            </w:r>
            <w:r>
              <w:rPr>
                <w:rFonts w:hint="eastAsia" w:ascii="宋体" w:hAnsi="宋体" w:cs="宋体"/>
                <w:b w:val="0"/>
                <w:bCs w:val="0"/>
                <w:color w:val="auto"/>
                <w:kern w:val="0"/>
                <w:sz w:val="24"/>
                <w:highlight w:val="none"/>
                <w:u w:val="single"/>
                <w:lang w:eastAsia="zh-CN"/>
              </w:rPr>
              <w:t>工业</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行业</w:t>
            </w:r>
            <w:r>
              <w:rPr>
                <w:rFonts w:hint="eastAsia" w:ascii="宋体" w:hAnsi="宋体" w:cs="宋体"/>
                <w:b w:val="0"/>
                <w:bCs w:val="0"/>
                <w:color w:val="auto"/>
                <w:kern w:val="0"/>
                <w:sz w:val="24"/>
                <w:highlight w:val="none"/>
                <w:lang w:eastAsia="zh-CN"/>
              </w:rPr>
              <w:t>。</w:t>
            </w:r>
          </w:p>
          <w:p>
            <w:pPr>
              <w:pStyle w:val="3"/>
              <w:pageBreakBefore w:val="0"/>
              <w:widowControl w:val="0"/>
              <w:kinsoku/>
              <w:wordWrap/>
              <w:overflowPunct/>
              <w:topLinePunct w:val="0"/>
              <w:autoSpaceDE/>
              <w:autoSpaceDN/>
              <w:bidi w:val="0"/>
              <w:ind w:left="0" w:firstLine="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4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94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（2）资信证明文件：根据招标文件第三部分采购需求及第四部分评标标准的要求提供。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color w:val="auto"/>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41"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94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pPr>
              <w:spacing w:line="360" w:lineRule="auto"/>
              <w:rPr>
                <w:rFonts w:hAnsi="宋体" w:cs="宋体"/>
                <w:color w:val="auto"/>
                <w:kern w:val="28"/>
                <w:sz w:val="24"/>
                <w:highlight w:val="none"/>
              </w:rPr>
            </w:pPr>
            <w:sdt>
              <w:sdtPr>
                <w:rPr>
                  <w:rFonts w:hint="eastAsia" w:ascii="宋体"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pPr>
        <w:snapToGrid w:val="0"/>
        <w:spacing w:line="360" w:lineRule="auto"/>
        <w:jc w:val="center"/>
        <w:rPr>
          <w:rFonts w:ascii="宋体" w:hAnsi="宋体" w:cs="宋体"/>
          <w:b/>
          <w:color w:val="auto"/>
          <w:sz w:val="32"/>
          <w:szCs w:val="20"/>
          <w:highlight w:val="none"/>
        </w:rPr>
      </w:pPr>
    </w:p>
    <w:bookmarkEnd w:id="15"/>
    <w:p>
      <w:pPr>
        <w:adjustRightInd/>
        <w:spacing w:line="360" w:lineRule="auto"/>
        <w:ind w:firstLine="3845" w:firstLineChars="1197"/>
        <w:outlineLvl w:val="1"/>
        <w:rPr>
          <w:rFonts w:ascii="宋体" w:hAnsi="宋体" w:cs="宋体"/>
          <w:b/>
          <w:color w:val="auto"/>
          <w:sz w:val="32"/>
          <w:szCs w:val="20"/>
          <w:highlight w:val="none"/>
        </w:rPr>
      </w:pPr>
      <w:bookmarkStart w:id="37" w:name="_Toc164416483"/>
      <w:bookmarkStart w:id="38" w:name="第三部分"/>
      <w:r>
        <w:rPr>
          <w:rFonts w:hint="eastAsia" w:ascii="宋体" w:hAnsi="宋体" w:cs="宋体"/>
          <w:b/>
          <w:color w:val="auto"/>
          <w:sz w:val="32"/>
          <w:szCs w:val="20"/>
          <w:highlight w:val="none"/>
        </w:rPr>
        <w:t>一、总则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40" w:name="_Hlk101132181"/>
      <w:r>
        <w:rPr>
          <w:rFonts w:hint="eastAsia" w:ascii="宋体" w:hAnsi="宋体" w:cs="宋体"/>
          <w:color w:val="auto"/>
          <w:sz w:val="24"/>
          <w:highlight w:val="none"/>
        </w:rPr>
        <w:t>联合协议或者分包意向协议约定小微企业的合同份额占到合同总金额30%以上的</w:t>
      </w:r>
      <w:bookmarkEnd w:id="40"/>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highlight w:val="none"/>
        </w:rPr>
        <w:t>面向中小企业采购的政府采购项目或者采购包不再执行价格扣除政策。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84"/>
        <w:rPr>
          <w:bCs/>
          <w:color w:val="auto"/>
          <w:highlight w:val="none"/>
        </w:rPr>
      </w:pPr>
      <w:r>
        <w:rPr>
          <w:rFonts w:hint="eastAsia"/>
          <w:color w:val="auto"/>
          <w:highlight w:val="none"/>
        </w:rPr>
        <w:t>3.6平等对待符合条件的破产重整企业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pStyle w:val="84"/>
        <w:rPr>
          <w:color w:val="auto"/>
          <w:highlight w:val="none"/>
        </w:rPr>
      </w:pPr>
      <w:r>
        <w:rPr>
          <w:rFonts w:hint="eastAsia"/>
          <w:color w:val="auto"/>
          <w:highlight w:val="none"/>
        </w:rPr>
        <w:t>询问联系部门：北海市政府采购中心采购一科  联系电话：0779-3071101  地址：北海市海城区陈文村北路7号市直机关第三办公区</w:t>
      </w:r>
    </w:p>
    <w:p>
      <w:pPr>
        <w:pStyle w:val="84"/>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地址：北海市海城区陈文村北路7号市直机关第三办公区</w:t>
      </w:r>
    </w:p>
    <w:p>
      <w:pPr>
        <w:pStyle w:val="84"/>
        <w:rPr>
          <w:color w:val="auto"/>
          <w:highlight w:val="none"/>
        </w:rPr>
      </w:pPr>
      <w:r>
        <w:rPr>
          <w:rFonts w:hint="eastAsia"/>
          <w:color w:val="auto"/>
          <w:highlight w:val="none"/>
        </w:rPr>
        <w:t>投诉联系部门：北海市财政局  联系电话：</w:t>
      </w:r>
      <w:r>
        <w:rPr>
          <w:rFonts w:cs="宋体"/>
          <w:color w:val="auto"/>
          <w:highlight w:val="none"/>
        </w:rPr>
        <w:t>0779-3063975</w:t>
      </w:r>
      <w:r>
        <w:rPr>
          <w:rFonts w:hint="eastAsia"/>
          <w:color w:val="auto"/>
          <w:highlight w:val="none"/>
        </w:rPr>
        <w:t xml:space="preserve">  地址：北海市海城区北部湾西路19号</w:t>
      </w:r>
    </w:p>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pPr>
        <w:pStyle w:val="888"/>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int="eastAsia" w:hAnsi="宋体" w:eastAsia="宋体" w:cs="宋体"/>
          <w:color w:val="auto"/>
          <w:sz w:val="24"/>
          <w:highlight w:val="none"/>
          <w:lang w:eastAsia="zh-CN"/>
        </w:rPr>
      </w:pPr>
      <w:r>
        <w:rPr>
          <w:rFonts w:hint="eastAsia" w:hAnsi="宋体" w:cs="宋体"/>
          <w:color w:val="auto"/>
          <w:sz w:val="24"/>
          <w:highlight w:val="none"/>
          <w:lang w:eastAsia="zh-CN"/>
        </w:rPr>
        <w:t>本项目不收取保证金。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投标文件的组成（标注“▲”为实质性要求，供应商必须提供，否则投标无效。相关格式见招标文件第六部分）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11.1.1符合参加政府采购活动应当具备的一般条件的承诺函；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41" w:name="_Hlk101259339"/>
      <w:r>
        <w:rPr>
          <w:rFonts w:hint="eastAsia" w:ascii="宋体" w:hAnsi="宋体" w:cs="宋体"/>
          <w:snapToGrid w:val="0"/>
          <w:color w:val="auto"/>
          <w:kern w:val="28"/>
          <w:sz w:val="24"/>
          <w:szCs w:val="20"/>
          <w:highlight w:val="none"/>
        </w:rPr>
        <w:t>联合协议</w:t>
      </w:r>
      <w:bookmarkEnd w:id="41"/>
      <w:r>
        <w:rPr>
          <w:rFonts w:hint="eastAsia" w:ascii="宋体" w:hAnsi="宋体" w:cs="宋体"/>
          <w:snapToGrid w:val="0"/>
          <w:color w:val="auto"/>
          <w:kern w:val="28"/>
          <w:sz w:val="24"/>
          <w:szCs w:val="20"/>
          <w:highlight w:val="none"/>
        </w:rPr>
        <w:t>（如果有)；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482" w:firstLineChars="200"/>
        <w:rPr>
          <w:rFonts w:ascii="宋体" w:hAnsi="宋体" w:cs="宋体"/>
          <w:color w:val="auto"/>
          <w:sz w:val="24"/>
          <w:highlight w:val="none"/>
          <w:lang w:val="zh-CN"/>
        </w:rPr>
      </w:pPr>
      <w:r>
        <w:rPr>
          <w:rFonts w:hint="eastAsia" w:hAnsi="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4"/>
        <w:rPr>
          <w:color w:val="auto"/>
          <w:highlight w:val="none"/>
        </w:rPr>
      </w:pPr>
      <w:r>
        <w:rPr>
          <w:rFonts w:hint="eastAsia" w:cs="宋体"/>
          <w:b/>
          <w:color w:val="auto"/>
          <w:szCs w:val="24"/>
          <w:highlight w:val="none"/>
        </w:rPr>
        <w:t>▲</w:t>
      </w:r>
      <w:r>
        <w:rPr>
          <w:rFonts w:hint="eastAsia"/>
          <w:color w:val="auto"/>
          <w:highlight w:val="none"/>
        </w:rPr>
        <w:t>11.2.9承诺函；</w:t>
      </w:r>
    </w:p>
    <w:p>
      <w:pPr>
        <w:pStyle w:val="84"/>
        <w:rPr>
          <w:color w:val="auto"/>
          <w:highlight w:val="none"/>
        </w:rPr>
      </w:pPr>
      <w:r>
        <w:rPr>
          <w:rFonts w:hint="eastAsia"/>
          <w:color w:val="auto"/>
          <w:highlight w:val="none"/>
        </w:rPr>
        <w:t>11.2.10技术解决方案</w:t>
      </w:r>
      <w:r>
        <w:rPr>
          <w:rFonts w:hint="eastAsia" w:cs="宋体"/>
          <w:snapToGrid w:val="0"/>
          <w:color w:val="auto"/>
          <w:kern w:val="28"/>
          <w:highlight w:val="none"/>
        </w:rPr>
        <w:t>（如果有)</w:t>
      </w:r>
      <w:r>
        <w:rPr>
          <w:rFonts w:hint="eastAsia"/>
          <w:color w:val="auto"/>
          <w:highlight w:val="none"/>
        </w:rPr>
        <w:t>。可以是针对本项目的完整技术解决方案和实施方案；详细阐述项目方案的实现思路及关键技术；符合本项目对当前和未来发展的要求；以及对功能设计和实施计划的建议；</w:t>
      </w:r>
    </w:p>
    <w:p>
      <w:pPr>
        <w:pStyle w:val="84"/>
        <w:rPr>
          <w:color w:val="auto"/>
          <w:highlight w:val="none"/>
        </w:rPr>
      </w:pPr>
      <w:r>
        <w:rPr>
          <w:rFonts w:hint="eastAsia"/>
          <w:color w:val="auto"/>
          <w:highlight w:val="none"/>
        </w:rPr>
        <w:t>11.2.11组织实施方案</w:t>
      </w:r>
      <w:r>
        <w:rPr>
          <w:rFonts w:hint="eastAsia" w:cs="宋体"/>
          <w:snapToGrid w:val="0"/>
          <w:color w:val="auto"/>
          <w:kern w:val="28"/>
          <w:highlight w:val="none"/>
        </w:rPr>
        <w:t>（如果有)</w:t>
      </w:r>
      <w:r>
        <w:rPr>
          <w:rFonts w:hint="eastAsia"/>
          <w:color w:val="auto"/>
          <w:highlight w:val="none"/>
        </w:rPr>
        <w:t>。可以是本项目详细工作实施组织方案，包括(但不限于)以下内容：组织机构、工作时间进度表、工作程序和步骤、管理和协调方法、关键步骤的思路和要点；</w:t>
      </w:r>
    </w:p>
    <w:p>
      <w:pPr>
        <w:pStyle w:val="84"/>
        <w:rPr>
          <w:color w:val="auto"/>
          <w:highlight w:val="none"/>
        </w:rPr>
      </w:pPr>
      <w:r>
        <w:rPr>
          <w:rFonts w:hint="eastAsia" w:cs="宋体"/>
          <w:b/>
          <w:color w:val="auto"/>
          <w:szCs w:val="24"/>
          <w:highlight w:val="none"/>
        </w:rPr>
        <w:t>▲</w:t>
      </w:r>
      <w:r>
        <w:rPr>
          <w:rFonts w:hint="eastAsia"/>
          <w:color w:val="auto"/>
          <w:highlight w:val="none"/>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15.2备份投标文件须在“广西政府采购云平台投标客户端”制作生成，并储存在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42" w:name="_Toc91899903"/>
      <w:r>
        <w:rPr>
          <w:rFonts w:hint="eastAsia" w:ascii="宋体" w:hAnsi="宋体" w:cs="宋体"/>
          <w:b/>
          <w:color w:val="auto"/>
          <w:sz w:val="24"/>
          <w:highlight w:val="none"/>
        </w:rPr>
        <w:t>21.评标</w:t>
      </w:r>
    </w:p>
    <w:p>
      <w:pPr>
        <w:pStyle w:val="84"/>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pStyle w:val="84"/>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pPr>
        <w:pStyle w:val="84"/>
        <w:rPr>
          <w:color w:val="auto"/>
          <w:highlight w:val="none"/>
        </w:rPr>
      </w:pP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b/>
          <w:bCs/>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pPr>
        <w:pStyle w:val="84"/>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8"/>
          <w:rFonts w:ascii="宋体" w:hAnsi="宋体" w:eastAsia="宋体" w:cs="Times New Roman"/>
          <w:snapToGrid/>
          <w:color w:val="auto"/>
          <w:sz w:val="24"/>
          <w:szCs w:val="20"/>
          <w:highlight w:val="none"/>
        </w:rPr>
        <w:t>https://jinrong.gcy.zfcg.gxzf.gov.cn/finance/loan/gx</w:t>
      </w:r>
      <w:r>
        <w:rPr>
          <w:rStyle w:val="78"/>
          <w:rFonts w:ascii="宋体" w:hAnsi="宋体" w:eastAsia="宋体" w:cs="Times New Roman"/>
          <w:snapToGrid/>
          <w:color w:val="auto"/>
          <w:sz w:val="24"/>
          <w:szCs w:val="20"/>
          <w:highlight w:val="none"/>
        </w:rPr>
        <w:fldChar w:fldCharType="end"/>
      </w:r>
      <w:r>
        <w:rPr>
          <w:rFonts w:hint="eastAsia"/>
          <w:color w:val="auto"/>
          <w:highlight w:val="none"/>
        </w:rPr>
        <w:t>）</w:t>
      </w:r>
    </w:p>
    <w:p>
      <w:pPr>
        <w:pStyle w:val="84"/>
        <w:rPr>
          <w:color w:val="auto"/>
          <w:highlight w:val="none"/>
        </w:rPr>
      </w:pPr>
      <w:r>
        <w:rPr>
          <w:rFonts w:hint="eastAsia"/>
          <w:color w:val="auto"/>
          <w:highlight w:val="none"/>
        </w:rPr>
        <w:t>2.合作银行咨询办理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银行名称</w:t>
            </w:r>
          </w:p>
        </w:tc>
        <w:tc>
          <w:tcPr>
            <w:tcW w:w="1134" w:type="dxa"/>
            <w:vAlign w:val="center"/>
          </w:tcPr>
          <w:p>
            <w:pPr>
              <w:pStyle w:val="84"/>
              <w:ind w:firstLine="0"/>
              <w:jc w:val="center"/>
              <w:rPr>
                <w:color w:val="auto"/>
                <w:highlight w:val="none"/>
              </w:rPr>
            </w:pPr>
            <w:r>
              <w:rPr>
                <w:rFonts w:hint="eastAsia"/>
                <w:color w:val="auto"/>
                <w:highlight w:val="none"/>
              </w:rPr>
              <w:t>联系电话</w:t>
            </w:r>
          </w:p>
        </w:tc>
        <w:tc>
          <w:tcPr>
            <w:tcW w:w="1701" w:type="dxa"/>
            <w:vAlign w:val="center"/>
          </w:tcPr>
          <w:p>
            <w:pPr>
              <w:pStyle w:val="84"/>
              <w:ind w:firstLine="0"/>
              <w:jc w:val="center"/>
              <w:rPr>
                <w:color w:val="auto"/>
                <w:highlight w:val="none"/>
              </w:rPr>
            </w:pPr>
            <w:r>
              <w:rPr>
                <w:rFonts w:hint="eastAsia"/>
                <w:color w:val="auto"/>
                <w:highlight w:val="none"/>
              </w:rPr>
              <w:t>最高授信金额</w:t>
            </w:r>
          </w:p>
        </w:tc>
        <w:tc>
          <w:tcPr>
            <w:tcW w:w="993" w:type="dxa"/>
            <w:vAlign w:val="center"/>
          </w:tcPr>
          <w:p>
            <w:pPr>
              <w:pStyle w:val="84"/>
              <w:ind w:firstLine="0"/>
              <w:jc w:val="center"/>
              <w:rPr>
                <w:color w:val="auto"/>
                <w:highlight w:val="none"/>
              </w:rPr>
            </w:pPr>
            <w:r>
              <w:rPr>
                <w:rFonts w:hint="eastAsia"/>
                <w:color w:val="auto"/>
                <w:highlight w:val="none"/>
              </w:rPr>
              <w:t>最长授信期限</w:t>
            </w:r>
          </w:p>
        </w:tc>
        <w:tc>
          <w:tcPr>
            <w:tcW w:w="850" w:type="dxa"/>
            <w:vAlign w:val="center"/>
          </w:tcPr>
          <w:p>
            <w:pPr>
              <w:pStyle w:val="84"/>
              <w:ind w:firstLine="0"/>
              <w:jc w:val="center"/>
              <w:rPr>
                <w:color w:val="auto"/>
                <w:highlight w:val="none"/>
              </w:rPr>
            </w:pPr>
            <w:r>
              <w:rPr>
                <w:rFonts w:hint="eastAsia"/>
                <w:color w:val="auto"/>
                <w:highlight w:val="none"/>
              </w:rPr>
              <w:t>最低利率</w:t>
            </w:r>
          </w:p>
        </w:tc>
        <w:tc>
          <w:tcPr>
            <w:tcW w:w="3366" w:type="dxa"/>
            <w:vAlign w:val="center"/>
          </w:tcPr>
          <w:p>
            <w:pPr>
              <w:pStyle w:val="84"/>
              <w:ind w:firstLine="0"/>
              <w:jc w:val="center"/>
              <w:rPr>
                <w:color w:val="auto"/>
                <w:highlight w:val="none"/>
              </w:rPr>
            </w:pPr>
            <w:r>
              <w:rPr>
                <w:rFonts w:hint="eastAsia"/>
                <w:color w:val="auto"/>
                <w:highlight w:val="none"/>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建设银行</w:t>
            </w:r>
          </w:p>
        </w:tc>
        <w:tc>
          <w:tcPr>
            <w:tcW w:w="1134" w:type="dxa"/>
            <w:vAlign w:val="center"/>
          </w:tcPr>
          <w:p>
            <w:pPr>
              <w:pStyle w:val="84"/>
              <w:ind w:firstLine="0"/>
              <w:jc w:val="center"/>
              <w:rPr>
                <w:color w:val="auto"/>
                <w:highlight w:val="none"/>
              </w:rPr>
            </w:pPr>
            <w:r>
              <w:rPr>
                <w:rFonts w:hint="eastAsia"/>
                <w:color w:val="auto"/>
                <w:highlight w:val="none"/>
              </w:rPr>
              <w:t>13077729988</w:t>
            </w:r>
          </w:p>
        </w:tc>
        <w:tc>
          <w:tcPr>
            <w:tcW w:w="1701" w:type="dxa"/>
            <w:vAlign w:val="center"/>
          </w:tcPr>
          <w:p>
            <w:pPr>
              <w:pStyle w:val="84"/>
              <w:ind w:firstLine="0"/>
              <w:rPr>
                <w:color w:val="auto"/>
                <w:highlight w:val="none"/>
              </w:rPr>
            </w:pPr>
            <w:r>
              <w:rPr>
                <w:rFonts w:hint="eastAsia"/>
                <w:color w:val="auto"/>
                <w:highlight w:val="none"/>
              </w:rPr>
              <w:t>最高3千万</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4%</w:t>
            </w:r>
          </w:p>
        </w:tc>
        <w:tc>
          <w:tcPr>
            <w:tcW w:w="3366" w:type="dxa"/>
            <w:vAlign w:val="center"/>
          </w:tcPr>
          <w:p>
            <w:pPr>
              <w:pStyle w:val="84"/>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中国银行</w:t>
            </w:r>
          </w:p>
        </w:tc>
        <w:tc>
          <w:tcPr>
            <w:tcW w:w="1134" w:type="dxa"/>
            <w:vAlign w:val="center"/>
          </w:tcPr>
          <w:p>
            <w:pPr>
              <w:pStyle w:val="84"/>
              <w:ind w:firstLine="0"/>
              <w:jc w:val="center"/>
              <w:rPr>
                <w:color w:val="auto"/>
                <w:highlight w:val="none"/>
              </w:rPr>
            </w:pPr>
            <w:r>
              <w:rPr>
                <w:rFonts w:hint="eastAsia"/>
                <w:color w:val="auto"/>
                <w:highlight w:val="none"/>
              </w:rPr>
              <w:t>0779-3997084</w:t>
            </w:r>
          </w:p>
        </w:tc>
        <w:tc>
          <w:tcPr>
            <w:tcW w:w="1701" w:type="dxa"/>
            <w:vAlign w:val="center"/>
          </w:tcPr>
          <w:p>
            <w:pPr>
              <w:pStyle w:val="84"/>
              <w:ind w:firstLine="0"/>
              <w:rPr>
                <w:color w:val="auto"/>
                <w:highlight w:val="none"/>
              </w:rPr>
            </w:pPr>
            <w:r>
              <w:rPr>
                <w:rFonts w:hint="eastAsia"/>
                <w:color w:val="auto"/>
                <w:highlight w:val="none"/>
              </w:rPr>
              <w:t>最高1千万</w:t>
            </w:r>
          </w:p>
        </w:tc>
        <w:tc>
          <w:tcPr>
            <w:tcW w:w="993" w:type="dxa"/>
            <w:vAlign w:val="center"/>
          </w:tcPr>
          <w:p>
            <w:pPr>
              <w:pStyle w:val="84"/>
              <w:ind w:firstLine="0"/>
              <w:jc w:val="center"/>
              <w:rPr>
                <w:color w:val="auto"/>
                <w:highlight w:val="none"/>
              </w:rPr>
            </w:pPr>
            <w:r>
              <w:rPr>
                <w:rFonts w:hint="eastAsia"/>
                <w:color w:val="auto"/>
                <w:highlight w:val="none"/>
              </w:rPr>
              <w:t>3年</w:t>
            </w:r>
          </w:p>
        </w:tc>
        <w:tc>
          <w:tcPr>
            <w:tcW w:w="850" w:type="dxa"/>
            <w:vAlign w:val="center"/>
          </w:tcPr>
          <w:p>
            <w:pPr>
              <w:pStyle w:val="84"/>
              <w:ind w:firstLine="0"/>
              <w:jc w:val="center"/>
              <w:rPr>
                <w:color w:val="auto"/>
                <w:highlight w:val="none"/>
              </w:rPr>
            </w:pPr>
            <w:r>
              <w:rPr>
                <w:rFonts w:hint="eastAsia"/>
                <w:color w:val="auto"/>
                <w:highlight w:val="none"/>
              </w:rPr>
              <w:t>1.93%</w:t>
            </w:r>
          </w:p>
        </w:tc>
        <w:tc>
          <w:tcPr>
            <w:tcW w:w="3366" w:type="dxa"/>
            <w:vAlign w:val="center"/>
          </w:tcPr>
          <w:p>
            <w:pPr>
              <w:pStyle w:val="84"/>
              <w:ind w:firstLine="0"/>
              <w:rPr>
                <w:color w:val="auto"/>
                <w:highlight w:val="none"/>
              </w:rPr>
            </w:pPr>
            <w:r>
              <w:rPr>
                <w:rFonts w:hint="eastAsia"/>
                <w:color w:val="auto"/>
                <w:highlight w:val="none"/>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兴业银行</w:t>
            </w:r>
          </w:p>
        </w:tc>
        <w:tc>
          <w:tcPr>
            <w:tcW w:w="1134" w:type="dxa"/>
            <w:vAlign w:val="center"/>
          </w:tcPr>
          <w:p>
            <w:pPr>
              <w:pStyle w:val="84"/>
              <w:ind w:firstLine="0"/>
              <w:jc w:val="center"/>
              <w:rPr>
                <w:color w:val="auto"/>
                <w:highlight w:val="none"/>
              </w:rPr>
            </w:pPr>
            <w:r>
              <w:rPr>
                <w:rFonts w:hint="eastAsia"/>
                <w:color w:val="auto"/>
                <w:highlight w:val="none"/>
              </w:rPr>
              <w:t>0779-3158330</w:t>
            </w:r>
          </w:p>
        </w:tc>
        <w:tc>
          <w:tcPr>
            <w:tcW w:w="1701" w:type="dxa"/>
            <w:vAlign w:val="center"/>
          </w:tcPr>
          <w:p>
            <w:pPr>
              <w:pStyle w:val="84"/>
              <w:ind w:firstLine="0"/>
              <w:rPr>
                <w:color w:val="auto"/>
                <w:highlight w:val="none"/>
              </w:rPr>
            </w:pPr>
            <w:r>
              <w:rPr>
                <w:rFonts w:hint="eastAsia"/>
                <w:color w:val="auto"/>
                <w:highlight w:val="none"/>
              </w:rPr>
              <w:t>最高1千万（单笔提款金额达合同金额70%）</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3.70%</w:t>
            </w:r>
          </w:p>
        </w:tc>
        <w:tc>
          <w:tcPr>
            <w:tcW w:w="3366" w:type="dxa"/>
            <w:vAlign w:val="center"/>
          </w:tcPr>
          <w:p>
            <w:pPr>
              <w:pStyle w:val="84"/>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工商银行</w:t>
            </w:r>
          </w:p>
        </w:tc>
        <w:tc>
          <w:tcPr>
            <w:tcW w:w="1134" w:type="dxa"/>
            <w:vAlign w:val="center"/>
          </w:tcPr>
          <w:p>
            <w:pPr>
              <w:pStyle w:val="84"/>
              <w:ind w:firstLine="0"/>
              <w:jc w:val="center"/>
              <w:rPr>
                <w:color w:val="auto"/>
                <w:highlight w:val="none"/>
              </w:rPr>
            </w:pPr>
            <w:r>
              <w:rPr>
                <w:rFonts w:hint="eastAsia"/>
                <w:color w:val="auto"/>
                <w:highlight w:val="none"/>
              </w:rPr>
              <w:t>0779-3050645</w:t>
            </w:r>
          </w:p>
        </w:tc>
        <w:tc>
          <w:tcPr>
            <w:tcW w:w="1701" w:type="dxa"/>
            <w:vAlign w:val="center"/>
          </w:tcPr>
          <w:p>
            <w:pPr>
              <w:pStyle w:val="84"/>
              <w:ind w:firstLine="0"/>
              <w:rPr>
                <w:color w:val="auto"/>
                <w:highlight w:val="none"/>
              </w:rPr>
            </w:pPr>
            <w:r>
              <w:rPr>
                <w:rFonts w:hint="eastAsia"/>
                <w:color w:val="auto"/>
                <w:highlight w:val="none"/>
              </w:rPr>
              <w:t>最高1千万且不超过合同金额70%</w:t>
            </w:r>
          </w:p>
        </w:tc>
        <w:tc>
          <w:tcPr>
            <w:tcW w:w="993" w:type="dxa"/>
            <w:vAlign w:val="center"/>
          </w:tcPr>
          <w:p>
            <w:pPr>
              <w:pStyle w:val="84"/>
              <w:ind w:firstLine="0"/>
              <w:jc w:val="center"/>
              <w:rPr>
                <w:color w:val="auto"/>
                <w:highlight w:val="none"/>
              </w:rPr>
            </w:pPr>
            <w:r>
              <w:rPr>
                <w:rFonts w:hint="eastAsia"/>
                <w:color w:val="auto"/>
                <w:highlight w:val="none"/>
              </w:rPr>
              <w:t>货物类1年</w:t>
            </w:r>
          </w:p>
          <w:p>
            <w:pPr>
              <w:pStyle w:val="84"/>
              <w:ind w:firstLine="0"/>
              <w:jc w:val="center"/>
              <w:rPr>
                <w:color w:val="auto"/>
                <w:highlight w:val="none"/>
              </w:rPr>
            </w:pPr>
            <w:r>
              <w:rPr>
                <w:rFonts w:hint="eastAsia"/>
                <w:color w:val="auto"/>
                <w:highlight w:val="none"/>
              </w:rPr>
              <w:t>服务类3年</w:t>
            </w:r>
          </w:p>
          <w:p>
            <w:pPr>
              <w:pStyle w:val="84"/>
              <w:ind w:firstLine="0"/>
              <w:jc w:val="center"/>
              <w:rPr>
                <w:color w:val="auto"/>
                <w:highlight w:val="none"/>
              </w:rPr>
            </w:pPr>
            <w:r>
              <w:rPr>
                <w:rFonts w:hint="eastAsia"/>
                <w:color w:val="auto"/>
                <w:highlight w:val="none"/>
              </w:rPr>
              <w:t>工程类5年</w:t>
            </w:r>
          </w:p>
        </w:tc>
        <w:tc>
          <w:tcPr>
            <w:tcW w:w="850" w:type="dxa"/>
            <w:vAlign w:val="center"/>
          </w:tcPr>
          <w:p>
            <w:pPr>
              <w:pStyle w:val="84"/>
              <w:ind w:firstLine="0"/>
              <w:jc w:val="center"/>
              <w:rPr>
                <w:color w:val="auto"/>
                <w:highlight w:val="none"/>
              </w:rPr>
            </w:pPr>
            <w:r>
              <w:rPr>
                <w:rFonts w:hint="eastAsia"/>
                <w:color w:val="auto"/>
                <w:highlight w:val="none"/>
              </w:rPr>
              <w:t>3.45%</w:t>
            </w:r>
          </w:p>
        </w:tc>
        <w:tc>
          <w:tcPr>
            <w:tcW w:w="3366" w:type="dxa"/>
            <w:vAlign w:val="center"/>
          </w:tcPr>
          <w:p>
            <w:pPr>
              <w:pStyle w:val="84"/>
              <w:ind w:firstLine="0"/>
              <w:rPr>
                <w:color w:val="auto"/>
                <w:highlight w:val="none"/>
              </w:rPr>
            </w:pPr>
            <w:r>
              <w:rPr>
                <w:rFonts w:hint="eastAsia"/>
                <w:color w:val="auto"/>
                <w:highlight w:val="none"/>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国民村镇银行</w:t>
            </w:r>
          </w:p>
        </w:tc>
        <w:tc>
          <w:tcPr>
            <w:tcW w:w="1134" w:type="dxa"/>
            <w:vAlign w:val="center"/>
          </w:tcPr>
          <w:p>
            <w:pPr>
              <w:pStyle w:val="84"/>
              <w:ind w:firstLine="0"/>
              <w:jc w:val="center"/>
              <w:rPr>
                <w:color w:val="auto"/>
                <w:highlight w:val="none"/>
              </w:rPr>
            </w:pPr>
            <w:r>
              <w:rPr>
                <w:rFonts w:hint="eastAsia"/>
                <w:color w:val="auto"/>
                <w:highlight w:val="none"/>
              </w:rPr>
              <w:t>0779-2668801</w:t>
            </w:r>
          </w:p>
        </w:tc>
        <w:tc>
          <w:tcPr>
            <w:tcW w:w="1701" w:type="dxa"/>
            <w:vAlign w:val="center"/>
          </w:tcPr>
          <w:p>
            <w:pPr>
              <w:pStyle w:val="84"/>
              <w:ind w:firstLine="0"/>
              <w:rPr>
                <w:color w:val="auto"/>
                <w:highlight w:val="none"/>
              </w:rPr>
            </w:pPr>
            <w:r>
              <w:rPr>
                <w:rFonts w:hint="eastAsia"/>
                <w:color w:val="auto"/>
                <w:highlight w:val="none"/>
              </w:rPr>
              <w:t>最高500万</w:t>
            </w:r>
          </w:p>
        </w:tc>
        <w:tc>
          <w:tcPr>
            <w:tcW w:w="993" w:type="dxa"/>
            <w:vAlign w:val="center"/>
          </w:tcPr>
          <w:p>
            <w:pPr>
              <w:pStyle w:val="84"/>
              <w:ind w:firstLine="0"/>
              <w:jc w:val="center"/>
              <w:rPr>
                <w:color w:val="auto"/>
                <w:highlight w:val="none"/>
              </w:rPr>
            </w:pPr>
            <w:r>
              <w:rPr>
                <w:rFonts w:hint="eastAsia"/>
                <w:color w:val="auto"/>
                <w:highlight w:val="none"/>
              </w:rPr>
              <w:t>5年</w:t>
            </w:r>
          </w:p>
        </w:tc>
        <w:tc>
          <w:tcPr>
            <w:tcW w:w="850" w:type="dxa"/>
            <w:vAlign w:val="center"/>
          </w:tcPr>
          <w:p>
            <w:pPr>
              <w:pStyle w:val="84"/>
              <w:ind w:firstLine="0"/>
              <w:jc w:val="center"/>
              <w:rPr>
                <w:color w:val="auto"/>
                <w:highlight w:val="none"/>
              </w:rPr>
            </w:pPr>
            <w:r>
              <w:rPr>
                <w:rFonts w:hint="eastAsia"/>
                <w:color w:val="auto"/>
                <w:highlight w:val="none"/>
              </w:rPr>
              <w:t>2.80%</w:t>
            </w:r>
          </w:p>
        </w:tc>
        <w:tc>
          <w:tcPr>
            <w:tcW w:w="3366" w:type="dxa"/>
            <w:vAlign w:val="center"/>
          </w:tcPr>
          <w:p>
            <w:pPr>
              <w:pStyle w:val="84"/>
              <w:ind w:firstLine="0"/>
              <w:rPr>
                <w:color w:val="auto"/>
                <w:highlight w:val="none"/>
              </w:rPr>
            </w:pPr>
            <w:r>
              <w:rPr>
                <w:rFonts w:hint="eastAsia"/>
                <w:color w:val="auto"/>
                <w:highlight w:val="none"/>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桂林银行</w:t>
            </w:r>
          </w:p>
        </w:tc>
        <w:tc>
          <w:tcPr>
            <w:tcW w:w="1134" w:type="dxa"/>
            <w:vAlign w:val="center"/>
          </w:tcPr>
          <w:p>
            <w:pPr>
              <w:pStyle w:val="84"/>
              <w:ind w:firstLine="0"/>
              <w:jc w:val="center"/>
              <w:rPr>
                <w:color w:val="auto"/>
                <w:highlight w:val="none"/>
              </w:rPr>
            </w:pPr>
            <w:r>
              <w:rPr>
                <w:rFonts w:hint="eastAsia"/>
                <w:color w:val="auto"/>
                <w:highlight w:val="none"/>
              </w:rPr>
              <w:t>18577993959</w:t>
            </w:r>
          </w:p>
        </w:tc>
        <w:tc>
          <w:tcPr>
            <w:tcW w:w="1701" w:type="dxa"/>
            <w:vAlign w:val="center"/>
          </w:tcPr>
          <w:p>
            <w:pPr>
              <w:pStyle w:val="84"/>
              <w:ind w:firstLine="0"/>
              <w:rPr>
                <w:color w:val="auto"/>
                <w:highlight w:val="none"/>
              </w:rPr>
            </w:pPr>
            <w:r>
              <w:rPr>
                <w:rFonts w:hint="eastAsia"/>
                <w:color w:val="auto"/>
                <w:highlight w:val="none"/>
              </w:rPr>
              <w:t>最高1千万</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3.45%</w:t>
            </w:r>
          </w:p>
        </w:tc>
        <w:tc>
          <w:tcPr>
            <w:tcW w:w="3366" w:type="dxa"/>
            <w:vAlign w:val="center"/>
          </w:tcPr>
          <w:p>
            <w:pPr>
              <w:pStyle w:val="84"/>
              <w:ind w:firstLine="0"/>
              <w:rPr>
                <w:color w:val="auto"/>
                <w:highlight w:val="none"/>
              </w:rPr>
            </w:pPr>
            <w:r>
              <w:rPr>
                <w:rFonts w:hint="eastAsia"/>
                <w:color w:val="auto"/>
                <w:highlight w:val="none"/>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中小微商务服务公司</w:t>
            </w:r>
          </w:p>
        </w:tc>
        <w:tc>
          <w:tcPr>
            <w:tcW w:w="1134" w:type="dxa"/>
            <w:vAlign w:val="center"/>
          </w:tcPr>
          <w:p>
            <w:pPr>
              <w:pStyle w:val="84"/>
              <w:ind w:firstLine="0"/>
              <w:jc w:val="center"/>
              <w:rPr>
                <w:color w:val="auto"/>
                <w:highlight w:val="none"/>
              </w:rPr>
            </w:pPr>
            <w:r>
              <w:rPr>
                <w:rFonts w:hint="eastAsia"/>
                <w:color w:val="auto"/>
                <w:highlight w:val="none"/>
              </w:rPr>
              <w:t>19907799988</w:t>
            </w:r>
          </w:p>
        </w:tc>
        <w:tc>
          <w:tcPr>
            <w:tcW w:w="1701" w:type="dxa"/>
            <w:vAlign w:val="center"/>
          </w:tcPr>
          <w:p>
            <w:pPr>
              <w:pStyle w:val="84"/>
              <w:ind w:firstLine="0"/>
              <w:rPr>
                <w:color w:val="auto"/>
                <w:highlight w:val="none"/>
              </w:rPr>
            </w:pPr>
          </w:p>
        </w:tc>
        <w:tc>
          <w:tcPr>
            <w:tcW w:w="993" w:type="dxa"/>
            <w:vAlign w:val="center"/>
          </w:tcPr>
          <w:p>
            <w:pPr>
              <w:pStyle w:val="84"/>
              <w:ind w:firstLine="0"/>
              <w:jc w:val="center"/>
              <w:rPr>
                <w:color w:val="auto"/>
                <w:highlight w:val="none"/>
              </w:rPr>
            </w:pPr>
          </w:p>
        </w:tc>
        <w:tc>
          <w:tcPr>
            <w:tcW w:w="850" w:type="dxa"/>
            <w:vAlign w:val="center"/>
          </w:tcPr>
          <w:p>
            <w:pPr>
              <w:pStyle w:val="84"/>
              <w:ind w:firstLine="0"/>
              <w:jc w:val="center"/>
              <w:rPr>
                <w:color w:val="auto"/>
                <w:highlight w:val="none"/>
              </w:rPr>
            </w:pPr>
          </w:p>
        </w:tc>
        <w:tc>
          <w:tcPr>
            <w:tcW w:w="3366" w:type="dxa"/>
            <w:vAlign w:val="center"/>
          </w:tcPr>
          <w:p>
            <w:pPr>
              <w:pStyle w:val="84"/>
              <w:ind w:firstLine="0"/>
              <w:rPr>
                <w:color w:val="auto"/>
                <w:highlight w:val="none"/>
              </w:rPr>
            </w:pPr>
            <w:r>
              <w:rPr>
                <w:rFonts w:hint="eastAsia"/>
                <w:color w:val="auto"/>
                <w:highlight w:val="none"/>
              </w:rPr>
              <w:t>具体业务可电话咨询。</w:t>
            </w:r>
          </w:p>
        </w:tc>
      </w:tr>
    </w:tbl>
    <w:p>
      <w:pPr>
        <w:pStyle w:val="84"/>
        <w:rPr>
          <w:color w:val="auto"/>
          <w:highlight w:val="none"/>
        </w:rPr>
      </w:pPr>
      <w:r>
        <w:rPr>
          <w:rFonts w:hint="eastAsia"/>
          <w:color w:val="auto"/>
          <w:highlight w:val="none"/>
        </w:rPr>
        <w:t>注：表中联系电话、授信金额、授信期限、最低利率等信息可能动态更新，仅供参考，具体以办理时相关银行公布的为准。</w:t>
      </w:r>
    </w:p>
    <w:p>
      <w:pPr>
        <w:pStyle w:val="84"/>
        <w:numPr>
          <w:ilvl w:val="0"/>
          <w:numId w:val="0"/>
        </w:numPr>
        <w:rPr>
          <w:rFonts w:hint="eastAsia" w:cs="宋体"/>
          <w:b/>
          <w:color w:val="auto"/>
          <w:highlight w:val="none"/>
        </w:rPr>
      </w:pPr>
      <w:r>
        <w:rPr>
          <w:rFonts w:hint="eastAsia" w:cs="宋体"/>
          <w:b/>
          <w:color w:val="auto"/>
          <w:highlight w:val="none"/>
          <w:lang w:val="en-US" w:eastAsia="zh-CN"/>
        </w:rPr>
        <w:t>26.</w:t>
      </w:r>
      <w:r>
        <w:rPr>
          <w:rFonts w:hint="eastAsia" w:cs="宋体"/>
          <w:b/>
          <w:color w:val="auto"/>
          <w:highlight w:val="none"/>
        </w:rPr>
        <w:t>履约保证金：</w:t>
      </w:r>
      <w:bookmarkStart w:id="43" w:name="OLE_LINK104"/>
      <w:bookmarkStart w:id="44" w:name="OLE_LINK215"/>
      <w:bookmarkStart w:id="45" w:name="OLE_LINK103"/>
      <w:bookmarkStart w:id="46" w:name="OLE_LINK214"/>
    </w:p>
    <w:p>
      <w:pPr>
        <w:pStyle w:val="84"/>
        <w:numPr>
          <w:ilvl w:val="0"/>
          <w:numId w:val="0"/>
        </w:numPr>
        <w:ind w:firstLine="480" w:firstLineChars="200"/>
        <w:rPr>
          <w:b w:val="0"/>
          <w:bCs/>
          <w:color w:val="auto"/>
          <w:highlight w:val="none"/>
        </w:rPr>
      </w:pPr>
      <w:r>
        <w:rPr>
          <w:rFonts w:hint="eastAsia" w:cs="宋体"/>
          <w:b w:val="0"/>
          <w:bCs/>
          <w:color w:val="auto"/>
          <w:highlight w:val="none"/>
        </w:rPr>
        <w:t>本项目不收取履约保证金。</w:t>
      </w:r>
      <w:bookmarkEnd w:id="43"/>
      <w:bookmarkEnd w:id="44"/>
      <w:bookmarkEnd w:id="45"/>
      <w:bookmarkEnd w:id="46"/>
    </w:p>
    <w:p>
      <w:pPr>
        <w:pStyle w:val="26"/>
        <w:spacing w:line="360" w:lineRule="auto"/>
        <w:ind w:left="479" w:hanging="479" w:hangingChars="199"/>
        <w:rPr>
          <w:rFonts w:cs="宋体"/>
          <w:b/>
          <w:color w:val="auto"/>
          <w:highlight w:val="none"/>
        </w:rPr>
      </w:pPr>
      <w:r>
        <w:rPr>
          <w:rFonts w:cs="宋体"/>
          <w:b/>
          <w:color w:val="auto"/>
          <w:highlight w:val="none"/>
        </w:rPr>
        <w:t>27.预付款</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2"/>
    <w:p>
      <w:pPr>
        <w:tabs>
          <w:tab w:val="left" w:pos="0"/>
        </w:tabs>
        <w:spacing w:line="360" w:lineRule="auto"/>
        <w:ind w:firstLine="480"/>
        <w:rPr>
          <w:rFonts w:ascii="宋体" w:hAnsi="宋体" w:cs="宋体"/>
          <w:color w:val="auto"/>
          <w:kern w:val="0"/>
          <w:sz w:val="24"/>
          <w:highlight w:val="none"/>
        </w:rPr>
      </w:pPr>
      <w:bookmarkStart w:id="47" w:name="_Hlt68072990"/>
      <w:bookmarkEnd w:id="47"/>
      <w:bookmarkStart w:id="48" w:name="_Hlt68072998"/>
      <w:bookmarkEnd w:id="48"/>
      <w:bookmarkStart w:id="49" w:name="_Hlt68073093"/>
      <w:bookmarkEnd w:id="49"/>
      <w:bookmarkStart w:id="50" w:name="_Hlt74707468"/>
      <w:bookmarkEnd w:id="50"/>
      <w:bookmarkStart w:id="51" w:name="_Hlt75236011"/>
      <w:bookmarkEnd w:id="51"/>
      <w:bookmarkStart w:id="52" w:name="_Hlt68057669"/>
      <w:bookmarkEnd w:id="52"/>
      <w:bookmarkStart w:id="53" w:name="_Hlt68403820"/>
      <w:bookmarkEnd w:id="53"/>
      <w:bookmarkStart w:id="54" w:name="_Hlt74729768"/>
      <w:bookmarkEnd w:id="54"/>
      <w:bookmarkStart w:id="55" w:name="_Hlt75236101"/>
      <w:bookmarkEnd w:id="55"/>
      <w:bookmarkStart w:id="56" w:name="_Hlt74714665"/>
      <w:bookmarkEnd w:id="56"/>
      <w:bookmarkStart w:id="57" w:name="_Hlt74730295"/>
      <w:bookmarkEnd w:id="57"/>
      <w:bookmarkStart w:id="58" w:name="_Hlt75236290"/>
      <w:bookmarkEnd w:id="58"/>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pPr>
        <w:pStyle w:val="26"/>
        <w:spacing w:line="360" w:lineRule="auto"/>
        <w:ind w:firstLine="0" w:firstLineChars="0"/>
        <w:rPr>
          <w:rFonts w:cs="宋体"/>
          <w:b/>
          <w:color w:val="auto"/>
          <w:highlight w:val="none"/>
        </w:rPr>
      </w:pPr>
      <w:r>
        <w:rPr>
          <w:rFonts w:hint="eastAsia" w:cs="宋体"/>
          <w:b/>
          <w:color w:val="auto"/>
          <w:highlight w:val="none"/>
        </w:rPr>
        <w:t>31.代理费用的收取标准和方式</w:t>
      </w:r>
    </w:p>
    <w:p>
      <w:pPr>
        <w:snapToGrid w:val="0"/>
        <w:spacing w:line="360" w:lineRule="auto"/>
        <w:ind w:firstLine="420" w:firstLineChars="200"/>
        <w:rPr>
          <w:rFonts w:hint="eastAsia" w:ascii="宋体" w:hAnsi="宋体" w:eastAsia="宋体" w:cs="宋体"/>
          <w:bCs/>
          <w:color w:val="auto"/>
          <w:sz w:val="24"/>
          <w:highlight w:val="none"/>
          <w:lang w:eastAsia="zh-CN"/>
        </w:rPr>
      </w:pPr>
      <w:r>
        <w:rPr>
          <w:rFonts w:hint="eastAsia" w:cs="宋体"/>
          <w:color w:val="auto"/>
          <w:kern w:val="2"/>
          <w:szCs w:val="24"/>
          <w:highlight w:val="none"/>
          <w:lang w:eastAsia="zh-CN"/>
        </w:rPr>
        <w:t>本项目不收取代理服务费。</w:t>
      </w:r>
    </w:p>
    <w:p>
      <w:pPr>
        <w:pStyle w:val="84"/>
        <w:rPr>
          <w:rFonts w:cs="宋体"/>
          <w:b/>
          <w:color w:val="auto"/>
          <w:kern w:val="2"/>
          <w:sz w:val="32"/>
          <w:szCs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737" w:footer="850" w:gutter="0"/>
          <w:cols w:space="720" w:num="1"/>
          <w:titlePg/>
          <w:docGrid w:linePitch="312" w:charSpace="0"/>
        </w:sectPr>
      </w:pPr>
    </w:p>
    <w:bookmarkEnd w:id="37"/>
    <w:bookmarkEnd w:id="38"/>
    <w:p>
      <w:pPr>
        <w:spacing w:line="360" w:lineRule="auto"/>
        <w:jc w:val="center"/>
        <w:outlineLvl w:val="0"/>
        <w:rPr>
          <w:rFonts w:ascii="宋体" w:hAnsi="宋体" w:cs="宋体"/>
          <w:b/>
          <w:color w:val="auto"/>
          <w:sz w:val="36"/>
          <w:szCs w:val="36"/>
          <w:highlight w:val="none"/>
        </w:rPr>
      </w:pPr>
      <w:bookmarkStart w:id="59" w:name="_Toc176343850"/>
      <w:bookmarkStart w:id="60" w:name="_Toc176185121"/>
      <w:bookmarkStart w:id="61" w:name="第四部分"/>
      <w:r>
        <w:rPr>
          <w:rFonts w:hint="eastAsia" w:ascii="宋体" w:hAnsi="宋体" w:cs="宋体"/>
          <w:b/>
          <w:color w:val="auto"/>
          <w:sz w:val="36"/>
          <w:szCs w:val="36"/>
          <w:highlight w:val="none"/>
        </w:rPr>
        <w:t>第三部分  采购需求</w:t>
      </w:r>
      <w:bookmarkEnd w:id="59"/>
      <w:bookmarkEnd w:id="60"/>
    </w:p>
    <w:p>
      <w:pPr>
        <w:spacing w:line="300" w:lineRule="exact"/>
        <w:rPr>
          <w:rFonts w:ascii="宋体" w:hAnsi="宋体" w:cs="宋体"/>
          <w:bCs/>
          <w:color w:val="auto"/>
          <w:szCs w:val="21"/>
          <w:highlight w:val="none"/>
        </w:rPr>
      </w:pPr>
      <w:bookmarkStart w:id="62" w:name="OLE_LINK19"/>
      <w:bookmarkStart w:id="63" w:name="_Toc9838479"/>
      <w:r>
        <w:rPr>
          <w:rFonts w:hint="eastAsia" w:ascii="宋体" w:hAnsi="宋体" w:cs="宋体"/>
          <w:bCs/>
          <w:color w:val="auto"/>
          <w:szCs w:val="21"/>
          <w:highlight w:val="none"/>
        </w:rPr>
        <w:t>说明：</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1.下表中的品牌型号、技术参数仅起参考作用，投标人可选用其他品牌型号替代，但这些替代的产品要实质上相当于或优于参考品牌型号及其技术参数性能（配置）要求。</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snapToGrid w:val="0"/>
        <w:spacing w:line="300" w:lineRule="exact"/>
        <w:ind w:firstLine="420" w:firstLineChars="200"/>
        <w:rPr>
          <w:rFonts w:ascii="宋体" w:hAnsi="宋体"/>
          <w:b/>
          <w:bCs/>
          <w:color w:val="auto"/>
          <w:szCs w:val="21"/>
          <w:highlight w:val="none"/>
        </w:rPr>
      </w:pPr>
      <w:r>
        <w:rPr>
          <w:rFonts w:hint="eastAsia" w:ascii="宋体" w:hAnsi="宋体"/>
          <w:bCs/>
          <w:color w:val="auto"/>
          <w:szCs w:val="21"/>
          <w:highlight w:val="none"/>
        </w:rPr>
        <w:t>4.</w:t>
      </w:r>
      <w:r>
        <w:rPr>
          <w:rFonts w:hint="eastAsia" w:ascii="宋体" w:hAnsi="宋体" w:cs="宋体"/>
          <w:bCs/>
          <w:color w:val="auto"/>
          <w:sz w:val="22"/>
          <w:szCs w:val="22"/>
          <w:highlight w:val="none"/>
        </w:rPr>
        <w:t>采购需求一览表中标注“▲</w:t>
      </w:r>
      <w:r>
        <w:rPr>
          <w:rFonts w:hint="eastAsia" w:ascii="宋体" w:hAnsi="宋体" w:cs="宋体"/>
          <w:bCs/>
          <w:color w:val="auto"/>
          <w:highlight w:val="none"/>
        </w:rPr>
        <w:t>”</w:t>
      </w:r>
      <w:r>
        <w:rPr>
          <w:rFonts w:hint="eastAsia" w:ascii="宋体" w:hAnsi="宋体" w:cs="宋体"/>
          <w:bCs/>
          <w:color w:val="auto"/>
          <w:sz w:val="22"/>
          <w:szCs w:val="22"/>
          <w:highlight w:val="none"/>
        </w:rPr>
        <w:t>详细技术参数及配备要求、商务要求必须响应满足或优于，否则</w:t>
      </w:r>
      <w:r>
        <w:rPr>
          <w:rFonts w:hint="eastAsia" w:ascii="宋体" w:hAnsi="宋体" w:cs="宋体"/>
          <w:b/>
          <w:bCs/>
          <w:color w:val="auto"/>
          <w:sz w:val="22"/>
          <w:szCs w:val="22"/>
          <w:highlight w:val="none"/>
        </w:rPr>
        <w:t>投标无效</w:t>
      </w:r>
      <w:r>
        <w:rPr>
          <w:rFonts w:hint="eastAsia" w:ascii="宋体" w:hAnsi="宋体" w:cs="宋体"/>
          <w:bCs/>
          <w:color w:val="auto"/>
          <w:sz w:val="22"/>
          <w:szCs w:val="22"/>
          <w:highlight w:val="none"/>
        </w:rPr>
        <w:t>。</w:t>
      </w:r>
      <w:r>
        <w:rPr>
          <w:rFonts w:hint="eastAsia" w:ascii="宋体" w:hAnsi="宋体" w:cs="宋体"/>
          <w:bCs/>
          <w:color w:val="auto"/>
          <w:spacing w:val="-6"/>
          <w:sz w:val="22"/>
          <w:szCs w:val="22"/>
          <w:highlight w:val="none"/>
        </w:rPr>
        <w:t>重要技术参数是指采购需求中带“</w:t>
      </w:r>
      <w:r>
        <w:rPr>
          <w:rFonts w:hint="eastAsia" w:cs="宋体" w:asciiTheme="minorEastAsia" w:hAnsiTheme="minorEastAsia" w:eastAsiaTheme="minorEastAsia"/>
          <w:color w:val="auto"/>
          <w:szCs w:val="21"/>
          <w:highlight w:val="none"/>
        </w:rPr>
        <w:t>★</w:t>
      </w:r>
      <w:r>
        <w:rPr>
          <w:rFonts w:hint="eastAsia" w:ascii="宋体" w:hAnsi="宋体" w:cs="宋体"/>
          <w:bCs/>
          <w:color w:val="auto"/>
          <w:spacing w:val="-6"/>
          <w:sz w:val="22"/>
          <w:szCs w:val="22"/>
          <w:highlight w:val="none"/>
        </w:rPr>
        <w:t>”的条款，重要技术参数将作为评审打分的重要依据。</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5.本项目的政府采购预算控制价为（人民币）：</w:t>
      </w:r>
      <w:r>
        <w:rPr>
          <w:rFonts w:hint="eastAsia" w:ascii="宋体" w:hAnsi="宋体" w:cs="宋体"/>
          <w:bCs/>
          <w:color w:val="auto"/>
          <w:sz w:val="22"/>
          <w:szCs w:val="22"/>
          <w:highlight w:val="none"/>
          <w:lang w:eastAsia="zh-CN"/>
        </w:rPr>
        <w:t>3520000.00</w:t>
      </w:r>
      <w:r>
        <w:rPr>
          <w:rFonts w:hint="eastAsia" w:ascii="宋体" w:hAnsi="宋体" w:cs="宋体"/>
          <w:bCs/>
          <w:color w:val="auto"/>
          <w:sz w:val="22"/>
          <w:szCs w:val="22"/>
          <w:highlight w:val="none"/>
        </w:rPr>
        <w:t>元,投标报价超过预算控制价的投标无效。</w:t>
      </w:r>
    </w:p>
    <w:p>
      <w:pPr>
        <w:spacing w:line="300" w:lineRule="exact"/>
        <w:ind w:firstLine="422" w:firstLineChars="200"/>
        <w:rPr>
          <w:rFonts w:ascii="宋体" w:hAnsi="宋体" w:cs="宋体"/>
          <w:bCs/>
          <w:color w:val="auto"/>
          <w:sz w:val="22"/>
          <w:szCs w:val="22"/>
          <w:highlight w:val="none"/>
        </w:rPr>
      </w:pPr>
      <w:r>
        <w:rPr>
          <w:rFonts w:hint="eastAsia" w:ascii="宋体" w:hAnsi="宋体" w:cs="宋体"/>
          <w:b/>
          <w:bCs/>
          <w:color w:val="auto"/>
          <w:kern w:val="0"/>
          <w:szCs w:val="21"/>
          <w:highlight w:val="none"/>
          <w:lang w:bidi="ar"/>
        </w:rPr>
        <w:t>6.本项目核心产品：电磁炒菜机+拼台。</w:t>
      </w:r>
      <w:r>
        <w:rPr>
          <w:rFonts w:hint="eastAsia" w:ascii="宋体" w:hAnsi="宋体" w:cs="宋体"/>
          <w:bCs/>
          <w:color w:val="auto"/>
          <w:sz w:val="22"/>
          <w:szCs w:val="22"/>
          <w:highlight w:val="none"/>
        </w:rPr>
        <w:t xml:space="preserve"> </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7.根据《关于印发中小企业划型标准规定的通知》（工信部联企业〔2011〕300号）规定的划分标准，本项目采购所有标的对应的中小企业划分标准所属行业为：工业。</w:t>
      </w:r>
    </w:p>
    <w:bookmarkEnd w:id="62"/>
    <w:bookmarkEnd w:id="63"/>
    <w:tbl>
      <w:tblPr>
        <w:tblStyle w:val="64"/>
        <w:tblpPr w:leftFromText="180" w:rightFromText="180" w:vertAnchor="text" w:horzAnchor="page" w:tblpX="914" w:tblpY="288"/>
        <w:tblOverlap w:val="never"/>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431"/>
        <w:gridCol w:w="544"/>
        <w:gridCol w:w="544"/>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gridSpan w:val="5"/>
            <w:vAlign w:val="center"/>
          </w:tcPr>
          <w:p>
            <w:pPr>
              <w:jc w:val="center"/>
              <w:rPr>
                <w:rFonts w:cs="仿宋" w:asciiTheme="minorEastAsia" w:hAnsiTheme="minorEastAsia" w:eastAsiaTheme="minorEastAsia"/>
                <w:b/>
                <w:bCs/>
                <w:color w:val="auto"/>
                <w:szCs w:val="21"/>
                <w:highlight w:val="none"/>
              </w:rPr>
            </w:pPr>
            <w:bookmarkStart w:id="64" w:name="OLE_LINK30"/>
            <w:bookmarkStart w:id="65" w:name="OLE_LINK31"/>
            <w:r>
              <w:rPr>
                <w:rFonts w:hint="eastAsia" w:cs="仿宋" w:asciiTheme="minorEastAsia" w:hAnsiTheme="minorEastAsia" w:eastAsiaTheme="minorEastAsia"/>
                <w:b/>
                <w:bCs/>
                <w:color w:val="auto"/>
                <w:szCs w:val="21"/>
                <w:highlight w:val="none"/>
              </w:rPr>
              <w:t>技术参数要求表</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0" w:type="pct"/>
            <w:vAlign w:val="center"/>
          </w:tcPr>
          <w:p>
            <w:pPr>
              <w:jc w:val="center"/>
              <w:rPr>
                <w:rFonts w:hint="eastAsia" w:cs="仿宋" w:asciiTheme="minorEastAsia" w:hAnsiTheme="minorEastAsia" w:eastAsiaTheme="minorEastAsia"/>
                <w:color w:val="auto"/>
                <w:szCs w:val="21"/>
                <w:highlight w:val="none"/>
                <w:lang w:eastAsia="zh-CN"/>
              </w:rPr>
            </w:pPr>
            <w:r>
              <w:rPr>
                <w:rFonts w:hint="eastAsia" w:cs="仿宋" w:asciiTheme="minorEastAsia" w:hAnsiTheme="minorEastAsia" w:eastAsiaTheme="minorEastAsia"/>
                <w:color w:val="auto"/>
                <w:szCs w:val="21"/>
                <w:highlight w:val="none"/>
                <w:lang w:eastAsia="zh-CN"/>
              </w:rPr>
              <w:t>序号</w:t>
            </w:r>
          </w:p>
        </w:tc>
        <w:tc>
          <w:tcPr>
            <w:tcW w:w="697" w:type="pct"/>
            <w:vAlign w:val="center"/>
          </w:tcPr>
          <w:p>
            <w:pPr>
              <w:jc w:val="center"/>
              <w:rPr>
                <w:rFonts w:hint="eastAsia" w:cs="仿宋" w:asciiTheme="minorEastAsia" w:hAnsiTheme="minorEastAsia" w:eastAsiaTheme="minorEastAsia"/>
                <w:color w:val="auto"/>
                <w:szCs w:val="21"/>
                <w:highlight w:val="none"/>
                <w:lang w:eastAsia="zh-CN"/>
              </w:rPr>
            </w:pPr>
            <w:r>
              <w:rPr>
                <w:rFonts w:hint="eastAsia" w:cs="仿宋" w:asciiTheme="minorEastAsia" w:hAnsiTheme="minorEastAsia" w:eastAsiaTheme="minorEastAsia"/>
                <w:color w:val="auto"/>
                <w:szCs w:val="21"/>
                <w:highlight w:val="none"/>
                <w:lang w:eastAsia="zh-CN"/>
              </w:rPr>
              <w:t>项目名称</w:t>
            </w:r>
          </w:p>
        </w:tc>
        <w:tc>
          <w:tcPr>
            <w:tcW w:w="265" w:type="pct"/>
            <w:vAlign w:val="center"/>
          </w:tcPr>
          <w:p>
            <w:pPr>
              <w:widowControl/>
              <w:jc w:val="center"/>
              <w:textAlignment w:val="center"/>
              <w:rPr>
                <w:rFonts w:hint="eastAsia" w:cs="仿宋" w:asciiTheme="minorEastAsia" w:hAnsiTheme="minorEastAsia" w:eastAsiaTheme="minorEastAsia"/>
                <w:color w:val="auto"/>
                <w:szCs w:val="21"/>
                <w:highlight w:val="none"/>
                <w:lang w:eastAsia="zh-CN"/>
              </w:rPr>
            </w:pPr>
            <w:r>
              <w:rPr>
                <w:rFonts w:hint="eastAsia" w:ascii="宋体" w:hAnsi="宋体" w:cs="宋体"/>
                <w:color w:val="auto"/>
                <w:kern w:val="0"/>
                <w:sz w:val="20"/>
                <w:szCs w:val="20"/>
                <w:highlight w:val="none"/>
                <w:lang w:bidi="ar"/>
              </w:rPr>
              <w:t>单位</w:t>
            </w:r>
          </w:p>
        </w:tc>
        <w:tc>
          <w:tcPr>
            <w:tcW w:w="265" w:type="pct"/>
            <w:vAlign w:val="center"/>
          </w:tcPr>
          <w:p>
            <w:pPr>
              <w:widowControl/>
              <w:jc w:val="center"/>
              <w:textAlignment w:val="center"/>
              <w:rPr>
                <w:rFonts w:hint="eastAsia" w:cs="仿宋" w:asciiTheme="minorEastAsia" w:hAnsiTheme="minorEastAsia" w:eastAsiaTheme="minorEastAsia"/>
                <w:color w:val="auto"/>
                <w:szCs w:val="21"/>
                <w:highlight w:val="none"/>
                <w:lang w:eastAsia="zh-CN"/>
              </w:rPr>
            </w:pPr>
            <w:r>
              <w:rPr>
                <w:rFonts w:hint="eastAsia" w:ascii="宋体" w:hAnsi="宋体" w:cs="宋体"/>
                <w:color w:val="auto"/>
                <w:kern w:val="0"/>
                <w:sz w:val="20"/>
                <w:szCs w:val="20"/>
                <w:highlight w:val="none"/>
                <w:lang w:bidi="ar"/>
              </w:rPr>
              <w:t>数量</w:t>
            </w:r>
          </w:p>
        </w:tc>
        <w:tc>
          <w:tcPr>
            <w:tcW w:w="3492" w:type="pct"/>
            <w:vAlign w:val="center"/>
          </w:tcPr>
          <w:p>
            <w:pPr>
              <w:widowControl/>
              <w:jc w:val="center"/>
              <w:textAlignment w:val="center"/>
              <w:rPr>
                <w:rFonts w:hint="eastAsia" w:cs="仿宋" w:asciiTheme="minorEastAsia" w:hAnsiTheme="minorEastAsia" w:eastAsiaTheme="minorEastAsia"/>
                <w:color w:val="auto"/>
                <w:szCs w:val="21"/>
                <w:highlight w:val="none"/>
                <w:lang w:eastAsia="zh-CN"/>
              </w:rPr>
            </w:pPr>
            <w:r>
              <w:rPr>
                <w:rFonts w:hint="eastAsia" w:ascii="宋体" w:hAnsi="宋体" w:cs="宋体"/>
                <w:color w:val="auto"/>
                <w:kern w:val="0"/>
                <w:sz w:val="20"/>
                <w:szCs w:val="20"/>
                <w:highlight w:val="none"/>
                <w:lang w:bidi="ar"/>
              </w:rPr>
              <w:t>详细技术参数及配备要求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5"/>
            <w:vAlign w:val="center"/>
          </w:tcPr>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一、小学伙房设备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电磁炒菜机+拼台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105</w:t>
            </w:r>
          </w:p>
        </w:tc>
        <w:tc>
          <w:tcPr>
            <w:tcW w:w="3492" w:type="pct"/>
            <w:vAlign w:val="center"/>
          </w:tcPr>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380伏30千瓦，外形尺寸:1200*1300*800+400mm，锅直径：1米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1、外壳采用国际钢号面板201#1.5厚不锈钢制作，侧板1.2mm厚，防水7级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2.IGBT采用工业级别系列，持久且耐用；产品需要有CQC食品接触认证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3.全能防水、防油烟散热风扇，50000小时寿命保证；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4.320~420VAC宽电压设计，智能恒功率技术；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5.工业级CPU，能智能识别及锁定锅具材质、高度，相位等参数的变化进行自适应调节，防止IGBT模块的过流、过压损坏；具有EMI滤波单元，能主动吸收电网的雷击浪涌产生的异常电压，防止核心器件高压击穿；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6.输入输出电流保护；纳秒相位跟踪、输出短路响应机制；数字锁相环引擎；动态谐振点跟踪；IGBT温度检测与极限电流保护。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7.开机自检功能双重卸载性能保护设置，电路板采用全贴片工艺自动化生产多级防护三重立体防辐射外壳屏蔽。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功能动态显示屏带工作电压、档位指示、档位功率、电量统计显示、风机动态工作显示、中文故障显示(线盘异常、线盘超温、请放锅具、锅具超温、机芯超温、开关异常、电压异常)，方便判断故障、维修处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★9.显示屏防护等级需达到IP68级，并有对应检测报告；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10.档火力磁感应技术控制，无机械摩擦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左右侧板采用“双颌咬合”结构，有效防止产品在两侧冲水时，水进入机壳内部；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后背板与炉面板采用“椅式”结构，防止厨师使用时冲水通过后封板进入机壳或损坏散热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风机；前面板采用“卡楔“结构，防前面冲淋，美观易安装；★电磁炉风机需提供检测报告加盖投标人公章。★电磁炉炒锅需提供检测报告加盖投标人公章。★电磁灶需提供能效等级报告加盖投标人公章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24盘蒸饭柜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96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1.规格：1400*615*1530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2.功率：12*2kw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整机结构强度高，內箱钣金为高铜</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201优质不锈钢组成，整体拉伸成型，美观易清洁，强度倍增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4.整体高密度环戊烷发泡 , 环保、节能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★.所投产品符合GB4706.1-2005和IEC 60335-1:2004标准要求的产品标志证书及检测报告，提供复印件加盖公章。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★.所投产品依据GB4806.9-2016标准检验，符合标准并获取证书，提供证书及检测报告复印件加盖公章（食品可接触安全认证）。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★.所投产品使用加热管材质为304板材，符合GB31604.49-2016、GB4806.9.2016标准，提供检测报告复印件加盖公章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★.产品符合GB21551.2-2010检测标准，提供检测报告复印件加盖公章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★.产品依据GB/T16172-2007/GB8624-2012检测，满足检测标准并获得认证，提供检测报告复印件加盖公章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三槽洗菜池（含架）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110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尺寸180CM*60CM*80cm,采用304不锈钢0.7厚度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45升电钣锅</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80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容量45L，电压220v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大吸力抽油烟机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109</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0.</w:t>
            </w:r>
            <w:r>
              <w:rPr>
                <w:rFonts w:hint="eastAsia" w:ascii="宋体" w:hAnsi="宋体" w:cs="宋体"/>
                <w:color w:val="auto"/>
                <w:kern w:val="0"/>
                <w:sz w:val="20"/>
                <w:szCs w:val="20"/>
                <w:highlight w:val="none"/>
                <w:lang w:val="en-US" w:eastAsia="zh-CN" w:bidi="ar"/>
              </w:rPr>
              <w:t>65mm不锈钢板</w:t>
            </w:r>
            <w:r>
              <w:rPr>
                <w:rFonts w:hint="eastAsia" w:ascii="宋体" w:hAnsi="宋体" w:cs="宋体"/>
                <w:color w:val="auto"/>
                <w:kern w:val="0"/>
                <w:sz w:val="20"/>
                <w:szCs w:val="20"/>
                <w:highlight w:val="none"/>
                <w:lang w:bidi="ar"/>
              </w:rPr>
              <w:t>，外形尺寸135cm*125cm，风机风量2000-3000</w:t>
            </w:r>
            <w:r>
              <w:rPr>
                <w:rFonts w:hint="eastAsia" w:ascii="宋体" w:hAnsi="宋体" w:cs="宋体"/>
                <w:color w:val="auto"/>
                <w:kern w:val="0"/>
                <w:sz w:val="20"/>
                <w:szCs w:val="20"/>
                <w:highlight w:val="none"/>
                <w:lang w:val="en-US" w:eastAsia="zh-CN" w:bidi="ar"/>
              </w:rPr>
              <w:t>m</w:t>
            </w:r>
            <w:r>
              <w:rPr>
                <w:rFonts w:hint="eastAsia" w:ascii="宋体" w:hAnsi="宋体" w:cs="宋体"/>
                <w:color w:val="auto"/>
                <w:kern w:val="0"/>
                <w:sz w:val="20"/>
                <w:szCs w:val="20"/>
                <w:highlight w:val="none"/>
                <w:vertAlign w:val="superscript"/>
                <w:lang w:val="en-US" w:eastAsia="zh-CN" w:bidi="ar"/>
              </w:rPr>
              <w:t>3</w:t>
            </w:r>
            <w:r>
              <w:rPr>
                <w:rFonts w:hint="eastAsia" w:ascii="宋体" w:hAnsi="宋体" w:cs="宋体"/>
                <w:color w:val="auto"/>
                <w:kern w:val="0"/>
                <w:sz w:val="20"/>
                <w:szCs w:val="20"/>
                <w:highlight w:val="none"/>
                <w:lang w:val="en-US" w:eastAsia="zh-CN" w:bidi="ar"/>
              </w:rPr>
              <w:t>/h</w:t>
            </w:r>
            <w:r>
              <w:rPr>
                <w:rFonts w:hint="eastAsia" w:ascii="宋体" w:hAnsi="宋体" w:cs="宋体"/>
                <w:color w:val="auto"/>
                <w:kern w:val="0"/>
                <w:sz w:val="20"/>
                <w:szCs w:val="20"/>
                <w:highlight w:val="none"/>
                <w:lang w:bidi="ar"/>
              </w:rPr>
              <w:t>，电压220</w:t>
            </w:r>
            <w:r>
              <w:rPr>
                <w:rFonts w:hint="eastAsia" w:ascii="宋体" w:hAnsi="宋体" w:cs="宋体"/>
                <w:color w:val="auto"/>
                <w:kern w:val="0"/>
                <w:sz w:val="20"/>
                <w:szCs w:val="20"/>
                <w:highlight w:val="none"/>
                <w:lang w:val="en-US" w:eastAsia="zh-CN" w:bidi="ar"/>
              </w:rPr>
              <w:t>V</w:t>
            </w:r>
            <w:r>
              <w:rPr>
                <w:rFonts w:hint="eastAsia" w:ascii="宋体" w:hAnsi="宋体" w:cs="宋体"/>
                <w:color w:val="auto"/>
                <w:kern w:val="0"/>
                <w:sz w:val="20"/>
                <w:szCs w:val="20"/>
                <w:highlight w:val="none"/>
                <w:lang w:bidi="ar"/>
              </w:rPr>
              <w:t>，功率：0.37kw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二星级800升消毒柜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114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1.功率：1.8kw；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2.外形尺寸：1150*510*1890mm（公差+/-5mm）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3.容积：≥800L；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★4.消毒温度： 40-120℃可调，消毒星级：2星级；要求能对幽门螺杆菌ATCC43504/白色葡萄球菌8032/金黄色葡萄球菌ATCC6538等菌种杀灭。率&gt;99.999%，提供正式检测报告加盖投标人公章。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5.材质：整体聚氨酯发泡，全无磁不锈钢板材，整体一体成型门；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5.消毒时间：时间可根据使用需求调整；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★6.消毒方式：高温热风循环，隐藏式发热管耐燃性符合JB/T4088要求，发热管材质符合GB4806.7要求，提供检测报告加盖投标人公章；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7.层架材质：全无磁不锈钢材料，五层，要求符合GB/T2423.3-2016恒定湿热要求；载重：≥25KG/层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7</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四层置物架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214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100cm*50cm*155cm，承重50公斤，整体201不锈钢;厚度 0.6mm厚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8</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四门冰箱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108</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温度范围：冷藏10~-5℃ 冷冻-12~-15℃ 容量： 900L ，压缩机：万宝EY72/FKD66ML，尺寸(mm)1190</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690</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1950 ，★所投产品需提供3C认证证书加盖投标人公章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9</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留样冰箱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容积：45L；电压(v)220；功率(w85；温度范围(0-10），自动蒸发冷凝水，层架数量（1）；外形尺寸(mm)405*440*552；★所投产品需提供3C认证证书加盖投标人公章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5"/>
            <w:vAlign w:val="center"/>
          </w:tcPr>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二、中学伙房设备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燃气锅+拼台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外观尺寸1220mm*1300mm*1250mm；额定电压220v，锅直径900mm；点火方式：手动点火/脉动点火。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拼台尺寸35cm*135cm*80cm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★需提供检测报告和3c认证加盖投标人公章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蒸饭柜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8</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1.规格：1610*800*1525</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2.功率：12*3</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kern w:val="0"/>
                <w:sz w:val="20"/>
                <w:szCs w:val="20"/>
                <w:highlight w:val="none"/>
                <w:lang w:bidi="ar"/>
              </w:rPr>
              <w:t>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整机结构强度高，內箱钣金为高铜201优质不锈钢组成，整体拉伸成型，美观易清洁，强度倍增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4.整体高密度环戊烷发泡 , 环保、节能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★.所投产品符合GB4706.1-2005和IEC 60335-1:2004标准要求的产品标志证书及检测报告，提供复印件加盖投标人公章。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★.所投产品依据GB4806.9-2016标准检验，符合标准并获取证书，提供证书及检测报告复印件加盖投标人公章（食品可接触安全认证）。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★.所投产品使用加热管材质为304板材，符合GB31604.49-2016、GB4806.9.2016标准，提供检测报告复印件加盖公章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★.产品符合GB21551.2-2010检测标准，提供检测报告复印件加盖投标人公章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★.产品依据GB/T16172-2007/GB8624-2012检测，满足检测标准并获得认证，提供检测报告复印件加盖投标人公章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电粥桶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容量170升；电压380V；功率12kw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电开水器（含底座）</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电压380v；功率12kw，容量80L；尺寸500*250*925mm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多功能切菜机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尺寸：330*400*630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,功率：1.1KW，电压220V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智能切肉机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尺寸：550*380*740MM，电压：220V，功率：1500W,可选厚度：2.5MM/3.5MM/5MM,   切肉口：1个，裸机重量：52KG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升降机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额定载量:200kg 额定速度;0.4mvs(单速) 电梯功率:0.75kw 开门尺寸;900mm(宽)1200mm(高)，★需提供CE认证证书复印件加盖投标人公章。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17</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留样冰箱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容量：260L 额定电压/频率:220V/50HZ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制冷方式:直冷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18</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蒸汽煮汤炉</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桶内尺寸：800*800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直径*高度，单位：mm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，电压380V，功率15KW，容量：400L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19</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汤桶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3.0mm厚304食品级不锈钢，尺寸45CM，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消毒柜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1.功率：1.8kw；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2.外形尺寸：1150*510*1890mm（公差+/-5mm）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3.容积：800L；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★4.消毒温度： 40-120℃可调，消毒星级：2星级；要求能对幽门螺杆菌ATCC43504/白色葡萄球菌8032/金黄色葡萄球菌ATCC6538等菌种杀灭率&gt;99.999%，提供正式检测报告加盖投标人公章；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5.材质：整体聚氨酯发泡，全无磁不锈钢板材，整体一体成型门；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5.消毒时间：时间可根据使用需求调整；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★6.消毒方式：高温热风循环，隐藏式发热管耐燃性符合JB/T4088要求，发热管材质符合GB4806.7要求，提供检测报告加盖投标人公章；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7.层架材质：全无磁不锈钢材料，五层，要求符合GB/T2423.3-2016恒定湿热要求；载重：≥25KG/层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四层不锈钢储物架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尺寸100cm*50cm*155cm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，整体采用201不锈钢0.6mm厚，承重50公斤。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米面架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1500*600*150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，不锈钢201,0.8mm厚度。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变温商用冰柜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温度范围：冷藏10~-5℃ 冷冻-12~-15℃ 容量： 900L ，压缩机：万宝EY72/FKD66ML， 尺寸： 1210x710x1950mm。★需提供3C认证复印件加盖投标人公章。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抽油烟机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定制，3米长，0.8mm厚</w:t>
            </w:r>
            <w:r>
              <w:rPr>
                <w:rFonts w:hint="eastAsia" w:ascii="宋体" w:hAnsi="宋体" w:cs="宋体"/>
                <w:color w:val="auto"/>
                <w:kern w:val="0"/>
                <w:sz w:val="20"/>
                <w:szCs w:val="20"/>
                <w:highlight w:val="none"/>
                <w:lang w:val="en-US" w:eastAsia="zh-CN" w:bidi="ar"/>
              </w:rPr>
              <w:t>201</w:t>
            </w:r>
            <w:r>
              <w:rPr>
                <w:rFonts w:hint="eastAsia" w:ascii="宋体" w:hAnsi="宋体" w:cs="宋体"/>
                <w:color w:val="auto"/>
                <w:kern w:val="0"/>
                <w:sz w:val="20"/>
                <w:szCs w:val="20"/>
                <w:highlight w:val="none"/>
                <w:lang w:bidi="ar"/>
              </w:rPr>
              <w:t>不锈钢面板，油烟净化一体机，★需提供产品检测报告和环境保护产品认证证书加盖投标人公章。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不锈钢三星水池</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不锈钢304食品级材质0.7mm厚度，外形尺寸150cm*60cm*80cm。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电饭锅</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容量45L，电压220v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27</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32升破壁机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定时，急停功能，不锈钢机身。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28</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学生餐桌椅（8人桌）</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300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桌面0.6毫米厚304不锈钢，外观尺寸：2000mm（长）*1500mm（宽）*750mm（高)</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29</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烫粉机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600*600*800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电压：220v  功率：6kw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30</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水塔</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不锈钢304食品级，厚度0.5mm，容量2吨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双层工作台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外形尺寸1800*800*800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；不锈钢304食品级材质面板0.8mm厚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不锈钢双层送餐车</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尺寸：900*500*900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不绣钢304食品级面板0.8mm厚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不锈钢平板车</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规格：长870*宽500*高900</w:t>
            </w:r>
            <w:r>
              <w:rPr>
                <w:rFonts w:hint="eastAsia" w:ascii="宋体" w:hAnsi="宋体" w:cs="宋体"/>
                <w:color w:val="auto"/>
                <w:kern w:val="0"/>
                <w:sz w:val="20"/>
                <w:szCs w:val="20"/>
                <w:highlight w:val="none"/>
                <w:lang w:val="en-US" w:eastAsia="zh-CN" w:bidi="ar"/>
              </w:rPr>
              <w:t>(单位：</w:t>
            </w: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不绣钢304食品级面板0.8mm厚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明厨亮灶（监控）</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摄像机10个：1/2.8英寸500万像素CMOS传感器；4mm高清定焦镜头，人脸识别摄像机1个：支架11个；16口交换机1个；20路录像机主机1个；硬盘2个：8T一个22寸监视器1个；55寸监视器1个；分屏解码器1个；普料线材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（全景温湿度一体机）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1、静态数字显示，适于同步录音录像。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内置MIC和扬声器，具有不少于1个RJ45接口、1路音频输入接口、1路音频输出接口、2路报警输入接口、1路报警输出接口、1个RS485接口、1个复位按钮、1个存储卡接口。(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3、支持自动校准时钟，与摄像机、录像机时间同步。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★4、支持通过触摸按键设置显示屏年、月、日、时、分、秒，支持调节年月日自动联动星期显示。(投标文件中提供具有CMA标识的检测报告复印件并加盖投标人公章)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★5、支持将实时温湿度信息叠加到视频画面上(投标文件中提供具有CMA标识的检测报告复印件并加盖投标人公章)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6、不大于2.1mm超广角定焦镜头，支持ICR双滤切换。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★7、摄像机分辨率不低于2592×1944。(投标文件中提供具有CMA标识的检测报告复印件并加盖投标人公章)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8、支持音频异常检测报警提示，支持超高音报警。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9、支持音视频本地存储卡存储，录制的文件可使用通用播放软件播放。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★10、摄像机支持畸变矫正、远端放大功能(投标文件中提供具有CMA标识的检测报告复印件并加盖投标人公章)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11、支持红外、白光补光，红外距离不低于15m。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12、支持POE、DC12V供电。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电子称（大）</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壁扇</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40</w:t>
            </w:r>
          </w:p>
        </w:tc>
        <w:tc>
          <w:tcPr>
            <w:tcW w:w="3492" w:type="pct"/>
            <w:vAlign w:val="center"/>
          </w:tcPr>
          <w:p>
            <w:pPr>
              <w:widowControl/>
              <w:jc w:val="both"/>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bidi="ar"/>
              </w:rPr>
              <w:t>功率150w ，直径550</w:t>
            </w:r>
            <w:r>
              <w:rPr>
                <w:rFonts w:hint="eastAsia" w:ascii="宋体" w:hAnsi="宋体" w:cs="宋体"/>
                <w:color w:val="auto"/>
                <w:kern w:val="0"/>
                <w:sz w:val="20"/>
                <w:szCs w:val="20"/>
                <w:highlight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37</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碎肉机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材质：不锈钢食品级，功率：800W,转速1400r/min</w:t>
            </w:r>
            <w:r>
              <w:rPr>
                <w:rFonts w:hint="eastAsia" w:ascii="宋体" w:hAnsi="宋体" w:cs="宋体"/>
                <w:color w:val="auto"/>
                <w:kern w:val="0"/>
                <w:sz w:val="20"/>
                <w:szCs w:val="20"/>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38</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大豆浆机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功率：5000W，容量：20-30L，304不锈钢桶身，一键清洗功能</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39</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和面机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尺寸：39.5*32.5*35.5</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长*宽*高，单位：cm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,使用电压：220V，功率1500W，和面量10.5-15KG</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40</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发酵箱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单门，16层  电压：220V   功率：2.6KW   尺寸：500*700*1880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单位：mm</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三层烤箱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额定电压380v3n，功率19.8kw 尺寸1220*910*1465mm，电脑控温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工业落地扇</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w:t>
            </w:r>
          </w:p>
        </w:tc>
        <w:tc>
          <w:tcPr>
            <w:tcW w:w="3492" w:type="pct"/>
            <w:vAlign w:val="center"/>
          </w:tcPr>
          <w:p>
            <w:pPr>
              <w:widowControl/>
              <w:jc w:val="both"/>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 xml:space="preserve"> 功率：290W  直径：650</w:t>
            </w:r>
            <w:r>
              <w:rPr>
                <w:rFonts w:hint="eastAsia" w:ascii="宋体" w:hAnsi="宋体" w:cs="宋体"/>
                <w:color w:val="auto"/>
                <w:kern w:val="0"/>
                <w:sz w:val="20"/>
                <w:szCs w:val="20"/>
                <w:highlight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地板吹风机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电压220v  功率1000w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40斤菜篮筐</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外形62cm*47cm*30cm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大砧板</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PE材质直径40cm厚度5cm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砍切刀</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 31cm*9cm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jc w:val="center"/>
              <w:rPr>
                <w:rFonts w:cs="仿宋" w:asciiTheme="minorEastAsia" w:hAnsiTheme="minorEastAsia" w:eastAsiaTheme="minorEastAsia"/>
                <w:color w:val="auto"/>
                <w:szCs w:val="21"/>
                <w:highlight w:val="none"/>
              </w:rPr>
            </w:pPr>
            <w:bookmarkStart w:id="66" w:name="OLE_LINK35"/>
            <w:bookmarkStart w:id="67" w:name="OLE_LINK34"/>
            <w:r>
              <w:rPr>
                <w:rFonts w:hint="eastAsia" w:ascii="宋体" w:hAnsi="宋体" w:eastAsia="宋体" w:cs="宋体"/>
                <w:color w:val="auto"/>
                <w:kern w:val="0"/>
                <w:sz w:val="21"/>
                <w:szCs w:val="21"/>
                <w:highlight w:val="none"/>
                <w:lang w:val="en-US" w:eastAsia="zh-CN"/>
              </w:rPr>
              <w:t>▲</w:t>
            </w:r>
            <w:r>
              <w:rPr>
                <w:rFonts w:hint="eastAsia" w:cs="仿宋" w:asciiTheme="minorEastAsia" w:hAnsiTheme="minorEastAsia" w:eastAsiaTheme="minorEastAsia"/>
                <w:b/>
                <w:bCs/>
                <w:color w:val="auto"/>
                <w:szCs w:val="21"/>
                <w:highlight w:val="none"/>
              </w:rPr>
              <w:t>商务要求表</w:t>
            </w:r>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一、合同签订期：自中标通知书发出之日起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5日内。</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二、交货（交付）时间：签订合同后 </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 xml:space="preserve"> 个日历日，如因甲方及其他客观原因导致交付延期，不算作乙方违约，交付周期可视延期时间往后顺延。</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三、交货地点：采购人指定地点。</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四、付款时间和方式：</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项目验收合格后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个日历日内支付中标合同金额</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0％。</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五、质量要求：</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货物必须是全新合格产品，产品质量符合国家相关标准及安全规范；</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供应商须按国家有关规定实行“三包”，免费送货上门。提供现场免费安装、调试设备，进行操作试验，直至运行正常；</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采购方对供应商所交货物依照采购文件上的技术规格要求和国家有关标准进行现场验收，性能达到技术要求的，给予签收。验收不合格的不予签收，后果由供货方负责。</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六、售后服务要求：</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成交人和采购单位应在现场进行清点。清点过程中如果发现因包装或运输不当引起的仪器外观或内部的损坏，成交人应承担所有责任。</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2.维修响应：成交供应商在接到用户维修电话后 4 小时内响应，12 小时内到达现场修理解决，并免费更换有缺陷的货物或零部件，24小时内恢复正常使用，若不能修复则应有合理应对方案。定期回访，对设备进行预防性维护指导。</w:t>
            </w:r>
          </w:p>
          <w:p>
            <w:pPr>
              <w:keepNext w:val="0"/>
              <w:keepLines w:val="0"/>
              <w:pageBreakBefore w:val="0"/>
              <w:kinsoku/>
              <w:wordWrap/>
              <w:overflowPunct/>
              <w:topLinePunct w:val="0"/>
              <w:autoSpaceDE/>
              <w:autoSpaceDN/>
              <w:bidi w:val="0"/>
              <w:adjustRightInd w:val="0"/>
              <w:spacing w:line="360" w:lineRule="auto"/>
              <w:jc w:val="left"/>
              <w:textAlignment w:val="auto"/>
              <w:rPr>
                <w:rFonts w:cs="仿宋" w:asciiTheme="minorEastAsia" w:hAnsiTheme="minorEastAsia" w:eastAsiaTheme="minorEastAsia"/>
                <w:color w:val="auto"/>
                <w:szCs w:val="21"/>
                <w:highlight w:val="none"/>
              </w:rPr>
            </w:pPr>
            <w:r>
              <w:rPr>
                <w:rFonts w:hint="eastAsia" w:ascii="宋体" w:hAnsi="宋体" w:eastAsia="宋体" w:cs="宋体"/>
                <w:color w:val="auto"/>
                <w:kern w:val="0"/>
                <w:sz w:val="21"/>
                <w:szCs w:val="21"/>
                <w:highlight w:val="none"/>
                <w:lang w:val="en-US" w:eastAsia="zh-CN"/>
              </w:rPr>
              <w:t xml:space="preserve">3.成交供应商除承担运输、安装、调试、验收与培训等义务外，还将为采购方提供免费技术支持，包括保修期外的修理及技术指导、配件供应等。 </w:t>
            </w:r>
            <w:r>
              <w:rPr>
                <w:rFonts w:hint="eastAsia" w:ascii="宋体" w:hAnsi="宋体" w:eastAsia="宋体" w:cs="宋体"/>
                <w:color w:val="auto"/>
                <w:kern w:val="0"/>
                <w:sz w:val="21"/>
                <w:szCs w:val="21"/>
                <w:highlight w:val="none"/>
              </w:rPr>
              <w:t>质量保证期：质保期不少于一年（若厂家免费质保期超过一年的，按厂家规定执行），质保期自双方代表在系统及设备安装调试后的验收证明文件上签字之日起计算，质保期内，按国家有关产品“三包”规定执行“三包”。</w:t>
            </w:r>
          </w:p>
        </w:tc>
      </w:tr>
    </w:tbl>
    <w:p>
      <w:pPr>
        <w:pStyle w:val="3"/>
        <w:rPr>
          <w:color w:val="auto"/>
          <w:highlight w:val="none"/>
          <w:lang w:val="en-US"/>
        </w:rPr>
      </w:pPr>
    </w:p>
    <w:p>
      <w:pPr>
        <w:tabs>
          <w:tab w:val="center" w:pos="4153"/>
          <w:tab w:val="right" w:pos="8306"/>
        </w:tabs>
        <w:adjustRightInd/>
        <w:snapToGrid w:val="0"/>
        <w:rPr>
          <w:color w:val="auto"/>
          <w:sz w:val="18"/>
          <w:szCs w:val="18"/>
          <w:highlight w:val="none"/>
        </w:rPr>
      </w:pPr>
    </w:p>
    <w:p>
      <w:pPr>
        <w:adjustRightInd/>
        <w:spacing w:before="25" w:after="25"/>
        <w:jc w:val="left"/>
        <w:rPr>
          <w:rFonts w:ascii="宋体" w:hAnsi="宋体" w:cs="宋体"/>
          <w:bCs/>
          <w:color w:val="auto"/>
          <w:spacing w:val="10"/>
          <w:kern w:val="0"/>
          <w:sz w:val="24"/>
          <w:highlight w:val="none"/>
        </w:rPr>
        <w:sectPr>
          <w:pgSz w:w="11906" w:h="16838"/>
          <w:pgMar w:top="1134" w:right="1134" w:bottom="1134" w:left="1134" w:header="794" w:footer="850" w:gutter="0"/>
          <w:cols w:space="720" w:num="1"/>
          <w:titlePg/>
          <w:docGrid w:type="lines" w:linePitch="312" w:charSpace="0"/>
        </w:sectPr>
      </w:pPr>
    </w:p>
    <w:p>
      <w:pPr>
        <w:rPr>
          <w:rFonts w:hint="eastAsia" w:ascii="宋体" w:hAnsi="宋体" w:cs="宋体"/>
          <w:b/>
          <w:color w:val="auto"/>
          <w:sz w:val="36"/>
          <w:szCs w:val="36"/>
          <w:highlight w:val="none"/>
        </w:rPr>
      </w:pPr>
      <w:bookmarkStart w:id="68" w:name="_Toc176185122"/>
      <w:bookmarkStart w:id="69" w:name="_Toc176343851"/>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0" w:name="_Toc184313266"/>
      <w:bookmarkEnd w:id="70"/>
      <w:bookmarkStart w:id="71" w:name="_Toc184310324"/>
      <w:bookmarkEnd w:id="71"/>
      <w:bookmarkStart w:id="72" w:name="_Toc184312115"/>
      <w:bookmarkEnd w:id="72"/>
      <w:bookmarkStart w:id="73" w:name="_Toc184312099"/>
      <w:bookmarkEnd w:id="73"/>
      <w:bookmarkStart w:id="74" w:name="_Toc184314415"/>
      <w:bookmarkEnd w:id="74"/>
      <w:bookmarkStart w:id="75" w:name="_Toc184308067"/>
      <w:bookmarkEnd w:id="75"/>
      <w:bookmarkStart w:id="76" w:name="_Toc184313243"/>
      <w:bookmarkEnd w:id="76"/>
      <w:bookmarkStart w:id="77" w:name="_Toc184308041"/>
      <w:bookmarkEnd w:id="77"/>
      <w:bookmarkStart w:id="78" w:name="_Toc184312105"/>
      <w:bookmarkEnd w:id="78"/>
      <w:bookmarkStart w:id="79" w:name="_Toc184314440"/>
      <w:bookmarkEnd w:id="79"/>
      <w:bookmarkStart w:id="80" w:name="_Toc184310312"/>
      <w:bookmarkEnd w:id="80"/>
      <w:bookmarkStart w:id="81" w:name="_Toc184314410"/>
      <w:bookmarkEnd w:id="81"/>
      <w:bookmarkStart w:id="82" w:name="_Toc184312111"/>
      <w:bookmarkEnd w:id="82"/>
      <w:bookmarkStart w:id="83" w:name="_Toc184313239"/>
      <w:bookmarkEnd w:id="83"/>
      <w:bookmarkStart w:id="84" w:name="_Toc184312078"/>
      <w:bookmarkEnd w:id="84"/>
      <w:bookmarkStart w:id="85" w:name="_Toc184310300"/>
      <w:bookmarkEnd w:id="85"/>
      <w:bookmarkStart w:id="86" w:name="_Toc184308039"/>
      <w:bookmarkEnd w:id="86"/>
      <w:bookmarkStart w:id="87" w:name="_Toc184312104"/>
      <w:bookmarkEnd w:id="87"/>
      <w:bookmarkStart w:id="88" w:name="_Toc184310299"/>
      <w:bookmarkEnd w:id="88"/>
      <w:bookmarkStart w:id="89" w:name="_Toc184313274"/>
      <w:bookmarkEnd w:id="89"/>
      <w:bookmarkStart w:id="90" w:name="_Toc184310316"/>
      <w:bookmarkEnd w:id="90"/>
      <w:bookmarkStart w:id="91" w:name="_Toc184308079"/>
      <w:bookmarkEnd w:id="91"/>
      <w:bookmarkStart w:id="92" w:name="_Toc184310339"/>
      <w:bookmarkEnd w:id="92"/>
      <w:bookmarkStart w:id="93" w:name="_Toc184312110"/>
      <w:bookmarkEnd w:id="93"/>
      <w:bookmarkStart w:id="94" w:name="_Toc184313264"/>
      <w:bookmarkEnd w:id="94"/>
      <w:bookmarkStart w:id="95" w:name="_Toc184313262"/>
      <w:bookmarkEnd w:id="95"/>
      <w:bookmarkStart w:id="96" w:name="_Toc184310341"/>
      <w:bookmarkEnd w:id="96"/>
      <w:bookmarkStart w:id="97" w:name="_Toc184314433"/>
      <w:bookmarkEnd w:id="97"/>
      <w:bookmarkStart w:id="98" w:name="_Toc184310344"/>
      <w:bookmarkEnd w:id="98"/>
      <w:bookmarkStart w:id="99" w:name="_Toc184314431"/>
      <w:bookmarkEnd w:id="99"/>
      <w:bookmarkStart w:id="100" w:name="_Toc184310284"/>
      <w:bookmarkEnd w:id="100"/>
      <w:bookmarkStart w:id="101" w:name="_Toc184312074"/>
      <w:bookmarkEnd w:id="101"/>
      <w:bookmarkStart w:id="102" w:name="_Toc184310296"/>
      <w:bookmarkEnd w:id="102"/>
      <w:bookmarkStart w:id="103" w:name="_Toc184312073"/>
      <w:bookmarkEnd w:id="103"/>
      <w:bookmarkStart w:id="104" w:name="_Toc184314428"/>
      <w:bookmarkEnd w:id="104"/>
      <w:bookmarkStart w:id="105" w:name="_Toc184312079"/>
      <w:bookmarkEnd w:id="105"/>
      <w:bookmarkStart w:id="106" w:name="_Toc184313275"/>
      <w:bookmarkEnd w:id="106"/>
      <w:bookmarkStart w:id="107" w:name="_Toc184314423"/>
      <w:bookmarkEnd w:id="107"/>
      <w:bookmarkStart w:id="108" w:name="_Toc184308095"/>
      <w:bookmarkEnd w:id="108"/>
      <w:bookmarkStart w:id="109" w:name="_Toc184308080"/>
      <w:bookmarkEnd w:id="109"/>
      <w:bookmarkStart w:id="110" w:name="_Toc184313271"/>
      <w:bookmarkEnd w:id="110"/>
      <w:bookmarkStart w:id="111" w:name="_Toc184310332"/>
      <w:bookmarkEnd w:id="111"/>
      <w:bookmarkStart w:id="112" w:name="_Toc184314437"/>
      <w:bookmarkEnd w:id="112"/>
      <w:bookmarkStart w:id="113" w:name="_Toc184312113"/>
      <w:bookmarkEnd w:id="113"/>
      <w:bookmarkStart w:id="114" w:name="_Toc184313278"/>
      <w:bookmarkEnd w:id="114"/>
      <w:bookmarkStart w:id="115" w:name="_Toc184308072"/>
      <w:bookmarkEnd w:id="115"/>
      <w:bookmarkStart w:id="116" w:name="_Toc184313242"/>
      <w:bookmarkEnd w:id="116"/>
      <w:bookmarkStart w:id="117" w:name="_Toc184313255"/>
      <w:bookmarkEnd w:id="117"/>
      <w:bookmarkStart w:id="118" w:name="_Toc184310327"/>
      <w:bookmarkEnd w:id="118"/>
      <w:bookmarkStart w:id="119" w:name="_Toc184313269"/>
      <w:bookmarkEnd w:id="119"/>
      <w:bookmarkStart w:id="120" w:name="_Toc184308098"/>
      <w:bookmarkEnd w:id="120"/>
      <w:bookmarkStart w:id="121" w:name="_Toc184314464"/>
      <w:bookmarkEnd w:id="121"/>
      <w:bookmarkStart w:id="122" w:name="_Toc184308092"/>
      <w:bookmarkEnd w:id="122"/>
      <w:bookmarkStart w:id="123" w:name="_Toc184308068"/>
      <w:bookmarkEnd w:id="123"/>
      <w:bookmarkStart w:id="124" w:name="_Toc184312124"/>
      <w:bookmarkEnd w:id="124"/>
      <w:bookmarkStart w:id="125" w:name="_Toc184312128"/>
      <w:bookmarkEnd w:id="125"/>
      <w:bookmarkStart w:id="126" w:name="_Toc184313276"/>
      <w:bookmarkEnd w:id="126"/>
      <w:bookmarkStart w:id="127" w:name="_Toc184313247"/>
      <w:bookmarkEnd w:id="127"/>
      <w:bookmarkStart w:id="128" w:name="_Toc184313251"/>
      <w:bookmarkEnd w:id="128"/>
      <w:bookmarkStart w:id="129" w:name="_Toc184310302"/>
      <w:bookmarkEnd w:id="129"/>
      <w:bookmarkStart w:id="130" w:name="_Toc184313253"/>
      <w:bookmarkEnd w:id="130"/>
      <w:bookmarkStart w:id="131" w:name="_Toc184310309"/>
      <w:bookmarkEnd w:id="131"/>
      <w:bookmarkStart w:id="132" w:name="_Toc184308036"/>
      <w:bookmarkEnd w:id="132"/>
      <w:bookmarkStart w:id="133" w:name="_Toc184312095"/>
      <w:bookmarkEnd w:id="133"/>
      <w:bookmarkStart w:id="134" w:name="_Toc184312101"/>
      <w:bookmarkEnd w:id="134"/>
      <w:bookmarkStart w:id="135" w:name="_Toc184314478"/>
      <w:bookmarkEnd w:id="135"/>
      <w:bookmarkStart w:id="136" w:name="_Toc184310293"/>
      <w:bookmarkEnd w:id="136"/>
      <w:bookmarkStart w:id="137" w:name="_Toc184310287"/>
      <w:bookmarkEnd w:id="137"/>
      <w:bookmarkStart w:id="138" w:name="_Toc184313284"/>
      <w:bookmarkEnd w:id="138"/>
      <w:bookmarkStart w:id="139" w:name="_Toc184314421"/>
      <w:bookmarkEnd w:id="139"/>
      <w:bookmarkStart w:id="140" w:name="_Toc184312070"/>
      <w:bookmarkEnd w:id="140"/>
      <w:bookmarkStart w:id="141" w:name="_Toc184314429"/>
      <w:bookmarkEnd w:id="141"/>
      <w:bookmarkStart w:id="142" w:name="_Toc184308050"/>
      <w:bookmarkEnd w:id="142"/>
      <w:bookmarkStart w:id="143" w:name="_Toc184314426"/>
      <w:bookmarkEnd w:id="143"/>
      <w:bookmarkStart w:id="144" w:name="_Toc184314462"/>
      <w:bookmarkEnd w:id="144"/>
      <w:bookmarkStart w:id="145" w:name="_Toc184308071"/>
      <w:bookmarkEnd w:id="145"/>
      <w:bookmarkStart w:id="146" w:name="_Toc184312100"/>
      <w:bookmarkEnd w:id="146"/>
      <w:bookmarkStart w:id="147" w:name="_Toc184312080"/>
      <w:bookmarkEnd w:id="147"/>
      <w:bookmarkStart w:id="148" w:name="_Toc184314416"/>
      <w:bookmarkEnd w:id="148"/>
      <w:bookmarkStart w:id="149" w:name="_Toc184310328"/>
      <w:bookmarkEnd w:id="149"/>
      <w:bookmarkStart w:id="150" w:name="_Toc184308059"/>
      <w:bookmarkEnd w:id="150"/>
      <w:bookmarkStart w:id="151" w:name="_Toc184314477"/>
      <w:bookmarkEnd w:id="151"/>
      <w:bookmarkStart w:id="152" w:name="_Toc184313283"/>
      <w:bookmarkEnd w:id="152"/>
      <w:bookmarkStart w:id="153" w:name="_Toc184310304"/>
      <w:bookmarkEnd w:id="153"/>
      <w:bookmarkStart w:id="154" w:name="_Toc184312131"/>
      <w:bookmarkEnd w:id="154"/>
      <w:bookmarkStart w:id="155" w:name="_Toc184314422"/>
      <w:bookmarkEnd w:id="155"/>
      <w:bookmarkStart w:id="156" w:name="_Toc184308070"/>
      <w:bookmarkEnd w:id="156"/>
      <w:bookmarkStart w:id="157" w:name="_Toc184312107"/>
      <w:bookmarkEnd w:id="157"/>
      <w:bookmarkStart w:id="158" w:name="_Toc184308069"/>
      <w:bookmarkEnd w:id="158"/>
      <w:bookmarkStart w:id="159" w:name="_Toc184314427"/>
      <w:bookmarkEnd w:id="159"/>
      <w:bookmarkStart w:id="160" w:name="_Toc184310334"/>
      <w:bookmarkEnd w:id="160"/>
      <w:bookmarkStart w:id="161" w:name="_Toc184312122"/>
      <w:bookmarkEnd w:id="161"/>
      <w:bookmarkStart w:id="162" w:name="_Toc184313258"/>
      <w:bookmarkEnd w:id="162"/>
      <w:bookmarkStart w:id="163" w:name="_Toc184310307"/>
      <w:bookmarkEnd w:id="163"/>
      <w:bookmarkStart w:id="164" w:name="_Toc184313297"/>
      <w:bookmarkEnd w:id="164"/>
      <w:bookmarkStart w:id="165" w:name="_Toc184308077"/>
      <w:bookmarkEnd w:id="165"/>
      <w:bookmarkStart w:id="166" w:name="_Toc184314451"/>
      <w:bookmarkEnd w:id="166"/>
      <w:bookmarkStart w:id="167" w:name="_Toc184313263"/>
      <w:bookmarkEnd w:id="167"/>
      <w:bookmarkStart w:id="168" w:name="_Toc184312096"/>
      <w:bookmarkEnd w:id="168"/>
      <w:bookmarkStart w:id="169" w:name="_Toc184313279"/>
      <w:bookmarkEnd w:id="169"/>
      <w:bookmarkStart w:id="170" w:name="_Toc184308047"/>
      <w:bookmarkEnd w:id="170"/>
      <w:bookmarkStart w:id="171" w:name="_Toc184310315"/>
      <w:bookmarkEnd w:id="171"/>
      <w:bookmarkStart w:id="172" w:name="_Toc184313259"/>
      <w:bookmarkEnd w:id="172"/>
      <w:bookmarkStart w:id="173" w:name="_Toc184314474"/>
      <w:bookmarkEnd w:id="173"/>
      <w:bookmarkStart w:id="174" w:name="_Toc184312138"/>
      <w:bookmarkEnd w:id="174"/>
      <w:bookmarkStart w:id="175" w:name="_Toc184313285"/>
      <w:bookmarkEnd w:id="175"/>
      <w:bookmarkStart w:id="176" w:name="_Toc184313240"/>
      <w:bookmarkEnd w:id="176"/>
      <w:bookmarkStart w:id="177" w:name="_Toc184310329"/>
      <w:bookmarkEnd w:id="177"/>
      <w:bookmarkStart w:id="178" w:name="_Toc184313302"/>
      <w:bookmarkEnd w:id="178"/>
      <w:bookmarkStart w:id="179" w:name="_Toc184313250"/>
      <w:bookmarkEnd w:id="179"/>
      <w:bookmarkStart w:id="180" w:name="_Toc184313289"/>
      <w:bookmarkEnd w:id="180"/>
      <w:bookmarkStart w:id="181" w:name="_Toc184312118"/>
      <w:bookmarkEnd w:id="181"/>
      <w:bookmarkStart w:id="182" w:name="_Toc184308060"/>
      <w:bookmarkEnd w:id="182"/>
      <w:bookmarkStart w:id="183" w:name="_Toc184308101"/>
      <w:bookmarkEnd w:id="183"/>
      <w:bookmarkStart w:id="184" w:name="_Toc184308093"/>
      <w:bookmarkEnd w:id="184"/>
      <w:bookmarkStart w:id="185" w:name="_Toc184310276"/>
      <w:bookmarkEnd w:id="185"/>
      <w:bookmarkStart w:id="186" w:name="_Toc184310297"/>
      <w:bookmarkEnd w:id="186"/>
      <w:bookmarkStart w:id="187" w:name="_Toc184310282"/>
      <w:bookmarkEnd w:id="187"/>
      <w:bookmarkStart w:id="188" w:name="_Toc184308052"/>
      <w:bookmarkEnd w:id="188"/>
      <w:bookmarkStart w:id="189" w:name="_Toc184314448"/>
      <w:bookmarkEnd w:id="189"/>
      <w:bookmarkStart w:id="190" w:name="_Toc184313286"/>
      <w:bookmarkEnd w:id="190"/>
      <w:bookmarkStart w:id="191" w:name="_Toc184310320"/>
      <w:bookmarkEnd w:id="191"/>
      <w:bookmarkStart w:id="192" w:name="_Toc184310275"/>
      <w:bookmarkEnd w:id="192"/>
      <w:bookmarkStart w:id="193" w:name="_Toc184313265"/>
      <w:bookmarkEnd w:id="193"/>
      <w:bookmarkStart w:id="194" w:name="_Toc184310321"/>
      <w:bookmarkEnd w:id="194"/>
      <w:bookmarkStart w:id="195" w:name="_Toc184313280"/>
      <w:bookmarkEnd w:id="195"/>
      <w:bookmarkStart w:id="196" w:name="_Toc184310313"/>
      <w:bookmarkEnd w:id="196"/>
      <w:bookmarkStart w:id="197" w:name="_Toc184312126"/>
      <w:bookmarkEnd w:id="197"/>
      <w:bookmarkStart w:id="198" w:name="_Toc184308053"/>
      <w:bookmarkEnd w:id="198"/>
      <w:bookmarkStart w:id="199" w:name="_Toc184310318"/>
      <w:bookmarkEnd w:id="199"/>
      <w:bookmarkStart w:id="200" w:name="_Toc184314471"/>
      <w:bookmarkEnd w:id="200"/>
      <w:bookmarkStart w:id="201" w:name="_Toc184313249"/>
      <w:bookmarkEnd w:id="201"/>
      <w:bookmarkStart w:id="202" w:name="_Toc184313305"/>
      <w:bookmarkEnd w:id="202"/>
      <w:bookmarkStart w:id="203" w:name="_Toc184313260"/>
      <w:bookmarkEnd w:id="203"/>
      <w:bookmarkStart w:id="204" w:name="_Toc184308097"/>
      <w:bookmarkEnd w:id="204"/>
      <w:bookmarkStart w:id="205" w:name="_Toc184313307"/>
      <w:bookmarkEnd w:id="205"/>
      <w:bookmarkStart w:id="206" w:name="_Toc184313309"/>
      <w:bookmarkEnd w:id="206"/>
      <w:bookmarkStart w:id="207" w:name="_Toc184314460"/>
      <w:bookmarkEnd w:id="207"/>
      <w:bookmarkStart w:id="208" w:name="_Toc184314456"/>
      <w:bookmarkEnd w:id="208"/>
      <w:bookmarkStart w:id="209" w:name="_Toc184312103"/>
      <w:bookmarkEnd w:id="209"/>
      <w:bookmarkStart w:id="210" w:name="_Toc184308063"/>
      <w:bookmarkEnd w:id="210"/>
      <w:bookmarkStart w:id="211" w:name="_Toc184314430"/>
      <w:bookmarkEnd w:id="211"/>
      <w:bookmarkStart w:id="212" w:name="_Toc184310281"/>
      <w:bookmarkEnd w:id="212"/>
      <w:bookmarkStart w:id="213" w:name="_Toc184313291"/>
      <w:bookmarkEnd w:id="213"/>
      <w:bookmarkStart w:id="214" w:name="_Toc184313294"/>
      <w:bookmarkEnd w:id="214"/>
      <w:bookmarkStart w:id="215" w:name="_Toc184308082"/>
      <w:bookmarkEnd w:id="215"/>
      <w:bookmarkStart w:id="216" w:name="_Toc184314467"/>
      <w:bookmarkEnd w:id="216"/>
      <w:bookmarkStart w:id="217" w:name="_Toc184313256"/>
      <w:bookmarkEnd w:id="217"/>
      <w:bookmarkStart w:id="218" w:name="_Toc184313248"/>
      <w:bookmarkEnd w:id="218"/>
      <w:bookmarkStart w:id="219" w:name="_Toc184314476"/>
      <w:bookmarkEnd w:id="219"/>
      <w:bookmarkStart w:id="220" w:name="_Toc184310308"/>
      <w:bookmarkEnd w:id="220"/>
      <w:bookmarkStart w:id="221" w:name="_Toc184313310"/>
      <w:bookmarkEnd w:id="221"/>
      <w:bookmarkStart w:id="222" w:name="_Toc184308058"/>
      <w:bookmarkEnd w:id="222"/>
      <w:bookmarkStart w:id="223" w:name="_Toc184314439"/>
      <w:bookmarkEnd w:id="223"/>
      <w:bookmarkStart w:id="224" w:name="_Toc184308090"/>
      <w:bookmarkEnd w:id="224"/>
      <w:bookmarkStart w:id="225" w:name="_Toc184308075"/>
      <w:bookmarkEnd w:id="225"/>
      <w:bookmarkStart w:id="226" w:name="_Toc184312094"/>
      <w:bookmarkEnd w:id="226"/>
      <w:bookmarkStart w:id="227" w:name="_Toc184312088"/>
      <w:bookmarkEnd w:id="227"/>
      <w:bookmarkStart w:id="228" w:name="_Toc184314413"/>
      <w:bookmarkEnd w:id="228"/>
      <w:bookmarkStart w:id="229" w:name="_Toc184308055"/>
      <w:bookmarkEnd w:id="229"/>
      <w:bookmarkStart w:id="230" w:name="_Toc184308102"/>
      <w:bookmarkEnd w:id="230"/>
      <w:bookmarkStart w:id="231" w:name="_Toc184312083"/>
      <w:bookmarkEnd w:id="231"/>
      <w:bookmarkStart w:id="232" w:name="_Toc184313287"/>
      <w:bookmarkEnd w:id="232"/>
      <w:bookmarkStart w:id="233" w:name="_Toc184312106"/>
      <w:bookmarkEnd w:id="233"/>
      <w:bookmarkStart w:id="234" w:name="_Toc184308065"/>
      <w:bookmarkEnd w:id="234"/>
      <w:bookmarkStart w:id="235" w:name="_Toc184314419"/>
      <w:bookmarkEnd w:id="235"/>
      <w:bookmarkStart w:id="236" w:name="_Toc184312121"/>
      <w:bookmarkEnd w:id="236"/>
      <w:bookmarkStart w:id="237" w:name="_Toc184312135"/>
      <w:bookmarkEnd w:id="237"/>
      <w:bookmarkStart w:id="238" w:name="_Toc184312076"/>
      <w:bookmarkEnd w:id="238"/>
      <w:bookmarkStart w:id="239" w:name="_Toc184312134"/>
      <w:bookmarkEnd w:id="239"/>
      <w:bookmarkStart w:id="240" w:name="_Toc184314479"/>
      <w:bookmarkEnd w:id="240"/>
      <w:bookmarkStart w:id="241" w:name="_Toc184314481"/>
      <w:bookmarkEnd w:id="241"/>
      <w:bookmarkStart w:id="242" w:name="_Toc184310317"/>
      <w:bookmarkEnd w:id="242"/>
      <w:bookmarkStart w:id="243" w:name="_Toc184308088"/>
      <w:bookmarkEnd w:id="243"/>
      <w:bookmarkStart w:id="244" w:name="_Toc184314435"/>
      <w:bookmarkEnd w:id="244"/>
      <w:bookmarkStart w:id="245" w:name="_Toc184310286"/>
      <w:bookmarkEnd w:id="245"/>
      <w:bookmarkStart w:id="246" w:name="_Toc184313270"/>
      <w:bookmarkEnd w:id="246"/>
      <w:bookmarkStart w:id="247" w:name="_Toc184313241"/>
      <w:bookmarkEnd w:id="247"/>
      <w:bookmarkStart w:id="248" w:name="_Toc184314468"/>
      <w:bookmarkEnd w:id="248"/>
      <w:bookmarkStart w:id="249" w:name="_Toc184308085"/>
      <w:bookmarkEnd w:id="249"/>
      <w:bookmarkStart w:id="250" w:name="_Toc184310322"/>
      <w:bookmarkEnd w:id="250"/>
      <w:bookmarkStart w:id="251" w:name="_Toc184312072"/>
      <w:bookmarkEnd w:id="251"/>
      <w:bookmarkStart w:id="252" w:name="_Toc184312087"/>
      <w:bookmarkEnd w:id="252"/>
      <w:bookmarkStart w:id="253" w:name="_Toc184312068"/>
      <w:bookmarkEnd w:id="253"/>
      <w:bookmarkStart w:id="254" w:name="_Toc184314454"/>
      <w:bookmarkEnd w:id="254"/>
      <w:bookmarkStart w:id="255" w:name="_Toc184312091"/>
      <w:bookmarkEnd w:id="255"/>
      <w:bookmarkStart w:id="256" w:name="_Toc184308103"/>
      <w:bookmarkEnd w:id="256"/>
      <w:bookmarkStart w:id="257" w:name="_Toc184313308"/>
      <w:bookmarkEnd w:id="257"/>
      <w:bookmarkStart w:id="258" w:name="_Toc184313303"/>
      <w:bookmarkEnd w:id="258"/>
      <w:bookmarkStart w:id="259" w:name="_Toc184312109"/>
      <w:bookmarkEnd w:id="259"/>
      <w:bookmarkStart w:id="260" w:name="_Toc184308061"/>
      <w:bookmarkEnd w:id="260"/>
      <w:bookmarkStart w:id="261" w:name="_Toc184308057"/>
      <w:bookmarkEnd w:id="261"/>
      <w:bookmarkStart w:id="262" w:name="_Toc184308064"/>
      <w:bookmarkEnd w:id="262"/>
      <w:bookmarkStart w:id="263" w:name="_Toc184312097"/>
      <w:bookmarkEnd w:id="263"/>
      <w:bookmarkStart w:id="264" w:name="_Toc184313281"/>
      <w:bookmarkEnd w:id="264"/>
      <w:bookmarkStart w:id="265" w:name="_Toc184312132"/>
      <w:bookmarkEnd w:id="265"/>
      <w:bookmarkStart w:id="266" w:name="_Toc184308043"/>
      <w:bookmarkEnd w:id="266"/>
      <w:bookmarkStart w:id="267" w:name="_Toc184310337"/>
      <w:bookmarkEnd w:id="267"/>
      <w:bookmarkStart w:id="268" w:name="_Toc184313245"/>
      <w:bookmarkEnd w:id="268"/>
      <w:bookmarkStart w:id="269" w:name="_Toc184313252"/>
      <w:bookmarkEnd w:id="269"/>
      <w:bookmarkStart w:id="270" w:name="_Toc184314441"/>
      <w:bookmarkEnd w:id="270"/>
      <w:bookmarkStart w:id="271" w:name="_Toc184312069"/>
      <w:bookmarkEnd w:id="271"/>
      <w:bookmarkStart w:id="272" w:name="_Toc184313292"/>
      <w:bookmarkEnd w:id="272"/>
      <w:bookmarkStart w:id="273" w:name="_Toc184310343"/>
      <w:bookmarkEnd w:id="273"/>
      <w:bookmarkStart w:id="274" w:name="_Toc184308078"/>
      <w:bookmarkEnd w:id="274"/>
      <w:bookmarkStart w:id="275" w:name="_Toc184310277"/>
      <w:bookmarkEnd w:id="275"/>
      <w:bookmarkStart w:id="276" w:name="_Toc184308073"/>
      <w:bookmarkEnd w:id="276"/>
      <w:bookmarkStart w:id="277" w:name="_Toc184313268"/>
      <w:bookmarkEnd w:id="277"/>
      <w:bookmarkStart w:id="278" w:name="_Toc184314455"/>
      <w:bookmarkEnd w:id="278"/>
      <w:bookmarkStart w:id="279" w:name="_Toc184310338"/>
      <w:bookmarkEnd w:id="279"/>
      <w:bookmarkStart w:id="280" w:name="_Toc184310340"/>
      <w:bookmarkEnd w:id="280"/>
      <w:bookmarkStart w:id="281" w:name="_Toc184310310"/>
      <w:bookmarkEnd w:id="281"/>
      <w:bookmarkStart w:id="282" w:name="_Toc184310294"/>
      <w:bookmarkEnd w:id="282"/>
      <w:bookmarkStart w:id="283" w:name="_Toc184310298"/>
      <w:bookmarkEnd w:id="283"/>
      <w:bookmarkStart w:id="284" w:name="_Toc184308099"/>
      <w:bookmarkEnd w:id="284"/>
      <w:bookmarkStart w:id="285" w:name="_Toc184308037"/>
      <w:bookmarkEnd w:id="285"/>
      <w:bookmarkStart w:id="286" w:name="_Toc184310325"/>
      <w:bookmarkEnd w:id="286"/>
      <w:bookmarkStart w:id="287" w:name="_Toc184313288"/>
      <w:bookmarkEnd w:id="287"/>
      <w:bookmarkStart w:id="288" w:name="_Toc184312133"/>
      <w:bookmarkEnd w:id="288"/>
      <w:bookmarkStart w:id="289" w:name="_Toc184314465"/>
      <w:bookmarkEnd w:id="289"/>
      <w:bookmarkStart w:id="290" w:name="_Toc184308074"/>
      <w:bookmarkEnd w:id="290"/>
      <w:bookmarkStart w:id="291" w:name="_Toc184314469"/>
      <w:bookmarkEnd w:id="291"/>
      <w:bookmarkStart w:id="292" w:name="_Toc184313290"/>
      <w:bookmarkEnd w:id="292"/>
      <w:bookmarkStart w:id="293" w:name="_Toc184310336"/>
      <w:bookmarkEnd w:id="293"/>
      <w:bookmarkStart w:id="294" w:name="_Toc184308049"/>
      <w:bookmarkEnd w:id="294"/>
      <w:bookmarkStart w:id="295" w:name="_Toc184310330"/>
      <w:bookmarkEnd w:id="295"/>
      <w:bookmarkStart w:id="296" w:name="_Toc184312137"/>
      <w:bookmarkEnd w:id="296"/>
      <w:bookmarkStart w:id="297" w:name="_Toc184308051"/>
      <w:bookmarkEnd w:id="297"/>
      <w:bookmarkStart w:id="298" w:name="_Toc184308048"/>
      <w:bookmarkEnd w:id="298"/>
      <w:bookmarkStart w:id="299" w:name="_Toc184314475"/>
      <w:bookmarkEnd w:id="299"/>
      <w:bookmarkStart w:id="300" w:name="_Toc184314425"/>
      <w:bookmarkEnd w:id="300"/>
      <w:bookmarkStart w:id="301" w:name="_Toc184310305"/>
      <w:bookmarkEnd w:id="301"/>
      <w:bookmarkStart w:id="302" w:name="_Toc184308107"/>
      <w:bookmarkEnd w:id="302"/>
      <w:bookmarkStart w:id="303" w:name="_Toc184312130"/>
      <w:bookmarkEnd w:id="303"/>
      <w:bookmarkStart w:id="304" w:name="_Toc184313298"/>
      <w:bookmarkEnd w:id="304"/>
      <w:bookmarkStart w:id="305" w:name="_Toc184308054"/>
      <w:bookmarkEnd w:id="305"/>
      <w:bookmarkStart w:id="306" w:name="_Toc184308104"/>
      <w:bookmarkEnd w:id="306"/>
      <w:bookmarkStart w:id="307" w:name="_Toc184312136"/>
      <w:bookmarkEnd w:id="307"/>
      <w:bookmarkStart w:id="308" w:name="_Toc184314436"/>
      <w:bookmarkEnd w:id="308"/>
      <w:bookmarkStart w:id="309" w:name="_Toc184312116"/>
      <w:bookmarkEnd w:id="309"/>
      <w:bookmarkStart w:id="310" w:name="_Toc184314446"/>
      <w:bookmarkEnd w:id="310"/>
      <w:bookmarkStart w:id="311" w:name="_Toc184313293"/>
      <w:bookmarkEnd w:id="311"/>
      <w:bookmarkStart w:id="312" w:name="_Toc184310280"/>
      <w:bookmarkEnd w:id="312"/>
      <w:bookmarkStart w:id="313" w:name="_Toc184312112"/>
      <w:bookmarkEnd w:id="313"/>
      <w:bookmarkStart w:id="314" w:name="_Toc184314452"/>
      <w:bookmarkEnd w:id="314"/>
      <w:bookmarkStart w:id="315" w:name="_Toc184312090"/>
      <w:bookmarkEnd w:id="315"/>
      <w:bookmarkStart w:id="316" w:name="_Toc184312119"/>
      <w:bookmarkEnd w:id="316"/>
      <w:bookmarkStart w:id="317" w:name="_Toc184312114"/>
      <w:bookmarkEnd w:id="317"/>
      <w:bookmarkStart w:id="318" w:name="_Toc184314443"/>
      <w:bookmarkEnd w:id="318"/>
      <w:bookmarkStart w:id="319" w:name="_Toc184313299"/>
      <w:bookmarkEnd w:id="319"/>
      <w:bookmarkStart w:id="320" w:name="_Toc184312098"/>
      <w:bookmarkEnd w:id="320"/>
      <w:bookmarkStart w:id="321" w:name="_Toc184308056"/>
      <w:bookmarkEnd w:id="321"/>
      <w:bookmarkStart w:id="322" w:name="_Toc184314424"/>
      <w:bookmarkEnd w:id="322"/>
      <w:bookmarkStart w:id="323" w:name="_Toc184310288"/>
      <w:bookmarkEnd w:id="323"/>
      <w:bookmarkStart w:id="324" w:name="_Toc184312125"/>
      <w:bookmarkEnd w:id="324"/>
      <w:bookmarkStart w:id="325" w:name="_Toc184310292"/>
      <w:bookmarkEnd w:id="325"/>
      <w:bookmarkStart w:id="326" w:name="_Toc184308076"/>
      <w:bookmarkEnd w:id="326"/>
      <w:bookmarkStart w:id="327" w:name="_Toc184310295"/>
      <w:bookmarkEnd w:id="327"/>
      <w:bookmarkStart w:id="328" w:name="_Toc184313296"/>
      <w:bookmarkEnd w:id="328"/>
      <w:bookmarkStart w:id="329" w:name="_Toc184314411"/>
      <w:bookmarkEnd w:id="329"/>
      <w:bookmarkStart w:id="330" w:name="_Toc184313261"/>
      <w:bookmarkEnd w:id="330"/>
      <w:bookmarkStart w:id="331" w:name="_Toc184308087"/>
      <w:bookmarkEnd w:id="331"/>
      <w:bookmarkStart w:id="332" w:name="_Toc184312127"/>
      <w:bookmarkEnd w:id="332"/>
      <w:bookmarkStart w:id="333" w:name="_Toc184312086"/>
      <w:bookmarkEnd w:id="333"/>
      <w:bookmarkStart w:id="334" w:name="_Toc184314418"/>
      <w:bookmarkEnd w:id="334"/>
      <w:bookmarkStart w:id="335" w:name="_Toc184314442"/>
      <w:bookmarkEnd w:id="335"/>
      <w:bookmarkStart w:id="336" w:name="_Toc184313277"/>
      <w:bookmarkEnd w:id="336"/>
      <w:bookmarkStart w:id="337" w:name="_Toc184308044"/>
      <w:bookmarkEnd w:id="337"/>
      <w:bookmarkStart w:id="338" w:name="_Toc184308066"/>
      <w:bookmarkEnd w:id="338"/>
      <w:bookmarkStart w:id="339" w:name="_Toc184310319"/>
      <w:bookmarkEnd w:id="339"/>
      <w:bookmarkStart w:id="340" w:name="_Toc184312102"/>
      <w:bookmarkEnd w:id="340"/>
      <w:bookmarkStart w:id="341" w:name="_Toc184314445"/>
      <w:bookmarkEnd w:id="341"/>
      <w:bookmarkStart w:id="342" w:name="_Toc184314457"/>
      <w:bookmarkEnd w:id="342"/>
      <w:bookmarkStart w:id="343" w:name="_Toc184314453"/>
      <w:bookmarkEnd w:id="343"/>
      <w:bookmarkStart w:id="344" w:name="_Toc184314458"/>
      <w:bookmarkEnd w:id="344"/>
      <w:bookmarkStart w:id="345" w:name="_Toc184313273"/>
      <w:bookmarkEnd w:id="345"/>
      <w:bookmarkStart w:id="346" w:name="_Toc184312082"/>
      <w:bookmarkEnd w:id="346"/>
      <w:bookmarkStart w:id="347" w:name="_Toc184308081"/>
      <w:bookmarkEnd w:id="347"/>
      <w:bookmarkStart w:id="348" w:name="_Toc184313267"/>
      <w:bookmarkEnd w:id="348"/>
      <w:bookmarkStart w:id="349" w:name="_Toc184314412"/>
      <w:bookmarkEnd w:id="349"/>
      <w:bookmarkStart w:id="350" w:name="_Toc184314434"/>
      <w:bookmarkEnd w:id="350"/>
      <w:bookmarkStart w:id="351" w:name="_Toc184314459"/>
      <w:bookmarkEnd w:id="351"/>
      <w:bookmarkStart w:id="352" w:name="_Toc184312117"/>
      <w:bookmarkEnd w:id="352"/>
      <w:bookmarkStart w:id="353" w:name="_Toc184310291"/>
      <w:bookmarkEnd w:id="353"/>
      <w:bookmarkStart w:id="354" w:name="_Toc184310273"/>
      <w:bookmarkEnd w:id="354"/>
      <w:bookmarkStart w:id="355" w:name="_Toc184314463"/>
      <w:bookmarkEnd w:id="355"/>
      <w:bookmarkStart w:id="356" w:name="_Toc184313257"/>
      <w:bookmarkEnd w:id="356"/>
      <w:bookmarkStart w:id="357" w:name="_Toc184310331"/>
      <w:bookmarkEnd w:id="357"/>
      <w:bookmarkStart w:id="358" w:name="_Toc184308040"/>
      <w:bookmarkEnd w:id="358"/>
      <w:bookmarkStart w:id="359" w:name="_Toc184312108"/>
      <w:bookmarkEnd w:id="359"/>
      <w:bookmarkStart w:id="360" w:name="_Toc184310335"/>
      <w:bookmarkEnd w:id="360"/>
      <w:bookmarkStart w:id="361" w:name="_Toc184313304"/>
      <w:bookmarkEnd w:id="361"/>
      <w:bookmarkStart w:id="362" w:name="_Toc184308091"/>
      <w:bookmarkEnd w:id="362"/>
      <w:bookmarkStart w:id="363" w:name="_Toc184312077"/>
      <w:bookmarkEnd w:id="363"/>
      <w:bookmarkStart w:id="364" w:name="_Toc184312120"/>
      <w:bookmarkEnd w:id="364"/>
      <w:bookmarkStart w:id="365" w:name="_Toc184310342"/>
      <w:bookmarkEnd w:id="365"/>
      <w:bookmarkStart w:id="366" w:name="_Toc184310290"/>
      <w:bookmarkEnd w:id="366"/>
      <w:bookmarkStart w:id="367" w:name="_Toc184314466"/>
      <w:bookmarkEnd w:id="367"/>
      <w:bookmarkStart w:id="368" w:name="_Toc184308084"/>
      <w:bookmarkEnd w:id="368"/>
      <w:bookmarkStart w:id="369" w:name="_Toc184314480"/>
      <w:bookmarkEnd w:id="369"/>
      <w:bookmarkStart w:id="370" w:name="_Toc184312123"/>
      <w:bookmarkEnd w:id="370"/>
      <w:bookmarkStart w:id="371" w:name="_Toc184308086"/>
      <w:bookmarkEnd w:id="371"/>
      <w:bookmarkStart w:id="372" w:name="_Toc184308038"/>
      <w:bookmarkEnd w:id="372"/>
      <w:bookmarkStart w:id="373" w:name="_Toc184310326"/>
      <w:bookmarkEnd w:id="373"/>
      <w:bookmarkStart w:id="374" w:name="_Toc184312084"/>
      <w:bookmarkEnd w:id="374"/>
      <w:bookmarkStart w:id="375" w:name="_Toc184310274"/>
      <w:bookmarkEnd w:id="375"/>
      <w:bookmarkStart w:id="376" w:name="_Toc184313282"/>
      <w:bookmarkEnd w:id="376"/>
      <w:bookmarkStart w:id="377" w:name="_Toc184314447"/>
      <w:bookmarkEnd w:id="377"/>
      <w:bookmarkStart w:id="378" w:name="_Toc184314461"/>
      <w:bookmarkEnd w:id="378"/>
      <w:bookmarkStart w:id="379" w:name="_Toc184313295"/>
      <w:bookmarkEnd w:id="379"/>
      <w:bookmarkStart w:id="380" w:name="_Toc184310311"/>
      <w:bookmarkEnd w:id="380"/>
      <w:bookmarkStart w:id="381" w:name="_Toc184314473"/>
      <w:bookmarkEnd w:id="381"/>
      <w:bookmarkStart w:id="382" w:name="_Toc184313272"/>
      <w:bookmarkEnd w:id="382"/>
      <w:bookmarkStart w:id="383" w:name="_Toc184312075"/>
      <w:bookmarkEnd w:id="383"/>
      <w:bookmarkStart w:id="384" w:name="_Toc184312129"/>
      <w:bookmarkEnd w:id="384"/>
      <w:bookmarkStart w:id="385" w:name="_Toc184310289"/>
      <w:bookmarkEnd w:id="385"/>
      <w:bookmarkStart w:id="386" w:name="_Toc184314450"/>
      <w:bookmarkEnd w:id="386"/>
      <w:bookmarkStart w:id="387" w:name="_Toc184308096"/>
      <w:bookmarkEnd w:id="387"/>
      <w:bookmarkStart w:id="388" w:name="_Toc184312085"/>
      <w:bookmarkEnd w:id="388"/>
      <w:bookmarkStart w:id="389" w:name="_Toc184310301"/>
      <w:bookmarkEnd w:id="389"/>
      <w:bookmarkStart w:id="390" w:name="_Toc184308106"/>
      <w:bookmarkEnd w:id="390"/>
      <w:bookmarkStart w:id="391" w:name="_Toc184310333"/>
      <w:bookmarkEnd w:id="391"/>
      <w:bookmarkStart w:id="392" w:name="_Toc184308083"/>
      <w:bookmarkEnd w:id="392"/>
      <w:bookmarkStart w:id="393" w:name="_Toc184310279"/>
      <w:bookmarkEnd w:id="393"/>
      <w:bookmarkStart w:id="394" w:name="_Toc184314417"/>
      <w:bookmarkEnd w:id="394"/>
      <w:bookmarkStart w:id="395" w:name="_Toc184308045"/>
      <w:bookmarkEnd w:id="395"/>
      <w:bookmarkStart w:id="396" w:name="_Toc184312081"/>
      <w:bookmarkEnd w:id="396"/>
      <w:bookmarkStart w:id="397" w:name="_Toc184314414"/>
      <w:bookmarkEnd w:id="397"/>
      <w:bookmarkStart w:id="398" w:name="_Toc184314472"/>
      <w:bookmarkEnd w:id="398"/>
      <w:bookmarkStart w:id="399" w:name="_Toc184312067"/>
      <w:bookmarkEnd w:id="399"/>
      <w:bookmarkStart w:id="400" w:name="_Toc184310323"/>
      <w:bookmarkEnd w:id="400"/>
      <w:bookmarkStart w:id="401" w:name="_Toc184308108"/>
      <w:bookmarkEnd w:id="401"/>
      <w:bookmarkStart w:id="402" w:name="_Toc184314449"/>
      <w:bookmarkEnd w:id="402"/>
      <w:bookmarkStart w:id="403" w:name="_Toc184308094"/>
      <w:bookmarkEnd w:id="403"/>
      <w:bookmarkStart w:id="404" w:name="_Toc184308100"/>
      <w:bookmarkEnd w:id="404"/>
      <w:bookmarkStart w:id="405" w:name="_Toc184308042"/>
      <w:bookmarkEnd w:id="405"/>
      <w:bookmarkStart w:id="406" w:name="_Toc184308062"/>
      <w:bookmarkEnd w:id="406"/>
      <w:bookmarkStart w:id="407" w:name="_Toc184312089"/>
      <w:bookmarkEnd w:id="407"/>
      <w:bookmarkStart w:id="408" w:name="_Toc184310303"/>
      <w:bookmarkEnd w:id="408"/>
      <w:bookmarkStart w:id="409" w:name="_Toc184310314"/>
      <w:bookmarkEnd w:id="409"/>
      <w:bookmarkStart w:id="410" w:name="_Toc184312139"/>
      <w:bookmarkEnd w:id="410"/>
      <w:bookmarkStart w:id="411" w:name="_Toc184313301"/>
      <w:bookmarkEnd w:id="411"/>
      <w:bookmarkStart w:id="412" w:name="_Toc184313306"/>
      <w:bookmarkEnd w:id="412"/>
      <w:bookmarkStart w:id="413" w:name="_Toc184313254"/>
      <w:bookmarkEnd w:id="413"/>
      <w:bookmarkStart w:id="414" w:name="_Toc184310285"/>
      <w:bookmarkEnd w:id="414"/>
      <w:bookmarkStart w:id="415" w:name="_Toc184312071"/>
      <w:bookmarkEnd w:id="415"/>
      <w:bookmarkStart w:id="416" w:name="_Toc184310306"/>
      <w:bookmarkEnd w:id="416"/>
      <w:bookmarkStart w:id="417" w:name="_Toc184310278"/>
      <w:bookmarkEnd w:id="417"/>
      <w:bookmarkStart w:id="418" w:name="_Toc184314482"/>
      <w:bookmarkEnd w:id="418"/>
      <w:bookmarkStart w:id="419" w:name="_Toc184313300"/>
      <w:bookmarkEnd w:id="419"/>
      <w:bookmarkStart w:id="420" w:name="_Toc184310283"/>
      <w:bookmarkEnd w:id="420"/>
      <w:bookmarkStart w:id="421" w:name="_Toc184308046"/>
      <w:bookmarkEnd w:id="421"/>
      <w:bookmarkStart w:id="422" w:name="_Toc184308105"/>
      <w:bookmarkEnd w:id="422"/>
      <w:bookmarkStart w:id="423" w:name="_Toc184313244"/>
      <w:bookmarkEnd w:id="423"/>
      <w:bookmarkStart w:id="424" w:name="_Toc184310272"/>
      <w:bookmarkEnd w:id="424"/>
      <w:bookmarkStart w:id="425" w:name="_Toc184313246"/>
      <w:bookmarkEnd w:id="425"/>
      <w:bookmarkStart w:id="426" w:name="_Toc184314432"/>
      <w:bookmarkEnd w:id="426"/>
      <w:bookmarkStart w:id="427" w:name="_Toc184314470"/>
      <w:bookmarkEnd w:id="427"/>
      <w:bookmarkStart w:id="428" w:name="_Toc184314438"/>
      <w:bookmarkEnd w:id="428"/>
      <w:bookmarkStart w:id="429" w:name="_Toc184314444"/>
      <w:bookmarkEnd w:id="429"/>
      <w:bookmarkStart w:id="430" w:name="_Toc184314420"/>
      <w:bookmarkEnd w:id="430"/>
      <w:bookmarkStart w:id="431" w:name="_Toc184313238"/>
      <w:bookmarkEnd w:id="431"/>
      <w:bookmarkStart w:id="432" w:name="_Toc184312092"/>
      <w:bookmarkEnd w:id="432"/>
      <w:bookmarkStart w:id="433" w:name="_Toc184308089"/>
      <w:bookmarkEnd w:id="433"/>
      <w:bookmarkStart w:id="434" w:name="_Toc184312093"/>
      <w:bookmarkEnd w:id="434"/>
      <w:r>
        <w:rPr>
          <w:rFonts w:hint="eastAsia" w:ascii="宋体" w:hAnsi="宋体" w:cs="宋体"/>
          <w:b/>
          <w:color w:val="auto"/>
          <w:sz w:val="36"/>
          <w:szCs w:val="36"/>
          <w:highlight w:val="none"/>
        </w:rPr>
        <w:t>评标办法</w:t>
      </w:r>
      <w:bookmarkEnd w:id="68"/>
      <w:bookmarkEnd w:id="69"/>
    </w:p>
    <w:p>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1699"/>
        <w:gridCol w:w="709"/>
        <w:gridCol w:w="5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序号</w:t>
            </w:r>
          </w:p>
        </w:tc>
        <w:tc>
          <w:tcPr>
            <w:tcW w:w="1699" w:type="dxa"/>
            <w:vAlign w:val="center"/>
          </w:tcPr>
          <w:p>
            <w:pPr>
              <w:rPr>
                <w:color w:val="auto"/>
                <w:highlight w:val="none"/>
              </w:rPr>
            </w:pPr>
            <w:r>
              <w:rPr>
                <w:rFonts w:hint="eastAsia"/>
                <w:color w:val="auto"/>
                <w:highlight w:val="none"/>
              </w:rPr>
              <w:t>评标项目</w:t>
            </w:r>
          </w:p>
        </w:tc>
        <w:tc>
          <w:tcPr>
            <w:tcW w:w="709" w:type="dxa"/>
            <w:vAlign w:val="center"/>
          </w:tcPr>
          <w:p>
            <w:pPr>
              <w:rPr>
                <w:color w:val="auto"/>
                <w:highlight w:val="none"/>
              </w:rPr>
            </w:pPr>
            <w:r>
              <w:rPr>
                <w:rFonts w:hint="eastAsia"/>
                <w:color w:val="auto"/>
                <w:highlight w:val="none"/>
              </w:rPr>
              <w:t>评标分值</w:t>
            </w:r>
          </w:p>
        </w:tc>
        <w:tc>
          <w:tcPr>
            <w:tcW w:w="5974" w:type="dxa"/>
            <w:vAlign w:val="center"/>
          </w:tcPr>
          <w:p>
            <w:pPr>
              <w:jc w:val="center"/>
              <w:rPr>
                <w:color w:val="auto"/>
                <w:highlight w:val="none"/>
              </w:rPr>
            </w:pPr>
            <w:r>
              <w:rPr>
                <w:rFonts w:hint="eastAsia"/>
                <w:color w:val="auto"/>
                <w:highlight w:val="none"/>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1</w:t>
            </w:r>
          </w:p>
        </w:tc>
        <w:tc>
          <w:tcPr>
            <w:tcW w:w="1699" w:type="dxa"/>
            <w:vAlign w:val="center"/>
          </w:tcPr>
          <w:p>
            <w:pPr>
              <w:rPr>
                <w:color w:val="auto"/>
                <w:highlight w:val="none"/>
              </w:rPr>
            </w:pPr>
            <w:r>
              <w:rPr>
                <w:rFonts w:hint="eastAsia"/>
                <w:color w:val="auto"/>
                <w:highlight w:val="none"/>
              </w:rPr>
              <w:t>价格分</w:t>
            </w:r>
          </w:p>
        </w:tc>
        <w:tc>
          <w:tcPr>
            <w:tcW w:w="709" w:type="dxa"/>
            <w:vAlign w:val="center"/>
          </w:tcPr>
          <w:p>
            <w:pPr>
              <w:rPr>
                <w:color w:val="auto"/>
                <w:highlight w:val="none"/>
              </w:rPr>
            </w:pPr>
            <w:r>
              <w:rPr>
                <w:rFonts w:hint="eastAsia"/>
                <w:color w:val="auto"/>
                <w:highlight w:val="none"/>
              </w:rPr>
              <w:t>30分</w:t>
            </w:r>
          </w:p>
        </w:tc>
        <w:tc>
          <w:tcPr>
            <w:tcW w:w="5974" w:type="dxa"/>
            <w:vAlign w:val="center"/>
          </w:tcPr>
          <w:p>
            <w:pPr>
              <w:rPr>
                <w:color w:val="auto"/>
                <w:highlight w:val="none"/>
                <w:shd w:val="clear" w:color="auto" w:fill="auto"/>
              </w:rPr>
            </w:pPr>
            <w:r>
              <w:rPr>
                <w:rFonts w:hint="eastAsia"/>
                <w:color w:val="auto"/>
                <w:highlight w:val="none"/>
                <w:shd w:val="clear" w:color="auto" w:fill="auto"/>
              </w:rPr>
              <w:t>（1）评标报价为投标人的投标报价进行政策性扣除后的价格，评标报价只是作为评标时使用。最终中标人的中标金额等于投标报价。</w:t>
            </w:r>
          </w:p>
          <w:p>
            <w:pPr>
              <w:rPr>
                <w:color w:val="auto"/>
                <w:highlight w:val="none"/>
                <w:shd w:val="clear" w:color="auto" w:fill="auto"/>
              </w:rPr>
            </w:pPr>
            <w:r>
              <w:rPr>
                <w:rFonts w:hint="eastAsia"/>
                <w:color w:val="auto"/>
                <w:highlight w:val="none"/>
                <w:shd w:val="clear" w:color="auto" w:fill="auto"/>
              </w:rPr>
              <w:t>（2）①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pPr>
              <w:rPr>
                <w:color w:val="auto"/>
                <w:highlight w:val="none"/>
                <w:shd w:val="clear" w:color="auto" w:fill="auto"/>
              </w:rPr>
            </w:pPr>
            <w:r>
              <w:rPr>
                <w:rFonts w:hint="eastAsia"/>
                <w:color w:val="auto"/>
                <w:highlight w:val="none"/>
                <w:shd w:val="clear" w:color="auto" w:fill="auto"/>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rPr>
                <w:color w:val="auto"/>
                <w:highlight w:val="none"/>
                <w:shd w:val="clear" w:color="auto" w:fill="auto"/>
              </w:rPr>
            </w:pPr>
            <w:r>
              <w:rPr>
                <w:rFonts w:hint="eastAsia"/>
                <w:color w:val="auto"/>
                <w:highlight w:val="none"/>
                <w:shd w:val="clear" w:color="auto" w:fill="auto"/>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rPr>
                <w:color w:val="auto"/>
                <w:highlight w:val="none"/>
                <w:shd w:val="clear" w:color="auto" w:fill="auto"/>
              </w:rPr>
            </w:pPr>
            <w:r>
              <w:rPr>
                <w:rFonts w:hint="eastAsia"/>
                <w:color w:val="auto"/>
                <w:highlight w:val="none"/>
                <w:shd w:val="clear" w:color="auto" w:fill="auto"/>
              </w:rPr>
              <w:t>④政策性扣除计算方法：评标报价=投标报价×（1-20%）；除上述政策性扣除情况外，评标报价=投标报价。</w:t>
            </w:r>
          </w:p>
          <w:p>
            <w:pPr>
              <w:rPr>
                <w:color w:val="auto"/>
                <w:highlight w:val="none"/>
                <w:shd w:val="clear" w:color="auto" w:fill="auto"/>
              </w:rPr>
            </w:pPr>
            <w:r>
              <w:rPr>
                <w:rFonts w:hint="eastAsia"/>
                <w:color w:val="auto"/>
                <w:highlight w:val="none"/>
                <w:shd w:val="clear" w:color="auto" w:fill="auto"/>
              </w:rPr>
              <w:t>（3）满足招标文件要求且评标报价最低的评标报价为评标基准价，基准价报价得分为 30 分。</w:t>
            </w:r>
          </w:p>
          <w:p>
            <w:pPr>
              <w:rPr>
                <w:color w:val="auto"/>
                <w:highlight w:val="none"/>
                <w:shd w:val="clear" w:color="auto" w:fill="auto"/>
              </w:rPr>
            </w:pPr>
            <w:r>
              <w:rPr>
                <w:rFonts w:hint="eastAsia"/>
                <w:color w:val="auto"/>
                <w:highlight w:val="none"/>
                <w:shd w:val="clear" w:color="auto" w:fill="auto"/>
              </w:rPr>
              <w:t>（4）价格分计算公式：价格分=(评标基准价／评标报价)×30分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7" w:type="dxa"/>
            <w:vAlign w:val="center"/>
          </w:tcPr>
          <w:p>
            <w:pPr>
              <w:jc w:val="center"/>
              <w:rPr>
                <w:color w:val="auto"/>
                <w:highlight w:val="none"/>
              </w:rPr>
            </w:pPr>
            <w:r>
              <w:rPr>
                <w:rFonts w:hint="eastAsia"/>
                <w:color w:val="auto"/>
                <w:highlight w:val="none"/>
              </w:rPr>
              <w:t>2</w:t>
            </w:r>
          </w:p>
        </w:tc>
        <w:tc>
          <w:tcPr>
            <w:tcW w:w="1699" w:type="dxa"/>
            <w:vAlign w:val="center"/>
          </w:tcPr>
          <w:p>
            <w:pPr>
              <w:rPr>
                <w:color w:val="auto"/>
                <w:highlight w:val="none"/>
              </w:rPr>
            </w:pPr>
            <w:r>
              <w:rPr>
                <w:rFonts w:hint="eastAsia"/>
                <w:color w:val="auto"/>
                <w:highlight w:val="none"/>
              </w:rPr>
              <w:t>设备性能及配置</w:t>
            </w:r>
          </w:p>
        </w:tc>
        <w:tc>
          <w:tcPr>
            <w:tcW w:w="709" w:type="dxa"/>
            <w:vAlign w:val="center"/>
          </w:tcPr>
          <w:p>
            <w:pPr>
              <w:rPr>
                <w:color w:val="auto"/>
                <w:highlight w:val="none"/>
              </w:rPr>
            </w:pPr>
            <w:r>
              <w:rPr>
                <w:rFonts w:hint="eastAsia"/>
                <w:lang w:val="en-US" w:eastAsia="zh-CN"/>
              </w:rPr>
              <w:t>29</w:t>
            </w:r>
            <w:r>
              <w:rPr>
                <w:rFonts w:hint="eastAsia"/>
              </w:rPr>
              <w:t>分</w:t>
            </w:r>
          </w:p>
        </w:tc>
        <w:tc>
          <w:tcPr>
            <w:tcW w:w="5974" w:type="dxa"/>
            <w:vAlign w:val="center"/>
          </w:tcPr>
          <w:p>
            <w:pPr>
              <w:rPr>
                <w:color w:val="auto"/>
                <w:highlight w:val="none"/>
                <w:shd w:val="clear" w:color="auto" w:fill="auto"/>
              </w:rPr>
            </w:pPr>
            <w:r>
              <w:rPr>
                <w:rFonts w:hint="eastAsia"/>
                <w:color w:val="auto"/>
                <w:highlight w:val="none"/>
                <w:shd w:val="clear" w:color="auto" w:fill="auto"/>
              </w:rPr>
              <w:t>重要技术参数、性能、配置（指招标项目采购需求标注“★”的技术参数及配置）全部满足得</w:t>
            </w:r>
            <w:r>
              <w:rPr>
                <w:rFonts w:hint="eastAsia"/>
                <w:color w:val="auto"/>
                <w:highlight w:val="none"/>
                <w:shd w:val="clear" w:color="auto" w:fill="auto"/>
                <w:lang w:val="en-US" w:eastAsia="zh-CN"/>
              </w:rPr>
              <w:t>29</w:t>
            </w:r>
            <w:r>
              <w:rPr>
                <w:rFonts w:hint="eastAsia"/>
                <w:color w:val="auto"/>
                <w:highlight w:val="none"/>
                <w:shd w:val="clear" w:color="auto" w:fill="auto"/>
              </w:rPr>
              <w:t>分，每有一项负偏离扣</w:t>
            </w:r>
            <w:r>
              <w:rPr>
                <w:rFonts w:hint="eastAsia"/>
                <w:color w:val="auto"/>
                <w:highlight w:val="none"/>
                <w:shd w:val="clear" w:color="auto" w:fill="auto"/>
                <w:lang w:val="en-US" w:eastAsia="zh-CN"/>
              </w:rPr>
              <w:t>1</w:t>
            </w:r>
            <w:r>
              <w:rPr>
                <w:rFonts w:hint="eastAsia"/>
                <w:color w:val="auto"/>
                <w:highlight w:val="none"/>
                <w:shd w:val="clear" w:color="auto" w:fill="auto"/>
              </w:rPr>
              <w:t>分，扣完为止。招标文件如要求提供重要技术参数、性能、配置响应的相关证明材料（相关证明材料可以是第三方机构检测报告、测试报告等能体现具体参数的证明材料复印件并加盖投标人电子印章），未提供的视为负偏离，</w:t>
            </w:r>
            <w:r>
              <w:rPr>
                <w:rFonts w:hint="eastAsia"/>
                <w:color w:val="auto"/>
                <w:highlight w:val="none"/>
                <w:shd w:val="clear" w:color="auto" w:fill="auto"/>
                <w:lang w:eastAsia="zh-CN"/>
              </w:rPr>
              <w:t>不得分</w:t>
            </w:r>
            <w:r>
              <w:rPr>
                <w:rFonts w:hint="eastAsia"/>
                <w:color w:val="auto"/>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3</w:t>
            </w:r>
          </w:p>
        </w:tc>
        <w:tc>
          <w:tcPr>
            <w:tcW w:w="1699" w:type="dxa"/>
            <w:vAlign w:val="center"/>
          </w:tcPr>
          <w:p>
            <w:pPr>
              <w:rPr>
                <w:color w:val="auto"/>
                <w:highlight w:val="none"/>
              </w:rPr>
            </w:pPr>
            <w:r>
              <w:rPr>
                <w:rFonts w:hint="eastAsia"/>
                <w:color w:val="auto"/>
                <w:highlight w:val="none"/>
              </w:rPr>
              <w:t>项目实施方案</w:t>
            </w:r>
          </w:p>
        </w:tc>
        <w:tc>
          <w:tcPr>
            <w:tcW w:w="709" w:type="dxa"/>
            <w:vAlign w:val="center"/>
          </w:tcPr>
          <w:p>
            <w:pPr>
              <w:rPr>
                <w:color w:val="auto"/>
                <w:highlight w:val="none"/>
              </w:rPr>
            </w:pPr>
            <w:r>
              <w:rPr>
                <w:rFonts w:hint="eastAsia"/>
                <w:lang w:val="en-US" w:eastAsia="zh-CN"/>
              </w:rPr>
              <w:t>20</w:t>
            </w:r>
            <w:r>
              <w:rPr>
                <w:rFonts w:hint="eastAsia"/>
              </w:rPr>
              <w:t>分</w:t>
            </w:r>
          </w:p>
        </w:tc>
        <w:tc>
          <w:tcPr>
            <w:tcW w:w="5974" w:type="dxa"/>
            <w:vAlign w:val="center"/>
          </w:tcPr>
          <w:p>
            <w:pPr>
              <w:rPr>
                <w:color w:val="auto"/>
                <w:shd w:val="clear" w:color="auto" w:fill="auto"/>
              </w:rPr>
            </w:pPr>
            <w:r>
              <w:rPr>
                <w:rFonts w:hint="eastAsia"/>
                <w:color w:val="auto"/>
                <w:shd w:val="clear" w:color="auto" w:fill="auto"/>
              </w:rPr>
              <w:t>投标文件中未提供项目实施方案不得分</w:t>
            </w:r>
          </w:p>
          <w:p>
            <w:pPr>
              <w:rPr>
                <w:color w:val="auto"/>
                <w:shd w:val="clear" w:color="auto" w:fill="auto"/>
              </w:rPr>
            </w:pPr>
            <w:r>
              <w:rPr>
                <w:rFonts w:hint="eastAsia"/>
                <w:b/>
                <w:bCs/>
                <w:color w:val="auto"/>
                <w:shd w:val="clear" w:color="auto" w:fill="auto"/>
              </w:rPr>
              <w:t>一档（</w:t>
            </w:r>
            <w:r>
              <w:rPr>
                <w:rFonts w:hint="eastAsia"/>
                <w:b/>
                <w:bCs/>
                <w:color w:val="auto"/>
                <w:shd w:val="clear" w:color="auto" w:fill="auto"/>
                <w:lang w:val="en-US" w:eastAsia="zh-CN"/>
              </w:rPr>
              <w:t>5</w:t>
            </w:r>
            <w:r>
              <w:rPr>
                <w:rFonts w:hint="eastAsia"/>
                <w:b/>
                <w:bCs/>
                <w:color w:val="auto"/>
                <w:shd w:val="clear" w:color="auto" w:fill="auto"/>
              </w:rPr>
              <w:t>分）：</w:t>
            </w:r>
            <w:r>
              <w:rPr>
                <w:rFonts w:hint="eastAsia"/>
                <w:color w:val="auto"/>
                <w:shd w:val="clear" w:color="auto" w:fill="auto"/>
              </w:rPr>
              <w:t>具有项目管理措施，包含设备安装具体实施流程。</w:t>
            </w:r>
          </w:p>
          <w:p>
            <w:pPr>
              <w:rPr>
                <w:color w:val="auto"/>
                <w:shd w:val="clear" w:color="auto" w:fill="auto"/>
              </w:rPr>
            </w:pPr>
            <w:r>
              <w:rPr>
                <w:rFonts w:hint="eastAsia"/>
                <w:b/>
                <w:bCs/>
                <w:color w:val="auto"/>
                <w:shd w:val="clear" w:color="auto" w:fill="auto"/>
              </w:rPr>
              <w:t>二档（</w:t>
            </w:r>
            <w:r>
              <w:rPr>
                <w:rFonts w:hint="eastAsia"/>
                <w:b/>
                <w:bCs/>
                <w:color w:val="auto"/>
                <w:shd w:val="clear" w:color="auto" w:fill="auto"/>
                <w:lang w:val="en-US" w:eastAsia="zh-CN"/>
              </w:rPr>
              <w:t>10</w:t>
            </w:r>
            <w:r>
              <w:rPr>
                <w:rFonts w:hint="eastAsia"/>
                <w:b/>
                <w:bCs/>
                <w:color w:val="auto"/>
                <w:shd w:val="clear" w:color="auto" w:fill="auto"/>
              </w:rPr>
              <w:t>分）：</w:t>
            </w:r>
            <w:r>
              <w:rPr>
                <w:rFonts w:hint="eastAsia"/>
                <w:color w:val="auto"/>
                <w:shd w:val="clear" w:color="auto" w:fill="auto"/>
              </w:rPr>
              <w:t>具有项目管理措施，包含设备安装具体实施流程、设备运输安排、设备运输过程中保护措施、设备调试进度安排、设备质量保证措施。</w:t>
            </w:r>
          </w:p>
          <w:p>
            <w:pPr>
              <w:rPr>
                <w:color w:val="auto"/>
                <w:shd w:val="clear" w:color="auto" w:fill="auto"/>
              </w:rPr>
            </w:pPr>
            <w:r>
              <w:rPr>
                <w:rFonts w:hint="eastAsia"/>
                <w:b/>
                <w:bCs/>
                <w:color w:val="auto"/>
                <w:shd w:val="clear" w:color="auto" w:fill="auto"/>
              </w:rPr>
              <w:t>三档（</w:t>
            </w:r>
            <w:r>
              <w:rPr>
                <w:rFonts w:hint="eastAsia"/>
                <w:b/>
                <w:bCs/>
                <w:color w:val="auto"/>
                <w:shd w:val="clear" w:color="auto" w:fill="auto"/>
                <w:lang w:val="en-US" w:eastAsia="zh-CN"/>
              </w:rPr>
              <w:t>15</w:t>
            </w:r>
            <w:r>
              <w:rPr>
                <w:rFonts w:hint="eastAsia"/>
                <w:b/>
                <w:bCs/>
                <w:color w:val="auto"/>
                <w:shd w:val="clear" w:color="auto" w:fill="auto"/>
              </w:rPr>
              <w:t>分）：</w:t>
            </w:r>
            <w:r>
              <w:rPr>
                <w:rFonts w:hint="eastAsia"/>
                <w:color w:val="auto"/>
                <w:shd w:val="clear" w:color="auto" w:fill="auto"/>
              </w:rPr>
              <w:t>具有项目管理措施，包含设备安装具体实施流程、设备运输安排、设备运输过程中保护措施、设备调试进度安排、设备质量保证措施，具有项目风险防范措施，提供实施各个阶段工作安排和进度计划。</w:t>
            </w:r>
          </w:p>
          <w:p>
            <w:pPr>
              <w:rPr>
                <w:color w:val="auto"/>
                <w:highlight w:val="none"/>
                <w:shd w:val="clear" w:color="auto" w:fill="auto"/>
              </w:rPr>
            </w:pPr>
            <w:r>
              <w:rPr>
                <w:rFonts w:hint="eastAsia"/>
                <w:b/>
                <w:bCs/>
                <w:color w:val="auto"/>
                <w:shd w:val="clear" w:color="auto" w:fill="auto"/>
              </w:rPr>
              <w:t>四档（</w:t>
            </w:r>
            <w:r>
              <w:rPr>
                <w:rFonts w:hint="eastAsia"/>
                <w:b/>
                <w:bCs/>
                <w:color w:val="auto"/>
                <w:shd w:val="clear" w:color="auto" w:fill="auto"/>
                <w:lang w:val="en-US" w:eastAsia="zh-CN"/>
              </w:rPr>
              <w:t>20</w:t>
            </w:r>
            <w:r>
              <w:rPr>
                <w:rFonts w:hint="eastAsia"/>
                <w:b/>
                <w:bCs/>
                <w:color w:val="auto"/>
                <w:shd w:val="clear" w:color="auto" w:fill="auto"/>
              </w:rPr>
              <w:t>分）：</w:t>
            </w:r>
            <w:r>
              <w:rPr>
                <w:rFonts w:hint="eastAsia"/>
                <w:color w:val="auto"/>
                <w:shd w:val="clear" w:color="auto" w:fill="auto"/>
              </w:rPr>
              <w:t>具有项目管理措施，包含设备安装具体实施流程、设备运输安排、设备运输过程中保护措施、设备交付进度安排、设备安装过程中的保护措施、设备调试进度安排、设备质量保证措施、设备安装调试风险防范措施，具有机房施工防范措施，提供实施各个阶段工作安排和进度计划，有管理组织机构图，提供各阶段风险管理措施、联调及验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4</w:t>
            </w:r>
          </w:p>
        </w:tc>
        <w:tc>
          <w:tcPr>
            <w:tcW w:w="1699" w:type="dxa"/>
            <w:vAlign w:val="center"/>
          </w:tcPr>
          <w:p>
            <w:pPr>
              <w:rPr>
                <w:color w:val="auto"/>
                <w:highlight w:val="none"/>
              </w:rPr>
            </w:pPr>
            <w:r>
              <w:rPr>
                <w:rFonts w:hint="eastAsia"/>
                <w:color w:val="auto"/>
                <w:highlight w:val="none"/>
              </w:rPr>
              <w:t>售后服务分</w:t>
            </w:r>
          </w:p>
        </w:tc>
        <w:tc>
          <w:tcPr>
            <w:tcW w:w="709" w:type="dxa"/>
            <w:vAlign w:val="center"/>
          </w:tcPr>
          <w:p>
            <w:pPr>
              <w:rPr>
                <w:color w:val="auto"/>
                <w:highlight w:val="none"/>
              </w:rPr>
            </w:pPr>
            <w:r>
              <w:rPr>
                <w:rFonts w:hint="eastAsia"/>
                <w:lang w:val="en-US" w:eastAsia="zh-CN"/>
              </w:rPr>
              <w:t>15</w:t>
            </w:r>
            <w:r>
              <w:rPr>
                <w:rFonts w:hint="eastAsia"/>
              </w:rPr>
              <w:t>分</w:t>
            </w:r>
          </w:p>
        </w:tc>
        <w:tc>
          <w:tcPr>
            <w:tcW w:w="5974" w:type="dxa"/>
            <w:vAlign w:val="center"/>
          </w:tcPr>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评标委员会对投标供应商的投标文件中售后服务承诺书内容，即：到达故障现场时间、问题出现解决方案、送货方案其他优惠措施等方面，由评标委员会根据各投标供应商的承诺的内容进行独立打分。</w:t>
            </w:r>
          </w:p>
          <w:p>
            <w:pPr>
              <w:rPr>
                <w:rFonts w:hint="eastAsia" w:ascii="宋体" w:hAnsi="宋体" w:eastAsia="宋体" w:cs="宋体"/>
                <w:color w:val="auto"/>
                <w:shd w:val="clear" w:color="auto" w:fill="auto"/>
              </w:rPr>
            </w:pPr>
            <w:r>
              <w:rPr>
                <w:rFonts w:hint="eastAsia" w:ascii="宋体" w:hAnsi="宋体" w:eastAsia="宋体" w:cs="宋体"/>
                <w:b/>
                <w:bCs/>
                <w:color w:val="auto"/>
                <w:shd w:val="clear" w:color="auto" w:fill="auto"/>
              </w:rPr>
              <w:t>一档（</w:t>
            </w:r>
            <w:r>
              <w:rPr>
                <w:rFonts w:hint="eastAsia" w:ascii="宋体" w:hAnsi="宋体" w:cs="宋体"/>
                <w:b/>
                <w:bCs/>
                <w:color w:val="auto"/>
                <w:shd w:val="clear" w:color="auto" w:fill="auto"/>
                <w:lang w:val="en-US" w:eastAsia="zh-CN"/>
              </w:rPr>
              <w:t>5</w:t>
            </w:r>
            <w:r>
              <w:rPr>
                <w:rFonts w:hint="eastAsia" w:ascii="宋体" w:hAnsi="宋体" w:eastAsia="宋体" w:cs="宋体"/>
                <w:b/>
                <w:bCs/>
                <w:color w:val="auto"/>
                <w:shd w:val="clear" w:color="auto" w:fill="auto"/>
              </w:rPr>
              <w:t>分）：</w:t>
            </w:r>
            <w:r>
              <w:rPr>
                <w:rFonts w:hint="eastAsia" w:ascii="宋体" w:hAnsi="宋体" w:eastAsia="宋体" w:cs="宋体"/>
                <w:bCs/>
                <w:color w:val="auto"/>
                <w:shd w:val="clear" w:color="auto" w:fill="auto"/>
              </w:rPr>
              <w:t>基本</w:t>
            </w:r>
            <w:r>
              <w:rPr>
                <w:rFonts w:hint="eastAsia" w:ascii="宋体" w:hAnsi="宋体" w:eastAsia="宋体" w:cs="宋体"/>
                <w:color w:val="auto"/>
                <w:shd w:val="clear" w:color="auto" w:fill="auto"/>
              </w:rPr>
              <w:t>按招标文件质保期和售后技术服务要求进行保修，质保期内接到故障通知，故障响应时间、重大故障承诺解决时间、提供故障解决方案基本满足项目要求。</w:t>
            </w:r>
          </w:p>
          <w:p>
            <w:pPr>
              <w:rPr>
                <w:rFonts w:hint="eastAsia" w:ascii="宋体" w:hAnsi="宋体" w:eastAsia="宋体" w:cs="宋体"/>
                <w:color w:val="auto"/>
                <w:shd w:val="clear" w:color="auto" w:fill="auto"/>
              </w:rPr>
            </w:pPr>
            <w:r>
              <w:rPr>
                <w:rFonts w:hint="eastAsia" w:ascii="宋体" w:hAnsi="宋体" w:eastAsia="宋体" w:cs="宋体"/>
                <w:b/>
                <w:bCs/>
                <w:color w:val="auto"/>
                <w:shd w:val="clear" w:color="auto" w:fill="auto"/>
              </w:rPr>
              <w:t>二档（1</w:t>
            </w:r>
            <w:r>
              <w:rPr>
                <w:rFonts w:hint="eastAsia" w:ascii="宋体" w:hAnsi="宋体" w:cs="宋体"/>
                <w:b/>
                <w:bCs/>
                <w:color w:val="auto"/>
                <w:shd w:val="clear" w:color="auto" w:fill="auto"/>
                <w:lang w:val="en-US" w:eastAsia="zh-CN"/>
              </w:rPr>
              <w:t>0</w:t>
            </w:r>
            <w:r>
              <w:rPr>
                <w:rFonts w:hint="eastAsia" w:ascii="宋体" w:hAnsi="宋体" w:eastAsia="宋体" w:cs="宋体"/>
                <w:b/>
                <w:bCs/>
                <w:color w:val="auto"/>
                <w:shd w:val="clear" w:color="auto" w:fill="auto"/>
              </w:rPr>
              <w:t>分）：</w:t>
            </w:r>
            <w:r>
              <w:rPr>
                <w:rFonts w:hint="eastAsia" w:ascii="宋体" w:hAnsi="宋体" w:eastAsia="宋体" w:cs="宋体"/>
                <w:color w:val="auto"/>
                <w:shd w:val="clear" w:color="auto" w:fill="auto"/>
              </w:rPr>
              <w:t>按招标文件质保期和售后技术服务要求进行保修，提供年内维护保养，质保期内接到故障通知，故障响应时间、重大故障承诺解决时间、提供故障解决方案满足项目要求。提供送货方案、服务流程（包括故障处理、上门维护、紧急维护、重要服务、电话维护、主</w:t>
            </w:r>
            <w:bookmarkStart w:id="466" w:name="_GoBack"/>
            <w:bookmarkEnd w:id="466"/>
            <w:r>
              <w:rPr>
                <w:rFonts w:hint="eastAsia" w:ascii="宋体" w:hAnsi="宋体" w:eastAsia="宋体" w:cs="宋体"/>
                <w:color w:val="auto"/>
                <w:shd w:val="clear" w:color="auto" w:fill="auto"/>
              </w:rPr>
              <w:t>动巡检等）。</w:t>
            </w:r>
          </w:p>
          <w:p>
            <w:pPr>
              <w:rPr>
                <w:strike/>
                <w:color w:val="auto"/>
                <w:highlight w:val="none"/>
                <w:shd w:val="clear" w:color="auto" w:fill="auto"/>
              </w:rPr>
            </w:pPr>
            <w:r>
              <w:rPr>
                <w:rFonts w:hint="eastAsia" w:ascii="宋体" w:hAnsi="宋体" w:eastAsia="宋体" w:cs="宋体"/>
                <w:b/>
                <w:bCs/>
                <w:color w:val="auto"/>
                <w:shd w:val="clear" w:color="auto" w:fill="auto"/>
              </w:rPr>
              <w:t>三档（</w:t>
            </w:r>
            <w:r>
              <w:rPr>
                <w:rFonts w:hint="eastAsia" w:ascii="宋体" w:hAnsi="宋体" w:cs="宋体"/>
                <w:b/>
                <w:bCs/>
                <w:color w:val="auto"/>
                <w:shd w:val="clear" w:color="auto" w:fill="auto"/>
                <w:lang w:val="en-US" w:eastAsia="zh-CN"/>
              </w:rPr>
              <w:t>15</w:t>
            </w:r>
            <w:r>
              <w:rPr>
                <w:rFonts w:hint="eastAsia" w:ascii="宋体" w:hAnsi="宋体" w:eastAsia="宋体" w:cs="宋体"/>
                <w:b/>
                <w:bCs/>
                <w:color w:val="auto"/>
                <w:shd w:val="clear" w:color="auto" w:fill="auto"/>
              </w:rPr>
              <w:t>分）：</w:t>
            </w:r>
            <w:r>
              <w:rPr>
                <w:rFonts w:hint="eastAsia" w:ascii="宋体" w:hAnsi="宋体" w:eastAsia="宋体" w:cs="宋体"/>
                <w:color w:val="auto"/>
                <w:shd w:val="clear" w:color="auto" w:fill="auto"/>
              </w:rPr>
              <w:t>按招标文件质保期和售后技术服务要求进行保修，提供保修期满后维修零配件优惠，提供1年不少于4次维护保养；质保期内接到故障通知，故障响应时间、重大故障承诺解决时间、提供故障解决方案较好满足项目要求。提供送货方案，包含售后响应时间、服务承诺等，满足项目需求，提供服务流程（包括故障处理、上门维护、紧急维护、重要服务、电话维护、主动巡检等），产品的售后服务机构，提供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087" w:type="dxa"/>
            <w:vMerge w:val="restart"/>
            <w:vAlign w:val="center"/>
          </w:tcPr>
          <w:p>
            <w:pPr>
              <w:jc w:val="center"/>
              <w:rPr>
                <w:color w:val="auto"/>
                <w:highlight w:val="none"/>
              </w:rPr>
            </w:pPr>
            <w:r>
              <w:rPr>
                <w:rFonts w:hint="eastAsia"/>
                <w:color w:val="auto"/>
                <w:highlight w:val="none"/>
              </w:rPr>
              <w:t>5</w:t>
            </w:r>
          </w:p>
        </w:tc>
        <w:tc>
          <w:tcPr>
            <w:tcW w:w="1699" w:type="dxa"/>
            <w:vMerge w:val="restart"/>
            <w:vAlign w:val="center"/>
          </w:tcPr>
          <w:p>
            <w:pPr>
              <w:rPr>
                <w:color w:val="auto"/>
                <w:highlight w:val="none"/>
              </w:rPr>
            </w:pPr>
            <w:r>
              <w:rPr>
                <w:rFonts w:hint="eastAsia"/>
                <w:color w:val="auto"/>
                <w:highlight w:val="none"/>
              </w:rPr>
              <w:t>政策功能分（节能、环保、区内产品等）</w:t>
            </w:r>
          </w:p>
        </w:tc>
        <w:tc>
          <w:tcPr>
            <w:tcW w:w="709" w:type="dxa"/>
            <w:vMerge w:val="restart"/>
            <w:vAlign w:val="center"/>
          </w:tcPr>
          <w:p>
            <w:pPr>
              <w:rPr>
                <w:color w:val="auto"/>
                <w:highlight w:val="none"/>
              </w:rPr>
            </w:pPr>
            <w:r>
              <w:rPr>
                <w:rFonts w:hint="eastAsia"/>
                <w:color w:val="auto"/>
                <w:highlight w:val="none"/>
              </w:rPr>
              <w:t>5分</w:t>
            </w:r>
          </w:p>
        </w:tc>
        <w:tc>
          <w:tcPr>
            <w:tcW w:w="5974" w:type="dxa"/>
            <w:tcBorders>
              <w:bottom w:val="single" w:color="auto" w:sz="4" w:space="0"/>
            </w:tcBorders>
            <w:vAlign w:val="center"/>
          </w:tcPr>
          <w:p>
            <w:pPr>
              <w:pStyle w:val="34"/>
              <w:rPr>
                <w:color w:val="auto"/>
                <w:highlight w:val="none"/>
              </w:rPr>
            </w:pPr>
            <w:r>
              <w:rPr>
                <w:rFonts w:hint="eastAsia"/>
                <w:color w:val="auto"/>
                <w:highlight w:val="none"/>
              </w:rPr>
              <w:t>（1）投标产品纳入财政部 国家发展改革委《关于印发节能产品政府采购品目清单的通知》（财库[2019]19号）中节能产品政府采购品目清单的，毎有一项得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3</w:t>
            </w:r>
            <w:r>
              <w:rPr>
                <w:rFonts w:hint="eastAsia"/>
                <w:color w:val="auto"/>
                <w:highlight w:val="none"/>
              </w:rPr>
              <w:t>分。（投标时须提供国家确定的认证机构出具的、处于有效期之内的有效的节能产品认证证书复印件并加盖投标人公章。适用于非强制采购节能产品）。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1087" w:type="dxa"/>
            <w:vMerge w:val="continue"/>
            <w:vAlign w:val="center"/>
          </w:tcPr>
          <w:p>
            <w:pPr>
              <w:jc w:val="center"/>
              <w:rPr>
                <w:color w:val="auto"/>
                <w:highlight w:val="none"/>
              </w:rPr>
            </w:pPr>
          </w:p>
        </w:tc>
        <w:tc>
          <w:tcPr>
            <w:tcW w:w="1699" w:type="dxa"/>
            <w:vMerge w:val="continue"/>
            <w:vAlign w:val="center"/>
          </w:tcPr>
          <w:p>
            <w:pPr>
              <w:rPr>
                <w:color w:val="auto"/>
                <w:highlight w:val="none"/>
              </w:rPr>
            </w:pPr>
          </w:p>
        </w:tc>
        <w:tc>
          <w:tcPr>
            <w:tcW w:w="709" w:type="dxa"/>
            <w:vMerge w:val="continue"/>
            <w:tcBorders>
              <w:bottom w:val="single" w:color="auto" w:sz="4" w:space="0"/>
            </w:tcBorders>
            <w:vAlign w:val="center"/>
          </w:tcPr>
          <w:p>
            <w:pPr>
              <w:rPr>
                <w:color w:val="auto"/>
                <w:highlight w:val="none"/>
              </w:rPr>
            </w:pPr>
          </w:p>
        </w:tc>
        <w:tc>
          <w:tcPr>
            <w:tcW w:w="5974" w:type="dxa"/>
            <w:tcBorders>
              <w:top w:val="single" w:color="auto" w:sz="4" w:space="0"/>
              <w:bottom w:val="single" w:color="auto" w:sz="4" w:space="0"/>
            </w:tcBorders>
            <w:vAlign w:val="center"/>
          </w:tcPr>
          <w:p>
            <w:pPr>
              <w:pStyle w:val="34"/>
              <w:rPr>
                <w:color w:val="auto"/>
                <w:highlight w:val="none"/>
              </w:rPr>
            </w:pPr>
            <w:r>
              <w:rPr>
                <w:rFonts w:hint="eastAsia"/>
                <w:color w:val="auto"/>
                <w:highlight w:val="none"/>
              </w:rPr>
              <w:t>（2）投标产品纳入财政部 国家发展改革委《关于印发环境标志产品政府采购品目清单的通知》（财库[2019]18号）中环境标志产品政府采购品目清单的，毎有一项得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2</w:t>
            </w:r>
            <w:r>
              <w:rPr>
                <w:rFonts w:hint="eastAsia"/>
                <w:color w:val="auto"/>
                <w:highlight w:val="none"/>
              </w:rPr>
              <w:t>分。（投标时须提供国家确定的认证机构出具的、处于有效期之内的有效的认证证书复印件并加盖投标人公章。）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9469" w:type="dxa"/>
            <w:gridSpan w:val="4"/>
            <w:vAlign w:val="center"/>
          </w:tcPr>
          <w:p>
            <w:pPr>
              <w:jc w:val="left"/>
              <w:rPr>
                <w:color w:val="auto"/>
                <w:highlight w:val="none"/>
              </w:rPr>
            </w:pPr>
            <w:r>
              <w:rPr>
                <w:rFonts w:hint="eastAsia"/>
                <w:b/>
                <w:bCs/>
                <w:color w:val="auto"/>
                <w:highlight w:val="none"/>
              </w:rPr>
              <w:t>总得分：1+2+3+4+5</w:t>
            </w:r>
          </w:p>
        </w:tc>
      </w:tr>
    </w:tbl>
    <w:p>
      <w:pPr>
        <w:tabs>
          <w:tab w:val="left" w:pos="284"/>
        </w:tabs>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tabs>
          <w:tab w:val="left" w:pos="284"/>
        </w:tabs>
        <w:snapToGrid w:val="0"/>
        <w:spacing w:line="360" w:lineRule="auto"/>
        <w:rPr>
          <w:rFonts w:ascii="宋体" w:hAnsi="宋体" w:cs="宋体"/>
          <w:b/>
          <w:color w:val="auto"/>
          <w:sz w:val="32"/>
          <w:highlight w:val="none"/>
        </w:rPr>
      </w:pPr>
      <w:r>
        <w:rPr>
          <w:rFonts w:hint="eastAsia" w:ascii="宋体" w:hAnsi="宋体" w:cs="宋体"/>
          <w:b/>
          <w:color w:val="auto"/>
          <w:sz w:val="32"/>
          <w:highlight w:val="none"/>
        </w:rPr>
        <w:t>一、评标方法</w:t>
      </w:r>
    </w:p>
    <w:p>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4"/>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pPr>
        <w:pStyle w:val="84"/>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84"/>
        <w:rPr>
          <w:b/>
          <w:bCs/>
          <w:color w:val="auto"/>
          <w:highlight w:val="none"/>
        </w:rPr>
      </w:pPr>
      <w:r>
        <w:rPr>
          <w:rFonts w:hint="eastAsia"/>
          <w:color w:val="auto"/>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84"/>
        <w:ind w:firstLine="0"/>
        <w:rPr>
          <w:b/>
          <w:color w:val="auto"/>
          <w:sz w:val="32"/>
          <w:szCs w:val="32"/>
          <w:highlight w:val="none"/>
        </w:rPr>
      </w:pPr>
      <w:r>
        <w:rPr>
          <w:rFonts w:hint="eastAsia"/>
          <w:b/>
          <w:color w:val="auto"/>
          <w:sz w:val="32"/>
          <w:szCs w:val="32"/>
          <w:highlight w:val="none"/>
        </w:rPr>
        <w:t>五、评审过程的保密与录像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pPr>
        <w:pStyle w:val="26"/>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61"/>
    <w:p>
      <w:pPr>
        <w:spacing w:line="360" w:lineRule="auto"/>
        <w:ind w:left="720" w:leftChars="343" w:firstLine="1084" w:firstLineChars="300"/>
        <w:rPr>
          <w:rFonts w:ascii="宋体" w:hAnsi="宋体" w:cs="宋体"/>
          <w:b/>
          <w:color w:val="auto"/>
          <w:sz w:val="36"/>
          <w:szCs w:val="36"/>
          <w:highlight w:val="none"/>
        </w:rPr>
      </w:pPr>
      <w:bookmarkStart w:id="435" w:name="第五部分"/>
      <w:bookmarkStart w:id="436" w:name="_Toc86217003"/>
    </w:p>
    <w:p>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pStyle w:val="84"/>
        <w:rPr>
          <w:color w:val="auto"/>
          <w:highlight w:val="none"/>
        </w:rPr>
      </w:pPr>
      <w:r>
        <w:rPr>
          <w:color w:val="auto"/>
          <w:highlight w:val="none"/>
        </w:rPr>
        <w:br w:type="page"/>
      </w:r>
    </w:p>
    <w:p>
      <w:pPr>
        <w:pStyle w:val="84"/>
        <w:rPr>
          <w:color w:val="auto"/>
          <w:highlight w:val="none"/>
        </w:rPr>
      </w:pPr>
    </w:p>
    <w:p>
      <w:pPr>
        <w:spacing w:line="360" w:lineRule="auto"/>
        <w:jc w:val="center"/>
        <w:outlineLvl w:val="0"/>
        <w:rPr>
          <w:rFonts w:ascii="宋体" w:hAnsi="宋体" w:cs="宋体"/>
          <w:b/>
          <w:color w:val="auto"/>
          <w:sz w:val="36"/>
          <w:szCs w:val="36"/>
          <w:highlight w:val="none"/>
        </w:rPr>
      </w:pPr>
      <w:bookmarkStart w:id="437" w:name="_Toc176185125"/>
      <w:bookmarkStart w:id="438" w:name="_Toc176343852"/>
      <w:r>
        <w:rPr>
          <w:rFonts w:hint="eastAsia" w:ascii="宋体" w:hAnsi="宋体" w:cs="宋体"/>
          <w:b/>
          <w:color w:val="auto"/>
          <w:sz w:val="36"/>
          <w:szCs w:val="36"/>
          <w:highlight w:val="none"/>
        </w:rPr>
        <w:t>第五部分  拟签订的合同文本</w:t>
      </w:r>
      <w:bookmarkEnd w:id="437"/>
      <w:bookmarkEnd w:id="438"/>
    </w:p>
    <w:p>
      <w:pPr>
        <w:adjustRightInd/>
        <w:spacing w:line="600" w:lineRule="exact"/>
        <w:ind w:firstLine="1044"/>
        <w:rPr>
          <w:rFonts w:ascii="宋体" w:hAnsi="宋体" w:cs="宋体"/>
          <w:b/>
          <w:color w:val="auto"/>
          <w:kern w:val="0"/>
          <w:sz w:val="52"/>
          <w:szCs w:val="52"/>
          <w:highlight w:val="none"/>
        </w:rPr>
      </w:pPr>
    </w:p>
    <w:p>
      <w:pPr>
        <w:adjustRightInd/>
        <w:jc w:val="center"/>
        <w:rPr>
          <w:rFonts w:ascii="宋体" w:hAnsi="宋体" w:cs="宋体"/>
          <w:b/>
          <w:bCs/>
          <w:color w:val="auto"/>
          <w:spacing w:val="-20"/>
          <w:kern w:val="44"/>
          <w:sz w:val="48"/>
          <w:szCs w:val="48"/>
          <w:highlight w:val="none"/>
        </w:rPr>
      </w:pPr>
      <w:bookmarkStart w:id="439" w:name="_Toc3995"/>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北海市政府采购合同</w:t>
      </w:r>
    </w:p>
    <w:p>
      <w:pPr>
        <w:adjustRightInd/>
        <w:jc w:val="center"/>
        <w:rPr>
          <w:rFonts w:ascii="宋体" w:hAnsi="宋体" w:cs="宋体"/>
          <w:b/>
          <w:bCs/>
          <w:color w:val="auto"/>
          <w:spacing w:val="-20"/>
          <w:kern w:val="44"/>
          <w:sz w:val="36"/>
          <w:szCs w:val="36"/>
          <w:highlight w:val="none"/>
        </w:rPr>
      </w:pPr>
    </w:p>
    <w:p>
      <w:pPr>
        <w:adjustRightInd/>
        <w:jc w:val="center"/>
        <w:rPr>
          <w:rFonts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（货物类）</w:t>
      </w:r>
    </w:p>
    <w:p>
      <w:pPr>
        <w:adjustRightInd/>
        <w:rPr>
          <w:rFonts w:ascii="宋体" w:hAnsi="宋体" w:cs="宋体"/>
          <w:b/>
          <w:bCs/>
          <w:color w:val="auto"/>
          <w:spacing w:val="-20"/>
          <w:kern w:val="44"/>
          <w:sz w:val="40"/>
          <w:szCs w:val="40"/>
          <w:highlight w:val="none"/>
        </w:rPr>
      </w:pPr>
    </w:p>
    <w:p>
      <w:pPr>
        <w:adjustRightInd/>
        <w:rPr>
          <w:rFonts w:ascii="宋体" w:hAnsi="宋体" w:cs="宋体"/>
          <w:b/>
          <w:bCs/>
          <w:color w:val="auto"/>
          <w:spacing w:val="-20"/>
          <w:kern w:val="44"/>
          <w:sz w:val="40"/>
          <w:szCs w:val="40"/>
          <w:highlight w:val="none"/>
        </w:rPr>
      </w:pPr>
    </w:p>
    <w:p>
      <w:pPr>
        <w:adjustRightInd/>
        <w:rPr>
          <w:rFonts w:ascii="宋体" w:hAnsi="宋体" w:cs="宋体"/>
          <w:b/>
          <w:bCs/>
          <w:color w:val="auto"/>
          <w:spacing w:val="-20"/>
          <w:kern w:val="44"/>
          <w:sz w:val="40"/>
          <w:szCs w:val="40"/>
          <w:highlight w:val="none"/>
        </w:rPr>
      </w:pPr>
    </w:p>
    <w:p>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pPr>
        <w:adjustRightInd/>
        <w:rPr>
          <w:color w:val="auto"/>
          <w:highlight w:val="none"/>
        </w:rPr>
      </w:pPr>
    </w:p>
    <w:p>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39"/>
      <w:bookmarkStart w:id="440" w:name="_Toc22209"/>
      <w:r>
        <w:rPr>
          <w:rFonts w:hint="eastAsia" w:ascii="黑体" w:hAnsi="黑体" w:eastAsia="黑体"/>
          <w:color w:val="auto"/>
          <w:sz w:val="28"/>
          <w:szCs w:val="28"/>
          <w:highlight w:val="none"/>
        </w:rPr>
        <w:t>第一节 政府采购合同协议书</w:t>
      </w:r>
      <w:bookmarkEnd w:id="440"/>
    </w:p>
    <w:p>
      <w:pPr>
        <w:pStyle w:val="84"/>
        <w:rPr>
          <w:color w:val="auto"/>
          <w:highlight w:val="none"/>
        </w:rPr>
      </w:pPr>
    </w:p>
    <w:p>
      <w:pPr>
        <w:pStyle w:val="84"/>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pPr>
        <w:pStyle w:val="84"/>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pPr>
        <w:pStyle w:val="84"/>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pPr>
        <w:pStyle w:val="84"/>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pPr>
        <w:adjustRightInd/>
        <w:spacing w:line="400" w:lineRule="exact"/>
        <w:rPr>
          <w:color w:val="auto"/>
          <w:highlight w:val="none"/>
        </w:rPr>
      </w:pPr>
    </w:p>
    <w:p>
      <w:pPr>
        <w:pStyle w:val="84"/>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pStyle w:val="84"/>
        <w:ind w:firstLine="0"/>
        <w:rPr>
          <w:b/>
          <w:color w:val="auto"/>
          <w:highlight w:val="none"/>
        </w:rPr>
      </w:pPr>
      <w:r>
        <w:rPr>
          <w:rFonts w:hint="eastAsia"/>
          <w:b/>
          <w:color w:val="auto"/>
          <w:highlight w:val="none"/>
        </w:rPr>
        <w:t>1.项目信息</w:t>
      </w:r>
    </w:p>
    <w:p>
      <w:pPr>
        <w:pStyle w:val="84"/>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pPr>
        <w:pStyle w:val="84"/>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pPr>
        <w:pStyle w:val="84"/>
        <w:ind w:firstLine="480" w:firstLineChars="200"/>
        <w:rPr>
          <w:color w:val="auto"/>
          <w:highlight w:val="none"/>
        </w:rPr>
      </w:pPr>
      <w:r>
        <w:rPr>
          <w:rFonts w:hint="eastAsia"/>
          <w:color w:val="auto"/>
          <w:highlight w:val="none"/>
        </w:rPr>
        <w:t>（3）项目内容：</w:t>
      </w:r>
    </w:p>
    <w:p>
      <w:pPr>
        <w:pStyle w:val="84"/>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pPr>
        <w:pStyle w:val="84"/>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pPr>
        <w:pStyle w:val="84"/>
        <w:ind w:firstLine="480" w:firstLineChars="200"/>
        <w:rPr>
          <w:color w:val="auto"/>
          <w:highlight w:val="none"/>
          <w:u w:val="single"/>
        </w:rPr>
      </w:pPr>
      <w:r>
        <w:rPr>
          <w:rFonts w:hint="eastAsia"/>
          <w:color w:val="auto"/>
          <w:highlight w:val="none"/>
        </w:rPr>
        <w:t>采购标的的技术要求、商务要求具体见附件。</w:t>
      </w:r>
    </w:p>
    <w:p>
      <w:pPr>
        <w:pStyle w:val="84"/>
        <w:ind w:firstLine="480" w:firstLineChars="200"/>
        <w:rPr>
          <w:rFonts w:cs="宋体"/>
          <w:color w:val="auto"/>
          <w:highlight w:val="none"/>
        </w:rPr>
      </w:pPr>
      <w:r>
        <w:rPr>
          <w:rFonts w:hint="eastAsia" w:cs="宋体"/>
          <w:color w:val="auto"/>
          <w:highlight w:val="none"/>
        </w:rPr>
        <w:t>①涉及信息类产品，请填写该产品关键部件的品牌、型号：</w:t>
      </w:r>
    </w:p>
    <w:p>
      <w:pPr>
        <w:pStyle w:val="84"/>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pPr>
        <w:pStyle w:val="84"/>
        <w:ind w:firstLine="480" w:firstLineChars="200"/>
        <w:rPr>
          <w:rFonts w:cs="宋体"/>
          <w:color w:val="auto"/>
          <w:highlight w:val="none"/>
        </w:rPr>
      </w:pPr>
      <w:r>
        <w:rPr>
          <w:rFonts w:hint="eastAsia" w:cs="宋体"/>
          <w:color w:val="auto"/>
          <w:highlight w:val="none"/>
        </w:rPr>
        <w:t>②涉及车辆采购，请填写是否属于新能源汽车：</w:t>
      </w:r>
    </w:p>
    <w:p>
      <w:pPr>
        <w:pStyle w:val="84"/>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pPr>
        <w:pStyle w:val="84"/>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（注：在框架协议采购的第二阶段，可选择使用该合同文本）</w:t>
      </w:r>
    </w:p>
    <w:p>
      <w:pPr>
        <w:pStyle w:val="84"/>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pPr>
        <w:pStyle w:val="84"/>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分包供应商/制造商名称（如供应商和制造商不同，请分别填写）：</w:t>
      </w:r>
    </w:p>
    <w:p>
      <w:pPr>
        <w:pStyle w:val="84"/>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分包供应商/制造商类型（如果供应商和制造商不同，只填写制造商类型）：</w:t>
      </w:r>
    </w:p>
    <w:p>
      <w:pPr>
        <w:pStyle w:val="84"/>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pPr>
        <w:pStyle w:val="84"/>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pPr>
        <w:pStyle w:val="84"/>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pPr>
        <w:pStyle w:val="84"/>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pPr>
        <w:pStyle w:val="84"/>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pPr>
        <w:pStyle w:val="84"/>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pPr>
        <w:pStyle w:val="84"/>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是否涉及环境标志产品：</w:t>
      </w:r>
    </w:p>
    <w:p>
      <w:pPr>
        <w:pStyle w:val="84"/>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 xml:space="preserve">是否涉及绿色产品： </w:t>
      </w:r>
    </w:p>
    <w:p>
      <w:pPr>
        <w:pStyle w:val="84"/>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pPr>
        <w:pStyle w:val="84"/>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pPr>
        <w:pStyle w:val="84"/>
        <w:ind w:firstLineChars="200"/>
        <w:rPr>
          <w:b/>
          <w:color w:val="auto"/>
          <w:highlight w:val="none"/>
        </w:rPr>
      </w:pPr>
      <w:r>
        <w:rPr>
          <w:rFonts w:hint="eastAsia"/>
          <w:b/>
          <w:color w:val="auto"/>
          <w:highlight w:val="none"/>
        </w:rPr>
        <w:t>2.合同金额</w:t>
      </w:r>
    </w:p>
    <w:p>
      <w:pPr>
        <w:pStyle w:val="84"/>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pPr>
        <w:pStyle w:val="84"/>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pPr>
        <w:pStyle w:val="84"/>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 xml:space="preserve">    （注：固定单价合同应填写单价和最高限价）</w:t>
      </w:r>
    </w:p>
    <w:p>
      <w:pPr>
        <w:pStyle w:val="84"/>
        <w:ind w:firstLine="480" w:firstLineChars="200"/>
        <w:rPr>
          <w:color w:val="auto"/>
          <w:highlight w:val="none"/>
        </w:rPr>
      </w:pPr>
      <w:r>
        <w:rPr>
          <w:rFonts w:hint="eastAsia"/>
          <w:color w:val="auto"/>
          <w:highlight w:val="none"/>
        </w:rPr>
        <w:t>（2）合同定价方式（采用组合定价方式的，可以勾选多项）：</w:t>
      </w:r>
    </w:p>
    <w:p>
      <w:pPr>
        <w:pStyle w:val="84"/>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（3）付款方式（按项目实际勾选填写）：</w:t>
      </w:r>
    </w:p>
    <w:p>
      <w:pPr>
        <w:pStyle w:val="84"/>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pPr>
        <w:pStyle w:val="84"/>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pPr>
        <w:pStyle w:val="84"/>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pPr>
        <w:pStyle w:val="84"/>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pPr>
        <w:pStyle w:val="84"/>
        <w:ind w:firstLineChars="200"/>
        <w:rPr>
          <w:b/>
          <w:color w:val="auto"/>
          <w:highlight w:val="none"/>
          <w:u w:val="single"/>
        </w:rPr>
      </w:pPr>
      <w:r>
        <w:rPr>
          <w:rFonts w:hint="eastAsia"/>
          <w:b/>
          <w:color w:val="auto"/>
          <w:highlight w:val="none"/>
        </w:rPr>
        <w:t>3.合同履行</w:t>
      </w:r>
    </w:p>
    <w:p>
      <w:pPr>
        <w:pStyle w:val="84"/>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pPr>
        <w:pStyle w:val="84"/>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pPr>
        <w:pStyle w:val="84"/>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pPr>
        <w:pStyle w:val="84"/>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pPr>
        <w:pStyle w:val="84"/>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pPr>
        <w:pStyle w:val="84"/>
        <w:ind w:firstLineChars="200"/>
        <w:rPr>
          <w:b/>
          <w:color w:val="auto"/>
          <w:highlight w:val="none"/>
        </w:rPr>
      </w:pPr>
      <w:r>
        <w:rPr>
          <w:rFonts w:hint="eastAsia"/>
          <w:b/>
          <w:color w:val="auto"/>
          <w:highlight w:val="none"/>
        </w:rPr>
        <w:t>4.合同验收</w:t>
      </w:r>
    </w:p>
    <w:p>
      <w:pPr>
        <w:pStyle w:val="84"/>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pPr>
        <w:pStyle w:val="84"/>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pPr>
        <w:pStyle w:val="84"/>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pPr>
        <w:pStyle w:val="84"/>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pPr>
        <w:pStyle w:val="84"/>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pPr>
        <w:pStyle w:val="84"/>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pPr>
        <w:pStyle w:val="84"/>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pPr>
        <w:pStyle w:val="84"/>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pPr>
        <w:pStyle w:val="84"/>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pPr>
        <w:pStyle w:val="84"/>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pPr>
        <w:pStyle w:val="84"/>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pPr>
        <w:pStyle w:val="84"/>
        <w:ind w:firstLineChars="200"/>
        <w:rPr>
          <w:b/>
          <w:color w:val="auto"/>
          <w:highlight w:val="none"/>
        </w:rPr>
      </w:pPr>
      <w:r>
        <w:rPr>
          <w:rFonts w:hint="eastAsia"/>
          <w:b/>
          <w:color w:val="auto"/>
          <w:highlight w:val="none"/>
        </w:rPr>
        <w:t>5.组成合同的文件</w:t>
      </w:r>
    </w:p>
    <w:p>
      <w:pPr>
        <w:pStyle w:val="84"/>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pPr>
        <w:pStyle w:val="84"/>
        <w:ind w:firstLine="480" w:firstLineChars="200"/>
        <w:rPr>
          <w:color w:val="auto"/>
          <w:highlight w:val="none"/>
        </w:rPr>
      </w:pPr>
      <w:r>
        <w:rPr>
          <w:rFonts w:hint="eastAsia"/>
          <w:color w:val="auto"/>
          <w:highlight w:val="none"/>
        </w:rPr>
        <w:t>（1）政府采购合同协议书及其变更、补充协议</w:t>
      </w:r>
    </w:p>
    <w:p>
      <w:pPr>
        <w:pStyle w:val="84"/>
        <w:ind w:firstLine="480" w:firstLineChars="200"/>
        <w:rPr>
          <w:color w:val="auto"/>
          <w:highlight w:val="none"/>
        </w:rPr>
      </w:pPr>
      <w:r>
        <w:rPr>
          <w:rFonts w:hint="eastAsia"/>
          <w:color w:val="auto"/>
          <w:highlight w:val="none"/>
        </w:rPr>
        <w:t>（2）政府采购合同专用条款</w:t>
      </w:r>
    </w:p>
    <w:p>
      <w:pPr>
        <w:pStyle w:val="84"/>
        <w:ind w:firstLine="480" w:firstLineChars="200"/>
        <w:rPr>
          <w:color w:val="auto"/>
          <w:highlight w:val="none"/>
        </w:rPr>
      </w:pPr>
      <w:r>
        <w:rPr>
          <w:rFonts w:hint="eastAsia"/>
          <w:color w:val="auto"/>
          <w:highlight w:val="none"/>
        </w:rPr>
        <w:t>（3）政府采购合同通用条款</w:t>
      </w:r>
    </w:p>
    <w:p>
      <w:pPr>
        <w:pStyle w:val="84"/>
        <w:ind w:firstLine="480" w:firstLineChars="200"/>
        <w:rPr>
          <w:color w:val="auto"/>
          <w:highlight w:val="none"/>
        </w:rPr>
      </w:pPr>
      <w:r>
        <w:rPr>
          <w:rFonts w:hint="eastAsia"/>
          <w:color w:val="auto"/>
          <w:highlight w:val="none"/>
        </w:rPr>
        <w:t>（4）中标（成交）通知书</w:t>
      </w:r>
    </w:p>
    <w:p>
      <w:pPr>
        <w:pStyle w:val="84"/>
        <w:ind w:firstLine="480" w:firstLineChars="200"/>
        <w:rPr>
          <w:color w:val="auto"/>
          <w:highlight w:val="none"/>
        </w:rPr>
      </w:pPr>
      <w:r>
        <w:rPr>
          <w:rFonts w:hint="eastAsia"/>
          <w:color w:val="auto"/>
          <w:highlight w:val="none"/>
        </w:rPr>
        <w:t>（5）投标（响应）文件</w:t>
      </w:r>
    </w:p>
    <w:p>
      <w:pPr>
        <w:pStyle w:val="84"/>
        <w:ind w:firstLine="480" w:firstLineChars="200"/>
        <w:rPr>
          <w:color w:val="auto"/>
          <w:highlight w:val="none"/>
        </w:rPr>
      </w:pPr>
      <w:r>
        <w:rPr>
          <w:rFonts w:hint="eastAsia"/>
          <w:color w:val="auto"/>
          <w:highlight w:val="none"/>
        </w:rPr>
        <w:t>（6）采购文件</w:t>
      </w:r>
    </w:p>
    <w:p>
      <w:pPr>
        <w:pStyle w:val="84"/>
        <w:ind w:firstLine="480" w:firstLineChars="200"/>
        <w:rPr>
          <w:color w:val="auto"/>
          <w:highlight w:val="none"/>
        </w:rPr>
      </w:pPr>
      <w:r>
        <w:rPr>
          <w:rFonts w:hint="eastAsia"/>
          <w:color w:val="auto"/>
          <w:highlight w:val="none"/>
        </w:rPr>
        <w:t>（7）有关技术文件，图纸</w:t>
      </w:r>
    </w:p>
    <w:p>
      <w:pPr>
        <w:pStyle w:val="84"/>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pPr>
        <w:pStyle w:val="84"/>
        <w:ind w:firstLineChars="200"/>
        <w:rPr>
          <w:b/>
          <w:color w:val="auto"/>
          <w:highlight w:val="none"/>
        </w:rPr>
      </w:pPr>
      <w:r>
        <w:rPr>
          <w:rFonts w:hint="eastAsia"/>
          <w:b/>
          <w:color w:val="auto"/>
          <w:highlight w:val="none"/>
        </w:rPr>
        <w:t>6.合同生效</w:t>
      </w:r>
    </w:p>
    <w:p>
      <w:pPr>
        <w:pStyle w:val="84"/>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pPr>
        <w:pStyle w:val="84"/>
        <w:ind w:firstLineChars="200"/>
        <w:rPr>
          <w:b/>
          <w:color w:val="auto"/>
          <w:highlight w:val="none"/>
        </w:rPr>
      </w:pPr>
      <w:r>
        <w:rPr>
          <w:rFonts w:hint="eastAsia"/>
          <w:b/>
          <w:color w:val="auto"/>
          <w:highlight w:val="none"/>
        </w:rPr>
        <w:t>7.合同份数</w:t>
      </w:r>
    </w:p>
    <w:p>
      <w:pPr>
        <w:pStyle w:val="84"/>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pPr>
        <w:pStyle w:val="84"/>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84"/>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附件：具体标的及其技术要求和商务要求、联合协议、分包意向协议等。</w:t>
      </w:r>
    </w:p>
    <w:p>
      <w:pPr>
        <w:pStyle w:val="84"/>
        <w:rPr>
          <w:color w:val="auto"/>
          <w:highlight w:val="none"/>
        </w:rPr>
      </w:pPr>
    </w:p>
    <w:p>
      <w:pPr>
        <w:pStyle w:val="84"/>
        <w:rPr>
          <w:color w:val="auto"/>
          <w:szCs w:val="21"/>
          <w:highlight w:val="none"/>
        </w:rPr>
      </w:pPr>
      <w:r>
        <w:rPr>
          <w:color w:val="auto"/>
          <w:highlight w:val="none"/>
          <w:lang w:val="en"/>
        </w:rPr>
        <w:t xml:space="preserve">   </w:t>
      </w:r>
    </w:p>
    <w:p>
      <w:pPr>
        <w:adjustRightInd/>
        <w:rPr>
          <w:color w:val="auto"/>
          <w:highlight w:val="none"/>
        </w:rPr>
      </w:pPr>
      <w:r>
        <w:rPr>
          <w:color w:val="auto"/>
          <w:highlight w:val="none"/>
        </w:rPr>
        <w:br w:type="page"/>
      </w:r>
    </w:p>
    <w:p>
      <w:pPr>
        <w:adjustRightInd/>
        <w:ind w:firstLine="420" w:firstLineChars="200"/>
        <w:rPr>
          <w:color w:val="auto"/>
          <w:szCs w:val="21"/>
          <w:highlight w:val="none"/>
        </w:rPr>
      </w:pPr>
    </w:p>
    <w:tbl>
      <w:tblPr>
        <w:tblStyle w:val="6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41" w:name="_Toc27624"/>
      <w:r>
        <w:rPr>
          <w:rFonts w:hint="eastAsia" w:ascii="黑体" w:hAnsi="黑体" w:eastAsia="黑体"/>
          <w:color w:val="auto"/>
          <w:sz w:val="28"/>
          <w:szCs w:val="28"/>
          <w:highlight w:val="none"/>
        </w:rPr>
        <w:t>第二节 政府采购合同通用条款</w:t>
      </w:r>
      <w:bookmarkEnd w:id="441"/>
    </w:p>
    <w:p>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42"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42"/>
      <w:r>
        <w:rPr>
          <w:rFonts w:hint="eastAsia" w:ascii="宋体" w:hAnsi="宋体"/>
          <w:color w:val="auto"/>
          <w:sz w:val="24"/>
          <w:highlight w:val="none"/>
        </w:rPr>
        <w:t>。</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43" w:name="_Toc20313"/>
      <w:r>
        <w:rPr>
          <w:rFonts w:hint="eastAsia" w:ascii="黑体" w:hAnsi="华文中宋" w:eastAsia="黑体"/>
          <w:color w:val="auto"/>
          <w:sz w:val="24"/>
          <w:highlight w:val="none"/>
        </w:rPr>
        <w:br w:type="page"/>
      </w:r>
    </w:p>
    <w:p>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43"/>
    </w:p>
    <w:tbl>
      <w:tblPr>
        <w:tblStyle w:val="64"/>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pPr>
              <w:autoSpaceDE w:val="0"/>
              <w:autoSpaceDN w:val="0"/>
              <w:snapToGrid w:val="0"/>
              <w:spacing w:line="360" w:lineRule="auto"/>
              <w:ind w:firstLine="480" w:firstLineChars="200"/>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pPr>
              <w:snapToGrid w:val="0"/>
              <w:spacing w:line="360" w:lineRule="auto"/>
              <w:jc w:val="left"/>
              <w:rPr>
                <w:rFonts w:ascii="宋体" w:hAnsi="宋体"/>
                <w:color w:val="auto"/>
                <w:sz w:val="24"/>
                <w:highlight w:val="none"/>
              </w:rPr>
            </w:pPr>
          </w:p>
        </w:tc>
      </w:tr>
    </w:tbl>
    <w:p>
      <w:pPr>
        <w:adjustRightInd/>
        <w:rPr>
          <w:color w:val="auto"/>
          <w:highlight w:val="none"/>
        </w:rPr>
      </w:pPr>
    </w:p>
    <w:p>
      <w:pPr>
        <w:adjustRightInd/>
        <w:rPr>
          <w:color w:val="auto"/>
          <w:highlight w:val="none"/>
        </w:rPr>
      </w:pPr>
    </w:p>
    <w:p>
      <w:pPr>
        <w:spacing w:line="360" w:lineRule="auto"/>
        <w:ind w:left="-420" w:leftChars="-200" w:right="-420" w:rightChars="-200"/>
        <w:rPr>
          <w:rFonts w:ascii="宋体" w:hAnsi="宋体" w:cs="宋体"/>
          <w:color w:val="auto"/>
          <w:sz w:val="24"/>
          <w:highlight w:val="none"/>
        </w:rPr>
      </w:pPr>
    </w:p>
    <w:p>
      <w:pPr>
        <w:pStyle w:val="3"/>
        <w:rPr>
          <w:color w:val="auto"/>
          <w:highlight w:val="none"/>
        </w:rPr>
      </w:pPr>
      <w:r>
        <w:rPr>
          <w:color w:val="auto"/>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bookmarkStart w:id="444" w:name="_Toc176185126"/>
      <w:bookmarkStart w:id="445" w:name="_Toc176343853"/>
      <w:r>
        <w:rPr>
          <w:rFonts w:hint="eastAsia" w:ascii="宋体" w:hAnsi="宋体" w:cs="宋体"/>
          <w:b/>
          <w:color w:val="auto"/>
          <w:sz w:val="36"/>
          <w:szCs w:val="20"/>
          <w:highlight w:val="none"/>
        </w:rPr>
        <w:t>第六部分</w:t>
      </w:r>
      <w:bookmarkEnd w:id="435"/>
      <w:r>
        <w:rPr>
          <w:rFonts w:hint="eastAsia" w:ascii="宋体" w:hAnsi="宋体" w:cs="宋体"/>
          <w:b/>
          <w:color w:val="auto"/>
          <w:sz w:val="36"/>
          <w:szCs w:val="20"/>
          <w:highlight w:val="none"/>
        </w:rPr>
        <w:t xml:space="preserve"> </w:t>
      </w:r>
      <w:bookmarkEnd w:id="436"/>
      <w:r>
        <w:rPr>
          <w:rFonts w:hint="eastAsia" w:ascii="宋体" w:hAnsi="宋体" w:cs="宋体"/>
          <w:b/>
          <w:color w:val="auto"/>
          <w:sz w:val="36"/>
          <w:szCs w:val="20"/>
          <w:highlight w:val="none"/>
        </w:rPr>
        <w:t xml:space="preserve"> 应提交的有关格式范例</w:t>
      </w:r>
      <w:bookmarkEnd w:id="444"/>
      <w:bookmarkEnd w:id="445"/>
    </w:p>
    <w:p>
      <w:pPr>
        <w:pStyle w:val="84"/>
        <w:rPr>
          <w:color w:val="auto"/>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84"/>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tabs>
          <w:tab w:val="left" w:pos="284"/>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ind w:right="480"/>
        <w:jc w:val="center"/>
        <w:rPr>
          <w:rFonts w:ascii="宋体" w:hAnsi="宋体" w:cs="宋体"/>
          <w:color w:val="auto"/>
          <w:sz w:val="24"/>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pPr>
        <w:snapToGrid w:val="0"/>
        <w:spacing w:line="360" w:lineRule="auto"/>
        <w:rPr>
          <w:rFonts w:ascii="宋体" w:hAnsi="宋体" w:cs="宋体"/>
          <w:color w:val="auto"/>
          <w:sz w:val="24"/>
          <w:highlight w:val="none"/>
        </w:rPr>
      </w:pP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pPr>
        <w:snapToGrid w:val="0"/>
        <w:spacing w:line="360" w:lineRule="auto"/>
        <w:ind w:right="48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right="48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bookmarkStart w:id="446" w:name="_Hlk203408480"/>
    </w:p>
    <w:p>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bookmarkEnd w:id="446"/>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bookmarkStart w:id="447" w:name="_Hlk203408512"/>
      <w:r>
        <w:rPr>
          <w:rFonts w:hint="eastAsia" w:ascii="宋体" w:hAnsi="宋体" w:cs="宋体"/>
          <w:color w:val="auto"/>
          <w:szCs w:val="21"/>
          <w:highlight w:val="none"/>
        </w:rPr>
        <w:t>▲</w:t>
      </w:r>
      <w:bookmarkEnd w:id="447"/>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bookmarkStart w:id="448" w:name="_Hlk203408516"/>
      <w:r>
        <w:rPr>
          <w:rFonts w:hint="eastAsia" w:ascii="宋体" w:hAnsi="宋体" w:cs="宋体"/>
          <w:color w:val="auto"/>
          <w:szCs w:val="21"/>
          <w:highlight w:val="none"/>
        </w:rPr>
        <w:t>▲</w:t>
      </w:r>
      <w:bookmarkEnd w:id="448"/>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10</w:t>
      </w:r>
      <w:r>
        <w:rPr>
          <w:rFonts w:hint="eastAsia" w:ascii="宋体" w:hAnsi="宋体" w:cs="宋体"/>
          <w:color w:val="auto"/>
          <w:sz w:val="24"/>
          <w:highlight w:val="none"/>
          <w:lang w:val="zh-CN"/>
        </w:rPr>
        <w:t>）技术解决方案</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11</w:t>
      </w:r>
      <w:r>
        <w:rPr>
          <w:rFonts w:hint="eastAsia" w:ascii="宋体" w:hAnsi="宋体" w:cs="宋体"/>
          <w:color w:val="auto"/>
          <w:sz w:val="24"/>
          <w:highlight w:val="none"/>
          <w:lang w:val="zh-CN"/>
        </w:rPr>
        <w:t>）组织实施方案</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cs="宋体"/>
          <w:b w:val="0"/>
          <w:bCs/>
          <w:color w:val="auto"/>
          <w:szCs w:val="24"/>
          <w:highlight w:val="none"/>
        </w:rPr>
        <w:t>▲</w:t>
      </w:r>
      <w:r>
        <w:rPr>
          <w:rFonts w:hint="eastAsia" w:cs="宋体"/>
          <w:b w:val="0"/>
          <w:bCs/>
          <w:color w:val="auto"/>
          <w:szCs w:val="24"/>
          <w:highlight w:val="none"/>
          <w:lang w:eastAsia="zh-CN"/>
        </w:rPr>
        <w:t>（</w:t>
      </w:r>
      <w:r>
        <w:rPr>
          <w:rFonts w:hint="eastAsia" w:ascii="宋体" w:hAnsi="宋体" w:cs="宋体"/>
          <w:color w:val="auto"/>
          <w:sz w:val="24"/>
          <w:highlight w:val="none"/>
        </w:rPr>
        <w:t>12</w:t>
      </w:r>
      <w:r>
        <w:rPr>
          <w:rFonts w:hint="eastAsia" w:ascii="宋体" w:hAnsi="宋体" w:cs="宋体"/>
          <w:color w:val="auto"/>
          <w:sz w:val="24"/>
          <w:highlight w:val="none"/>
          <w:lang w:val="zh-CN"/>
        </w:rPr>
        <w:t>）售后服务方案</w:t>
      </w:r>
      <w:r>
        <w:rPr>
          <w:rFonts w:hint="eastAsia" w:ascii="宋体" w:hAnsi="宋体" w:cs="宋体"/>
          <w:color w:val="auto"/>
          <w:highlight w:val="none"/>
        </w:rPr>
        <w:t>…………………………………………………………………………（页码）</w:t>
      </w:r>
    </w:p>
    <w:p>
      <w:pPr>
        <w:pStyle w:val="84"/>
        <w:rPr>
          <w:color w:val="auto"/>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pStyle w:val="84"/>
        <w:rPr>
          <w:color w:val="auto"/>
          <w:highlight w:val="none"/>
        </w:rPr>
      </w:pPr>
    </w:p>
    <w:p>
      <w:pPr>
        <w:rPr>
          <w:color w:val="auto"/>
          <w:highlight w:val="none"/>
        </w:rPr>
      </w:pPr>
    </w:p>
    <w:p>
      <w:pPr>
        <w:snapToGrid w:val="0"/>
        <w:spacing w:line="360" w:lineRule="auto"/>
        <w:ind w:firstLine="3855" w:firstLineChars="1200"/>
        <w:rPr>
          <w:rFonts w:ascii="宋体" w:hAnsi="宋体" w:cs="宋体"/>
          <w:b/>
          <w:color w:val="auto"/>
          <w:kern w:val="0"/>
          <w:sz w:val="32"/>
          <w:szCs w:val="32"/>
          <w:highlight w:val="none"/>
        </w:rPr>
      </w:pPr>
    </w:p>
    <w:p>
      <w:pPr>
        <w:snapToGrid w:val="0"/>
        <w:spacing w:line="360" w:lineRule="auto"/>
        <w:ind w:firstLine="3855" w:firstLineChars="120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10</w:t>
      </w:r>
      <w:r>
        <w:rPr>
          <w:rFonts w:hint="eastAsia" w:cs="宋体"/>
          <w:color w:val="auto"/>
          <w:highlight w:val="none"/>
          <w:lang w:val="zh-CN"/>
        </w:rPr>
        <w:t>技术解决方案</w:t>
      </w:r>
      <w:r>
        <w:rPr>
          <w:rFonts w:hint="eastAsia" w:cs="宋体"/>
          <w:snapToGrid w:val="0"/>
          <w:color w:val="auto"/>
          <w:kern w:val="28"/>
          <w:highlight w:val="none"/>
        </w:rPr>
        <w:t>（如果有）</w:t>
      </w:r>
      <w:r>
        <w:rPr>
          <w:rFonts w:hint="eastAsia" w:cs="宋体"/>
          <w:color w:val="auto"/>
          <w:highlight w:val="none"/>
          <w:lang w:val="zh-CN"/>
        </w:rPr>
        <w:t>；</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11</w:t>
      </w:r>
      <w:r>
        <w:rPr>
          <w:rFonts w:hint="eastAsia" w:cs="宋体"/>
          <w:color w:val="auto"/>
          <w:highlight w:val="none"/>
          <w:lang w:val="zh-CN"/>
        </w:rPr>
        <w:t>组织实施方案</w:t>
      </w:r>
      <w:r>
        <w:rPr>
          <w:rFonts w:hint="eastAsia" w:cs="宋体"/>
          <w:snapToGrid w:val="0"/>
          <w:color w:val="auto"/>
          <w:kern w:val="28"/>
          <w:highlight w:val="none"/>
        </w:rPr>
        <w:t>（如果有）</w:t>
      </w:r>
      <w:r>
        <w:rPr>
          <w:rFonts w:hint="eastAsia" w:cs="宋体"/>
          <w:color w:val="auto"/>
          <w:highlight w:val="none"/>
          <w:lang w:val="zh-CN"/>
        </w:rPr>
        <w:t>；</w:t>
      </w:r>
    </w:p>
    <w:p>
      <w:pPr>
        <w:pStyle w:val="84"/>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12</w:t>
      </w:r>
      <w:r>
        <w:rPr>
          <w:rFonts w:hint="eastAsia" w:cs="宋体"/>
          <w:color w:val="auto"/>
          <w:highlight w:val="none"/>
          <w:lang w:val="zh-CN"/>
        </w:rPr>
        <w:t>售后服务方案。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pStyle w:val="148"/>
        <w:spacing w:line="360" w:lineRule="auto"/>
        <w:rPr>
          <w:rFonts w:hAnsi="宋体"/>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委托代理人和法定代表人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134" w:right="1134" w:bottom="1134" w:left="1134" w:header="397" w:footer="567" w:gutter="0"/>
          <w:cols w:space="720" w:num="1"/>
          <w:titlePg/>
          <w:docGrid w:linePitch="312" w:charSpace="0"/>
        </w:sect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3"/>
          <w:color w:val="auto"/>
          <w:highlight w:val="none"/>
        </w:rPr>
      </w:pPr>
      <w:r>
        <w:rPr>
          <w:rStyle w:val="83"/>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3"/>
          <w:rFonts w:hint="eastAsia"/>
          <w:color w:val="auto"/>
          <w:highlight w:val="none"/>
        </w:rPr>
        <w:t>联合体成</w:t>
      </w:r>
      <w:r>
        <w:rPr>
          <w:rFonts w:hint="eastAsia" w:ascii="宋体" w:hAnsi="宋体" w:cs="宋体"/>
          <w:color w:val="auto"/>
          <w:kern w:val="0"/>
          <w:sz w:val="24"/>
          <w:highlight w:val="none"/>
          <w:lang w:val="zh-CN"/>
        </w:rPr>
        <w:t>员名称(公章)：</w:t>
      </w:r>
    </w:p>
    <w:p>
      <w:pPr>
        <w:pStyle w:val="84"/>
        <w:ind w:firstLine="5040" w:firstLineChars="2100"/>
        <w:rPr>
          <w:color w:val="auto"/>
          <w:highlight w:val="none"/>
        </w:rPr>
      </w:pPr>
      <w:r>
        <w:rPr>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148"/>
        <w:spacing w:line="360" w:lineRule="auto"/>
        <w:rPr>
          <w:rFonts w:hAnsi="宋体"/>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委托代理人和联合体牵头单位法定代表人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p>
    <w:p>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pPr>
        <w:snapToGrid w:val="0"/>
        <w:spacing w:line="276" w:lineRule="auto"/>
        <w:ind w:firstLine="960" w:firstLineChars="400"/>
        <w:rPr>
          <w:rFonts w:ascii="宋体" w:hAnsi="宋体"/>
          <w:color w:val="auto"/>
          <w:sz w:val="24"/>
          <w:highlight w:val="none"/>
          <w:u w:val="single"/>
        </w:rPr>
      </w:pPr>
    </w:p>
    <w:p>
      <w:pPr>
        <w:snapToGrid w:val="0"/>
        <w:spacing w:line="720" w:lineRule="exact"/>
        <w:ind w:firstLine="960" w:firstLineChars="400"/>
        <w:rPr>
          <w:rFonts w:ascii="宋体" w:hAnsi="宋体"/>
          <w:color w:val="auto"/>
          <w:sz w:val="24"/>
          <w:highlight w:val="none"/>
        </w:rPr>
      </w:pP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olor w:val="auto"/>
          <w:sz w:val="24"/>
          <w:highlight w:val="none"/>
        </w:rPr>
        <w:t>在我公司（单位）任</w:t>
      </w:r>
      <w:r>
        <w:rPr>
          <w:rFonts w:hint="eastAsia" w:ascii="宋体" w:hAnsi="宋体"/>
          <w:color w:val="auto"/>
          <w:sz w:val="24"/>
          <w:highlight w:val="none"/>
          <w:u w:val="single"/>
        </w:rPr>
        <w:t xml:space="preserve">          </w:t>
      </w:r>
      <w:r>
        <w:rPr>
          <w:rFonts w:hint="eastAsia" w:ascii="宋体" w:hAnsi="宋体"/>
          <w:color w:val="auto"/>
          <w:sz w:val="24"/>
          <w:highlight w:val="none"/>
        </w:rPr>
        <w:t>职务，是我公司（单位）</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r>
        <w:rPr>
          <w:rFonts w:hint="eastAsia" w:ascii="宋体" w:hAnsi="宋体" w:cs="宋体"/>
          <w:color w:val="auto"/>
          <w:kern w:val="0"/>
          <w:sz w:val="24"/>
          <w:highlight w:val="none"/>
        </w:rPr>
        <w:t>（负责人）</w:t>
      </w:r>
      <w:r>
        <w:rPr>
          <w:rFonts w:hint="eastAsia" w:ascii="宋体" w:hAnsi="宋体"/>
          <w:color w:val="auto"/>
          <w:sz w:val="24"/>
          <w:highlight w:val="none"/>
        </w:rPr>
        <w:t>。</w:t>
      </w:r>
    </w:p>
    <w:p>
      <w:pPr>
        <w:snapToGrid w:val="0"/>
        <w:spacing w:line="720" w:lineRule="exact"/>
        <w:ind w:firstLine="840" w:firstLineChars="350"/>
        <w:rPr>
          <w:rFonts w:ascii="宋体" w:hAnsi="宋体"/>
          <w:color w:val="auto"/>
          <w:sz w:val="24"/>
          <w:highlight w:val="none"/>
        </w:rPr>
      </w:pPr>
      <w:r>
        <w:rPr>
          <w:rFonts w:hint="eastAsia" w:ascii="宋体" w:hAnsi="宋体"/>
          <w:color w:val="auto"/>
          <w:sz w:val="24"/>
          <w:highlight w:val="none"/>
        </w:rPr>
        <w:t>特此证明。</w:t>
      </w:r>
    </w:p>
    <w:p>
      <w:pPr>
        <w:snapToGrid w:val="0"/>
        <w:spacing w:line="276" w:lineRule="auto"/>
        <w:rPr>
          <w:rFonts w:ascii="宋体" w:hAnsi="宋体"/>
          <w:color w:val="auto"/>
          <w:sz w:val="24"/>
          <w:highlight w:val="none"/>
        </w:rPr>
      </w:pPr>
    </w:p>
    <w:p>
      <w:pPr>
        <w:snapToGrid w:val="0"/>
        <w:spacing w:line="276" w:lineRule="auto"/>
        <w:rPr>
          <w:rFonts w:ascii="宋体" w:hAnsi="宋体"/>
          <w:color w:val="auto"/>
          <w:sz w:val="24"/>
          <w:highlight w:val="none"/>
        </w:rPr>
      </w:pPr>
      <w:r>
        <w:rPr>
          <w:rFonts w:hint="eastAsia" w:ascii="宋体" w:hAnsi="宋体"/>
          <w:color w:val="auto"/>
          <w:sz w:val="24"/>
          <w:highlight w:val="none"/>
        </w:rPr>
        <w:t xml:space="preserve">                        </w:t>
      </w:r>
    </w:p>
    <w:p>
      <w:pPr>
        <w:snapToGrid w:val="0"/>
        <w:spacing w:line="276" w:lineRule="auto"/>
        <w:rPr>
          <w:rFonts w:ascii="宋体" w:hAnsi="宋体"/>
          <w:color w:val="auto"/>
          <w:sz w:val="24"/>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投标人名称(公章)：                              </w:t>
      </w:r>
    </w:p>
    <w:p>
      <w:pPr>
        <w:pStyle w:val="148"/>
        <w:spacing w:line="360" w:lineRule="auto"/>
        <w:rPr>
          <w:rFonts w:hAnsi="宋体" w:cs="宋体"/>
          <w:bCs/>
          <w:color w:val="auto"/>
          <w:sz w:val="24"/>
          <w:highlight w:val="none"/>
        </w:rPr>
      </w:pPr>
      <w:r>
        <w:rPr>
          <w:rFonts w:hint="eastAsia" w:hAnsi="宋体" w:cs="宋体"/>
          <w:color w:val="auto"/>
          <w:kern w:val="0"/>
          <w:sz w:val="24"/>
          <w:highlight w:val="none"/>
          <w:lang w:val="zh-CN"/>
        </w:rPr>
        <w:t xml:space="preserve">                               日期：  年  月  日</w:t>
      </w:r>
    </w:p>
    <w:p>
      <w:pPr>
        <w:pStyle w:val="148"/>
        <w:spacing w:line="360" w:lineRule="auto"/>
        <w:rPr>
          <w:rFonts w:hAnsi="宋体" w:cs="宋体"/>
          <w:bCs/>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right="480"/>
        <w:rPr>
          <w:rFonts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4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9"/>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84"/>
        <w:rPr>
          <w:color w:val="auto"/>
          <w:highlight w:val="none"/>
        </w:rPr>
      </w:pPr>
    </w:p>
    <w:p>
      <w:pPr>
        <w:rPr>
          <w:color w:val="auto"/>
          <w:highlight w:val="none"/>
        </w:rPr>
      </w:pPr>
    </w:p>
    <w:p>
      <w:pPr>
        <w:pStyle w:val="84"/>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pacing w:line="360" w:lineRule="auto"/>
        <w:ind w:firstLine="3600" w:firstLineChars="150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left="4620" w:leftChars="2200"/>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jc w:val="center"/>
        <w:rPr>
          <w:rFonts w:ascii="宋体" w:hAnsi="宋体" w:cs="宋体"/>
          <w:b/>
          <w:bCs/>
          <w:color w:val="auto"/>
          <w:sz w:val="32"/>
          <w:szCs w:val="32"/>
          <w:highlight w:val="none"/>
        </w:rPr>
      </w:pPr>
    </w:p>
    <w:p>
      <w:pPr>
        <w:ind w:firstLine="1911" w:firstLineChars="595"/>
        <w:jc w:val="center"/>
        <w:rPr>
          <w:rFonts w:ascii="宋体" w:hAnsi="宋体" w:cs="宋体"/>
          <w:b/>
          <w:bCs/>
          <w:color w:val="auto"/>
          <w:sz w:val="32"/>
          <w:szCs w:val="32"/>
          <w:highlight w:val="none"/>
        </w:rPr>
      </w:pPr>
    </w:p>
    <w:p>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pPr>
        <w:widowControl/>
        <w:adjustRightInd/>
        <w:ind w:firstLine="640" w:firstLineChars="200"/>
        <w:jc w:val="left"/>
        <w:rPr>
          <w:rFonts w:ascii="宋体" w:hAnsi="宋体" w:cs="宋体"/>
          <w:color w:val="auto"/>
          <w:kern w:val="0"/>
          <w:sz w:val="32"/>
          <w:szCs w:val="21"/>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pPr>
        <w:widowControl/>
        <w:adjustRightInd/>
        <w:spacing w:line="360" w:lineRule="auto"/>
        <w:ind w:firstLine="480" w:firstLineChars="200"/>
        <w:jc w:val="left"/>
        <w:rPr>
          <w:rFonts w:ascii="宋体" w:hAnsi="宋体" w:cs="宋体"/>
          <w:color w:val="auto"/>
          <w:kern w:val="0"/>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00" w:lineRule="auto"/>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十、技术解决方案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00" w:lineRule="auto"/>
        <w:jc w:val="center"/>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十一、组织实施方案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00" w:lineRule="auto"/>
        <w:jc w:val="center"/>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十二、售后服务方案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pStyle w:val="3"/>
        <w:ind w:left="0" w:firstLine="0"/>
        <w:rPr>
          <w:color w:val="auto"/>
          <w:highlight w:val="none"/>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bookmarkStart w:id="450" w:name="OLE_LINK217"/>
      <w:bookmarkStart w:id="451" w:name="OLE_LINK218"/>
      <w:r>
        <w:rPr>
          <w:rFonts w:hint="eastAsia" w:ascii="宋体" w:hAnsi="宋体" w:cs="宋体"/>
          <w:color w:val="auto"/>
          <w:szCs w:val="21"/>
          <w:highlight w:val="none"/>
        </w:rPr>
        <w:t>▲</w:t>
      </w:r>
      <w:bookmarkEnd w:id="450"/>
      <w:bookmarkEnd w:id="451"/>
      <w:r>
        <w:rPr>
          <w:rFonts w:hint="eastAsia" w:ascii="宋体" w:hAnsi="宋体" w:cs="宋体"/>
          <w:color w:val="auto"/>
          <w:sz w:val="24"/>
          <w:highlight w:val="none"/>
        </w:rPr>
        <w:t>（1）</w:t>
      </w:r>
      <w:bookmarkStart w:id="452" w:name="OLE_LINK220"/>
      <w:bookmarkStart w:id="453" w:name="OLE_LINK219"/>
      <w:r>
        <w:rPr>
          <w:rFonts w:hint="eastAsia" w:ascii="宋体" w:hAnsi="宋体" w:cs="宋体"/>
          <w:color w:val="auto"/>
          <w:sz w:val="24"/>
          <w:highlight w:val="none"/>
        </w:rPr>
        <w:t>开标一览表</w:t>
      </w:r>
      <w:bookmarkEnd w:id="452"/>
      <w:bookmarkEnd w:id="453"/>
      <w:r>
        <w:rPr>
          <w:rFonts w:hint="eastAsia" w:ascii="宋体" w:hAnsi="宋体" w:cs="宋体"/>
          <w:color w:val="auto"/>
          <w:sz w:val="24"/>
          <w:highlight w:val="none"/>
        </w:rPr>
        <w:t>（报价表）………………………………………………………（页码）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84"/>
        <w:jc w:val="center"/>
        <w:rPr>
          <w:b/>
          <w:color w:val="auto"/>
          <w:sz w:val="32"/>
          <w:szCs w:val="32"/>
          <w:highlight w:val="none"/>
        </w:rPr>
      </w:pPr>
      <w:bookmarkStart w:id="454" w:name="_Toc176185127"/>
      <w:r>
        <w:rPr>
          <w:rFonts w:hint="eastAsia"/>
          <w:b/>
          <w:color w:val="auto"/>
          <w:sz w:val="32"/>
          <w:szCs w:val="32"/>
          <w:highlight w:val="none"/>
        </w:rPr>
        <w:t>一、开标一览表（报价表）</w:t>
      </w:r>
      <w:bookmarkEnd w:id="454"/>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84"/>
        <w:jc w:val="center"/>
        <w:rPr>
          <w:b/>
          <w:color w:val="auto"/>
          <w:sz w:val="32"/>
          <w:szCs w:val="32"/>
          <w:highlight w:val="none"/>
        </w:rPr>
      </w:pPr>
      <w:bookmarkStart w:id="455"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56" w:name="_Hlk101259491"/>
      <w:r>
        <w:rPr>
          <w:rFonts w:hint="eastAsia"/>
          <w:b/>
          <w:color w:val="auto"/>
          <w:sz w:val="32"/>
          <w:szCs w:val="32"/>
          <w:highlight w:val="none"/>
        </w:rPr>
        <w:t>（如果有）</w:t>
      </w:r>
      <w:bookmarkEnd w:id="455"/>
      <w:bookmarkEnd w:id="45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84"/>
        <w:jc w:val="center"/>
        <w:rPr>
          <w:b/>
          <w:color w:val="auto"/>
          <w:sz w:val="36"/>
          <w:szCs w:val="36"/>
          <w:highlight w:val="none"/>
        </w:rPr>
      </w:pPr>
      <w:bookmarkStart w:id="457" w:name="_Toc465665161"/>
      <w:r>
        <w:rPr>
          <w:rFonts w:hint="eastAsia"/>
          <w:b/>
          <w:color w:val="auto"/>
          <w:sz w:val="36"/>
          <w:szCs w:val="36"/>
          <w:highlight w:val="none"/>
        </w:rPr>
        <w:t>附件</w:t>
      </w:r>
      <w:bookmarkEnd w:id="45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58" w:name="OLE_LINK14"/>
      <w:bookmarkStart w:id="459" w:name="OLE_LINK13"/>
      <w:r>
        <w:rPr>
          <w:rFonts w:hint="eastAsia" w:ascii="宋体" w:hAnsi="宋体" w:cs="宋体"/>
          <w:b/>
          <w:color w:val="auto"/>
          <w:spacing w:val="6"/>
          <w:sz w:val="32"/>
          <w:szCs w:val="32"/>
          <w:highlight w:val="none"/>
        </w:rPr>
        <w:t>残疾人福利性单位声明函</w:t>
      </w:r>
    </w:p>
    <w:bookmarkEnd w:id="458"/>
    <w:bookmarkEnd w:id="45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6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60"/>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3"/>
          <w:color w:val="auto"/>
          <w:highlight w:val="none"/>
        </w:rPr>
      </w:pPr>
      <w:r>
        <w:rPr>
          <w:rStyle w:val="83"/>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3"/>
          <w:rFonts w:hint="eastAsia"/>
          <w:color w:val="auto"/>
          <w:highlight w:val="none"/>
        </w:rPr>
        <w:t>联合体成</w:t>
      </w:r>
      <w:r>
        <w:rPr>
          <w:rFonts w:hint="eastAsia" w:ascii="宋体" w:hAnsi="宋体" w:cs="宋体"/>
          <w:color w:val="auto"/>
          <w:kern w:val="0"/>
          <w:sz w:val="24"/>
          <w:highlight w:val="none"/>
          <w:lang w:val="zh-CN"/>
        </w:rPr>
        <w:t>员名称(公章)：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84"/>
        <w:rPr>
          <w:color w:val="auto"/>
          <w:highlight w:val="none"/>
        </w:rPr>
      </w:pPr>
      <w:r>
        <w:rPr>
          <w:rFonts w:hint="eastAsia"/>
          <w:color w:val="auto"/>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6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pPr>
        <w:snapToGrid w:val="0"/>
        <w:spacing w:line="360" w:lineRule="auto"/>
        <w:rPr>
          <w:rStyle w:val="83"/>
          <w:color w:val="auto"/>
          <w:highlight w:val="none"/>
        </w:rPr>
      </w:pPr>
      <w:r>
        <w:rPr>
          <w:rStyle w:val="83"/>
          <w:rFonts w:hint="eastAsia"/>
          <w:color w:val="auto"/>
          <w:highlight w:val="none"/>
        </w:rPr>
        <w:t xml:space="preserve">                                              法定代表人（负责人） (签名)：</w:t>
      </w:r>
    </w:p>
    <w:p>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pPr>
        <w:pStyle w:val="84"/>
        <w:ind w:firstLine="5520" w:firstLineChars="2300"/>
        <w:jc w:val="both"/>
        <w:rPr>
          <w:color w:val="auto"/>
          <w:highlight w:val="none"/>
        </w:rPr>
      </w:pPr>
      <w:r>
        <w:rPr>
          <w:rStyle w:val="83"/>
          <w:rFonts w:hint="eastAsia"/>
          <w:color w:val="auto"/>
          <w:highlight w:val="none"/>
        </w:rPr>
        <w:t>法定代表人（负责人） (签名)：</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bookmarkStart w:id="462" w:name="_Toc36110187"/>
    <w:bookmarkStart w:id="463" w:name="_Toc164085800"/>
    <w:bookmarkStart w:id="464" w:name="_Toc131845147"/>
    <w:bookmarkStart w:id="465" w:name="_Toc91899912"/>
    <w:r>
      <w:rPr>
        <w:rFonts w:hint="eastAsia" w:ascii="仿宋_GB2312" w:eastAsia="仿宋_GB2312"/>
        <w:kern w:val="0"/>
        <w:sz w:val="21"/>
        <w:szCs w:val="21"/>
      </w:rPr>
      <w:t xml:space="preserve"> 页</w:t>
    </w:r>
    <w:bookmarkEnd w:id="462"/>
    <w:bookmarkEnd w:id="463"/>
    <w:bookmarkEnd w:id="464"/>
    <w:bookmarkEnd w:id="4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07EE0"/>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0D6A"/>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005"/>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173"/>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4F99"/>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231"/>
    <w:rsid w:val="001C64A8"/>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5CB9"/>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1BC"/>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0DD"/>
    <w:rsid w:val="0021636B"/>
    <w:rsid w:val="00216387"/>
    <w:rsid w:val="00216E7B"/>
    <w:rsid w:val="002170A1"/>
    <w:rsid w:val="00217A7A"/>
    <w:rsid w:val="00217DEF"/>
    <w:rsid w:val="00217E1F"/>
    <w:rsid w:val="00220274"/>
    <w:rsid w:val="002204BC"/>
    <w:rsid w:val="00220BF2"/>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5F25"/>
    <w:rsid w:val="00227214"/>
    <w:rsid w:val="00227215"/>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80D"/>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3AD"/>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4EB2"/>
    <w:rsid w:val="0028583E"/>
    <w:rsid w:val="00285853"/>
    <w:rsid w:val="00285B1A"/>
    <w:rsid w:val="00285FF3"/>
    <w:rsid w:val="002866EC"/>
    <w:rsid w:val="002867C6"/>
    <w:rsid w:val="0028744E"/>
    <w:rsid w:val="002876D2"/>
    <w:rsid w:val="00287936"/>
    <w:rsid w:val="00287BB7"/>
    <w:rsid w:val="002903C5"/>
    <w:rsid w:val="0029041B"/>
    <w:rsid w:val="00290A99"/>
    <w:rsid w:val="00290E90"/>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65F"/>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3C3"/>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6FB3"/>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30E"/>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6A7"/>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859"/>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2FEB"/>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70F"/>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40"/>
    <w:rsid w:val="00492503"/>
    <w:rsid w:val="004925C8"/>
    <w:rsid w:val="00492AF9"/>
    <w:rsid w:val="00492B76"/>
    <w:rsid w:val="0049333E"/>
    <w:rsid w:val="0049418F"/>
    <w:rsid w:val="0049477A"/>
    <w:rsid w:val="00494B57"/>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662"/>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4D71"/>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0DD6"/>
    <w:rsid w:val="0050106A"/>
    <w:rsid w:val="005010BC"/>
    <w:rsid w:val="00501848"/>
    <w:rsid w:val="00502B31"/>
    <w:rsid w:val="00502D6D"/>
    <w:rsid w:val="00503113"/>
    <w:rsid w:val="0050434C"/>
    <w:rsid w:val="0050537D"/>
    <w:rsid w:val="00505861"/>
    <w:rsid w:val="0050591C"/>
    <w:rsid w:val="00505935"/>
    <w:rsid w:val="005059BD"/>
    <w:rsid w:val="00505C9A"/>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168"/>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2C2"/>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0FA"/>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072"/>
    <w:rsid w:val="00583D43"/>
    <w:rsid w:val="00584542"/>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534"/>
    <w:rsid w:val="005A57B8"/>
    <w:rsid w:val="005A5DDE"/>
    <w:rsid w:val="005A64A8"/>
    <w:rsid w:val="005A65C5"/>
    <w:rsid w:val="005A682A"/>
    <w:rsid w:val="005A6875"/>
    <w:rsid w:val="005A6A95"/>
    <w:rsid w:val="005A7016"/>
    <w:rsid w:val="005A7703"/>
    <w:rsid w:val="005A7A32"/>
    <w:rsid w:val="005A7F2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3B29"/>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5F14"/>
    <w:rsid w:val="005D621D"/>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191"/>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77F"/>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1314"/>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12"/>
    <w:rsid w:val="006B54E8"/>
    <w:rsid w:val="006B56A9"/>
    <w:rsid w:val="006B5D80"/>
    <w:rsid w:val="006B5FBC"/>
    <w:rsid w:val="006B6ED2"/>
    <w:rsid w:val="006B74FD"/>
    <w:rsid w:val="006B775A"/>
    <w:rsid w:val="006B79A8"/>
    <w:rsid w:val="006B7F74"/>
    <w:rsid w:val="006C0230"/>
    <w:rsid w:val="006C03A3"/>
    <w:rsid w:val="006C05BE"/>
    <w:rsid w:val="006C05C7"/>
    <w:rsid w:val="006C0C70"/>
    <w:rsid w:val="006C0CB2"/>
    <w:rsid w:val="006C0EAB"/>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224"/>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1FF5"/>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577E0"/>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C54"/>
    <w:rsid w:val="00775526"/>
    <w:rsid w:val="00775651"/>
    <w:rsid w:val="00775F3F"/>
    <w:rsid w:val="0077710B"/>
    <w:rsid w:val="0077765A"/>
    <w:rsid w:val="007778AE"/>
    <w:rsid w:val="00780032"/>
    <w:rsid w:val="00780636"/>
    <w:rsid w:val="00780E86"/>
    <w:rsid w:val="0078108C"/>
    <w:rsid w:val="00781727"/>
    <w:rsid w:val="007823E8"/>
    <w:rsid w:val="007827F9"/>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9C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C5F"/>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3B3"/>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53C"/>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100"/>
    <w:rsid w:val="00836323"/>
    <w:rsid w:val="00837133"/>
    <w:rsid w:val="008379FF"/>
    <w:rsid w:val="00837D3D"/>
    <w:rsid w:val="00837E9B"/>
    <w:rsid w:val="008404AA"/>
    <w:rsid w:val="008406D7"/>
    <w:rsid w:val="0084074F"/>
    <w:rsid w:val="008407BA"/>
    <w:rsid w:val="00840906"/>
    <w:rsid w:val="00840AA3"/>
    <w:rsid w:val="00840AAC"/>
    <w:rsid w:val="0084101C"/>
    <w:rsid w:val="0084181B"/>
    <w:rsid w:val="00841F29"/>
    <w:rsid w:val="008425CC"/>
    <w:rsid w:val="00842DC2"/>
    <w:rsid w:val="0084357B"/>
    <w:rsid w:val="00844214"/>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77D"/>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91D"/>
    <w:rsid w:val="008A0BFE"/>
    <w:rsid w:val="008A1932"/>
    <w:rsid w:val="008A21D9"/>
    <w:rsid w:val="008A232D"/>
    <w:rsid w:val="008A3182"/>
    <w:rsid w:val="008A3C76"/>
    <w:rsid w:val="008A3D54"/>
    <w:rsid w:val="008A3E10"/>
    <w:rsid w:val="008A411C"/>
    <w:rsid w:val="008A4630"/>
    <w:rsid w:val="008A47CE"/>
    <w:rsid w:val="008A4DFA"/>
    <w:rsid w:val="008A5654"/>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6ED"/>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05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777"/>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A37"/>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BF3"/>
    <w:rsid w:val="009A3C3E"/>
    <w:rsid w:val="009A4153"/>
    <w:rsid w:val="009A4C2C"/>
    <w:rsid w:val="009A59B3"/>
    <w:rsid w:val="009A5FAE"/>
    <w:rsid w:val="009A6B3A"/>
    <w:rsid w:val="009A7081"/>
    <w:rsid w:val="009A70A3"/>
    <w:rsid w:val="009A73C5"/>
    <w:rsid w:val="009A73C9"/>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444"/>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28D"/>
    <w:rsid w:val="00A027B1"/>
    <w:rsid w:val="00A0307A"/>
    <w:rsid w:val="00A037E6"/>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D3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FC0"/>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6B61"/>
    <w:rsid w:val="00AF7003"/>
    <w:rsid w:val="00AF7389"/>
    <w:rsid w:val="00AF76B7"/>
    <w:rsid w:val="00AF79DF"/>
    <w:rsid w:val="00AF7C37"/>
    <w:rsid w:val="00B00378"/>
    <w:rsid w:val="00B00D91"/>
    <w:rsid w:val="00B00E84"/>
    <w:rsid w:val="00B01DD9"/>
    <w:rsid w:val="00B01F0E"/>
    <w:rsid w:val="00B02680"/>
    <w:rsid w:val="00B02E98"/>
    <w:rsid w:val="00B02EC7"/>
    <w:rsid w:val="00B037F9"/>
    <w:rsid w:val="00B038F1"/>
    <w:rsid w:val="00B0392E"/>
    <w:rsid w:val="00B03C1B"/>
    <w:rsid w:val="00B0430C"/>
    <w:rsid w:val="00B04678"/>
    <w:rsid w:val="00B047C9"/>
    <w:rsid w:val="00B04A04"/>
    <w:rsid w:val="00B04B78"/>
    <w:rsid w:val="00B04C37"/>
    <w:rsid w:val="00B04F00"/>
    <w:rsid w:val="00B0508C"/>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AF2"/>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998"/>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1A"/>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02A"/>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D7"/>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EF3"/>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D7B19"/>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43D0"/>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57E37"/>
    <w:rsid w:val="00C61223"/>
    <w:rsid w:val="00C61246"/>
    <w:rsid w:val="00C618A8"/>
    <w:rsid w:val="00C61A78"/>
    <w:rsid w:val="00C621E1"/>
    <w:rsid w:val="00C62929"/>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81E"/>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2DA"/>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EEE"/>
    <w:rsid w:val="00D32FA0"/>
    <w:rsid w:val="00D33112"/>
    <w:rsid w:val="00D331CB"/>
    <w:rsid w:val="00D33DAA"/>
    <w:rsid w:val="00D3497A"/>
    <w:rsid w:val="00D34EBC"/>
    <w:rsid w:val="00D35F2F"/>
    <w:rsid w:val="00D35FC6"/>
    <w:rsid w:val="00D36BB8"/>
    <w:rsid w:val="00D377D1"/>
    <w:rsid w:val="00D377D4"/>
    <w:rsid w:val="00D401A1"/>
    <w:rsid w:val="00D40217"/>
    <w:rsid w:val="00D40385"/>
    <w:rsid w:val="00D404CE"/>
    <w:rsid w:val="00D40E8F"/>
    <w:rsid w:val="00D412BF"/>
    <w:rsid w:val="00D417C6"/>
    <w:rsid w:val="00D417D0"/>
    <w:rsid w:val="00D41DA9"/>
    <w:rsid w:val="00D42B0C"/>
    <w:rsid w:val="00D42D6E"/>
    <w:rsid w:val="00D42F28"/>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C58"/>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DEF"/>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5D9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148A"/>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405"/>
    <w:rsid w:val="00E71809"/>
    <w:rsid w:val="00E71D1E"/>
    <w:rsid w:val="00E726F2"/>
    <w:rsid w:val="00E728E2"/>
    <w:rsid w:val="00E738FA"/>
    <w:rsid w:val="00E739B6"/>
    <w:rsid w:val="00E74A2B"/>
    <w:rsid w:val="00E75667"/>
    <w:rsid w:val="00E756D3"/>
    <w:rsid w:val="00E75A5A"/>
    <w:rsid w:val="00E76004"/>
    <w:rsid w:val="00E7608F"/>
    <w:rsid w:val="00E760D7"/>
    <w:rsid w:val="00E76937"/>
    <w:rsid w:val="00E769CC"/>
    <w:rsid w:val="00E77124"/>
    <w:rsid w:val="00E77341"/>
    <w:rsid w:val="00E7783E"/>
    <w:rsid w:val="00E778B8"/>
    <w:rsid w:val="00E801C7"/>
    <w:rsid w:val="00E80A66"/>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21C0"/>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78E"/>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AF1"/>
    <w:rsid w:val="00F56F7E"/>
    <w:rsid w:val="00F56FEF"/>
    <w:rsid w:val="00F57521"/>
    <w:rsid w:val="00F57E2D"/>
    <w:rsid w:val="00F60024"/>
    <w:rsid w:val="00F60708"/>
    <w:rsid w:val="00F60938"/>
    <w:rsid w:val="00F60C7E"/>
    <w:rsid w:val="00F60E0A"/>
    <w:rsid w:val="00F61606"/>
    <w:rsid w:val="00F61918"/>
    <w:rsid w:val="00F62151"/>
    <w:rsid w:val="00F62CA8"/>
    <w:rsid w:val="00F62F92"/>
    <w:rsid w:val="00F630B4"/>
    <w:rsid w:val="00F635EF"/>
    <w:rsid w:val="00F63BF4"/>
    <w:rsid w:val="00F63C55"/>
    <w:rsid w:val="00F63C60"/>
    <w:rsid w:val="00F6432E"/>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77864"/>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DA4"/>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1E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1762F"/>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235E6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60C14"/>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22583"/>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044DA"/>
    <w:rsid w:val="22BE6801"/>
    <w:rsid w:val="22D83F1E"/>
    <w:rsid w:val="233500BF"/>
    <w:rsid w:val="23377FF7"/>
    <w:rsid w:val="236B425F"/>
    <w:rsid w:val="23836192"/>
    <w:rsid w:val="23901F29"/>
    <w:rsid w:val="239C0061"/>
    <w:rsid w:val="23B908A4"/>
    <w:rsid w:val="23E27979"/>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347FD"/>
    <w:rsid w:val="2B7807EE"/>
    <w:rsid w:val="2BA50BF7"/>
    <w:rsid w:val="2BBF00EC"/>
    <w:rsid w:val="2BC37CFD"/>
    <w:rsid w:val="2BCB43FB"/>
    <w:rsid w:val="2BD5237F"/>
    <w:rsid w:val="2BE536CE"/>
    <w:rsid w:val="2BE758D9"/>
    <w:rsid w:val="2BF346BB"/>
    <w:rsid w:val="2C09049E"/>
    <w:rsid w:val="2C0A653C"/>
    <w:rsid w:val="2C191F85"/>
    <w:rsid w:val="2C1B1013"/>
    <w:rsid w:val="2CE82D6F"/>
    <w:rsid w:val="2D343236"/>
    <w:rsid w:val="2D575011"/>
    <w:rsid w:val="2DCC5498"/>
    <w:rsid w:val="2DD15014"/>
    <w:rsid w:val="2DF72DE4"/>
    <w:rsid w:val="2E0220AF"/>
    <w:rsid w:val="2E4B082A"/>
    <w:rsid w:val="2E5D4E86"/>
    <w:rsid w:val="2E5D790B"/>
    <w:rsid w:val="2E9A3C18"/>
    <w:rsid w:val="2EA045AD"/>
    <w:rsid w:val="2EBB0FEE"/>
    <w:rsid w:val="2EC63002"/>
    <w:rsid w:val="2F0A6B38"/>
    <w:rsid w:val="2F552FA4"/>
    <w:rsid w:val="2F946CCB"/>
    <w:rsid w:val="2FD25781"/>
    <w:rsid w:val="2FDB44A0"/>
    <w:rsid w:val="2FDC745C"/>
    <w:rsid w:val="2FFD7934"/>
    <w:rsid w:val="30733ACD"/>
    <w:rsid w:val="308C3862"/>
    <w:rsid w:val="309379D8"/>
    <w:rsid w:val="30A270F7"/>
    <w:rsid w:val="30CF56A8"/>
    <w:rsid w:val="30DF1478"/>
    <w:rsid w:val="30EC586F"/>
    <w:rsid w:val="31131987"/>
    <w:rsid w:val="319C6071"/>
    <w:rsid w:val="31AC537E"/>
    <w:rsid w:val="31E3679B"/>
    <w:rsid w:val="31E732FD"/>
    <w:rsid w:val="32517576"/>
    <w:rsid w:val="3289247A"/>
    <w:rsid w:val="32BE5C2C"/>
    <w:rsid w:val="32BF12C4"/>
    <w:rsid w:val="32FB6478"/>
    <w:rsid w:val="33263B3F"/>
    <w:rsid w:val="33322E83"/>
    <w:rsid w:val="333740E3"/>
    <w:rsid w:val="336963EB"/>
    <w:rsid w:val="33816EEB"/>
    <w:rsid w:val="33EB55CD"/>
    <w:rsid w:val="33EC4C02"/>
    <w:rsid w:val="340D2360"/>
    <w:rsid w:val="3410665D"/>
    <w:rsid w:val="34211214"/>
    <w:rsid w:val="342E63AB"/>
    <w:rsid w:val="34950E68"/>
    <w:rsid w:val="34986E94"/>
    <w:rsid w:val="34AF62C9"/>
    <w:rsid w:val="34CB4388"/>
    <w:rsid w:val="34FA6E12"/>
    <w:rsid w:val="351673E1"/>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8C7D68"/>
    <w:rsid w:val="39B417A9"/>
    <w:rsid w:val="39EB58A2"/>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07CFB"/>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72440"/>
    <w:rsid w:val="460E7DA5"/>
    <w:rsid w:val="46422483"/>
    <w:rsid w:val="4659254A"/>
    <w:rsid w:val="465B0637"/>
    <w:rsid w:val="465E3F0D"/>
    <w:rsid w:val="466A16E6"/>
    <w:rsid w:val="46893F2B"/>
    <w:rsid w:val="46C4686E"/>
    <w:rsid w:val="471925E8"/>
    <w:rsid w:val="477B778F"/>
    <w:rsid w:val="478203EC"/>
    <w:rsid w:val="47B025FA"/>
    <w:rsid w:val="4809698F"/>
    <w:rsid w:val="4811697D"/>
    <w:rsid w:val="487A3E25"/>
    <w:rsid w:val="488B5503"/>
    <w:rsid w:val="48937E21"/>
    <w:rsid w:val="489A0361"/>
    <w:rsid w:val="489A57D5"/>
    <w:rsid w:val="48B94FF3"/>
    <w:rsid w:val="48E37AAB"/>
    <w:rsid w:val="48F07D25"/>
    <w:rsid w:val="48FD4B4C"/>
    <w:rsid w:val="490A68E0"/>
    <w:rsid w:val="491055FE"/>
    <w:rsid w:val="495F5B3E"/>
    <w:rsid w:val="496F77D7"/>
    <w:rsid w:val="497654FD"/>
    <w:rsid w:val="49B64211"/>
    <w:rsid w:val="49F6167F"/>
    <w:rsid w:val="4A064FA0"/>
    <w:rsid w:val="4A16615C"/>
    <w:rsid w:val="4A282DED"/>
    <w:rsid w:val="4A4424D7"/>
    <w:rsid w:val="4AB80079"/>
    <w:rsid w:val="4AB82D0F"/>
    <w:rsid w:val="4AEB7664"/>
    <w:rsid w:val="4AFD7C19"/>
    <w:rsid w:val="4B0567D1"/>
    <w:rsid w:val="4B236AAE"/>
    <w:rsid w:val="4B707271"/>
    <w:rsid w:val="4B9739F7"/>
    <w:rsid w:val="4BB851E7"/>
    <w:rsid w:val="4BEE2503"/>
    <w:rsid w:val="4C03434F"/>
    <w:rsid w:val="4C245A30"/>
    <w:rsid w:val="4CB6685F"/>
    <w:rsid w:val="4CB9595F"/>
    <w:rsid w:val="4CC367FE"/>
    <w:rsid w:val="4D03202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2472"/>
    <w:rsid w:val="5021480F"/>
    <w:rsid w:val="503A648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F2928"/>
    <w:rsid w:val="53302599"/>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7C51"/>
    <w:rsid w:val="57032A2C"/>
    <w:rsid w:val="570B073C"/>
    <w:rsid w:val="570F5219"/>
    <w:rsid w:val="575D12B5"/>
    <w:rsid w:val="57610A87"/>
    <w:rsid w:val="577B1140"/>
    <w:rsid w:val="577B7F21"/>
    <w:rsid w:val="577F181B"/>
    <w:rsid w:val="57921984"/>
    <w:rsid w:val="579737F0"/>
    <w:rsid w:val="57AB7B30"/>
    <w:rsid w:val="57AF5251"/>
    <w:rsid w:val="57B26373"/>
    <w:rsid w:val="57B63F04"/>
    <w:rsid w:val="57BC760A"/>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7408B"/>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2E75E8"/>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43A4D"/>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31590"/>
    <w:rsid w:val="64055776"/>
    <w:rsid w:val="64240056"/>
    <w:rsid w:val="643E143A"/>
    <w:rsid w:val="64491666"/>
    <w:rsid w:val="648B6EEF"/>
    <w:rsid w:val="64C158BF"/>
    <w:rsid w:val="64CE2EAA"/>
    <w:rsid w:val="650079EA"/>
    <w:rsid w:val="653C3090"/>
    <w:rsid w:val="65854376"/>
    <w:rsid w:val="658767BE"/>
    <w:rsid w:val="65892531"/>
    <w:rsid w:val="66195831"/>
    <w:rsid w:val="662E75B1"/>
    <w:rsid w:val="66342C2E"/>
    <w:rsid w:val="663E784C"/>
    <w:rsid w:val="668B6A45"/>
    <w:rsid w:val="672F3F24"/>
    <w:rsid w:val="673E055F"/>
    <w:rsid w:val="67551CE3"/>
    <w:rsid w:val="676C597E"/>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457FB"/>
    <w:rsid w:val="6B573233"/>
    <w:rsid w:val="6B5B6274"/>
    <w:rsid w:val="6B935D53"/>
    <w:rsid w:val="6C196F71"/>
    <w:rsid w:val="6C226FCB"/>
    <w:rsid w:val="6C31226F"/>
    <w:rsid w:val="6C552F0B"/>
    <w:rsid w:val="6C6F13BD"/>
    <w:rsid w:val="6C8C67B7"/>
    <w:rsid w:val="6C9D744C"/>
    <w:rsid w:val="6D003F41"/>
    <w:rsid w:val="6D167928"/>
    <w:rsid w:val="6D26299B"/>
    <w:rsid w:val="6D4772EC"/>
    <w:rsid w:val="6D8B27F6"/>
    <w:rsid w:val="6D9078AF"/>
    <w:rsid w:val="6DAA3FEF"/>
    <w:rsid w:val="6DC0172B"/>
    <w:rsid w:val="6DCB690C"/>
    <w:rsid w:val="6DD41A5B"/>
    <w:rsid w:val="6DF43C2E"/>
    <w:rsid w:val="6DF51CA3"/>
    <w:rsid w:val="6E8335BD"/>
    <w:rsid w:val="6E8E12EF"/>
    <w:rsid w:val="6E972936"/>
    <w:rsid w:val="6EAC5ADB"/>
    <w:rsid w:val="6ED446C5"/>
    <w:rsid w:val="6F2A7D94"/>
    <w:rsid w:val="6F8331F1"/>
    <w:rsid w:val="6FAE1A09"/>
    <w:rsid w:val="6FD75BF8"/>
    <w:rsid w:val="707723D0"/>
    <w:rsid w:val="70F5661B"/>
    <w:rsid w:val="710758EE"/>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A783C"/>
    <w:rsid w:val="78A42DB0"/>
    <w:rsid w:val="78A656AB"/>
    <w:rsid w:val="78B2245C"/>
    <w:rsid w:val="78E172CC"/>
    <w:rsid w:val="78EA1D1F"/>
    <w:rsid w:val="7904172F"/>
    <w:rsid w:val="790F7E27"/>
    <w:rsid w:val="792A231A"/>
    <w:rsid w:val="79316829"/>
    <w:rsid w:val="797E66A9"/>
    <w:rsid w:val="798518A4"/>
    <w:rsid w:val="799037C1"/>
    <w:rsid w:val="79A97383"/>
    <w:rsid w:val="79E27E8B"/>
    <w:rsid w:val="79F850CE"/>
    <w:rsid w:val="79FD443C"/>
    <w:rsid w:val="7A1D1975"/>
    <w:rsid w:val="7A3E5150"/>
    <w:rsid w:val="7A4670D6"/>
    <w:rsid w:val="7A534B63"/>
    <w:rsid w:val="7A613295"/>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A111A"/>
    <w:rsid w:val="7E1E5218"/>
    <w:rsid w:val="7E9A4E1F"/>
    <w:rsid w:val="7EA7723A"/>
    <w:rsid w:val="7EF56FBB"/>
    <w:rsid w:val="7F0768EB"/>
    <w:rsid w:val="7F143BEC"/>
    <w:rsid w:val="7F715AF2"/>
    <w:rsid w:val="7F743F7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1"/>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样式 标题 2 + 宋体"/>
    <w:basedOn w:val="3"/>
    <w:qFormat/>
    <w:uiPriority w:val="99"/>
  </w:style>
  <w:style w:type="paragraph" w:styleId="6">
    <w:name w:val="Normal Indent"/>
    <w:basedOn w:val="1"/>
    <w:link w:val="192"/>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qFormat/>
    <w:uiPriority w:val="99"/>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6"/>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next w:val="1"/>
    <w:link w:val="382"/>
    <w:qFormat/>
    <w:uiPriority w:val="0"/>
    <w:pPr>
      <w:tabs>
        <w:tab w:val="center" w:pos="4153"/>
        <w:tab w:val="right" w:pos="8306"/>
      </w:tabs>
      <w:snapToGrid w:val="0"/>
      <w:jc w:val="left"/>
    </w:pPr>
    <w:rPr>
      <w:sz w:val="18"/>
      <w:szCs w:val="18"/>
    </w:rPr>
  </w:style>
  <w:style w:type="paragraph" w:styleId="42">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w:basedOn w:val="25"/>
    <w:link w:val="320"/>
    <w:qFormat/>
    <w:uiPriority w:val="99"/>
    <w:pPr>
      <w:ind w:firstLine="420"/>
    </w:pPr>
    <w:rPr>
      <w:rFonts w:hAnsi="Calibri" w:cs="Times New Roman"/>
      <w:snapToGrid/>
      <w:szCs w:val="20"/>
    </w:rPr>
  </w:style>
  <w:style w:type="paragraph" w:styleId="63">
    <w:name w:val="Body Text First Indent 2"/>
    <w:basedOn w:val="26"/>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99"/>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styleId="964">
    <w:name w:val="Intense Quote"/>
    <w:basedOn w:val="1"/>
    <w:next w:val="1"/>
    <w:link w:val="965"/>
    <w:qFormat/>
    <w:uiPriority w:val="0"/>
    <w:pPr>
      <w:wordWrap w:val="0"/>
      <w:adjustRightInd/>
      <w:spacing w:before="360" w:after="360"/>
      <w:ind w:left="950" w:right="950"/>
      <w:jc w:val="center"/>
    </w:pPr>
    <w:rPr>
      <w:i/>
    </w:rPr>
  </w:style>
  <w:style w:type="character" w:customStyle="1" w:styleId="965">
    <w:name w:val="明显引用 Char"/>
    <w:basedOn w:val="71"/>
    <w:link w:val="964"/>
    <w:qFormat/>
    <w:uiPriority w:val="0"/>
    <w:rPr>
      <w:i/>
      <w:kern w:val="2"/>
      <w:sz w:val="21"/>
      <w:szCs w:val="24"/>
    </w:rPr>
  </w:style>
  <w:style w:type="character" w:customStyle="1" w:styleId="966">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p15"/>
    <w:basedOn w:val="1"/>
    <w:qFormat/>
    <w:uiPriority w:val="0"/>
    <w:pPr>
      <w:widowControl/>
      <w:adjustRightInd/>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6772-48A4-4E36-99D6-E55FD00C68E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119</Pages>
  <Words>14021</Words>
  <Characters>79923</Characters>
  <Lines>666</Lines>
  <Paragraphs>187</Paragraphs>
  <TotalTime>6</TotalTime>
  <ScaleCrop>false</ScaleCrop>
  <LinksUpToDate>false</LinksUpToDate>
  <CharactersWithSpaces>93757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wwwww</cp:lastModifiedBy>
  <cp:lastPrinted>2025-08-07T09:09:00Z</cp:lastPrinted>
  <dcterms:modified xsi:type="dcterms:W3CDTF">2025-08-08T03:41:43Z</dcterms:modified>
  <dc:title>北海市政府采购中心</dc:title>
  <cp:revision>2902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