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78167">
      <w:pPr>
        <w:jc w:val="center"/>
        <w:rPr>
          <w:rFonts w:ascii="华文新魏" w:hAnsi="宋体" w:eastAsia="华文新魏"/>
          <w:color w:val="auto"/>
          <w:sz w:val="52"/>
          <w:szCs w:val="52"/>
          <w:highlight w:val="none"/>
        </w:rPr>
      </w:pPr>
      <w:r>
        <w:rPr>
          <w:rFonts w:ascii="华文新魏" w:hAnsi="宋体" w:eastAsia="华文新魏"/>
          <w:color w:val="auto"/>
          <w:sz w:val="52"/>
          <w:szCs w:val="52"/>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新魏" w:hAnsi="宋体" w:eastAsia="华文新魏"/>
          <w:color w:val="auto"/>
          <w:sz w:val="52"/>
          <w:szCs w:val="52"/>
          <w:highlight w:val="none"/>
        </w:rPr>
        <w:instrText xml:space="preserve">ADDIN CNKISM.UserStyle</w:instrText>
      </w:r>
      <w:r>
        <w:rPr>
          <w:rFonts w:ascii="华文新魏" w:hAnsi="宋体" w:eastAsia="华文新魏"/>
          <w:color w:val="auto"/>
          <w:sz w:val="52"/>
          <w:szCs w:val="52"/>
          <w:highlight w:val="none"/>
        </w:rPr>
        <w:fldChar w:fldCharType="end"/>
      </w:r>
    </w:p>
    <w:p w14:paraId="2E4C40DC">
      <w:pPr>
        <w:spacing w:line="360" w:lineRule="auto"/>
        <w:jc w:val="center"/>
        <w:rPr>
          <w:rFonts w:ascii="华文新魏" w:hAnsi="宋体" w:eastAsia="华文新魏"/>
          <w:color w:val="auto"/>
          <w:sz w:val="84"/>
          <w:szCs w:val="84"/>
          <w:highlight w:val="none"/>
        </w:rPr>
      </w:pPr>
      <w:r>
        <w:rPr>
          <w:rFonts w:hint="eastAsia" w:ascii="华文新魏" w:hAnsi="宋体" w:eastAsia="华文新魏"/>
          <w:color w:val="auto"/>
          <w:sz w:val="84"/>
          <w:szCs w:val="84"/>
          <w:highlight w:val="none"/>
        </w:rPr>
        <w:t>天勤工程咨询有限公司</w:t>
      </w:r>
    </w:p>
    <w:p w14:paraId="617C61D9">
      <w:pPr>
        <w:spacing w:before="165" w:beforeLines="50"/>
        <w:jc w:val="center"/>
        <w:rPr>
          <w:rFonts w:ascii="楷体" w:hAnsi="楷体" w:eastAsia="楷体"/>
          <w:color w:val="auto"/>
          <w:sz w:val="48"/>
          <w:szCs w:val="48"/>
          <w:highlight w:val="none"/>
        </w:rPr>
      </w:pPr>
    </w:p>
    <w:p w14:paraId="520B317B">
      <w:pPr>
        <w:spacing w:before="165" w:beforeLines="50"/>
        <w:jc w:val="center"/>
        <w:rPr>
          <w:rFonts w:ascii="楷体" w:hAnsi="楷体" w:eastAsia="楷体"/>
          <w:color w:val="auto"/>
          <w:sz w:val="72"/>
          <w:szCs w:val="72"/>
          <w:highlight w:val="none"/>
        </w:rPr>
      </w:pPr>
      <w:r>
        <w:rPr>
          <w:rFonts w:hint="eastAsia" w:ascii="楷体" w:hAnsi="楷体" w:eastAsia="楷体"/>
          <w:color w:val="auto"/>
          <w:sz w:val="72"/>
          <w:szCs w:val="72"/>
          <w:highlight w:val="none"/>
        </w:rPr>
        <w:t>竞争性磋商文件</w:t>
      </w:r>
    </w:p>
    <w:p w14:paraId="544C1175">
      <w:pPr>
        <w:pStyle w:val="21"/>
        <w:snapToGrid w:val="0"/>
        <w:spacing w:before="120" w:after="120" w:line="360" w:lineRule="auto"/>
        <w:rPr>
          <w:rFonts w:ascii="仿宋_GB2312" w:hAnsi="宋体" w:eastAsia="仿宋_GB2312"/>
          <w:b/>
          <w:bCs/>
          <w:color w:val="auto"/>
          <w:sz w:val="30"/>
          <w:szCs w:val="30"/>
          <w:highlight w:val="none"/>
        </w:rPr>
      </w:pPr>
    </w:p>
    <w:p w14:paraId="78EE5E8B">
      <w:pPr>
        <w:pStyle w:val="21"/>
        <w:snapToGrid w:val="0"/>
        <w:spacing w:before="120" w:after="120" w:line="360" w:lineRule="auto"/>
        <w:jc w:val="center"/>
        <w:rPr>
          <w:rFonts w:ascii="仿宋_GB2312" w:hAnsi="宋体" w:eastAsia="仿宋_GB2312"/>
          <w:b/>
          <w:bCs/>
          <w:color w:val="auto"/>
          <w:sz w:val="30"/>
          <w:szCs w:val="30"/>
          <w:highlight w:val="none"/>
        </w:rPr>
      </w:pPr>
    </w:p>
    <w:p w14:paraId="30EF92B7">
      <w:pPr>
        <w:pStyle w:val="5"/>
        <w:rPr>
          <w:color w:val="auto"/>
          <w:highlight w:val="none"/>
        </w:rPr>
      </w:pPr>
    </w:p>
    <w:p w14:paraId="70666042">
      <w:pPr>
        <w:pStyle w:val="21"/>
        <w:snapToGrid w:val="0"/>
        <w:spacing w:before="120" w:after="120" w:line="500" w:lineRule="exact"/>
        <w:jc w:val="left"/>
        <w:rPr>
          <w:rFonts w:hAnsi="宋体"/>
          <w:b/>
          <w:bCs/>
          <w:color w:val="auto"/>
          <w:sz w:val="32"/>
          <w:szCs w:val="36"/>
          <w:highlight w:val="none"/>
        </w:rPr>
      </w:pPr>
    </w:p>
    <w:p w14:paraId="2BB8F6E0">
      <w:pPr>
        <w:pStyle w:val="21"/>
        <w:snapToGrid w:val="0"/>
        <w:spacing w:before="120" w:after="120" w:line="500" w:lineRule="exact"/>
        <w:ind w:firstLine="1446" w:firstLineChars="400"/>
        <w:jc w:val="left"/>
        <w:rPr>
          <w:rFonts w:hint="eastAsia" w:hAnsi="宋体" w:eastAsia="宋体"/>
          <w:b/>
          <w:bCs/>
          <w:color w:val="auto"/>
          <w:sz w:val="36"/>
          <w:szCs w:val="36"/>
          <w:highlight w:val="none"/>
          <w:lang w:eastAsia="zh-CN"/>
        </w:rPr>
      </w:pPr>
      <w:r>
        <w:rPr>
          <w:rFonts w:hint="eastAsia" w:hAnsi="宋体"/>
          <w:b/>
          <w:bCs/>
          <w:color w:val="auto"/>
          <w:sz w:val="36"/>
          <w:szCs w:val="36"/>
          <w:highlight w:val="none"/>
        </w:rPr>
        <w:t>采购项目编号：</w:t>
      </w:r>
      <w:r>
        <w:rPr>
          <w:rFonts w:hint="eastAsia" w:hAnsi="宋体"/>
          <w:b/>
          <w:bCs/>
          <w:color w:val="auto"/>
          <w:sz w:val="36"/>
          <w:szCs w:val="36"/>
          <w:highlight w:val="none"/>
          <w:lang w:eastAsia="zh-CN"/>
        </w:rPr>
        <w:t>GXZC2025-C3-002387-TQGC</w:t>
      </w:r>
    </w:p>
    <w:p w14:paraId="6214C851">
      <w:pPr>
        <w:tabs>
          <w:tab w:val="left" w:pos="7665"/>
        </w:tabs>
        <w:ind w:left="3966" w:leftChars="684" w:hanging="2530" w:hangingChars="700"/>
        <w:jc w:val="left"/>
        <w:rPr>
          <w:rFonts w:ascii="宋体" w:hAnsi="宋体" w:cs="宋体"/>
          <w:b/>
          <w:color w:val="auto"/>
          <w:sz w:val="30"/>
          <w:szCs w:val="30"/>
          <w:highlight w:val="none"/>
        </w:rPr>
      </w:pPr>
      <w:r>
        <w:rPr>
          <w:rFonts w:hint="eastAsia" w:hAnsi="宋体"/>
          <w:b/>
          <w:color w:val="auto"/>
          <w:sz w:val="36"/>
          <w:szCs w:val="36"/>
          <w:highlight w:val="none"/>
        </w:rPr>
        <w:t>采购项目名称：广西壮族自治区自然资源生态修复中心业务租车服务采购</w:t>
      </w:r>
    </w:p>
    <w:p w14:paraId="0832E183">
      <w:pPr>
        <w:pStyle w:val="21"/>
        <w:snapToGrid w:val="0"/>
        <w:spacing w:before="120" w:after="120" w:line="500" w:lineRule="exact"/>
        <w:ind w:left="2511" w:leftChars="946" w:hanging="524" w:hangingChars="145"/>
        <w:jc w:val="left"/>
        <w:rPr>
          <w:rFonts w:hAnsi="宋体"/>
          <w:b/>
          <w:color w:val="auto"/>
          <w:sz w:val="36"/>
          <w:szCs w:val="36"/>
          <w:highlight w:val="none"/>
        </w:rPr>
      </w:pPr>
      <w:r>
        <w:rPr>
          <w:rFonts w:hint="eastAsia" w:hAnsi="宋体"/>
          <w:b/>
          <w:color w:val="auto"/>
          <w:sz w:val="36"/>
          <w:szCs w:val="36"/>
          <w:highlight w:val="none"/>
        </w:rPr>
        <w:t xml:space="preserve"> </w:t>
      </w:r>
    </w:p>
    <w:p w14:paraId="7793F9A6">
      <w:pPr>
        <w:pStyle w:val="21"/>
        <w:snapToGrid w:val="0"/>
        <w:spacing w:before="120" w:after="120" w:line="500" w:lineRule="exact"/>
        <w:jc w:val="center"/>
        <w:rPr>
          <w:rFonts w:ascii="Times New Roman" w:hAnsi="Times New Roman" w:cs="Times New Roman"/>
          <w:b/>
          <w:bCs/>
          <w:color w:val="auto"/>
          <w:sz w:val="36"/>
          <w:szCs w:val="36"/>
          <w:highlight w:val="none"/>
        </w:rPr>
      </w:pPr>
    </w:p>
    <w:p w14:paraId="4D8FA9B7">
      <w:pPr>
        <w:pBdr>
          <w:bottom w:val="thickThinSmallGap" w:color="auto" w:sz="24" w:space="1"/>
        </w:pBdr>
        <w:snapToGrid w:val="0"/>
        <w:spacing w:before="165" w:beforeLines="50" w:line="500" w:lineRule="exact"/>
        <w:jc w:val="center"/>
        <w:rPr>
          <w:rFonts w:ascii="宋体" w:hAnsi="宋体"/>
          <w:b/>
          <w:color w:val="auto"/>
          <w:sz w:val="32"/>
          <w:szCs w:val="36"/>
          <w:highlight w:val="none"/>
        </w:rPr>
      </w:pPr>
    </w:p>
    <w:p w14:paraId="6D76D71F">
      <w:pPr>
        <w:snapToGrid w:val="0"/>
        <w:spacing w:before="165" w:beforeLines="50" w:line="500" w:lineRule="exact"/>
        <w:ind w:firstLine="1506" w:firstLineChars="500"/>
        <w:jc w:val="left"/>
        <w:rPr>
          <w:rFonts w:ascii="宋体" w:hAnsi="宋体"/>
          <w:b/>
          <w:color w:val="auto"/>
          <w:sz w:val="30"/>
          <w:szCs w:val="72"/>
          <w:highlight w:val="none"/>
        </w:rPr>
      </w:pPr>
      <w:r>
        <w:rPr>
          <w:rFonts w:hint="eastAsia" w:ascii="宋体" w:hAnsi="宋体"/>
          <w:b/>
          <w:color w:val="auto"/>
          <w:sz w:val="30"/>
          <w:szCs w:val="72"/>
          <w:highlight w:val="none"/>
        </w:rPr>
        <w:t>采   购   人：</w:t>
      </w:r>
      <w:r>
        <w:rPr>
          <w:rFonts w:hint="eastAsia" w:ascii="宋体" w:hAnsi="宋体" w:cs="宋体"/>
          <w:b/>
          <w:color w:val="auto"/>
          <w:sz w:val="30"/>
          <w:szCs w:val="30"/>
          <w:highlight w:val="none"/>
        </w:rPr>
        <w:t>广西壮族自治区自然资源生态修复中心</w:t>
      </w:r>
      <w:r>
        <w:rPr>
          <w:rFonts w:hint="eastAsia" w:ascii="宋体" w:hAnsi="宋体"/>
          <w:b/>
          <w:color w:val="auto"/>
          <w:sz w:val="30"/>
          <w:szCs w:val="72"/>
          <w:highlight w:val="none"/>
        </w:rPr>
        <w:t xml:space="preserve"> </w:t>
      </w:r>
    </w:p>
    <w:p w14:paraId="480A2DCA">
      <w:pPr>
        <w:snapToGrid w:val="0"/>
        <w:spacing w:before="165" w:beforeLines="50" w:line="500" w:lineRule="exact"/>
        <w:ind w:firstLine="1506" w:firstLineChars="500"/>
        <w:jc w:val="left"/>
        <w:rPr>
          <w:rFonts w:ascii="宋体" w:hAnsi="宋体"/>
          <w:b/>
          <w:color w:val="auto"/>
          <w:sz w:val="30"/>
          <w:szCs w:val="72"/>
          <w:highlight w:val="none"/>
        </w:rPr>
      </w:pPr>
      <w:r>
        <w:rPr>
          <w:rFonts w:hint="eastAsia" w:ascii="宋体" w:hAnsi="宋体"/>
          <w:b/>
          <w:color w:val="auto"/>
          <w:sz w:val="30"/>
          <w:szCs w:val="72"/>
          <w:highlight w:val="none"/>
        </w:rPr>
        <w:t>采购代理机构：</w:t>
      </w:r>
      <w:r>
        <w:rPr>
          <w:rFonts w:hint="eastAsia" w:ascii="宋体" w:hAnsi="宋体" w:cs="宋体"/>
          <w:b/>
          <w:color w:val="auto"/>
          <w:sz w:val="30"/>
          <w:szCs w:val="30"/>
          <w:highlight w:val="none"/>
        </w:rPr>
        <w:t>天勤工程咨询有限公司</w:t>
      </w:r>
    </w:p>
    <w:p w14:paraId="1A468B67">
      <w:pPr>
        <w:snapToGrid w:val="0"/>
        <w:spacing w:before="165" w:beforeLines="50" w:line="500" w:lineRule="exact"/>
        <w:jc w:val="center"/>
        <w:rPr>
          <w:rFonts w:ascii="宋体" w:hAnsi="宋体"/>
          <w:b/>
          <w:color w:val="auto"/>
          <w:sz w:val="30"/>
          <w:szCs w:val="72"/>
          <w:highlight w:val="none"/>
        </w:rPr>
      </w:pPr>
      <w:r>
        <w:rPr>
          <w:rFonts w:hint="eastAsia" w:ascii="宋体" w:hAnsi="宋体"/>
          <w:b/>
          <w:color w:val="auto"/>
          <w:sz w:val="30"/>
          <w:szCs w:val="72"/>
          <w:highlight w:val="none"/>
        </w:rPr>
        <w:t>2025年</w:t>
      </w:r>
      <w:r>
        <w:rPr>
          <w:rFonts w:hint="eastAsia" w:ascii="宋体" w:hAnsi="宋体"/>
          <w:b/>
          <w:color w:val="auto"/>
          <w:sz w:val="30"/>
          <w:szCs w:val="72"/>
          <w:highlight w:val="none"/>
          <w:lang w:val="en-US" w:eastAsia="zh-CN"/>
        </w:rPr>
        <w:t>8</w:t>
      </w:r>
      <w:r>
        <w:rPr>
          <w:rFonts w:hint="eastAsia" w:ascii="宋体" w:hAnsi="宋体"/>
          <w:b/>
          <w:color w:val="auto"/>
          <w:sz w:val="30"/>
          <w:szCs w:val="72"/>
          <w:highlight w:val="none"/>
        </w:rPr>
        <w:t>月</w:t>
      </w:r>
    </w:p>
    <w:p w14:paraId="4502E9DC">
      <w:pPr>
        <w:jc w:val="center"/>
        <w:rPr>
          <w:rFonts w:ascii="仿宋_GB2312" w:hAnsi="宋体" w:eastAsia="仿宋_GB2312"/>
          <w:b/>
          <w:color w:val="auto"/>
          <w:sz w:val="44"/>
          <w:szCs w:val="44"/>
          <w:highlight w:val="none"/>
        </w:rPr>
      </w:pPr>
      <w:r>
        <w:rPr>
          <w:rFonts w:ascii="仿宋_GB2312" w:hAnsi="宋体" w:eastAsia="仿宋_GB2312"/>
          <w:b/>
          <w:color w:val="auto"/>
          <w:sz w:val="32"/>
          <w:szCs w:val="32"/>
          <w:highlight w:val="none"/>
        </w:rPr>
        <w:br w:type="page"/>
      </w:r>
      <w:r>
        <w:rPr>
          <w:rFonts w:ascii="仿宋_GB2312" w:hAnsi="宋体" w:eastAsia="仿宋_GB2312"/>
          <w:b/>
          <w:color w:val="auto"/>
          <w:sz w:val="32"/>
          <w:szCs w:val="32"/>
          <w:highlight w:val="none"/>
        </w:rPr>
        <w:t xml:space="preserve"> </w:t>
      </w:r>
    </w:p>
    <w:p w14:paraId="20F4F8DC">
      <w:pPr>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3DCC289B">
      <w:pPr>
        <w:jc w:val="center"/>
        <w:rPr>
          <w:rFonts w:ascii="宋体" w:hAnsi="宋体"/>
          <w:b/>
          <w:color w:val="auto"/>
          <w:sz w:val="44"/>
          <w:szCs w:val="44"/>
          <w:highlight w:val="none"/>
        </w:rPr>
      </w:pPr>
    </w:p>
    <w:p w14:paraId="79AFBC87">
      <w:pPr>
        <w:pStyle w:val="27"/>
        <w:tabs>
          <w:tab w:val="right" w:leader="dot" w:pos="9628"/>
        </w:tabs>
        <w:rPr>
          <w:rFonts w:ascii="宋体" w:hAnsi="宋体"/>
          <w:color w:val="auto"/>
          <w:sz w:val="32"/>
          <w:szCs w:val="32"/>
          <w:highlight w:val="none"/>
        </w:rPr>
      </w:pPr>
      <w:r>
        <w:rPr>
          <w:rFonts w:ascii="仿宋_GB2312" w:hAnsi="宋体" w:eastAsia="仿宋_GB2312"/>
          <w:b/>
          <w:color w:val="auto"/>
          <w:sz w:val="32"/>
          <w:szCs w:val="32"/>
          <w:highlight w:val="none"/>
        </w:rPr>
        <w:fldChar w:fldCharType="begin"/>
      </w:r>
      <w:r>
        <w:rPr>
          <w:rFonts w:ascii="仿宋_GB2312" w:hAnsi="宋体" w:eastAsia="仿宋_GB2312"/>
          <w:b/>
          <w:color w:val="auto"/>
          <w:sz w:val="32"/>
          <w:szCs w:val="32"/>
          <w:highlight w:val="none"/>
        </w:rPr>
        <w:instrText xml:space="preserve"> TOC \o "1-1" \h \z \u </w:instrText>
      </w:r>
      <w:r>
        <w:rPr>
          <w:rFonts w:ascii="仿宋_GB2312" w:hAnsi="宋体" w:eastAsia="仿宋_GB2312"/>
          <w:b/>
          <w:color w:val="auto"/>
          <w:sz w:val="32"/>
          <w:szCs w:val="32"/>
          <w:highlight w:val="none"/>
        </w:rPr>
        <w:fldChar w:fldCharType="separate"/>
      </w:r>
      <w:r>
        <w:rPr>
          <w:color w:val="auto"/>
          <w:highlight w:val="none"/>
        </w:rPr>
        <w:fldChar w:fldCharType="begin"/>
      </w:r>
      <w:r>
        <w:rPr>
          <w:color w:val="auto"/>
          <w:highlight w:val="none"/>
        </w:rPr>
        <w:instrText xml:space="preserve"> HYPERLINK \l "_Toc476258756" </w:instrText>
      </w:r>
      <w:r>
        <w:rPr>
          <w:color w:val="auto"/>
          <w:highlight w:val="none"/>
        </w:rPr>
        <w:fldChar w:fldCharType="separate"/>
      </w:r>
      <w:r>
        <w:rPr>
          <w:rStyle w:val="42"/>
          <w:rFonts w:hint="eastAsia" w:ascii="宋体" w:hAnsi="宋体"/>
          <w:color w:val="auto"/>
          <w:sz w:val="32"/>
          <w:szCs w:val="32"/>
          <w:highlight w:val="none"/>
        </w:rPr>
        <w:t>第一章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竞争性磋商</w:t>
      </w:r>
      <w:bookmarkStart w:id="0" w:name="_Hlt43300494"/>
      <w:r>
        <w:rPr>
          <w:rStyle w:val="42"/>
          <w:rFonts w:hint="eastAsia" w:ascii="宋体" w:hAnsi="宋体"/>
          <w:color w:val="auto"/>
          <w:sz w:val="32"/>
          <w:szCs w:val="32"/>
          <w:highlight w:val="none"/>
        </w:rPr>
        <w:t>公</w:t>
      </w:r>
      <w:bookmarkEnd w:id="0"/>
      <w:r>
        <w:rPr>
          <w:rStyle w:val="42"/>
          <w:rFonts w:hint="eastAsia" w:ascii="宋体" w:hAnsi="宋体"/>
          <w:color w:val="auto"/>
          <w:sz w:val="32"/>
          <w:szCs w:val="32"/>
          <w:highlight w:val="none"/>
        </w:rPr>
        <w:t>告</w:t>
      </w:r>
      <w:bookmarkStart w:id="1" w:name="_Hlt60757870"/>
      <w:bookmarkStart w:id="2" w:name="_Hlt60757871"/>
      <w:r>
        <w:rPr>
          <w:rFonts w:ascii="宋体" w:hAnsi="宋体"/>
          <w:color w:val="auto"/>
          <w:sz w:val="32"/>
          <w:szCs w:val="32"/>
          <w:highlight w:val="none"/>
        </w:rPr>
        <w:tab/>
      </w:r>
      <w:bookmarkEnd w:id="1"/>
      <w:bookmarkEnd w:id="2"/>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_Toc476258756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12328BA2">
      <w:pPr>
        <w:pStyle w:val="27"/>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"_Toc476258757" </w:instrText>
      </w:r>
      <w:r>
        <w:rPr>
          <w:color w:val="auto"/>
          <w:highlight w:val="none"/>
        </w:rPr>
        <w:fldChar w:fldCharType="separate"/>
      </w:r>
      <w:r>
        <w:rPr>
          <w:rStyle w:val="42"/>
          <w:rFonts w:hint="eastAsia" w:ascii="宋体" w:hAnsi="宋体"/>
          <w:color w:val="auto"/>
          <w:sz w:val="32"/>
          <w:szCs w:val="32"/>
          <w:highlight w:val="none"/>
        </w:rPr>
        <w:t>第二章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磋商供应商须知</w:t>
      </w:r>
      <w:r>
        <w:rPr>
          <w:rFonts w:ascii="宋体" w:hAnsi="宋体"/>
          <w:color w:val="auto"/>
          <w:sz w:val="32"/>
          <w:szCs w:val="32"/>
          <w:highlight w:val="none"/>
        </w:rPr>
        <w:tab/>
      </w:r>
      <w:bookmarkStart w:id="3" w:name="_Hlt167119890"/>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_Toc476258757 \h </w:instrText>
      </w:r>
      <w:r>
        <w:rPr>
          <w:rFonts w:ascii="宋体" w:hAnsi="宋体"/>
          <w:color w:val="auto"/>
          <w:sz w:val="32"/>
          <w:szCs w:val="32"/>
          <w:highlight w:val="none"/>
        </w:rPr>
        <w:fldChar w:fldCharType="separate"/>
      </w:r>
      <w:r>
        <w:rPr>
          <w:rFonts w:ascii="宋体" w:hAnsi="宋体"/>
          <w:color w:val="auto"/>
          <w:sz w:val="32"/>
          <w:szCs w:val="32"/>
          <w:highlight w:val="none"/>
        </w:rPr>
        <w:t>11</w:t>
      </w:r>
      <w:r>
        <w:rPr>
          <w:rFonts w:ascii="宋体" w:hAnsi="宋体"/>
          <w:color w:val="auto"/>
          <w:sz w:val="32"/>
          <w:szCs w:val="32"/>
          <w:highlight w:val="none"/>
        </w:rPr>
        <w:fldChar w:fldCharType="end"/>
      </w:r>
      <w:bookmarkEnd w:id="3"/>
      <w:r>
        <w:rPr>
          <w:rFonts w:ascii="宋体" w:hAnsi="宋体"/>
          <w:color w:val="auto"/>
          <w:sz w:val="32"/>
          <w:szCs w:val="32"/>
          <w:highlight w:val="none"/>
        </w:rPr>
        <w:fldChar w:fldCharType="end"/>
      </w:r>
    </w:p>
    <w:p w14:paraId="22489EDA">
      <w:pPr>
        <w:pStyle w:val="27"/>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"_Toc476258758" </w:instrText>
      </w:r>
      <w:r>
        <w:rPr>
          <w:color w:val="auto"/>
          <w:highlight w:val="none"/>
        </w:rPr>
        <w:fldChar w:fldCharType="separate"/>
      </w:r>
      <w:r>
        <w:rPr>
          <w:rStyle w:val="42"/>
          <w:rFonts w:hint="eastAsia" w:ascii="宋体" w:hAnsi="宋体"/>
          <w:color w:val="auto"/>
          <w:sz w:val="32"/>
          <w:szCs w:val="32"/>
          <w:highlight w:val="none"/>
        </w:rPr>
        <w:t>第三章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采购</w:t>
      </w:r>
      <w:bookmarkStart w:id="4" w:name="_Hlt496918402"/>
      <w:bookmarkStart w:id="5" w:name="_Hlt496918403"/>
      <w:r>
        <w:rPr>
          <w:rStyle w:val="42"/>
          <w:rFonts w:hint="eastAsia" w:ascii="宋体" w:hAnsi="宋体"/>
          <w:color w:val="auto"/>
          <w:sz w:val="32"/>
          <w:szCs w:val="32"/>
          <w:highlight w:val="none"/>
        </w:rPr>
        <w:t>需</w:t>
      </w:r>
      <w:bookmarkEnd w:id="4"/>
      <w:bookmarkEnd w:id="5"/>
      <w:bookmarkStart w:id="6" w:name="_Hlt476673918"/>
      <w:bookmarkStart w:id="7" w:name="_Hlt476673919"/>
      <w:r>
        <w:rPr>
          <w:rStyle w:val="42"/>
          <w:rFonts w:hint="eastAsia" w:ascii="宋体" w:hAnsi="宋体"/>
          <w:color w:val="auto"/>
          <w:sz w:val="32"/>
          <w:szCs w:val="32"/>
          <w:highlight w:val="none"/>
        </w:rPr>
        <w:t>求</w:t>
      </w:r>
      <w:bookmarkEnd w:id="6"/>
      <w:bookmarkEnd w:id="7"/>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_Toc476258758 \h </w:instrText>
      </w:r>
      <w:r>
        <w:rPr>
          <w:rFonts w:ascii="宋体" w:hAnsi="宋体"/>
          <w:color w:val="auto"/>
          <w:sz w:val="32"/>
          <w:szCs w:val="32"/>
          <w:highlight w:val="none"/>
        </w:rPr>
        <w:fldChar w:fldCharType="separate"/>
      </w:r>
      <w:r>
        <w:rPr>
          <w:rFonts w:ascii="宋体" w:hAnsi="宋体"/>
          <w:color w:val="auto"/>
          <w:sz w:val="32"/>
          <w:szCs w:val="32"/>
          <w:highlight w:val="none"/>
        </w:rPr>
        <w:t>22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6D0AC4F2">
      <w:pPr>
        <w:pStyle w:val="27"/>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"_Toc476258759" </w:instrText>
      </w:r>
      <w:r>
        <w:rPr>
          <w:color w:val="auto"/>
          <w:highlight w:val="none"/>
        </w:rPr>
        <w:fldChar w:fldCharType="separate"/>
      </w:r>
      <w:r>
        <w:rPr>
          <w:rStyle w:val="42"/>
          <w:rFonts w:hint="eastAsia" w:ascii="宋体" w:hAnsi="宋体"/>
          <w:color w:val="auto"/>
          <w:sz w:val="32"/>
          <w:szCs w:val="32"/>
          <w:highlight w:val="none"/>
        </w:rPr>
        <w:t>第四章</w:t>
      </w:r>
      <w:r>
        <w:rPr>
          <w:rStyle w:val="42"/>
          <w:rFonts w:ascii="宋体" w:hAnsi="宋体"/>
          <w:color w:val="auto"/>
          <w:sz w:val="32"/>
          <w:szCs w:val="32"/>
          <w:highlight w:val="none"/>
        </w:rPr>
        <w:t xml:space="preserve">  </w:t>
      </w:r>
      <w:r>
        <w:rPr>
          <w:rStyle w:val="42"/>
          <w:rFonts w:hint="eastAsia" w:ascii="宋体" w:hAnsi="宋体"/>
          <w:color w:val="auto"/>
          <w:sz w:val="32"/>
          <w:szCs w:val="32"/>
          <w:highlight w:val="none"/>
        </w:rPr>
        <w:t>竞争性磋商响应文件格式</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_Toc476258759 \h </w:instrText>
      </w:r>
      <w:r>
        <w:rPr>
          <w:rFonts w:ascii="宋体" w:hAnsi="宋体"/>
          <w:color w:val="auto"/>
          <w:sz w:val="32"/>
          <w:szCs w:val="32"/>
          <w:highlight w:val="none"/>
        </w:rPr>
        <w:fldChar w:fldCharType="separate"/>
      </w:r>
      <w:r>
        <w:rPr>
          <w:rFonts w:ascii="宋体" w:hAnsi="宋体"/>
          <w:color w:val="auto"/>
          <w:sz w:val="32"/>
          <w:szCs w:val="32"/>
          <w:highlight w:val="none"/>
        </w:rPr>
        <w:t>28</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21E635D6">
      <w:pPr>
        <w:pStyle w:val="27"/>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"_Toc476258760" </w:instrText>
      </w:r>
      <w:r>
        <w:rPr>
          <w:color w:val="auto"/>
          <w:highlight w:val="none"/>
        </w:rPr>
        <w:fldChar w:fldCharType="separate"/>
      </w:r>
      <w:r>
        <w:rPr>
          <w:rStyle w:val="42"/>
          <w:rFonts w:hint="eastAsia" w:ascii="宋体" w:hAnsi="宋体"/>
          <w:color w:val="auto"/>
          <w:kern w:val="0"/>
          <w:sz w:val="32"/>
          <w:szCs w:val="32"/>
          <w:highlight w:val="none"/>
        </w:rPr>
        <w:t>第五章</w:t>
      </w:r>
      <w:r>
        <w:rPr>
          <w:rStyle w:val="42"/>
          <w:rFonts w:ascii="宋体" w:hAnsi="宋体"/>
          <w:color w:val="auto"/>
          <w:kern w:val="0"/>
          <w:sz w:val="32"/>
          <w:szCs w:val="32"/>
          <w:highlight w:val="none"/>
        </w:rPr>
        <w:t xml:space="preserve">  </w:t>
      </w:r>
      <w:r>
        <w:rPr>
          <w:rStyle w:val="42"/>
          <w:rFonts w:hint="eastAsia" w:ascii="宋体" w:hAnsi="宋体"/>
          <w:color w:val="auto"/>
          <w:kern w:val="0"/>
          <w:sz w:val="32"/>
          <w:szCs w:val="32"/>
          <w:highlight w:val="none"/>
        </w:rPr>
        <w:t>合同主要条款</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_Toc476258760 \h </w:instrText>
      </w:r>
      <w:r>
        <w:rPr>
          <w:rFonts w:ascii="宋体" w:hAnsi="宋体"/>
          <w:color w:val="auto"/>
          <w:sz w:val="32"/>
          <w:szCs w:val="32"/>
          <w:highlight w:val="none"/>
        </w:rPr>
        <w:fldChar w:fldCharType="separate"/>
      </w:r>
      <w:r>
        <w:rPr>
          <w:rFonts w:ascii="宋体" w:hAnsi="宋体"/>
          <w:color w:val="auto"/>
          <w:sz w:val="32"/>
          <w:szCs w:val="32"/>
          <w:highlight w:val="none"/>
        </w:rPr>
        <w:t>37</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5D901C0F">
      <w:pPr>
        <w:pStyle w:val="27"/>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"_Toc476258761" </w:instrText>
      </w:r>
      <w:r>
        <w:rPr>
          <w:color w:val="auto"/>
          <w:highlight w:val="none"/>
        </w:rPr>
        <w:fldChar w:fldCharType="separate"/>
      </w:r>
      <w:r>
        <w:rPr>
          <w:rStyle w:val="42"/>
          <w:rFonts w:hint="eastAsia" w:ascii="宋体" w:hAnsi="宋体"/>
          <w:color w:val="auto"/>
          <w:kern w:val="0"/>
          <w:sz w:val="32"/>
          <w:szCs w:val="32"/>
          <w:highlight w:val="none"/>
        </w:rPr>
        <w:t>第六章</w:t>
      </w:r>
      <w:r>
        <w:rPr>
          <w:rStyle w:val="42"/>
          <w:rFonts w:ascii="宋体" w:hAnsi="宋体"/>
          <w:color w:val="auto"/>
          <w:kern w:val="0"/>
          <w:sz w:val="32"/>
          <w:szCs w:val="32"/>
          <w:highlight w:val="none"/>
        </w:rPr>
        <w:t xml:space="preserve">  </w:t>
      </w:r>
      <w:r>
        <w:rPr>
          <w:rStyle w:val="42"/>
          <w:rFonts w:hint="eastAsia" w:ascii="宋体" w:hAnsi="宋体"/>
          <w:color w:val="auto"/>
          <w:kern w:val="0"/>
          <w:sz w:val="32"/>
          <w:szCs w:val="32"/>
          <w:highlight w:val="none"/>
        </w:rPr>
        <w:t>评标标</w:t>
      </w:r>
      <w:bookmarkStart w:id="8" w:name="_Hlt514850011"/>
      <w:bookmarkStart w:id="9" w:name="_Hlt514850010"/>
      <w:r>
        <w:rPr>
          <w:rStyle w:val="42"/>
          <w:rFonts w:hint="eastAsia" w:ascii="宋体" w:hAnsi="宋体"/>
          <w:color w:val="auto"/>
          <w:kern w:val="0"/>
          <w:sz w:val="32"/>
          <w:szCs w:val="32"/>
          <w:highlight w:val="none"/>
        </w:rPr>
        <w:t>准</w:t>
      </w:r>
      <w:bookmarkEnd w:id="8"/>
      <w:bookmarkEnd w:id="9"/>
      <w:bookmarkStart w:id="10" w:name="_Hlt167119784"/>
      <w:r>
        <w:rPr>
          <w:rFonts w:ascii="宋体" w:hAnsi="宋体"/>
          <w:color w:val="auto"/>
          <w:sz w:val="32"/>
          <w:szCs w:val="32"/>
          <w:highlight w:val="none"/>
        </w:rPr>
        <w:tab/>
      </w:r>
      <w:bookmarkEnd w:id="10"/>
      <w:bookmarkStart w:id="11" w:name="_Hlt507802345"/>
      <w:bookmarkStart w:id="12" w:name="_Hlt507802346"/>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_Toc476258761 \h </w:instrText>
      </w:r>
      <w:r>
        <w:rPr>
          <w:rFonts w:ascii="宋体" w:hAnsi="宋体"/>
          <w:color w:val="auto"/>
          <w:sz w:val="32"/>
          <w:szCs w:val="32"/>
          <w:highlight w:val="none"/>
        </w:rPr>
        <w:fldChar w:fldCharType="separate"/>
      </w:r>
      <w:r>
        <w:rPr>
          <w:rFonts w:ascii="宋体" w:hAnsi="宋体"/>
          <w:color w:val="auto"/>
          <w:sz w:val="32"/>
          <w:szCs w:val="32"/>
          <w:highlight w:val="none"/>
        </w:rPr>
        <w:t>45</w:t>
      </w:r>
      <w:r>
        <w:rPr>
          <w:rFonts w:ascii="宋体" w:hAnsi="宋体"/>
          <w:color w:val="auto"/>
          <w:sz w:val="32"/>
          <w:szCs w:val="32"/>
          <w:highlight w:val="none"/>
        </w:rPr>
        <w:fldChar w:fldCharType="end"/>
      </w:r>
      <w:bookmarkEnd w:id="11"/>
      <w:bookmarkEnd w:id="12"/>
      <w:r>
        <w:rPr>
          <w:rFonts w:ascii="宋体" w:hAnsi="宋体"/>
          <w:color w:val="auto"/>
          <w:sz w:val="32"/>
          <w:szCs w:val="32"/>
          <w:highlight w:val="none"/>
        </w:rPr>
        <w:fldChar w:fldCharType="end"/>
      </w:r>
    </w:p>
    <w:p w14:paraId="5B418324">
      <w:pPr>
        <w:spacing w:line="400" w:lineRule="exact"/>
        <w:jc w:val="center"/>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fldChar w:fldCharType="end"/>
      </w:r>
    </w:p>
    <w:p w14:paraId="349B09FF">
      <w:pPr>
        <w:spacing w:line="400" w:lineRule="exact"/>
        <w:jc w:val="center"/>
        <w:rPr>
          <w:rFonts w:ascii="仿宋_GB2312" w:hAnsi="宋体" w:eastAsia="仿宋_GB2312"/>
          <w:b/>
          <w:color w:val="auto"/>
          <w:sz w:val="32"/>
          <w:szCs w:val="32"/>
          <w:highlight w:val="none"/>
        </w:rPr>
      </w:pPr>
    </w:p>
    <w:p w14:paraId="7C5297E5">
      <w:pPr>
        <w:spacing w:line="400" w:lineRule="exact"/>
        <w:jc w:val="center"/>
        <w:rPr>
          <w:rFonts w:ascii="仿宋_GB2312" w:hAnsi="宋体" w:eastAsia="仿宋_GB2312"/>
          <w:b/>
          <w:color w:val="auto"/>
          <w:sz w:val="32"/>
          <w:szCs w:val="32"/>
          <w:highlight w:val="none"/>
        </w:rPr>
      </w:pPr>
    </w:p>
    <w:p w14:paraId="335F3F04">
      <w:pPr>
        <w:spacing w:line="400" w:lineRule="exact"/>
        <w:jc w:val="center"/>
        <w:rPr>
          <w:rFonts w:ascii="仿宋_GB2312" w:hAnsi="宋体" w:eastAsia="仿宋_GB2312"/>
          <w:b/>
          <w:color w:val="auto"/>
          <w:sz w:val="32"/>
          <w:szCs w:val="32"/>
          <w:highlight w:val="none"/>
        </w:rPr>
      </w:pPr>
    </w:p>
    <w:p w14:paraId="4EBFD599">
      <w:pPr>
        <w:spacing w:line="400" w:lineRule="exact"/>
        <w:jc w:val="center"/>
        <w:rPr>
          <w:rFonts w:ascii="仿宋_GB2312" w:hAnsi="宋体" w:eastAsia="仿宋_GB2312"/>
          <w:b/>
          <w:color w:val="auto"/>
          <w:sz w:val="32"/>
          <w:szCs w:val="32"/>
          <w:highlight w:val="none"/>
        </w:rPr>
      </w:pPr>
    </w:p>
    <w:p w14:paraId="6436087E">
      <w:pPr>
        <w:spacing w:line="400" w:lineRule="exact"/>
        <w:jc w:val="center"/>
        <w:rPr>
          <w:rFonts w:ascii="仿宋_GB2312" w:hAnsi="宋体" w:eastAsia="仿宋_GB2312"/>
          <w:b/>
          <w:color w:val="auto"/>
          <w:sz w:val="32"/>
          <w:szCs w:val="32"/>
          <w:highlight w:val="none"/>
        </w:rPr>
      </w:pPr>
    </w:p>
    <w:p w14:paraId="0B1613AC">
      <w:pPr>
        <w:spacing w:line="400" w:lineRule="exact"/>
        <w:jc w:val="center"/>
        <w:rPr>
          <w:rFonts w:ascii="仿宋_GB2312" w:hAnsi="宋体" w:eastAsia="仿宋_GB2312"/>
          <w:b/>
          <w:color w:val="auto"/>
          <w:sz w:val="32"/>
          <w:szCs w:val="32"/>
          <w:highlight w:val="none"/>
        </w:rPr>
      </w:pPr>
    </w:p>
    <w:p w14:paraId="675FF60B">
      <w:pPr>
        <w:spacing w:line="400" w:lineRule="exact"/>
        <w:jc w:val="center"/>
        <w:rPr>
          <w:rFonts w:ascii="仿宋_GB2312" w:hAnsi="宋体" w:eastAsia="仿宋_GB2312"/>
          <w:b/>
          <w:color w:val="auto"/>
          <w:sz w:val="32"/>
          <w:szCs w:val="32"/>
          <w:highlight w:val="none"/>
        </w:rPr>
      </w:pPr>
    </w:p>
    <w:p w14:paraId="4C4732F7">
      <w:pPr>
        <w:spacing w:line="400" w:lineRule="exact"/>
        <w:jc w:val="center"/>
        <w:rPr>
          <w:rFonts w:ascii="仿宋_GB2312" w:hAnsi="宋体" w:eastAsia="仿宋_GB2312"/>
          <w:b/>
          <w:color w:val="auto"/>
          <w:sz w:val="32"/>
          <w:szCs w:val="32"/>
          <w:highlight w:val="none"/>
        </w:rPr>
      </w:pPr>
    </w:p>
    <w:p w14:paraId="0FB5A936">
      <w:pPr>
        <w:spacing w:line="400" w:lineRule="exact"/>
        <w:jc w:val="center"/>
        <w:rPr>
          <w:rFonts w:ascii="仿宋_GB2312" w:hAnsi="宋体" w:eastAsia="仿宋_GB2312"/>
          <w:b/>
          <w:color w:val="auto"/>
          <w:sz w:val="32"/>
          <w:szCs w:val="32"/>
          <w:highlight w:val="none"/>
        </w:rPr>
      </w:pPr>
    </w:p>
    <w:p w14:paraId="288D6D0D">
      <w:pPr>
        <w:spacing w:line="400" w:lineRule="exact"/>
        <w:jc w:val="center"/>
        <w:rPr>
          <w:rFonts w:ascii="仿宋_GB2312" w:hAnsi="宋体" w:eastAsia="仿宋_GB2312"/>
          <w:b/>
          <w:color w:val="auto"/>
          <w:sz w:val="32"/>
          <w:szCs w:val="32"/>
          <w:highlight w:val="none"/>
        </w:rPr>
      </w:pPr>
    </w:p>
    <w:p w14:paraId="25C40AFA">
      <w:pPr>
        <w:spacing w:line="400" w:lineRule="exact"/>
        <w:jc w:val="center"/>
        <w:rPr>
          <w:rFonts w:ascii="仿宋_GB2312" w:hAnsi="宋体" w:eastAsia="仿宋_GB2312"/>
          <w:b/>
          <w:color w:val="auto"/>
          <w:sz w:val="32"/>
          <w:szCs w:val="32"/>
          <w:highlight w:val="none"/>
        </w:rPr>
      </w:pPr>
    </w:p>
    <w:p w14:paraId="370D31B9">
      <w:pPr>
        <w:spacing w:line="400" w:lineRule="exact"/>
        <w:jc w:val="center"/>
        <w:rPr>
          <w:rFonts w:ascii="黑体" w:hAnsi="宋体" w:eastAsia="黑体"/>
          <w:b/>
          <w:color w:val="auto"/>
          <w:sz w:val="32"/>
          <w:szCs w:val="32"/>
          <w:highlight w:val="none"/>
        </w:rPr>
      </w:pPr>
    </w:p>
    <w:p w14:paraId="10F8516B">
      <w:pPr>
        <w:spacing w:line="400" w:lineRule="exact"/>
        <w:jc w:val="center"/>
        <w:rPr>
          <w:rFonts w:ascii="黑体" w:hAnsi="宋体" w:eastAsia="黑体"/>
          <w:b/>
          <w:color w:val="auto"/>
          <w:sz w:val="32"/>
          <w:szCs w:val="32"/>
          <w:highlight w:val="none"/>
        </w:rPr>
      </w:pPr>
    </w:p>
    <w:p w14:paraId="11C72264">
      <w:pPr>
        <w:spacing w:line="400" w:lineRule="exact"/>
        <w:jc w:val="center"/>
        <w:rPr>
          <w:rFonts w:ascii="黑体" w:hAnsi="宋体" w:eastAsia="黑体"/>
          <w:b/>
          <w:color w:val="auto"/>
          <w:sz w:val="32"/>
          <w:szCs w:val="32"/>
          <w:highlight w:val="none"/>
        </w:rPr>
      </w:pPr>
    </w:p>
    <w:p w14:paraId="54774690">
      <w:pPr>
        <w:spacing w:line="400" w:lineRule="exact"/>
        <w:jc w:val="center"/>
        <w:rPr>
          <w:rFonts w:ascii="黑体" w:hAnsi="宋体" w:eastAsia="黑体"/>
          <w:b/>
          <w:color w:val="auto"/>
          <w:sz w:val="32"/>
          <w:szCs w:val="32"/>
          <w:highlight w:val="none"/>
        </w:rPr>
      </w:pPr>
    </w:p>
    <w:p w14:paraId="760B4AD2">
      <w:pPr>
        <w:spacing w:line="400" w:lineRule="exact"/>
        <w:jc w:val="center"/>
        <w:rPr>
          <w:rFonts w:ascii="黑体" w:hAnsi="宋体" w:eastAsia="黑体"/>
          <w:b/>
          <w:color w:val="auto"/>
          <w:sz w:val="32"/>
          <w:szCs w:val="32"/>
          <w:highlight w:val="none"/>
        </w:rPr>
      </w:pPr>
    </w:p>
    <w:p w14:paraId="6409C879">
      <w:pPr>
        <w:spacing w:line="400" w:lineRule="exact"/>
        <w:jc w:val="center"/>
        <w:rPr>
          <w:rFonts w:ascii="黑体" w:hAnsi="宋体" w:eastAsia="黑体"/>
          <w:b/>
          <w:color w:val="auto"/>
          <w:sz w:val="32"/>
          <w:szCs w:val="32"/>
          <w:highlight w:val="none"/>
        </w:rPr>
      </w:pPr>
    </w:p>
    <w:p w14:paraId="7CCF9F97">
      <w:pPr>
        <w:spacing w:line="400" w:lineRule="exact"/>
        <w:jc w:val="center"/>
        <w:rPr>
          <w:rFonts w:ascii="黑体" w:hAnsi="宋体" w:eastAsia="黑体"/>
          <w:b/>
          <w:color w:val="auto"/>
          <w:sz w:val="32"/>
          <w:szCs w:val="32"/>
          <w:highlight w:val="none"/>
        </w:rPr>
      </w:pPr>
    </w:p>
    <w:p w14:paraId="6C116D94">
      <w:pPr>
        <w:spacing w:line="400" w:lineRule="exact"/>
        <w:jc w:val="center"/>
        <w:rPr>
          <w:rFonts w:ascii="黑体" w:hAnsi="宋体" w:eastAsia="黑体"/>
          <w:b/>
          <w:color w:val="auto"/>
          <w:sz w:val="32"/>
          <w:szCs w:val="32"/>
          <w:highlight w:val="none"/>
        </w:rPr>
      </w:pPr>
    </w:p>
    <w:p w14:paraId="2681B946">
      <w:pPr>
        <w:spacing w:line="400" w:lineRule="exact"/>
        <w:jc w:val="center"/>
        <w:rPr>
          <w:rFonts w:ascii="黑体" w:hAnsi="宋体" w:eastAsia="黑体"/>
          <w:b/>
          <w:color w:val="auto"/>
          <w:sz w:val="32"/>
          <w:szCs w:val="32"/>
          <w:highlight w:val="none"/>
        </w:rPr>
      </w:pPr>
    </w:p>
    <w:p w14:paraId="35E6059A">
      <w:pPr>
        <w:spacing w:line="400" w:lineRule="exact"/>
        <w:jc w:val="center"/>
        <w:rPr>
          <w:rFonts w:ascii="宋体" w:hAnsi="宋体"/>
          <w:b/>
          <w:color w:val="auto"/>
          <w:sz w:val="32"/>
          <w:szCs w:val="32"/>
          <w:highlight w:val="none"/>
        </w:rPr>
        <w:sectPr>
          <w:headerReference r:id="rId3" w:type="default"/>
          <w:pgSz w:w="11906" w:h="16838"/>
          <w:pgMar w:top="1134" w:right="1134" w:bottom="1134" w:left="1134" w:header="720" w:footer="720" w:gutter="0"/>
          <w:cols w:space="720" w:num="1"/>
          <w:docGrid w:type="lines" w:linePitch="331" w:charSpace="0"/>
        </w:sectPr>
      </w:pPr>
    </w:p>
    <w:p w14:paraId="025F4F89">
      <w:pPr>
        <w:spacing w:line="400" w:lineRule="exact"/>
        <w:jc w:val="center"/>
        <w:rPr>
          <w:rFonts w:ascii="宋体" w:hAnsi="宋体"/>
          <w:b/>
          <w:color w:val="auto"/>
          <w:sz w:val="32"/>
          <w:szCs w:val="32"/>
          <w:highlight w:val="none"/>
        </w:rPr>
      </w:pPr>
    </w:p>
    <w:p w14:paraId="55705C18">
      <w:pPr>
        <w:spacing w:line="400" w:lineRule="exact"/>
        <w:jc w:val="center"/>
        <w:rPr>
          <w:rFonts w:ascii="宋体" w:hAnsi="宋体"/>
          <w:b/>
          <w:color w:val="auto"/>
          <w:sz w:val="32"/>
          <w:szCs w:val="32"/>
          <w:highlight w:val="none"/>
        </w:rPr>
      </w:pPr>
    </w:p>
    <w:p w14:paraId="2B94FA90">
      <w:pPr>
        <w:spacing w:line="400" w:lineRule="exact"/>
        <w:jc w:val="center"/>
        <w:rPr>
          <w:rFonts w:ascii="宋体" w:hAnsi="宋体"/>
          <w:b/>
          <w:color w:val="auto"/>
          <w:sz w:val="32"/>
          <w:szCs w:val="32"/>
          <w:highlight w:val="none"/>
        </w:rPr>
      </w:pPr>
    </w:p>
    <w:p w14:paraId="31A8BDEC">
      <w:pPr>
        <w:spacing w:line="400" w:lineRule="exact"/>
        <w:jc w:val="center"/>
        <w:rPr>
          <w:rFonts w:ascii="宋体" w:hAnsi="宋体"/>
          <w:b/>
          <w:color w:val="auto"/>
          <w:sz w:val="32"/>
          <w:szCs w:val="32"/>
          <w:highlight w:val="none"/>
        </w:rPr>
      </w:pPr>
    </w:p>
    <w:p w14:paraId="3004CA26">
      <w:pPr>
        <w:spacing w:line="400" w:lineRule="exact"/>
        <w:jc w:val="center"/>
        <w:rPr>
          <w:rFonts w:ascii="宋体" w:hAnsi="宋体"/>
          <w:b/>
          <w:color w:val="auto"/>
          <w:sz w:val="32"/>
          <w:szCs w:val="32"/>
          <w:highlight w:val="none"/>
        </w:rPr>
      </w:pPr>
    </w:p>
    <w:p w14:paraId="67CC0E73">
      <w:pPr>
        <w:spacing w:line="400" w:lineRule="exact"/>
        <w:jc w:val="center"/>
        <w:rPr>
          <w:rFonts w:ascii="宋体" w:hAnsi="宋体"/>
          <w:b/>
          <w:color w:val="auto"/>
          <w:sz w:val="32"/>
          <w:szCs w:val="32"/>
          <w:highlight w:val="none"/>
        </w:rPr>
      </w:pPr>
    </w:p>
    <w:p w14:paraId="193C3EAC">
      <w:pPr>
        <w:spacing w:line="400" w:lineRule="exact"/>
        <w:jc w:val="center"/>
        <w:rPr>
          <w:rFonts w:ascii="宋体" w:hAnsi="宋体"/>
          <w:b/>
          <w:color w:val="auto"/>
          <w:sz w:val="32"/>
          <w:szCs w:val="32"/>
          <w:highlight w:val="none"/>
        </w:rPr>
      </w:pPr>
    </w:p>
    <w:p w14:paraId="45522A94">
      <w:pPr>
        <w:spacing w:line="400" w:lineRule="exact"/>
        <w:jc w:val="center"/>
        <w:rPr>
          <w:rFonts w:ascii="宋体" w:hAnsi="宋体"/>
          <w:b/>
          <w:color w:val="auto"/>
          <w:sz w:val="32"/>
          <w:szCs w:val="32"/>
          <w:highlight w:val="none"/>
        </w:rPr>
      </w:pPr>
    </w:p>
    <w:p w14:paraId="3A6AB8BA">
      <w:pPr>
        <w:spacing w:line="400" w:lineRule="exact"/>
        <w:jc w:val="center"/>
        <w:rPr>
          <w:rFonts w:ascii="宋体" w:hAnsi="宋体"/>
          <w:b/>
          <w:color w:val="auto"/>
          <w:sz w:val="32"/>
          <w:szCs w:val="32"/>
          <w:highlight w:val="none"/>
        </w:rPr>
      </w:pPr>
    </w:p>
    <w:p w14:paraId="3A73A036">
      <w:pPr>
        <w:spacing w:line="400" w:lineRule="exact"/>
        <w:jc w:val="center"/>
        <w:rPr>
          <w:rFonts w:ascii="宋体" w:hAnsi="宋体"/>
          <w:b/>
          <w:color w:val="auto"/>
          <w:sz w:val="32"/>
          <w:szCs w:val="32"/>
          <w:highlight w:val="none"/>
        </w:rPr>
      </w:pPr>
    </w:p>
    <w:p w14:paraId="2E7EF8D0">
      <w:pPr>
        <w:spacing w:line="400" w:lineRule="exact"/>
        <w:jc w:val="center"/>
        <w:rPr>
          <w:rFonts w:ascii="宋体" w:hAnsi="宋体"/>
          <w:b/>
          <w:color w:val="auto"/>
          <w:sz w:val="32"/>
          <w:szCs w:val="32"/>
          <w:highlight w:val="none"/>
        </w:rPr>
      </w:pPr>
    </w:p>
    <w:p w14:paraId="6F4D63CE">
      <w:pPr>
        <w:spacing w:line="400" w:lineRule="exact"/>
        <w:jc w:val="center"/>
        <w:rPr>
          <w:rFonts w:ascii="宋体" w:hAnsi="宋体"/>
          <w:b/>
          <w:color w:val="auto"/>
          <w:sz w:val="32"/>
          <w:szCs w:val="32"/>
          <w:highlight w:val="none"/>
        </w:rPr>
      </w:pPr>
    </w:p>
    <w:p w14:paraId="50BD90E0">
      <w:pPr>
        <w:spacing w:line="400" w:lineRule="exact"/>
        <w:rPr>
          <w:rFonts w:ascii="宋体" w:hAnsi="宋体"/>
          <w:b/>
          <w:color w:val="auto"/>
          <w:sz w:val="32"/>
          <w:szCs w:val="32"/>
          <w:highlight w:val="none"/>
        </w:rPr>
      </w:pPr>
    </w:p>
    <w:p w14:paraId="33430ED2">
      <w:pPr>
        <w:pStyle w:val="35"/>
        <w:rPr>
          <w:color w:val="auto"/>
          <w:sz w:val="44"/>
          <w:szCs w:val="44"/>
          <w:highlight w:val="none"/>
        </w:rPr>
      </w:pPr>
      <w:bookmarkStart w:id="13" w:name="_Toc476258756"/>
      <w:bookmarkStart w:id="14" w:name="_Toc476258662"/>
      <w:r>
        <w:rPr>
          <w:rFonts w:hint="eastAsia"/>
          <w:color w:val="auto"/>
          <w:sz w:val="44"/>
          <w:szCs w:val="44"/>
          <w:highlight w:val="none"/>
        </w:rPr>
        <w:t>第一章  竞争性磋商公告</w:t>
      </w:r>
      <w:bookmarkEnd w:id="13"/>
      <w:bookmarkEnd w:id="14"/>
    </w:p>
    <w:p w14:paraId="495C2CF7">
      <w:pPr>
        <w:rPr>
          <w:rFonts w:ascii="华文新魏" w:hAnsi="宋体" w:eastAsia="华文新魏"/>
          <w:color w:val="auto"/>
          <w:sz w:val="44"/>
          <w:szCs w:val="44"/>
          <w:highlight w:val="none"/>
        </w:rPr>
      </w:pPr>
    </w:p>
    <w:p w14:paraId="0E81F436">
      <w:pPr>
        <w:spacing w:line="600" w:lineRule="exact"/>
        <w:jc w:val="center"/>
        <w:rPr>
          <w:rFonts w:ascii="华文新魏" w:hAnsi="宋体" w:eastAsia="华文新魏"/>
          <w:color w:val="auto"/>
          <w:sz w:val="44"/>
          <w:szCs w:val="44"/>
          <w:highlight w:val="none"/>
        </w:rPr>
      </w:pPr>
      <w:r>
        <w:rPr>
          <w:rFonts w:hint="eastAsia" w:ascii="华文新魏" w:hAnsi="宋体" w:eastAsia="华文新魏"/>
          <w:color w:val="auto"/>
          <w:sz w:val="44"/>
          <w:szCs w:val="44"/>
          <w:highlight w:val="none"/>
        </w:rPr>
        <w:br w:type="page"/>
      </w:r>
      <w:r>
        <w:rPr>
          <w:rFonts w:hint="eastAsia" w:ascii="华文新魏" w:hAnsi="宋体" w:eastAsia="华文新魏"/>
          <w:color w:val="auto"/>
          <w:sz w:val="44"/>
          <w:szCs w:val="44"/>
          <w:highlight w:val="none"/>
        </w:rPr>
        <w:t>天勤工程咨询有限公司</w:t>
      </w:r>
    </w:p>
    <w:p w14:paraId="67226103">
      <w:pPr>
        <w:spacing w:line="600" w:lineRule="exact"/>
        <w:jc w:val="center"/>
        <w:rPr>
          <w:rFonts w:ascii="华文新魏" w:hAnsi="宋体" w:eastAsia="华文新魏"/>
          <w:color w:val="auto"/>
          <w:sz w:val="44"/>
          <w:szCs w:val="44"/>
          <w:highlight w:val="none"/>
        </w:rPr>
      </w:pPr>
      <w:r>
        <w:rPr>
          <w:rFonts w:hint="eastAsia" w:ascii="华文新魏" w:hAnsi="宋体" w:eastAsia="华文新魏"/>
          <w:color w:val="auto"/>
          <w:sz w:val="44"/>
          <w:szCs w:val="44"/>
          <w:highlight w:val="none"/>
        </w:rPr>
        <w:t>竞争性磋商公告</w:t>
      </w:r>
    </w:p>
    <w:p w14:paraId="5E575EB6">
      <w:pPr>
        <w:spacing w:line="370" w:lineRule="exact"/>
        <w:rPr>
          <w:color w:val="auto"/>
          <w:highlight w:val="none"/>
        </w:rPr>
      </w:pPr>
    </w:p>
    <w:p w14:paraId="0046F8BA">
      <w:pPr>
        <w:spacing w:line="380" w:lineRule="exact"/>
        <w:rPr>
          <w:rFonts w:ascii="宋体" w:hAnsi="宋体"/>
          <w:color w:val="auto"/>
          <w:szCs w:val="21"/>
          <w:highlight w:val="none"/>
        </w:rPr>
      </w:pPr>
    </w:p>
    <w:p w14:paraId="287FC596">
      <w:pPr>
        <w:pBdr>
          <w:top w:val="single" w:color="auto" w:sz="4" w:space="1"/>
          <w:left w:val="single" w:color="auto" w:sz="4" w:space="4"/>
          <w:bottom w:val="single" w:color="auto" w:sz="4" w:space="1"/>
          <w:right w:val="single" w:color="auto" w:sz="4" w:space="4"/>
        </w:pBdr>
        <w:spacing w:line="380" w:lineRule="exact"/>
        <w:rPr>
          <w:rFonts w:ascii="宋体" w:hAnsi="宋体"/>
          <w:color w:val="auto"/>
          <w:szCs w:val="21"/>
          <w:highlight w:val="none"/>
        </w:rPr>
      </w:pPr>
      <w:r>
        <w:rPr>
          <w:rFonts w:hint="eastAsia" w:ascii="宋体" w:hAnsi="宋体"/>
          <w:color w:val="auto"/>
          <w:szCs w:val="21"/>
          <w:highlight w:val="none"/>
        </w:rPr>
        <w:t>项目概况</w:t>
      </w:r>
    </w:p>
    <w:p w14:paraId="1D1BFCBD">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olor w:val="auto"/>
          <w:szCs w:val="21"/>
          <w:highlight w:val="none"/>
        </w:rPr>
      </w:pPr>
      <w:r>
        <w:rPr>
          <w:rFonts w:hint="eastAsia" w:ascii="宋体" w:hAnsi="宋体" w:cs="宋体"/>
          <w:color w:val="auto"/>
          <w:highlight w:val="none"/>
          <w:u w:val="single"/>
        </w:rPr>
        <w:t>广西壮族自治区自然资源生态修复中心业务租车服务采购</w:t>
      </w:r>
      <w:r>
        <w:rPr>
          <w:rFonts w:hint="eastAsia" w:ascii="宋体" w:hAnsi="宋体"/>
          <w:color w:val="auto"/>
          <w:szCs w:val="21"/>
          <w:highlight w:val="none"/>
        </w:rPr>
        <w:t>项目的潜在供应商应在</w:t>
      </w:r>
      <w:r>
        <w:rPr>
          <w:rFonts w:hint="eastAsia" w:ascii="宋体" w:hAnsi="宋体"/>
          <w:color w:val="auto"/>
          <w:szCs w:val="21"/>
          <w:highlight w:val="none"/>
          <w:u w:val="single"/>
        </w:rPr>
        <w:t>广西政府采购云平台（https://www.gcy.zfcg.gxzf.gov.cn/）</w:t>
      </w:r>
      <w:r>
        <w:rPr>
          <w:rFonts w:hint="eastAsia" w:ascii="宋体" w:hAnsi="宋体"/>
          <w:color w:val="auto"/>
          <w:szCs w:val="21"/>
          <w:highlight w:val="none"/>
        </w:rPr>
        <w:t>获取采购文件，并于</w:t>
      </w:r>
      <w:r>
        <w:rPr>
          <w:rFonts w:hint="eastAsia" w:ascii="宋体" w:hAnsi="宋体"/>
          <w:color w:val="auto"/>
          <w:szCs w:val="21"/>
          <w:highlight w:val="none"/>
          <w:u w:val="single"/>
        </w:rPr>
        <w:t>2025年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26</w:t>
      </w:r>
      <w:r>
        <w:rPr>
          <w:rFonts w:hint="eastAsia" w:ascii="宋体" w:hAnsi="宋体"/>
          <w:bCs/>
          <w:color w:val="auto"/>
          <w:szCs w:val="21"/>
          <w:highlight w:val="none"/>
          <w:u w:val="single"/>
        </w:rPr>
        <w:t>日9点30分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4C3D1171">
      <w:pPr>
        <w:spacing w:line="380" w:lineRule="exact"/>
        <w:rPr>
          <w:rFonts w:ascii="宋体" w:hAnsi="宋体"/>
          <w:color w:val="auto"/>
          <w:szCs w:val="21"/>
          <w:highlight w:val="none"/>
        </w:rPr>
      </w:pPr>
    </w:p>
    <w:p w14:paraId="64AB58C0">
      <w:pPr>
        <w:spacing w:line="380" w:lineRule="exact"/>
        <w:rPr>
          <w:rFonts w:ascii="宋体" w:hAnsi="宋体"/>
          <w:b/>
          <w:color w:val="auto"/>
          <w:highlight w:val="none"/>
        </w:rPr>
      </w:pPr>
      <w:bookmarkStart w:id="15" w:name="_Toc35393798"/>
      <w:bookmarkStart w:id="16" w:name="_Toc35393629"/>
      <w:bookmarkStart w:id="17" w:name="_Toc28359089"/>
      <w:bookmarkStart w:id="18" w:name="_Toc28359012"/>
      <w:r>
        <w:rPr>
          <w:rFonts w:hint="eastAsia" w:ascii="宋体" w:hAnsi="宋体"/>
          <w:b/>
          <w:color w:val="auto"/>
          <w:highlight w:val="none"/>
        </w:rPr>
        <w:t>一、项目基本情况</w:t>
      </w:r>
      <w:bookmarkEnd w:id="15"/>
      <w:bookmarkEnd w:id="16"/>
      <w:bookmarkEnd w:id="17"/>
      <w:bookmarkEnd w:id="18"/>
    </w:p>
    <w:p w14:paraId="438972E6">
      <w:pPr>
        <w:widowControl/>
        <w:adjustRightInd w:val="0"/>
        <w:snapToGrid w:val="0"/>
        <w:spacing w:line="400" w:lineRule="exac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项目编号：</w:t>
      </w:r>
      <w:r>
        <w:rPr>
          <w:rFonts w:hint="eastAsia" w:ascii="宋体" w:hAnsi="宋体" w:cs="宋体"/>
          <w:color w:val="auto"/>
          <w:kern w:val="0"/>
          <w:szCs w:val="21"/>
          <w:highlight w:val="none"/>
          <w:lang w:eastAsia="zh-CN"/>
        </w:rPr>
        <w:t>GXZC2025-C3-002387-TQGC</w:t>
      </w:r>
    </w:p>
    <w:p w14:paraId="2038AB06">
      <w:pPr>
        <w:widowControl/>
        <w:adjustRightInd w:val="0"/>
        <w:snapToGrid w:val="0"/>
        <w:spacing w:line="400" w:lineRule="exact"/>
        <w:jc w:val="left"/>
        <w:rPr>
          <w:rFonts w:ascii="宋体" w:hAnsi="宋体" w:cs="宋体"/>
          <w:color w:val="auto"/>
          <w:kern w:val="0"/>
          <w:szCs w:val="21"/>
          <w:highlight w:val="none"/>
        </w:rPr>
      </w:pPr>
      <w:r>
        <w:rPr>
          <w:rFonts w:ascii="宋体" w:hAnsi="宋体" w:cs="宋体"/>
          <w:color w:val="auto"/>
          <w:kern w:val="0"/>
          <w:szCs w:val="21"/>
          <w:highlight w:val="none"/>
        </w:rPr>
        <w:t>    项目名称：</w:t>
      </w:r>
      <w:r>
        <w:rPr>
          <w:rFonts w:hint="eastAsia" w:ascii="宋体" w:hAnsi="宋体" w:cs="宋体"/>
          <w:color w:val="auto"/>
          <w:highlight w:val="none"/>
        </w:rPr>
        <w:t>广西壮族自治区自然资源生态修复中心业务租车服务采购</w:t>
      </w:r>
    </w:p>
    <w:p w14:paraId="4D821F18">
      <w:pPr>
        <w:widowControl/>
        <w:adjustRightInd w:val="0"/>
        <w:snapToGrid w:val="0"/>
        <w:spacing w:line="400" w:lineRule="exact"/>
        <w:ind w:firstLine="615"/>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预算总金额（元）：</w:t>
      </w:r>
      <w:r>
        <w:rPr>
          <w:rFonts w:hint="eastAsia" w:ascii="宋体" w:hAnsi="宋体" w:cs="宋体"/>
          <w:color w:val="auto"/>
          <w:kern w:val="0"/>
          <w:szCs w:val="21"/>
          <w:highlight w:val="none"/>
        </w:rPr>
        <w:t>1334825.00元</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p>
    <w:p w14:paraId="7C2B8F89">
      <w:pPr>
        <w:spacing w:line="380" w:lineRule="exact"/>
        <w:ind w:firstLine="420" w:firstLineChars="200"/>
        <w:rPr>
          <w:rFonts w:ascii="宋体" w:hAnsi="宋体" w:cs="宋体"/>
          <w:color w:val="auto"/>
          <w:szCs w:val="21"/>
          <w:highlight w:val="none"/>
        </w:rPr>
      </w:pPr>
      <w:r>
        <w:rPr>
          <w:rFonts w:ascii="宋体" w:hAnsi="宋体" w:cs="宋体"/>
          <w:color w:val="auto"/>
          <w:kern w:val="0"/>
          <w:szCs w:val="21"/>
          <w:highlight w:val="none"/>
        </w:rPr>
        <w:t>采购需求：</w:t>
      </w:r>
    </w:p>
    <w:p w14:paraId="08AF255A">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标项一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南宁市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预算金额（元）:86763.63</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简要规格描述或项目基本概况介绍、用途：在南宁市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27C250F0">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0138D7D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79AEC612">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36738D6E">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标项二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崇左市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预算金额（元）:86763.63</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崇左市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634274D0">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592E7DF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21337F7C">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5B5E7136">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标项三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柳州市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预算金额（元）:86763.63</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柳州市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1360D0D2">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021DA47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0753ED32">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4F73B50D">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标项四</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来宾市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预算金额（元）:86763.63</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来宾市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061418C1">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2AE3693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7ADAB653">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3D174AD5">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标项五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桂林市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预算金额（元）:266965</w:t>
      </w:r>
      <w:r>
        <w:rPr>
          <w:rFonts w:hint="eastAsia" w:ascii="宋体" w:hAnsi="宋体" w:cs="宋体"/>
          <w:color w:val="auto"/>
          <w:szCs w:val="21"/>
          <w:highlight w:val="none"/>
          <w:lang w:val="en-US" w:eastAsia="zh-CN"/>
        </w:rPr>
        <w:t>.00</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桂林市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5616EEEA">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7DBD53D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7AB8BD2D">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6DC7146A">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标项六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梧州市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预算金额（元）:86763.63</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梧州市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3BE9A16E">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36B7AE2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6FA75754">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66CD4CE4">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标项七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贺州市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预算金额（元）:86763.62</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贺州市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2331E85C">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17DC1C7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53F0A88B">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7285AA5F">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标项八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玉林市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预算金额（元）:86763.62</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玉林市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0E34C805">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57D038C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707E36F5">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74315CD2">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标项九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贵港市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预算金额（元）:86763.62</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贵港市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73B423DD">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69EECFC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7D0D9602">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6A89BB84">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标项十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百色市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预算金额（元）:86763.62</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百色市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3DF9871A">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562D018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65404D06">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2998FD07">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标项十一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钦州市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预算金额（元）:66741.25</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钦州市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7AABBB58">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536D52F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2E7B4F0F">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79D14CB8">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标项十二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河池市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预算金额（元）:86763.62</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河池市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7CE55DD0">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1A37F46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3A724182">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7A68789C">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标项十三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北海市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预算金额（元）:66741.25</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北海市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268D7360">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7D1D4BC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5A73607E">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2F336B26">
      <w:pPr>
        <w:spacing w:line="380" w:lineRule="exact"/>
        <w:ind w:left="420" w:leftChars="200"/>
        <w:rPr>
          <w:rFonts w:ascii="宋体" w:hAnsi="宋体"/>
          <w:color w:val="auto"/>
          <w:highlight w:val="none"/>
        </w:rPr>
      </w:pPr>
      <w:r>
        <w:rPr>
          <w:rFonts w:hint="eastAsia" w:ascii="宋体" w:hAnsi="宋体" w:cs="宋体"/>
          <w:color w:val="auto"/>
          <w:szCs w:val="21"/>
          <w:highlight w:val="none"/>
        </w:rPr>
        <w:t>标项十四 </w:t>
      </w:r>
      <w:r>
        <w:rPr>
          <w:rFonts w:hint="eastAsia" w:ascii="宋体" w:hAnsi="宋体" w:cs="宋体"/>
          <w:color w:val="auto"/>
          <w:szCs w:val="21"/>
          <w:highlight w:val="none"/>
        </w:rPr>
        <w:br w:type="textWrapping"/>
      </w:r>
      <w:r>
        <w:rPr>
          <w:rFonts w:hint="eastAsia" w:ascii="宋体" w:hAnsi="宋体" w:cs="宋体"/>
          <w:color w:val="auto"/>
          <w:szCs w:val="21"/>
          <w:highlight w:val="none"/>
        </w:rPr>
        <w:t>标项名称:</w:t>
      </w:r>
      <w:r>
        <w:rPr>
          <w:rFonts w:hint="eastAsia" w:ascii="宋体" w:hAnsi="宋体" w:cs="宋体"/>
          <w:color w:val="auto"/>
          <w:highlight w:val="none"/>
        </w:rPr>
        <w:t>广西壮族自治区自然资源生态修复中心业务租车服务采购（</w:t>
      </w:r>
      <w:r>
        <w:rPr>
          <w:rFonts w:hint="eastAsia" w:ascii="宋体" w:hAnsi="宋体" w:cs="宋体"/>
          <w:b/>
          <w:bCs/>
          <w:color w:val="auto"/>
          <w:szCs w:val="21"/>
          <w:highlight w:val="none"/>
        </w:rPr>
        <w:t>防城港市</w:t>
      </w:r>
      <w:r>
        <w:rPr>
          <w:rFonts w:hint="eastAsia" w:ascii="宋体" w:hAnsi="宋体" w:cs="宋体"/>
          <w:color w:val="auto"/>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数量:1</w:t>
      </w:r>
      <w:r>
        <w:rPr>
          <w:rFonts w:hint="eastAsia" w:ascii="宋体" w:hAnsi="宋体" w:cs="宋体"/>
          <w:color w:val="auto"/>
          <w:szCs w:val="21"/>
          <w:highlight w:val="none"/>
        </w:rPr>
        <w:br w:type="textWrapping"/>
      </w:r>
      <w:r>
        <w:rPr>
          <w:rFonts w:hint="eastAsia" w:ascii="宋体" w:hAnsi="宋体" w:cs="宋体"/>
          <w:color w:val="auto"/>
          <w:szCs w:val="21"/>
          <w:highlight w:val="none"/>
        </w:rPr>
        <w:t>预算金额（元）:66741.25</w:t>
      </w:r>
      <w:r>
        <w:rPr>
          <w:rFonts w:hint="default" w:ascii="宋体" w:hAnsi="宋体" w:cs="宋体"/>
          <w:color w:val="auto"/>
          <w:kern w:val="0"/>
          <w:szCs w:val="21"/>
          <w:highlight w:val="none"/>
          <w:lang w:val="en-US"/>
        </w:rPr>
        <w:t>,</w:t>
      </w:r>
      <w:r>
        <w:rPr>
          <w:rFonts w:hint="eastAsia" w:ascii="宋体" w:hAnsi="宋体" w:cs="宋体"/>
          <w:color w:val="auto"/>
          <w:kern w:val="0"/>
          <w:szCs w:val="21"/>
          <w:highlight w:val="none"/>
          <w:lang w:val="en-US" w:eastAsia="zh-CN"/>
        </w:rPr>
        <w:t>最终以实际结算为准</w:t>
      </w:r>
      <w:r>
        <w:rPr>
          <w:rFonts w:hint="eastAsia" w:ascii="宋体" w:hAnsi="宋体" w:cs="宋体"/>
          <w:color w:val="auto"/>
          <w:szCs w:val="21"/>
          <w:highlight w:val="none"/>
        </w:rPr>
        <w:br w:type="textWrapping"/>
      </w:r>
      <w:r>
        <w:rPr>
          <w:rFonts w:hint="eastAsia" w:ascii="宋体" w:hAnsi="宋体" w:cs="宋体"/>
          <w:color w:val="auto"/>
          <w:szCs w:val="21"/>
          <w:highlight w:val="none"/>
        </w:rPr>
        <w:t>简要规格描述或项目基本概况介绍、用途：在</w:t>
      </w:r>
      <w:r>
        <w:rPr>
          <w:rFonts w:hint="eastAsia" w:ascii="宋体" w:hAnsi="宋体" w:cs="宋体"/>
          <w:b/>
          <w:bCs/>
          <w:color w:val="auto"/>
          <w:szCs w:val="21"/>
          <w:highlight w:val="none"/>
        </w:rPr>
        <w:t>防城港市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rPr>
        <w:t>广西壮族自治区自然资源生态修复中心业务租车服务</w:t>
      </w:r>
      <w:r>
        <w:rPr>
          <w:rFonts w:hint="eastAsia" w:ascii="宋体" w:hAnsi="宋体"/>
          <w:color w:val="auto"/>
          <w:highlight w:val="none"/>
        </w:rPr>
        <w:t xml:space="preserve">一项。      </w:t>
      </w:r>
    </w:p>
    <w:p w14:paraId="383E73D2">
      <w:pPr>
        <w:spacing w:line="380" w:lineRule="exact"/>
        <w:ind w:left="420" w:leftChars="200"/>
        <w:rPr>
          <w:rFonts w:ascii="宋体" w:hAnsi="宋体" w:cs="宋体"/>
          <w:color w:val="auto"/>
          <w:szCs w:val="21"/>
          <w:highlight w:val="none"/>
        </w:rPr>
      </w:pPr>
      <w:r>
        <w:rPr>
          <w:rFonts w:hint="eastAsia" w:ascii="宋体" w:hAnsi="宋体" w:cs="宋体"/>
          <w:color w:val="auto"/>
          <w:szCs w:val="21"/>
          <w:highlight w:val="none"/>
        </w:rPr>
        <w:t>最高限价（如有）：/</w:t>
      </w:r>
    </w:p>
    <w:p w14:paraId="3D5FD87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合同履约期限：自签订合同之日起一年。</w:t>
      </w:r>
    </w:p>
    <w:p w14:paraId="318E158D">
      <w:pPr>
        <w:spacing w:line="380" w:lineRule="exact"/>
        <w:ind w:left="420" w:leftChars="200"/>
        <w:rPr>
          <w:rFonts w:ascii="宋体" w:hAnsi="宋体"/>
          <w:color w:val="auto"/>
          <w:highlight w:val="none"/>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rPr>
        <w:br w:type="textWrapping"/>
      </w:r>
      <w:r>
        <w:rPr>
          <w:rFonts w:hint="eastAsia" w:ascii="宋体" w:hAnsi="宋体" w:cs="宋体"/>
          <w:color w:val="auto"/>
          <w:szCs w:val="21"/>
          <w:highlight w:val="none"/>
        </w:rPr>
        <w:t>备注：/</w:t>
      </w:r>
    </w:p>
    <w:p w14:paraId="47E5E9C5">
      <w:pPr>
        <w:spacing w:line="380" w:lineRule="exact"/>
        <w:rPr>
          <w:rFonts w:ascii="宋体" w:hAnsi="宋体"/>
          <w:b/>
          <w:color w:val="auto"/>
          <w:highlight w:val="none"/>
        </w:rPr>
      </w:pPr>
      <w:bookmarkStart w:id="19" w:name="_Toc28359013"/>
      <w:bookmarkStart w:id="20" w:name="_Toc35393799"/>
      <w:bookmarkStart w:id="21" w:name="_Toc28359090"/>
      <w:bookmarkStart w:id="22" w:name="_Toc35393630"/>
      <w:r>
        <w:rPr>
          <w:rFonts w:hint="eastAsia" w:ascii="宋体" w:hAnsi="宋体"/>
          <w:b/>
          <w:color w:val="auto"/>
          <w:highlight w:val="none"/>
        </w:rPr>
        <w:t>二、申请人的资格要求：</w:t>
      </w:r>
      <w:bookmarkEnd w:id="19"/>
      <w:bookmarkEnd w:id="20"/>
      <w:bookmarkEnd w:id="21"/>
      <w:bookmarkEnd w:id="22"/>
    </w:p>
    <w:p w14:paraId="60874314">
      <w:pPr>
        <w:spacing w:line="38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bookmarkStart w:id="23" w:name="_Toc28359014"/>
      <w:bookmarkStart w:id="24" w:name="_Toc28359091"/>
    </w:p>
    <w:p w14:paraId="63A5718B">
      <w:pPr>
        <w:spacing w:line="380" w:lineRule="exact"/>
        <w:ind w:firstLine="420" w:firstLineChars="200"/>
        <w:rPr>
          <w:rFonts w:ascii="宋体" w:hAnsi="宋体"/>
          <w:color w:val="auto"/>
          <w:highlight w:val="none"/>
        </w:rPr>
      </w:pPr>
      <w:r>
        <w:rPr>
          <w:rFonts w:ascii="宋体" w:hAnsi="宋体"/>
          <w:color w:val="auto"/>
          <w:highlight w:val="none"/>
        </w:rPr>
        <w:t xml:space="preserve"> 2</w:t>
      </w:r>
      <w:r>
        <w:rPr>
          <w:rFonts w:hint="eastAsia" w:ascii="宋体" w:hAnsi="宋体"/>
          <w:color w:val="auto"/>
          <w:highlight w:val="none"/>
        </w:rPr>
        <w:t>.落实政府采购政策需满足的资格要求：本项目属于专门面向中小企业采购的项目，供应商应为中小微企业（监狱企业、残疾人福利性单位视同小型、微型企业）；</w:t>
      </w:r>
    </w:p>
    <w:p w14:paraId="12C558F7">
      <w:pPr>
        <w:spacing w:line="380" w:lineRule="exact"/>
        <w:ind w:firstLine="420" w:firstLineChars="200"/>
        <w:rPr>
          <w:rFonts w:ascii="宋体" w:hAnsi="宋体"/>
          <w:i/>
          <w:iCs/>
          <w:color w:val="auto"/>
          <w:highlight w:val="none"/>
          <w:u w:val="single"/>
        </w:rPr>
      </w:pPr>
      <w:r>
        <w:rPr>
          <w:rFonts w:hint="eastAsia" w:ascii="宋体" w:hAnsi="宋体"/>
          <w:color w:val="auto"/>
          <w:highlight w:val="none"/>
        </w:rPr>
        <w:t>3.本项目的特定资格要求：无。</w:t>
      </w:r>
    </w:p>
    <w:p w14:paraId="710BF727">
      <w:pPr>
        <w:spacing w:line="380" w:lineRule="exact"/>
        <w:rPr>
          <w:rFonts w:ascii="宋体" w:hAnsi="宋体"/>
          <w:b/>
          <w:color w:val="auto"/>
          <w:highlight w:val="none"/>
        </w:rPr>
      </w:pPr>
      <w:bookmarkStart w:id="25" w:name="_Toc35393800"/>
      <w:bookmarkStart w:id="26" w:name="_Toc35393631"/>
      <w:r>
        <w:rPr>
          <w:rFonts w:hint="eastAsia" w:ascii="宋体" w:hAnsi="宋体"/>
          <w:b/>
          <w:color w:val="auto"/>
          <w:highlight w:val="none"/>
        </w:rPr>
        <w:t>三、获取采购文件</w:t>
      </w:r>
      <w:bookmarkEnd w:id="23"/>
      <w:bookmarkEnd w:id="24"/>
      <w:bookmarkEnd w:id="25"/>
      <w:bookmarkEnd w:id="26"/>
    </w:p>
    <w:p w14:paraId="3885BDE3">
      <w:pPr>
        <w:spacing w:line="380" w:lineRule="exact"/>
        <w:ind w:firstLine="420" w:firstLineChars="200"/>
        <w:rPr>
          <w:rFonts w:ascii="宋体" w:hAnsi="宋体"/>
          <w:color w:val="auto"/>
          <w:highlight w:val="none"/>
        </w:rPr>
      </w:pPr>
      <w:r>
        <w:rPr>
          <w:rFonts w:hint="eastAsia" w:ascii="宋体" w:hAnsi="宋体"/>
          <w:color w:val="auto"/>
          <w:highlight w:val="none"/>
        </w:rPr>
        <w:t>时间：</w:t>
      </w:r>
      <w:r>
        <w:rPr>
          <w:rFonts w:hint="eastAsia" w:ascii="宋体" w:hAnsi="宋体"/>
          <w:color w:val="auto"/>
          <w:highlight w:val="none"/>
          <w:u w:val="single"/>
        </w:rPr>
        <w:t>2025年</w:t>
      </w:r>
      <w:r>
        <w:rPr>
          <w:rFonts w:hint="eastAsia" w:ascii="宋体" w:hAnsi="宋体"/>
          <w:color w:val="auto"/>
          <w:highlight w:val="none"/>
          <w:u w:val="single"/>
          <w:lang w:val="en-US" w:eastAsia="zh-CN"/>
        </w:rPr>
        <w:t>8</w:t>
      </w:r>
      <w:r>
        <w:rPr>
          <w:rFonts w:hint="eastAsia" w:ascii="宋体" w:hAnsi="宋体"/>
          <w:color w:val="auto"/>
          <w:highlight w:val="none"/>
          <w:u w:val="single"/>
        </w:rPr>
        <w:t>月</w:t>
      </w:r>
      <w:r>
        <w:rPr>
          <w:rFonts w:hint="eastAsia" w:ascii="宋体" w:hAnsi="宋体"/>
          <w:color w:val="auto"/>
          <w:highlight w:val="none"/>
          <w:u w:val="single"/>
          <w:lang w:val="en-US" w:eastAsia="zh-CN"/>
        </w:rPr>
        <w:t>15</w:t>
      </w:r>
      <w:r>
        <w:rPr>
          <w:rFonts w:hint="eastAsia" w:ascii="宋体" w:hAnsi="宋体"/>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2025年</w:t>
      </w:r>
      <w:r>
        <w:rPr>
          <w:rFonts w:hint="eastAsia" w:ascii="宋体" w:hAnsi="宋体"/>
          <w:color w:val="auto"/>
          <w:highlight w:val="none"/>
          <w:u w:val="single"/>
          <w:lang w:val="en-US" w:eastAsia="zh-CN"/>
        </w:rPr>
        <w:t>8</w:t>
      </w:r>
      <w:r>
        <w:rPr>
          <w:rFonts w:hint="eastAsia" w:ascii="宋体" w:hAnsi="宋体"/>
          <w:color w:val="auto"/>
          <w:highlight w:val="none"/>
          <w:u w:val="single"/>
        </w:rPr>
        <w:t>月</w:t>
      </w:r>
      <w:r>
        <w:rPr>
          <w:rFonts w:hint="eastAsia" w:ascii="宋体" w:hAnsi="宋体"/>
          <w:color w:val="auto"/>
          <w:highlight w:val="none"/>
          <w:u w:val="single"/>
          <w:lang w:val="en-US" w:eastAsia="zh-CN"/>
        </w:rPr>
        <w:t>22</w:t>
      </w:r>
      <w:r>
        <w:rPr>
          <w:rFonts w:hint="eastAsia" w:ascii="宋体" w:hAnsi="宋体"/>
          <w:color w:val="auto"/>
          <w:highlight w:val="none"/>
          <w:u w:val="single"/>
        </w:rPr>
        <w:t>日</w:t>
      </w:r>
      <w:r>
        <w:rPr>
          <w:rFonts w:hint="eastAsia" w:ascii="宋体" w:hAnsi="宋体"/>
          <w:color w:val="auto"/>
          <w:highlight w:val="none"/>
        </w:rPr>
        <w:t>，每天上午</w:t>
      </w:r>
      <w:r>
        <w:rPr>
          <w:rFonts w:hint="eastAsia" w:ascii="宋体" w:hAnsi="宋体"/>
          <w:color w:val="auto"/>
          <w:highlight w:val="none"/>
          <w:u w:val="single"/>
        </w:rPr>
        <w:t>8时30分</w:t>
      </w:r>
      <w:r>
        <w:rPr>
          <w:rFonts w:hint="eastAsia" w:ascii="宋体" w:hAnsi="宋体"/>
          <w:color w:val="auto"/>
          <w:highlight w:val="none"/>
        </w:rPr>
        <w:t>至</w:t>
      </w:r>
      <w:r>
        <w:rPr>
          <w:rFonts w:hint="eastAsia" w:ascii="宋体" w:hAnsi="宋体"/>
          <w:color w:val="auto"/>
          <w:highlight w:val="none"/>
          <w:u w:val="single"/>
        </w:rPr>
        <w:t>12时00分</w:t>
      </w:r>
      <w:r>
        <w:rPr>
          <w:rFonts w:hint="eastAsia" w:ascii="宋体" w:hAnsi="宋体"/>
          <w:color w:val="auto"/>
          <w:highlight w:val="none"/>
        </w:rPr>
        <w:t>，下午</w:t>
      </w:r>
      <w:r>
        <w:rPr>
          <w:rFonts w:hint="eastAsia" w:ascii="宋体" w:hAnsi="宋体"/>
          <w:color w:val="auto"/>
          <w:highlight w:val="none"/>
          <w:u w:val="single"/>
        </w:rPr>
        <w:t>15时00分</w:t>
      </w:r>
      <w:r>
        <w:rPr>
          <w:rFonts w:hint="eastAsia" w:ascii="宋体" w:hAnsi="宋体"/>
          <w:color w:val="auto"/>
          <w:highlight w:val="none"/>
        </w:rPr>
        <w:t>至</w:t>
      </w:r>
      <w:r>
        <w:rPr>
          <w:rFonts w:hint="eastAsia" w:ascii="宋体" w:hAnsi="宋体"/>
          <w:color w:val="auto"/>
          <w:highlight w:val="none"/>
          <w:u w:val="single"/>
        </w:rPr>
        <w:t>18时00分</w:t>
      </w:r>
      <w:r>
        <w:rPr>
          <w:rFonts w:hint="eastAsia" w:ascii="宋体" w:hAnsi="宋体"/>
          <w:color w:val="auto"/>
          <w:highlight w:val="none"/>
        </w:rPr>
        <w:t>（北京时间，</w:t>
      </w:r>
      <w:r>
        <w:rPr>
          <w:rFonts w:ascii="宋体" w:hAnsi="宋体"/>
          <w:color w:val="auto"/>
          <w:highlight w:val="none"/>
        </w:rPr>
        <w:t>法定节假日</w:t>
      </w:r>
      <w:r>
        <w:rPr>
          <w:rFonts w:hint="eastAsia" w:ascii="宋体" w:hAnsi="宋体"/>
          <w:color w:val="auto"/>
          <w:highlight w:val="none"/>
        </w:rPr>
        <w:t>除外 ）</w:t>
      </w:r>
    </w:p>
    <w:p w14:paraId="7720A081">
      <w:pPr>
        <w:spacing w:line="380" w:lineRule="exact"/>
        <w:ind w:firstLine="420" w:firstLineChars="200"/>
        <w:rPr>
          <w:rFonts w:ascii="宋体" w:hAnsi="宋体"/>
          <w:color w:val="auto"/>
          <w:highlight w:val="none"/>
          <w:u w:val="single"/>
        </w:rPr>
      </w:pPr>
      <w:r>
        <w:rPr>
          <w:rFonts w:hint="eastAsia" w:ascii="宋体" w:hAnsi="宋体"/>
          <w:color w:val="auto"/>
          <w:highlight w:val="none"/>
        </w:rPr>
        <w:t>地点：广西政府采购云平台（https://www.gcy.zfcg.gxzf.gov.cn/）；</w:t>
      </w:r>
    </w:p>
    <w:p w14:paraId="5E01E337">
      <w:pPr>
        <w:spacing w:line="380" w:lineRule="exact"/>
        <w:ind w:firstLine="420" w:firstLineChars="200"/>
        <w:rPr>
          <w:rFonts w:ascii="宋体" w:hAnsi="宋体"/>
          <w:color w:val="auto"/>
          <w:highlight w:val="none"/>
        </w:rPr>
      </w:pPr>
      <w:r>
        <w:rPr>
          <w:rFonts w:hint="eastAsia" w:ascii="宋体" w:hAnsi="宋体"/>
          <w:color w:val="auto"/>
          <w:highlight w:val="none"/>
        </w:rPr>
        <w:t>方式：本项目不发放纸质采购文件，请登录广西政府采购云平台（https://www.gcy.zfcg.gxzf.gov.cn/）进行报名并获取采购文件；未注册的供应商可在政采云平台完成注册后再行报名。如在操作过程中遇到问题或需技术支持，请致电政采云客服热线：</w:t>
      </w:r>
      <w:r>
        <w:rPr>
          <w:rFonts w:ascii="宋体" w:hAnsi="宋体"/>
          <w:color w:val="auto"/>
          <w:highlight w:val="none"/>
        </w:rPr>
        <w:t>95763</w:t>
      </w:r>
      <w:r>
        <w:rPr>
          <w:rFonts w:hint="eastAsia" w:ascii="宋体" w:hAnsi="宋体"/>
          <w:color w:val="auto"/>
          <w:highlight w:val="none"/>
        </w:rPr>
        <w:t>。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468D6EA">
      <w:pPr>
        <w:spacing w:line="380" w:lineRule="exact"/>
        <w:ind w:firstLine="420" w:firstLineChars="200"/>
        <w:rPr>
          <w:rFonts w:ascii="宋体" w:hAnsi="宋体"/>
          <w:color w:val="auto"/>
          <w:highlight w:val="none"/>
        </w:rPr>
      </w:pPr>
      <w:r>
        <w:rPr>
          <w:rFonts w:ascii="宋体" w:hAnsi="宋体" w:cs="宋体"/>
          <w:color w:val="auto"/>
          <w:kern w:val="0"/>
          <w:szCs w:val="21"/>
          <w:highlight w:val="none"/>
        </w:rPr>
        <w:t>售价（元）：</w:t>
      </w:r>
      <w:r>
        <w:rPr>
          <w:rFonts w:hint="eastAsia" w:ascii="宋体" w:hAnsi="宋体" w:cs="宋体"/>
          <w:color w:val="auto"/>
          <w:kern w:val="0"/>
          <w:szCs w:val="21"/>
          <w:highlight w:val="none"/>
        </w:rPr>
        <w:t>0</w:t>
      </w:r>
    </w:p>
    <w:p w14:paraId="19B968BB">
      <w:pPr>
        <w:spacing w:line="380" w:lineRule="exact"/>
        <w:rPr>
          <w:rFonts w:ascii="宋体" w:hAnsi="宋体"/>
          <w:b/>
          <w:color w:val="auto"/>
          <w:highlight w:val="none"/>
        </w:rPr>
      </w:pPr>
      <w:bookmarkStart w:id="27" w:name="_Toc35393801"/>
      <w:bookmarkStart w:id="28" w:name="_Toc28359015"/>
      <w:bookmarkStart w:id="29" w:name="_Toc28359092"/>
      <w:bookmarkStart w:id="30" w:name="_Toc35393632"/>
      <w:r>
        <w:rPr>
          <w:rFonts w:hint="eastAsia" w:ascii="宋体" w:hAnsi="宋体"/>
          <w:b/>
          <w:color w:val="auto"/>
          <w:highlight w:val="none"/>
        </w:rPr>
        <w:t>四、响应文件提交</w:t>
      </w:r>
      <w:bookmarkEnd w:id="27"/>
      <w:bookmarkEnd w:id="28"/>
      <w:bookmarkEnd w:id="29"/>
      <w:bookmarkEnd w:id="30"/>
    </w:p>
    <w:p w14:paraId="78FAD4F7">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截止时间：</w:t>
      </w:r>
      <w:r>
        <w:rPr>
          <w:rFonts w:hint="eastAsia" w:ascii="宋体" w:hAnsi="宋体"/>
          <w:bCs/>
          <w:color w:val="auto"/>
          <w:highlight w:val="none"/>
        </w:rPr>
        <w:t>2025年</w:t>
      </w:r>
      <w:r>
        <w:rPr>
          <w:rFonts w:hint="eastAsia" w:ascii="宋体" w:hAnsi="宋体"/>
          <w:bCs/>
          <w:color w:val="auto"/>
          <w:highlight w:val="none"/>
          <w:lang w:val="en-US" w:eastAsia="zh-CN"/>
        </w:rPr>
        <w:t>8</w:t>
      </w:r>
      <w:r>
        <w:rPr>
          <w:rFonts w:hint="eastAsia" w:ascii="宋体" w:hAnsi="宋体"/>
          <w:bCs/>
          <w:color w:val="auto"/>
          <w:highlight w:val="none"/>
        </w:rPr>
        <w:t>月</w:t>
      </w:r>
      <w:r>
        <w:rPr>
          <w:rFonts w:hint="eastAsia" w:ascii="宋体" w:hAnsi="宋体"/>
          <w:bCs/>
          <w:color w:val="auto"/>
          <w:highlight w:val="none"/>
          <w:lang w:val="en-US" w:eastAsia="zh-CN"/>
        </w:rPr>
        <w:t>26</w:t>
      </w:r>
      <w:r>
        <w:rPr>
          <w:rFonts w:hint="eastAsia" w:ascii="宋体" w:hAnsi="宋体"/>
          <w:bCs/>
          <w:color w:val="auto"/>
          <w:highlight w:val="none"/>
        </w:rPr>
        <w:t>日 09:30（北京时间）</w:t>
      </w:r>
    </w:p>
    <w:p w14:paraId="078C2CC0">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地点（网址）：广西政府采购云平台（https://www.gcy.zfcg.gxzf.gov.cn/）</w:t>
      </w:r>
      <w:r>
        <w:rPr>
          <w:rFonts w:hint="eastAsia" w:ascii="宋体" w:hAnsi="宋体"/>
          <w:color w:val="auto"/>
          <w:szCs w:val="21"/>
          <w:highlight w:val="none"/>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484DA0A6">
      <w:pPr>
        <w:spacing w:line="380" w:lineRule="exact"/>
        <w:rPr>
          <w:rFonts w:ascii="宋体" w:hAnsi="宋体"/>
          <w:b/>
          <w:color w:val="auto"/>
          <w:highlight w:val="none"/>
        </w:rPr>
      </w:pPr>
      <w:bookmarkStart w:id="31" w:name="_Toc28359093"/>
      <w:bookmarkStart w:id="32" w:name="_Toc35393633"/>
      <w:bookmarkStart w:id="33" w:name="_Toc35393802"/>
      <w:bookmarkStart w:id="34" w:name="_Toc28359016"/>
      <w:r>
        <w:rPr>
          <w:rFonts w:hint="eastAsia" w:ascii="宋体" w:hAnsi="宋体"/>
          <w:b/>
          <w:color w:val="auto"/>
          <w:highlight w:val="none"/>
        </w:rPr>
        <w:t>五、开启</w:t>
      </w:r>
      <w:bookmarkEnd w:id="31"/>
      <w:bookmarkEnd w:id="32"/>
      <w:bookmarkEnd w:id="33"/>
      <w:bookmarkEnd w:id="34"/>
    </w:p>
    <w:p w14:paraId="300F9145">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开启时间：</w:t>
      </w:r>
      <w:r>
        <w:rPr>
          <w:rFonts w:hint="eastAsia" w:ascii="宋体" w:hAnsi="宋体"/>
          <w:bCs/>
          <w:color w:val="auto"/>
          <w:highlight w:val="none"/>
        </w:rPr>
        <w:t>2025年</w:t>
      </w:r>
      <w:r>
        <w:rPr>
          <w:rFonts w:hint="eastAsia" w:ascii="宋体" w:hAnsi="宋体"/>
          <w:bCs/>
          <w:color w:val="auto"/>
          <w:highlight w:val="none"/>
          <w:lang w:val="en-US" w:eastAsia="zh-CN"/>
        </w:rPr>
        <w:t>8</w:t>
      </w:r>
      <w:r>
        <w:rPr>
          <w:rFonts w:hint="eastAsia" w:ascii="宋体" w:hAnsi="宋体"/>
          <w:bCs/>
          <w:color w:val="auto"/>
          <w:highlight w:val="none"/>
        </w:rPr>
        <w:t>月</w:t>
      </w:r>
      <w:r>
        <w:rPr>
          <w:rFonts w:hint="eastAsia" w:ascii="宋体" w:hAnsi="宋体"/>
          <w:bCs/>
          <w:color w:val="auto"/>
          <w:highlight w:val="none"/>
          <w:lang w:val="en-US" w:eastAsia="zh-CN"/>
        </w:rPr>
        <w:t>26</w:t>
      </w:r>
      <w:r>
        <w:rPr>
          <w:rFonts w:hint="eastAsia" w:ascii="宋体" w:hAnsi="宋体"/>
          <w:bCs/>
          <w:color w:val="auto"/>
          <w:highlight w:val="none"/>
        </w:rPr>
        <w:t>日 09:30（北京时间）</w:t>
      </w:r>
    </w:p>
    <w:p w14:paraId="419EFCB0">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地点：南宁市民族大道</w:t>
      </w:r>
      <w:r>
        <w:rPr>
          <w:rFonts w:ascii="宋体" w:hAnsi="宋体"/>
          <w:color w:val="auto"/>
          <w:highlight w:val="none"/>
        </w:rPr>
        <w:t>157</w:t>
      </w:r>
      <w:r>
        <w:rPr>
          <w:rFonts w:hint="eastAsia" w:ascii="宋体" w:hAnsi="宋体"/>
          <w:color w:val="auto"/>
          <w:highlight w:val="none"/>
        </w:rPr>
        <w:t>号财富国际广场</w:t>
      </w:r>
      <w:r>
        <w:rPr>
          <w:rFonts w:ascii="宋体" w:hAnsi="宋体"/>
          <w:color w:val="auto"/>
          <w:highlight w:val="none"/>
        </w:rPr>
        <w:t>3</w:t>
      </w:r>
      <w:r>
        <w:rPr>
          <w:rFonts w:hint="eastAsia" w:ascii="宋体" w:hAnsi="宋体"/>
          <w:color w:val="auto"/>
          <w:highlight w:val="none"/>
        </w:rPr>
        <w:t>号楼</w:t>
      </w:r>
      <w:r>
        <w:rPr>
          <w:rFonts w:ascii="宋体" w:hAnsi="宋体"/>
          <w:color w:val="auto"/>
          <w:highlight w:val="none"/>
        </w:rPr>
        <w:t>2</w:t>
      </w:r>
      <w:r>
        <w:rPr>
          <w:rFonts w:hint="eastAsia" w:ascii="宋体" w:hAnsi="宋体"/>
          <w:color w:val="auto"/>
          <w:highlight w:val="none"/>
        </w:rPr>
        <w:t>5</w:t>
      </w:r>
      <w:r>
        <w:rPr>
          <w:rFonts w:ascii="宋体" w:hAnsi="宋体"/>
          <w:color w:val="auto"/>
          <w:highlight w:val="none"/>
        </w:rPr>
        <w:t>01</w:t>
      </w:r>
      <w:r>
        <w:rPr>
          <w:rFonts w:hint="eastAsia" w:ascii="宋体" w:hAnsi="宋体"/>
          <w:color w:val="auto"/>
          <w:highlight w:val="none"/>
        </w:rPr>
        <w:t>天勤工程咨询有限公司评标室</w:t>
      </w:r>
      <w:r>
        <w:rPr>
          <w:rFonts w:hint="eastAsia" w:ascii="宋体" w:hAnsi="宋体"/>
          <w:color w:val="auto"/>
          <w:szCs w:val="21"/>
          <w:highlight w:val="none"/>
        </w:rPr>
        <w:t>。</w:t>
      </w:r>
    </w:p>
    <w:p w14:paraId="66781219">
      <w:pPr>
        <w:spacing w:line="380" w:lineRule="exact"/>
        <w:rPr>
          <w:rFonts w:ascii="宋体" w:hAnsi="宋体"/>
          <w:b/>
          <w:color w:val="auto"/>
          <w:highlight w:val="none"/>
        </w:rPr>
      </w:pPr>
      <w:bookmarkStart w:id="35" w:name="_Toc35393803"/>
      <w:bookmarkStart w:id="36" w:name="_Toc35393634"/>
      <w:bookmarkStart w:id="37" w:name="_Toc28359094"/>
      <w:bookmarkStart w:id="38" w:name="_Toc28359017"/>
      <w:r>
        <w:rPr>
          <w:rFonts w:hint="eastAsia" w:ascii="宋体" w:hAnsi="宋体"/>
          <w:b/>
          <w:color w:val="auto"/>
          <w:highlight w:val="none"/>
        </w:rPr>
        <w:t>六、公告期限</w:t>
      </w:r>
      <w:bookmarkEnd w:id="35"/>
      <w:bookmarkEnd w:id="36"/>
      <w:bookmarkEnd w:id="37"/>
      <w:bookmarkEnd w:id="38"/>
    </w:p>
    <w:p w14:paraId="5EE2AE48">
      <w:pPr>
        <w:spacing w:line="380" w:lineRule="exact"/>
        <w:ind w:firstLine="420" w:firstLineChars="200"/>
        <w:rPr>
          <w:rFonts w:ascii="宋体" w:hAnsi="宋体"/>
          <w:color w:val="auto"/>
          <w:kern w:val="0"/>
          <w:highlight w:val="none"/>
        </w:rPr>
      </w:pPr>
      <w:r>
        <w:rPr>
          <w:rFonts w:hint="eastAsia" w:ascii="宋体" w:hAnsi="宋体"/>
          <w:color w:val="auto"/>
          <w:kern w:val="0"/>
          <w:highlight w:val="none"/>
        </w:rPr>
        <w:t>自本公告发布之日起3个工作日。</w:t>
      </w:r>
    </w:p>
    <w:p w14:paraId="5439EB35">
      <w:pPr>
        <w:spacing w:line="380" w:lineRule="exact"/>
        <w:rPr>
          <w:rFonts w:ascii="宋体" w:hAnsi="宋体"/>
          <w:b/>
          <w:color w:val="auto"/>
          <w:highlight w:val="none"/>
        </w:rPr>
      </w:pPr>
      <w:bookmarkStart w:id="39" w:name="_Toc35393804"/>
      <w:bookmarkStart w:id="40" w:name="_Toc35393635"/>
      <w:r>
        <w:rPr>
          <w:rFonts w:hint="eastAsia" w:ascii="宋体" w:hAnsi="宋体"/>
          <w:b/>
          <w:color w:val="auto"/>
          <w:highlight w:val="none"/>
        </w:rPr>
        <w:t>七、其他补充事宜</w:t>
      </w:r>
      <w:bookmarkEnd w:id="39"/>
      <w:bookmarkEnd w:id="40"/>
    </w:p>
    <w:p w14:paraId="3729B438">
      <w:pPr>
        <w:spacing w:line="360" w:lineRule="auto"/>
        <w:ind w:firstLine="422" w:firstLineChars="200"/>
        <w:rPr>
          <w:rFonts w:ascii="宋体" w:hAnsi="宋体"/>
          <w:color w:val="auto"/>
          <w:highlight w:val="none"/>
        </w:rPr>
      </w:pPr>
      <w:r>
        <w:rPr>
          <w:rFonts w:hint="eastAsia" w:ascii="宋体" w:hAnsi="宋体"/>
          <w:b/>
          <w:color w:val="auto"/>
          <w:highlight w:val="none"/>
        </w:rPr>
        <w:t>1.</w:t>
      </w:r>
      <w:r>
        <w:rPr>
          <w:rFonts w:hint="eastAsia" w:ascii="宋体" w:hAnsi="宋体"/>
          <w:b/>
          <w:bCs/>
          <w:color w:val="auto"/>
          <w:highlight w:val="none"/>
        </w:rPr>
        <w:t xml:space="preserve"> </w:t>
      </w:r>
      <w:r>
        <w:rPr>
          <w:rFonts w:hint="eastAsia" w:ascii="宋体" w:hAnsi="宋体"/>
          <w:b/>
          <w:color w:val="auto"/>
          <w:szCs w:val="21"/>
          <w:highlight w:val="none"/>
        </w:rPr>
        <w:t>磋商</w:t>
      </w:r>
      <w:r>
        <w:rPr>
          <w:rFonts w:hint="eastAsia" w:ascii="宋体" w:hAnsi="宋体"/>
          <w:b/>
          <w:bCs/>
          <w:color w:val="auto"/>
          <w:highlight w:val="none"/>
        </w:rPr>
        <w:t>保证金</w:t>
      </w:r>
      <w:r>
        <w:rPr>
          <w:rFonts w:hint="eastAsia" w:ascii="宋体" w:hAnsi="宋体"/>
          <w:b/>
          <w:color w:val="auto"/>
          <w:highlight w:val="none"/>
        </w:rPr>
        <w:t>（人民币）：</w:t>
      </w:r>
      <w:r>
        <w:rPr>
          <w:rFonts w:hint="eastAsia" w:ascii="宋体" w:hAnsi="宋体"/>
          <w:b/>
          <w:color w:val="auto"/>
          <w:highlight w:val="none"/>
          <w:u w:val="single"/>
        </w:rPr>
        <w:t>本项目不收取磋商保证金。</w:t>
      </w:r>
    </w:p>
    <w:p w14:paraId="0ED05174">
      <w:pPr>
        <w:spacing w:line="380" w:lineRule="exact"/>
        <w:ind w:firstLine="422" w:firstLineChars="200"/>
        <w:rPr>
          <w:rFonts w:ascii="宋体" w:hAnsi="宋体"/>
          <w:b/>
          <w:color w:val="auto"/>
          <w:highlight w:val="none"/>
        </w:rPr>
      </w:pPr>
      <w:r>
        <w:rPr>
          <w:rFonts w:hint="eastAsia" w:ascii="宋体" w:hAnsi="宋体"/>
          <w:b/>
          <w:color w:val="auto"/>
          <w:highlight w:val="none"/>
        </w:rPr>
        <w:t>2.本项目需要落实的政府采购政策</w:t>
      </w:r>
    </w:p>
    <w:p w14:paraId="4496BA97">
      <w:pPr>
        <w:spacing w:line="380" w:lineRule="exact"/>
        <w:ind w:firstLine="420" w:firstLineChars="200"/>
        <w:rPr>
          <w:rFonts w:ascii="宋体" w:hAnsi="宋体"/>
          <w:b/>
          <w:color w:val="auto"/>
          <w:highlight w:val="none"/>
        </w:rPr>
      </w:pPr>
      <w:r>
        <w:rPr>
          <w:rFonts w:hint="eastAsia" w:ascii="宋体" w:hAnsi="宋体"/>
          <w:color w:val="auto"/>
          <w:highlight w:val="none"/>
        </w:rPr>
        <w:t>政府采购促进中小企业发展；政府采购促进残疾人就业政策；政府采购支持监狱企业发展等。</w:t>
      </w:r>
    </w:p>
    <w:p w14:paraId="5CBAFA71">
      <w:pPr>
        <w:spacing w:line="380" w:lineRule="exact"/>
        <w:ind w:firstLine="422" w:firstLineChars="200"/>
        <w:rPr>
          <w:rFonts w:ascii="宋体" w:hAnsi="宋体"/>
          <w:b/>
          <w:color w:val="auto"/>
          <w:highlight w:val="none"/>
        </w:rPr>
      </w:pPr>
      <w:r>
        <w:rPr>
          <w:rFonts w:hint="eastAsia" w:ascii="宋体" w:hAnsi="宋体"/>
          <w:b/>
          <w:color w:val="auto"/>
          <w:highlight w:val="none"/>
        </w:rPr>
        <w:t>3.网上公告媒体查询</w:t>
      </w:r>
    </w:p>
    <w:p w14:paraId="699B591B">
      <w:pPr>
        <w:spacing w:line="380" w:lineRule="exact"/>
        <w:ind w:firstLine="420" w:firstLineChars="200"/>
        <w:rPr>
          <w:rFonts w:ascii="宋体" w:hAnsi="宋体"/>
          <w:color w:val="auto"/>
          <w:highlight w:val="none"/>
        </w:rPr>
      </w:pP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）、广西壮族自治区政府采购网（</w:t>
      </w:r>
      <w:r>
        <w:rPr>
          <w:rFonts w:ascii="宋体" w:hAnsi="宋体"/>
          <w:color w:val="auto"/>
          <w:szCs w:val="21"/>
          <w:highlight w:val="none"/>
        </w:rPr>
        <w:t>zfcg.gxzf.gov.cn</w:t>
      </w:r>
      <w:r>
        <w:rPr>
          <w:rFonts w:hint="eastAsia" w:ascii="宋体" w:hAnsi="宋体"/>
          <w:color w:val="auto"/>
          <w:szCs w:val="21"/>
          <w:highlight w:val="none"/>
        </w:rPr>
        <w:t>）</w:t>
      </w:r>
      <w:r>
        <w:rPr>
          <w:rFonts w:hint="eastAsia" w:ascii="宋体" w:hAnsi="宋体"/>
          <w:color w:val="auto"/>
          <w:highlight w:val="none"/>
        </w:rPr>
        <w:t>。</w:t>
      </w:r>
    </w:p>
    <w:p w14:paraId="41AD8D01">
      <w:pPr>
        <w:spacing w:line="380" w:lineRule="exact"/>
        <w:ind w:firstLine="422" w:firstLineChars="200"/>
        <w:rPr>
          <w:rFonts w:ascii="宋体" w:cs="Arial"/>
          <w:color w:val="auto"/>
          <w:szCs w:val="21"/>
          <w:highlight w:val="none"/>
        </w:rPr>
      </w:pPr>
      <w:r>
        <w:rPr>
          <w:rFonts w:hint="eastAsia" w:ascii="宋体" w:hAnsi="宋体"/>
          <w:b/>
          <w:color w:val="auto"/>
          <w:highlight w:val="none"/>
        </w:rPr>
        <w:t>4.</w:t>
      </w:r>
      <w:r>
        <w:rPr>
          <w:rFonts w:hint="eastAsia" w:ascii="宋体" w:cs="Arial"/>
          <w:b/>
          <w:color w:val="auto"/>
          <w:szCs w:val="21"/>
          <w:highlight w:val="none"/>
        </w:rPr>
        <w:t>其他注意事项</w:t>
      </w:r>
    </w:p>
    <w:p w14:paraId="013A5603">
      <w:pPr>
        <w:widowControl/>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本项目实行电子投标，供应商应使用新版“政采云电子交易客户端”（新版客户端下载路径：广西政府采购网（访问地址http://zfcg.gxzf.gov.cn/）—办事服务—下载专区。原在政采云平台注册的临时供应商需在新平台启用后重新注册登记。），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rPr>
        <w:t>供应商在广西政府采购云平台提交电子版投标文件时，请填写参加远程开标活动经办人联系方式。</w:t>
      </w:r>
    </w:p>
    <w:p w14:paraId="2853451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Style w:val="42"/>
          <w:rFonts w:hint="eastAsia" w:ascii="宋体" w:hAnsi="宋体" w:cs="宋体"/>
          <w:color w:val="auto"/>
          <w:highlight w:val="none"/>
          <w:u w:val="none"/>
        </w:rPr>
        <w:t>https://service.zcygov.cn/#/knowledges/tree?tag=AG1DtGwBFdiHxlNdhY0r</w:t>
      </w:r>
      <w:r>
        <w:rPr>
          <w:rStyle w:val="42"/>
          <w:rFonts w:hint="eastAsia" w:ascii="宋体" w:hAnsi="宋体" w:cs="宋体"/>
          <w:color w:val="auto"/>
          <w:highlight w:val="none"/>
          <w:u w:val="none"/>
        </w:rPr>
        <w:fldChar w:fldCharType="end"/>
      </w:r>
      <w:r>
        <w:rPr>
          <w:rFonts w:hint="eastAsia" w:ascii="宋体" w:hAnsi="宋体" w:cs="宋体"/>
          <w:color w:val="auto"/>
          <w:szCs w:val="21"/>
          <w:highlight w:val="none"/>
        </w:rPr>
        <w:t>；及时完成CA申领和绑定（见广西壮族自治区政府采购网—办事服务—下载专区-政采云CA证书办理操作指南）。</w:t>
      </w:r>
    </w:p>
    <w:p w14:paraId="24ADD4F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建议各供应商抓紧时间办理。</w:t>
      </w:r>
    </w:p>
    <w:p w14:paraId="7F317718">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（4）为确保网上操作合法、有效和安全，请供应商确保在电子投标过程中能够对相关数据电文进行加密和使用电子签章，妥善保管CA数字证书并使用有效的CA数字证书参与整个采购活动。</w:t>
      </w:r>
    </w:p>
    <w:p w14:paraId="7AAD767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DB2BFF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6B49694">
      <w:pPr>
        <w:spacing w:line="360" w:lineRule="auto"/>
        <w:ind w:firstLine="420" w:firstLineChars="200"/>
        <w:rPr>
          <w:rFonts w:ascii="宋体" w:cs="Arial"/>
          <w:color w:val="auto"/>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6、若对项目采购电子交易系统操作有疑问，可登录广西政府采购云平台（https://www.gcy.zfcg.gxzf.gov.cn/），点击右侧咨询小采，获取采小蜜智能服务管家帮助，或拨打政采云服务热线95763获取热线服务帮助。</w:t>
      </w:r>
    </w:p>
    <w:p w14:paraId="161478BF">
      <w:pPr>
        <w:spacing w:line="380" w:lineRule="exact"/>
        <w:rPr>
          <w:rFonts w:ascii="宋体" w:hAnsi="宋体"/>
          <w:b/>
          <w:color w:val="auto"/>
          <w:highlight w:val="none"/>
        </w:rPr>
      </w:pPr>
      <w:bookmarkStart w:id="41" w:name="_Toc28359018"/>
      <w:bookmarkStart w:id="42" w:name="_Toc28359095"/>
      <w:bookmarkStart w:id="43" w:name="_Toc35393636"/>
      <w:bookmarkStart w:id="44" w:name="_Toc35393805"/>
      <w:r>
        <w:rPr>
          <w:rFonts w:hint="eastAsia" w:ascii="宋体" w:hAnsi="宋体"/>
          <w:b/>
          <w:color w:val="auto"/>
          <w:highlight w:val="none"/>
        </w:rPr>
        <w:t>八、凡对本次采购提出询问，请按</w:t>
      </w:r>
      <w:r>
        <w:rPr>
          <w:rFonts w:ascii="宋体" w:hAnsi="宋体"/>
          <w:b/>
          <w:color w:val="auto"/>
          <w:highlight w:val="none"/>
        </w:rPr>
        <w:t>以下方式</w:t>
      </w:r>
      <w:r>
        <w:rPr>
          <w:rFonts w:hint="eastAsia" w:ascii="宋体" w:hAnsi="宋体"/>
          <w:b/>
          <w:color w:val="auto"/>
          <w:highlight w:val="none"/>
        </w:rPr>
        <w:t>联系。</w:t>
      </w:r>
      <w:bookmarkEnd w:id="41"/>
      <w:bookmarkEnd w:id="42"/>
      <w:bookmarkEnd w:id="43"/>
      <w:bookmarkEnd w:id="44"/>
    </w:p>
    <w:p w14:paraId="2E063A8E">
      <w:pPr>
        <w:spacing w:line="400" w:lineRule="exact"/>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采购人信息</w:t>
      </w:r>
    </w:p>
    <w:p w14:paraId="64295C9B">
      <w:pPr>
        <w:spacing w:line="380" w:lineRule="exact"/>
        <w:ind w:firstLine="420" w:firstLineChars="200"/>
        <w:rPr>
          <w:rFonts w:ascii="宋体"/>
          <w:color w:val="auto"/>
          <w:highlight w:val="none"/>
        </w:rPr>
      </w:pP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称：广西壮族自治区自然资源生态修复中心</w:t>
      </w:r>
    </w:p>
    <w:p w14:paraId="6890137D">
      <w:pPr>
        <w:spacing w:line="380" w:lineRule="exact"/>
        <w:ind w:firstLine="420" w:firstLineChars="200"/>
        <w:rPr>
          <w:rFonts w:asci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s="宋体"/>
          <w:color w:val="auto"/>
          <w:szCs w:val="21"/>
          <w:highlight w:val="none"/>
        </w:rPr>
        <w:t>广西南宁市青秀区中新路2号</w:t>
      </w:r>
    </w:p>
    <w:p w14:paraId="0EB31DA0">
      <w:pPr>
        <w:spacing w:line="400" w:lineRule="exact"/>
        <w:ind w:firstLine="420" w:firstLineChars="200"/>
        <w:rPr>
          <w:rFonts w:ascii="宋体" w:cs="宋体"/>
          <w:color w:val="auto"/>
          <w:highlight w:val="none"/>
        </w:rPr>
      </w:pPr>
      <w:r>
        <w:rPr>
          <w:rFonts w:hint="eastAsia" w:ascii="宋体" w:hAnsi="宋体" w:cs="宋体"/>
          <w:color w:val="auto"/>
          <w:highlight w:val="none"/>
        </w:rPr>
        <w:t>联系方式</w:t>
      </w:r>
      <w:bookmarkStart w:id="45" w:name="_Toc28359086"/>
      <w:bookmarkStart w:id="46" w:name="_Toc28359009"/>
      <w:r>
        <w:rPr>
          <w:rFonts w:hint="eastAsia" w:ascii="宋体" w:hAnsi="宋体" w:cs="宋体"/>
          <w:color w:val="auto"/>
          <w:highlight w:val="none"/>
        </w:rPr>
        <w:t>：徐栋，</w:t>
      </w:r>
      <w:r>
        <w:rPr>
          <w:rFonts w:hint="eastAsia" w:ascii="宋体" w:hAnsi="宋体" w:cs="宋体"/>
          <w:color w:val="auto"/>
          <w:szCs w:val="21"/>
          <w:highlight w:val="none"/>
        </w:rPr>
        <w:t>0771-5388279</w:t>
      </w:r>
    </w:p>
    <w:p w14:paraId="31850D0B">
      <w:pPr>
        <w:spacing w:line="400" w:lineRule="exact"/>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采购代理机构信息</w:t>
      </w:r>
      <w:bookmarkEnd w:id="45"/>
      <w:bookmarkEnd w:id="46"/>
    </w:p>
    <w:p w14:paraId="17AADE94">
      <w:pPr>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名称：天勤工程咨询有限公司</w:t>
      </w:r>
    </w:p>
    <w:p w14:paraId="1CC7A0F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联系地址：南宁市民族大道</w:t>
      </w:r>
      <w:r>
        <w:rPr>
          <w:rFonts w:ascii="宋体" w:hAnsi="宋体" w:cs="宋体"/>
          <w:bCs/>
          <w:color w:val="auto"/>
          <w:szCs w:val="21"/>
          <w:highlight w:val="none"/>
        </w:rPr>
        <w:t>157</w:t>
      </w:r>
      <w:r>
        <w:rPr>
          <w:rFonts w:hint="eastAsia" w:ascii="宋体" w:hAnsi="宋体" w:cs="宋体"/>
          <w:bCs/>
          <w:color w:val="auto"/>
          <w:szCs w:val="21"/>
          <w:highlight w:val="none"/>
        </w:rPr>
        <w:t>号财富国际广场</w:t>
      </w:r>
      <w:r>
        <w:rPr>
          <w:rFonts w:ascii="宋体" w:hAnsi="宋体" w:cs="宋体"/>
          <w:bCs/>
          <w:color w:val="auto"/>
          <w:szCs w:val="21"/>
          <w:highlight w:val="none"/>
        </w:rPr>
        <w:t>3</w:t>
      </w:r>
      <w:r>
        <w:rPr>
          <w:rFonts w:hint="eastAsia" w:ascii="宋体" w:hAnsi="宋体" w:cs="宋体"/>
          <w:bCs/>
          <w:color w:val="auto"/>
          <w:szCs w:val="21"/>
          <w:highlight w:val="none"/>
        </w:rPr>
        <w:t>号楼</w:t>
      </w:r>
      <w:r>
        <w:rPr>
          <w:rFonts w:ascii="宋体" w:hAnsi="宋体" w:cs="宋体"/>
          <w:bCs/>
          <w:color w:val="auto"/>
          <w:szCs w:val="21"/>
          <w:highlight w:val="none"/>
        </w:rPr>
        <w:t>2</w:t>
      </w:r>
      <w:r>
        <w:rPr>
          <w:rFonts w:hint="eastAsia" w:ascii="宋体" w:hAnsi="宋体" w:cs="宋体"/>
          <w:bCs/>
          <w:color w:val="auto"/>
          <w:szCs w:val="21"/>
          <w:highlight w:val="none"/>
        </w:rPr>
        <w:t>5</w:t>
      </w:r>
      <w:r>
        <w:rPr>
          <w:rFonts w:ascii="宋体" w:hAnsi="宋体" w:cs="宋体"/>
          <w:bCs/>
          <w:color w:val="auto"/>
          <w:szCs w:val="21"/>
          <w:highlight w:val="none"/>
        </w:rPr>
        <w:t>01</w:t>
      </w:r>
    </w:p>
    <w:p w14:paraId="15AC5435">
      <w:pPr>
        <w:spacing w:line="360" w:lineRule="auto"/>
        <w:ind w:firstLine="420" w:firstLineChars="200"/>
        <w:rPr>
          <w:rFonts w:ascii="宋体" w:cs="宋体"/>
          <w:bCs/>
          <w:color w:val="auto"/>
          <w:sz w:val="24"/>
          <w:highlight w:val="none"/>
        </w:rPr>
      </w:pPr>
      <w:r>
        <w:rPr>
          <w:rFonts w:hint="eastAsia" w:ascii="宋体" w:hAnsi="宋体" w:cs="宋体"/>
          <w:bCs/>
          <w:color w:val="auto"/>
          <w:szCs w:val="21"/>
          <w:highlight w:val="none"/>
        </w:rPr>
        <w:t>联系人：刘熙堂、刘晓玲，</w:t>
      </w:r>
      <w:r>
        <w:rPr>
          <w:rFonts w:ascii="宋体" w:hAnsi="宋体" w:cs="宋体"/>
          <w:bCs/>
          <w:color w:val="auto"/>
          <w:szCs w:val="21"/>
          <w:highlight w:val="none"/>
        </w:rPr>
        <w:t>0771-5784126</w:t>
      </w:r>
    </w:p>
    <w:p w14:paraId="38DAEE53">
      <w:pPr>
        <w:spacing w:line="400" w:lineRule="exact"/>
        <w:ind w:firstLine="420" w:firstLineChars="200"/>
        <w:rPr>
          <w:rFonts w:ascii="宋体" w:cs="宋体"/>
          <w:color w:val="auto"/>
          <w:highlight w:val="none"/>
        </w:rPr>
      </w:pPr>
    </w:p>
    <w:p w14:paraId="56932647">
      <w:pPr>
        <w:pStyle w:val="108"/>
        <w:rPr>
          <w:color w:val="auto"/>
          <w:highlight w:val="none"/>
        </w:rPr>
      </w:pPr>
    </w:p>
    <w:p w14:paraId="3DF8C6CA">
      <w:pPr>
        <w:snapToGrid w:val="0"/>
        <w:spacing w:line="360" w:lineRule="exact"/>
        <w:ind w:left="238"/>
        <w:jc w:val="right"/>
        <w:rPr>
          <w:rFonts w:ascii="宋体" w:cs="宋体"/>
          <w:color w:val="auto"/>
          <w:highlight w:val="none"/>
        </w:rPr>
      </w:pPr>
      <w:r>
        <w:rPr>
          <w:rFonts w:hint="eastAsia" w:ascii="宋体" w:hAnsi="宋体" w:cs="宋体"/>
          <w:color w:val="auto"/>
          <w:highlight w:val="none"/>
        </w:rPr>
        <w:t>天勤工程咨询有限公司</w:t>
      </w:r>
    </w:p>
    <w:p w14:paraId="4C611941">
      <w:pPr>
        <w:spacing w:line="400" w:lineRule="exact"/>
        <w:jc w:val="center"/>
        <w:rPr>
          <w:rFonts w:ascii="宋体" w:hAnsi="宋体"/>
          <w:b/>
          <w:color w:val="auto"/>
          <w:sz w:val="32"/>
          <w:szCs w:val="32"/>
          <w:highlight w:val="none"/>
        </w:rPr>
      </w:pPr>
      <w:r>
        <w:rPr>
          <w:rFonts w:hint="eastAsia" w:ascii="宋体" w:hAnsi="宋体" w:cs="宋体"/>
          <w:color w:val="auto"/>
          <w:highlight w:val="none"/>
        </w:rPr>
        <w:t xml:space="preserve">                                                                             2025年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15</w:t>
      </w:r>
      <w:bookmarkStart w:id="89" w:name="_GoBack"/>
      <w:bookmarkEnd w:id="89"/>
      <w:r>
        <w:rPr>
          <w:rFonts w:hint="eastAsia" w:ascii="宋体" w:hAnsi="宋体" w:cs="宋体"/>
          <w:color w:val="auto"/>
          <w:highlight w:val="none"/>
        </w:rPr>
        <w:t>日</w:t>
      </w:r>
    </w:p>
    <w:p w14:paraId="40B09A2A">
      <w:pPr>
        <w:spacing w:line="400" w:lineRule="exact"/>
        <w:jc w:val="center"/>
        <w:rPr>
          <w:rFonts w:ascii="宋体" w:hAnsi="宋体"/>
          <w:b/>
          <w:color w:val="auto"/>
          <w:sz w:val="32"/>
          <w:szCs w:val="32"/>
          <w:highlight w:val="none"/>
        </w:rPr>
      </w:pPr>
    </w:p>
    <w:p w14:paraId="53D7C2A9">
      <w:pPr>
        <w:spacing w:line="400" w:lineRule="exact"/>
        <w:jc w:val="center"/>
        <w:rPr>
          <w:rFonts w:ascii="宋体" w:hAnsi="宋体"/>
          <w:b/>
          <w:color w:val="auto"/>
          <w:sz w:val="32"/>
          <w:szCs w:val="32"/>
          <w:highlight w:val="none"/>
        </w:rPr>
      </w:pPr>
    </w:p>
    <w:p w14:paraId="209BD917">
      <w:pPr>
        <w:spacing w:line="400" w:lineRule="exact"/>
        <w:jc w:val="center"/>
        <w:rPr>
          <w:rFonts w:ascii="宋体" w:hAnsi="宋体"/>
          <w:b/>
          <w:color w:val="auto"/>
          <w:sz w:val="32"/>
          <w:szCs w:val="32"/>
          <w:highlight w:val="none"/>
        </w:rPr>
      </w:pPr>
    </w:p>
    <w:p w14:paraId="3F41C45D">
      <w:pPr>
        <w:spacing w:line="400" w:lineRule="exact"/>
        <w:jc w:val="center"/>
        <w:rPr>
          <w:rFonts w:ascii="宋体" w:hAnsi="宋体"/>
          <w:b/>
          <w:color w:val="auto"/>
          <w:sz w:val="32"/>
          <w:szCs w:val="32"/>
          <w:highlight w:val="none"/>
        </w:rPr>
      </w:pPr>
    </w:p>
    <w:p w14:paraId="11BCC54C">
      <w:pPr>
        <w:spacing w:line="400" w:lineRule="exact"/>
        <w:jc w:val="center"/>
        <w:rPr>
          <w:rFonts w:ascii="宋体" w:hAnsi="宋体"/>
          <w:b/>
          <w:color w:val="auto"/>
          <w:sz w:val="32"/>
          <w:szCs w:val="32"/>
          <w:highlight w:val="none"/>
        </w:rPr>
      </w:pPr>
    </w:p>
    <w:p w14:paraId="00B6DAB8">
      <w:pPr>
        <w:spacing w:line="400" w:lineRule="exact"/>
        <w:jc w:val="center"/>
        <w:rPr>
          <w:rFonts w:ascii="宋体" w:hAnsi="宋体"/>
          <w:b/>
          <w:color w:val="auto"/>
          <w:sz w:val="32"/>
          <w:szCs w:val="32"/>
          <w:highlight w:val="none"/>
        </w:rPr>
      </w:pPr>
    </w:p>
    <w:p w14:paraId="39530E9C">
      <w:pPr>
        <w:spacing w:line="400" w:lineRule="exact"/>
        <w:jc w:val="center"/>
        <w:rPr>
          <w:rFonts w:ascii="宋体" w:hAnsi="宋体"/>
          <w:b/>
          <w:color w:val="auto"/>
          <w:sz w:val="32"/>
          <w:szCs w:val="32"/>
          <w:highlight w:val="none"/>
        </w:rPr>
      </w:pPr>
    </w:p>
    <w:p w14:paraId="143A8F7F">
      <w:pPr>
        <w:spacing w:line="400" w:lineRule="exact"/>
        <w:jc w:val="center"/>
        <w:rPr>
          <w:rFonts w:ascii="宋体" w:hAnsi="宋体"/>
          <w:b/>
          <w:color w:val="auto"/>
          <w:sz w:val="32"/>
          <w:szCs w:val="32"/>
          <w:highlight w:val="none"/>
        </w:rPr>
      </w:pPr>
    </w:p>
    <w:p w14:paraId="691E766E">
      <w:pPr>
        <w:spacing w:line="400" w:lineRule="exact"/>
        <w:jc w:val="center"/>
        <w:rPr>
          <w:rFonts w:ascii="宋体" w:hAnsi="宋体"/>
          <w:b/>
          <w:color w:val="auto"/>
          <w:sz w:val="32"/>
          <w:szCs w:val="32"/>
          <w:highlight w:val="none"/>
        </w:rPr>
      </w:pPr>
    </w:p>
    <w:p w14:paraId="5D2BE615">
      <w:pPr>
        <w:spacing w:line="400" w:lineRule="exact"/>
        <w:jc w:val="center"/>
        <w:rPr>
          <w:rFonts w:ascii="宋体" w:hAnsi="宋体"/>
          <w:b/>
          <w:color w:val="auto"/>
          <w:sz w:val="32"/>
          <w:szCs w:val="32"/>
          <w:highlight w:val="none"/>
        </w:rPr>
      </w:pPr>
    </w:p>
    <w:p w14:paraId="45579131">
      <w:pPr>
        <w:spacing w:line="400" w:lineRule="exact"/>
        <w:jc w:val="center"/>
        <w:rPr>
          <w:rFonts w:ascii="宋体" w:hAnsi="宋体"/>
          <w:b/>
          <w:color w:val="auto"/>
          <w:sz w:val="32"/>
          <w:szCs w:val="32"/>
          <w:highlight w:val="none"/>
        </w:rPr>
      </w:pPr>
    </w:p>
    <w:p w14:paraId="19B50D20">
      <w:pPr>
        <w:spacing w:line="400" w:lineRule="exact"/>
        <w:rPr>
          <w:rFonts w:ascii="宋体" w:hAnsi="宋体"/>
          <w:b/>
          <w:color w:val="auto"/>
          <w:sz w:val="32"/>
          <w:szCs w:val="32"/>
          <w:highlight w:val="none"/>
        </w:rPr>
      </w:pPr>
    </w:p>
    <w:p w14:paraId="5EA8F010">
      <w:pPr>
        <w:pStyle w:val="35"/>
        <w:rPr>
          <w:color w:val="auto"/>
          <w:sz w:val="44"/>
          <w:szCs w:val="44"/>
          <w:highlight w:val="none"/>
        </w:rPr>
      </w:pPr>
      <w:bookmarkStart w:id="47" w:name="_Toc476258663"/>
      <w:bookmarkStart w:id="48" w:name="_Toc476258757"/>
    </w:p>
    <w:p w14:paraId="15B0F2AC">
      <w:pPr>
        <w:pStyle w:val="35"/>
        <w:rPr>
          <w:color w:val="auto"/>
          <w:sz w:val="44"/>
          <w:szCs w:val="44"/>
          <w:highlight w:val="none"/>
        </w:rPr>
      </w:pPr>
    </w:p>
    <w:p w14:paraId="1505FC2A">
      <w:pPr>
        <w:pStyle w:val="35"/>
        <w:rPr>
          <w:color w:val="auto"/>
          <w:sz w:val="44"/>
          <w:szCs w:val="44"/>
          <w:highlight w:val="none"/>
        </w:rPr>
      </w:pPr>
    </w:p>
    <w:p w14:paraId="09E5A4FE">
      <w:pPr>
        <w:rPr>
          <w:color w:val="auto"/>
          <w:sz w:val="44"/>
          <w:szCs w:val="44"/>
          <w:highlight w:val="none"/>
        </w:rPr>
      </w:pPr>
    </w:p>
    <w:p w14:paraId="16CFA853">
      <w:pPr>
        <w:rPr>
          <w:color w:val="auto"/>
          <w:sz w:val="44"/>
          <w:szCs w:val="44"/>
          <w:highlight w:val="none"/>
        </w:rPr>
      </w:pPr>
    </w:p>
    <w:p w14:paraId="0F5B8E60">
      <w:pPr>
        <w:rPr>
          <w:color w:val="auto"/>
          <w:sz w:val="44"/>
          <w:szCs w:val="44"/>
          <w:highlight w:val="none"/>
        </w:rPr>
      </w:pPr>
    </w:p>
    <w:p w14:paraId="1F649DC8">
      <w:pPr>
        <w:rPr>
          <w:color w:val="auto"/>
          <w:sz w:val="44"/>
          <w:szCs w:val="44"/>
          <w:highlight w:val="none"/>
        </w:rPr>
      </w:pPr>
    </w:p>
    <w:p w14:paraId="56EB66D6">
      <w:pPr>
        <w:pStyle w:val="35"/>
        <w:jc w:val="both"/>
        <w:rPr>
          <w:color w:val="auto"/>
          <w:sz w:val="44"/>
          <w:szCs w:val="44"/>
          <w:highlight w:val="none"/>
        </w:rPr>
      </w:pPr>
    </w:p>
    <w:p w14:paraId="1C21A090">
      <w:pPr>
        <w:rPr>
          <w:color w:val="auto"/>
          <w:sz w:val="44"/>
          <w:szCs w:val="44"/>
          <w:highlight w:val="none"/>
        </w:rPr>
      </w:pPr>
      <w:r>
        <w:rPr>
          <w:rFonts w:hint="eastAsia"/>
          <w:color w:val="auto"/>
          <w:sz w:val="44"/>
          <w:szCs w:val="44"/>
          <w:highlight w:val="none"/>
        </w:rPr>
        <w:br w:type="page"/>
      </w:r>
    </w:p>
    <w:p w14:paraId="1F52DA4D">
      <w:pPr>
        <w:pStyle w:val="35"/>
        <w:rPr>
          <w:color w:val="auto"/>
          <w:sz w:val="44"/>
          <w:szCs w:val="44"/>
          <w:highlight w:val="none"/>
        </w:rPr>
      </w:pPr>
    </w:p>
    <w:p w14:paraId="0833FDAE">
      <w:pPr>
        <w:pStyle w:val="35"/>
        <w:rPr>
          <w:color w:val="auto"/>
          <w:sz w:val="44"/>
          <w:szCs w:val="44"/>
          <w:highlight w:val="none"/>
        </w:rPr>
      </w:pPr>
    </w:p>
    <w:p w14:paraId="2B591177">
      <w:pPr>
        <w:pStyle w:val="35"/>
        <w:rPr>
          <w:color w:val="auto"/>
          <w:sz w:val="44"/>
          <w:szCs w:val="44"/>
          <w:highlight w:val="none"/>
        </w:rPr>
      </w:pPr>
    </w:p>
    <w:p w14:paraId="52473886">
      <w:pPr>
        <w:pStyle w:val="35"/>
        <w:rPr>
          <w:color w:val="auto"/>
          <w:sz w:val="44"/>
          <w:szCs w:val="44"/>
          <w:highlight w:val="none"/>
        </w:rPr>
      </w:pPr>
    </w:p>
    <w:p w14:paraId="71ADBEB7">
      <w:pPr>
        <w:pStyle w:val="35"/>
        <w:rPr>
          <w:color w:val="auto"/>
          <w:sz w:val="44"/>
          <w:szCs w:val="44"/>
          <w:highlight w:val="none"/>
        </w:rPr>
      </w:pPr>
    </w:p>
    <w:p w14:paraId="1EB3043A">
      <w:pPr>
        <w:pStyle w:val="35"/>
        <w:rPr>
          <w:color w:val="auto"/>
          <w:sz w:val="44"/>
          <w:szCs w:val="44"/>
          <w:highlight w:val="none"/>
        </w:rPr>
      </w:pPr>
    </w:p>
    <w:p w14:paraId="5A525FB3">
      <w:pPr>
        <w:pStyle w:val="35"/>
        <w:rPr>
          <w:color w:val="auto"/>
          <w:sz w:val="44"/>
          <w:szCs w:val="44"/>
          <w:highlight w:val="none"/>
        </w:rPr>
      </w:pPr>
    </w:p>
    <w:p w14:paraId="7C380E7E">
      <w:pPr>
        <w:pStyle w:val="35"/>
        <w:rPr>
          <w:color w:val="auto"/>
          <w:sz w:val="44"/>
          <w:szCs w:val="44"/>
          <w:highlight w:val="none"/>
        </w:rPr>
      </w:pPr>
    </w:p>
    <w:p w14:paraId="6BFF135E">
      <w:pPr>
        <w:pStyle w:val="35"/>
        <w:rPr>
          <w:color w:val="auto"/>
          <w:sz w:val="44"/>
          <w:szCs w:val="44"/>
          <w:highlight w:val="none"/>
        </w:rPr>
      </w:pPr>
    </w:p>
    <w:p w14:paraId="6C81340B">
      <w:pPr>
        <w:pStyle w:val="35"/>
        <w:rPr>
          <w:color w:val="auto"/>
          <w:sz w:val="44"/>
          <w:szCs w:val="44"/>
          <w:highlight w:val="none"/>
        </w:rPr>
      </w:pPr>
      <w:r>
        <w:rPr>
          <w:rFonts w:hint="eastAsia"/>
          <w:color w:val="auto"/>
          <w:sz w:val="44"/>
          <w:szCs w:val="44"/>
          <w:highlight w:val="none"/>
        </w:rPr>
        <w:t>第二章</w:t>
      </w:r>
      <w:r>
        <w:rPr>
          <w:color w:val="auto"/>
          <w:sz w:val="44"/>
          <w:szCs w:val="44"/>
          <w:highlight w:val="none"/>
        </w:rPr>
        <w:t xml:space="preserve">  </w:t>
      </w:r>
      <w:r>
        <w:rPr>
          <w:rFonts w:hint="eastAsia"/>
          <w:color w:val="auto"/>
          <w:sz w:val="44"/>
          <w:szCs w:val="44"/>
          <w:highlight w:val="none"/>
        </w:rPr>
        <w:t>磋商供应商须知</w:t>
      </w:r>
      <w:bookmarkEnd w:id="47"/>
      <w:bookmarkEnd w:id="48"/>
    </w:p>
    <w:p w14:paraId="397BE1DD">
      <w:pPr>
        <w:spacing w:line="72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磋商供应商须知前附表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10"/>
      </w:tblGrid>
      <w:tr w14:paraId="61BD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11C30B87">
            <w:pPr>
              <w:pStyle w:val="97"/>
              <w:spacing w:line="400" w:lineRule="exact"/>
              <w:jc w:val="center"/>
              <w:rPr>
                <w:color w:val="auto"/>
                <w:highlight w:val="none"/>
              </w:rPr>
            </w:pPr>
            <w:r>
              <w:rPr>
                <w:rFonts w:hint="eastAsia"/>
                <w:color w:val="auto"/>
                <w:highlight w:val="none"/>
              </w:rPr>
              <w:t>序号</w:t>
            </w:r>
          </w:p>
        </w:tc>
        <w:tc>
          <w:tcPr>
            <w:tcW w:w="8510" w:type="dxa"/>
          </w:tcPr>
          <w:p w14:paraId="3EE32079">
            <w:pPr>
              <w:pStyle w:val="97"/>
              <w:spacing w:line="400" w:lineRule="exact"/>
              <w:jc w:val="center"/>
              <w:rPr>
                <w:color w:val="auto"/>
                <w:highlight w:val="none"/>
              </w:rPr>
            </w:pPr>
            <w:r>
              <w:rPr>
                <w:rFonts w:hint="eastAsia"/>
                <w:color w:val="auto"/>
                <w:highlight w:val="none"/>
              </w:rPr>
              <w:t>内</w:t>
            </w:r>
            <w:r>
              <w:rPr>
                <w:color w:val="auto"/>
                <w:highlight w:val="none"/>
              </w:rPr>
              <w:t xml:space="preserve">    </w:t>
            </w:r>
            <w:r>
              <w:rPr>
                <w:rFonts w:hint="eastAsia"/>
                <w:color w:val="auto"/>
                <w:highlight w:val="none"/>
              </w:rPr>
              <w:t>容</w:t>
            </w:r>
          </w:p>
        </w:tc>
      </w:tr>
      <w:tr w14:paraId="47EE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2F4B8D0C">
            <w:pPr>
              <w:pStyle w:val="97"/>
              <w:numPr>
                <w:ilvl w:val="0"/>
                <w:numId w:val="3"/>
              </w:numPr>
              <w:spacing w:line="390" w:lineRule="exact"/>
              <w:jc w:val="center"/>
              <w:rPr>
                <w:color w:val="auto"/>
                <w:highlight w:val="none"/>
              </w:rPr>
            </w:pPr>
          </w:p>
        </w:tc>
        <w:tc>
          <w:tcPr>
            <w:tcW w:w="8510" w:type="dxa"/>
            <w:vAlign w:val="center"/>
          </w:tcPr>
          <w:p w14:paraId="07100E5E">
            <w:pPr>
              <w:pStyle w:val="97"/>
              <w:spacing w:line="390" w:lineRule="exact"/>
              <w:rPr>
                <w:rFonts w:hAnsi="宋体"/>
                <w:bCs/>
                <w:color w:val="auto"/>
                <w:szCs w:val="21"/>
                <w:highlight w:val="none"/>
              </w:rPr>
            </w:pPr>
            <w:r>
              <w:rPr>
                <w:rFonts w:hint="eastAsia"/>
                <w:color w:val="auto"/>
                <w:highlight w:val="none"/>
              </w:rPr>
              <w:t>采购项目名称：广西壮族自治区自然资源生态修复中心业务租车服务采购</w:t>
            </w:r>
          </w:p>
          <w:p w14:paraId="7EF4B4C3">
            <w:pPr>
              <w:pStyle w:val="97"/>
              <w:spacing w:line="390" w:lineRule="exact"/>
              <w:rPr>
                <w:rFonts w:hint="eastAsia" w:hAnsi="宋体" w:eastAsia="宋体"/>
                <w:bCs/>
                <w:color w:val="auto"/>
                <w:szCs w:val="21"/>
                <w:highlight w:val="none"/>
                <w:lang w:eastAsia="zh-CN"/>
              </w:rPr>
            </w:pPr>
            <w:r>
              <w:rPr>
                <w:rFonts w:hint="eastAsia"/>
                <w:color w:val="auto"/>
                <w:highlight w:val="none"/>
              </w:rPr>
              <w:t>采购项目编号：</w:t>
            </w:r>
            <w:r>
              <w:rPr>
                <w:rFonts w:hint="eastAsia"/>
                <w:color w:val="auto"/>
                <w:highlight w:val="none"/>
                <w:lang w:eastAsia="zh-CN"/>
              </w:rPr>
              <w:t>GXZC2025-C3-002387-TQGC</w:t>
            </w:r>
          </w:p>
        </w:tc>
      </w:tr>
      <w:tr w14:paraId="6130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2866DE7B">
            <w:pPr>
              <w:pStyle w:val="97"/>
              <w:numPr>
                <w:ilvl w:val="0"/>
                <w:numId w:val="3"/>
              </w:numPr>
              <w:spacing w:line="390" w:lineRule="exact"/>
              <w:jc w:val="center"/>
              <w:rPr>
                <w:color w:val="auto"/>
                <w:highlight w:val="none"/>
              </w:rPr>
            </w:pPr>
          </w:p>
        </w:tc>
        <w:tc>
          <w:tcPr>
            <w:tcW w:w="8510" w:type="dxa"/>
            <w:vAlign w:val="center"/>
          </w:tcPr>
          <w:p w14:paraId="326E16C3">
            <w:pPr>
              <w:pStyle w:val="97"/>
              <w:spacing w:line="390" w:lineRule="exact"/>
              <w:ind w:left="-36" w:firstLine="36"/>
              <w:rPr>
                <w:color w:val="auto"/>
                <w:highlight w:val="none"/>
              </w:rPr>
            </w:pPr>
            <w:r>
              <w:rPr>
                <w:rFonts w:hint="eastAsia"/>
                <w:color w:val="auto"/>
                <w:highlight w:val="none"/>
              </w:rPr>
              <w:t>供应商资格：按第一章竞争性磋商第二条规定。</w:t>
            </w:r>
          </w:p>
        </w:tc>
      </w:tr>
      <w:tr w14:paraId="395B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38F8E973">
            <w:pPr>
              <w:pStyle w:val="97"/>
              <w:numPr>
                <w:ilvl w:val="0"/>
                <w:numId w:val="3"/>
              </w:numPr>
              <w:spacing w:line="390" w:lineRule="exact"/>
              <w:jc w:val="center"/>
              <w:rPr>
                <w:color w:val="auto"/>
                <w:highlight w:val="none"/>
              </w:rPr>
            </w:pPr>
          </w:p>
        </w:tc>
        <w:tc>
          <w:tcPr>
            <w:tcW w:w="8510" w:type="dxa"/>
            <w:vAlign w:val="center"/>
          </w:tcPr>
          <w:p w14:paraId="107FB9B7">
            <w:pPr>
              <w:spacing w:line="390" w:lineRule="exact"/>
              <w:rPr>
                <w:rFonts w:ascii="宋体" w:hAnsi="宋体"/>
                <w:color w:val="auto"/>
                <w:szCs w:val="21"/>
                <w:highlight w:val="none"/>
              </w:rPr>
            </w:pPr>
            <w:r>
              <w:rPr>
                <w:rFonts w:hint="eastAsia"/>
                <w:color w:val="auto"/>
                <w:highlight w:val="none"/>
              </w:rPr>
              <w:t>磋商报价：供应商必须就所竞项目的全部内容作完整唯一报价，漏项报价的或有选择的或有条件的报价，其响应文件将视为无效。</w:t>
            </w:r>
          </w:p>
        </w:tc>
      </w:tr>
      <w:tr w14:paraId="0B1D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24760240">
            <w:pPr>
              <w:pStyle w:val="97"/>
              <w:numPr>
                <w:ilvl w:val="0"/>
                <w:numId w:val="3"/>
              </w:numPr>
              <w:spacing w:line="390" w:lineRule="exact"/>
              <w:jc w:val="center"/>
              <w:rPr>
                <w:color w:val="auto"/>
                <w:highlight w:val="none"/>
              </w:rPr>
            </w:pPr>
          </w:p>
        </w:tc>
        <w:tc>
          <w:tcPr>
            <w:tcW w:w="8510" w:type="dxa"/>
            <w:vAlign w:val="center"/>
          </w:tcPr>
          <w:p w14:paraId="5AB7567B">
            <w:pPr>
              <w:spacing w:line="390" w:lineRule="exact"/>
              <w:rPr>
                <w:rFonts w:ascii="宋体" w:hAnsi="宋体"/>
                <w:color w:val="auto"/>
                <w:highlight w:val="none"/>
              </w:rPr>
            </w:pPr>
            <w:r>
              <w:rPr>
                <w:rFonts w:hint="eastAsia" w:ascii="宋体" w:hAnsi="宋体"/>
                <w:color w:val="auto"/>
                <w:highlight w:val="none"/>
              </w:rPr>
              <w:t>成交服务费：每个供应商招标代理服务费固定收费</w:t>
            </w:r>
            <w:r>
              <w:rPr>
                <w:rFonts w:ascii="宋体" w:hAnsi="宋体"/>
                <w:color w:val="auto"/>
                <w:highlight w:val="none"/>
              </w:rPr>
              <w:t>1000元，成交供应商在领取成交通知书时，应向</w:t>
            </w:r>
            <w:r>
              <w:rPr>
                <w:rFonts w:hint="eastAsia" w:ascii="宋体" w:hAnsi="宋体"/>
                <w:color w:val="auto"/>
                <w:highlight w:val="none"/>
              </w:rPr>
              <w:t>天勤工程咨询有限公司一次付清代理服务费。</w:t>
            </w:r>
          </w:p>
        </w:tc>
      </w:tr>
      <w:tr w14:paraId="20CE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779377AB">
            <w:pPr>
              <w:pStyle w:val="97"/>
              <w:numPr>
                <w:ilvl w:val="0"/>
                <w:numId w:val="3"/>
              </w:numPr>
              <w:spacing w:line="390" w:lineRule="exact"/>
              <w:jc w:val="center"/>
              <w:rPr>
                <w:color w:val="auto"/>
                <w:highlight w:val="none"/>
              </w:rPr>
            </w:pPr>
          </w:p>
        </w:tc>
        <w:tc>
          <w:tcPr>
            <w:tcW w:w="8510" w:type="dxa"/>
            <w:vAlign w:val="center"/>
          </w:tcPr>
          <w:p w14:paraId="439CA0DB">
            <w:pPr>
              <w:pStyle w:val="21"/>
              <w:rPr>
                <w:color w:val="auto"/>
                <w:highlight w:val="none"/>
              </w:rPr>
            </w:pPr>
            <w:r>
              <w:rPr>
                <w:rFonts w:hint="eastAsia"/>
                <w:color w:val="auto"/>
                <w:highlight w:val="none"/>
              </w:rPr>
              <w:t>响应文件的上传和提交：本项目通过“广西政府采购云平台（https://www.gcy.zfcg.gxzf.gov.cn/）”实行在线竞标响应（电子标），竞标供应商应当在</w:t>
            </w:r>
            <w:r>
              <w:rPr>
                <w:rFonts w:hint="eastAsia"/>
                <w:b/>
                <w:color w:val="auto"/>
                <w:highlight w:val="none"/>
              </w:rPr>
              <w:t>响应文件提交截止时间</w:t>
            </w:r>
            <w:r>
              <w:rPr>
                <w:rFonts w:hint="eastAsia"/>
                <w:color w:val="auto"/>
                <w:highlight w:val="none"/>
              </w:rPr>
              <w:t>前，将生成的“电子加密响应文件”上传提交至“广西政府采购云平台”。</w:t>
            </w:r>
          </w:p>
          <w:p w14:paraId="7C0A15FB">
            <w:pPr>
              <w:pStyle w:val="21"/>
              <w:rPr>
                <w:color w:val="auto"/>
                <w:highlight w:val="none"/>
              </w:rPr>
            </w:pPr>
            <w:r>
              <w:rPr>
                <w:rFonts w:hint="eastAsia"/>
                <w:color w:val="auto"/>
                <w:highlight w:val="none"/>
              </w:rPr>
              <w:t>“电子加密响应文件”的上传、提交：</w:t>
            </w:r>
          </w:p>
          <w:p w14:paraId="234D6093">
            <w:pPr>
              <w:pStyle w:val="21"/>
              <w:rPr>
                <w:color w:val="auto"/>
                <w:highlight w:val="none"/>
              </w:rPr>
            </w:pPr>
            <w:r>
              <w:rPr>
                <w:rFonts w:hint="eastAsia"/>
                <w:color w:val="auto"/>
                <w:highlight w:val="none"/>
              </w:rPr>
              <w:t>a.磋商供应商应在</w:t>
            </w:r>
            <w:r>
              <w:rPr>
                <w:rFonts w:hint="eastAsia"/>
                <w:b/>
                <w:color w:val="auto"/>
                <w:highlight w:val="none"/>
              </w:rPr>
              <w:t>响应文件提交截止时间</w:t>
            </w:r>
            <w:r>
              <w:rPr>
                <w:rFonts w:hint="eastAsia"/>
                <w:color w:val="auto"/>
                <w:highlight w:val="none"/>
              </w:rPr>
              <w:t>前将“电子加密响应文件”成功上传提交至“广西政府采购云平台”，否则磋商无效。</w:t>
            </w:r>
          </w:p>
          <w:p w14:paraId="1F0FC36A">
            <w:pPr>
              <w:pStyle w:val="21"/>
              <w:spacing w:line="390" w:lineRule="exact"/>
              <w:rPr>
                <w:rFonts w:hAnsi="宋体"/>
                <w:color w:val="auto"/>
                <w:highlight w:val="none"/>
              </w:rPr>
            </w:pPr>
            <w:r>
              <w:rPr>
                <w:color w:val="auto"/>
                <w:highlight w:val="none"/>
              </w:rPr>
              <w:t>b</w:t>
            </w:r>
            <w:r>
              <w:rPr>
                <w:rFonts w:hint="eastAsia"/>
                <w:color w:val="auto"/>
                <w:highlight w:val="none"/>
              </w:rPr>
              <w:t>.“电子加密磋商响应文件”成功上传提交后，供应商可自行打印响应文件接收回执。</w:t>
            </w:r>
          </w:p>
        </w:tc>
      </w:tr>
      <w:tr w14:paraId="5845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1C1C1823">
            <w:pPr>
              <w:pStyle w:val="97"/>
              <w:numPr>
                <w:ilvl w:val="0"/>
                <w:numId w:val="3"/>
              </w:numPr>
              <w:spacing w:line="390" w:lineRule="exact"/>
              <w:jc w:val="center"/>
              <w:rPr>
                <w:color w:val="auto"/>
                <w:highlight w:val="none"/>
              </w:rPr>
            </w:pPr>
          </w:p>
        </w:tc>
        <w:tc>
          <w:tcPr>
            <w:tcW w:w="8510" w:type="dxa"/>
            <w:vAlign w:val="center"/>
          </w:tcPr>
          <w:p w14:paraId="0DFA274A">
            <w:pPr>
              <w:pStyle w:val="97"/>
              <w:spacing w:line="390" w:lineRule="exact"/>
              <w:rPr>
                <w:bCs/>
                <w:color w:val="auto"/>
                <w:highlight w:val="none"/>
              </w:rPr>
            </w:pPr>
            <w:r>
              <w:rPr>
                <w:rFonts w:hint="eastAsia"/>
                <w:color w:val="auto"/>
                <w:highlight w:val="none"/>
              </w:rPr>
              <w:t>响应文件递交截止时间：</w:t>
            </w:r>
            <w:r>
              <w:rPr>
                <w:rFonts w:hint="eastAsia" w:hAnsi="宋体"/>
                <w:color w:val="auto"/>
                <w:szCs w:val="21"/>
                <w:highlight w:val="none"/>
                <w:u w:val="single"/>
              </w:rPr>
              <w:t>详见竞争性磋商公告</w:t>
            </w:r>
          </w:p>
          <w:p w14:paraId="28AC8058">
            <w:pPr>
              <w:pStyle w:val="21"/>
              <w:spacing w:line="390" w:lineRule="exact"/>
              <w:rPr>
                <w:color w:val="auto"/>
                <w:highlight w:val="none"/>
              </w:rPr>
            </w:pPr>
            <w:r>
              <w:rPr>
                <w:rFonts w:hint="eastAsia"/>
                <w:color w:val="auto"/>
                <w:highlight w:val="none"/>
              </w:rPr>
              <w:t>响应文件递交地址：</w:t>
            </w:r>
            <w:r>
              <w:rPr>
                <w:rFonts w:hint="eastAsia" w:hAnsi="宋体"/>
                <w:color w:val="auto"/>
                <w:highlight w:val="none"/>
                <w:u w:val="single"/>
              </w:rPr>
              <w:t>详见竞争性磋商公告</w:t>
            </w:r>
          </w:p>
        </w:tc>
      </w:tr>
      <w:tr w14:paraId="7D21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3671B767">
            <w:pPr>
              <w:pStyle w:val="97"/>
              <w:numPr>
                <w:ilvl w:val="0"/>
                <w:numId w:val="3"/>
              </w:numPr>
              <w:spacing w:line="390" w:lineRule="exact"/>
              <w:jc w:val="center"/>
              <w:rPr>
                <w:color w:val="auto"/>
                <w:highlight w:val="none"/>
              </w:rPr>
            </w:pPr>
          </w:p>
        </w:tc>
        <w:tc>
          <w:tcPr>
            <w:tcW w:w="8510" w:type="dxa"/>
            <w:vAlign w:val="center"/>
          </w:tcPr>
          <w:p w14:paraId="3CB591B2">
            <w:pPr>
              <w:pStyle w:val="97"/>
              <w:spacing w:line="390" w:lineRule="exact"/>
              <w:rPr>
                <w:color w:val="auto"/>
                <w:highlight w:val="none"/>
              </w:rPr>
            </w:pPr>
            <w:r>
              <w:rPr>
                <w:rFonts w:hint="eastAsia"/>
                <w:color w:val="auto"/>
                <w:highlight w:val="none"/>
              </w:rPr>
              <w:t>竞争性磋商响应文件有效期：响应文件递交截止日期后六十日。</w:t>
            </w:r>
          </w:p>
        </w:tc>
      </w:tr>
      <w:tr w14:paraId="250A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2AF1DA3">
            <w:pPr>
              <w:pStyle w:val="97"/>
              <w:numPr>
                <w:ilvl w:val="0"/>
                <w:numId w:val="3"/>
              </w:numPr>
              <w:spacing w:line="390" w:lineRule="exact"/>
              <w:jc w:val="center"/>
              <w:rPr>
                <w:color w:val="auto"/>
                <w:highlight w:val="none"/>
              </w:rPr>
            </w:pPr>
          </w:p>
        </w:tc>
        <w:tc>
          <w:tcPr>
            <w:tcW w:w="8510" w:type="dxa"/>
            <w:vAlign w:val="center"/>
          </w:tcPr>
          <w:p w14:paraId="621D6A78">
            <w:pPr>
              <w:pStyle w:val="21"/>
              <w:spacing w:line="390" w:lineRule="exact"/>
              <w:rPr>
                <w:color w:val="auto"/>
                <w:highlight w:val="none"/>
              </w:rPr>
            </w:pPr>
            <w:r>
              <w:rPr>
                <w:rFonts w:hint="eastAsia"/>
                <w:color w:val="auto"/>
                <w:highlight w:val="none"/>
              </w:rPr>
              <w:t>磋商保证金（人民币）：</w:t>
            </w:r>
            <w:r>
              <w:rPr>
                <w:rFonts w:hint="eastAsia" w:hAnsi="宋体"/>
                <w:color w:val="auto"/>
                <w:highlight w:val="none"/>
                <w:u w:val="single"/>
              </w:rPr>
              <w:t>详见竞争性磋商公告</w:t>
            </w:r>
          </w:p>
        </w:tc>
      </w:tr>
      <w:tr w14:paraId="1EE3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5E32E8D1">
            <w:pPr>
              <w:pStyle w:val="97"/>
              <w:numPr>
                <w:ilvl w:val="0"/>
                <w:numId w:val="3"/>
              </w:numPr>
              <w:spacing w:line="390" w:lineRule="exact"/>
              <w:jc w:val="center"/>
              <w:rPr>
                <w:color w:val="auto"/>
                <w:highlight w:val="none"/>
              </w:rPr>
            </w:pPr>
          </w:p>
        </w:tc>
        <w:tc>
          <w:tcPr>
            <w:tcW w:w="8510" w:type="dxa"/>
            <w:vAlign w:val="center"/>
          </w:tcPr>
          <w:p w14:paraId="722CDF08">
            <w:pPr>
              <w:pStyle w:val="97"/>
              <w:spacing w:line="390" w:lineRule="exact"/>
              <w:rPr>
                <w:bCs/>
                <w:color w:val="auto"/>
                <w:highlight w:val="none"/>
              </w:rPr>
            </w:pPr>
            <w:r>
              <w:rPr>
                <w:rFonts w:hint="eastAsia"/>
                <w:bCs/>
                <w:color w:val="auto"/>
                <w:highlight w:val="none"/>
              </w:rPr>
              <w:t>磋商时间：</w:t>
            </w:r>
            <w:r>
              <w:rPr>
                <w:rFonts w:hint="eastAsia" w:hAnsi="宋体"/>
                <w:color w:val="auto"/>
                <w:szCs w:val="21"/>
                <w:highlight w:val="none"/>
                <w:u w:val="single"/>
              </w:rPr>
              <w:t>详见竞争性磋商公告</w:t>
            </w:r>
          </w:p>
          <w:p w14:paraId="56AE2207">
            <w:pPr>
              <w:pStyle w:val="97"/>
              <w:spacing w:line="390" w:lineRule="exact"/>
              <w:rPr>
                <w:color w:val="auto"/>
                <w:highlight w:val="none"/>
              </w:rPr>
            </w:pPr>
            <w:r>
              <w:rPr>
                <w:rFonts w:hint="eastAsia"/>
                <w:bCs/>
                <w:color w:val="auto"/>
                <w:highlight w:val="none"/>
              </w:rPr>
              <w:t>磋商地点：</w:t>
            </w:r>
            <w:r>
              <w:rPr>
                <w:rFonts w:hint="eastAsia"/>
                <w:color w:val="auto"/>
                <w:highlight w:val="none"/>
                <w:u w:val="single"/>
              </w:rPr>
              <w:t>详见竞争性磋商</w:t>
            </w:r>
            <w:r>
              <w:rPr>
                <w:rFonts w:hint="eastAsia" w:hAnsi="宋体"/>
                <w:color w:val="auto"/>
                <w:szCs w:val="21"/>
                <w:highlight w:val="none"/>
                <w:u w:val="single"/>
              </w:rPr>
              <w:t>公告</w:t>
            </w:r>
          </w:p>
        </w:tc>
      </w:tr>
      <w:tr w14:paraId="1ABF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3B83B618">
            <w:pPr>
              <w:pStyle w:val="97"/>
              <w:numPr>
                <w:ilvl w:val="0"/>
                <w:numId w:val="3"/>
              </w:numPr>
              <w:spacing w:line="390" w:lineRule="exact"/>
              <w:jc w:val="center"/>
              <w:rPr>
                <w:color w:val="auto"/>
                <w:highlight w:val="none"/>
              </w:rPr>
            </w:pPr>
          </w:p>
        </w:tc>
        <w:tc>
          <w:tcPr>
            <w:tcW w:w="8510" w:type="dxa"/>
            <w:vAlign w:val="center"/>
          </w:tcPr>
          <w:p w14:paraId="6F90137B">
            <w:pPr>
              <w:pStyle w:val="97"/>
              <w:spacing w:line="390" w:lineRule="exact"/>
              <w:rPr>
                <w:color w:val="auto"/>
                <w:highlight w:val="none"/>
              </w:rPr>
            </w:pPr>
            <w:r>
              <w:rPr>
                <w:rFonts w:hint="eastAsia"/>
                <w:color w:val="auto"/>
                <w:highlight w:val="none"/>
              </w:rPr>
              <w:t>评标方法：综合评分法（详细见第六章）</w:t>
            </w:r>
          </w:p>
        </w:tc>
      </w:tr>
      <w:tr w14:paraId="464E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5A121914">
            <w:pPr>
              <w:pStyle w:val="97"/>
              <w:numPr>
                <w:ilvl w:val="0"/>
                <w:numId w:val="3"/>
              </w:numPr>
              <w:spacing w:line="390" w:lineRule="exact"/>
              <w:jc w:val="center"/>
              <w:rPr>
                <w:color w:val="auto"/>
                <w:highlight w:val="none"/>
              </w:rPr>
            </w:pPr>
          </w:p>
        </w:tc>
        <w:tc>
          <w:tcPr>
            <w:tcW w:w="8510" w:type="dxa"/>
            <w:vAlign w:val="center"/>
          </w:tcPr>
          <w:p w14:paraId="37753702">
            <w:pPr>
              <w:spacing w:line="300" w:lineRule="exact"/>
              <w:rPr>
                <w:rFonts w:ascii="宋体" w:hAnsi="宋体"/>
                <w:snapToGrid w:val="0"/>
                <w:color w:val="auto"/>
                <w:szCs w:val="21"/>
                <w:highlight w:val="none"/>
              </w:rPr>
            </w:pPr>
            <w:r>
              <w:rPr>
                <w:rFonts w:hint="eastAsia" w:ascii="宋体" w:hAnsi="宋体"/>
                <w:color w:val="auto"/>
                <w:szCs w:val="21"/>
                <w:highlight w:val="none"/>
              </w:rPr>
              <w:t>响应文件形式：</w:t>
            </w:r>
            <w:r>
              <w:rPr>
                <w:rFonts w:hint="eastAsia" w:ascii="宋体" w:hAnsi="宋体"/>
                <w:snapToGrid w:val="0"/>
                <w:color w:val="auto"/>
                <w:szCs w:val="21"/>
                <w:highlight w:val="none"/>
              </w:rPr>
              <w:t>磋商供应商应准备电子响应文件。</w:t>
            </w:r>
          </w:p>
          <w:p w14:paraId="631AFF4F">
            <w:pPr>
              <w:pStyle w:val="97"/>
              <w:spacing w:line="400" w:lineRule="exact"/>
              <w:rPr>
                <w:color w:val="auto"/>
                <w:szCs w:val="21"/>
                <w:highlight w:val="none"/>
              </w:rPr>
            </w:pPr>
            <w:r>
              <w:rPr>
                <w:rFonts w:hint="eastAsia"/>
                <w:snapToGrid w:val="0"/>
                <w:color w:val="auto"/>
                <w:szCs w:val="21"/>
                <w:highlight w:val="none"/>
              </w:rPr>
              <w:t>电子响应文件是指通过“</w:t>
            </w:r>
            <w:r>
              <w:rPr>
                <w:rFonts w:hint="eastAsia"/>
                <w:color w:val="auto"/>
                <w:highlight w:val="none"/>
              </w:rPr>
              <w:t>广西政府采购云平台</w:t>
            </w:r>
            <w:r>
              <w:rPr>
                <w:rFonts w:hint="eastAsia"/>
                <w:snapToGrid w:val="0"/>
                <w:color w:val="auto"/>
                <w:szCs w:val="21"/>
                <w:highlight w:val="none"/>
              </w:rPr>
              <w:t>电子投标客户端”完成响应文件编制后生成并加密的数据电文形式的电子加密响应文件。</w:t>
            </w:r>
          </w:p>
        </w:tc>
      </w:tr>
      <w:tr w14:paraId="04F3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E916112">
            <w:pPr>
              <w:pStyle w:val="97"/>
              <w:numPr>
                <w:ilvl w:val="0"/>
                <w:numId w:val="3"/>
              </w:numPr>
              <w:spacing w:line="390" w:lineRule="exact"/>
              <w:jc w:val="center"/>
              <w:rPr>
                <w:color w:val="auto"/>
                <w:highlight w:val="none"/>
              </w:rPr>
            </w:pPr>
          </w:p>
        </w:tc>
        <w:tc>
          <w:tcPr>
            <w:tcW w:w="8510" w:type="dxa"/>
            <w:vAlign w:val="center"/>
          </w:tcPr>
          <w:p w14:paraId="1513EAC1">
            <w:pPr>
              <w:pStyle w:val="97"/>
              <w:spacing w:line="400" w:lineRule="exact"/>
              <w:rPr>
                <w:color w:val="auto"/>
                <w:szCs w:val="21"/>
                <w:highlight w:val="none"/>
              </w:rPr>
            </w:pPr>
            <w:r>
              <w:rPr>
                <w:rFonts w:hint="eastAsia"/>
                <w:snapToGrid w:val="0"/>
                <w:color w:val="auto"/>
                <w:szCs w:val="21"/>
                <w:highlight w:val="none"/>
              </w:rPr>
              <w:t>响应文件的编制：供应商应先安装“政采云电子投标客户端”，并按照本竞争性磋商文件和“</w:t>
            </w:r>
            <w:r>
              <w:rPr>
                <w:rFonts w:hint="eastAsia"/>
                <w:color w:val="auto"/>
                <w:highlight w:val="none"/>
              </w:rPr>
              <w:t>广西政府采购云</w:t>
            </w:r>
            <w:r>
              <w:rPr>
                <w:rFonts w:hint="eastAsia"/>
                <w:snapToGrid w:val="0"/>
                <w:color w:val="auto"/>
                <w:szCs w:val="21"/>
                <w:highlight w:val="none"/>
              </w:rPr>
              <w:t>平台”的要求，通过“</w:t>
            </w:r>
            <w:r>
              <w:rPr>
                <w:rFonts w:hint="eastAsia"/>
                <w:color w:val="auto"/>
                <w:highlight w:val="none"/>
              </w:rPr>
              <w:t>广西政府采购云平台</w:t>
            </w:r>
            <w:r>
              <w:rPr>
                <w:rFonts w:hint="eastAsia"/>
                <w:snapToGrid w:val="0"/>
                <w:color w:val="auto"/>
                <w:szCs w:val="21"/>
                <w:highlight w:val="none"/>
              </w:rPr>
              <w:t>电子投标客户端”编制并加密响应文件。</w:t>
            </w:r>
          </w:p>
        </w:tc>
      </w:tr>
      <w:tr w14:paraId="41FB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8C4DA8A">
            <w:pPr>
              <w:pStyle w:val="97"/>
              <w:numPr>
                <w:ilvl w:val="0"/>
                <w:numId w:val="3"/>
              </w:numPr>
              <w:spacing w:line="390" w:lineRule="exact"/>
              <w:jc w:val="center"/>
              <w:rPr>
                <w:color w:val="auto"/>
                <w:highlight w:val="none"/>
              </w:rPr>
            </w:pPr>
          </w:p>
        </w:tc>
        <w:tc>
          <w:tcPr>
            <w:tcW w:w="8510" w:type="dxa"/>
            <w:vAlign w:val="center"/>
          </w:tcPr>
          <w:p w14:paraId="130A6869">
            <w:pPr>
              <w:pStyle w:val="97"/>
              <w:spacing w:line="400" w:lineRule="exact"/>
              <w:rPr>
                <w:color w:val="auto"/>
                <w:szCs w:val="21"/>
                <w:highlight w:val="none"/>
              </w:rPr>
            </w:pPr>
            <w:r>
              <w:rPr>
                <w:rFonts w:hint="eastAsia"/>
                <w:snapToGrid w:val="0"/>
                <w:color w:val="auto"/>
                <w:szCs w:val="21"/>
                <w:highlight w:val="none"/>
              </w:rPr>
              <w:t>响应文件的盖章：响应文件中所涉及的加盖公章均采用CA电子签章。</w:t>
            </w:r>
          </w:p>
        </w:tc>
      </w:tr>
      <w:tr w14:paraId="4C10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7632262">
            <w:pPr>
              <w:pStyle w:val="97"/>
              <w:numPr>
                <w:ilvl w:val="0"/>
                <w:numId w:val="3"/>
              </w:numPr>
              <w:spacing w:line="390" w:lineRule="exact"/>
              <w:jc w:val="center"/>
              <w:rPr>
                <w:color w:val="auto"/>
                <w:highlight w:val="none"/>
              </w:rPr>
            </w:pPr>
          </w:p>
        </w:tc>
        <w:tc>
          <w:tcPr>
            <w:tcW w:w="8510" w:type="dxa"/>
            <w:vAlign w:val="center"/>
          </w:tcPr>
          <w:p w14:paraId="73A2001C">
            <w:pPr>
              <w:pStyle w:val="97"/>
              <w:spacing w:line="400" w:lineRule="exact"/>
              <w:rPr>
                <w:color w:val="auto"/>
                <w:szCs w:val="21"/>
                <w:highlight w:val="none"/>
              </w:rPr>
            </w:pPr>
            <w:r>
              <w:rPr>
                <w:rFonts w:hint="eastAsia"/>
                <w:snapToGrid w:val="0"/>
                <w:color w:val="auto"/>
                <w:szCs w:val="21"/>
                <w:highlight w:val="none"/>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14:paraId="0FBE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6989F34E">
            <w:pPr>
              <w:pStyle w:val="97"/>
              <w:numPr>
                <w:ilvl w:val="0"/>
                <w:numId w:val="3"/>
              </w:numPr>
              <w:spacing w:line="390" w:lineRule="exact"/>
              <w:jc w:val="center"/>
              <w:rPr>
                <w:color w:val="auto"/>
                <w:highlight w:val="none"/>
              </w:rPr>
            </w:pPr>
          </w:p>
        </w:tc>
        <w:tc>
          <w:tcPr>
            <w:tcW w:w="8510" w:type="dxa"/>
            <w:vAlign w:val="center"/>
          </w:tcPr>
          <w:p w14:paraId="6440ABA5">
            <w:pPr>
              <w:pStyle w:val="97"/>
              <w:spacing w:line="400" w:lineRule="exact"/>
              <w:rPr>
                <w:color w:val="auto"/>
                <w:szCs w:val="21"/>
                <w:highlight w:val="none"/>
              </w:rPr>
            </w:pPr>
            <w:r>
              <w:rPr>
                <w:rFonts w:hint="eastAsia"/>
                <w:snapToGrid w:val="0"/>
                <w:color w:val="auto"/>
                <w:szCs w:val="21"/>
                <w:highlight w:val="none"/>
              </w:rPr>
              <w:t>响应文件份数：电子加密响应文件在线上传提交一份。</w:t>
            </w:r>
          </w:p>
        </w:tc>
      </w:tr>
      <w:tr w14:paraId="0BC5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39DA55D">
            <w:pPr>
              <w:pStyle w:val="97"/>
              <w:numPr>
                <w:ilvl w:val="0"/>
                <w:numId w:val="3"/>
              </w:numPr>
              <w:spacing w:line="390" w:lineRule="exact"/>
              <w:jc w:val="center"/>
              <w:rPr>
                <w:color w:val="auto"/>
                <w:highlight w:val="none"/>
              </w:rPr>
            </w:pPr>
          </w:p>
        </w:tc>
        <w:tc>
          <w:tcPr>
            <w:tcW w:w="8510" w:type="dxa"/>
            <w:vAlign w:val="center"/>
          </w:tcPr>
          <w:p w14:paraId="487485A1">
            <w:pPr>
              <w:pStyle w:val="97"/>
              <w:spacing w:line="400" w:lineRule="exact"/>
              <w:rPr>
                <w:snapToGrid w:val="0"/>
                <w:color w:val="auto"/>
                <w:szCs w:val="21"/>
                <w:highlight w:val="none"/>
              </w:rPr>
            </w:pPr>
            <w:r>
              <w:rPr>
                <w:rFonts w:hint="eastAsia"/>
                <w:snapToGrid w:val="0"/>
                <w:color w:val="auto"/>
                <w:szCs w:val="21"/>
                <w:highlight w:val="none"/>
              </w:rPr>
              <w:t>电子加密响应文件的解密：</w:t>
            </w:r>
          </w:p>
          <w:p w14:paraId="6CA138DF">
            <w:pPr>
              <w:pStyle w:val="97"/>
              <w:spacing w:line="400" w:lineRule="exact"/>
              <w:rPr>
                <w:snapToGrid w:val="0"/>
                <w:color w:val="auto"/>
                <w:szCs w:val="21"/>
                <w:highlight w:val="none"/>
              </w:rPr>
            </w:pPr>
            <w:r>
              <w:rPr>
                <w:rFonts w:hint="eastAsia"/>
                <w:snapToGrid w:val="0"/>
                <w:color w:val="auto"/>
                <w:szCs w:val="21"/>
                <w:highlight w:val="none"/>
              </w:rPr>
              <w:t>磋商响应文件开启后，本公司将向各参与磋商供应商发出“电子加密响应文件”的解密通知，各磋商供应商代表应当在接到解密通知后30分钟内自行完成“电子加密响应文件”的在线解密。</w:t>
            </w:r>
          </w:p>
        </w:tc>
      </w:tr>
    </w:tbl>
    <w:p w14:paraId="451EE9ED">
      <w:pPr>
        <w:spacing w:line="400" w:lineRule="exact"/>
        <w:jc w:val="center"/>
        <w:rPr>
          <w:rFonts w:ascii="仿宋_GB2312" w:hAnsi="宋体" w:eastAsia="仿宋_GB2312"/>
          <w:b/>
          <w:color w:val="auto"/>
          <w:sz w:val="32"/>
          <w:szCs w:val="32"/>
          <w:highlight w:val="none"/>
        </w:rPr>
      </w:pPr>
    </w:p>
    <w:p w14:paraId="03019201">
      <w:pPr>
        <w:spacing w:line="720" w:lineRule="auto"/>
        <w:jc w:val="center"/>
        <w:rPr>
          <w:rFonts w:ascii="宋体" w:hAnsi="宋体"/>
          <w:b/>
          <w:color w:val="auto"/>
          <w:sz w:val="32"/>
          <w:szCs w:val="32"/>
          <w:highlight w:val="none"/>
        </w:rPr>
      </w:pPr>
      <w:r>
        <w:rPr>
          <w:rFonts w:ascii="仿宋_GB2312" w:hAnsi="宋体" w:eastAsia="仿宋_GB2312"/>
          <w:b/>
          <w:color w:val="auto"/>
          <w:sz w:val="32"/>
          <w:szCs w:val="32"/>
          <w:highlight w:val="none"/>
        </w:rPr>
        <w:br w:type="page"/>
      </w:r>
      <w:r>
        <w:rPr>
          <w:rFonts w:hint="eastAsia" w:ascii="宋体" w:hAnsi="宋体"/>
          <w:b/>
          <w:color w:val="auto"/>
          <w:sz w:val="32"/>
          <w:szCs w:val="32"/>
          <w:highlight w:val="none"/>
        </w:rPr>
        <w:t>磋商供应商须知</w:t>
      </w:r>
    </w:p>
    <w:p w14:paraId="56DAF0C8">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一、总　则</w:t>
      </w:r>
    </w:p>
    <w:p w14:paraId="7B43906B">
      <w:pPr>
        <w:spacing w:line="340" w:lineRule="exact"/>
        <w:jc w:val="center"/>
        <w:rPr>
          <w:rFonts w:ascii="仿宋_GB2312" w:hAnsi="宋体" w:eastAsia="仿宋_GB2312"/>
          <w:b/>
          <w:color w:val="auto"/>
          <w:sz w:val="32"/>
          <w:szCs w:val="32"/>
          <w:highlight w:val="none"/>
        </w:rPr>
      </w:pPr>
    </w:p>
    <w:p w14:paraId="2B084D9B">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适用范围</w:t>
      </w:r>
    </w:p>
    <w:p w14:paraId="7ACB25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本文件仅适用于本文件中所叙述的</w:t>
      </w:r>
      <w:r>
        <w:rPr>
          <w:rFonts w:hint="eastAsia" w:ascii="宋体" w:hAnsi="宋体"/>
          <w:b/>
          <w:color w:val="auto"/>
          <w:szCs w:val="21"/>
          <w:highlight w:val="none"/>
        </w:rPr>
        <w:t>服务类</w:t>
      </w:r>
      <w:r>
        <w:rPr>
          <w:rFonts w:hint="eastAsia" w:ascii="宋体" w:hAnsi="宋体"/>
          <w:color w:val="auto"/>
          <w:szCs w:val="21"/>
          <w:highlight w:val="none"/>
        </w:rPr>
        <w:t>政府采购项目。</w:t>
      </w:r>
    </w:p>
    <w:p w14:paraId="7AB8AC18">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定义</w:t>
      </w:r>
    </w:p>
    <w:p w14:paraId="228F8530">
      <w:pPr>
        <w:spacing w:line="400" w:lineRule="exact"/>
        <w:ind w:firstLine="420" w:firstLineChars="200"/>
        <w:rPr>
          <w:rFonts w:ascii="宋体" w:hAnsi="宋体"/>
          <w:color w:val="auto"/>
          <w:szCs w:val="21"/>
          <w:highlight w:val="none"/>
        </w:rPr>
      </w:pPr>
      <w:r>
        <w:rPr>
          <w:rFonts w:ascii="宋体" w:hAnsi="宋体"/>
          <w:color w:val="auto"/>
          <w:szCs w:val="21"/>
          <w:highlight w:val="none"/>
        </w:rPr>
        <w:t>2.1“采购人”是</w:t>
      </w:r>
      <w:r>
        <w:rPr>
          <w:rFonts w:hint="eastAsia" w:hAnsi="宋体"/>
          <w:color w:val="auto"/>
          <w:highlight w:val="none"/>
        </w:rPr>
        <w:t>指组织本次采购的采购单位</w:t>
      </w:r>
      <w:r>
        <w:rPr>
          <w:rFonts w:hint="eastAsia" w:ascii="宋体" w:hAnsi="宋体"/>
          <w:color w:val="auto"/>
          <w:szCs w:val="21"/>
          <w:highlight w:val="none"/>
        </w:rPr>
        <w:t>。</w:t>
      </w:r>
    </w:p>
    <w:p w14:paraId="23AE040F">
      <w:pPr>
        <w:spacing w:line="400" w:lineRule="exact"/>
        <w:ind w:firstLine="420" w:firstLineChars="200"/>
        <w:rPr>
          <w:rFonts w:ascii="宋体" w:hAnsi="宋体"/>
          <w:color w:val="auto"/>
          <w:szCs w:val="21"/>
          <w:highlight w:val="none"/>
        </w:rPr>
      </w:pPr>
      <w:r>
        <w:rPr>
          <w:rFonts w:ascii="宋体" w:hAnsi="宋体"/>
          <w:color w:val="auto"/>
          <w:szCs w:val="21"/>
          <w:highlight w:val="none"/>
        </w:rPr>
        <w:t>2.2“采购代理机构”是指：</w:t>
      </w:r>
      <w:r>
        <w:rPr>
          <w:rFonts w:hint="eastAsia" w:ascii="宋体" w:hAnsi="宋体"/>
          <w:color w:val="auto"/>
          <w:szCs w:val="21"/>
          <w:highlight w:val="none"/>
        </w:rPr>
        <w:t>天勤工程咨询有限公司</w:t>
      </w:r>
      <w:r>
        <w:rPr>
          <w:rFonts w:hint="eastAsia"/>
          <w:color w:val="auto"/>
          <w:highlight w:val="none"/>
        </w:rPr>
        <w:t>。</w:t>
      </w:r>
    </w:p>
    <w:p w14:paraId="087FBD0A">
      <w:pPr>
        <w:spacing w:line="400" w:lineRule="exact"/>
        <w:ind w:firstLine="420" w:firstLineChars="200"/>
        <w:rPr>
          <w:rFonts w:ascii="宋体" w:hAnsi="宋体"/>
          <w:color w:val="auto"/>
          <w:szCs w:val="21"/>
          <w:highlight w:val="none"/>
        </w:rPr>
      </w:pPr>
      <w:r>
        <w:rPr>
          <w:rFonts w:ascii="宋体" w:hAnsi="宋体"/>
          <w:color w:val="auto"/>
          <w:szCs w:val="21"/>
          <w:highlight w:val="none"/>
        </w:rPr>
        <w:t>2.3“磋商供应商”是指响应本文件要求，参加磋商的法人或者其他组织和自然人。如果该供应商在本次磋商中成交,即成为“成交供应商”。</w:t>
      </w:r>
    </w:p>
    <w:p w14:paraId="33A8B22F">
      <w:pPr>
        <w:spacing w:line="400" w:lineRule="exact"/>
        <w:ind w:firstLine="420" w:firstLineChars="200"/>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1B3B625C">
      <w:pPr>
        <w:spacing w:line="400" w:lineRule="exact"/>
        <w:ind w:firstLine="420" w:firstLineChars="200"/>
        <w:rPr>
          <w:rFonts w:ascii="宋体" w:hAnsi="宋体"/>
          <w:color w:val="auto"/>
          <w:szCs w:val="21"/>
          <w:highlight w:val="none"/>
        </w:rPr>
      </w:pPr>
      <w:r>
        <w:rPr>
          <w:rFonts w:ascii="宋体" w:hAnsi="宋体"/>
          <w:color w:val="auto"/>
          <w:szCs w:val="21"/>
          <w:highlight w:val="none"/>
        </w:rPr>
        <w:t>2.5“服务”是指除货物和工程以外的其他政府采购对象。</w:t>
      </w:r>
    </w:p>
    <w:p w14:paraId="3B552530">
      <w:pPr>
        <w:spacing w:line="400" w:lineRule="exact"/>
        <w:ind w:firstLine="420" w:firstLineChars="200"/>
        <w:rPr>
          <w:rFonts w:ascii="宋体" w:hAnsi="宋体"/>
          <w:color w:val="auto"/>
          <w:szCs w:val="21"/>
          <w:highlight w:val="none"/>
        </w:rPr>
      </w:pPr>
      <w:r>
        <w:rPr>
          <w:rFonts w:ascii="宋体" w:hAnsi="宋体"/>
          <w:color w:val="auto"/>
          <w:szCs w:val="21"/>
          <w:highlight w:val="none"/>
        </w:rPr>
        <w:t>2.6“竞争性磋商响应文件”是指：供应商根据本文件要求，编制包含报价、技术和服务等所有内容的文件。</w:t>
      </w:r>
    </w:p>
    <w:p w14:paraId="643E289E">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磋商供应商的基本条件：详见须知前附表。</w:t>
      </w:r>
    </w:p>
    <w:p w14:paraId="6E236957">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rPr>
        <w:t>磋商费用、代理服务费</w:t>
      </w:r>
    </w:p>
    <w:p w14:paraId="139F4622">
      <w:pPr>
        <w:spacing w:line="400" w:lineRule="exact"/>
        <w:ind w:firstLine="420" w:firstLineChars="200"/>
        <w:rPr>
          <w:rFonts w:ascii="宋体" w:hAnsi="宋体"/>
          <w:color w:val="auto"/>
          <w:szCs w:val="21"/>
          <w:highlight w:val="none"/>
        </w:rPr>
      </w:pPr>
      <w:r>
        <w:rPr>
          <w:rFonts w:ascii="宋体" w:hAnsi="宋体"/>
          <w:color w:val="auto"/>
          <w:szCs w:val="21"/>
          <w:highlight w:val="none"/>
        </w:rPr>
        <w:t>4.1磋商供应商应自行承担所有与编写和提交竞争性磋商响应文件有关的费用，不论磋商结果如何，采购</w:t>
      </w:r>
      <w:r>
        <w:rPr>
          <w:rFonts w:hint="eastAsia" w:ascii="宋体" w:hAnsi="宋体"/>
          <w:color w:val="auto"/>
          <w:szCs w:val="21"/>
          <w:highlight w:val="none"/>
        </w:rPr>
        <w:t>人和天勤工程咨询有限公司在任何情况下无义务和责任承担此类费用。</w:t>
      </w:r>
    </w:p>
    <w:p w14:paraId="2B15E239">
      <w:pPr>
        <w:spacing w:line="400" w:lineRule="exact"/>
        <w:ind w:firstLine="420" w:firstLineChars="200"/>
        <w:rPr>
          <w:rFonts w:ascii="宋体" w:hAnsi="宋体"/>
          <w:color w:val="auto"/>
          <w:szCs w:val="21"/>
          <w:highlight w:val="none"/>
        </w:rPr>
      </w:pPr>
      <w:r>
        <w:rPr>
          <w:rFonts w:ascii="宋体" w:hAnsi="宋体"/>
          <w:color w:val="auto"/>
          <w:szCs w:val="21"/>
          <w:highlight w:val="none"/>
        </w:rPr>
        <w:t>4.2本项目的代理服务费按须知前附表的规定执行，</w:t>
      </w:r>
      <w:r>
        <w:rPr>
          <w:rFonts w:hint="eastAsia" w:ascii="宋体" w:hAnsi="宋体"/>
          <w:color w:val="auto"/>
          <w:szCs w:val="21"/>
          <w:highlight w:val="none"/>
        </w:rPr>
        <w:t>由成交供应商在发布成交结果公告后，一次性向采购代理机构支付。</w:t>
      </w:r>
    </w:p>
    <w:p w14:paraId="5DA96352">
      <w:pPr>
        <w:spacing w:line="400" w:lineRule="exact"/>
        <w:ind w:firstLine="422" w:firstLineChars="200"/>
        <w:rPr>
          <w:rFonts w:ascii="宋体" w:hAnsi="宋体"/>
          <w:color w:val="auto"/>
          <w:szCs w:val="21"/>
          <w:highlight w:val="none"/>
        </w:rPr>
      </w:pPr>
      <w:r>
        <w:rPr>
          <w:b/>
          <w:bCs/>
          <w:color w:val="auto"/>
          <w:highlight w:val="none"/>
        </w:rPr>
        <w:t xml:space="preserve">5. </w:t>
      </w:r>
      <w:r>
        <w:rPr>
          <w:rFonts w:hint="eastAsia" w:ascii="宋体" w:hAnsi="宋体"/>
          <w:b/>
          <w:color w:val="auto"/>
          <w:szCs w:val="21"/>
          <w:highlight w:val="none"/>
        </w:rPr>
        <w:t>竞争性</w:t>
      </w:r>
      <w:r>
        <w:rPr>
          <w:rFonts w:hint="eastAsia" w:hAnsi="宋体"/>
          <w:b/>
          <w:color w:val="auto"/>
          <w:highlight w:val="none"/>
        </w:rPr>
        <w:t>磋商文件的澄清和修改：</w:t>
      </w:r>
    </w:p>
    <w:p w14:paraId="6A8F6AE7">
      <w:pPr>
        <w:widowControl/>
        <w:wordWrap w:val="0"/>
        <w:spacing w:line="400" w:lineRule="exact"/>
        <w:ind w:firstLine="420"/>
        <w:jc w:val="left"/>
        <w:rPr>
          <w:rFonts w:ascii="宋体" w:hAnsi="宋体" w:cs="Courier New"/>
          <w:color w:val="auto"/>
          <w:szCs w:val="21"/>
          <w:highlight w:val="none"/>
        </w:rPr>
      </w:pPr>
      <w:r>
        <w:rPr>
          <w:rFonts w:ascii="宋体" w:hAnsi="宋体" w:cs="Courier New"/>
          <w:color w:val="auto"/>
          <w:szCs w:val="21"/>
          <w:highlight w:val="none"/>
        </w:rPr>
        <w:t>5.1供应商应认真</w:t>
      </w:r>
      <w:r>
        <w:rPr>
          <w:rFonts w:hint="eastAsia" w:ascii="宋体" w:hAnsi="宋体" w:cs="Courier New"/>
          <w:color w:val="auto"/>
          <w:szCs w:val="21"/>
          <w:highlight w:val="none"/>
        </w:rPr>
        <w:t>阅读磋商文件，供应商认为采购文件使自己的权益受到损害的，供应商必须在获取竞争性磋商文件之日起</w:t>
      </w:r>
      <w:r>
        <w:rPr>
          <w:rFonts w:ascii="宋体" w:hAnsi="宋体" w:cs="Courier New"/>
          <w:color w:val="auto"/>
          <w:szCs w:val="21"/>
          <w:highlight w:val="none"/>
        </w:rPr>
        <w:t>7个工作日内，以书面形式向采购人、采购代理机构提出，</w:t>
      </w:r>
      <w:r>
        <w:rPr>
          <w:rFonts w:hint="eastAsia" w:ascii="宋体" w:hAnsi="宋体"/>
          <w:color w:val="auto"/>
          <w:highlight w:val="none"/>
        </w:rPr>
        <w:t>供应商在法定质疑期内必须一次性提出针对同一采购程序环节的质疑</w:t>
      </w:r>
      <w:r>
        <w:rPr>
          <w:rFonts w:hint="eastAsia" w:ascii="宋体" w:hAnsi="宋体" w:cs="Courier New"/>
          <w:color w:val="auto"/>
          <w:szCs w:val="21"/>
          <w:highlight w:val="none"/>
        </w:rPr>
        <w:t>。</w:t>
      </w:r>
    </w:p>
    <w:p w14:paraId="09ACC3F5">
      <w:pPr>
        <w:widowControl/>
        <w:wordWrap w:val="0"/>
        <w:spacing w:line="400" w:lineRule="exact"/>
        <w:ind w:firstLine="420"/>
        <w:jc w:val="left"/>
        <w:rPr>
          <w:rFonts w:ascii="宋体" w:hAnsi="宋体" w:cs="Courier New"/>
          <w:color w:val="auto"/>
          <w:szCs w:val="21"/>
          <w:highlight w:val="none"/>
        </w:rPr>
      </w:pPr>
      <w:r>
        <w:rPr>
          <w:rFonts w:ascii="宋体" w:hAnsi="宋体" w:cs="Courier New"/>
          <w:color w:val="auto"/>
          <w:szCs w:val="21"/>
          <w:highlight w:val="none"/>
        </w:rPr>
        <w:t>5.2供应商提出质疑应当提交质疑函和必要的证明材料。质疑</w:t>
      </w:r>
      <w:r>
        <w:rPr>
          <w:rFonts w:hint="eastAsia" w:ascii="宋体" w:hAnsi="宋体" w:cs="Courier New"/>
          <w:color w:val="auto"/>
          <w:szCs w:val="21"/>
          <w:highlight w:val="none"/>
        </w:rPr>
        <w:t>函应当包括下列内容：</w:t>
      </w:r>
    </w:p>
    <w:p w14:paraId="6C0CC1A2">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1）供应商的姓名或者名称、地址、邮编、联系人及联系电话；</w:t>
      </w:r>
    </w:p>
    <w:p w14:paraId="120F7F57">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2）质疑项目的名称、编号；</w:t>
      </w:r>
    </w:p>
    <w:p w14:paraId="74DC0614">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3）具体、明确的质疑事项和与质疑事项相关的请求；</w:t>
      </w:r>
    </w:p>
    <w:p w14:paraId="68137F1C">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4）事实依据；</w:t>
      </w:r>
    </w:p>
    <w:p w14:paraId="78C0F462">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5）必要的法律依据；</w:t>
      </w:r>
    </w:p>
    <w:p w14:paraId="2192460A">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6）提出质疑的日期。</w:t>
      </w:r>
    </w:p>
    <w:p w14:paraId="68A99B27">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供应商为自然人的，应当由本人签字；供应商为法人或者其他组织的，应当由法定代表人、主要负责人，或者其授权代表签字或者盖章，并加盖公章。</w:t>
      </w:r>
    </w:p>
    <w:p w14:paraId="0D2ACA50">
      <w:pPr>
        <w:widowControl/>
        <w:wordWrap w:val="0"/>
        <w:spacing w:line="400" w:lineRule="exact"/>
        <w:ind w:firstLine="420"/>
        <w:jc w:val="left"/>
        <w:rPr>
          <w:rFonts w:ascii="宋体" w:hAnsi="宋体" w:cs="Courier New"/>
          <w:color w:val="auto"/>
          <w:szCs w:val="21"/>
          <w:highlight w:val="none"/>
        </w:rPr>
      </w:pPr>
      <w:r>
        <w:rPr>
          <w:rFonts w:ascii="宋体" w:hAnsi="宋体" w:cs="Courier New"/>
          <w:color w:val="auto"/>
          <w:szCs w:val="21"/>
          <w:highlight w:val="none"/>
        </w:rPr>
        <w:t>5.3提交首次响应文件截止之日前，采购人、采购代理机构或者磋商小组可以对已发出的磋商文件进行必要的澄清或者修改，澄清或者修改的内容作为磋商文件的组成部分。澄清或者修改的内容可能影响响</w:t>
      </w:r>
      <w:r>
        <w:rPr>
          <w:rFonts w:hint="eastAsia" w:ascii="宋体" w:hAnsi="宋体" w:cs="Courier New"/>
          <w:color w:val="auto"/>
          <w:szCs w:val="21"/>
          <w:highlight w:val="none"/>
        </w:rPr>
        <w:t>应文件编制的，采购人、采购代理机构或者磋商小组应当在提交首次响应文件截止时间</w:t>
      </w:r>
      <w:r>
        <w:rPr>
          <w:rFonts w:ascii="宋体" w:hAnsi="宋体" w:cs="Courier New"/>
          <w:color w:val="auto"/>
          <w:szCs w:val="21"/>
          <w:highlight w:val="none"/>
        </w:rPr>
        <w:t>5日前，以书面形式通知所有接收磋商文件的供应商，不足5日的，应当顺延提交首次响应文件截止之日。</w:t>
      </w:r>
    </w:p>
    <w:p w14:paraId="709FE5C6">
      <w:pPr>
        <w:spacing w:line="400" w:lineRule="exact"/>
        <w:ind w:firstLine="420" w:firstLineChars="200"/>
        <w:rPr>
          <w:rFonts w:ascii="宋体" w:hAnsi="宋体"/>
          <w:color w:val="auto"/>
          <w:szCs w:val="21"/>
          <w:highlight w:val="none"/>
        </w:rPr>
      </w:pPr>
      <w:r>
        <w:rPr>
          <w:rFonts w:ascii="宋体" w:hAnsi="宋体"/>
          <w:color w:val="auto"/>
          <w:szCs w:val="20"/>
          <w:highlight w:val="none"/>
        </w:rPr>
        <w:t>5.4磋商</w:t>
      </w:r>
      <w:r>
        <w:rPr>
          <w:rFonts w:hint="eastAsia" w:ascii="宋体" w:hAnsi="宋体"/>
          <w:color w:val="auto"/>
          <w:highlight w:val="none"/>
        </w:rPr>
        <w:t>供应商接电话通知后到采购代理机构处领取以上澄清答复（或补充通知、更改通知等），或在网上查询，如在电话通知后</w:t>
      </w:r>
      <w:r>
        <w:rPr>
          <w:rFonts w:ascii="宋体" w:hAnsi="宋体"/>
          <w:color w:val="auto"/>
          <w:highlight w:val="none"/>
        </w:rPr>
        <w:t>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14:paraId="33A5331B">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二、竞争性磋商响应文件的编制</w:t>
      </w:r>
    </w:p>
    <w:p w14:paraId="0E45D495">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竞争性磋商响应文件编制基本要求</w:t>
      </w:r>
    </w:p>
    <w:p w14:paraId="578FAA0E">
      <w:pPr>
        <w:spacing w:line="400" w:lineRule="exact"/>
        <w:ind w:firstLine="420" w:firstLineChars="200"/>
        <w:rPr>
          <w:rFonts w:ascii="宋体" w:hAnsi="宋体"/>
          <w:color w:val="auto"/>
          <w:szCs w:val="21"/>
          <w:highlight w:val="none"/>
        </w:rPr>
      </w:pPr>
      <w:r>
        <w:rPr>
          <w:rFonts w:ascii="宋体" w:hAnsi="宋体"/>
          <w:color w:val="auto"/>
          <w:szCs w:val="21"/>
          <w:highlight w:val="none"/>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7CEDE607">
      <w:pPr>
        <w:spacing w:line="400" w:lineRule="exact"/>
        <w:ind w:firstLine="420" w:firstLineChars="200"/>
        <w:rPr>
          <w:rFonts w:ascii="宋体" w:hAnsi="宋体"/>
          <w:color w:val="auto"/>
          <w:szCs w:val="21"/>
          <w:highlight w:val="none"/>
        </w:rPr>
      </w:pPr>
      <w:r>
        <w:rPr>
          <w:rFonts w:ascii="宋体" w:hAnsi="宋体"/>
          <w:color w:val="auto"/>
          <w:szCs w:val="21"/>
          <w:highlight w:val="none"/>
        </w:rPr>
        <w:t>6.2响应文件须由磋商供应商在规定位置盖章并由法定代表人或法定代表人的授权委托人签署，磋商供应商应写全称。</w:t>
      </w:r>
    </w:p>
    <w:p w14:paraId="2F0967BF">
      <w:pPr>
        <w:spacing w:line="400" w:lineRule="exact"/>
        <w:ind w:firstLine="420" w:firstLineChars="200"/>
        <w:rPr>
          <w:rFonts w:ascii="宋体" w:hAnsi="宋体"/>
          <w:color w:val="auto"/>
          <w:szCs w:val="21"/>
          <w:highlight w:val="none"/>
        </w:rPr>
      </w:pPr>
      <w:r>
        <w:rPr>
          <w:rFonts w:ascii="宋体" w:hAnsi="宋体"/>
          <w:color w:val="auto"/>
          <w:szCs w:val="21"/>
          <w:highlight w:val="none"/>
        </w:rPr>
        <w:t>6.3响应文件不得涂改，若有修改错漏处，须加盖单位公章或者法定代表人或授权委托人签字或盖章。响应文件因扫描不清晰或乱码或表达不清所引起的后果由磋商供应商负责。</w:t>
      </w:r>
    </w:p>
    <w:p w14:paraId="24BE3ECF">
      <w:pPr>
        <w:spacing w:line="400" w:lineRule="exact"/>
        <w:ind w:firstLine="420" w:firstLineChars="200"/>
        <w:rPr>
          <w:rFonts w:ascii="宋体" w:hAnsi="宋体"/>
          <w:color w:val="auto"/>
          <w:szCs w:val="21"/>
          <w:highlight w:val="none"/>
        </w:rPr>
      </w:pPr>
      <w:r>
        <w:rPr>
          <w:rFonts w:ascii="宋体" w:hAnsi="宋体"/>
          <w:color w:val="auto"/>
          <w:szCs w:val="21"/>
          <w:highlight w:val="none"/>
        </w:rPr>
        <w:t>6.4竞争性磋商响应文件的组成：竞争性磋商响应文件应分为价格文件和商务技术文件两个部分组成</w:t>
      </w:r>
      <w:r>
        <w:rPr>
          <w:rFonts w:hint="eastAsia" w:ascii="宋体"/>
          <w:b/>
          <w:color w:val="auto"/>
          <w:szCs w:val="21"/>
          <w:highlight w:val="none"/>
        </w:rPr>
        <w:t>（扫描件或其他电子文件）</w:t>
      </w:r>
      <w:r>
        <w:rPr>
          <w:rFonts w:hint="eastAsia" w:ascii="宋体" w:hAnsi="宋体"/>
          <w:color w:val="auto"/>
          <w:szCs w:val="21"/>
          <w:highlight w:val="none"/>
        </w:rPr>
        <w:t>。</w:t>
      </w:r>
      <w:r>
        <w:rPr>
          <w:rFonts w:hint="eastAsia" w:ascii="宋体" w:hAnsi="宋体"/>
          <w:b/>
          <w:color w:val="auto"/>
          <w:szCs w:val="21"/>
          <w:highlight w:val="none"/>
        </w:rPr>
        <w:t>（以下文件要求必须提供的文件如未提供，磋商小组有权拒绝其竞争性磋商响应文件）</w:t>
      </w:r>
    </w:p>
    <w:p w14:paraId="2BAD7D0C">
      <w:pPr>
        <w:spacing w:line="400" w:lineRule="exact"/>
        <w:ind w:firstLine="422" w:firstLineChars="200"/>
        <w:rPr>
          <w:rFonts w:ascii="宋体" w:hAnsi="宋体"/>
          <w:b/>
          <w:color w:val="auto"/>
          <w:szCs w:val="21"/>
          <w:highlight w:val="none"/>
        </w:rPr>
      </w:pPr>
      <w:r>
        <w:rPr>
          <w:rFonts w:ascii="宋体" w:hAnsi="宋体"/>
          <w:b/>
          <w:color w:val="auto"/>
          <w:szCs w:val="21"/>
          <w:highlight w:val="none"/>
        </w:rPr>
        <w:t>6.4.1价格文件</w:t>
      </w:r>
    </w:p>
    <w:p w14:paraId="56559463">
      <w:pPr>
        <w:spacing w:line="400" w:lineRule="exact"/>
        <w:ind w:firstLine="420" w:firstLineChars="200"/>
        <w:rPr>
          <w:rFonts w:ascii="宋体" w:hAnsi="宋体"/>
          <w:b/>
          <w:color w:val="auto"/>
          <w:szCs w:val="21"/>
          <w:highlight w:val="none"/>
        </w:rPr>
      </w:pPr>
      <w:r>
        <w:rPr>
          <w:rFonts w:ascii="宋体" w:hAnsi="宋体"/>
          <w:color w:val="auto"/>
          <w:szCs w:val="21"/>
          <w:highlight w:val="none"/>
        </w:rPr>
        <w:t>1）报价表；（附件一）</w:t>
      </w:r>
      <w:r>
        <w:rPr>
          <w:rFonts w:ascii="宋体" w:hAnsi="宋体"/>
          <w:b/>
          <w:color w:val="auto"/>
          <w:szCs w:val="21"/>
          <w:highlight w:val="none"/>
        </w:rPr>
        <w:t>[必须提供]</w:t>
      </w:r>
    </w:p>
    <w:p w14:paraId="1CDF90C7">
      <w:pPr>
        <w:spacing w:line="400" w:lineRule="exact"/>
        <w:ind w:firstLine="422" w:firstLineChars="200"/>
        <w:rPr>
          <w:rFonts w:ascii="宋体" w:hAnsi="宋体"/>
          <w:color w:val="auto"/>
          <w:szCs w:val="21"/>
          <w:highlight w:val="none"/>
        </w:rPr>
      </w:pPr>
      <w:r>
        <w:rPr>
          <w:rFonts w:ascii="宋体" w:hAnsi="宋体"/>
          <w:b/>
          <w:color w:val="auto"/>
          <w:szCs w:val="21"/>
          <w:highlight w:val="none"/>
        </w:rPr>
        <w:t>6.4.2商务技术文件</w:t>
      </w:r>
    </w:p>
    <w:p w14:paraId="41C7CFA6">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磋商书及磋商声明书；（附件二）</w:t>
      </w:r>
      <w:r>
        <w:rPr>
          <w:rFonts w:ascii="宋体" w:hAnsi="宋体"/>
          <w:b/>
          <w:color w:val="auto"/>
          <w:szCs w:val="21"/>
          <w:highlight w:val="none"/>
        </w:rPr>
        <w:t>[必须提供]</w:t>
      </w:r>
    </w:p>
    <w:p w14:paraId="077A0096">
      <w:pPr>
        <w:spacing w:line="400" w:lineRule="exact"/>
        <w:ind w:firstLine="420" w:firstLineChars="200"/>
        <w:rPr>
          <w:rFonts w:ascii="宋体" w:hAnsi="宋体"/>
          <w:color w:val="auto"/>
          <w:szCs w:val="21"/>
          <w:highlight w:val="none"/>
        </w:rPr>
      </w:pPr>
      <w:r>
        <w:rPr>
          <w:rFonts w:ascii="宋体" w:hAnsi="宋体"/>
          <w:color w:val="auto"/>
          <w:szCs w:val="21"/>
          <w:highlight w:val="none"/>
        </w:rPr>
        <w:t>2）商务、服务响应、偏离情况说明表；（附件三）</w:t>
      </w:r>
      <w:r>
        <w:rPr>
          <w:rFonts w:ascii="宋体" w:hAnsi="宋体"/>
          <w:b/>
          <w:color w:val="auto"/>
          <w:szCs w:val="21"/>
          <w:highlight w:val="none"/>
        </w:rPr>
        <w:t>[必须提供]</w:t>
      </w:r>
    </w:p>
    <w:p w14:paraId="02857C0E">
      <w:pPr>
        <w:snapToGrid w:val="0"/>
        <w:spacing w:line="360" w:lineRule="exact"/>
        <w:ind w:firstLine="411" w:firstLineChars="196"/>
        <w:jc w:val="left"/>
        <w:rPr>
          <w:rFonts w:ascii="宋体" w:hAnsi="宋体"/>
          <w:color w:val="auto"/>
          <w:szCs w:val="21"/>
          <w:highlight w:val="none"/>
        </w:rPr>
      </w:pPr>
      <w:r>
        <w:rPr>
          <w:rFonts w:ascii="宋体" w:hAnsi="宋体"/>
          <w:color w:val="auto"/>
          <w:szCs w:val="21"/>
          <w:highlight w:val="none"/>
        </w:rPr>
        <w:t>3）法定代表人身份证正、反面复印件；</w:t>
      </w:r>
      <w:r>
        <w:rPr>
          <w:rFonts w:ascii="宋体" w:hAnsi="宋体"/>
          <w:b/>
          <w:color w:val="auto"/>
          <w:szCs w:val="21"/>
          <w:highlight w:val="none"/>
        </w:rPr>
        <w:t>[必须提供]</w:t>
      </w:r>
      <w:r>
        <w:rPr>
          <w:rFonts w:ascii="宋体" w:hAnsi="宋体"/>
          <w:color w:val="auto"/>
          <w:szCs w:val="21"/>
          <w:highlight w:val="none"/>
        </w:rPr>
        <w:t xml:space="preserve"> </w:t>
      </w:r>
    </w:p>
    <w:p w14:paraId="7322F506">
      <w:pPr>
        <w:spacing w:line="400" w:lineRule="exact"/>
        <w:ind w:firstLine="420" w:firstLineChars="200"/>
        <w:rPr>
          <w:rFonts w:ascii="宋体" w:hAnsi="宋体"/>
          <w:color w:val="auto"/>
          <w:szCs w:val="21"/>
          <w:highlight w:val="none"/>
        </w:rPr>
      </w:pPr>
      <w:r>
        <w:rPr>
          <w:rFonts w:ascii="宋体" w:hAnsi="宋体"/>
          <w:color w:val="auto"/>
          <w:szCs w:val="21"/>
          <w:highlight w:val="none"/>
        </w:rPr>
        <w:t>4）法定代表人授权委托书</w:t>
      </w:r>
      <w:r>
        <w:rPr>
          <w:rFonts w:hint="eastAsia" w:ascii="宋体" w:hAnsi="宋体"/>
          <w:color w:val="auto"/>
          <w:highlight w:val="none"/>
        </w:rPr>
        <w:t>和委托代理人身份证正、反面复印件</w:t>
      </w:r>
      <w:r>
        <w:rPr>
          <w:rFonts w:hint="eastAsia" w:ascii="宋体" w:hAnsi="宋体"/>
          <w:color w:val="auto"/>
          <w:szCs w:val="21"/>
          <w:highlight w:val="none"/>
        </w:rPr>
        <w:t>；（附件四）</w:t>
      </w:r>
      <w:r>
        <w:rPr>
          <w:rFonts w:ascii="宋体" w:hAnsi="宋体"/>
          <w:b/>
          <w:color w:val="auto"/>
          <w:highlight w:val="none"/>
        </w:rPr>
        <w:t xml:space="preserve"> [委托代理时</w:t>
      </w:r>
      <w:r>
        <w:rPr>
          <w:rFonts w:hint="eastAsia" w:ascii="宋体" w:hAnsi="宋体"/>
          <w:b/>
          <w:bCs/>
          <w:color w:val="auto"/>
          <w:highlight w:val="none"/>
        </w:rPr>
        <w:t>必须提供</w:t>
      </w:r>
      <w:r>
        <w:rPr>
          <w:rFonts w:ascii="宋体" w:hAnsi="宋体"/>
          <w:b/>
          <w:color w:val="auto"/>
          <w:highlight w:val="none"/>
        </w:rPr>
        <w:t>]</w:t>
      </w:r>
      <w:r>
        <w:rPr>
          <w:rFonts w:hint="eastAsia" w:ascii="宋体" w:hAnsi="宋体"/>
          <w:color w:val="auto"/>
          <w:szCs w:val="21"/>
          <w:highlight w:val="none"/>
        </w:rPr>
        <w:t>；</w:t>
      </w:r>
      <w:r>
        <w:rPr>
          <w:rFonts w:ascii="宋体" w:hAnsi="宋体"/>
          <w:color w:val="auto"/>
          <w:szCs w:val="21"/>
          <w:highlight w:val="none"/>
        </w:rPr>
        <w:t xml:space="preserve"> </w:t>
      </w:r>
    </w:p>
    <w:p w14:paraId="4FD043F6">
      <w:pPr>
        <w:spacing w:line="400" w:lineRule="exact"/>
        <w:ind w:firstLine="420" w:firstLineChars="200"/>
        <w:rPr>
          <w:rFonts w:ascii="宋体" w:hAnsi="宋体"/>
          <w:color w:val="auto"/>
          <w:szCs w:val="21"/>
          <w:highlight w:val="none"/>
        </w:rPr>
      </w:pPr>
      <w:r>
        <w:rPr>
          <w:rFonts w:ascii="宋体" w:hAnsi="宋体"/>
          <w:color w:val="auto"/>
          <w:szCs w:val="21"/>
          <w:highlight w:val="none"/>
        </w:rPr>
        <w:t>5）有效的主体资格证明文件；</w:t>
      </w:r>
    </w:p>
    <w:p w14:paraId="590D8E8B">
      <w:pPr>
        <w:spacing w:line="400" w:lineRule="exact"/>
        <w:ind w:firstLine="420" w:firstLineChars="200"/>
        <w:rPr>
          <w:rFonts w:hAnsi="宋体"/>
          <w:b/>
          <w:color w:val="auto"/>
          <w:highlight w:val="none"/>
        </w:rPr>
      </w:pPr>
      <w:r>
        <w:rPr>
          <w:rFonts w:hint="eastAsia" w:hAnsi="宋体"/>
          <w:color w:val="auto"/>
          <w:highlight w:val="none"/>
        </w:rPr>
        <w:t>磋商供应商有效的</w:t>
      </w:r>
      <w:r>
        <w:rPr>
          <w:rFonts w:hint="eastAsia" w:ascii="宋体" w:hAnsi="宋体"/>
          <w:color w:val="auto"/>
          <w:highlight w:val="none"/>
        </w:rPr>
        <w:t>“主体资格证明文件”复印件（如营业执照、事业单位法人证书、执业许可证、自然人身份证等）</w:t>
      </w:r>
      <w:r>
        <w:rPr>
          <w:rFonts w:hint="eastAsia" w:hAnsi="宋体"/>
          <w:color w:val="auto"/>
          <w:highlight w:val="none"/>
        </w:rPr>
        <w:t>；</w:t>
      </w:r>
      <w:r>
        <w:rPr>
          <w:rFonts w:hAnsi="宋体"/>
          <w:b/>
          <w:color w:val="auto"/>
          <w:highlight w:val="none"/>
        </w:rPr>
        <w:t>[</w:t>
      </w:r>
      <w:r>
        <w:rPr>
          <w:rFonts w:hint="eastAsia" w:hAnsi="宋体"/>
          <w:b/>
          <w:color w:val="auto"/>
          <w:highlight w:val="none"/>
        </w:rPr>
        <w:t>必须提供</w:t>
      </w:r>
      <w:r>
        <w:rPr>
          <w:rFonts w:hAnsi="宋体"/>
          <w:b/>
          <w:color w:val="auto"/>
          <w:highlight w:val="none"/>
        </w:rPr>
        <w:t xml:space="preserve">] </w:t>
      </w:r>
    </w:p>
    <w:p w14:paraId="67E5314C">
      <w:pPr>
        <w:spacing w:line="400" w:lineRule="exact"/>
        <w:ind w:firstLine="420" w:firstLineChars="200"/>
        <w:rPr>
          <w:rFonts w:ascii="宋体" w:hAnsi="宋体"/>
          <w:color w:val="auto"/>
          <w:szCs w:val="21"/>
          <w:highlight w:val="none"/>
        </w:rPr>
      </w:pPr>
      <w:r>
        <w:rPr>
          <w:rFonts w:ascii="宋体" w:hAnsi="宋体"/>
          <w:color w:val="auto"/>
          <w:szCs w:val="21"/>
          <w:highlight w:val="none"/>
        </w:rPr>
        <w:t>6）财务状况报告，</w:t>
      </w:r>
      <w:r>
        <w:rPr>
          <w:rFonts w:hint="eastAsia" w:ascii="宋体" w:hAnsi="宋体" w:cs="宋体"/>
          <w:color w:val="auto"/>
          <w:kern w:val="0"/>
          <w:szCs w:val="21"/>
          <w:highlight w:val="none"/>
        </w:rPr>
        <w:t>由会计师事务所出具的无保留意见的供应商</w:t>
      </w:r>
      <w:r>
        <w:rPr>
          <w:rFonts w:ascii="宋体" w:hAnsi="宋体" w:cs="宋体"/>
          <w:color w:val="auto"/>
          <w:kern w:val="0"/>
          <w:szCs w:val="21"/>
          <w:highlight w:val="none"/>
        </w:rPr>
        <w:t>2024年度审计报告（应包含资产负债表、利润表、现金流量表等主要财务报表及附注</w:t>
      </w:r>
      <w:r>
        <w:rPr>
          <w:rFonts w:hint="eastAsia" w:ascii="宋体" w:hAnsi="宋体" w:cs="宋体"/>
          <w:color w:val="auto"/>
          <w:szCs w:val="21"/>
          <w:highlight w:val="none"/>
        </w:rPr>
        <w:t>，若为新成立的企业，请根据实际情况提供至招标之日上一季度止</w:t>
      </w:r>
      <w:r>
        <w:rPr>
          <w:rFonts w:hint="eastAsia" w:ascii="宋体" w:hAnsi="宋体" w:cs="宋体"/>
          <w:color w:val="auto"/>
          <w:kern w:val="0"/>
          <w:szCs w:val="21"/>
          <w:highlight w:val="none"/>
        </w:rPr>
        <w:t>由会计师事务所出具的无保留意见的</w:t>
      </w:r>
      <w:r>
        <w:rPr>
          <w:rFonts w:hint="eastAsia" w:ascii="宋体" w:hAnsi="宋体" w:cs="宋体"/>
          <w:color w:val="auto"/>
          <w:szCs w:val="21"/>
          <w:highlight w:val="none"/>
        </w:rPr>
        <w:t>季度财务报表</w:t>
      </w:r>
      <w:r>
        <w:rPr>
          <w:rFonts w:hint="eastAsia" w:ascii="宋体" w:hAnsi="宋体" w:cs="宋体"/>
          <w:color w:val="auto"/>
          <w:kern w:val="0"/>
          <w:szCs w:val="21"/>
          <w:highlight w:val="none"/>
        </w:rPr>
        <w:t>）</w:t>
      </w:r>
      <w:r>
        <w:rPr>
          <w:rFonts w:ascii="宋体" w:hAnsi="宋体"/>
          <w:color w:val="auto"/>
          <w:szCs w:val="21"/>
          <w:highlight w:val="none"/>
        </w:rPr>
        <w:t>[</w:t>
      </w:r>
      <w:r>
        <w:rPr>
          <w:rFonts w:hint="eastAsia" w:ascii="宋体" w:hAnsi="宋体"/>
          <w:b/>
          <w:bCs/>
          <w:color w:val="auto"/>
          <w:szCs w:val="21"/>
          <w:highlight w:val="none"/>
        </w:rPr>
        <w:t>必须提供</w:t>
      </w:r>
      <w:r>
        <w:rPr>
          <w:rFonts w:hAnsi="宋体"/>
          <w:color w:val="auto"/>
          <w:highlight w:val="none"/>
        </w:rPr>
        <w:t>]</w:t>
      </w:r>
      <w:r>
        <w:rPr>
          <w:rFonts w:ascii="宋体" w:hAnsi="宋体"/>
          <w:color w:val="auto"/>
          <w:szCs w:val="21"/>
          <w:highlight w:val="none"/>
        </w:rPr>
        <w:t xml:space="preserve"> </w:t>
      </w:r>
    </w:p>
    <w:p w14:paraId="52255FF6">
      <w:pPr>
        <w:snapToGrid w:val="0"/>
        <w:spacing w:line="360" w:lineRule="exact"/>
        <w:ind w:firstLine="411" w:firstLineChars="196"/>
        <w:jc w:val="left"/>
        <w:rPr>
          <w:rFonts w:ascii="宋体" w:hAnsi="宋体"/>
          <w:color w:val="auto"/>
          <w:szCs w:val="21"/>
          <w:highlight w:val="none"/>
        </w:rPr>
      </w:pPr>
      <w:r>
        <w:rPr>
          <w:rFonts w:ascii="宋体" w:hAnsi="宋体"/>
          <w:color w:val="auto"/>
          <w:szCs w:val="21"/>
          <w:highlight w:val="none"/>
        </w:rPr>
        <w:t xml:space="preserve">7）响应文件递交截止之日前一年内磋商供应商连续三个月的依法缴纳税费或依法免缴税费的证明复印件；无纳税记录的，应提供由磋商供应商所在地的税务部门出具的《依法纳税或依法免税证明》复印件； </w:t>
      </w:r>
      <w:r>
        <w:rPr>
          <w:rFonts w:hint="eastAsia" w:ascii="宋体" w:hAnsi="宋体"/>
          <w:b/>
          <w:color w:val="auto"/>
          <w:highlight w:val="none"/>
        </w:rPr>
        <w:t>（必须提供，新成立单位按实际提供）</w:t>
      </w:r>
    </w:p>
    <w:p w14:paraId="65B85497">
      <w:pPr>
        <w:snapToGrid w:val="0"/>
        <w:spacing w:line="360" w:lineRule="exact"/>
        <w:ind w:firstLine="411" w:firstLineChars="196"/>
        <w:jc w:val="left"/>
        <w:rPr>
          <w:rFonts w:ascii="宋体" w:hAnsi="宋体"/>
          <w:color w:val="auto"/>
          <w:szCs w:val="21"/>
          <w:highlight w:val="none"/>
        </w:rPr>
      </w:pPr>
      <w:r>
        <w:rPr>
          <w:rFonts w:ascii="宋体" w:hAnsi="宋体"/>
          <w:color w:val="auto"/>
          <w:szCs w:val="21"/>
          <w:highlight w:val="none"/>
        </w:rPr>
        <w:t>8）响应文件递交截止之日前一年内磋商供应商连续三个月的依法缴纳社保费的缴费凭证复印件</w:t>
      </w:r>
      <w:r>
        <w:rPr>
          <w:rFonts w:hint="eastAsia" w:ascii="宋体" w:hAnsi="宋体"/>
          <w:b/>
          <w:color w:val="auto"/>
          <w:szCs w:val="21"/>
          <w:highlight w:val="none"/>
        </w:rPr>
        <w:t>；</w:t>
      </w:r>
      <w:r>
        <w:rPr>
          <w:rFonts w:hint="eastAsia" w:ascii="宋体" w:hAnsi="宋体"/>
          <w:color w:val="auto"/>
          <w:szCs w:val="21"/>
          <w:highlight w:val="none"/>
        </w:rPr>
        <w:t>无缴费记录的，应提供由磋商供应商所在地社保等相关部门出具的《依法缴纳或依法免缴社保费证明》复印件；</w:t>
      </w:r>
      <w:r>
        <w:rPr>
          <w:rFonts w:hint="eastAsia" w:ascii="宋体" w:hAnsi="宋体"/>
          <w:b/>
          <w:color w:val="auto"/>
          <w:highlight w:val="none"/>
        </w:rPr>
        <w:t>（必须提供，新成立单位按实际提供）</w:t>
      </w:r>
    </w:p>
    <w:p w14:paraId="5B8D456D">
      <w:pPr>
        <w:snapToGrid w:val="0"/>
        <w:spacing w:line="360" w:lineRule="exact"/>
        <w:ind w:firstLine="411" w:firstLineChars="196"/>
        <w:jc w:val="left"/>
        <w:rPr>
          <w:rFonts w:ascii="宋体" w:hAnsi="宋体"/>
          <w:color w:val="auto"/>
          <w:szCs w:val="21"/>
          <w:highlight w:val="none"/>
        </w:rPr>
      </w:pPr>
      <w:r>
        <w:rPr>
          <w:rFonts w:ascii="宋体" w:hAnsi="宋体"/>
          <w:color w:val="auto"/>
          <w:szCs w:val="21"/>
          <w:highlight w:val="none"/>
        </w:rPr>
        <w:t>9）</w:t>
      </w:r>
      <w:r>
        <w:rPr>
          <w:rFonts w:ascii="宋体" w:hAnsi="宋体"/>
          <w:bCs/>
          <w:color w:val="auto"/>
          <w:szCs w:val="21"/>
          <w:highlight w:val="none"/>
        </w:rPr>
        <w:t>具</w:t>
      </w:r>
      <w:r>
        <w:rPr>
          <w:rFonts w:ascii="宋体" w:hAnsi="宋体"/>
          <w:color w:val="auto"/>
          <w:szCs w:val="21"/>
          <w:highlight w:val="none"/>
        </w:rPr>
        <w:t>备履行合同所必需的设备和专业技术能力的证明材料</w:t>
      </w:r>
      <w:r>
        <w:rPr>
          <w:rFonts w:hint="eastAsia" w:ascii="宋体" w:hAnsi="宋体" w:cs="宋体"/>
          <w:color w:val="auto"/>
          <w:kern w:val="0"/>
          <w:szCs w:val="21"/>
          <w:highlight w:val="none"/>
        </w:rPr>
        <w:t>；</w:t>
      </w:r>
      <w:r>
        <w:rPr>
          <w:rFonts w:ascii="宋体" w:hAnsi="宋体"/>
          <w:b/>
          <w:color w:val="auto"/>
          <w:szCs w:val="21"/>
          <w:highlight w:val="none"/>
        </w:rPr>
        <w:t>[格式自拟，必须提供]</w:t>
      </w:r>
    </w:p>
    <w:p w14:paraId="75C795BD">
      <w:pPr>
        <w:wordWrap w:val="0"/>
        <w:snapToGrid w:val="0"/>
        <w:spacing w:line="360" w:lineRule="exact"/>
        <w:ind w:firstLine="411" w:firstLineChars="196"/>
        <w:jc w:val="left"/>
        <w:rPr>
          <w:rFonts w:ascii="宋体" w:hAnsi="宋体"/>
          <w:b/>
          <w:color w:val="auto"/>
          <w:szCs w:val="21"/>
          <w:highlight w:val="none"/>
        </w:rPr>
      </w:pPr>
      <w:r>
        <w:rPr>
          <w:rFonts w:ascii="宋体" w:hAnsi="宋体"/>
          <w:color w:val="auto"/>
          <w:szCs w:val="21"/>
          <w:highlight w:val="none"/>
        </w:rPr>
        <w:t>10）</w:t>
      </w:r>
      <w:r>
        <w:rPr>
          <w:rFonts w:ascii="宋体" w:hAnsi="宋体" w:cs="宋体"/>
          <w:color w:val="auto"/>
          <w:kern w:val="0"/>
          <w:szCs w:val="21"/>
          <w:highlight w:val="none"/>
        </w:rPr>
        <w:t>参加政府采购活动前</w:t>
      </w:r>
      <w:r>
        <w:rPr>
          <w:rFonts w:hint="eastAsia" w:ascii="宋体" w:hAnsi="宋体" w:cs="宋体"/>
          <w:color w:val="auto"/>
          <w:kern w:val="0"/>
          <w:szCs w:val="21"/>
          <w:highlight w:val="none"/>
        </w:rPr>
        <w:t>三</w:t>
      </w:r>
      <w:r>
        <w:rPr>
          <w:rFonts w:ascii="宋体" w:hAnsi="宋体" w:cs="宋体"/>
          <w:color w:val="auto"/>
          <w:kern w:val="0"/>
          <w:szCs w:val="21"/>
          <w:highlight w:val="none"/>
        </w:rPr>
        <w:t>年内在经营活动中没有重大违法记录和不良信用记录的书面声明</w:t>
      </w:r>
      <w:r>
        <w:rPr>
          <w:rFonts w:hint="eastAsia" w:ascii="Arial" w:hAnsi="Arial" w:cs="Arial"/>
          <w:color w:val="auto"/>
          <w:kern w:val="0"/>
          <w:sz w:val="24"/>
          <w:highlight w:val="none"/>
        </w:rPr>
        <w:t>；</w:t>
      </w:r>
      <w:r>
        <w:rPr>
          <w:rFonts w:ascii="宋体" w:hAnsi="宋体"/>
          <w:b/>
          <w:color w:val="auto"/>
          <w:szCs w:val="21"/>
          <w:highlight w:val="none"/>
        </w:rPr>
        <w:t>[格式自拟，必须提供]</w:t>
      </w:r>
    </w:p>
    <w:p w14:paraId="7C7AF1AB">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注：采购人或采购代理机构在资格审查结束前对供应商进行信用查询</w:t>
      </w:r>
    </w:p>
    <w:p w14:paraId="4EE6EA25">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查询渠道：“信用中国”网站</w:t>
      </w:r>
      <w:r>
        <w:rPr>
          <w:rFonts w:ascii="宋体" w:hAnsi="宋体"/>
          <w:b/>
          <w:color w:val="auto"/>
          <w:szCs w:val="21"/>
          <w:highlight w:val="none"/>
        </w:rPr>
        <w:t xml:space="preserve">(www.creditchina.gov.cn) </w:t>
      </w:r>
      <w:r>
        <w:rPr>
          <w:rFonts w:hint="eastAsia" w:ascii="宋体" w:hAnsi="宋体"/>
          <w:b/>
          <w:color w:val="auto"/>
          <w:szCs w:val="21"/>
          <w:highlight w:val="none"/>
        </w:rPr>
        <w:t>、中国政府采购网</w:t>
      </w:r>
      <w:r>
        <w:rPr>
          <w:rFonts w:ascii="宋体" w:hAnsi="宋体"/>
          <w:b/>
          <w:color w:val="auto"/>
          <w:szCs w:val="21"/>
          <w:highlight w:val="none"/>
        </w:rPr>
        <w:t>(www.ccgp.gov.cn)</w:t>
      </w:r>
    </w:p>
    <w:p w14:paraId="7AFED91E">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查询截止时间：资格审查结束前。</w:t>
      </w:r>
    </w:p>
    <w:p w14:paraId="6CC2670E">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查询记录和证据留存方式：在查询网站中直接打印查询记录，打印材料作为评审资料保存。</w:t>
      </w:r>
    </w:p>
    <w:p w14:paraId="035D6E78">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信用信息使用规则：对在“信用中国”网站</w:t>
      </w:r>
      <w:r>
        <w:rPr>
          <w:rFonts w:ascii="宋体" w:hAnsi="宋体"/>
          <w:b/>
          <w:color w:val="auto"/>
          <w:szCs w:val="21"/>
          <w:highlight w:val="none"/>
        </w:rPr>
        <w:t xml:space="preserve">(www.creditchina.gov.cn) </w:t>
      </w:r>
      <w:r>
        <w:rPr>
          <w:rFonts w:hint="eastAsia" w:ascii="宋体" w:hAnsi="宋体"/>
          <w:b/>
          <w:color w:val="auto"/>
          <w:szCs w:val="21"/>
          <w:highlight w:val="none"/>
        </w:rPr>
        <w:t>、中国政府采购网</w:t>
      </w:r>
      <w:r>
        <w:rPr>
          <w:rFonts w:ascii="宋体" w:hAnsi="宋体"/>
          <w:b/>
          <w:color w:val="auto"/>
          <w:szCs w:val="21"/>
          <w:highlight w:val="none"/>
        </w:rPr>
        <w:t>(www.ccgp.gov.cn)被列入失信被执行人、重大税收违法失信主体、政府采购严重违法失信行为记录名单及其他不符合《中华人民共和国政府采购法》第二十二条规定条件的供应商，将拒绝其参与政府采购活动。</w:t>
      </w:r>
    </w:p>
    <w:p w14:paraId="087314F9">
      <w:pPr>
        <w:spacing w:line="40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color w:val="auto"/>
          <w:szCs w:val="21"/>
          <w:highlight w:val="none"/>
        </w:rPr>
        <w:t>中小企业声明函</w:t>
      </w:r>
      <w:r>
        <w:rPr>
          <w:rFonts w:hint="eastAsia" w:ascii="宋体" w:hAnsi="宋体"/>
          <w:color w:val="auto"/>
          <w:szCs w:val="21"/>
          <w:highlight w:val="none"/>
        </w:rPr>
        <w:t>；</w:t>
      </w:r>
      <w:r>
        <w:rPr>
          <w:rFonts w:hint="eastAsia" w:ascii="宋体" w:hAnsi="宋体"/>
          <w:b/>
          <w:color w:val="auto"/>
          <w:szCs w:val="21"/>
          <w:highlight w:val="none"/>
        </w:rPr>
        <w:t>（按最新相关政策执行，格式见第四章，必须</w:t>
      </w:r>
      <w:r>
        <w:rPr>
          <w:rFonts w:ascii="宋体" w:hAnsi="宋体"/>
          <w:b/>
          <w:color w:val="auto"/>
          <w:szCs w:val="21"/>
          <w:highlight w:val="none"/>
        </w:rPr>
        <w:t>提供</w:t>
      </w:r>
      <w:r>
        <w:rPr>
          <w:rFonts w:hint="eastAsia" w:ascii="宋体" w:hAnsi="宋体"/>
          <w:b/>
          <w:color w:val="auto"/>
          <w:szCs w:val="21"/>
          <w:highlight w:val="none"/>
        </w:rPr>
        <w:t>）</w:t>
      </w:r>
    </w:p>
    <w:p w14:paraId="581C28E5">
      <w:pPr>
        <w:spacing w:line="400" w:lineRule="exact"/>
        <w:ind w:firstLine="420" w:firstLineChars="200"/>
        <w:rPr>
          <w:rFonts w:ascii="宋体" w:hAnsi="宋体"/>
          <w:b/>
          <w:color w:val="auto"/>
          <w:highlight w:val="none"/>
        </w:rPr>
      </w:pPr>
      <w:r>
        <w:rPr>
          <w:rFonts w:ascii="宋体" w:hAnsi="宋体"/>
          <w:color w:val="auto"/>
          <w:szCs w:val="21"/>
          <w:highlight w:val="none"/>
        </w:rPr>
        <w:t>12）本采购项目《采购需求》中要求必须提交的材料；</w:t>
      </w:r>
      <w:r>
        <w:rPr>
          <w:rFonts w:ascii="宋体" w:hAnsi="宋体"/>
          <w:b/>
          <w:color w:val="auto"/>
          <w:highlight w:val="none"/>
        </w:rPr>
        <w:t>[如有规定，则必须提供]</w:t>
      </w:r>
    </w:p>
    <w:p w14:paraId="6B1FC4FB">
      <w:pPr>
        <w:spacing w:line="400" w:lineRule="exact"/>
        <w:ind w:firstLine="420" w:firstLineChars="200"/>
        <w:rPr>
          <w:rFonts w:ascii="宋体" w:hAnsi="宋体"/>
          <w:color w:val="auto"/>
          <w:szCs w:val="21"/>
          <w:highlight w:val="none"/>
        </w:rPr>
      </w:pPr>
      <w:r>
        <w:rPr>
          <w:rFonts w:ascii="宋体" w:hAnsi="宋体"/>
          <w:color w:val="auto"/>
          <w:szCs w:val="21"/>
          <w:highlight w:val="none"/>
        </w:rPr>
        <w:t>13）具备法律、行政法规规定的其他条件的证明材料；</w:t>
      </w:r>
      <w:r>
        <w:rPr>
          <w:rFonts w:ascii="宋体" w:hAnsi="宋体"/>
          <w:b/>
          <w:color w:val="auto"/>
          <w:szCs w:val="21"/>
          <w:highlight w:val="none"/>
        </w:rPr>
        <w:t>[如有规定，则必须提供]</w:t>
      </w:r>
    </w:p>
    <w:p w14:paraId="5B39C6A6">
      <w:pPr>
        <w:spacing w:line="400" w:lineRule="exact"/>
        <w:ind w:firstLine="420" w:firstLineChars="200"/>
        <w:rPr>
          <w:rFonts w:ascii="宋体" w:hAnsi="宋体"/>
          <w:b/>
          <w:color w:val="auto"/>
          <w:highlight w:val="none"/>
        </w:rPr>
      </w:pPr>
      <w:r>
        <w:rPr>
          <w:rFonts w:ascii="宋体" w:hAnsi="宋体"/>
          <w:color w:val="auto"/>
          <w:szCs w:val="21"/>
          <w:highlight w:val="none"/>
        </w:rPr>
        <w:t>14）服务方案；</w:t>
      </w:r>
      <w:r>
        <w:rPr>
          <w:rFonts w:ascii="宋体" w:hAnsi="宋体"/>
          <w:b/>
          <w:color w:val="auto"/>
          <w:szCs w:val="21"/>
          <w:highlight w:val="none"/>
        </w:rPr>
        <w:t>[格式自拟</w:t>
      </w:r>
      <w:r>
        <w:rPr>
          <w:rFonts w:ascii="宋体" w:hAnsi="宋体"/>
          <w:b/>
          <w:color w:val="auto"/>
          <w:highlight w:val="none"/>
        </w:rPr>
        <w:t>]</w:t>
      </w:r>
    </w:p>
    <w:p w14:paraId="68AD417A">
      <w:pPr>
        <w:spacing w:line="400" w:lineRule="exact"/>
        <w:ind w:firstLine="420" w:firstLineChars="200"/>
        <w:rPr>
          <w:rFonts w:ascii="宋体" w:hAnsi="宋体"/>
          <w:color w:val="auto"/>
          <w:szCs w:val="21"/>
          <w:highlight w:val="none"/>
        </w:rPr>
      </w:pPr>
      <w:r>
        <w:rPr>
          <w:rFonts w:ascii="宋体" w:hAnsi="宋体"/>
          <w:color w:val="auto"/>
          <w:szCs w:val="21"/>
          <w:highlight w:val="none"/>
        </w:rPr>
        <w:t>15）项目实施人员一览表；</w:t>
      </w:r>
    </w:p>
    <w:p w14:paraId="791D2579">
      <w:pPr>
        <w:spacing w:line="400" w:lineRule="exact"/>
        <w:ind w:firstLine="420" w:firstLineChars="200"/>
        <w:rPr>
          <w:rFonts w:ascii="宋体" w:hAnsi="宋体"/>
          <w:color w:val="auto"/>
          <w:szCs w:val="21"/>
          <w:highlight w:val="none"/>
        </w:rPr>
      </w:pPr>
      <w:r>
        <w:rPr>
          <w:rFonts w:ascii="宋体" w:hAnsi="宋体"/>
          <w:color w:val="auto"/>
          <w:szCs w:val="21"/>
          <w:highlight w:val="none"/>
        </w:rPr>
        <w:t>16）供应商对本项目的合理化建议和改进措施。</w:t>
      </w:r>
    </w:p>
    <w:p w14:paraId="05AE81EA">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三、报价要求</w:t>
      </w:r>
    </w:p>
    <w:p w14:paraId="57037255">
      <w:pPr>
        <w:spacing w:line="400" w:lineRule="exact"/>
        <w:ind w:firstLine="420" w:firstLineChars="200"/>
        <w:rPr>
          <w:rFonts w:ascii="宋体" w:hAnsi="宋体"/>
          <w:color w:val="auto"/>
          <w:szCs w:val="21"/>
          <w:highlight w:val="none"/>
        </w:rPr>
      </w:pPr>
      <w:r>
        <w:rPr>
          <w:rFonts w:ascii="宋体" w:hAnsi="宋体"/>
          <w:color w:val="auto"/>
          <w:szCs w:val="21"/>
          <w:highlight w:val="none"/>
        </w:rPr>
        <w:t>7.1对于本文件中未列明，而磋商供应商认为必需的费用也需列入总报价。在合同实施时，采购人将不予支付成交供应商没有列入的项目费用，并认为此项目的费用已包括在总报价中。</w:t>
      </w:r>
    </w:p>
    <w:p w14:paraId="7450A2D0">
      <w:pPr>
        <w:spacing w:line="400" w:lineRule="exact"/>
        <w:ind w:firstLine="420" w:firstLineChars="200"/>
        <w:rPr>
          <w:rFonts w:ascii="宋体" w:hAnsi="宋体"/>
          <w:color w:val="auto"/>
          <w:szCs w:val="21"/>
          <w:highlight w:val="none"/>
        </w:rPr>
      </w:pPr>
      <w:r>
        <w:rPr>
          <w:rFonts w:ascii="宋体" w:hAnsi="宋体"/>
          <w:color w:val="auto"/>
          <w:szCs w:val="21"/>
          <w:highlight w:val="none"/>
        </w:rPr>
        <w:t>7.2成交供应商负责本项目所需服务的提供、实施、售后服务等全部工作。</w:t>
      </w:r>
    </w:p>
    <w:p w14:paraId="5EF4CBBC">
      <w:pPr>
        <w:pStyle w:val="21"/>
        <w:spacing w:line="420" w:lineRule="exact"/>
        <w:ind w:firstLine="420"/>
        <w:rPr>
          <w:rFonts w:hAnsi="宋体"/>
          <w:color w:val="auto"/>
          <w:highlight w:val="none"/>
        </w:rPr>
      </w:pPr>
      <w:r>
        <w:rPr>
          <w:rFonts w:hAnsi="宋体"/>
          <w:color w:val="auto"/>
          <w:highlight w:val="none"/>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6D442286">
      <w:pPr>
        <w:spacing w:line="400" w:lineRule="exact"/>
        <w:ind w:firstLine="422" w:firstLineChars="200"/>
        <w:rPr>
          <w:b/>
          <w:color w:val="auto"/>
          <w:highlight w:val="none"/>
        </w:rPr>
      </w:pPr>
      <w:r>
        <w:rPr>
          <w:rFonts w:ascii="宋体" w:hAnsi="宋体" w:cs="Courier New"/>
          <w:b/>
          <w:color w:val="auto"/>
          <w:szCs w:val="21"/>
          <w:highlight w:val="none"/>
        </w:rPr>
        <w:t>7.4</w:t>
      </w:r>
      <w:r>
        <w:rPr>
          <w:rFonts w:hint="eastAsia"/>
          <w:b/>
          <w:color w:val="auto"/>
          <w:highlight w:val="none"/>
        </w:rPr>
        <w:t>磋商报价：供应商必须就所竞项目的全部内容作完整唯一报价，漏项报价的或有选择的或有条件的报价，其响应文件将视为无效。</w:t>
      </w:r>
    </w:p>
    <w:p w14:paraId="2845DD02">
      <w:pPr>
        <w:spacing w:line="400" w:lineRule="exact"/>
        <w:ind w:firstLine="422" w:firstLineChars="200"/>
        <w:rPr>
          <w:rFonts w:ascii="宋体" w:hAnsi="宋体" w:cs="Courier New"/>
          <w:b/>
          <w:color w:val="auto"/>
          <w:szCs w:val="21"/>
          <w:highlight w:val="none"/>
        </w:rPr>
      </w:pPr>
      <w:r>
        <w:rPr>
          <w:rFonts w:ascii="宋体" w:hAnsi="宋体" w:cs="Courier New"/>
          <w:b/>
          <w:color w:val="auto"/>
          <w:szCs w:val="21"/>
          <w:highlight w:val="none"/>
        </w:rPr>
        <w:t>7.5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21FF7DB6">
      <w:pPr>
        <w:spacing w:line="4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四、</w:t>
      </w:r>
      <w:r>
        <w:rPr>
          <w:rFonts w:hint="eastAsia" w:ascii="宋体" w:hAnsi="宋体"/>
          <w:b/>
          <w:bCs/>
          <w:color w:val="auto"/>
          <w:highlight w:val="none"/>
        </w:rPr>
        <w:t>竞争性磋商响应文件</w:t>
      </w:r>
      <w:r>
        <w:rPr>
          <w:rFonts w:hint="eastAsia" w:ascii="宋体" w:hAnsi="宋体"/>
          <w:b/>
          <w:color w:val="auto"/>
          <w:szCs w:val="21"/>
          <w:highlight w:val="none"/>
        </w:rPr>
        <w:t>的份数、</w:t>
      </w:r>
      <w:r>
        <w:rPr>
          <w:rFonts w:hint="eastAsia" w:ascii="宋体" w:hAnsi="宋体"/>
          <w:b/>
          <w:bCs/>
          <w:color w:val="auto"/>
          <w:highlight w:val="none"/>
        </w:rPr>
        <w:t>上传、提交、修改、撤回和解密</w:t>
      </w:r>
    </w:p>
    <w:p w14:paraId="37A15C78">
      <w:pPr>
        <w:spacing w:line="400" w:lineRule="exact"/>
        <w:ind w:firstLine="420" w:firstLineChars="200"/>
        <w:rPr>
          <w:rFonts w:ascii="宋体" w:hAnsi="宋体" w:cs="Courier New"/>
          <w:color w:val="auto"/>
          <w:szCs w:val="21"/>
          <w:highlight w:val="none"/>
        </w:rPr>
      </w:pPr>
      <w:r>
        <w:rPr>
          <w:rFonts w:ascii="宋体" w:hAnsi="宋体" w:cs="Courier New"/>
          <w:color w:val="auto"/>
          <w:szCs w:val="21"/>
          <w:highlight w:val="none"/>
        </w:rPr>
        <w:t xml:space="preserve">8. </w:t>
      </w:r>
      <w:r>
        <w:rPr>
          <w:rFonts w:hint="eastAsia" w:ascii="宋体" w:hAnsi="宋体" w:cs="Courier New"/>
          <w:color w:val="auto"/>
          <w:szCs w:val="21"/>
          <w:highlight w:val="none"/>
        </w:rPr>
        <w:t>竞争性磋商响应文件的的份数、上传、提交、解密</w:t>
      </w:r>
    </w:p>
    <w:p w14:paraId="582653AD">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见须知前附表。</w:t>
      </w:r>
    </w:p>
    <w:p w14:paraId="4B9AD5E7">
      <w:pPr>
        <w:spacing w:line="400" w:lineRule="exact"/>
        <w:ind w:firstLine="420" w:firstLineChars="200"/>
        <w:rPr>
          <w:rFonts w:ascii="宋体" w:hAnsi="宋体" w:cs="Courier New"/>
          <w:color w:val="auto"/>
          <w:szCs w:val="21"/>
          <w:highlight w:val="none"/>
        </w:rPr>
      </w:pPr>
      <w:r>
        <w:rPr>
          <w:rFonts w:ascii="宋体" w:hAnsi="宋体" w:cs="Courier New"/>
          <w:color w:val="auto"/>
          <w:szCs w:val="21"/>
          <w:highlight w:val="none"/>
        </w:rPr>
        <w:t xml:space="preserve">9. </w:t>
      </w:r>
      <w:r>
        <w:rPr>
          <w:rFonts w:hint="eastAsia" w:ascii="宋体" w:hAnsi="宋体" w:cs="Courier New"/>
          <w:color w:val="auto"/>
          <w:szCs w:val="21"/>
          <w:highlight w:val="none"/>
        </w:rPr>
        <w:t>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3272582E">
      <w:pPr>
        <w:spacing w:line="4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五、磋商保证金</w:t>
      </w:r>
    </w:p>
    <w:p w14:paraId="761A1DCC">
      <w:pPr>
        <w:spacing w:line="400" w:lineRule="exact"/>
        <w:ind w:firstLine="420" w:firstLineChars="200"/>
        <w:rPr>
          <w:rFonts w:ascii="宋体" w:hAnsi="宋体"/>
          <w:b/>
          <w:color w:val="auto"/>
          <w:szCs w:val="21"/>
          <w:highlight w:val="none"/>
        </w:rPr>
      </w:pPr>
      <w:r>
        <w:rPr>
          <w:rFonts w:ascii="宋体" w:hAnsi="宋体"/>
          <w:color w:val="auto"/>
          <w:szCs w:val="21"/>
          <w:highlight w:val="none"/>
        </w:rPr>
        <w:t>10.1</w:t>
      </w:r>
      <w:r>
        <w:rPr>
          <w:rFonts w:hint="eastAsia" w:hAnsi="宋体"/>
          <w:color w:val="auto"/>
          <w:highlight w:val="none"/>
        </w:rPr>
        <w:t>保证金应用人民币，</w:t>
      </w:r>
      <w:r>
        <w:rPr>
          <w:rFonts w:hint="eastAsia" w:ascii="宋体" w:hAnsi="宋体"/>
          <w:bCs/>
          <w:color w:val="auto"/>
          <w:szCs w:val="21"/>
          <w:highlight w:val="none"/>
        </w:rPr>
        <w:t>具体金额及缴纳方式详见竞争性磋商。</w:t>
      </w:r>
    </w:p>
    <w:p w14:paraId="3C3E1F2C">
      <w:pPr>
        <w:spacing w:line="400" w:lineRule="exact"/>
        <w:ind w:firstLine="420" w:firstLineChars="200"/>
        <w:rPr>
          <w:rFonts w:hAnsi="宋体"/>
          <w:color w:val="auto"/>
          <w:highlight w:val="none"/>
        </w:rPr>
      </w:pPr>
      <w:r>
        <w:rPr>
          <w:rFonts w:ascii="宋体" w:hAnsi="宋体"/>
          <w:color w:val="auto"/>
          <w:szCs w:val="21"/>
          <w:highlight w:val="none"/>
        </w:rPr>
        <w:t>10.2</w:t>
      </w:r>
      <w:r>
        <w:rPr>
          <w:rFonts w:hint="eastAsia" w:hAnsi="宋体"/>
          <w:color w:val="auto"/>
          <w:highlight w:val="none"/>
        </w:rPr>
        <w:t>未成交磋商供应商的保证金，将在成交通知书发出后四个工作日内予以退还，不计利息。成交供应商</w:t>
      </w:r>
      <w:r>
        <w:rPr>
          <w:rFonts w:hint="eastAsia" w:ascii="宋体" w:hAnsi="宋体"/>
          <w:color w:val="auto"/>
          <w:szCs w:val="21"/>
          <w:highlight w:val="none"/>
        </w:rPr>
        <w:t>的保证金在合同签订后四个工作日内退还（</w:t>
      </w:r>
      <w:r>
        <w:rPr>
          <w:rFonts w:hint="eastAsia" w:hAnsi="宋体"/>
          <w:color w:val="auto"/>
          <w:highlight w:val="none"/>
        </w:rPr>
        <w:t>合同签订后送达至</w:t>
      </w:r>
      <w:r>
        <w:rPr>
          <w:rFonts w:hint="eastAsia" w:ascii="宋体" w:hAnsi="宋体"/>
          <w:color w:val="auto"/>
          <w:szCs w:val="21"/>
          <w:highlight w:val="none"/>
        </w:rPr>
        <w:t>天勤工程咨询有限公司），不计利息。</w:t>
      </w:r>
    </w:p>
    <w:p w14:paraId="7738388E">
      <w:pPr>
        <w:spacing w:line="400" w:lineRule="exact"/>
        <w:ind w:firstLine="420" w:firstLineChars="200"/>
        <w:rPr>
          <w:rFonts w:ascii="宋体" w:hAnsi="宋体" w:cs="Courier New"/>
          <w:color w:val="auto"/>
          <w:szCs w:val="21"/>
          <w:highlight w:val="none"/>
        </w:rPr>
      </w:pPr>
      <w:r>
        <w:rPr>
          <w:rFonts w:ascii="宋体" w:hAnsi="宋体"/>
          <w:bCs/>
          <w:color w:val="auto"/>
          <w:szCs w:val="21"/>
          <w:highlight w:val="none"/>
        </w:rPr>
        <w:t>10.3</w:t>
      </w:r>
      <w:r>
        <w:rPr>
          <w:rFonts w:hint="eastAsia" w:ascii="宋体" w:hAnsi="宋体" w:cs="宋体"/>
          <w:color w:val="auto"/>
          <w:kern w:val="0"/>
          <w:szCs w:val="21"/>
          <w:highlight w:val="none"/>
        </w:rPr>
        <w:t>供应商为联合体的，可以由联合体中的一方或者多方共同交纳保证金，其交纳的保证金对联合体各方均具有约束力。</w:t>
      </w:r>
    </w:p>
    <w:p w14:paraId="6E1CE0CE">
      <w:pPr>
        <w:tabs>
          <w:tab w:val="left" w:pos="975"/>
        </w:tabs>
        <w:snapToGrid w:val="0"/>
        <w:spacing w:line="360" w:lineRule="exact"/>
        <w:ind w:firstLine="413" w:firstLineChars="196"/>
        <w:jc w:val="left"/>
        <w:rPr>
          <w:rFonts w:ascii="宋体" w:hAnsi="宋体"/>
          <w:b/>
          <w:bCs/>
          <w:color w:val="auto"/>
          <w:szCs w:val="21"/>
          <w:highlight w:val="none"/>
        </w:rPr>
      </w:pPr>
      <w:r>
        <w:rPr>
          <w:rFonts w:ascii="宋体" w:hAnsi="宋体"/>
          <w:b/>
          <w:bCs/>
          <w:color w:val="auto"/>
          <w:szCs w:val="21"/>
          <w:highlight w:val="none"/>
        </w:rPr>
        <w:t>10.4磋商供应商有下列情形之一的，保证金将不予退还：</w:t>
      </w:r>
    </w:p>
    <w:p w14:paraId="21DFCB4D">
      <w:pPr>
        <w:tabs>
          <w:tab w:val="left" w:pos="975"/>
        </w:tabs>
        <w:snapToGrid w:val="0"/>
        <w:spacing w:line="360" w:lineRule="exact"/>
        <w:ind w:firstLine="411" w:firstLineChars="196"/>
        <w:jc w:val="left"/>
        <w:rPr>
          <w:rFonts w:ascii="宋体" w:hAnsi="宋体" w:cs="宋体"/>
          <w:color w:val="auto"/>
          <w:kern w:val="0"/>
          <w:szCs w:val="21"/>
          <w:highlight w:val="none"/>
        </w:rPr>
      </w:pPr>
      <w:r>
        <w:rPr>
          <w:rFonts w:ascii="宋体" w:hAnsi="宋体" w:cs="宋体"/>
          <w:color w:val="auto"/>
          <w:kern w:val="0"/>
          <w:szCs w:val="21"/>
          <w:highlight w:val="none"/>
        </w:rPr>
        <w:t>1）磋商供应商在提交</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响应文件截止时间后撤回</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响应文件的；</w:t>
      </w:r>
    </w:p>
    <w:p w14:paraId="505E5028">
      <w:pPr>
        <w:tabs>
          <w:tab w:val="left" w:pos="975"/>
        </w:tabs>
        <w:snapToGrid w:val="0"/>
        <w:spacing w:line="360" w:lineRule="exact"/>
        <w:ind w:firstLine="411" w:firstLineChars="196"/>
        <w:jc w:val="left"/>
        <w:rPr>
          <w:rFonts w:ascii="宋体" w:hAnsi="宋体" w:cs="宋体"/>
          <w:color w:val="auto"/>
          <w:kern w:val="0"/>
          <w:szCs w:val="21"/>
          <w:highlight w:val="none"/>
        </w:rPr>
      </w:pPr>
      <w:r>
        <w:rPr>
          <w:rFonts w:ascii="宋体" w:hAnsi="宋体" w:cs="宋体"/>
          <w:color w:val="auto"/>
          <w:kern w:val="0"/>
          <w:szCs w:val="21"/>
          <w:highlight w:val="none"/>
        </w:rPr>
        <w:t>2）磋商供应商在</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响应文件中提供虚假材料的；</w:t>
      </w:r>
    </w:p>
    <w:p w14:paraId="3B71EC08">
      <w:pPr>
        <w:tabs>
          <w:tab w:val="left" w:pos="975"/>
        </w:tabs>
        <w:snapToGrid w:val="0"/>
        <w:spacing w:line="360" w:lineRule="exact"/>
        <w:ind w:firstLine="411" w:firstLineChars="196"/>
        <w:jc w:val="left"/>
        <w:rPr>
          <w:rFonts w:ascii="宋体" w:hAnsi="宋体" w:cs="宋体"/>
          <w:color w:val="auto"/>
          <w:kern w:val="0"/>
          <w:szCs w:val="21"/>
          <w:highlight w:val="none"/>
        </w:rPr>
      </w:pPr>
      <w:r>
        <w:rPr>
          <w:rFonts w:ascii="宋体" w:hAnsi="宋体" w:cs="宋体"/>
          <w:color w:val="auto"/>
          <w:kern w:val="0"/>
          <w:szCs w:val="21"/>
          <w:highlight w:val="none"/>
        </w:rPr>
        <w:t>3）除因不可抗力或</w:t>
      </w:r>
      <w:r>
        <w:rPr>
          <w:rFonts w:hint="eastAsia" w:ascii="宋体" w:hAnsi="宋体"/>
          <w:color w:val="auto"/>
          <w:szCs w:val="21"/>
          <w:highlight w:val="none"/>
        </w:rPr>
        <w:t>竞争性</w:t>
      </w:r>
      <w:r>
        <w:rPr>
          <w:rFonts w:hint="eastAsia" w:ascii="宋体" w:hAnsi="宋体" w:cs="宋体"/>
          <w:color w:val="auto"/>
          <w:kern w:val="0"/>
          <w:szCs w:val="21"/>
          <w:highlight w:val="none"/>
        </w:rPr>
        <w:t>磋商文件认可的情形以外，成交供应商不与采购人签订合同的；</w:t>
      </w:r>
    </w:p>
    <w:p w14:paraId="20217ABF">
      <w:pPr>
        <w:tabs>
          <w:tab w:val="left" w:pos="975"/>
        </w:tabs>
        <w:snapToGrid w:val="0"/>
        <w:spacing w:line="360" w:lineRule="exact"/>
        <w:ind w:firstLine="411" w:firstLineChars="196"/>
        <w:jc w:val="left"/>
        <w:rPr>
          <w:rFonts w:ascii="宋体" w:hAnsi="宋体" w:cs="宋体"/>
          <w:color w:val="auto"/>
          <w:kern w:val="0"/>
          <w:szCs w:val="21"/>
          <w:highlight w:val="none"/>
        </w:rPr>
      </w:pPr>
      <w:r>
        <w:rPr>
          <w:rFonts w:ascii="宋体" w:hAnsi="宋体" w:cs="宋体"/>
          <w:color w:val="auto"/>
          <w:kern w:val="0"/>
          <w:szCs w:val="21"/>
          <w:highlight w:val="none"/>
        </w:rPr>
        <w:t>4）磋商供应商与采购人、其他供应商或者采购代理机构恶意串通的。</w:t>
      </w:r>
    </w:p>
    <w:p w14:paraId="5B2F112E">
      <w:pPr>
        <w:tabs>
          <w:tab w:val="left" w:pos="975"/>
        </w:tabs>
        <w:snapToGrid w:val="0"/>
        <w:spacing w:line="360" w:lineRule="exact"/>
        <w:ind w:firstLine="411" w:firstLineChars="196"/>
        <w:jc w:val="left"/>
        <w:rPr>
          <w:rFonts w:ascii="宋体" w:hAnsi="宋体" w:cs="宋体"/>
          <w:color w:val="auto"/>
          <w:kern w:val="0"/>
          <w:szCs w:val="21"/>
          <w:highlight w:val="none"/>
        </w:rPr>
      </w:pPr>
      <w:r>
        <w:rPr>
          <w:rFonts w:ascii="宋体" w:hAnsi="宋体" w:cs="宋体"/>
          <w:color w:val="auto"/>
          <w:kern w:val="0"/>
          <w:szCs w:val="21"/>
          <w:highlight w:val="none"/>
        </w:rPr>
        <w:t>5）法律法规规定的其他情形。</w:t>
      </w:r>
    </w:p>
    <w:p w14:paraId="4266B901">
      <w:pPr>
        <w:tabs>
          <w:tab w:val="left" w:pos="975"/>
        </w:tabs>
        <w:snapToGrid w:val="0"/>
        <w:spacing w:line="360" w:lineRule="exact"/>
        <w:ind w:firstLine="413" w:firstLineChars="196"/>
        <w:jc w:val="left"/>
        <w:rPr>
          <w:rFonts w:hAnsi="宋体"/>
          <w:b/>
          <w:color w:val="auto"/>
          <w:highlight w:val="none"/>
        </w:rPr>
      </w:pPr>
      <w:r>
        <w:rPr>
          <w:rFonts w:hint="eastAsia" w:ascii="宋体" w:hAnsi="宋体"/>
          <w:b/>
          <w:bCs/>
          <w:color w:val="auto"/>
          <w:szCs w:val="21"/>
          <w:highlight w:val="none"/>
        </w:rPr>
        <w:t>注：</w:t>
      </w:r>
      <w:r>
        <w:rPr>
          <w:rFonts w:hint="eastAsia" w:ascii="宋体" w:hAnsi="宋体" w:cs="宋体"/>
          <w:b/>
          <w:color w:val="auto"/>
          <w:kern w:val="0"/>
          <w:szCs w:val="21"/>
          <w:highlight w:val="none"/>
        </w:rPr>
        <w:t>磋商供应商</w:t>
      </w:r>
      <w:r>
        <w:rPr>
          <w:rFonts w:hint="eastAsia" w:hAnsi="宋体"/>
          <w:b/>
          <w:color w:val="auto"/>
          <w:highlight w:val="none"/>
        </w:rPr>
        <w:t>已经被推荐为第一成交候选供应商后撤回</w:t>
      </w:r>
      <w:r>
        <w:rPr>
          <w:rFonts w:hint="eastAsia" w:ascii="宋体" w:hAnsi="宋体"/>
          <w:b/>
          <w:color w:val="auto"/>
          <w:szCs w:val="21"/>
          <w:highlight w:val="none"/>
        </w:rPr>
        <w:t>竞争性磋商</w:t>
      </w:r>
      <w:r>
        <w:rPr>
          <w:rFonts w:hint="eastAsia" w:ascii="宋体" w:hAnsi="宋体" w:cs="宋体"/>
          <w:b/>
          <w:color w:val="auto"/>
          <w:kern w:val="0"/>
          <w:szCs w:val="21"/>
          <w:highlight w:val="none"/>
        </w:rPr>
        <w:t>响应文件</w:t>
      </w:r>
      <w:r>
        <w:rPr>
          <w:rFonts w:hint="eastAsia" w:hAnsi="宋体"/>
          <w:b/>
          <w:color w:val="auto"/>
          <w:highlight w:val="none"/>
        </w:rPr>
        <w:t>或</w:t>
      </w:r>
      <w:r>
        <w:rPr>
          <w:rFonts w:hint="eastAsia" w:ascii="宋体" w:hAnsi="宋体" w:cs="宋体"/>
          <w:b/>
          <w:color w:val="auto"/>
          <w:kern w:val="0"/>
          <w:szCs w:val="21"/>
          <w:highlight w:val="none"/>
        </w:rPr>
        <w:t>拒绝签订政府采购合同的</w:t>
      </w:r>
      <w:r>
        <w:rPr>
          <w:rFonts w:hint="eastAsia" w:hAnsi="宋体"/>
          <w:b/>
          <w:color w:val="auto"/>
          <w:highlight w:val="none"/>
        </w:rPr>
        <w:t>，</w:t>
      </w:r>
      <w:r>
        <w:rPr>
          <w:rFonts w:hint="eastAsia"/>
          <w:b/>
          <w:color w:val="auto"/>
          <w:highlight w:val="none"/>
        </w:rPr>
        <w:t>其保证金将不予退还，并上缴国库，给采购人造成损失的，还应当赔偿损失，并作为不良行为记录在案</w:t>
      </w:r>
      <w:r>
        <w:rPr>
          <w:rFonts w:hint="eastAsia" w:hAnsi="宋体"/>
          <w:b/>
          <w:color w:val="auto"/>
          <w:highlight w:val="none"/>
        </w:rPr>
        <w:t>。</w:t>
      </w:r>
    </w:p>
    <w:p w14:paraId="2ADABAB2">
      <w:pPr>
        <w:tabs>
          <w:tab w:val="left" w:pos="975"/>
        </w:tabs>
        <w:snapToGrid w:val="0"/>
        <w:spacing w:line="360" w:lineRule="exact"/>
        <w:ind w:firstLine="413" w:firstLineChars="196"/>
        <w:jc w:val="left"/>
        <w:rPr>
          <w:b/>
          <w:color w:val="auto"/>
          <w:highlight w:val="none"/>
        </w:rPr>
      </w:pPr>
      <w:r>
        <w:rPr>
          <w:rFonts w:hint="eastAsia" w:ascii="宋体" w:hAnsi="宋体"/>
          <w:b/>
          <w:color w:val="auto"/>
          <w:szCs w:val="21"/>
          <w:highlight w:val="none"/>
        </w:rPr>
        <w:t>六</w:t>
      </w:r>
      <w:r>
        <w:rPr>
          <w:rFonts w:hint="eastAsia"/>
          <w:b/>
          <w:color w:val="auto"/>
          <w:highlight w:val="none"/>
        </w:rPr>
        <w:t>、磋商程序</w:t>
      </w:r>
      <w:r>
        <w:rPr>
          <w:rFonts w:hint="eastAsia" w:ascii="宋体" w:hAnsi="宋体"/>
          <w:b/>
          <w:color w:val="auto"/>
          <w:szCs w:val="21"/>
          <w:highlight w:val="none"/>
        </w:rPr>
        <w:t>及</w:t>
      </w:r>
      <w:r>
        <w:rPr>
          <w:rFonts w:hint="eastAsia"/>
          <w:b/>
          <w:color w:val="auto"/>
          <w:highlight w:val="none"/>
        </w:rPr>
        <w:t>评标方法</w:t>
      </w:r>
    </w:p>
    <w:p w14:paraId="062A409C">
      <w:pPr>
        <w:tabs>
          <w:tab w:val="left" w:pos="975"/>
        </w:tabs>
        <w:snapToGrid w:val="0"/>
        <w:spacing w:line="360" w:lineRule="exact"/>
        <w:ind w:firstLine="413" w:firstLineChars="196"/>
        <w:jc w:val="left"/>
        <w:rPr>
          <w:b/>
          <w:color w:val="auto"/>
          <w:highlight w:val="none"/>
        </w:rPr>
      </w:pPr>
      <w:r>
        <w:rPr>
          <w:rFonts w:hint="eastAsia"/>
          <w:b/>
          <w:color w:val="auto"/>
          <w:highlight w:val="none"/>
        </w:rPr>
        <w:t>（一）竞争性磋商响应文件无效的情形：</w:t>
      </w:r>
    </w:p>
    <w:p w14:paraId="49AB158C">
      <w:pPr>
        <w:tabs>
          <w:tab w:val="left" w:pos="975"/>
        </w:tabs>
        <w:snapToGrid w:val="0"/>
        <w:spacing w:line="360" w:lineRule="exact"/>
        <w:ind w:firstLine="413" w:firstLineChars="196"/>
        <w:jc w:val="left"/>
        <w:rPr>
          <w:rFonts w:ascii="宋体" w:hAnsi="宋体"/>
          <w:b/>
          <w:color w:val="auto"/>
          <w:highlight w:val="none"/>
        </w:rPr>
      </w:pPr>
      <w:r>
        <w:rPr>
          <w:b/>
          <w:color w:val="auto"/>
          <w:highlight w:val="none"/>
        </w:rPr>
        <w:t>1.</w:t>
      </w:r>
      <w:r>
        <w:rPr>
          <w:rFonts w:hint="eastAsia"/>
          <w:b/>
          <w:color w:val="auto"/>
          <w:highlight w:val="none"/>
        </w:rPr>
        <w:t>未</w:t>
      </w:r>
      <w:r>
        <w:rPr>
          <w:rFonts w:hint="eastAsia" w:ascii="宋体" w:hAnsi="宋体"/>
          <w:b/>
          <w:color w:val="auto"/>
          <w:highlight w:val="none"/>
        </w:rPr>
        <w:t>实质性响应竞争性磋商文件的竞争性磋商响应文件按无效处理。</w:t>
      </w:r>
    </w:p>
    <w:p w14:paraId="3C7FE9F7">
      <w:pPr>
        <w:tabs>
          <w:tab w:val="left" w:pos="975"/>
        </w:tabs>
        <w:snapToGrid w:val="0"/>
        <w:spacing w:line="360" w:lineRule="exact"/>
        <w:ind w:firstLine="413" w:firstLineChars="196"/>
        <w:jc w:val="left"/>
        <w:rPr>
          <w:rFonts w:ascii="宋体" w:hAnsi="宋体"/>
          <w:b/>
          <w:color w:val="auto"/>
          <w:highlight w:val="none"/>
        </w:rPr>
      </w:pPr>
      <w:r>
        <w:rPr>
          <w:rFonts w:ascii="宋体" w:hAnsi="宋体"/>
          <w:b/>
          <w:color w:val="auto"/>
          <w:highlight w:val="none"/>
        </w:rPr>
        <w:t>2.有下列情形之一的视为供应商相互串通参与磋商活动，竞争性磋商响应文件将被视为无效：</w:t>
      </w:r>
    </w:p>
    <w:p w14:paraId="54AF2DEC">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1）不同供应商的竞争性磋商响应文件由同一单位或者个人编制；或不同供应商报名的IP地址一致的；</w:t>
      </w:r>
    </w:p>
    <w:p w14:paraId="2DAAE31E">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2）不同供应商委托同一单位或者个人办理磋商活动事宜；</w:t>
      </w:r>
    </w:p>
    <w:p w14:paraId="6297F7AE">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3）不同的供应商的竞争性磋商响应文件载明的项目管理员或者联系人员为同一个人；</w:t>
      </w:r>
    </w:p>
    <w:p w14:paraId="173CF107">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4）不同供应商的竞争性磋商响应文件异常一致或磋商报价呈规律性差异；</w:t>
      </w:r>
    </w:p>
    <w:p w14:paraId="427CBA9F">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5）不同供应商的竞争性磋商响应文件相互混装；</w:t>
      </w:r>
    </w:p>
    <w:p w14:paraId="4A512AAC">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6）不同供应商的保证金从同一单位或者个人账户转出。</w:t>
      </w:r>
    </w:p>
    <w:p w14:paraId="6D4CE12C">
      <w:pPr>
        <w:tabs>
          <w:tab w:val="left" w:pos="975"/>
        </w:tabs>
        <w:snapToGrid w:val="0"/>
        <w:spacing w:line="360" w:lineRule="exact"/>
        <w:ind w:firstLine="413" w:firstLineChars="196"/>
        <w:jc w:val="left"/>
        <w:rPr>
          <w:rFonts w:ascii="宋体" w:hAnsi="宋体"/>
          <w:b/>
          <w:color w:val="auto"/>
          <w:highlight w:val="none"/>
        </w:rPr>
      </w:pPr>
      <w:r>
        <w:rPr>
          <w:rFonts w:ascii="宋体" w:hAnsi="宋体"/>
          <w:b/>
          <w:color w:val="auto"/>
          <w:highlight w:val="none"/>
        </w:rPr>
        <w:t>3.有下列情形之一的视为关联供应商参加同一合同项下政府采购活动，竞争性磋商响应文件将被视为无效：</w:t>
      </w:r>
    </w:p>
    <w:p w14:paraId="727EB73B">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1）单位负责人为同一人或者存在直接控股、管理关系的不同供应商，参加同一合同项下政府采购活动；</w:t>
      </w:r>
    </w:p>
    <w:p w14:paraId="3C732387">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2）生产厂商授权给供应商后又参加同一合同项下的政府采购活动；生产厂商对同一品牌同一型号的货物委托多个代理商参加磋商活动。</w:t>
      </w:r>
    </w:p>
    <w:p w14:paraId="084810D1">
      <w:pPr>
        <w:tabs>
          <w:tab w:val="left" w:pos="975"/>
        </w:tabs>
        <w:snapToGrid w:val="0"/>
        <w:spacing w:line="360" w:lineRule="exact"/>
        <w:ind w:firstLine="413" w:firstLineChars="196"/>
        <w:jc w:val="left"/>
        <w:rPr>
          <w:b/>
          <w:color w:val="auto"/>
          <w:highlight w:val="none"/>
        </w:rPr>
      </w:pPr>
      <w:r>
        <w:rPr>
          <w:b/>
          <w:color w:val="auto"/>
          <w:highlight w:val="none"/>
        </w:rPr>
        <w:t xml:space="preserve">4. </w:t>
      </w:r>
      <w:r>
        <w:rPr>
          <w:rFonts w:hint="eastAsia"/>
          <w:b/>
          <w:color w:val="auto"/>
          <w:highlight w:val="none"/>
        </w:rPr>
        <w:t>其他竞标无效的情形：</w:t>
      </w:r>
    </w:p>
    <w:p w14:paraId="3A110533">
      <w:pPr>
        <w:tabs>
          <w:tab w:val="left" w:pos="975"/>
        </w:tabs>
        <w:snapToGrid w:val="0"/>
        <w:spacing w:line="360" w:lineRule="exact"/>
        <w:ind w:firstLine="413" w:firstLineChars="196"/>
        <w:jc w:val="left"/>
        <w:rPr>
          <w:b/>
          <w:color w:val="auto"/>
          <w:highlight w:val="none"/>
        </w:rPr>
      </w:pPr>
      <w:r>
        <w:rPr>
          <w:rFonts w:hint="eastAsia"/>
          <w:b/>
          <w:color w:val="auto"/>
          <w:highlight w:val="none"/>
        </w:rPr>
        <w:t>（</w:t>
      </w:r>
      <w:r>
        <w:rPr>
          <w:b/>
          <w:color w:val="auto"/>
          <w:highlight w:val="none"/>
        </w:rPr>
        <w:t>1</w:t>
      </w:r>
      <w:r>
        <w:rPr>
          <w:rFonts w:hint="eastAsia"/>
          <w:b/>
          <w:color w:val="auto"/>
          <w:highlight w:val="none"/>
        </w:rPr>
        <w:t>）竞争性磋商响应文件未按竞争性磋商文件要求签署或</w:t>
      </w:r>
      <w:r>
        <w:rPr>
          <w:b/>
          <w:color w:val="auto"/>
          <w:highlight w:val="none"/>
        </w:rPr>
        <w:t>CA</w:t>
      </w:r>
      <w:r>
        <w:rPr>
          <w:rFonts w:hint="eastAsia"/>
          <w:b/>
          <w:color w:val="auto"/>
          <w:highlight w:val="none"/>
        </w:rPr>
        <w:t>电子签章的；</w:t>
      </w:r>
    </w:p>
    <w:p w14:paraId="1F22E0F8">
      <w:pPr>
        <w:tabs>
          <w:tab w:val="left" w:pos="975"/>
        </w:tabs>
        <w:snapToGrid w:val="0"/>
        <w:spacing w:line="360" w:lineRule="exact"/>
        <w:ind w:firstLine="413" w:firstLineChars="196"/>
        <w:jc w:val="left"/>
        <w:rPr>
          <w:b/>
          <w:color w:val="auto"/>
          <w:highlight w:val="none"/>
        </w:rPr>
      </w:pPr>
      <w:r>
        <w:rPr>
          <w:rFonts w:hint="eastAsia"/>
          <w:b/>
          <w:color w:val="auto"/>
          <w:highlight w:val="none"/>
        </w:rPr>
        <w:t>（</w:t>
      </w:r>
      <w:r>
        <w:rPr>
          <w:b/>
          <w:color w:val="auto"/>
          <w:highlight w:val="none"/>
        </w:rPr>
        <w:t>2</w:t>
      </w:r>
      <w:r>
        <w:rPr>
          <w:rFonts w:hint="eastAsia"/>
          <w:b/>
          <w:color w:val="auto"/>
          <w:highlight w:val="none"/>
        </w:rPr>
        <w:t>）供应商提交两份或两份以上内容不同的竞争性磋商响应文件；</w:t>
      </w:r>
    </w:p>
    <w:p w14:paraId="1FC7F747">
      <w:pPr>
        <w:tabs>
          <w:tab w:val="left" w:pos="975"/>
        </w:tabs>
        <w:snapToGrid w:val="0"/>
        <w:spacing w:line="360" w:lineRule="exact"/>
        <w:ind w:firstLine="413" w:firstLineChars="196"/>
        <w:jc w:val="left"/>
        <w:rPr>
          <w:b/>
          <w:color w:val="auto"/>
          <w:highlight w:val="none"/>
        </w:rPr>
      </w:pPr>
      <w:r>
        <w:rPr>
          <w:rFonts w:hint="eastAsia"/>
          <w:b/>
          <w:color w:val="auto"/>
          <w:highlight w:val="none"/>
        </w:rPr>
        <w:t>（</w:t>
      </w:r>
      <w:r>
        <w:rPr>
          <w:b/>
          <w:color w:val="auto"/>
          <w:highlight w:val="none"/>
        </w:rPr>
        <w:t>3</w:t>
      </w:r>
      <w:r>
        <w:rPr>
          <w:rFonts w:hint="eastAsia"/>
          <w:b/>
          <w:color w:val="auto"/>
          <w:highlight w:val="none"/>
        </w:rPr>
        <w:t>）磋商供应商在线制作竞争性磋商响应文件时填写的报价金额与解密后“电子加密响应文件”中《报价文件》填写的金额不一致并拒绝按采购文件要求接受调整的；</w:t>
      </w:r>
    </w:p>
    <w:p w14:paraId="1112D306">
      <w:pPr>
        <w:tabs>
          <w:tab w:val="left" w:pos="975"/>
        </w:tabs>
        <w:snapToGrid w:val="0"/>
        <w:spacing w:line="360" w:lineRule="exact"/>
        <w:ind w:firstLine="413" w:firstLineChars="196"/>
        <w:jc w:val="left"/>
        <w:rPr>
          <w:color w:val="auto"/>
          <w:highlight w:val="none"/>
        </w:rPr>
      </w:pPr>
      <w:r>
        <w:rPr>
          <w:rFonts w:hint="eastAsia"/>
          <w:b/>
          <w:color w:val="auto"/>
          <w:highlight w:val="none"/>
        </w:rPr>
        <w:t>（</w:t>
      </w:r>
      <w:r>
        <w:rPr>
          <w:b/>
          <w:color w:val="auto"/>
          <w:highlight w:val="none"/>
        </w:rPr>
        <w:t>4</w:t>
      </w:r>
      <w:r>
        <w:rPr>
          <w:rFonts w:hint="eastAsia"/>
          <w:b/>
          <w:color w:val="auto"/>
          <w:highlight w:val="none"/>
        </w:rPr>
        <w:t>）法律、法规和采购文件规定的其他无效情形（或出现重大偏差）。</w:t>
      </w:r>
      <w:r>
        <w:rPr>
          <w:color w:val="auto"/>
          <w:highlight w:val="none"/>
        </w:rPr>
        <w:t xml:space="preserve">  </w:t>
      </w:r>
    </w:p>
    <w:p w14:paraId="7DE0ACAC">
      <w:pPr>
        <w:tabs>
          <w:tab w:val="left" w:pos="975"/>
        </w:tabs>
        <w:snapToGrid w:val="0"/>
        <w:spacing w:line="360" w:lineRule="exact"/>
        <w:ind w:firstLine="411" w:firstLineChars="196"/>
        <w:jc w:val="left"/>
        <w:rPr>
          <w:color w:val="auto"/>
          <w:highlight w:val="none"/>
        </w:rPr>
      </w:pPr>
      <w:r>
        <w:rPr>
          <w:rFonts w:ascii="宋体" w:hAnsi="宋体" w:cs="宋体"/>
          <w:color w:val="auto"/>
          <w:kern w:val="0"/>
          <w:szCs w:val="21"/>
          <w:highlight w:val="none"/>
        </w:rPr>
        <w:t>5.</w:t>
      </w:r>
      <w:r>
        <w:rPr>
          <w:color w:val="auto"/>
          <w:highlight w:val="none"/>
        </w:rPr>
        <w:t xml:space="preserve"> </w:t>
      </w:r>
      <w:r>
        <w:rPr>
          <w:rFonts w:hint="eastAsia"/>
          <w:color w:val="auto"/>
          <w:highlight w:val="none"/>
        </w:rPr>
        <w:t>被拒绝的响应文件为无效。</w:t>
      </w:r>
    </w:p>
    <w:p w14:paraId="30B67098">
      <w:pPr>
        <w:tabs>
          <w:tab w:val="left" w:pos="975"/>
        </w:tabs>
        <w:snapToGrid w:val="0"/>
        <w:spacing w:line="36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磋商供应商竞争性磋商响应文件无效的，磋商小组应当告知有关供应商。</w:t>
      </w:r>
    </w:p>
    <w:p w14:paraId="48850B73">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（二）磋商</w:t>
      </w:r>
    </w:p>
    <w:p w14:paraId="2D39839C">
      <w:pPr>
        <w:spacing w:line="380" w:lineRule="exact"/>
        <w:ind w:firstLine="420" w:firstLineChars="200"/>
        <w:rPr>
          <w:rFonts w:ascii="宋体" w:hAnsi="宋体"/>
          <w:color w:val="auto"/>
          <w:szCs w:val="21"/>
          <w:highlight w:val="none"/>
        </w:rPr>
      </w:pPr>
      <w:r>
        <w:rPr>
          <w:rFonts w:ascii="宋体" w:hAnsi="宋体"/>
          <w:color w:val="auto"/>
          <w:szCs w:val="21"/>
          <w:highlight w:val="none"/>
        </w:rPr>
        <w:t>11.1第一轮磋商</w:t>
      </w:r>
    </w:p>
    <w:p w14:paraId="543CF3DA">
      <w:pPr>
        <w:widowControl/>
        <w:tabs>
          <w:tab w:val="left" w:pos="540"/>
        </w:tabs>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1.磋商会由本公司主持，主持人</w:t>
      </w:r>
      <w:r>
        <w:rPr>
          <w:rFonts w:hint="eastAsia" w:ascii="宋体" w:hAnsi="宋体"/>
          <w:color w:val="auto"/>
          <w:szCs w:val="21"/>
          <w:highlight w:val="none"/>
        </w:rPr>
        <w:t>宣布磋商会议开始；</w:t>
      </w:r>
    </w:p>
    <w:p w14:paraId="58C4940D">
      <w:pPr>
        <w:widowControl/>
        <w:tabs>
          <w:tab w:val="left" w:pos="540"/>
        </w:tabs>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2.主持人介绍参加磋商会的人员名单； </w:t>
      </w:r>
    </w:p>
    <w:p w14:paraId="77D9880C">
      <w:pPr>
        <w:widowControl/>
        <w:tabs>
          <w:tab w:val="left" w:pos="540"/>
        </w:tabs>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3.主持人</w:t>
      </w:r>
      <w:r>
        <w:rPr>
          <w:rFonts w:hint="eastAsia" w:ascii="宋体" w:hAnsi="宋体"/>
          <w:color w:val="auto"/>
          <w:szCs w:val="21"/>
          <w:highlight w:val="none"/>
        </w:rPr>
        <w:t>宣布磋商会议纪律及评审期间的有关事项；告知应当回避的情形</w:t>
      </w:r>
      <w:r>
        <w:rPr>
          <w:rFonts w:ascii="宋体" w:hAnsi="宋体"/>
          <w:color w:val="auto"/>
          <w:szCs w:val="21"/>
          <w:highlight w:val="none"/>
        </w:rPr>
        <w:t>,提请有关人员回避；</w:t>
      </w:r>
    </w:p>
    <w:p w14:paraId="3C67A5DA">
      <w:pPr>
        <w:widowControl/>
        <w:tabs>
          <w:tab w:val="left" w:pos="540"/>
        </w:tabs>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4.磋商及评审程序</w:t>
      </w:r>
    </w:p>
    <w:p w14:paraId="267E6214">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1）在磋商开始时间截止后30分钟内由各供应商自行对磋商响应文件进行解密；</w:t>
      </w:r>
    </w:p>
    <w:p w14:paraId="4D6F9AE5">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2）由磋商小组进行资格审查和符合性审查，审查结束后，在线通知</w:t>
      </w:r>
      <w:r>
        <w:rPr>
          <w:rFonts w:hint="eastAsia" w:ascii="宋体" w:hAnsi="宋体"/>
          <w:color w:val="auto"/>
          <w:szCs w:val="21"/>
          <w:highlight w:val="none"/>
        </w:rPr>
        <w:t>无效磋商供应商磋商响应文件无效理由，有效磋商供应商进入磋商程序。</w:t>
      </w:r>
    </w:p>
    <w:p w14:paraId="4AC9A2BD">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3）系统对各供应商的商务技术进行汇总；</w:t>
      </w:r>
    </w:p>
    <w:p w14:paraId="6D59FCC3">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4）磋商小组所有成员应当集中与单一供应商分别进行在线磋商，并给予所有参加磋商的供应商平等的磋商机会。</w:t>
      </w:r>
    </w:p>
    <w:p w14:paraId="5FCF8E89">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5）当磋商小组一致确定供应商的竞争性磋商响应文件能够详细列明采购标的</w:t>
      </w:r>
      <w:r>
        <w:rPr>
          <w:rFonts w:hint="eastAsia" w:ascii="宋体" w:hAnsi="宋体"/>
          <w:color w:val="auto"/>
          <w:szCs w:val="21"/>
          <w:highlight w:val="none"/>
        </w:rPr>
        <w:t>的技术、服务要求且符合竞争性磋商文件要求，无需再磋商的，磋商小组按竞争性磋商文件设定的</w:t>
      </w:r>
      <w:r>
        <w:rPr>
          <w:rFonts w:ascii="宋体" w:hAnsi="宋体"/>
          <w:color w:val="auto"/>
          <w:szCs w:val="21"/>
          <w:highlight w:val="none"/>
        </w:rPr>
        <w:t>11.4、11.6程序和综合评分法确定成交候选供应商。第一轮磋商后竞争性磋商文件有实质性变动或仍需磋商的，磋商小组对竞争性磋商文件变动或提出磋商意见后进行第二轮磋商。</w:t>
      </w:r>
    </w:p>
    <w:p w14:paraId="7EECA527">
      <w:pPr>
        <w:widowControl/>
        <w:tabs>
          <w:tab w:val="left" w:pos="540"/>
        </w:tabs>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11.2竞争性磋商文件变动</w:t>
      </w:r>
    </w:p>
    <w:p w14:paraId="52C2349C">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77B2BF86">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对竞争性磋商文件作出的实质性变动是竞争性磋商文件的有效组成部分，磋商小组应当在询标规定时间内及时通知所有参加磋商的供应商，并要求供应商做出响应（需盖</w:t>
      </w:r>
      <w:r>
        <w:rPr>
          <w:rFonts w:ascii="宋体" w:hAnsi="宋体"/>
          <w:color w:val="auto"/>
          <w:szCs w:val="21"/>
          <w:highlight w:val="none"/>
        </w:rPr>
        <w:t>CA电子签章）。</w:t>
      </w:r>
    </w:p>
    <w:p w14:paraId="00473149">
      <w:pPr>
        <w:widowControl/>
        <w:tabs>
          <w:tab w:val="left" w:pos="540"/>
        </w:tabs>
        <w:spacing w:line="380" w:lineRule="exact"/>
        <w:ind w:firstLine="420" w:firstLineChars="200"/>
        <w:jc w:val="left"/>
        <w:rPr>
          <w:rFonts w:ascii="宋体" w:hAnsi="宋体"/>
          <w:color w:val="auto"/>
          <w:szCs w:val="21"/>
          <w:highlight w:val="none"/>
        </w:rPr>
      </w:pPr>
      <w:r>
        <w:rPr>
          <w:rFonts w:ascii="宋体" w:hAnsi="宋体" w:cs="宋体"/>
          <w:color w:val="auto"/>
          <w:kern w:val="0"/>
          <w:szCs w:val="21"/>
          <w:highlight w:val="none"/>
        </w:rPr>
        <w:t>11.3第二轮磋商</w:t>
      </w:r>
    </w:p>
    <w:p w14:paraId="2E91DF11">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磋商小组集中就重新递交的响应材料或磋商小组提出的磋商意见与单一响应供应商分别进行在线磋商。</w:t>
      </w:r>
    </w:p>
    <w:p w14:paraId="5053A798">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磋商后，在询标规定时间内供应商根据磋商小组统一整理的磋商记录要求做出承诺（需盖</w:t>
      </w:r>
      <w:r>
        <w:rPr>
          <w:rFonts w:ascii="宋体" w:hAnsi="宋体" w:cs="宋体"/>
          <w:color w:val="auto"/>
          <w:kern w:val="0"/>
          <w:szCs w:val="21"/>
          <w:highlight w:val="none"/>
        </w:rPr>
        <w:t>CA电子签章）。</w:t>
      </w:r>
    </w:p>
    <w:p w14:paraId="4B0A583E">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当磋商小组一致确定供应商的竞争性磋商响应文件能够详细列明采购标的的技术、服务要求且符合竞争性磋商文件要求，无需再磋商的，磋商小组按竞争性磋商文件设定的</w:t>
      </w:r>
      <w:r>
        <w:rPr>
          <w:rFonts w:ascii="宋体" w:hAnsi="宋体" w:cs="宋体"/>
          <w:color w:val="auto"/>
          <w:kern w:val="0"/>
          <w:szCs w:val="21"/>
          <w:highlight w:val="none"/>
        </w:rPr>
        <w:t>11.4、11.6程序和综合评分法确定成交候选供应商。第二轮磋商后竞争性磋商文件仍有实质性变动的或仍需磋商的，磋商小组对竞争性磋商文件变动或提出磋商意见后进行第三轮磋商。以此类推。</w:t>
      </w:r>
    </w:p>
    <w:p w14:paraId="5A3AEF6C">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特别说明：</w:t>
      </w:r>
    </w:p>
    <w:p w14:paraId="2EE9865B">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政采云公司如对电子化开标及评审程序有调整的，按调整后的程序操作。</w:t>
      </w:r>
    </w:p>
    <w:p w14:paraId="427C2A8B">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磋商评审在严格保密的情况下进行，磋商的任何一方不得透露与磋商有关的其他供应商的技术资料、价格和其他信息。</w:t>
      </w:r>
    </w:p>
    <w:p w14:paraId="023D3DD1">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电子磋商过程中需要供应商在线确认的所有内容，供应商不予确认的应说明理由，超过规定时间未确认的，将被视为放弃确认或者无异议。</w:t>
      </w:r>
    </w:p>
    <w:p w14:paraId="4590E36C">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澄清问题的形式：对响应文件中含义不明确、同类问题表述不一致或者有明显文字和计算错误的内容，磋商小组可要求供应商作出必要的澄清、说明或者纠正，供应商应在询标规定时间内进行澄清或说明（需盖</w:t>
      </w:r>
      <w:r>
        <w:rPr>
          <w:rFonts w:ascii="宋体" w:hAnsi="宋体" w:cs="宋体"/>
          <w:color w:val="auto"/>
          <w:kern w:val="0"/>
          <w:szCs w:val="21"/>
          <w:highlight w:val="none"/>
        </w:rPr>
        <w:t>CA电子签章），并不得超出采购文件的范围或者改变磋商响应文件的实质性内容。</w:t>
      </w:r>
    </w:p>
    <w:p w14:paraId="680A588F">
      <w:pPr>
        <w:widowControl/>
        <w:tabs>
          <w:tab w:val="left" w:pos="540"/>
        </w:tabs>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11.4最后报价及成交候选供应商推荐</w:t>
      </w:r>
    </w:p>
    <w:p w14:paraId="64BD053A">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磋商结束后，磋商小组要求所有继续参加磋商的供应商在规定时间内在线提交最后报价。继续参加磋商的供应商作最后报价，由其法定代表人</w:t>
      </w:r>
      <w:r>
        <w:rPr>
          <w:rFonts w:ascii="宋体" w:hAnsi="宋体" w:cs="宋体"/>
          <w:color w:val="auto"/>
          <w:kern w:val="0"/>
          <w:szCs w:val="21"/>
          <w:highlight w:val="none"/>
        </w:rPr>
        <w:t>(负责人)或授权代表CA电子签章后提交。</w:t>
      </w:r>
    </w:p>
    <w:p w14:paraId="0E5545B6">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磋商小组根据综合评分情况，按照评审得分由高到低顺序推荐</w:t>
      </w:r>
      <w:r>
        <w:rPr>
          <w:rFonts w:ascii="宋体" w:hAnsi="宋体" w:cs="宋体"/>
          <w:color w:val="auto"/>
          <w:kern w:val="0"/>
          <w:szCs w:val="21"/>
          <w:highlight w:val="none"/>
        </w:rPr>
        <w:t>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7174266B">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磋商小组按照少数服从多数的原则推荐成交候选供应商，采购程序继续进行。对评审报告有异议的磋商小组成员，应当明确不同意见并说明理由。磋商小组成员拒绝提出理由的，视为同意评审结果。</w:t>
      </w:r>
    </w:p>
    <w:p w14:paraId="0CE66BE1">
      <w:pPr>
        <w:widowControl/>
        <w:tabs>
          <w:tab w:val="left" w:pos="540"/>
        </w:tabs>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11.5供应商的报价均超过了政府采购最高限价，采购人不能支付的，磋商活动终止。</w:t>
      </w:r>
    </w:p>
    <w:p w14:paraId="00AED045">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szCs w:val="21"/>
          <w:highlight w:val="none"/>
        </w:rPr>
        <w:t>11.6</w:t>
      </w:r>
      <w:r>
        <w:rPr>
          <w:rFonts w:hint="eastAsia"/>
          <w:color w:val="auto"/>
          <w:highlight w:val="none"/>
        </w:rPr>
        <w:t>本采购</w:t>
      </w:r>
      <w:r>
        <w:rPr>
          <w:rFonts w:hint="eastAsia" w:ascii="宋体" w:hAnsi="宋体"/>
          <w:color w:val="auto"/>
          <w:highlight w:val="none"/>
        </w:rPr>
        <w:t>项目的评审依据为竞争性磋商文件和竞争性磋商响应文件，采用的评标方法为</w:t>
      </w:r>
      <w:r>
        <w:rPr>
          <w:rFonts w:hint="eastAsia" w:ascii="宋体" w:hAnsi="宋体"/>
          <w:b/>
          <w:color w:val="auto"/>
          <w:highlight w:val="none"/>
        </w:rPr>
        <w:t>综合评分法</w:t>
      </w:r>
      <w:r>
        <w:rPr>
          <w:rFonts w:hint="eastAsia" w:ascii="宋体" w:hAnsi="宋体"/>
          <w:color w:val="auto"/>
          <w:highlight w:val="none"/>
        </w:rPr>
        <w:t>。</w:t>
      </w:r>
    </w:p>
    <w:p w14:paraId="57F294C4">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11.7可中止电子交易活动的情形</w:t>
      </w:r>
    </w:p>
    <w:p w14:paraId="36F1423E">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采购过程中出现以下情形，导致电子交易平台无法正常运行，或者无法保证电子交易的公平、公正和安全时，本公司可中止电子交易活动：</w:t>
      </w:r>
    </w:p>
    <w:p w14:paraId="1F8AD59F">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(1)电子交易平台发生故障而无法登录访问的；</w:t>
      </w:r>
    </w:p>
    <w:p w14:paraId="5C7C8D4F">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(2)电子交易平台应用或数据库出现错误，不能进行正常操作的；</w:t>
      </w:r>
    </w:p>
    <w:p w14:paraId="2DC9BE54">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(3)电子交易平台发现严重安全漏洞，有潜在泄密危险的；</w:t>
      </w:r>
    </w:p>
    <w:p w14:paraId="0D0DD82A">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(4)病毒发作导致不能进行正常操作的；</w:t>
      </w:r>
    </w:p>
    <w:p w14:paraId="7D339B9E">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(5)其他无法保证电子交易的公平、公正和安全的情况。</w:t>
      </w:r>
    </w:p>
    <w:p w14:paraId="5CEF10CF">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出现前款规定情形，不影响采购公平、公正性的，本公司待上述情形消除后继续组织电子交易活动；影响或可能影响采购公平、公正性的，重新组织采购活动。</w:t>
      </w:r>
    </w:p>
    <w:p w14:paraId="2EF9A594">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11.8.终止竞争性磋商采购活动</w:t>
      </w:r>
    </w:p>
    <w:p w14:paraId="3B0B9F60">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在竞争性磋商采购活动过程中，出现下列情形之一的，采购人或者本公司将终止竞争性磋商采购活动，发布项目终止公告并说明原因，重新开展采购活动：</w:t>
      </w:r>
    </w:p>
    <w:p w14:paraId="5491718C">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(1)因情况变化，不再符合规定的竞争性磋商采购方式适用情形的；</w:t>
      </w:r>
    </w:p>
    <w:p w14:paraId="4F1438CA">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(2)出现影响采购公正的违法、违规行为的；</w:t>
      </w:r>
    </w:p>
    <w:p w14:paraId="0F2A4965">
      <w:pPr>
        <w:widowControl/>
        <w:tabs>
          <w:tab w:val="left" w:pos="540"/>
        </w:tabs>
        <w:spacing w:line="360" w:lineRule="exact"/>
        <w:ind w:firstLine="420" w:firstLineChars="200"/>
        <w:jc w:val="left"/>
        <w:rPr>
          <w:rFonts w:ascii="宋体" w:hAnsi="宋体"/>
          <w:color w:val="auto"/>
          <w:highlight w:val="none"/>
        </w:rPr>
      </w:pPr>
      <w:r>
        <w:rPr>
          <w:rFonts w:ascii="宋体" w:hAnsi="宋体"/>
          <w:color w:val="auto"/>
          <w:highlight w:val="none"/>
        </w:rPr>
        <w:t xml:space="preserve">(3)在采购过程中符合要求的供应商或者报价未超过采购预算的供应商不足 3 </w:t>
      </w:r>
      <w:r>
        <w:rPr>
          <w:rFonts w:hint="eastAsia" w:ascii="宋体" w:hAnsi="宋体"/>
          <w:color w:val="auto"/>
          <w:highlight w:val="none"/>
        </w:rPr>
        <w:t>家的。（符合磋商文件规定的特殊情形除外；符合《政府采购竞争性磋商采购方式管理暂行办法》第三条第四项情形除外；符合财库〔</w:t>
      </w:r>
      <w:r>
        <w:rPr>
          <w:rFonts w:ascii="宋体" w:hAnsi="宋体"/>
          <w:color w:val="auto"/>
          <w:highlight w:val="none"/>
        </w:rPr>
        <w:t xml:space="preserve">2015〕124 </w:t>
      </w:r>
      <w:r>
        <w:rPr>
          <w:rFonts w:hint="eastAsia" w:ascii="宋体" w:hAnsi="宋体"/>
          <w:color w:val="auto"/>
          <w:highlight w:val="none"/>
        </w:rPr>
        <w:t>号文件规定情形的除外。）</w:t>
      </w:r>
    </w:p>
    <w:p w14:paraId="06EB294A">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在采购活动中因重大变故，采购任务取消的，采购人或者本公司将终止采购活动，通知所有参加采购活动的供应商，并将项目实施情况和采购任务取消原因报送本级财政部门。</w:t>
      </w:r>
    </w:p>
    <w:p w14:paraId="179BEF5B">
      <w:pPr>
        <w:widowControl/>
        <w:tabs>
          <w:tab w:val="left" w:pos="540"/>
        </w:tabs>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七、确定成交供应商办法</w:t>
      </w:r>
    </w:p>
    <w:p w14:paraId="75EDBF92">
      <w:pPr>
        <w:widowControl/>
        <w:tabs>
          <w:tab w:val="left" w:pos="540"/>
        </w:tabs>
        <w:spacing w:line="36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12.根据以下原则确定成交供应商：</w:t>
      </w:r>
      <w:r>
        <w:rPr>
          <w:rFonts w:hint="eastAsia" w:ascii="宋体" w:hAnsi="宋体" w:cs="宋体"/>
          <w:color w:val="auto"/>
          <w:kern w:val="0"/>
          <w:szCs w:val="21"/>
          <w:highlight w:val="none"/>
        </w:rPr>
        <w:t>质量和服务均能满足</w:t>
      </w:r>
      <w:r>
        <w:rPr>
          <w:rFonts w:hint="eastAsia"/>
          <w:color w:val="auto"/>
          <w:highlight w:val="none"/>
        </w:rPr>
        <w:t>竞争性磋商文件</w:t>
      </w:r>
      <w:r>
        <w:rPr>
          <w:rFonts w:hint="eastAsia" w:ascii="宋体" w:hAnsi="宋体" w:cs="宋体"/>
          <w:color w:val="auto"/>
          <w:kern w:val="0"/>
          <w:szCs w:val="21"/>
          <w:highlight w:val="none"/>
        </w:rPr>
        <w:t>实质性响应要求的供应商中</w:t>
      </w:r>
      <w:r>
        <w:rPr>
          <w:rFonts w:ascii="宋体" w:hAnsi="宋体" w:cs="宋体"/>
          <w:color w:val="auto"/>
          <w:kern w:val="0"/>
          <w:szCs w:val="21"/>
          <w:highlight w:val="none"/>
        </w:rPr>
        <w:t>按综合评分法</w:t>
      </w:r>
      <w:r>
        <w:rPr>
          <w:rFonts w:hint="eastAsia" w:ascii="宋体" w:hAnsi="宋体" w:cs="宋体"/>
          <w:color w:val="auto"/>
          <w:kern w:val="0"/>
          <w:szCs w:val="21"/>
          <w:highlight w:val="none"/>
        </w:rPr>
        <w:t>的成交候选供应商推荐原则</w:t>
      </w:r>
      <w:r>
        <w:rPr>
          <w:rFonts w:ascii="宋体" w:hAnsi="宋体" w:cs="宋体"/>
          <w:color w:val="auto"/>
          <w:kern w:val="0"/>
          <w:szCs w:val="21"/>
          <w:highlight w:val="none"/>
        </w:rPr>
        <w:t>确定成交供应商</w:t>
      </w:r>
      <w:r>
        <w:rPr>
          <w:rFonts w:hint="eastAsia" w:ascii="宋体" w:hAnsi="宋体" w:cs="宋体"/>
          <w:color w:val="auto"/>
          <w:kern w:val="0"/>
          <w:szCs w:val="21"/>
          <w:highlight w:val="none"/>
        </w:rPr>
        <w:t>。</w:t>
      </w:r>
    </w:p>
    <w:p w14:paraId="40E7F13D">
      <w:pPr>
        <w:widowControl/>
        <w:tabs>
          <w:tab w:val="left" w:pos="540"/>
        </w:tabs>
        <w:spacing w:line="360" w:lineRule="exact"/>
        <w:ind w:firstLine="422" w:firstLineChars="200"/>
        <w:jc w:val="left"/>
        <w:rPr>
          <w:rFonts w:hAnsi="宋体"/>
          <w:b/>
          <w:color w:val="auto"/>
          <w:highlight w:val="none"/>
        </w:rPr>
      </w:pPr>
      <w:r>
        <w:rPr>
          <w:rFonts w:hint="eastAsia" w:hAnsi="宋体"/>
          <w:b/>
          <w:color w:val="auto"/>
          <w:highlight w:val="none"/>
        </w:rPr>
        <w:t>八、成交结果公告</w:t>
      </w:r>
    </w:p>
    <w:p w14:paraId="0BF85DD3">
      <w:pPr>
        <w:widowControl/>
        <w:tabs>
          <w:tab w:val="left" w:pos="540"/>
        </w:tabs>
        <w:wordWrap w:val="0"/>
        <w:spacing w:line="360" w:lineRule="exact"/>
        <w:ind w:firstLine="420" w:firstLineChars="200"/>
        <w:jc w:val="left"/>
        <w:rPr>
          <w:rFonts w:hAnsi="宋体"/>
          <w:color w:val="auto"/>
          <w:highlight w:val="none"/>
        </w:rPr>
      </w:pPr>
      <w:r>
        <w:rPr>
          <w:rFonts w:ascii="宋体" w:hAnsi="宋体" w:cs="宋体"/>
          <w:color w:val="auto"/>
          <w:kern w:val="0"/>
          <w:szCs w:val="21"/>
          <w:highlight w:val="none"/>
        </w:rPr>
        <w:t>13.1</w:t>
      </w:r>
      <w:r>
        <w:rPr>
          <w:rFonts w:hint="eastAsia" w:hAnsi="宋体"/>
          <w:color w:val="auto"/>
          <w:highlight w:val="none"/>
        </w:rPr>
        <w:t>采购代理机构在评审结束后</w:t>
      </w:r>
      <w:r>
        <w:rPr>
          <w:rFonts w:hAnsi="宋体"/>
          <w:color w:val="auto"/>
          <w:highlight w:val="none"/>
        </w:rPr>
        <w:t>2</w:t>
      </w:r>
      <w:r>
        <w:rPr>
          <w:rFonts w:hint="eastAsia" w:hAnsi="宋体"/>
          <w:color w:val="auto"/>
          <w:highlight w:val="none"/>
        </w:rPr>
        <w:t>个工作日内将磋商评审报告送采购人确认，</w:t>
      </w:r>
      <w:r>
        <w:rPr>
          <w:rFonts w:hint="eastAsia" w:hAnsi="宋体" w:cs="宋体"/>
          <w:color w:val="auto"/>
          <w:kern w:val="0"/>
          <w:highlight w:val="none"/>
        </w:rPr>
        <w:t>采购人</w:t>
      </w:r>
      <w:r>
        <w:rPr>
          <w:rFonts w:hint="eastAsia" w:hAnsi="宋体"/>
          <w:color w:val="auto"/>
          <w:highlight w:val="none"/>
        </w:rPr>
        <w:t>确认后，成交结果公告将在财政部门指定的政府采购信息发布媒体上发布，</w:t>
      </w:r>
      <w:r>
        <w:rPr>
          <w:rFonts w:hint="eastAsia" w:hAnsi="宋体" w:cs="宋体"/>
          <w:color w:val="auto"/>
          <w:kern w:val="0"/>
          <w:highlight w:val="none"/>
        </w:rPr>
        <w:t>同时向成交供应商发出成交通知书</w:t>
      </w:r>
      <w:r>
        <w:rPr>
          <w:rFonts w:hint="eastAsia" w:hAnsi="宋体"/>
          <w:color w:val="auto"/>
          <w:highlight w:val="none"/>
        </w:rPr>
        <w:t>。</w:t>
      </w:r>
    </w:p>
    <w:p w14:paraId="3A09E76B">
      <w:pPr>
        <w:pStyle w:val="21"/>
        <w:spacing w:line="380" w:lineRule="exact"/>
        <w:ind w:left="105" w:firstLine="315"/>
        <w:rPr>
          <w:rFonts w:hAnsi="宋体"/>
          <w:bCs/>
          <w:color w:val="auto"/>
          <w:highlight w:val="none"/>
        </w:rPr>
      </w:pPr>
      <w:r>
        <w:rPr>
          <w:rFonts w:hAnsi="宋体"/>
          <w:color w:val="auto"/>
          <w:highlight w:val="none"/>
        </w:rPr>
        <w:t>13.2磋商供应商</w:t>
      </w:r>
      <w:r>
        <w:rPr>
          <w:rFonts w:hint="eastAsia" w:hAnsi="宋体" w:cs="宋体"/>
          <w:color w:val="auto"/>
          <w:kern w:val="0"/>
          <w:highlight w:val="none"/>
        </w:rPr>
        <w:t>认为采购过程、成交结果使自己的权益受到损害的</w:t>
      </w:r>
      <w:r>
        <w:rPr>
          <w:rFonts w:hint="eastAsia" w:hAnsi="宋体"/>
          <w:color w:val="auto"/>
          <w:highlight w:val="none"/>
        </w:rPr>
        <w:t>，</w:t>
      </w:r>
      <w:r>
        <w:rPr>
          <w:rFonts w:hint="eastAsia" w:hAnsi="宋体" w:cs="宋体"/>
          <w:color w:val="auto"/>
          <w:kern w:val="0"/>
          <w:highlight w:val="none"/>
        </w:rPr>
        <w:t>可以在成交结果公告期限届满之日起</w:t>
      </w:r>
      <w:r>
        <w:rPr>
          <w:rFonts w:hint="eastAsia" w:hAnsi="宋体"/>
          <w:bCs/>
          <w:color w:val="auto"/>
          <w:highlight w:val="none"/>
        </w:rPr>
        <w:t>七个工作日内以书面形式向采购代理机构提出质疑</w:t>
      </w:r>
      <w:r>
        <w:rPr>
          <w:rFonts w:hint="eastAsia" w:hAnsi="宋体"/>
          <w:color w:val="auto"/>
          <w:highlight w:val="none"/>
        </w:rPr>
        <w:t>，供应商在法定质疑期内必须一次性提出针对同一采购程序环节的质疑</w:t>
      </w:r>
      <w:r>
        <w:rPr>
          <w:rFonts w:hint="eastAsia" w:hAnsi="宋体"/>
          <w:bCs/>
          <w:color w:val="auto"/>
          <w:highlight w:val="none"/>
        </w:rPr>
        <w:t>。采购代理机构将在收到</w:t>
      </w:r>
      <w:r>
        <w:rPr>
          <w:rFonts w:hint="eastAsia" w:hAnsi="宋体"/>
          <w:color w:val="auto"/>
          <w:highlight w:val="none"/>
        </w:rPr>
        <w:t>磋商供应商</w:t>
      </w:r>
      <w:r>
        <w:rPr>
          <w:rFonts w:hint="eastAsia" w:hAnsi="宋体"/>
          <w:bCs/>
          <w:color w:val="auto"/>
          <w:highlight w:val="none"/>
        </w:rPr>
        <w:t>的书面质疑后七个工作日内做出答复，但答复的内容不得涉及商业秘密。</w:t>
      </w:r>
    </w:p>
    <w:p w14:paraId="6881B317">
      <w:pPr>
        <w:pStyle w:val="21"/>
        <w:spacing w:line="380" w:lineRule="exact"/>
        <w:ind w:firstLine="420"/>
        <w:rPr>
          <w:rFonts w:hAnsi="宋体"/>
          <w:bCs/>
          <w:color w:val="auto"/>
          <w:highlight w:val="none"/>
        </w:rPr>
      </w:pPr>
      <w:r>
        <w:rPr>
          <w:rFonts w:hAnsi="宋体"/>
          <w:color w:val="auto"/>
          <w:highlight w:val="none"/>
        </w:rPr>
        <w:t>13.3</w:t>
      </w:r>
      <w:r>
        <w:rPr>
          <w:rFonts w:hint="eastAsia" w:hAnsi="宋体"/>
          <w:bCs/>
          <w:color w:val="auto"/>
          <w:highlight w:val="none"/>
        </w:rPr>
        <w:t>质疑</w:t>
      </w:r>
      <w:r>
        <w:rPr>
          <w:rFonts w:hint="eastAsia" w:hAnsi="宋体"/>
          <w:color w:val="auto"/>
          <w:highlight w:val="none"/>
        </w:rPr>
        <w:t>磋商供应商</w:t>
      </w:r>
      <w:r>
        <w:rPr>
          <w:rFonts w:hint="eastAsia" w:hAnsi="宋体"/>
          <w:bCs/>
          <w:color w:val="auto"/>
          <w:highlight w:val="none"/>
        </w:rPr>
        <w:t>必须首先经过质疑程序，在对采购代理机构的答复不满意或者采购代理机构未在规定的时间内做出答复的，可以在答复期满后十五个工作日内书面向相关监督管理部门投诉。</w:t>
      </w:r>
    </w:p>
    <w:p w14:paraId="148818A7">
      <w:pPr>
        <w:pStyle w:val="21"/>
        <w:spacing w:line="340" w:lineRule="exact"/>
        <w:ind w:firstLine="420" w:firstLineChars="200"/>
        <w:rPr>
          <w:rFonts w:hAnsi="宋体"/>
          <w:color w:val="auto"/>
          <w:highlight w:val="none"/>
        </w:rPr>
      </w:pPr>
      <w:r>
        <w:rPr>
          <w:rFonts w:hint="eastAsia" w:hAnsi="宋体"/>
          <w:color w:val="auto"/>
          <w:highlight w:val="none"/>
        </w:rPr>
        <w:t>质疑联系部门及电话为：天勤工程咨询有限公司</w:t>
      </w:r>
      <w:r>
        <w:rPr>
          <w:rFonts w:hAnsi="宋体"/>
          <w:color w:val="auto"/>
          <w:highlight w:val="none"/>
        </w:rPr>
        <w:t xml:space="preserve">     0771-5784126</w:t>
      </w:r>
    </w:p>
    <w:p w14:paraId="59472BBB">
      <w:pPr>
        <w:pStyle w:val="21"/>
        <w:spacing w:line="380" w:lineRule="exact"/>
        <w:ind w:firstLine="420"/>
        <w:rPr>
          <w:rFonts w:hAnsi="宋体"/>
          <w:color w:val="auto"/>
          <w:highlight w:val="none"/>
        </w:rPr>
      </w:pPr>
      <w:r>
        <w:rPr>
          <w:rFonts w:hint="eastAsia" w:hAnsi="宋体"/>
          <w:color w:val="auto"/>
          <w:highlight w:val="none"/>
        </w:rPr>
        <w:t>通讯地址：南宁市民族大道</w:t>
      </w:r>
      <w:r>
        <w:rPr>
          <w:rFonts w:hAnsi="宋体"/>
          <w:color w:val="auto"/>
          <w:highlight w:val="none"/>
        </w:rPr>
        <w:t>157</w:t>
      </w:r>
      <w:r>
        <w:rPr>
          <w:rFonts w:hint="eastAsia" w:hAnsi="宋体"/>
          <w:color w:val="auto"/>
          <w:highlight w:val="none"/>
        </w:rPr>
        <w:t>号财富国际广场</w:t>
      </w:r>
      <w:r>
        <w:rPr>
          <w:rFonts w:hAnsi="宋体"/>
          <w:color w:val="auto"/>
          <w:highlight w:val="none"/>
        </w:rPr>
        <w:t>3</w:t>
      </w:r>
      <w:r>
        <w:rPr>
          <w:rFonts w:hint="eastAsia" w:hAnsi="宋体"/>
          <w:color w:val="auto"/>
          <w:highlight w:val="none"/>
        </w:rPr>
        <w:t>号楼</w:t>
      </w:r>
      <w:r>
        <w:rPr>
          <w:rFonts w:hAnsi="宋体"/>
          <w:color w:val="auto"/>
          <w:highlight w:val="none"/>
        </w:rPr>
        <w:t>2501</w:t>
      </w:r>
    </w:p>
    <w:p w14:paraId="5C182E38">
      <w:pPr>
        <w:pStyle w:val="21"/>
        <w:spacing w:line="380" w:lineRule="exact"/>
        <w:ind w:firstLine="420"/>
        <w:rPr>
          <w:rFonts w:hAnsi="宋体"/>
          <w:b/>
          <w:color w:val="auto"/>
          <w:highlight w:val="none"/>
        </w:rPr>
      </w:pPr>
      <w:r>
        <w:rPr>
          <w:rFonts w:hint="eastAsia" w:hAnsi="宋体"/>
          <w:b/>
          <w:color w:val="auto"/>
          <w:highlight w:val="none"/>
        </w:rPr>
        <w:t>九、签订合同</w:t>
      </w:r>
    </w:p>
    <w:p w14:paraId="6902D221">
      <w:pPr>
        <w:pStyle w:val="21"/>
        <w:spacing w:line="380" w:lineRule="exact"/>
        <w:ind w:firstLine="420"/>
        <w:rPr>
          <w:rFonts w:hAnsi="宋体"/>
          <w:color w:val="auto"/>
          <w:highlight w:val="none"/>
        </w:rPr>
      </w:pPr>
      <w:r>
        <w:rPr>
          <w:rFonts w:hAnsi="宋体"/>
          <w:color w:val="auto"/>
          <w:highlight w:val="none"/>
        </w:rPr>
        <w:t>14.1成交供应商自成交通知书发出之日起</w:t>
      </w:r>
      <w:r>
        <w:rPr>
          <w:rFonts w:hAnsi="宋体"/>
          <w:b/>
          <w:color w:val="auto"/>
          <w:highlight w:val="none"/>
        </w:rPr>
        <w:t>25</w:t>
      </w:r>
      <w:r>
        <w:rPr>
          <w:rFonts w:hint="eastAsia" w:hAnsi="宋体"/>
          <w:b/>
          <w:color w:val="auto"/>
          <w:highlight w:val="none"/>
        </w:rPr>
        <w:t>日</w:t>
      </w:r>
      <w:r>
        <w:rPr>
          <w:rFonts w:hint="eastAsia" w:hAnsi="宋体"/>
          <w:color w:val="auto"/>
          <w:highlight w:val="none"/>
        </w:rPr>
        <w:t>内与采购人签订合同。</w:t>
      </w:r>
    </w:p>
    <w:p w14:paraId="476BAB87">
      <w:pPr>
        <w:pStyle w:val="21"/>
        <w:spacing w:line="380" w:lineRule="exact"/>
        <w:ind w:firstLine="420"/>
        <w:rPr>
          <w:rFonts w:hAnsi="宋体" w:cs="宋体"/>
          <w:color w:val="auto"/>
          <w:kern w:val="0"/>
          <w:highlight w:val="none"/>
        </w:rPr>
      </w:pPr>
      <w:r>
        <w:rPr>
          <w:rFonts w:hAnsi="宋体"/>
          <w:color w:val="auto"/>
          <w:highlight w:val="none"/>
        </w:rPr>
        <w:t>14.2</w:t>
      </w:r>
      <w:r>
        <w:rPr>
          <w:rFonts w:hint="eastAsia" w:hAnsi="宋体" w:cs="宋体"/>
          <w:color w:val="auto"/>
          <w:kern w:val="0"/>
          <w:highlight w:val="none"/>
        </w:rPr>
        <w:t>成交供应商拒绝签订政府采购合同的</w:t>
      </w:r>
      <w:r>
        <w:rPr>
          <w:rFonts w:hint="eastAsia" w:hAnsi="宋体"/>
          <w:color w:val="auto"/>
          <w:highlight w:val="none"/>
        </w:rPr>
        <w:t>，采购人可以根据磋商评审报告确定成交供应商之后排名第一的成交候选供应商</w:t>
      </w:r>
      <w:r>
        <w:rPr>
          <w:rFonts w:hint="eastAsia" w:hAnsi="宋体" w:cs="宋体"/>
          <w:color w:val="auto"/>
          <w:kern w:val="0"/>
          <w:highlight w:val="none"/>
        </w:rPr>
        <w:t>作为</w:t>
      </w:r>
      <w:r>
        <w:rPr>
          <w:rFonts w:hint="eastAsia" w:hAnsi="宋体"/>
          <w:color w:val="auto"/>
          <w:highlight w:val="none"/>
        </w:rPr>
        <w:t>成交供应商</w:t>
      </w:r>
      <w:r>
        <w:rPr>
          <w:rFonts w:hint="eastAsia" w:hAnsi="宋体" w:cs="宋体"/>
          <w:color w:val="auto"/>
          <w:kern w:val="0"/>
          <w:highlight w:val="none"/>
        </w:rPr>
        <w:t>并签订政府采购合同，也可以重新开展采购活动。拒绝签订政府采购合同的成交供应商不得参加对该项目重新开展的采购活动。</w:t>
      </w:r>
    </w:p>
    <w:p w14:paraId="6D56573F">
      <w:pPr>
        <w:pStyle w:val="21"/>
        <w:spacing w:line="380" w:lineRule="exact"/>
        <w:ind w:firstLine="420"/>
        <w:rPr>
          <w:rFonts w:hAnsi="宋体"/>
          <w:b/>
          <w:color w:val="auto"/>
          <w:highlight w:val="none"/>
        </w:rPr>
      </w:pPr>
      <w:r>
        <w:rPr>
          <w:b/>
          <w:color w:val="auto"/>
          <w:highlight w:val="none"/>
        </w:rPr>
        <w:t>14.3</w:t>
      </w:r>
      <w:r>
        <w:rPr>
          <w:rFonts w:hint="eastAsia" w:hAnsi="宋体" w:cs="宋体"/>
          <w:b/>
          <w:color w:val="auto"/>
          <w:kern w:val="0"/>
          <w:highlight w:val="none"/>
        </w:rPr>
        <w:t>成交供应商拒绝签订政府采购合同的</w:t>
      </w:r>
      <w:r>
        <w:rPr>
          <w:rFonts w:hint="eastAsia"/>
          <w:b/>
          <w:color w:val="auto"/>
          <w:highlight w:val="none"/>
        </w:rPr>
        <w:t>，其保证金将不予退还，并上缴国库，给采购人造成损失的，还应当赔偿损失，并作为不良行为记录在案</w:t>
      </w:r>
      <w:r>
        <w:rPr>
          <w:rFonts w:hint="eastAsia" w:hAnsi="宋体"/>
          <w:b/>
          <w:color w:val="auto"/>
          <w:highlight w:val="none"/>
        </w:rPr>
        <w:t>。</w:t>
      </w:r>
    </w:p>
    <w:p w14:paraId="67B9A2C2">
      <w:pPr>
        <w:pStyle w:val="21"/>
        <w:spacing w:line="380" w:lineRule="exact"/>
        <w:ind w:firstLine="420"/>
        <w:rPr>
          <w:rFonts w:hAnsi="宋体"/>
          <w:b/>
          <w:color w:val="auto"/>
          <w:highlight w:val="none"/>
        </w:rPr>
      </w:pPr>
      <w:r>
        <w:rPr>
          <w:rFonts w:hAnsi="宋体"/>
          <w:b/>
          <w:color w:val="auto"/>
          <w:highlight w:val="none"/>
        </w:rPr>
        <w:t>14.4履约保证金</w:t>
      </w:r>
    </w:p>
    <w:p w14:paraId="7385F177">
      <w:pPr>
        <w:pStyle w:val="21"/>
        <w:spacing w:line="300" w:lineRule="exact"/>
        <w:ind w:firstLine="420"/>
        <w:rPr>
          <w:rFonts w:hAnsi="宋体"/>
          <w:b/>
          <w:bCs/>
          <w:color w:val="auto"/>
          <w:highlight w:val="none"/>
        </w:rPr>
      </w:pPr>
      <w:r>
        <w:rPr>
          <w:rFonts w:hint="eastAsia" w:hAnsi="宋体"/>
          <w:b/>
          <w:bCs/>
          <w:color w:val="auto"/>
          <w:highlight w:val="none"/>
        </w:rPr>
        <w:t>本项目不收取履约保证金。</w:t>
      </w:r>
    </w:p>
    <w:p w14:paraId="448E889D">
      <w:pPr>
        <w:pStyle w:val="21"/>
        <w:spacing w:line="300" w:lineRule="exact"/>
        <w:ind w:firstLine="420"/>
        <w:rPr>
          <w:rFonts w:hAnsi="宋体"/>
          <w:b/>
          <w:color w:val="auto"/>
          <w:highlight w:val="none"/>
        </w:rPr>
      </w:pPr>
      <w:r>
        <w:rPr>
          <w:rFonts w:hint="eastAsia" w:hAnsi="宋体"/>
          <w:b/>
          <w:color w:val="auto"/>
          <w:highlight w:val="none"/>
        </w:rPr>
        <w:t>十、适用法律</w:t>
      </w:r>
    </w:p>
    <w:p w14:paraId="4660DAF1">
      <w:pPr>
        <w:pStyle w:val="21"/>
        <w:spacing w:line="300" w:lineRule="exact"/>
        <w:ind w:firstLine="420"/>
        <w:rPr>
          <w:rFonts w:hAnsi="宋体"/>
          <w:color w:val="auto"/>
          <w:highlight w:val="none"/>
        </w:rPr>
      </w:pPr>
      <w:r>
        <w:rPr>
          <w:rFonts w:hAnsi="宋体"/>
          <w:color w:val="auto"/>
          <w:highlight w:val="none"/>
        </w:rPr>
        <w:t>15.采购当事人的一切活动均适用于《中华人民共和国政府采购法》及相关规定。最终磋商结束后，</w:t>
      </w:r>
    </w:p>
    <w:p w14:paraId="765A5C5A">
      <w:pPr>
        <w:spacing w:line="300" w:lineRule="exact"/>
        <w:rPr>
          <w:rFonts w:ascii="宋体" w:hAnsi="宋体"/>
          <w:color w:val="auto"/>
          <w:szCs w:val="21"/>
          <w:highlight w:val="none"/>
        </w:rPr>
      </w:pPr>
      <w:r>
        <w:rPr>
          <w:rFonts w:hint="eastAsia" w:ascii="宋体" w:hAnsi="宋体"/>
          <w:color w:val="auto"/>
          <w:szCs w:val="21"/>
          <w:highlight w:val="none"/>
        </w:rPr>
        <w:t>磋商小组不得再与磋商供应商进行任何形式的商谈。</w:t>
      </w:r>
    </w:p>
    <w:p w14:paraId="4CF8229E">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十一、其他事项</w:t>
      </w:r>
    </w:p>
    <w:p w14:paraId="05056529">
      <w:pPr>
        <w:spacing w:line="300" w:lineRule="exact"/>
        <w:ind w:firstLine="422" w:firstLineChars="200"/>
        <w:rPr>
          <w:rFonts w:ascii="宋体" w:hAnsi="宋体" w:cs="Courier New"/>
          <w:b/>
          <w:color w:val="auto"/>
          <w:szCs w:val="21"/>
          <w:highlight w:val="none"/>
        </w:rPr>
      </w:pPr>
      <w:r>
        <w:rPr>
          <w:rFonts w:ascii="宋体" w:hAnsi="宋体" w:cs="Courier New"/>
          <w:b/>
          <w:color w:val="auto"/>
          <w:szCs w:val="21"/>
          <w:highlight w:val="none"/>
        </w:rPr>
        <w:t>16.1成交服务费</w:t>
      </w:r>
    </w:p>
    <w:p w14:paraId="299D2839">
      <w:pPr>
        <w:pStyle w:val="21"/>
        <w:spacing w:line="340" w:lineRule="exact"/>
        <w:ind w:firstLine="420" w:firstLineChars="200"/>
        <w:rPr>
          <w:color w:val="auto"/>
          <w:highlight w:val="none"/>
        </w:rPr>
      </w:pPr>
      <w:r>
        <w:rPr>
          <w:rFonts w:hint="eastAsia"/>
          <w:color w:val="auto"/>
          <w:highlight w:val="none"/>
        </w:rPr>
        <w:t>（1）</w:t>
      </w:r>
      <w:r>
        <w:rPr>
          <w:rFonts w:hint="eastAsia" w:ascii="Times New Roman" w:hAnsi="Times New Roman" w:cs="Times New Roman"/>
          <w:color w:val="auto"/>
          <w:szCs w:val="24"/>
          <w:highlight w:val="none"/>
        </w:rPr>
        <w:t>代理服务收取标准及缴费账户详见“磋商供应商须知前附表”。</w:t>
      </w:r>
    </w:p>
    <w:p w14:paraId="7383444D">
      <w:pPr>
        <w:pStyle w:val="21"/>
        <w:spacing w:line="300" w:lineRule="exact"/>
        <w:ind w:firstLine="435"/>
        <w:rPr>
          <w:color w:val="auto"/>
          <w:highlight w:val="none"/>
        </w:rPr>
      </w:pPr>
      <w:r>
        <w:rPr>
          <w:rFonts w:hint="eastAsia"/>
          <w:color w:val="auto"/>
          <w:highlight w:val="none"/>
        </w:rPr>
        <w:t>（2）每个供应商招标代理服务费固定收费1000元，成交供应商在领取成交通知书时，应向天勤工程咨询有限公司一次付清代理服务费。</w:t>
      </w:r>
    </w:p>
    <w:p w14:paraId="5C491FBD">
      <w:pPr>
        <w:pStyle w:val="21"/>
        <w:spacing w:line="300" w:lineRule="exact"/>
        <w:ind w:firstLine="435"/>
        <w:rPr>
          <w:color w:val="auto"/>
          <w:highlight w:val="none"/>
        </w:rPr>
      </w:pPr>
      <w:r>
        <w:rPr>
          <w:rFonts w:hint="eastAsia"/>
          <w:color w:val="auto"/>
          <w:highlight w:val="none"/>
        </w:rPr>
        <w:t>（3）服务费指定银行账户：</w:t>
      </w:r>
    </w:p>
    <w:p w14:paraId="066A4F8C">
      <w:pPr>
        <w:spacing w:line="400" w:lineRule="exact"/>
        <w:ind w:firstLine="422" w:firstLineChars="200"/>
        <w:rPr>
          <w:rFonts w:ascii="宋体" w:cs="Courier New"/>
          <w:b/>
          <w:color w:val="auto"/>
          <w:szCs w:val="21"/>
          <w:highlight w:val="none"/>
        </w:rPr>
      </w:pPr>
      <w:r>
        <w:rPr>
          <w:rFonts w:hint="eastAsia" w:ascii="宋体" w:hAnsi="宋体" w:cs="Courier New"/>
          <w:b/>
          <w:color w:val="auto"/>
          <w:szCs w:val="21"/>
          <w:highlight w:val="none"/>
        </w:rPr>
        <w:t>开户名称：天勤工程咨询有限公司南宁分公司</w:t>
      </w:r>
    </w:p>
    <w:p w14:paraId="778CF3B4">
      <w:pPr>
        <w:spacing w:line="400" w:lineRule="exact"/>
        <w:ind w:firstLine="422" w:firstLineChars="200"/>
        <w:rPr>
          <w:rFonts w:ascii="宋体" w:cs="Courier New"/>
          <w:b/>
          <w:color w:val="auto"/>
          <w:szCs w:val="21"/>
          <w:highlight w:val="none"/>
        </w:rPr>
      </w:pPr>
      <w:r>
        <w:rPr>
          <w:rFonts w:hint="eastAsia" w:ascii="宋体" w:hAnsi="宋体" w:cs="Courier New"/>
          <w:b/>
          <w:color w:val="auto"/>
          <w:szCs w:val="21"/>
          <w:highlight w:val="none"/>
        </w:rPr>
        <w:t>开户银行：中国建设银行股份有限公司南宁五象广场支行</w:t>
      </w:r>
    </w:p>
    <w:p w14:paraId="09910CDA">
      <w:pPr>
        <w:spacing w:line="400" w:lineRule="exact"/>
        <w:ind w:firstLine="422" w:firstLineChars="200"/>
        <w:rPr>
          <w:rFonts w:ascii="宋体" w:hAnsi="宋体" w:cs="Courier New"/>
          <w:color w:val="auto"/>
          <w:szCs w:val="21"/>
          <w:highlight w:val="none"/>
        </w:rPr>
      </w:pPr>
      <w:r>
        <w:rPr>
          <w:rFonts w:hint="eastAsia" w:ascii="宋体" w:hAnsi="宋体" w:cs="Courier New"/>
          <w:b/>
          <w:color w:val="auto"/>
          <w:szCs w:val="21"/>
          <w:highlight w:val="none"/>
        </w:rPr>
        <w:t>账号：</w:t>
      </w:r>
      <w:r>
        <w:rPr>
          <w:rFonts w:ascii="宋体" w:hAnsi="宋体" w:cs="Courier New"/>
          <w:b/>
          <w:color w:val="auto"/>
          <w:szCs w:val="21"/>
          <w:highlight w:val="none"/>
        </w:rPr>
        <w:t>45050160466300000319</w:t>
      </w:r>
    </w:p>
    <w:p w14:paraId="4D5B501E">
      <w:pPr>
        <w:spacing w:line="300" w:lineRule="exact"/>
        <w:ind w:firstLine="422" w:firstLineChars="200"/>
        <w:rPr>
          <w:rFonts w:hAnsi="宋体"/>
          <w:b/>
          <w:color w:val="auto"/>
          <w:highlight w:val="none"/>
        </w:rPr>
      </w:pPr>
      <w:r>
        <w:rPr>
          <w:rFonts w:ascii="宋体" w:hAnsi="宋体" w:cs="Courier New"/>
          <w:b/>
          <w:color w:val="auto"/>
          <w:szCs w:val="21"/>
          <w:highlight w:val="none"/>
        </w:rPr>
        <w:t>16.2</w:t>
      </w:r>
      <w:r>
        <w:rPr>
          <w:rFonts w:hint="eastAsia" w:hAnsi="宋体"/>
          <w:b/>
          <w:color w:val="auto"/>
          <w:highlight w:val="none"/>
        </w:rPr>
        <w:t>解释权</w:t>
      </w:r>
    </w:p>
    <w:p w14:paraId="5D756CCB">
      <w:pPr>
        <w:spacing w:line="300" w:lineRule="exact"/>
        <w:ind w:firstLine="404" w:firstLineChars="200"/>
        <w:rPr>
          <w:rFonts w:hAnsi="宋体"/>
          <w:color w:val="auto"/>
          <w:spacing w:val="-4"/>
          <w:highlight w:val="none"/>
        </w:rPr>
      </w:pPr>
      <w:r>
        <w:rPr>
          <w:rFonts w:hint="eastAsia" w:hAnsi="宋体"/>
          <w:color w:val="auto"/>
          <w:spacing w:val="-4"/>
          <w:highlight w:val="none"/>
        </w:rPr>
        <w:t>本竞争性磋商文件是根据国家有关法律、法规以及政府采购管理的有关规定和参照国际惯例编制，解释权属本采购代理机构。</w:t>
      </w:r>
    </w:p>
    <w:p w14:paraId="6FAEB199">
      <w:pPr>
        <w:spacing w:line="300" w:lineRule="exact"/>
        <w:ind w:firstLine="422" w:firstLineChars="200"/>
        <w:rPr>
          <w:rFonts w:hAnsi="宋体"/>
          <w:b/>
          <w:color w:val="auto"/>
          <w:highlight w:val="none"/>
        </w:rPr>
      </w:pPr>
      <w:r>
        <w:rPr>
          <w:rFonts w:ascii="宋体" w:hAnsi="宋体" w:cs="Courier New"/>
          <w:b/>
          <w:color w:val="auto"/>
          <w:szCs w:val="21"/>
          <w:highlight w:val="none"/>
        </w:rPr>
        <w:t>16.3</w:t>
      </w:r>
      <w:r>
        <w:rPr>
          <w:rFonts w:hint="eastAsia" w:hAnsi="宋体"/>
          <w:b/>
          <w:color w:val="auto"/>
          <w:highlight w:val="none"/>
        </w:rPr>
        <w:t>有关事宜</w:t>
      </w:r>
    </w:p>
    <w:p w14:paraId="403E8C05">
      <w:pPr>
        <w:spacing w:line="300" w:lineRule="exact"/>
        <w:ind w:firstLine="420" w:firstLineChars="200"/>
        <w:rPr>
          <w:rFonts w:hAnsi="宋体"/>
          <w:color w:val="auto"/>
          <w:highlight w:val="none"/>
        </w:rPr>
      </w:pPr>
      <w:r>
        <w:rPr>
          <w:rFonts w:hint="eastAsia" w:hAnsi="宋体"/>
          <w:color w:val="auto"/>
          <w:highlight w:val="none"/>
        </w:rPr>
        <w:t>所有与本竞争性磋商文件有关的函电请按下列通讯地址联系：</w:t>
      </w:r>
    </w:p>
    <w:p w14:paraId="718F6672">
      <w:pPr>
        <w:pStyle w:val="21"/>
        <w:spacing w:line="340" w:lineRule="exact"/>
        <w:ind w:firstLine="420" w:firstLineChars="200"/>
        <w:rPr>
          <w:rFonts w:hAnsi="宋体"/>
          <w:color w:val="auto"/>
          <w:highlight w:val="none"/>
        </w:rPr>
      </w:pPr>
      <w:r>
        <w:rPr>
          <w:rFonts w:hint="eastAsia" w:hAnsi="宋体"/>
          <w:color w:val="auto"/>
          <w:highlight w:val="none"/>
        </w:rPr>
        <w:t>天勤工程咨询有限公司</w:t>
      </w:r>
    </w:p>
    <w:p w14:paraId="4E87F263">
      <w:pPr>
        <w:pStyle w:val="21"/>
        <w:tabs>
          <w:tab w:val="left" w:pos="1990"/>
        </w:tabs>
        <w:spacing w:line="340" w:lineRule="exact"/>
        <w:ind w:firstLine="420" w:firstLineChars="200"/>
        <w:rPr>
          <w:rFonts w:hAnsi="宋体"/>
          <w:color w:val="auto"/>
          <w:highlight w:val="none"/>
          <w:u w:val="single"/>
        </w:rPr>
      </w:pPr>
      <w:r>
        <w:rPr>
          <w:rFonts w:hint="eastAsia" w:hAnsi="宋体"/>
          <w:color w:val="auto"/>
          <w:highlight w:val="none"/>
        </w:rPr>
        <w:t>邮政编码：</w:t>
      </w:r>
      <w:r>
        <w:rPr>
          <w:rFonts w:hAnsi="宋体"/>
          <w:color w:val="auto"/>
          <w:highlight w:val="none"/>
        </w:rPr>
        <w:t>530000</w:t>
      </w:r>
    </w:p>
    <w:p w14:paraId="0B7BA65A">
      <w:pPr>
        <w:pStyle w:val="21"/>
        <w:tabs>
          <w:tab w:val="left" w:pos="1990"/>
        </w:tabs>
        <w:spacing w:line="340" w:lineRule="exact"/>
        <w:ind w:firstLine="420" w:firstLineChars="200"/>
        <w:rPr>
          <w:rFonts w:hAnsi="宋体"/>
          <w:color w:val="auto"/>
          <w:spacing w:val="-4"/>
          <w:highlight w:val="none"/>
        </w:rPr>
      </w:pPr>
      <w:r>
        <w:rPr>
          <w:rFonts w:hint="eastAsia" w:hAnsi="宋体"/>
          <w:color w:val="auto"/>
          <w:highlight w:val="none"/>
        </w:rPr>
        <w:t>通讯地址：南宁市民族大道</w:t>
      </w:r>
      <w:r>
        <w:rPr>
          <w:rFonts w:hAnsi="宋体"/>
          <w:color w:val="auto"/>
          <w:highlight w:val="none"/>
        </w:rPr>
        <w:t>157</w:t>
      </w:r>
      <w:r>
        <w:rPr>
          <w:rFonts w:hint="eastAsia" w:hAnsi="宋体"/>
          <w:color w:val="auto"/>
          <w:highlight w:val="none"/>
        </w:rPr>
        <w:t>号财富国际广场</w:t>
      </w:r>
      <w:r>
        <w:rPr>
          <w:rFonts w:hAnsi="宋体"/>
          <w:color w:val="auto"/>
          <w:highlight w:val="none"/>
        </w:rPr>
        <w:t>3</w:t>
      </w:r>
      <w:r>
        <w:rPr>
          <w:rFonts w:hint="eastAsia" w:hAnsi="宋体"/>
          <w:color w:val="auto"/>
          <w:highlight w:val="none"/>
        </w:rPr>
        <w:t>号楼</w:t>
      </w:r>
      <w:r>
        <w:rPr>
          <w:rFonts w:hAnsi="宋体"/>
          <w:color w:val="auto"/>
          <w:highlight w:val="none"/>
        </w:rPr>
        <w:t>2501</w:t>
      </w:r>
    </w:p>
    <w:p w14:paraId="25402566">
      <w:pPr>
        <w:pStyle w:val="21"/>
        <w:spacing w:line="340" w:lineRule="exact"/>
        <w:ind w:firstLine="420" w:firstLineChars="200"/>
        <w:rPr>
          <w:rFonts w:hAnsi="宋体"/>
          <w:color w:val="auto"/>
          <w:highlight w:val="none"/>
        </w:rPr>
      </w:pPr>
      <w:r>
        <w:rPr>
          <w:rFonts w:hint="eastAsia" w:hAnsi="宋体"/>
          <w:color w:val="auto"/>
          <w:highlight w:val="none"/>
        </w:rPr>
        <w:t>电</w:t>
      </w:r>
      <w:r>
        <w:rPr>
          <w:rFonts w:hAnsi="宋体"/>
          <w:color w:val="auto"/>
          <w:highlight w:val="none"/>
        </w:rPr>
        <w:t xml:space="preserve">    </w:t>
      </w:r>
      <w:r>
        <w:rPr>
          <w:rFonts w:hint="eastAsia" w:hAnsi="宋体"/>
          <w:color w:val="auto"/>
          <w:highlight w:val="none"/>
        </w:rPr>
        <w:t>话：</w:t>
      </w:r>
      <w:r>
        <w:rPr>
          <w:rFonts w:hAnsi="宋体"/>
          <w:color w:val="auto"/>
          <w:highlight w:val="none"/>
        </w:rPr>
        <w:t>0771-5784126</w:t>
      </w:r>
    </w:p>
    <w:p w14:paraId="59FF24AB">
      <w:pPr>
        <w:snapToGrid w:val="0"/>
        <w:rPr>
          <w:rFonts w:ascii="宋体" w:hAnsi="宋体"/>
          <w:color w:val="auto"/>
          <w:kern w:val="0"/>
          <w:sz w:val="32"/>
          <w:szCs w:val="32"/>
          <w:highlight w:val="none"/>
        </w:rPr>
      </w:pPr>
      <w:r>
        <w:rPr>
          <w:rFonts w:ascii="宋体" w:hAnsi="宋体"/>
          <w:b/>
          <w:color w:val="auto"/>
          <w:sz w:val="32"/>
          <w:szCs w:val="32"/>
          <w:highlight w:val="none"/>
        </w:rPr>
        <w:br w:type="page"/>
      </w:r>
      <w:r>
        <w:rPr>
          <w:rFonts w:hint="eastAsia" w:ascii="宋体" w:hAnsi="宋体"/>
          <w:color w:val="auto"/>
          <w:kern w:val="0"/>
          <w:sz w:val="32"/>
          <w:szCs w:val="32"/>
          <w:highlight w:val="none"/>
        </w:rPr>
        <w:t>附件</w:t>
      </w:r>
      <w:r>
        <w:rPr>
          <w:rFonts w:ascii="宋体" w:hAnsi="宋体"/>
          <w:color w:val="auto"/>
          <w:kern w:val="0"/>
          <w:sz w:val="32"/>
          <w:szCs w:val="32"/>
          <w:highlight w:val="none"/>
        </w:rPr>
        <w:t>1：</w:t>
      </w:r>
    </w:p>
    <w:p w14:paraId="489A96DF">
      <w:pPr>
        <w:widowControl/>
        <w:shd w:val="clear" w:color="auto" w:fill="FFFFFF"/>
        <w:spacing w:line="720" w:lineRule="auto"/>
        <w:jc w:val="center"/>
        <w:rPr>
          <w:rFonts w:ascii="宋体" w:hAnsi="宋体" w:cs="宋体"/>
          <w:color w:val="auto"/>
          <w:kern w:val="0"/>
          <w:sz w:val="32"/>
          <w:szCs w:val="32"/>
          <w:highlight w:val="none"/>
        </w:rPr>
      </w:pPr>
      <w:r>
        <w:rPr>
          <w:rFonts w:hint="eastAsia" w:ascii="宋体" w:hAnsi="宋体" w:cs="黑体"/>
          <w:color w:val="auto"/>
          <w:kern w:val="0"/>
          <w:sz w:val="32"/>
          <w:szCs w:val="32"/>
          <w:highlight w:val="none"/>
        </w:rPr>
        <w:t>广西壮族自治区政府采购项目合同验收书</w:t>
      </w:r>
      <w:r>
        <w:rPr>
          <w:rFonts w:hint="eastAsia" w:ascii="宋体" w:hAnsi="宋体" w:cs="宋体"/>
          <w:color w:val="auto"/>
          <w:kern w:val="0"/>
          <w:sz w:val="32"/>
          <w:szCs w:val="32"/>
          <w:highlight w:val="none"/>
        </w:rPr>
        <w:t>（格式）</w:t>
      </w:r>
    </w:p>
    <w:p w14:paraId="46D86B33">
      <w:pPr>
        <w:widowControl/>
        <w:shd w:val="clear" w:color="auto" w:fill="FFFFFF"/>
        <w:snapToGrid w:val="0"/>
        <w:spacing w:line="380" w:lineRule="exact"/>
        <w:jc w:val="left"/>
        <w:rPr>
          <w:rFonts w:ascii="宋体" w:hAnsi="宋体" w:cs="宋体"/>
          <w:color w:val="auto"/>
          <w:kern w:val="0"/>
          <w:szCs w:val="21"/>
          <w:highlight w:val="none"/>
        </w:rPr>
      </w:pPr>
      <w:r>
        <w:rPr>
          <w:rFonts w:ascii="宋体" w:hAnsi="宋体" w:cs="宋体"/>
          <w:color w:val="auto"/>
          <w:kern w:val="0"/>
          <w:szCs w:val="21"/>
          <w:highlight w:val="none"/>
        </w:rPr>
        <w:t xml:space="preserve">    根据政府采购项目（</w:t>
      </w:r>
      <w:r>
        <w:rPr>
          <w:rFonts w:hint="eastAsia" w:ascii="宋体" w:hAnsi="宋体" w:cs="宋体"/>
          <w:color w:val="auto"/>
          <w:kern w:val="0"/>
          <w:szCs w:val="21"/>
          <w:highlight w:val="none"/>
          <w:u w:val="single"/>
        </w:rPr>
        <w:t>采购合同编号：</w:t>
      </w:r>
      <w:r>
        <w:rPr>
          <w:rFonts w:ascii="宋体" w:hAnsi="宋体" w:cs="宋体"/>
          <w:color w:val="auto"/>
          <w:kern w:val="0"/>
          <w:szCs w:val="21"/>
          <w:highlight w:val="none"/>
          <w:u w:val="single"/>
        </w:rPr>
        <w:softHyphen/>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政府采购项目中标（或成交）供应商（</w:t>
      </w:r>
      <w:r>
        <w:rPr>
          <w:rFonts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提供的货物（或工程、服务）进行了验收，验收情况如下：</w:t>
      </w:r>
    </w:p>
    <w:tbl>
      <w:tblPr>
        <w:tblStyle w:val="37"/>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77257BD8">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14:paraId="09EF9D94">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838" w:type="dxa"/>
            <w:gridSpan w:val="6"/>
            <w:tcBorders>
              <w:top w:val="single" w:color="auto" w:sz="8" w:space="0"/>
              <w:left w:val="nil"/>
              <w:bottom w:val="single" w:color="auto" w:sz="8" w:space="0"/>
              <w:right w:val="single" w:color="auto" w:sz="8" w:space="0"/>
            </w:tcBorders>
            <w:vAlign w:val="center"/>
          </w:tcPr>
          <w:p w14:paraId="177D9EB0">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67069594">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14:paraId="03F5F6B8">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159" w:type="dxa"/>
            <w:tcBorders>
              <w:top w:val="nil"/>
              <w:left w:val="nil"/>
              <w:bottom w:val="single" w:color="auto" w:sz="8" w:space="0"/>
              <w:right w:val="single" w:color="auto" w:sz="8" w:space="0"/>
            </w:tcBorders>
            <w:vAlign w:val="center"/>
          </w:tcPr>
          <w:p w14:paraId="6769C9D4">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 称</w:t>
            </w:r>
          </w:p>
        </w:tc>
        <w:tc>
          <w:tcPr>
            <w:tcW w:w="3262" w:type="dxa"/>
            <w:gridSpan w:val="3"/>
            <w:tcBorders>
              <w:top w:val="nil"/>
              <w:left w:val="nil"/>
              <w:bottom w:val="single" w:color="auto" w:sz="8" w:space="0"/>
              <w:right w:val="single" w:color="auto" w:sz="8" w:space="0"/>
            </w:tcBorders>
            <w:vAlign w:val="center"/>
          </w:tcPr>
          <w:p w14:paraId="0B077A5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14:paraId="2BCB5FCD">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606" w:type="dxa"/>
            <w:tcBorders>
              <w:top w:val="nil"/>
              <w:left w:val="nil"/>
              <w:bottom w:val="single" w:color="auto" w:sz="8" w:space="0"/>
              <w:right w:val="single" w:color="auto" w:sz="8" w:space="0"/>
            </w:tcBorders>
            <w:vAlign w:val="center"/>
          </w:tcPr>
          <w:p w14:paraId="51F91DBC">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 额</w:t>
            </w:r>
          </w:p>
        </w:tc>
      </w:tr>
      <w:tr w14:paraId="0BB26E84">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701E23D1">
            <w:pPr>
              <w:widowControl/>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629A99AD">
            <w:pPr>
              <w:widowControl/>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10A9FF6D">
            <w:pPr>
              <w:widowControl/>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4ECBABA0">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3A464093">
            <w:pPr>
              <w:widowControl/>
              <w:spacing w:before="100" w:beforeAutospacing="1" w:after="100" w:afterAutospacing="1" w:line="240" w:lineRule="atLeast"/>
              <w:jc w:val="center"/>
              <w:rPr>
                <w:rFonts w:ascii="宋体" w:hAnsi="宋体" w:cs="宋体"/>
                <w:color w:val="auto"/>
                <w:kern w:val="0"/>
                <w:szCs w:val="21"/>
                <w:highlight w:val="none"/>
              </w:rPr>
            </w:pPr>
          </w:p>
        </w:tc>
      </w:tr>
      <w:tr w14:paraId="05519721">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31706470">
            <w:pPr>
              <w:widowControl/>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0F59449F">
            <w:pPr>
              <w:widowControl/>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3ABBE059">
            <w:pPr>
              <w:widowControl/>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02939217">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21281AE7">
            <w:pPr>
              <w:widowControl/>
              <w:spacing w:before="100" w:beforeAutospacing="1" w:after="100" w:afterAutospacing="1" w:line="240" w:lineRule="atLeast"/>
              <w:jc w:val="center"/>
              <w:rPr>
                <w:rFonts w:ascii="宋体" w:hAnsi="宋体" w:cs="宋体"/>
                <w:color w:val="auto"/>
                <w:kern w:val="0"/>
                <w:szCs w:val="21"/>
                <w:highlight w:val="none"/>
              </w:rPr>
            </w:pPr>
          </w:p>
        </w:tc>
      </w:tr>
      <w:tr w14:paraId="1E5DB98F">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27F910FE">
            <w:pPr>
              <w:widowControl/>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36E8B482">
            <w:pPr>
              <w:widowControl/>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64175869">
            <w:pPr>
              <w:widowControl/>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0E44CB5D">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7AC648CD">
            <w:pPr>
              <w:widowControl/>
              <w:spacing w:before="100" w:beforeAutospacing="1" w:after="100" w:afterAutospacing="1" w:line="240" w:lineRule="atLeast"/>
              <w:jc w:val="center"/>
              <w:rPr>
                <w:rFonts w:ascii="宋体" w:hAnsi="宋体" w:cs="宋体"/>
                <w:color w:val="auto"/>
                <w:kern w:val="0"/>
                <w:szCs w:val="21"/>
                <w:highlight w:val="none"/>
              </w:rPr>
            </w:pPr>
          </w:p>
        </w:tc>
      </w:tr>
      <w:tr w14:paraId="1F7D1865">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14:paraId="1BD90503">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970" w:type="dxa"/>
            <w:gridSpan w:val="2"/>
            <w:tcBorders>
              <w:top w:val="nil"/>
              <w:left w:val="nil"/>
              <w:bottom w:val="single" w:color="auto" w:sz="8" w:space="0"/>
              <w:right w:val="single" w:color="auto" w:sz="8" w:space="0"/>
            </w:tcBorders>
            <w:vAlign w:val="center"/>
          </w:tcPr>
          <w:p w14:paraId="75F23E48">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5146754B">
            <w:pPr>
              <w:widowControl/>
              <w:spacing w:before="100" w:beforeAutospacing="1" w:after="100" w:afterAutospacing="1" w:line="240" w:lineRule="atLeast"/>
              <w:jc w:val="center"/>
              <w:rPr>
                <w:rFonts w:ascii="宋体" w:hAnsi="宋体" w:cs="宋体"/>
                <w:color w:val="auto"/>
                <w:kern w:val="0"/>
                <w:szCs w:val="21"/>
                <w:highlight w:val="none"/>
              </w:rPr>
            </w:pPr>
          </w:p>
        </w:tc>
      </w:tr>
      <w:tr w14:paraId="22882265">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14:paraId="16897270">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ascii="宋体" w:hAnsi="宋体" w:cs="宋体"/>
                <w:color w:val="auto"/>
                <w:kern w:val="0"/>
                <w:szCs w:val="21"/>
                <w:highlight w:val="none"/>
              </w:rPr>
              <w:t>合计大写金额： 仟 佰 拾 万 仟 佰 拾 元</w:t>
            </w:r>
          </w:p>
        </w:tc>
      </w:tr>
      <w:tr w14:paraId="5027E7E8">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14:paraId="64DCCAF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3056" w:type="dxa"/>
            <w:gridSpan w:val="2"/>
            <w:tcBorders>
              <w:top w:val="nil"/>
              <w:left w:val="nil"/>
              <w:bottom w:val="single" w:color="auto" w:sz="8" w:space="0"/>
              <w:right w:val="single" w:color="auto" w:sz="8" w:space="0"/>
            </w:tcBorders>
            <w:vAlign w:val="center"/>
          </w:tcPr>
          <w:p w14:paraId="50B7EA99">
            <w:pPr>
              <w:widowControl/>
              <w:spacing w:before="100" w:beforeAutospacing="1" w:after="100" w:afterAutospacing="1" w:line="240" w:lineRule="atLeast"/>
              <w:jc w:val="center"/>
              <w:rPr>
                <w:rFonts w:ascii="宋体" w:hAnsi="宋体" w:cs="宋体"/>
                <w:color w:val="auto"/>
                <w:kern w:val="0"/>
                <w:szCs w:val="21"/>
                <w:highlight w:val="none"/>
              </w:rPr>
            </w:pPr>
          </w:p>
        </w:tc>
        <w:tc>
          <w:tcPr>
            <w:tcW w:w="2565" w:type="dxa"/>
            <w:gridSpan w:val="3"/>
            <w:tcBorders>
              <w:top w:val="nil"/>
              <w:left w:val="nil"/>
              <w:bottom w:val="single" w:color="auto" w:sz="8" w:space="0"/>
              <w:right w:val="single" w:color="auto" w:sz="8" w:space="0"/>
            </w:tcBorders>
            <w:vAlign w:val="center"/>
          </w:tcPr>
          <w:p w14:paraId="6FF8192B">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376" w:type="dxa"/>
            <w:gridSpan w:val="2"/>
            <w:tcBorders>
              <w:top w:val="nil"/>
              <w:left w:val="nil"/>
              <w:bottom w:val="single" w:color="auto" w:sz="8" w:space="0"/>
              <w:right w:val="single" w:color="auto" w:sz="8" w:space="0"/>
            </w:tcBorders>
            <w:vAlign w:val="center"/>
          </w:tcPr>
          <w:p w14:paraId="659B07AB">
            <w:pPr>
              <w:widowControl/>
              <w:spacing w:before="100" w:beforeAutospacing="1" w:after="100" w:afterAutospacing="1" w:line="240" w:lineRule="atLeast"/>
              <w:jc w:val="center"/>
              <w:rPr>
                <w:rFonts w:ascii="宋体" w:hAnsi="宋体" w:cs="宋体"/>
                <w:color w:val="auto"/>
                <w:kern w:val="0"/>
                <w:szCs w:val="21"/>
                <w:highlight w:val="none"/>
              </w:rPr>
            </w:pPr>
          </w:p>
        </w:tc>
      </w:tr>
      <w:tr w14:paraId="1F097D9D">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14:paraId="6F1F3FB8">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14:paraId="7B73F40E">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2235011">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5C39894">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7997" w:type="dxa"/>
            <w:gridSpan w:val="7"/>
            <w:tcBorders>
              <w:top w:val="nil"/>
              <w:left w:val="nil"/>
              <w:bottom w:val="single" w:color="auto" w:sz="8" w:space="0"/>
              <w:right w:val="single" w:color="auto" w:sz="8" w:space="0"/>
            </w:tcBorders>
            <w:vAlign w:val="center"/>
          </w:tcPr>
          <w:p w14:paraId="26B6F8BE">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1F7576F2">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14:paraId="5D618570">
            <w:pPr>
              <w:rPr>
                <w:rFonts w:ascii="宋体" w:hAnsi="宋体"/>
                <w:color w:val="auto"/>
                <w:highlight w:val="none"/>
              </w:rPr>
            </w:pPr>
          </w:p>
        </w:tc>
        <w:tc>
          <w:tcPr>
            <w:tcW w:w="7997" w:type="dxa"/>
            <w:gridSpan w:val="7"/>
            <w:tcBorders>
              <w:top w:val="nil"/>
              <w:left w:val="nil"/>
              <w:bottom w:val="single" w:color="auto" w:sz="8" w:space="0"/>
              <w:right w:val="single" w:color="auto" w:sz="8" w:space="0"/>
            </w:tcBorders>
            <w:vAlign w:val="center"/>
          </w:tcPr>
          <w:p w14:paraId="1EE8AFDB">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1048D3A0">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4BA549CA">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07FDCD82">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1E01D79A">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098C6781">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监督人员或其他相关人员签字：</w:t>
            </w:r>
          </w:p>
          <w:p w14:paraId="5C157BAA">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或受邀机构的意见（盖章）：</w:t>
            </w:r>
          </w:p>
        </w:tc>
      </w:tr>
      <w:tr w14:paraId="095DBFB7">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14:paraId="66EAFDA4">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中标或者成交供应商负责人签字或盖章：</w:t>
            </w:r>
          </w:p>
          <w:p w14:paraId="5E4F633B">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c>
          <w:tcPr>
            <w:tcW w:w="4827" w:type="dxa"/>
            <w:gridSpan w:val="4"/>
            <w:tcBorders>
              <w:top w:val="nil"/>
              <w:left w:val="nil"/>
              <w:bottom w:val="single" w:color="auto" w:sz="8" w:space="0"/>
              <w:right w:val="single" w:color="auto" w:sz="8" w:space="0"/>
            </w:tcBorders>
            <w:vAlign w:val="center"/>
          </w:tcPr>
          <w:p w14:paraId="2F1557EE">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采购人或受托机构的意见（盖章）：</w:t>
            </w:r>
          </w:p>
          <w:p w14:paraId="2BC84CB3">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r>
    </w:tbl>
    <w:p w14:paraId="39A95F81">
      <w:pPr>
        <w:jc w:val="left"/>
        <w:rPr>
          <w:rFonts w:ascii="宋体" w:hAnsi="宋体"/>
          <w:color w:val="auto"/>
          <w:highlight w:val="none"/>
        </w:rPr>
      </w:pPr>
    </w:p>
    <w:p w14:paraId="76ABF791">
      <w:pPr>
        <w:spacing w:line="400" w:lineRule="exact"/>
        <w:rPr>
          <w:rFonts w:ascii="宋体" w:hAnsi="宋体"/>
          <w:b/>
          <w:color w:val="auto"/>
          <w:sz w:val="32"/>
          <w:szCs w:val="32"/>
          <w:highlight w:val="none"/>
        </w:rPr>
      </w:pPr>
      <w:r>
        <w:rPr>
          <w:rFonts w:ascii="宋体" w:hAnsi="宋体"/>
          <w:color w:val="auto"/>
          <w:highlight w:val="none"/>
        </w:rPr>
        <w:br w:type="page"/>
      </w:r>
    </w:p>
    <w:p w14:paraId="043E7772">
      <w:pPr>
        <w:spacing w:line="400" w:lineRule="exact"/>
        <w:jc w:val="center"/>
        <w:rPr>
          <w:rFonts w:ascii="宋体" w:hAnsi="宋体"/>
          <w:b/>
          <w:color w:val="auto"/>
          <w:sz w:val="32"/>
          <w:szCs w:val="32"/>
          <w:highlight w:val="none"/>
        </w:rPr>
      </w:pPr>
    </w:p>
    <w:p w14:paraId="5B0565C8">
      <w:pPr>
        <w:spacing w:line="400" w:lineRule="exact"/>
        <w:jc w:val="center"/>
        <w:rPr>
          <w:rFonts w:ascii="宋体" w:hAnsi="宋体"/>
          <w:b/>
          <w:color w:val="auto"/>
          <w:sz w:val="32"/>
          <w:szCs w:val="32"/>
          <w:highlight w:val="none"/>
        </w:rPr>
      </w:pPr>
    </w:p>
    <w:p w14:paraId="0D72541C">
      <w:pPr>
        <w:spacing w:line="400" w:lineRule="exact"/>
        <w:jc w:val="center"/>
        <w:rPr>
          <w:rFonts w:ascii="宋体" w:hAnsi="宋体"/>
          <w:b/>
          <w:color w:val="auto"/>
          <w:sz w:val="32"/>
          <w:szCs w:val="32"/>
          <w:highlight w:val="none"/>
        </w:rPr>
      </w:pPr>
    </w:p>
    <w:p w14:paraId="32135169">
      <w:pPr>
        <w:spacing w:line="400" w:lineRule="exact"/>
        <w:jc w:val="center"/>
        <w:rPr>
          <w:rFonts w:ascii="宋体" w:hAnsi="宋体"/>
          <w:b/>
          <w:color w:val="auto"/>
          <w:sz w:val="32"/>
          <w:szCs w:val="32"/>
          <w:highlight w:val="none"/>
        </w:rPr>
      </w:pPr>
    </w:p>
    <w:p w14:paraId="4E06AFC6">
      <w:pPr>
        <w:spacing w:line="400" w:lineRule="exact"/>
        <w:jc w:val="center"/>
        <w:rPr>
          <w:rFonts w:ascii="宋体" w:hAnsi="宋体"/>
          <w:b/>
          <w:color w:val="auto"/>
          <w:sz w:val="32"/>
          <w:szCs w:val="32"/>
          <w:highlight w:val="none"/>
        </w:rPr>
      </w:pPr>
    </w:p>
    <w:p w14:paraId="7602A756">
      <w:pPr>
        <w:spacing w:line="400" w:lineRule="exact"/>
        <w:jc w:val="center"/>
        <w:rPr>
          <w:rFonts w:ascii="宋体" w:hAnsi="宋体"/>
          <w:b/>
          <w:color w:val="auto"/>
          <w:sz w:val="32"/>
          <w:szCs w:val="32"/>
          <w:highlight w:val="none"/>
        </w:rPr>
      </w:pPr>
    </w:p>
    <w:p w14:paraId="1D25EB14">
      <w:pPr>
        <w:spacing w:line="400" w:lineRule="exact"/>
        <w:jc w:val="center"/>
        <w:rPr>
          <w:rFonts w:ascii="宋体" w:hAnsi="宋体"/>
          <w:b/>
          <w:color w:val="auto"/>
          <w:sz w:val="32"/>
          <w:szCs w:val="32"/>
          <w:highlight w:val="none"/>
        </w:rPr>
      </w:pPr>
    </w:p>
    <w:p w14:paraId="5234E9B0">
      <w:pPr>
        <w:spacing w:line="400" w:lineRule="exact"/>
        <w:jc w:val="center"/>
        <w:rPr>
          <w:rFonts w:ascii="宋体" w:hAnsi="宋体"/>
          <w:b/>
          <w:color w:val="auto"/>
          <w:sz w:val="32"/>
          <w:szCs w:val="32"/>
          <w:highlight w:val="none"/>
        </w:rPr>
      </w:pPr>
    </w:p>
    <w:p w14:paraId="74ADC3B3">
      <w:pPr>
        <w:spacing w:line="400" w:lineRule="exact"/>
        <w:jc w:val="center"/>
        <w:rPr>
          <w:rFonts w:ascii="宋体" w:hAnsi="宋体"/>
          <w:b/>
          <w:color w:val="auto"/>
          <w:sz w:val="32"/>
          <w:szCs w:val="32"/>
          <w:highlight w:val="none"/>
        </w:rPr>
      </w:pPr>
    </w:p>
    <w:p w14:paraId="304742E5">
      <w:pPr>
        <w:spacing w:line="400" w:lineRule="exact"/>
        <w:jc w:val="center"/>
        <w:rPr>
          <w:rFonts w:ascii="宋体" w:hAnsi="宋体"/>
          <w:b/>
          <w:color w:val="auto"/>
          <w:sz w:val="32"/>
          <w:szCs w:val="32"/>
          <w:highlight w:val="none"/>
        </w:rPr>
      </w:pPr>
    </w:p>
    <w:p w14:paraId="5D8FE9B8">
      <w:pPr>
        <w:spacing w:line="400" w:lineRule="exact"/>
        <w:jc w:val="center"/>
        <w:rPr>
          <w:rFonts w:ascii="宋体" w:hAnsi="宋体"/>
          <w:b/>
          <w:color w:val="auto"/>
          <w:sz w:val="32"/>
          <w:szCs w:val="32"/>
          <w:highlight w:val="none"/>
        </w:rPr>
      </w:pPr>
    </w:p>
    <w:p w14:paraId="51D733B5">
      <w:pPr>
        <w:spacing w:line="400" w:lineRule="exact"/>
        <w:jc w:val="center"/>
        <w:rPr>
          <w:rFonts w:ascii="宋体" w:hAnsi="宋体"/>
          <w:b/>
          <w:color w:val="auto"/>
          <w:sz w:val="32"/>
          <w:szCs w:val="32"/>
          <w:highlight w:val="none"/>
        </w:rPr>
      </w:pPr>
    </w:p>
    <w:p w14:paraId="4EDCDECB">
      <w:pPr>
        <w:spacing w:line="400" w:lineRule="exact"/>
        <w:rPr>
          <w:rFonts w:ascii="宋体" w:hAnsi="宋体"/>
          <w:b/>
          <w:color w:val="auto"/>
          <w:sz w:val="32"/>
          <w:szCs w:val="32"/>
          <w:highlight w:val="none"/>
        </w:rPr>
      </w:pPr>
    </w:p>
    <w:p w14:paraId="410916C6">
      <w:pPr>
        <w:pStyle w:val="35"/>
        <w:rPr>
          <w:color w:val="auto"/>
          <w:sz w:val="44"/>
          <w:szCs w:val="44"/>
          <w:highlight w:val="none"/>
        </w:rPr>
      </w:pPr>
      <w:bookmarkStart w:id="49" w:name="_Toc476258758"/>
      <w:bookmarkStart w:id="50" w:name="_Toc476258664"/>
      <w:r>
        <w:rPr>
          <w:rFonts w:hint="eastAsia"/>
          <w:color w:val="auto"/>
          <w:sz w:val="44"/>
          <w:szCs w:val="44"/>
          <w:highlight w:val="none"/>
        </w:rPr>
        <w:t>第三章</w:t>
      </w:r>
      <w:r>
        <w:rPr>
          <w:color w:val="auto"/>
          <w:sz w:val="44"/>
          <w:szCs w:val="44"/>
          <w:highlight w:val="none"/>
        </w:rPr>
        <w:t xml:space="preserve">  </w:t>
      </w:r>
      <w:r>
        <w:rPr>
          <w:rFonts w:hint="eastAsia"/>
          <w:color w:val="auto"/>
          <w:sz w:val="44"/>
          <w:szCs w:val="44"/>
          <w:highlight w:val="none"/>
        </w:rPr>
        <w:t>采购需求</w:t>
      </w:r>
      <w:bookmarkEnd w:id="49"/>
      <w:bookmarkEnd w:id="50"/>
    </w:p>
    <w:p w14:paraId="1C907AFF">
      <w:pPr>
        <w:spacing w:line="720" w:lineRule="auto"/>
        <w:jc w:val="center"/>
        <w:rPr>
          <w:rFonts w:ascii="宋体" w:hAnsi="宋体" w:eastAsia="仿宋_GB2312"/>
          <w:b/>
          <w:color w:val="auto"/>
          <w:sz w:val="32"/>
          <w:szCs w:val="32"/>
          <w:highlight w:val="none"/>
        </w:rPr>
      </w:pPr>
      <w:r>
        <w:rPr>
          <w:rFonts w:ascii="仿宋_GB2312" w:hAnsi="宋体" w:eastAsia="仿宋_GB2312"/>
          <w:b/>
          <w:color w:val="auto"/>
          <w:sz w:val="32"/>
          <w:szCs w:val="32"/>
          <w:highlight w:val="none"/>
        </w:rPr>
        <w:br w:type="page"/>
      </w:r>
      <w:r>
        <w:rPr>
          <w:rFonts w:hint="eastAsia" w:ascii="宋体" w:hAnsi="宋体" w:eastAsia="仿宋_GB2312"/>
          <w:b/>
          <w:color w:val="auto"/>
          <w:sz w:val="32"/>
          <w:szCs w:val="32"/>
          <w:highlight w:val="none"/>
        </w:rPr>
        <w:t>服务需求一览表</w:t>
      </w:r>
    </w:p>
    <w:p w14:paraId="77BA5E81">
      <w:pPr>
        <w:tabs>
          <w:tab w:val="left" w:pos="180"/>
          <w:tab w:val="left" w:pos="1620"/>
        </w:tabs>
        <w:spacing w:line="44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一、采购项目编号：</w:t>
      </w:r>
      <w:r>
        <w:rPr>
          <w:rFonts w:hint="eastAsia" w:ascii="宋体" w:hAnsi="宋体"/>
          <w:color w:val="auto"/>
          <w:szCs w:val="21"/>
          <w:highlight w:val="none"/>
          <w:lang w:eastAsia="zh-CN"/>
        </w:rPr>
        <w:t>GXZC2025-C3-002387-TQGC</w:t>
      </w:r>
    </w:p>
    <w:p w14:paraId="6E40B2E7">
      <w:pPr>
        <w:tabs>
          <w:tab w:val="left" w:pos="180"/>
          <w:tab w:val="left" w:pos="1620"/>
        </w:tabs>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二、采购项目类别：</w:t>
      </w:r>
      <w:r>
        <w:rPr>
          <w:rFonts w:ascii="宋体" w:hAnsi="宋体"/>
          <w:color w:val="auto"/>
          <w:szCs w:val="21"/>
          <w:highlight w:val="none"/>
          <w:u w:val="single"/>
        </w:rPr>
        <w:t xml:space="preserve">  服务类  </w:t>
      </w:r>
    </w:p>
    <w:p w14:paraId="50B5B355">
      <w:pPr>
        <w:tabs>
          <w:tab w:val="left" w:pos="180"/>
          <w:tab w:val="left" w:pos="162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三、采购需求一览表</w:t>
      </w:r>
    </w:p>
    <w:p w14:paraId="676F4402">
      <w:pPr>
        <w:spacing w:line="440" w:lineRule="exact"/>
        <w:ind w:firstLine="437"/>
        <w:rPr>
          <w:rFonts w:ascii="宋体" w:hAnsi="宋体"/>
          <w:color w:val="auto"/>
          <w:szCs w:val="21"/>
          <w:highlight w:val="none"/>
        </w:rPr>
      </w:pPr>
      <w:r>
        <w:rPr>
          <w:rFonts w:hint="eastAsia" w:ascii="宋体" w:hAnsi="宋体"/>
          <w:color w:val="auto"/>
          <w:szCs w:val="21"/>
          <w:highlight w:val="none"/>
        </w:rPr>
        <w:t>说明：</w:t>
      </w:r>
    </w:p>
    <w:p w14:paraId="7D5530C6">
      <w:pPr>
        <w:spacing w:line="440" w:lineRule="exact"/>
        <w:ind w:firstLine="437"/>
        <w:rPr>
          <w:rFonts w:ascii="宋体" w:hAnsi="宋体"/>
          <w:color w:val="auto"/>
          <w:szCs w:val="21"/>
          <w:highlight w:val="none"/>
        </w:rPr>
      </w:pPr>
      <w:r>
        <w:rPr>
          <w:rFonts w:ascii="宋体" w:hAnsi="宋体"/>
          <w:color w:val="auto"/>
          <w:szCs w:val="21"/>
          <w:highlight w:val="none"/>
        </w:rPr>
        <w:t>1、本项目需求表中带有“▲”的技术参数或要求为实质性要求，必须满足，竞标响应不得低于该技术指标或要求。未标注“▲”的参数或条款发生负偏离或不</w:t>
      </w:r>
      <w:r>
        <w:rPr>
          <w:rFonts w:hint="eastAsia" w:ascii="宋体" w:hAnsi="宋体"/>
          <w:color w:val="auto"/>
          <w:szCs w:val="21"/>
          <w:highlight w:val="none"/>
        </w:rPr>
        <w:t>响应达</w:t>
      </w:r>
      <w:r>
        <w:rPr>
          <w:rFonts w:ascii="宋体" w:hAnsi="宋体"/>
          <w:color w:val="auto"/>
          <w:szCs w:val="21"/>
          <w:highlight w:val="none"/>
          <w:u w:val="single"/>
        </w:rPr>
        <w:t>1</w:t>
      </w:r>
      <w:r>
        <w:rPr>
          <w:rFonts w:hint="eastAsia" w:ascii="宋体" w:hAnsi="宋体"/>
          <w:color w:val="auto"/>
          <w:szCs w:val="21"/>
          <w:highlight w:val="none"/>
        </w:rPr>
        <w:t>项（含）以上的，响应无效。</w:t>
      </w:r>
    </w:p>
    <w:p w14:paraId="05133AC3">
      <w:pPr>
        <w:widowControl/>
        <w:tabs>
          <w:tab w:val="left" w:pos="1531"/>
        </w:tabs>
        <w:ind w:firstLine="420" w:firstLineChars="200"/>
        <w:jc w:val="left"/>
        <w:rPr>
          <w:rFonts w:ascii="宋体" w:hAnsi="宋体" w:eastAsia="仿宋"/>
          <w:color w:val="auto"/>
          <w:szCs w:val="21"/>
          <w:highlight w:val="none"/>
        </w:rPr>
      </w:pPr>
      <w:r>
        <w:rPr>
          <w:rFonts w:ascii="宋体" w:hAnsi="宋体"/>
          <w:color w:val="auto"/>
          <w:szCs w:val="21"/>
          <w:highlight w:val="none"/>
        </w:rPr>
        <w:t>2、供应商所竞标货物或服务如国家有强制性要求的按国家规定执行，若执行标准有修改或</w:t>
      </w:r>
      <w:r>
        <w:rPr>
          <w:rFonts w:hint="eastAsia" w:ascii="宋体" w:hAnsi="宋体"/>
          <w:color w:val="auto"/>
          <w:szCs w:val="21"/>
          <w:highlight w:val="none"/>
        </w:rPr>
        <w:t>更新按最新版本执行。</w:t>
      </w:r>
    </w:p>
    <w:p w14:paraId="016C6823">
      <w:pPr>
        <w:spacing w:line="440" w:lineRule="exact"/>
        <w:ind w:firstLine="437"/>
        <w:rPr>
          <w:rFonts w:ascii="宋体" w:hAnsi="宋体"/>
          <w:color w:val="auto"/>
          <w:szCs w:val="21"/>
          <w:highlight w:val="none"/>
        </w:rPr>
      </w:pPr>
      <w:r>
        <w:rPr>
          <w:rFonts w:ascii="宋体" w:hAnsi="宋体"/>
          <w:color w:val="auto"/>
          <w:szCs w:val="21"/>
          <w:highlight w:val="none"/>
        </w:rPr>
        <w:t>3、采购标的对应的中小企业划分标准所属行业：根据《关于印发中小企业划型标准规定的通知》（工信部联企业〔2011〕300号），本次采购标的属于：租赁和商务服务业。</w:t>
      </w:r>
    </w:p>
    <w:tbl>
      <w:tblPr>
        <w:tblStyle w:val="37"/>
        <w:tblW w:w="95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83"/>
        <w:gridCol w:w="1322"/>
        <w:gridCol w:w="688"/>
        <w:gridCol w:w="5832"/>
        <w:gridCol w:w="1195"/>
      </w:tblGrid>
      <w:tr w14:paraId="2C099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483" w:type="dxa"/>
            <w:vAlign w:val="center"/>
          </w:tcPr>
          <w:p w14:paraId="74AAADC2">
            <w:pPr>
              <w:tabs>
                <w:tab w:val="left" w:pos="1440"/>
              </w:tabs>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项号</w:t>
            </w:r>
          </w:p>
        </w:tc>
        <w:tc>
          <w:tcPr>
            <w:tcW w:w="1322" w:type="dxa"/>
            <w:vAlign w:val="center"/>
          </w:tcPr>
          <w:p w14:paraId="6BE29039">
            <w:pPr>
              <w:tabs>
                <w:tab w:val="left" w:pos="1440"/>
              </w:tabs>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服务名称</w:t>
            </w:r>
          </w:p>
        </w:tc>
        <w:tc>
          <w:tcPr>
            <w:tcW w:w="688" w:type="dxa"/>
            <w:vAlign w:val="center"/>
          </w:tcPr>
          <w:p w14:paraId="08203D77">
            <w:pPr>
              <w:tabs>
                <w:tab w:val="left" w:pos="1440"/>
              </w:tabs>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5832" w:type="dxa"/>
            <w:tcMar>
              <w:top w:w="0" w:type="dxa"/>
              <w:left w:w="108" w:type="dxa"/>
              <w:bottom w:w="0" w:type="dxa"/>
              <w:right w:w="108" w:type="dxa"/>
            </w:tcMar>
            <w:vAlign w:val="center"/>
          </w:tcPr>
          <w:p w14:paraId="204AB7F1">
            <w:pPr>
              <w:tabs>
                <w:tab w:val="left" w:pos="1440"/>
              </w:tabs>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服务内容及要求（适用于</w:t>
            </w:r>
            <w:r>
              <w:rPr>
                <w:rFonts w:ascii="宋体" w:hAnsi="宋体" w:cs="宋体"/>
                <w:b/>
                <w:bCs/>
                <w:color w:val="auto"/>
                <w:kern w:val="0"/>
                <w:szCs w:val="21"/>
                <w:highlight w:val="none"/>
              </w:rPr>
              <w:t>14个标段）</w:t>
            </w:r>
          </w:p>
        </w:tc>
        <w:tc>
          <w:tcPr>
            <w:tcW w:w="1195" w:type="dxa"/>
            <w:tcMar>
              <w:top w:w="0" w:type="dxa"/>
              <w:left w:w="108" w:type="dxa"/>
              <w:bottom w:w="0" w:type="dxa"/>
              <w:right w:w="108" w:type="dxa"/>
            </w:tcMar>
            <w:vAlign w:val="center"/>
          </w:tcPr>
          <w:p w14:paraId="0DB8FADB">
            <w:pPr>
              <w:tabs>
                <w:tab w:val="left" w:pos="1440"/>
              </w:tabs>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27F1D2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1" w:hRule="atLeast"/>
          <w:jc w:val="center"/>
        </w:trPr>
        <w:tc>
          <w:tcPr>
            <w:tcW w:w="483" w:type="dxa"/>
            <w:vAlign w:val="center"/>
          </w:tcPr>
          <w:p w14:paraId="2B3EECAA">
            <w:pPr>
              <w:tabs>
                <w:tab w:val="left" w:pos="1440"/>
              </w:tabs>
              <w:spacing w:line="380" w:lineRule="exact"/>
              <w:jc w:val="left"/>
              <w:rPr>
                <w:rFonts w:ascii="宋体" w:hAnsi="宋体" w:cs="宋体"/>
                <w:bCs/>
                <w:color w:val="auto"/>
                <w:kern w:val="0"/>
                <w:szCs w:val="21"/>
                <w:highlight w:val="none"/>
              </w:rPr>
            </w:pPr>
            <w:r>
              <w:rPr>
                <w:rFonts w:ascii="宋体" w:hAnsi="宋体" w:cs="宋体"/>
                <w:bCs/>
                <w:color w:val="auto"/>
                <w:kern w:val="0"/>
                <w:szCs w:val="21"/>
                <w:highlight w:val="none"/>
              </w:rPr>
              <w:t>1</w:t>
            </w:r>
          </w:p>
        </w:tc>
        <w:tc>
          <w:tcPr>
            <w:tcW w:w="1322" w:type="dxa"/>
            <w:vAlign w:val="center"/>
          </w:tcPr>
          <w:p w14:paraId="57FFF93B">
            <w:pPr>
              <w:tabs>
                <w:tab w:val="left" w:pos="1440"/>
              </w:tabs>
              <w:spacing w:line="380" w:lineRule="exact"/>
              <w:jc w:val="left"/>
              <w:rPr>
                <w:rFonts w:ascii="宋体" w:hAnsi="宋体" w:cs="宋体"/>
                <w:bCs/>
                <w:color w:val="auto"/>
                <w:kern w:val="0"/>
                <w:szCs w:val="21"/>
                <w:highlight w:val="none"/>
              </w:rPr>
            </w:pPr>
            <w:r>
              <w:rPr>
                <w:rFonts w:hint="eastAsia" w:ascii="宋体" w:hAnsi="宋体" w:cs="宋体"/>
                <w:color w:val="auto"/>
                <w:szCs w:val="21"/>
                <w:highlight w:val="none"/>
              </w:rPr>
              <w:t>广西壮族自治区自然资源生态修复中心业务租车服务采购</w:t>
            </w:r>
          </w:p>
        </w:tc>
        <w:tc>
          <w:tcPr>
            <w:tcW w:w="688" w:type="dxa"/>
            <w:vAlign w:val="center"/>
          </w:tcPr>
          <w:p w14:paraId="19C8B37F">
            <w:pPr>
              <w:tabs>
                <w:tab w:val="left" w:pos="1440"/>
              </w:tabs>
              <w:spacing w:line="380" w:lineRule="exact"/>
              <w:jc w:val="center"/>
              <w:rPr>
                <w:rFonts w:ascii="宋体" w:hAnsi="宋体" w:cs="宋体"/>
                <w:bCs/>
                <w:color w:val="auto"/>
                <w:kern w:val="0"/>
                <w:szCs w:val="21"/>
                <w:highlight w:val="none"/>
              </w:rPr>
            </w:pPr>
            <w:r>
              <w:rPr>
                <w:rFonts w:ascii="宋体" w:hAnsi="宋体" w:cs="宋体"/>
                <w:bCs/>
                <w:color w:val="auto"/>
                <w:kern w:val="0"/>
                <w:szCs w:val="21"/>
                <w:highlight w:val="none"/>
              </w:rPr>
              <w:t>1项</w:t>
            </w:r>
          </w:p>
        </w:tc>
        <w:tc>
          <w:tcPr>
            <w:tcW w:w="5832" w:type="dxa"/>
            <w:tcMar>
              <w:top w:w="0" w:type="dxa"/>
              <w:left w:w="108" w:type="dxa"/>
              <w:bottom w:w="0" w:type="dxa"/>
              <w:right w:w="108" w:type="dxa"/>
            </w:tcMar>
            <w:vAlign w:val="center"/>
          </w:tcPr>
          <w:p w14:paraId="7F64561A">
            <w:pPr>
              <w:numPr>
                <w:ilvl w:val="0"/>
                <w:numId w:val="4"/>
              </w:numPr>
              <w:spacing w:line="340" w:lineRule="exact"/>
              <w:rPr>
                <w:rFonts w:ascii="宋体" w:hAnsi="宋体" w:cs="宋体"/>
                <w:b/>
                <w:color w:val="auto"/>
                <w:szCs w:val="21"/>
                <w:highlight w:val="none"/>
              </w:rPr>
            </w:pPr>
            <w:r>
              <w:rPr>
                <w:rFonts w:hint="eastAsia" w:ascii="宋体" w:hAnsi="宋体" w:cs="宋体"/>
                <w:b/>
                <w:color w:val="auto"/>
                <w:szCs w:val="21"/>
                <w:highlight w:val="none"/>
              </w:rPr>
              <w:t>对定点供应商及车辆的要求：</w:t>
            </w:r>
          </w:p>
          <w:p w14:paraId="1495F7DE">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▲（一）定点供应商应在所投地市具有经营网点，以便于随时提供租车服务。</w:t>
            </w:r>
          </w:p>
          <w:p w14:paraId="783A9350">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▲（二）车辆要求：</w:t>
            </w:r>
          </w:p>
          <w:p w14:paraId="2BBADDBB">
            <w:pPr>
              <w:spacing w:line="340" w:lineRule="exact"/>
              <w:ind w:firstLine="420" w:firstLineChars="200"/>
              <w:rPr>
                <w:rFonts w:ascii="宋体" w:hAnsi="宋体" w:cs="宋体"/>
                <w:b/>
                <w:bCs/>
                <w:color w:val="auto"/>
                <w:kern w:val="0"/>
                <w:szCs w:val="21"/>
                <w:highlight w:val="none"/>
              </w:rPr>
            </w:pPr>
            <w:r>
              <w:rPr>
                <w:rFonts w:ascii="宋体" w:hAnsi="宋体" w:cs="宋体"/>
                <w:color w:val="auto"/>
                <w:szCs w:val="21"/>
                <w:highlight w:val="none"/>
              </w:rPr>
              <w:t>1、车型：</w:t>
            </w:r>
            <w:r>
              <w:rPr>
                <w:rFonts w:ascii="宋体" w:hAnsi="宋体" w:cs="宋体"/>
                <w:b/>
                <w:bCs/>
                <w:color w:val="auto"/>
                <w:kern w:val="0"/>
                <w:szCs w:val="21"/>
                <w:highlight w:val="none"/>
              </w:rPr>
              <w:t>7座&lt;</w:t>
            </w:r>
            <w:r>
              <w:rPr>
                <w:rFonts w:hint="eastAsia" w:ascii="宋体" w:hAnsi="宋体" w:cs="宋体"/>
                <w:b/>
                <w:bCs/>
                <w:color w:val="auto"/>
                <w:kern w:val="0"/>
                <w:szCs w:val="21"/>
                <w:highlight w:val="none"/>
              </w:rPr>
              <w:t>含</w:t>
            </w:r>
            <w:r>
              <w:rPr>
                <w:rFonts w:ascii="宋体" w:hAnsi="宋体" w:cs="宋体"/>
                <w:b/>
                <w:bCs/>
                <w:color w:val="auto"/>
                <w:kern w:val="0"/>
                <w:szCs w:val="21"/>
                <w:highlight w:val="none"/>
              </w:rPr>
              <w:t>7座&gt;</w:t>
            </w:r>
            <w:r>
              <w:rPr>
                <w:rFonts w:hint="eastAsia" w:ascii="宋体" w:hAnsi="宋体" w:cs="宋体"/>
                <w:b/>
                <w:bCs/>
                <w:color w:val="auto"/>
                <w:kern w:val="0"/>
                <w:szCs w:val="21"/>
                <w:highlight w:val="none"/>
              </w:rPr>
              <w:t>以下车型</w:t>
            </w:r>
          </w:p>
          <w:p w14:paraId="4D53077B">
            <w:pPr>
              <w:spacing w:line="340" w:lineRule="exact"/>
              <w:ind w:firstLine="422" w:firstLineChars="200"/>
              <w:rPr>
                <w:rFonts w:ascii="宋体" w:hAnsi="宋体" w:cs="宋体"/>
                <w:b/>
                <w:bCs/>
                <w:color w:val="auto"/>
                <w:kern w:val="0"/>
                <w:szCs w:val="21"/>
                <w:highlight w:val="none"/>
              </w:rPr>
            </w:pPr>
            <w:r>
              <w:rPr>
                <w:rFonts w:ascii="宋体" w:hAnsi="宋体" w:cs="宋体"/>
                <w:b/>
                <w:bCs/>
                <w:color w:val="auto"/>
                <w:kern w:val="0"/>
                <w:szCs w:val="21"/>
                <w:highlight w:val="none"/>
              </w:rPr>
              <w:t>2、所投车辆必须为供应商自有车辆</w:t>
            </w:r>
          </w:p>
          <w:p w14:paraId="1A811D8A">
            <w:pPr>
              <w:spacing w:line="340" w:lineRule="exact"/>
              <w:ind w:firstLine="422" w:firstLineChars="200"/>
              <w:rPr>
                <w:rFonts w:ascii="宋体" w:hAnsi="宋体" w:cs="宋体"/>
                <w:bCs/>
                <w:color w:val="auto"/>
                <w:kern w:val="0"/>
                <w:szCs w:val="21"/>
                <w:highlight w:val="none"/>
              </w:rPr>
            </w:pPr>
            <w:r>
              <w:rPr>
                <w:rFonts w:ascii="宋体" w:hAnsi="宋体" w:cs="宋体"/>
                <w:b/>
                <w:bCs/>
                <w:color w:val="auto"/>
                <w:kern w:val="0"/>
                <w:szCs w:val="21"/>
                <w:highlight w:val="none"/>
              </w:rPr>
              <w:t>3、</w:t>
            </w:r>
            <w:r>
              <w:rPr>
                <w:rFonts w:hint="eastAsia" w:ascii="宋体" w:hAnsi="宋体" w:cs="宋体"/>
                <w:color w:val="auto"/>
                <w:szCs w:val="21"/>
                <w:highlight w:val="none"/>
              </w:rPr>
              <w:t>自有车辆数量为燃油汽车与新能源汽车之和，</w:t>
            </w:r>
            <w:r>
              <w:rPr>
                <w:rFonts w:hint="eastAsia" w:ascii="宋体" w:hAnsi="宋体" w:cs="宋体"/>
                <w:bCs/>
                <w:color w:val="auto"/>
                <w:kern w:val="0"/>
                <w:szCs w:val="21"/>
                <w:highlight w:val="none"/>
              </w:rPr>
              <w:t>数量在</w:t>
            </w:r>
            <w:r>
              <w:rPr>
                <w:rFonts w:ascii="宋体" w:hAnsi="宋体" w:cs="宋体"/>
                <w:b/>
                <w:color w:val="auto"/>
                <w:kern w:val="0"/>
                <w:szCs w:val="21"/>
                <w:highlight w:val="none"/>
                <w:u w:val="single"/>
              </w:rPr>
              <w:t>15</w:t>
            </w:r>
            <w:r>
              <w:rPr>
                <w:rFonts w:hint="eastAsia" w:ascii="宋体" w:hAnsi="宋体" w:cs="宋体"/>
                <w:b/>
                <w:bCs/>
                <w:color w:val="auto"/>
                <w:kern w:val="0"/>
                <w:szCs w:val="21"/>
                <w:highlight w:val="none"/>
              </w:rPr>
              <w:t>辆（含）以上</w:t>
            </w:r>
            <w:r>
              <w:rPr>
                <w:rFonts w:hint="eastAsia" w:ascii="宋体" w:hAnsi="宋体" w:cs="宋体"/>
                <w:bCs/>
                <w:color w:val="auto"/>
                <w:kern w:val="0"/>
                <w:szCs w:val="21"/>
                <w:highlight w:val="none"/>
              </w:rPr>
              <w:t>（车辆所属以车辆行驶证为准；达不到以下“</w:t>
            </w:r>
            <w:r>
              <w:rPr>
                <w:rFonts w:hint="eastAsia" w:ascii="宋体" w:hAnsi="宋体" w:cs="宋体"/>
                <w:b/>
                <w:color w:val="auto"/>
                <w:szCs w:val="21"/>
                <w:highlight w:val="none"/>
              </w:rPr>
              <w:t>燃油</w:t>
            </w:r>
            <w:r>
              <w:rPr>
                <w:rFonts w:hint="eastAsia" w:ascii="宋体" w:hAnsi="宋体" w:cs="宋体"/>
                <w:bCs/>
                <w:color w:val="auto"/>
                <w:kern w:val="0"/>
                <w:szCs w:val="21"/>
                <w:highlight w:val="none"/>
              </w:rPr>
              <w:t>车辆基本要求”和“</w:t>
            </w:r>
            <w:r>
              <w:rPr>
                <w:rFonts w:hint="eastAsia" w:ascii="宋体" w:hAnsi="宋体" w:cs="宋体"/>
                <w:b/>
                <w:color w:val="auto"/>
                <w:szCs w:val="21"/>
                <w:highlight w:val="none"/>
              </w:rPr>
              <w:t>新能源车辆基本要求”</w:t>
            </w:r>
            <w:r>
              <w:rPr>
                <w:rFonts w:hint="eastAsia" w:ascii="宋体" w:hAnsi="宋体" w:cs="宋体"/>
                <w:bCs/>
                <w:color w:val="auto"/>
                <w:kern w:val="0"/>
                <w:szCs w:val="21"/>
                <w:highlight w:val="none"/>
              </w:rPr>
              <w:t>，以及挂靠供应商运营的相关车辆不计入“自有车辆数量”中）。</w:t>
            </w:r>
          </w:p>
          <w:p w14:paraId="5D392505">
            <w:pPr>
              <w:spacing w:line="340" w:lineRule="exact"/>
              <w:ind w:firstLine="210" w:firstLineChars="100"/>
              <w:rPr>
                <w:rFonts w:ascii="宋体" w:hAnsi="宋体" w:cs="宋体"/>
                <w:bCs/>
                <w:color w:val="auto"/>
                <w:kern w:val="0"/>
                <w:szCs w:val="21"/>
                <w:highlight w:val="none"/>
              </w:rPr>
            </w:pPr>
            <w:r>
              <w:rPr>
                <w:rFonts w:ascii="宋体" w:hAnsi="宋体" w:cs="宋体"/>
                <w:bCs/>
                <w:color w:val="auto"/>
                <w:kern w:val="0"/>
                <w:szCs w:val="21"/>
                <w:highlight w:val="none"/>
              </w:rPr>
              <w:t>4、供应商自有的</w:t>
            </w:r>
            <w:r>
              <w:rPr>
                <w:rFonts w:hint="eastAsia" w:ascii="宋体" w:hAnsi="宋体" w:cs="宋体"/>
                <w:b/>
                <w:bCs/>
                <w:color w:val="auto"/>
                <w:kern w:val="0"/>
                <w:szCs w:val="21"/>
                <w:highlight w:val="none"/>
              </w:rPr>
              <w:t>燃油车辆</w:t>
            </w:r>
            <w:r>
              <w:rPr>
                <w:rFonts w:hint="eastAsia" w:ascii="宋体" w:hAnsi="宋体" w:cs="宋体"/>
                <w:bCs/>
                <w:color w:val="auto"/>
                <w:kern w:val="0"/>
                <w:szCs w:val="21"/>
                <w:highlight w:val="none"/>
              </w:rPr>
              <w:t>必须满足以下</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w:t>
            </w:r>
            <w:r>
              <w:rPr>
                <w:rFonts w:hint="eastAsia" w:ascii="宋体" w:hAnsi="宋体" w:cs="宋体"/>
                <w:b/>
                <w:color w:val="auto"/>
                <w:szCs w:val="21"/>
                <w:highlight w:val="none"/>
              </w:rPr>
              <w:t>燃油车辆基本要求</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中所列的</w:t>
            </w:r>
            <w:r>
              <w:rPr>
                <w:rFonts w:ascii="宋体" w:hAnsi="宋体" w:cs="宋体"/>
                <w:bCs/>
                <w:color w:val="auto"/>
                <w:kern w:val="0"/>
                <w:szCs w:val="21"/>
                <w:highlight w:val="none"/>
              </w:rPr>
              <w:t>3种车型要求，且车辆符合该款车型的各项参数要求，每种车型的车辆占比不做具体要求。</w:t>
            </w:r>
          </w:p>
          <w:p w14:paraId="7D5F2C48">
            <w:pPr>
              <w:spacing w:line="340" w:lineRule="exact"/>
              <w:ind w:firstLine="315" w:firstLineChars="150"/>
              <w:rPr>
                <w:rFonts w:ascii="宋体" w:hAnsi="宋体" w:cs="宋体"/>
                <w:color w:val="auto"/>
                <w:szCs w:val="21"/>
                <w:highlight w:val="none"/>
              </w:rPr>
            </w:pPr>
            <w:r>
              <w:rPr>
                <w:rFonts w:ascii="宋体" w:hAnsi="宋体" w:cs="宋体"/>
                <w:bCs/>
                <w:color w:val="auto"/>
                <w:kern w:val="0"/>
                <w:szCs w:val="21"/>
                <w:highlight w:val="none"/>
              </w:rPr>
              <w:t>5、供应商自有的</w:t>
            </w:r>
            <w:r>
              <w:rPr>
                <w:rFonts w:hint="eastAsia" w:ascii="宋体" w:hAnsi="宋体" w:cs="宋体"/>
                <w:b/>
                <w:bCs/>
                <w:color w:val="auto"/>
                <w:kern w:val="0"/>
                <w:szCs w:val="21"/>
                <w:highlight w:val="none"/>
              </w:rPr>
              <w:t>新能源车辆</w:t>
            </w:r>
            <w:r>
              <w:rPr>
                <w:rFonts w:hint="eastAsia" w:ascii="宋体" w:hAnsi="宋体" w:cs="宋体"/>
                <w:bCs/>
                <w:color w:val="auto"/>
                <w:kern w:val="0"/>
                <w:szCs w:val="21"/>
                <w:highlight w:val="none"/>
              </w:rPr>
              <w:t>只需具备以下“</w:t>
            </w:r>
            <w:r>
              <w:rPr>
                <w:rFonts w:hint="eastAsia" w:ascii="宋体" w:hAnsi="宋体" w:cs="宋体"/>
                <w:b/>
                <w:color w:val="auto"/>
                <w:szCs w:val="21"/>
                <w:highlight w:val="none"/>
              </w:rPr>
              <w:t>新能源车辆基本要求</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中所列</w:t>
            </w:r>
            <w:r>
              <w:rPr>
                <w:rFonts w:ascii="宋体" w:hAnsi="宋体" w:cs="宋体"/>
                <w:bCs/>
                <w:color w:val="auto"/>
                <w:kern w:val="0"/>
                <w:szCs w:val="21"/>
                <w:highlight w:val="none"/>
              </w:rPr>
              <w:t>5种车型中的一种或一种以上，且车辆符合该款车型的各项参数要求，每种车型的车辆占比不做具体要求，但供应商所有权新能源汽车总数需满足第二章采购需求“一、对供应商的基本要求第（一）点”的要求。车辆续航里程</w:t>
            </w:r>
            <w:r>
              <w:rPr>
                <w:rFonts w:hint="eastAsia" w:ascii="宋体" w:hAnsi="宋体" w:cs="宋体"/>
                <w:bCs/>
                <w:color w:val="auto"/>
                <w:kern w:val="0"/>
                <w:szCs w:val="21"/>
                <w:highlight w:val="none"/>
              </w:rPr>
              <w:t>指车辆正常工况下的行驶里程，不区分纯电或混动工作模式。</w:t>
            </w:r>
          </w:p>
          <w:p w14:paraId="30C97846">
            <w:pPr>
              <w:spacing w:line="3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（三）燃油车辆基本要求：</w:t>
            </w:r>
          </w:p>
          <w:p w14:paraId="6D06B391">
            <w:pPr>
              <w:spacing w:line="340" w:lineRule="exact"/>
              <w:ind w:firstLine="422" w:firstLineChars="200"/>
              <w:rPr>
                <w:rFonts w:ascii="宋体" w:hAnsi="宋体" w:cs="宋体"/>
                <w:b/>
                <w:color w:val="auto"/>
                <w:szCs w:val="21"/>
                <w:highlight w:val="none"/>
              </w:rPr>
            </w:pPr>
            <w:r>
              <w:rPr>
                <w:rFonts w:ascii="宋体" w:hAnsi="宋体" w:cs="宋体"/>
                <w:b/>
                <w:color w:val="auto"/>
                <w:szCs w:val="21"/>
                <w:highlight w:val="none"/>
              </w:rPr>
              <w:t>1.轿车：</w:t>
            </w:r>
          </w:p>
          <w:p w14:paraId="0AC49C04">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1）车辆价值（以原购车价为准）：</w:t>
            </w:r>
            <w:r>
              <w:rPr>
                <w:rFonts w:ascii="宋体" w:hAnsi="宋体" w:cs="宋体"/>
                <w:b/>
                <w:color w:val="auto"/>
                <w:szCs w:val="21"/>
                <w:highlight w:val="none"/>
              </w:rPr>
              <w:t>10万-18万元（含）</w:t>
            </w:r>
            <w:r>
              <w:rPr>
                <w:rFonts w:hint="eastAsia" w:ascii="宋体" w:hAnsi="宋体" w:cs="宋体"/>
                <w:color w:val="auto"/>
                <w:szCs w:val="21"/>
                <w:highlight w:val="none"/>
              </w:rPr>
              <w:t>；</w:t>
            </w:r>
          </w:p>
          <w:p w14:paraId="49B93462">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2）车辆排量：1.35L-1.8L（含增压）；</w:t>
            </w:r>
          </w:p>
          <w:p w14:paraId="0D2CB0DA">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3）车辆轴距：2650mm（含）以上；</w:t>
            </w:r>
          </w:p>
          <w:p w14:paraId="16817701">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4）车龄：5年以下；</w:t>
            </w:r>
          </w:p>
          <w:p w14:paraId="0BD24B30">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5）车辆里程数：15万公里以下；</w:t>
            </w:r>
          </w:p>
          <w:p w14:paraId="60032D80">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6）车辆已购买国家规定的</w:t>
            </w:r>
            <w:r>
              <w:rPr>
                <w:rFonts w:hint="eastAsia" w:ascii="宋体" w:hAnsi="宋体" w:cs="宋体"/>
                <w:color w:val="auto"/>
                <w:szCs w:val="21"/>
                <w:highlight w:val="none"/>
              </w:rPr>
              <w:t>必保险种，缴纳必缴的税费。</w:t>
            </w:r>
          </w:p>
          <w:p w14:paraId="178CB704">
            <w:pPr>
              <w:spacing w:line="340" w:lineRule="exact"/>
              <w:ind w:firstLine="422" w:firstLineChars="200"/>
              <w:rPr>
                <w:rFonts w:ascii="宋体" w:hAnsi="宋体" w:cs="宋体"/>
                <w:b/>
                <w:color w:val="auto"/>
                <w:szCs w:val="21"/>
                <w:highlight w:val="none"/>
              </w:rPr>
            </w:pPr>
            <w:r>
              <w:rPr>
                <w:rFonts w:ascii="宋体" w:hAnsi="宋体" w:cs="宋体"/>
                <w:b/>
                <w:color w:val="auto"/>
                <w:szCs w:val="21"/>
                <w:highlight w:val="none"/>
              </w:rPr>
              <w:t>2.越野车：</w:t>
            </w:r>
          </w:p>
          <w:p w14:paraId="49C6C80E">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1）车辆价值（以原购车价为准）：</w:t>
            </w:r>
            <w:r>
              <w:rPr>
                <w:rFonts w:ascii="宋体" w:hAnsi="宋体" w:cs="宋体"/>
                <w:b/>
                <w:color w:val="auto"/>
                <w:szCs w:val="21"/>
                <w:highlight w:val="none"/>
              </w:rPr>
              <w:t>12万-25万元（含）</w:t>
            </w:r>
            <w:r>
              <w:rPr>
                <w:rFonts w:hint="eastAsia" w:ascii="宋体" w:hAnsi="宋体" w:cs="宋体"/>
                <w:color w:val="auto"/>
                <w:szCs w:val="21"/>
                <w:highlight w:val="none"/>
              </w:rPr>
              <w:t>；</w:t>
            </w:r>
          </w:p>
          <w:p w14:paraId="63C8DD4B">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2）车辆排量：1.55L-3.0L（含增压）；</w:t>
            </w:r>
          </w:p>
          <w:p w14:paraId="284FA333">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3）车辆轴距：2650mm（含）以上；</w:t>
            </w:r>
          </w:p>
          <w:p w14:paraId="21D6EDD3">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4）车龄：5年以下；</w:t>
            </w:r>
          </w:p>
          <w:p w14:paraId="20B3588C">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5）车辆里程数：15万公里以下；</w:t>
            </w:r>
          </w:p>
          <w:p w14:paraId="084BAE21">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6）车辆已购买国家规定的</w:t>
            </w:r>
            <w:r>
              <w:rPr>
                <w:rFonts w:hint="eastAsia" w:ascii="宋体" w:hAnsi="宋体" w:cs="宋体"/>
                <w:color w:val="auto"/>
                <w:szCs w:val="21"/>
                <w:highlight w:val="none"/>
              </w:rPr>
              <w:t>必保险种，缴纳必缴的税费。</w:t>
            </w:r>
          </w:p>
          <w:p w14:paraId="155986A8">
            <w:pPr>
              <w:spacing w:line="340" w:lineRule="exact"/>
              <w:ind w:firstLine="422" w:firstLineChars="200"/>
              <w:rPr>
                <w:rFonts w:ascii="宋体" w:hAnsi="宋体" w:cs="宋体"/>
                <w:b/>
                <w:color w:val="auto"/>
                <w:szCs w:val="21"/>
                <w:highlight w:val="none"/>
              </w:rPr>
            </w:pPr>
            <w:r>
              <w:rPr>
                <w:rFonts w:ascii="宋体" w:hAnsi="宋体" w:cs="宋体"/>
                <w:b/>
                <w:color w:val="auto"/>
                <w:szCs w:val="21"/>
                <w:highlight w:val="none"/>
              </w:rPr>
              <w:t>3.商务车：</w:t>
            </w:r>
          </w:p>
          <w:p w14:paraId="14ACE73F">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1）车辆价值（以原购车价为准）：</w:t>
            </w:r>
            <w:r>
              <w:rPr>
                <w:rFonts w:ascii="宋体" w:hAnsi="宋体" w:cs="宋体"/>
                <w:b/>
                <w:color w:val="auto"/>
                <w:szCs w:val="21"/>
                <w:highlight w:val="none"/>
              </w:rPr>
              <w:t>12万-25万元（含）；</w:t>
            </w:r>
          </w:p>
          <w:p w14:paraId="24175DF1">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2）车辆排量：1.95L-3.0L（含增压）；</w:t>
            </w:r>
          </w:p>
          <w:p w14:paraId="4E0B23F8">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3）车龄：5年以下；</w:t>
            </w:r>
          </w:p>
          <w:p w14:paraId="27A9403A">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4）车辆里程数：15万公里以下；</w:t>
            </w:r>
          </w:p>
          <w:p w14:paraId="4AF76347">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5）车辆已购买国家规定的</w:t>
            </w:r>
            <w:r>
              <w:rPr>
                <w:rFonts w:hint="eastAsia" w:ascii="宋体" w:hAnsi="宋体" w:cs="宋体"/>
                <w:color w:val="auto"/>
                <w:szCs w:val="21"/>
                <w:highlight w:val="none"/>
              </w:rPr>
              <w:t>必保险种，缴纳必缴的税费。</w:t>
            </w:r>
            <w:r>
              <w:rPr>
                <w:rFonts w:ascii="宋体" w:hAnsi="宋体" w:cs="宋体"/>
                <w:color w:val="auto"/>
                <w:szCs w:val="21"/>
                <w:highlight w:val="none"/>
              </w:rPr>
              <w:t xml:space="preserve">                                                                                           </w:t>
            </w:r>
          </w:p>
          <w:p w14:paraId="4EBE8FA4">
            <w:pPr>
              <w:tabs>
                <w:tab w:val="left" w:pos="1440"/>
              </w:tabs>
              <w:spacing w:line="340" w:lineRule="exact"/>
              <w:ind w:firstLine="211" w:firstLineChars="100"/>
              <w:jc w:val="left"/>
              <w:rPr>
                <w:rFonts w:ascii="宋体" w:hAnsi="宋体" w:cs="宋体"/>
                <w:b/>
                <w:color w:val="auto"/>
                <w:szCs w:val="21"/>
                <w:highlight w:val="none"/>
              </w:rPr>
            </w:pPr>
            <w:r>
              <w:rPr>
                <w:rFonts w:hint="eastAsia" w:ascii="宋体" w:hAnsi="宋体" w:cs="宋体"/>
                <w:b/>
                <w:color w:val="auto"/>
                <w:szCs w:val="21"/>
                <w:highlight w:val="none"/>
              </w:rPr>
              <w:t>（四）新能源车辆基本要求：</w:t>
            </w:r>
          </w:p>
          <w:p w14:paraId="17E57C24">
            <w:pPr>
              <w:tabs>
                <w:tab w:val="left" w:pos="1440"/>
              </w:tabs>
              <w:spacing w:line="340" w:lineRule="exact"/>
              <w:ind w:firstLine="422" w:firstLineChars="200"/>
              <w:jc w:val="left"/>
              <w:rPr>
                <w:rFonts w:ascii="宋体" w:hAnsi="宋体" w:cs="宋体"/>
                <w:b/>
                <w:bCs/>
                <w:color w:val="auto"/>
                <w:kern w:val="0"/>
                <w:szCs w:val="21"/>
                <w:highlight w:val="none"/>
              </w:rPr>
            </w:pPr>
            <w:r>
              <w:rPr>
                <w:rFonts w:ascii="宋体" w:hAnsi="宋体" w:cs="宋体"/>
                <w:b/>
                <w:bCs/>
                <w:color w:val="auto"/>
                <w:kern w:val="0"/>
                <w:szCs w:val="21"/>
                <w:highlight w:val="none"/>
              </w:rPr>
              <w:t>1.两座新能源轿车：</w:t>
            </w:r>
          </w:p>
          <w:p w14:paraId="331A106C">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1）车辆价值（以原购车补贴后价格为准）：12万元（含）以下；</w:t>
            </w:r>
          </w:p>
          <w:p w14:paraId="2184F178">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2）车龄：5年以下；</w:t>
            </w:r>
          </w:p>
          <w:p w14:paraId="4DDC3300">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3）车辆里程数：15万公里以下；</w:t>
            </w:r>
          </w:p>
          <w:p w14:paraId="4F2F079E">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4）车辆已购买国家规定的</w:t>
            </w:r>
            <w:r>
              <w:rPr>
                <w:rFonts w:hint="eastAsia" w:ascii="宋体" w:hAnsi="宋体" w:cs="宋体"/>
                <w:bCs/>
                <w:color w:val="auto"/>
                <w:kern w:val="0"/>
                <w:szCs w:val="21"/>
                <w:highlight w:val="none"/>
              </w:rPr>
              <w:t>必保险种，缴纳必缴的税费。</w:t>
            </w:r>
          </w:p>
          <w:p w14:paraId="23AFB4BC">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5）车辆续航里程≧150km</w:t>
            </w:r>
          </w:p>
          <w:p w14:paraId="3436B81B">
            <w:pPr>
              <w:tabs>
                <w:tab w:val="left" w:pos="1440"/>
              </w:tabs>
              <w:spacing w:line="340" w:lineRule="exact"/>
              <w:ind w:firstLine="422" w:firstLineChars="200"/>
              <w:jc w:val="left"/>
              <w:rPr>
                <w:rFonts w:ascii="宋体" w:hAnsi="宋体" w:cs="宋体"/>
                <w:b/>
                <w:bCs/>
                <w:color w:val="auto"/>
                <w:kern w:val="0"/>
                <w:szCs w:val="21"/>
                <w:highlight w:val="none"/>
              </w:rPr>
            </w:pPr>
            <w:r>
              <w:rPr>
                <w:rFonts w:ascii="宋体" w:hAnsi="宋体" w:cs="宋体"/>
                <w:b/>
                <w:bCs/>
                <w:color w:val="auto"/>
                <w:kern w:val="0"/>
                <w:szCs w:val="21"/>
                <w:highlight w:val="none"/>
              </w:rPr>
              <w:t>2.四座新能源轿车：</w:t>
            </w:r>
          </w:p>
          <w:p w14:paraId="5783F349">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1）车辆价值（以原购车补贴后价格为准）：18万元（含）以下；</w:t>
            </w:r>
          </w:p>
          <w:p w14:paraId="07293846">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2）车辆轴距：1900mm以上</w:t>
            </w:r>
          </w:p>
          <w:p w14:paraId="228D74A8">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3）车龄：5年以下；</w:t>
            </w:r>
          </w:p>
          <w:p w14:paraId="32A981CD">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4）车辆里程数：15万公里以下；</w:t>
            </w:r>
          </w:p>
          <w:p w14:paraId="23D358E7">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5）车辆已购买国家规定的</w:t>
            </w:r>
            <w:r>
              <w:rPr>
                <w:rFonts w:hint="eastAsia" w:ascii="宋体" w:hAnsi="宋体" w:cs="宋体"/>
                <w:bCs/>
                <w:color w:val="auto"/>
                <w:kern w:val="0"/>
                <w:szCs w:val="21"/>
                <w:highlight w:val="none"/>
              </w:rPr>
              <w:t>必保险种，缴纳必缴的税费。</w:t>
            </w:r>
          </w:p>
          <w:p w14:paraId="12C8048B">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6）车辆续航里程≧170km</w:t>
            </w:r>
          </w:p>
          <w:p w14:paraId="7583FD2A">
            <w:pPr>
              <w:tabs>
                <w:tab w:val="left" w:pos="1440"/>
              </w:tabs>
              <w:spacing w:line="340" w:lineRule="exact"/>
              <w:ind w:firstLine="422" w:firstLineChars="200"/>
              <w:jc w:val="left"/>
              <w:rPr>
                <w:rFonts w:ascii="宋体" w:hAnsi="宋体" w:cs="宋体"/>
                <w:b/>
                <w:bCs/>
                <w:color w:val="auto"/>
                <w:kern w:val="0"/>
                <w:szCs w:val="21"/>
                <w:highlight w:val="none"/>
              </w:rPr>
            </w:pPr>
            <w:r>
              <w:rPr>
                <w:rFonts w:ascii="宋体" w:hAnsi="宋体" w:cs="宋体"/>
                <w:b/>
                <w:bCs/>
                <w:color w:val="auto"/>
                <w:kern w:val="0"/>
                <w:szCs w:val="21"/>
                <w:highlight w:val="none"/>
              </w:rPr>
              <w:t>3.五座新能源轿车：</w:t>
            </w:r>
          </w:p>
          <w:p w14:paraId="4245B6C0">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1）车辆价值（以原购车补贴后价格为准）：18万元（含）以下；</w:t>
            </w:r>
          </w:p>
          <w:p w14:paraId="2B81E44E">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2）车辆轴距：2400mm以上；</w:t>
            </w:r>
          </w:p>
          <w:p w14:paraId="09C3C32B">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3）车龄：5年以下；</w:t>
            </w:r>
          </w:p>
          <w:p w14:paraId="16AE47CC">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4）车辆里程数：15万公里以下；</w:t>
            </w:r>
          </w:p>
          <w:p w14:paraId="47297701">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5）车辆已购买国家规定的</w:t>
            </w:r>
            <w:r>
              <w:rPr>
                <w:rFonts w:hint="eastAsia" w:ascii="宋体" w:hAnsi="宋体" w:cs="宋体"/>
                <w:bCs/>
                <w:color w:val="auto"/>
                <w:kern w:val="0"/>
                <w:szCs w:val="21"/>
                <w:highlight w:val="none"/>
              </w:rPr>
              <w:t>必保险种，缴纳必缴的税费。</w:t>
            </w:r>
          </w:p>
          <w:p w14:paraId="5A56A7B5">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6）车辆续航里程≧300km</w:t>
            </w:r>
          </w:p>
          <w:p w14:paraId="73487663">
            <w:pPr>
              <w:tabs>
                <w:tab w:val="left" w:pos="1440"/>
              </w:tabs>
              <w:spacing w:line="340" w:lineRule="exact"/>
              <w:ind w:firstLine="422" w:firstLineChars="200"/>
              <w:jc w:val="left"/>
              <w:rPr>
                <w:rFonts w:ascii="宋体" w:hAnsi="宋体" w:cs="宋体"/>
                <w:b/>
                <w:bCs/>
                <w:color w:val="auto"/>
                <w:kern w:val="0"/>
                <w:szCs w:val="21"/>
                <w:highlight w:val="none"/>
              </w:rPr>
            </w:pPr>
            <w:r>
              <w:rPr>
                <w:rFonts w:ascii="宋体" w:hAnsi="宋体" w:cs="宋体"/>
                <w:b/>
                <w:bCs/>
                <w:color w:val="auto"/>
                <w:kern w:val="0"/>
                <w:szCs w:val="21"/>
                <w:highlight w:val="none"/>
              </w:rPr>
              <w:t>4.新能源越野车：</w:t>
            </w:r>
          </w:p>
          <w:p w14:paraId="3310672B">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1）车辆价值（以原购车补贴后价格为准）：20万元（含）以下；</w:t>
            </w:r>
          </w:p>
          <w:p w14:paraId="07A23960">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2）车辆轴距：2600mm以上；</w:t>
            </w:r>
          </w:p>
          <w:p w14:paraId="22B845D6">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3）车龄：5年以下；</w:t>
            </w:r>
          </w:p>
          <w:p w14:paraId="088024D2">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4）车辆里程数：15万公里以下；</w:t>
            </w:r>
          </w:p>
          <w:p w14:paraId="54DA6463">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5）车辆已购买国家规定的</w:t>
            </w:r>
            <w:r>
              <w:rPr>
                <w:rFonts w:hint="eastAsia" w:ascii="宋体" w:hAnsi="宋体" w:cs="宋体"/>
                <w:bCs/>
                <w:color w:val="auto"/>
                <w:kern w:val="0"/>
                <w:szCs w:val="21"/>
                <w:highlight w:val="none"/>
              </w:rPr>
              <w:t>必保险种，缴纳必缴的税费。</w:t>
            </w:r>
          </w:p>
          <w:p w14:paraId="28B0C3FE">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6）车辆续航里程≧300km</w:t>
            </w:r>
          </w:p>
          <w:p w14:paraId="0FDF89D6">
            <w:pPr>
              <w:tabs>
                <w:tab w:val="left" w:pos="1440"/>
              </w:tabs>
              <w:spacing w:line="340" w:lineRule="exact"/>
              <w:ind w:firstLine="422" w:firstLineChars="200"/>
              <w:jc w:val="left"/>
              <w:rPr>
                <w:rFonts w:ascii="宋体" w:hAnsi="宋体" w:cs="宋体"/>
                <w:b/>
                <w:bCs/>
                <w:color w:val="auto"/>
                <w:kern w:val="0"/>
                <w:szCs w:val="21"/>
                <w:highlight w:val="none"/>
              </w:rPr>
            </w:pPr>
            <w:r>
              <w:rPr>
                <w:rFonts w:ascii="宋体" w:hAnsi="宋体" w:cs="宋体"/>
                <w:b/>
                <w:bCs/>
                <w:color w:val="auto"/>
                <w:kern w:val="0"/>
                <w:szCs w:val="21"/>
                <w:highlight w:val="none"/>
              </w:rPr>
              <w:t>5.新能源商务车：</w:t>
            </w:r>
          </w:p>
          <w:p w14:paraId="4FAA1C3E">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1）车辆价值（以原购车补贴后价格为准）：25万元（含）以下；</w:t>
            </w:r>
          </w:p>
          <w:p w14:paraId="0BB747C5">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2）车龄：5年以下；</w:t>
            </w:r>
          </w:p>
          <w:p w14:paraId="50BE8298">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3）车辆里程数：15万公里以下；</w:t>
            </w:r>
          </w:p>
          <w:p w14:paraId="146BF7FF">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4）车辆已购买国家规定的</w:t>
            </w:r>
            <w:r>
              <w:rPr>
                <w:rFonts w:hint="eastAsia" w:ascii="宋体" w:hAnsi="宋体" w:cs="宋体"/>
                <w:bCs/>
                <w:color w:val="auto"/>
                <w:kern w:val="0"/>
                <w:szCs w:val="21"/>
                <w:highlight w:val="none"/>
              </w:rPr>
              <w:t>必保险种，缴纳必缴的税费。</w:t>
            </w:r>
          </w:p>
          <w:p w14:paraId="4276A76D">
            <w:pPr>
              <w:tabs>
                <w:tab w:val="left" w:pos="1440"/>
              </w:tabs>
              <w:spacing w:line="3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5）车辆续航里程≧300km</w:t>
            </w:r>
          </w:p>
          <w:p w14:paraId="2C856557">
            <w:pPr>
              <w:spacing w:line="3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二、各车辆类型及采购上控价格</w:t>
            </w:r>
          </w:p>
          <w:p w14:paraId="24EA9298">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▲小型客车租赁服务价格包含车辆租赁价格和司机服务费、餐费、税费，</w:t>
            </w:r>
            <w:r>
              <w:rPr>
                <w:rFonts w:hint="eastAsia" w:ascii="宋体" w:hAnsi="宋体" w:cs="宋体"/>
                <w:b/>
                <w:color w:val="auto"/>
                <w:szCs w:val="21"/>
                <w:highlight w:val="none"/>
              </w:rPr>
              <w:t>不含租赁期间发生的燃料费、电费、停车费、过桥费、过路费等费用，租赁期间发生的以上费用由采购人和中标企业根据实际情况协商确定</w:t>
            </w:r>
            <w:r>
              <w:rPr>
                <w:rFonts w:hint="eastAsia" w:ascii="宋体" w:hAnsi="宋体" w:cs="宋体"/>
                <w:color w:val="auto"/>
                <w:szCs w:val="21"/>
                <w:highlight w:val="none"/>
              </w:rPr>
              <w:t>。各车型以车的类别及车辆购买原价格为划分依据：</w:t>
            </w:r>
          </w:p>
          <w:p w14:paraId="74E0DD3A">
            <w:pPr>
              <w:spacing w:line="340" w:lineRule="exact"/>
              <w:ind w:firstLine="310" w:firstLineChars="147"/>
              <w:rPr>
                <w:rFonts w:ascii="宋体" w:hAnsi="宋体" w:cs="宋体"/>
                <w:b/>
                <w:color w:val="auto"/>
                <w:szCs w:val="21"/>
                <w:highlight w:val="none"/>
              </w:rPr>
            </w:pPr>
            <w:r>
              <w:rPr>
                <w:rFonts w:hint="eastAsia" w:ascii="宋体" w:hAnsi="宋体" w:cs="宋体"/>
                <w:b/>
                <w:color w:val="auto"/>
                <w:szCs w:val="21"/>
                <w:highlight w:val="none"/>
              </w:rPr>
              <w:t>（一）燃油轿车：</w:t>
            </w:r>
          </w:p>
          <w:p w14:paraId="182B9061">
            <w:pPr>
              <w:spacing w:line="340" w:lineRule="exact"/>
              <w:ind w:firstLine="420" w:firstLineChars="200"/>
              <w:rPr>
                <w:rFonts w:ascii="宋体" w:hAnsi="宋体" w:cs="宋体"/>
                <w:color w:val="auto"/>
                <w:szCs w:val="21"/>
                <w:highlight w:val="none"/>
              </w:rPr>
            </w:pPr>
            <w:r>
              <w:rPr>
                <w:rFonts w:ascii="宋体" w:hAnsi="宋体" w:cs="宋体"/>
                <w:color w:val="auto"/>
                <w:szCs w:val="21"/>
                <w:highlight w:val="none"/>
              </w:rPr>
              <w:t>1.A1车型[</w:t>
            </w:r>
            <w:r>
              <w:rPr>
                <w:rFonts w:ascii="宋体" w:hAnsi="宋体" w:cs="宋体"/>
                <w:b/>
                <w:color w:val="auto"/>
                <w:szCs w:val="21"/>
                <w:highlight w:val="none"/>
              </w:rPr>
              <w:t>10万-15万（含）</w:t>
            </w:r>
            <w:r>
              <w:rPr>
                <w:rFonts w:ascii="宋体" w:hAnsi="宋体" w:cs="宋体"/>
                <w:color w:val="auto"/>
                <w:szCs w:val="21"/>
                <w:highlight w:val="none"/>
              </w:rPr>
              <w:t>]:550元/天</w:t>
            </w:r>
          </w:p>
          <w:p w14:paraId="2241FF66">
            <w:pPr>
              <w:spacing w:line="340" w:lineRule="exact"/>
              <w:ind w:firstLine="420" w:firstLineChars="200"/>
              <w:rPr>
                <w:rFonts w:ascii="宋体" w:hAnsi="宋体" w:cs="宋体"/>
                <w:color w:val="auto"/>
                <w:szCs w:val="21"/>
                <w:highlight w:val="none"/>
              </w:rPr>
            </w:pPr>
            <w:r>
              <w:rPr>
                <w:rFonts w:ascii="宋体" w:hAnsi="宋体" w:cs="宋体"/>
                <w:color w:val="auto"/>
                <w:szCs w:val="21"/>
                <w:highlight w:val="none"/>
              </w:rPr>
              <w:t>2.A2车型[</w:t>
            </w:r>
            <w:r>
              <w:rPr>
                <w:rFonts w:ascii="宋体" w:hAnsi="宋体" w:cs="宋体"/>
                <w:b/>
                <w:color w:val="auto"/>
                <w:szCs w:val="21"/>
                <w:highlight w:val="none"/>
              </w:rPr>
              <w:t>15万-18万（含）</w:t>
            </w:r>
            <w:r>
              <w:rPr>
                <w:rFonts w:ascii="宋体" w:hAnsi="宋体" w:cs="宋体"/>
                <w:color w:val="auto"/>
                <w:szCs w:val="21"/>
                <w:highlight w:val="none"/>
              </w:rPr>
              <w:t>]:650元/天</w:t>
            </w:r>
          </w:p>
          <w:p w14:paraId="5138C1AA">
            <w:pPr>
              <w:spacing w:line="340" w:lineRule="exact"/>
              <w:ind w:firstLine="310" w:firstLineChars="147"/>
              <w:rPr>
                <w:rFonts w:ascii="宋体" w:hAnsi="宋体" w:cs="宋体"/>
                <w:b/>
                <w:color w:val="auto"/>
                <w:szCs w:val="21"/>
                <w:highlight w:val="none"/>
              </w:rPr>
            </w:pPr>
            <w:r>
              <w:rPr>
                <w:rFonts w:hint="eastAsia" w:ascii="宋体" w:hAnsi="宋体" w:cs="宋体"/>
                <w:b/>
                <w:color w:val="auto"/>
                <w:szCs w:val="21"/>
                <w:highlight w:val="none"/>
              </w:rPr>
              <w:t>（二）燃油越野车：</w:t>
            </w:r>
          </w:p>
          <w:p w14:paraId="1080AB59">
            <w:pPr>
              <w:spacing w:line="340" w:lineRule="exact"/>
              <w:ind w:firstLine="420" w:firstLineChars="200"/>
              <w:rPr>
                <w:rFonts w:ascii="宋体" w:hAnsi="宋体" w:cs="宋体"/>
                <w:color w:val="auto"/>
                <w:szCs w:val="21"/>
                <w:highlight w:val="none"/>
              </w:rPr>
            </w:pPr>
            <w:r>
              <w:rPr>
                <w:rFonts w:ascii="宋体" w:hAnsi="宋体" w:cs="宋体"/>
                <w:color w:val="auto"/>
                <w:szCs w:val="21"/>
                <w:highlight w:val="none"/>
              </w:rPr>
              <w:t>1.B1车型[</w:t>
            </w:r>
            <w:r>
              <w:rPr>
                <w:rFonts w:ascii="宋体" w:hAnsi="宋体" w:cs="宋体"/>
                <w:b/>
                <w:color w:val="auto"/>
                <w:szCs w:val="21"/>
                <w:highlight w:val="none"/>
              </w:rPr>
              <w:t>12万-18万（含）</w:t>
            </w:r>
            <w:r>
              <w:rPr>
                <w:rFonts w:ascii="宋体" w:hAnsi="宋体" w:cs="宋体"/>
                <w:color w:val="auto"/>
                <w:szCs w:val="21"/>
                <w:highlight w:val="none"/>
              </w:rPr>
              <w:t>]：650元/天</w:t>
            </w:r>
          </w:p>
          <w:p w14:paraId="7423C119">
            <w:pPr>
              <w:spacing w:line="340" w:lineRule="exact"/>
              <w:ind w:firstLine="420" w:firstLineChars="200"/>
              <w:rPr>
                <w:rFonts w:ascii="宋体" w:hAnsi="宋体" w:cs="宋体"/>
                <w:color w:val="auto"/>
                <w:szCs w:val="21"/>
                <w:highlight w:val="none"/>
              </w:rPr>
            </w:pPr>
            <w:r>
              <w:rPr>
                <w:rFonts w:ascii="宋体" w:hAnsi="宋体" w:cs="宋体"/>
                <w:color w:val="auto"/>
                <w:szCs w:val="21"/>
                <w:highlight w:val="none"/>
              </w:rPr>
              <w:t>2.B2车型[</w:t>
            </w:r>
            <w:r>
              <w:rPr>
                <w:rFonts w:ascii="宋体" w:hAnsi="宋体" w:cs="宋体"/>
                <w:b/>
                <w:color w:val="auto"/>
                <w:szCs w:val="21"/>
                <w:highlight w:val="none"/>
              </w:rPr>
              <w:t>18万-25万（含）</w:t>
            </w:r>
            <w:r>
              <w:rPr>
                <w:rFonts w:ascii="宋体" w:hAnsi="宋体" w:cs="宋体"/>
                <w:color w:val="auto"/>
                <w:szCs w:val="21"/>
                <w:highlight w:val="none"/>
              </w:rPr>
              <w:t>]：750元/天</w:t>
            </w:r>
          </w:p>
          <w:p w14:paraId="454A2E21">
            <w:pPr>
              <w:spacing w:line="340" w:lineRule="exact"/>
              <w:ind w:firstLine="310" w:firstLineChars="147"/>
              <w:rPr>
                <w:rFonts w:ascii="宋体" w:hAnsi="宋体" w:cs="宋体"/>
                <w:b/>
                <w:color w:val="auto"/>
                <w:szCs w:val="21"/>
                <w:highlight w:val="none"/>
              </w:rPr>
            </w:pPr>
            <w:r>
              <w:rPr>
                <w:rFonts w:hint="eastAsia" w:ascii="宋体" w:hAnsi="宋体" w:cs="宋体"/>
                <w:b/>
                <w:color w:val="auto"/>
                <w:szCs w:val="21"/>
                <w:highlight w:val="none"/>
              </w:rPr>
              <w:t>（三）燃油商务车：</w:t>
            </w:r>
          </w:p>
          <w:p w14:paraId="5FDFF12D">
            <w:pPr>
              <w:spacing w:line="340" w:lineRule="exact"/>
              <w:ind w:firstLine="420" w:firstLineChars="200"/>
              <w:rPr>
                <w:rFonts w:ascii="宋体" w:hAnsi="宋体" w:cs="宋体"/>
                <w:color w:val="auto"/>
                <w:szCs w:val="21"/>
                <w:highlight w:val="none"/>
              </w:rPr>
            </w:pPr>
            <w:r>
              <w:rPr>
                <w:rFonts w:ascii="宋体" w:hAnsi="宋体" w:cs="宋体"/>
                <w:color w:val="auto"/>
                <w:szCs w:val="21"/>
                <w:highlight w:val="none"/>
              </w:rPr>
              <w:t>1.C1车型[</w:t>
            </w:r>
            <w:r>
              <w:rPr>
                <w:rFonts w:ascii="宋体" w:hAnsi="宋体" w:cs="宋体"/>
                <w:b/>
                <w:color w:val="auto"/>
                <w:szCs w:val="21"/>
                <w:highlight w:val="none"/>
              </w:rPr>
              <w:t>12万-18万（含）</w:t>
            </w:r>
            <w:r>
              <w:rPr>
                <w:rFonts w:ascii="宋体" w:hAnsi="宋体" w:cs="宋体"/>
                <w:color w:val="auto"/>
                <w:szCs w:val="21"/>
                <w:highlight w:val="none"/>
              </w:rPr>
              <w:t>]：750元/天</w:t>
            </w:r>
          </w:p>
          <w:p w14:paraId="15498EF8">
            <w:pPr>
              <w:spacing w:line="340" w:lineRule="exact"/>
              <w:ind w:firstLine="420" w:firstLineChars="200"/>
              <w:rPr>
                <w:rFonts w:ascii="宋体" w:hAnsi="宋体" w:cs="宋体"/>
                <w:color w:val="auto"/>
                <w:szCs w:val="21"/>
                <w:highlight w:val="none"/>
              </w:rPr>
            </w:pPr>
            <w:r>
              <w:rPr>
                <w:rFonts w:ascii="宋体" w:hAnsi="宋体" w:cs="宋体"/>
                <w:color w:val="auto"/>
                <w:szCs w:val="21"/>
                <w:highlight w:val="none"/>
              </w:rPr>
              <w:t>2.C2车型[</w:t>
            </w:r>
            <w:r>
              <w:rPr>
                <w:rFonts w:ascii="宋体" w:hAnsi="宋体" w:cs="宋体"/>
                <w:b/>
                <w:color w:val="auto"/>
                <w:szCs w:val="21"/>
                <w:highlight w:val="none"/>
              </w:rPr>
              <w:t>18万-25万（含）</w:t>
            </w:r>
            <w:r>
              <w:rPr>
                <w:rFonts w:ascii="宋体" w:hAnsi="宋体" w:cs="宋体"/>
                <w:color w:val="auto"/>
                <w:szCs w:val="21"/>
                <w:highlight w:val="none"/>
              </w:rPr>
              <w:t>]：850元/天</w:t>
            </w:r>
          </w:p>
          <w:p w14:paraId="202C6D91">
            <w:pPr>
              <w:spacing w:line="340" w:lineRule="exact"/>
              <w:ind w:firstLine="310" w:firstLineChars="147"/>
              <w:rPr>
                <w:rFonts w:ascii="宋体" w:hAnsi="宋体" w:cs="宋体"/>
                <w:b/>
                <w:color w:val="auto"/>
                <w:szCs w:val="21"/>
                <w:highlight w:val="none"/>
              </w:rPr>
            </w:pPr>
            <w:r>
              <w:rPr>
                <w:rFonts w:hint="eastAsia" w:ascii="宋体" w:hAnsi="宋体" w:cs="宋体"/>
                <w:b/>
                <w:color w:val="auto"/>
                <w:szCs w:val="21"/>
                <w:highlight w:val="none"/>
              </w:rPr>
              <w:t>（四）两座新能源轿车：</w:t>
            </w:r>
          </w:p>
          <w:p w14:paraId="24EB23E8">
            <w:pPr>
              <w:tabs>
                <w:tab w:val="left" w:pos="1440"/>
              </w:tabs>
              <w:spacing w:line="340" w:lineRule="exact"/>
              <w:ind w:firstLine="411" w:firstLineChars="196"/>
              <w:jc w:val="left"/>
              <w:rPr>
                <w:rFonts w:ascii="宋体" w:hAnsi="宋体" w:cs="宋体"/>
                <w:color w:val="auto"/>
                <w:szCs w:val="21"/>
                <w:highlight w:val="none"/>
              </w:rPr>
            </w:pPr>
            <w:r>
              <w:rPr>
                <w:rFonts w:ascii="宋体" w:hAnsi="宋体" w:cs="宋体"/>
                <w:color w:val="auto"/>
                <w:szCs w:val="21"/>
                <w:highlight w:val="none"/>
              </w:rPr>
              <w:t>D车型:300</w:t>
            </w:r>
            <w:r>
              <w:rPr>
                <w:rFonts w:hint="eastAsia" w:ascii="宋体" w:hAnsi="宋体" w:cs="宋体"/>
                <w:color w:val="auto"/>
                <w:szCs w:val="21"/>
                <w:highlight w:val="none"/>
              </w:rPr>
              <w:t>元</w:t>
            </w:r>
            <w:r>
              <w:rPr>
                <w:rFonts w:ascii="宋体" w:hAnsi="宋体" w:cs="宋体"/>
                <w:color w:val="auto"/>
                <w:szCs w:val="21"/>
                <w:highlight w:val="none"/>
              </w:rPr>
              <w:t>/天</w:t>
            </w:r>
          </w:p>
          <w:p w14:paraId="09C47FF4">
            <w:pPr>
              <w:tabs>
                <w:tab w:val="left" w:pos="1440"/>
              </w:tabs>
              <w:spacing w:line="34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（五）四座新能源轿车</w:t>
            </w:r>
          </w:p>
          <w:p w14:paraId="68A60B17">
            <w:pPr>
              <w:tabs>
                <w:tab w:val="left" w:pos="1440"/>
              </w:tabs>
              <w:spacing w:line="340" w:lineRule="exact"/>
              <w:ind w:firstLine="411" w:firstLineChars="196"/>
              <w:jc w:val="left"/>
              <w:rPr>
                <w:rFonts w:ascii="宋体" w:hAnsi="宋体" w:cs="宋体"/>
                <w:color w:val="auto"/>
                <w:szCs w:val="21"/>
                <w:highlight w:val="none"/>
              </w:rPr>
            </w:pPr>
            <w:r>
              <w:rPr>
                <w:rFonts w:ascii="宋体" w:hAnsi="宋体" w:cs="宋体"/>
                <w:color w:val="auto"/>
                <w:szCs w:val="21"/>
                <w:highlight w:val="none"/>
              </w:rPr>
              <w:t>E车型：400</w:t>
            </w:r>
            <w:r>
              <w:rPr>
                <w:rFonts w:hint="eastAsia" w:ascii="宋体" w:hAnsi="宋体" w:cs="宋体"/>
                <w:color w:val="auto"/>
                <w:szCs w:val="21"/>
                <w:highlight w:val="none"/>
              </w:rPr>
              <w:t>元</w:t>
            </w:r>
            <w:r>
              <w:rPr>
                <w:rFonts w:ascii="宋体" w:hAnsi="宋体" w:cs="宋体"/>
                <w:color w:val="auto"/>
                <w:szCs w:val="21"/>
                <w:highlight w:val="none"/>
              </w:rPr>
              <w:t>/天</w:t>
            </w:r>
          </w:p>
          <w:p w14:paraId="3EFA4F6E">
            <w:pPr>
              <w:tabs>
                <w:tab w:val="left" w:pos="1440"/>
              </w:tabs>
              <w:spacing w:line="340" w:lineRule="exact"/>
              <w:ind w:firstLine="316" w:firstLineChars="150"/>
              <w:jc w:val="left"/>
              <w:rPr>
                <w:rFonts w:ascii="宋体" w:hAnsi="宋体" w:cs="宋体"/>
                <w:b/>
                <w:color w:val="auto"/>
                <w:szCs w:val="21"/>
                <w:highlight w:val="none"/>
              </w:rPr>
            </w:pPr>
            <w:r>
              <w:rPr>
                <w:rFonts w:hint="eastAsia" w:ascii="宋体" w:hAnsi="宋体" w:cs="宋体"/>
                <w:b/>
                <w:color w:val="auto"/>
                <w:szCs w:val="21"/>
                <w:highlight w:val="none"/>
              </w:rPr>
              <w:t>（六）五座新能源轿车：</w:t>
            </w:r>
          </w:p>
          <w:p w14:paraId="5D4745AA">
            <w:pPr>
              <w:tabs>
                <w:tab w:val="left" w:pos="1440"/>
              </w:tabs>
              <w:spacing w:line="340" w:lineRule="exact"/>
              <w:ind w:firstLine="411" w:firstLineChars="196"/>
              <w:jc w:val="left"/>
              <w:rPr>
                <w:rFonts w:ascii="宋体" w:hAnsi="宋体" w:cs="宋体"/>
                <w:color w:val="auto"/>
                <w:szCs w:val="21"/>
                <w:highlight w:val="none"/>
              </w:rPr>
            </w:pPr>
            <w:r>
              <w:rPr>
                <w:rFonts w:ascii="宋体" w:hAnsi="宋体" w:cs="宋体"/>
                <w:color w:val="auto"/>
                <w:szCs w:val="21"/>
                <w:highlight w:val="none"/>
              </w:rPr>
              <w:t>F车型:450</w:t>
            </w:r>
            <w:r>
              <w:rPr>
                <w:rFonts w:hint="eastAsia" w:ascii="宋体" w:hAnsi="宋体" w:cs="宋体"/>
                <w:color w:val="auto"/>
                <w:szCs w:val="21"/>
                <w:highlight w:val="none"/>
              </w:rPr>
              <w:t>元</w:t>
            </w:r>
            <w:r>
              <w:rPr>
                <w:rFonts w:ascii="宋体" w:hAnsi="宋体" w:cs="宋体"/>
                <w:color w:val="auto"/>
                <w:szCs w:val="21"/>
                <w:highlight w:val="none"/>
              </w:rPr>
              <w:t>/天</w:t>
            </w:r>
          </w:p>
          <w:p w14:paraId="03F77705">
            <w:pPr>
              <w:tabs>
                <w:tab w:val="left" w:pos="1440"/>
              </w:tabs>
              <w:spacing w:line="340" w:lineRule="exact"/>
              <w:ind w:firstLine="316" w:firstLineChars="150"/>
              <w:jc w:val="left"/>
              <w:rPr>
                <w:rFonts w:ascii="宋体" w:hAnsi="宋体" w:cs="宋体"/>
                <w:b/>
                <w:color w:val="auto"/>
                <w:szCs w:val="21"/>
                <w:highlight w:val="none"/>
              </w:rPr>
            </w:pPr>
            <w:r>
              <w:rPr>
                <w:rFonts w:hint="eastAsia" w:ascii="宋体" w:hAnsi="宋体" w:cs="宋体"/>
                <w:b/>
                <w:color w:val="auto"/>
                <w:szCs w:val="21"/>
                <w:highlight w:val="none"/>
              </w:rPr>
              <w:t>（七）新能源越野车：</w:t>
            </w:r>
          </w:p>
          <w:p w14:paraId="423E1527">
            <w:pPr>
              <w:tabs>
                <w:tab w:val="left" w:pos="1440"/>
              </w:tabs>
              <w:spacing w:line="340" w:lineRule="exact"/>
              <w:ind w:firstLine="411" w:firstLineChars="196"/>
              <w:jc w:val="left"/>
              <w:rPr>
                <w:rFonts w:ascii="宋体" w:hAnsi="宋体" w:cs="宋体"/>
                <w:color w:val="auto"/>
                <w:szCs w:val="21"/>
                <w:highlight w:val="none"/>
              </w:rPr>
            </w:pPr>
            <w:r>
              <w:rPr>
                <w:rFonts w:ascii="宋体" w:hAnsi="宋体" w:cs="宋体"/>
                <w:color w:val="auto"/>
                <w:szCs w:val="21"/>
                <w:highlight w:val="none"/>
              </w:rPr>
              <w:t>G车型：550</w:t>
            </w:r>
            <w:r>
              <w:rPr>
                <w:rFonts w:hint="eastAsia" w:ascii="宋体" w:hAnsi="宋体" w:cs="宋体"/>
                <w:color w:val="auto"/>
                <w:szCs w:val="21"/>
                <w:highlight w:val="none"/>
              </w:rPr>
              <w:t>元</w:t>
            </w:r>
            <w:r>
              <w:rPr>
                <w:rFonts w:ascii="宋体" w:hAnsi="宋体" w:cs="宋体"/>
                <w:color w:val="auto"/>
                <w:szCs w:val="21"/>
                <w:highlight w:val="none"/>
              </w:rPr>
              <w:t>/天</w:t>
            </w:r>
          </w:p>
          <w:p w14:paraId="193D5FDB">
            <w:pPr>
              <w:tabs>
                <w:tab w:val="left" w:pos="1440"/>
              </w:tabs>
              <w:spacing w:line="340" w:lineRule="exact"/>
              <w:ind w:firstLine="420" w:firstLineChars="199"/>
              <w:jc w:val="left"/>
              <w:rPr>
                <w:rFonts w:ascii="宋体" w:hAnsi="宋体" w:cs="宋体"/>
                <w:b/>
                <w:color w:val="auto"/>
                <w:szCs w:val="21"/>
                <w:highlight w:val="none"/>
              </w:rPr>
            </w:pPr>
            <w:r>
              <w:rPr>
                <w:rFonts w:ascii="宋体" w:hAnsi="宋体" w:cs="宋体"/>
                <w:b/>
                <w:color w:val="auto"/>
                <w:szCs w:val="21"/>
                <w:highlight w:val="none"/>
              </w:rPr>
              <w:t>(八）新能源商务车：</w:t>
            </w:r>
          </w:p>
          <w:p w14:paraId="55408854">
            <w:pPr>
              <w:tabs>
                <w:tab w:val="left" w:pos="1440"/>
              </w:tabs>
              <w:spacing w:line="340" w:lineRule="exact"/>
              <w:ind w:firstLine="411" w:firstLineChars="196"/>
              <w:jc w:val="left"/>
              <w:rPr>
                <w:rFonts w:ascii="宋体" w:hAnsi="宋体" w:cs="宋体"/>
                <w:color w:val="auto"/>
                <w:szCs w:val="21"/>
                <w:highlight w:val="none"/>
              </w:rPr>
            </w:pPr>
            <w:r>
              <w:rPr>
                <w:rFonts w:ascii="宋体" w:hAnsi="宋体" w:cs="宋体"/>
                <w:color w:val="auto"/>
                <w:szCs w:val="21"/>
                <w:highlight w:val="none"/>
              </w:rPr>
              <w:t>H车型：650</w:t>
            </w:r>
            <w:r>
              <w:rPr>
                <w:rFonts w:hint="eastAsia" w:ascii="宋体" w:hAnsi="宋体" w:cs="宋体"/>
                <w:color w:val="auto"/>
                <w:szCs w:val="21"/>
                <w:highlight w:val="none"/>
              </w:rPr>
              <w:t>元</w:t>
            </w:r>
            <w:r>
              <w:rPr>
                <w:rFonts w:ascii="宋体" w:hAnsi="宋体" w:cs="宋体"/>
                <w:color w:val="auto"/>
                <w:szCs w:val="21"/>
                <w:highlight w:val="none"/>
              </w:rPr>
              <w:t>/天</w:t>
            </w:r>
          </w:p>
          <w:p w14:paraId="48D0EED1">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▲三、投标报价</w:t>
            </w:r>
          </w:p>
          <w:p w14:paraId="3606A7F5">
            <w:pPr>
              <w:spacing w:line="340" w:lineRule="exact"/>
              <w:ind w:firstLine="420" w:firstLineChars="200"/>
              <w:rPr>
                <w:rFonts w:ascii="宋体" w:hAnsi="宋体"/>
                <w:color w:val="auto"/>
                <w:szCs w:val="22"/>
                <w:highlight w:val="none"/>
              </w:rPr>
            </w:pPr>
            <w:r>
              <w:rPr>
                <w:rFonts w:hint="eastAsia" w:ascii="宋体" w:hAnsi="宋体" w:cs="宋体"/>
                <w:color w:val="auto"/>
                <w:szCs w:val="21"/>
                <w:highlight w:val="none"/>
              </w:rPr>
              <w:t>（一）报价方式：</w:t>
            </w:r>
            <w:r>
              <w:rPr>
                <w:rFonts w:hint="eastAsia" w:ascii="宋体" w:hAnsi="宋体"/>
                <w:color w:val="auto"/>
                <w:szCs w:val="21"/>
                <w:highlight w:val="none"/>
              </w:rPr>
              <w:t>投标人须对自有符合投标要求的所有车型综合采取唯一的</w:t>
            </w:r>
            <w:r>
              <w:rPr>
                <w:rFonts w:hint="eastAsia" w:ascii="宋体" w:hAnsi="宋体"/>
                <w:b/>
                <w:color w:val="auto"/>
                <w:szCs w:val="21"/>
                <w:highlight w:val="none"/>
              </w:rPr>
              <w:t>折扣率进行</w:t>
            </w:r>
            <w:r>
              <w:rPr>
                <w:rFonts w:hint="eastAsia" w:ascii="宋体" w:hAnsi="宋体"/>
                <w:color w:val="auto"/>
                <w:szCs w:val="21"/>
                <w:highlight w:val="none"/>
              </w:rPr>
              <w:t>报价方式，</w:t>
            </w:r>
            <w:r>
              <w:rPr>
                <w:rFonts w:hint="eastAsia" w:ascii="Calibri" w:hAnsi="Calibri"/>
                <w:b/>
                <w:bCs/>
                <w:color w:val="auto"/>
                <w:szCs w:val="21"/>
                <w:highlight w:val="none"/>
                <w:u w:val="single"/>
              </w:rPr>
              <w:t>由投标人根据市场价格及自我承受能力按</w:t>
            </w:r>
            <w:r>
              <w:rPr>
                <w:rFonts w:hint="eastAsia" w:ascii="宋体" w:hAnsi="宋体"/>
                <w:b/>
                <w:bCs/>
                <w:color w:val="auto"/>
                <w:szCs w:val="22"/>
                <w:highlight w:val="none"/>
                <w:u w:val="single"/>
              </w:rPr>
              <w:t>折扣率</w:t>
            </w:r>
            <w:r>
              <w:rPr>
                <w:rFonts w:hint="eastAsia" w:ascii="Calibri" w:hAnsi="Calibri"/>
                <w:b/>
                <w:bCs/>
                <w:color w:val="auto"/>
                <w:szCs w:val="21"/>
                <w:highlight w:val="none"/>
                <w:u w:val="single"/>
              </w:rPr>
              <w:t>进行报价</w:t>
            </w:r>
            <w:r>
              <w:rPr>
                <w:rFonts w:hint="eastAsia" w:ascii="Calibri" w:hAnsi="宋体" w:cs="Courier New"/>
                <w:color w:val="auto"/>
                <w:szCs w:val="21"/>
                <w:highlight w:val="none"/>
              </w:rPr>
              <w:t>，</w:t>
            </w:r>
            <w:r>
              <w:rPr>
                <w:rFonts w:hint="eastAsia" w:ascii="宋体" w:hAnsi="宋体"/>
                <w:color w:val="auto"/>
                <w:szCs w:val="22"/>
                <w:highlight w:val="none"/>
              </w:rPr>
              <w:t>本项目投标报价</w:t>
            </w:r>
            <w:r>
              <w:rPr>
                <w:rFonts w:hint="eastAsia" w:ascii="宋体" w:hAnsi="宋体"/>
                <w:b/>
                <w:bCs/>
                <w:color w:val="auto"/>
                <w:szCs w:val="22"/>
                <w:highlight w:val="none"/>
                <w:u w:val="single"/>
              </w:rPr>
              <w:t>的</w:t>
            </w:r>
            <w:r>
              <w:rPr>
                <w:rFonts w:hint="eastAsia" w:ascii="宋体" w:hAnsi="宋体"/>
                <w:color w:val="auto"/>
                <w:szCs w:val="22"/>
                <w:highlight w:val="none"/>
              </w:rPr>
              <w:t>有效范围：</w:t>
            </w:r>
            <w:r>
              <w:rPr>
                <w:rFonts w:ascii="宋体" w:hAnsi="宋体"/>
                <w:color w:val="auto"/>
                <w:szCs w:val="22"/>
                <w:highlight w:val="none"/>
              </w:rPr>
              <w:t xml:space="preserve"> </w:t>
            </w:r>
            <w:r>
              <w:rPr>
                <w:rFonts w:ascii="Calibri" w:hAnsi="Calibri"/>
                <w:b/>
                <w:color w:val="auto"/>
                <w:szCs w:val="21"/>
                <w:highlight w:val="none"/>
              </w:rPr>
              <w:t>0%</w:t>
            </w:r>
            <w:r>
              <w:rPr>
                <w:rFonts w:ascii="宋体" w:hAnsi="宋体" w:cs="宋体"/>
                <w:b/>
                <w:color w:val="auto"/>
                <w:kern w:val="0"/>
                <w:szCs w:val="21"/>
                <w:highlight w:val="none"/>
              </w:rPr>
              <w:t>&lt;</w:t>
            </w:r>
            <w:r>
              <w:rPr>
                <w:rFonts w:hint="eastAsia" w:ascii="宋体" w:hAnsi="宋体"/>
                <w:b/>
                <w:bCs/>
                <w:color w:val="auto"/>
                <w:szCs w:val="21"/>
                <w:highlight w:val="none"/>
              </w:rPr>
              <w:t>折扣率</w:t>
            </w:r>
            <w:r>
              <w:rPr>
                <w:rFonts w:hint="eastAsia" w:ascii="宋体" w:hAnsi="宋体" w:cs="宋体"/>
                <w:b/>
                <w:color w:val="auto"/>
                <w:kern w:val="0"/>
                <w:szCs w:val="21"/>
                <w:highlight w:val="none"/>
              </w:rPr>
              <w:t>≤</w:t>
            </w:r>
            <w:r>
              <w:rPr>
                <w:rFonts w:ascii="宋体" w:hAnsi="宋体" w:cs="宋体"/>
                <w:b/>
                <w:color w:val="auto"/>
                <w:kern w:val="0"/>
                <w:szCs w:val="21"/>
                <w:highlight w:val="none"/>
              </w:rPr>
              <w:t xml:space="preserve">100% </w:t>
            </w:r>
            <w:r>
              <w:rPr>
                <w:rFonts w:hint="eastAsia" w:ascii="宋体" w:hAnsi="宋体"/>
                <w:color w:val="auto"/>
                <w:szCs w:val="22"/>
                <w:highlight w:val="none"/>
              </w:rPr>
              <w:t>。</w:t>
            </w:r>
            <w:r>
              <w:rPr>
                <w:rFonts w:hint="eastAsia" w:ascii="宋体" w:hAnsi="宋体"/>
                <w:b/>
                <w:color w:val="auto"/>
                <w:szCs w:val="21"/>
                <w:highlight w:val="none"/>
              </w:rPr>
              <w:t>实际租赁价格＝政府采购上控价格×折扣率</w:t>
            </w:r>
            <w:r>
              <w:rPr>
                <w:rFonts w:hint="eastAsia" w:ascii="宋体" w:hAnsi="宋体"/>
                <w:color w:val="auto"/>
                <w:szCs w:val="22"/>
                <w:highlight w:val="none"/>
              </w:rPr>
              <w:t>。</w:t>
            </w:r>
          </w:p>
          <w:p w14:paraId="19B33909">
            <w:pPr>
              <w:spacing w:line="340" w:lineRule="exact"/>
              <w:ind w:firstLine="420" w:firstLineChars="200"/>
              <w:rPr>
                <w:rFonts w:ascii="宋体" w:hAnsi="宋体"/>
                <w:b/>
                <w:color w:val="auto"/>
                <w:szCs w:val="21"/>
                <w:highlight w:val="none"/>
              </w:rPr>
            </w:pPr>
            <w:r>
              <w:rPr>
                <w:rFonts w:hint="eastAsia" w:ascii="宋体" w:hAnsi="宋体"/>
                <w:color w:val="auto"/>
                <w:szCs w:val="22"/>
                <w:highlight w:val="none"/>
              </w:rPr>
              <w:t>举例：</w:t>
            </w:r>
            <w:r>
              <w:rPr>
                <w:rFonts w:ascii="宋体" w:hAnsi="宋体"/>
                <w:color w:val="auto"/>
                <w:szCs w:val="22"/>
                <w:highlight w:val="none"/>
              </w:rPr>
              <w:t>某投标</w:t>
            </w:r>
            <w:r>
              <w:rPr>
                <w:rFonts w:hint="eastAsia" w:ascii="宋体" w:hAnsi="宋体"/>
                <w:color w:val="auto"/>
                <w:szCs w:val="22"/>
                <w:highlight w:val="none"/>
              </w:rPr>
              <w:t>人折扣</w:t>
            </w:r>
            <w:r>
              <w:rPr>
                <w:rFonts w:ascii="宋体" w:hAnsi="宋体"/>
                <w:color w:val="auto"/>
                <w:szCs w:val="22"/>
                <w:highlight w:val="none"/>
              </w:rPr>
              <w:t>率报价为90%，</w:t>
            </w:r>
            <w:r>
              <w:rPr>
                <w:rFonts w:ascii="宋体" w:hAnsi="宋体"/>
                <w:color w:val="auto"/>
                <w:szCs w:val="21"/>
                <w:highlight w:val="none"/>
              </w:rPr>
              <w:t>.A1</w:t>
            </w:r>
            <w:r>
              <w:rPr>
                <w:rFonts w:hint="eastAsia" w:ascii="宋体" w:hAnsi="宋体"/>
                <w:color w:val="auto"/>
                <w:szCs w:val="21"/>
                <w:highlight w:val="none"/>
              </w:rPr>
              <w:t>车型</w:t>
            </w:r>
            <w:r>
              <w:rPr>
                <w:rFonts w:ascii="宋体" w:hAnsi="宋体"/>
                <w:color w:val="auto"/>
                <w:szCs w:val="21"/>
                <w:highlight w:val="none"/>
              </w:rPr>
              <w:t>[</w:t>
            </w:r>
            <w:r>
              <w:rPr>
                <w:rFonts w:ascii="宋体" w:hAnsi="宋体"/>
                <w:b/>
                <w:color w:val="auto"/>
                <w:szCs w:val="21"/>
                <w:highlight w:val="none"/>
              </w:rPr>
              <w:t>10</w:t>
            </w:r>
            <w:r>
              <w:rPr>
                <w:rFonts w:hint="eastAsia" w:ascii="宋体" w:hAnsi="宋体"/>
                <w:b/>
                <w:color w:val="auto"/>
                <w:szCs w:val="21"/>
                <w:highlight w:val="none"/>
              </w:rPr>
              <w:t>万</w:t>
            </w:r>
            <w:r>
              <w:rPr>
                <w:rFonts w:ascii="宋体" w:hAnsi="宋体"/>
                <w:b/>
                <w:color w:val="auto"/>
                <w:szCs w:val="21"/>
                <w:highlight w:val="none"/>
              </w:rPr>
              <w:t>-15</w:t>
            </w:r>
            <w:r>
              <w:rPr>
                <w:rFonts w:hint="eastAsia" w:ascii="宋体" w:hAnsi="宋体"/>
                <w:b/>
                <w:color w:val="auto"/>
                <w:szCs w:val="21"/>
                <w:highlight w:val="none"/>
              </w:rPr>
              <w:t>万（含）</w:t>
            </w:r>
            <w:r>
              <w:rPr>
                <w:rFonts w:ascii="宋体" w:hAnsi="宋体"/>
                <w:color w:val="auto"/>
                <w:szCs w:val="21"/>
                <w:highlight w:val="none"/>
              </w:rPr>
              <w:t>]</w:t>
            </w:r>
            <w:r>
              <w:rPr>
                <w:rFonts w:ascii="宋体" w:hAnsi="宋体"/>
                <w:b/>
                <w:color w:val="auto"/>
                <w:szCs w:val="21"/>
                <w:highlight w:val="none"/>
              </w:rPr>
              <w:t xml:space="preserve"> </w:t>
            </w:r>
            <w:r>
              <w:rPr>
                <w:rFonts w:hint="eastAsia" w:ascii="宋体" w:hAnsi="宋体"/>
                <w:b/>
                <w:color w:val="auto"/>
                <w:szCs w:val="21"/>
                <w:highlight w:val="none"/>
              </w:rPr>
              <w:t>燃油轿车的</w:t>
            </w:r>
            <w:r>
              <w:rPr>
                <w:rFonts w:ascii="宋体" w:hAnsi="宋体"/>
                <w:b/>
                <w:color w:val="auto"/>
                <w:szCs w:val="21"/>
                <w:highlight w:val="none"/>
              </w:rPr>
              <w:t>实际租赁价格=</w:t>
            </w:r>
            <w:r>
              <w:rPr>
                <w:rFonts w:ascii="宋体" w:hAnsi="宋体"/>
                <w:color w:val="auto"/>
                <w:szCs w:val="21"/>
                <w:highlight w:val="none"/>
              </w:rPr>
              <w:t>550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r>
              <w:rPr>
                <w:rFonts w:hint="eastAsia" w:ascii="宋体" w:hAnsi="宋体"/>
                <w:b/>
                <w:color w:val="auto"/>
                <w:szCs w:val="21"/>
                <w:highlight w:val="none"/>
              </w:rPr>
              <w:t>×</w:t>
            </w:r>
            <w:r>
              <w:rPr>
                <w:rFonts w:ascii="宋体" w:hAnsi="宋体"/>
                <w:b/>
                <w:color w:val="auto"/>
                <w:szCs w:val="21"/>
                <w:highlight w:val="none"/>
              </w:rPr>
              <w:t xml:space="preserve">90% </w:t>
            </w:r>
            <w:r>
              <w:rPr>
                <w:rFonts w:hint="eastAsia" w:ascii="宋体" w:hAnsi="宋体"/>
                <w:b/>
                <w:color w:val="auto"/>
                <w:szCs w:val="21"/>
                <w:highlight w:val="none"/>
              </w:rPr>
              <w:t>，以</w:t>
            </w:r>
            <w:r>
              <w:rPr>
                <w:rFonts w:ascii="宋体" w:hAnsi="宋体"/>
                <w:b/>
                <w:color w:val="auto"/>
                <w:szCs w:val="21"/>
                <w:highlight w:val="none"/>
              </w:rPr>
              <w:t>此类</w:t>
            </w:r>
            <w:r>
              <w:rPr>
                <w:rFonts w:hint="eastAsia" w:ascii="宋体" w:hAnsi="宋体"/>
                <w:b/>
                <w:color w:val="auto"/>
                <w:szCs w:val="21"/>
                <w:highlight w:val="none"/>
              </w:rPr>
              <w:t>推</w:t>
            </w:r>
          </w:p>
          <w:p w14:paraId="65E863CB">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（二）供应商对所有车型的投标价格不能超过政府采购上控价格，否则视为无效投标价格。</w:t>
            </w:r>
          </w:p>
          <w:p w14:paraId="79EDD702">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（三）供应商的报价应包含履行合同所有服务内容所需的费用及相关保险费用和各项税金。</w:t>
            </w:r>
          </w:p>
          <w:p w14:paraId="41320645">
            <w:pPr>
              <w:spacing w:line="3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四、服务要求</w:t>
            </w:r>
          </w:p>
          <w:p w14:paraId="1330DA77">
            <w:pPr>
              <w:spacing w:line="340" w:lineRule="exact"/>
              <w:ind w:firstLine="210" w:firstLineChars="100"/>
              <w:rPr>
                <w:rFonts w:ascii="宋体" w:hAnsi="宋体" w:cs="宋体"/>
                <w:color w:val="auto"/>
                <w:szCs w:val="21"/>
                <w:highlight w:val="none"/>
              </w:rPr>
            </w:pPr>
            <w:r>
              <w:rPr>
                <w:rFonts w:ascii="宋体" w:hAnsi="宋体" w:cs="宋体"/>
                <w:color w:val="auto"/>
                <w:szCs w:val="21"/>
                <w:highlight w:val="none"/>
              </w:rPr>
              <w:t>1.开展上门送车、收车服务。各标段竞标</w:t>
            </w:r>
            <w:r>
              <w:rPr>
                <w:rFonts w:hint="eastAsia" w:ascii="宋体" w:hAnsi="宋体" w:cs="宋体"/>
                <w:b/>
                <w:bCs/>
                <w:color w:val="auto"/>
                <w:szCs w:val="21"/>
                <w:highlight w:val="none"/>
              </w:rPr>
              <w:t>供应商须在各标段指定地市（南宁市、崇左市、柳州市、来宾市、桂林市、梧州市、贺州市、玉林市、贵港市、百色市、钦州市、河池市、北海市、防城港市）提供租车服务</w:t>
            </w:r>
            <w:r>
              <w:rPr>
                <w:rFonts w:hint="eastAsia" w:ascii="宋体" w:hAnsi="宋体" w:cs="宋体"/>
                <w:color w:val="auto"/>
                <w:szCs w:val="21"/>
                <w:highlight w:val="none"/>
              </w:rPr>
              <w:t>，接到租车通知时将租赁车辆送达指定区域，将已完成租赁任务的车辆开展上门收回服务。</w:t>
            </w:r>
          </w:p>
          <w:p w14:paraId="3FD65C9E">
            <w:pPr>
              <w:spacing w:line="340" w:lineRule="exact"/>
              <w:ind w:firstLine="210" w:firstLineChars="100"/>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租赁业务配备信息化管理。在中标后将公务租车业务承诺按照在公务租赁服务车辆上安装</w:t>
            </w:r>
            <w:r>
              <w:rPr>
                <w:rFonts w:ascii="宋体" w:hAnsi="宋体" w:cs="宋体"/>
                <w:color w:val="auto"/>
                <w:szCs w:val="21"/>
                <w:highlight w:val="none"/>
              </w:rPr>
              <w:t>GPS或北斗终端。</w:t>
            </w:r>
          </w:p>
          <w:p w14:paraId="577F4B83">
            <w:pPr>
              <w:spacing w:line="340" w:lineRule="exact"/>
              <w:ind w:firstLine="315" w:firstLineChars="150"/>
              <w:rPr>
                <w:rFonts w:ascii="宋体" w:hAnsi="宋体" w:cs="宋体"/>
                <w:color w:val="auto"/>
                <w:szCs w:val="21"/>
                <w:highlight w:val="none"/>
              </w:rPr>
            </w:pPr>
            <w:r>
              <w:rPr>
                <w:rFonts w:ascii="宋体" w:hAnsi="宋体" w:cs="宋体"/>
                <w:color w:val="auto"/>
                <w:szCs w:val="21"/>
                <w:highlight w:val="none"/>
              </w:rPr>
              <w:t xml:space="preserve">3.短时租赁服务及报价机制。面向各用户提供短时租赁用车服务（半天或小于半天），接送机场、火车站、提供短时租赁服务方案、价位及核算方式； </w:t>
            </w:r>
          </w:p>
          <w:p w14:paraId="48048F61">
            <w:pPr>
              <w:spacing w:line="340" w:lineRule="exact"/>
              <w:ind w:firstLine="210" w:firstLineChars="100"/>
              <w:rPr>
                <w:rFonts w:ascii="宋体" w:hAns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车辆保险险种。除国家规定的必保险种，投标商应额外为本次政府采购提供服务的车辆投保其他商业险种，包括但不限于机动车交通事故责任强制保险、车上人员责任险（保险金额</w:t>
            </w:r>
            <w:r>
              <w:rPr>
                <w:rFonts w:hint="eastAsia" w:ascii="宋体" w:hAnsi="宋体" w:cs="宋体"/>
                <w:color w:val="auto"/>
                <w:szCs w:val="21"/>
                <w:highlight w:val="none"/>
                <w:u w:val="single"/>
              </w:rPr>
              <w:t>不少于</w:t>
            </w:r>
            <w:r>
              <w:rPr>
                <w:rFonts w:ascii="宋体" w:hAnsi="宋体" w:cs="宋体"/>
                <w:color w:val="auto"/>
                <w:szCs w:val="21"/>
                <w:highlight w:val="none"/>
                <w:u w:val="single"/>
              </w:rPr>
              <w:t>10万</w:t>
            </w:r>
            <w:r>
              <w:rPr>
                <w:rFonts w:hint="eastAsia" w:ascii="宋体" w:hAnsi="宋体" w:cs="宋体"/>
                <w:color w:val="auto"/>
                <w:szCs w:val="21"/>
                <w:highlight w:val="none"/>
                <w:u w:val="single"/>
              </w:rPr>
              <w:t>元</w:t>
            </w:r>
            <w:r>
              <w:rPr>
                <w:rFonts w:hint="eastAsia" w:ascii="宋体" w:hAnsi="宋体" w:cs="宋体"/>
                <w:color w:val="auto"/>
                <w:szCs w:val="21"/>
                <w:highlight w:val="none"/>
              </w:rPr>
              <w:t>）、驾乘人员意外伤害险（</w:t>
            </w:r>
            <w:r>
              <w:rPr>
                <w:rFonts w:hint="eastAsia" w:ascii="宋体" w:hAnsi="宋体" w:cs="宋体"/>
                <w:color w:val="auto"/>
                <w:szCs w:val="21"/>
                <w:highlight w:val="none"/>
                <w:u w:val="single"/>
              </w:rPr>
              <w:t>每座位</w:t>
            </w:r>
            <w:r>
              <w:rPr>
                <w:rFonts w:ascii="宋体" w:hAnsi="宋体" w:cs="宋体"/>
                <w:color w:val="auto"/>
                <w:szCs w:val="21"/>
                <w:highlight w:val="none"/>
                <w:u w:val="single"/>
              </w:rPr>
              <w:t>10万</w:t>
            </w:r>
            <w:r>
              <w:rPr>
                <w:rFonts w:hint="eastAsia" w:ascii="宋体" w:hAnsi="宋体" w:cs="宋体"/>
                <w:color w:val="auto"/>
                <w:szCs w:val="21"/>
                <w:highlight w:val="none"/>
                <w:u w:val="single"/>
              </w:rPr>
              <w:t>元以上</w:t>
            </w:r>
            <w:r>
              <w:rPr>
                <w:rFonts w:hint="eastAsia" w:ascii="宋体" w:hAnsi="宋体" w:cs="宋体"/>
                <w:color w:val="auto"/>
                <w:szCs w:val="21"/>
                <w:highlight w:val="none"/>
              </w:rPr>
              <w:t>）、第三者责任险</w:t>
            </w:r>
            <w:r>
              <w:rPr>
                <w:rFonts w:ascii="宋体" w:hAnsi="宋体" w:cs="宋体"/>
                <w:color w:val="auto"/>
                <w:szCs w:val="21"/>
                <w:highlight w:val="none"/>
              </w:rPr>
              <w:t>(保险金额</w:t>
            </w:r>
            <w:r>
              <w:rPr>
                <w:rFonts w:hint="eastAsia" w:ascii="宋体" w:hAnsi="宋体" w:cs="宋体"/>
                <w:color w:val="auto"/>
                <w:szCs w:val="21"/>
                <w:highlight w:val="none"/>
                <w:u w:val="single"/>
              </w:rPr>
              <w:t>不少于</w:t>
            </w:r>
            <w:r>
              <w:rPr>
                <w:rFonts w:ascii="宋体" w:hAnsi="宋体" w:cs="宋体"/>
                <w:color w:val="auto"/>
                <w:szCs w:val="21"/>
                <w:highlight w:val="none"/>
                <w:u w:val="single"/>
              </w:rPr>
              <w:t>200</w:t>
            </w:r>
            <w:r>
              <w:rPr>
                <w:rFonts w:hint="eastAsia" w:ascii="宋体" w:hAnsi="宋体" w:cs="宋体"/>
                <w:color w:val="auto"/>
                <w:szCs w:val="21"/>
                <w:highlight w:val="none"/>
                <w:u w:val="single"/>
              </w:rPr>
              <w:t>万元</w:t>
            </w:r>
            <w:r>
              <w:rPr>
                <w:rFonts w:ascii="宋体" w:hAnsi="宋体" w:cs="宋体"/>
                <w:color w:val="auto"/>
                <w:szCs w:val="21"/>
                <w:highlight w:val="none"/>
              </w:rPr>
              <w:t>)、车损险、盗抢险、自燃损失险、发动机涉水损失险、充电保险不计</w:t>
            </w:r>
            <w:r>
              <w:rPr>
                <w:rFonts w:hint="eastAsia" w:ascii="宋体" w:hAnsi="宋体" w:cs="宋体"/>
                <w:b/>
                <w:bCs/>
                <w:color w:val="auto"/>
                <w:szCs w:val="21"/>
                <w:highlight w:val="none"/>
              </w:rPr>
              <w:t>免赔险</w:t>
            </w:r>
            <w:r>
              <w:rPr>
                <w:rFonts w:hint="eastAsia" w:ascii="宋体" w:hAnsi="宋体" w:cs="宋体"/>
                <w:color w:val="auto"/>
                <w:szCs w:val="21"/>
                <w:highlight w:val="none"/>
              </w:rPr>
              <w:t>等。</w:t>
            </w:r>
          </w:p>
          <w:p w14:paraId="796AC058">
            <w:pPr>
              <w:spacing w:line="340" w:lineRule="exact"/>
              <w:ind w:firstLine="210" w:firstLineChars="100"/>
              <w:rPr>
                <w:rFonts w:ascii="宋体" w:hAnsi="宋体" w:cs="宋体"/>
                <w:color w:val="auto"/>
                <w:szCs w:val="21"/>
                <w:highlight w:val="none"/>
              </w:rPr>
            </w:pPr>
            <w:r>
              <w:rPr>
                <w:rFonts w:ascii="宋体" w:hAnsi="宋体" w:cs="宋体"/>
                <w:color w:val="auto"/>
                <w:szCs w:val="21"/>
                <w:highlight w:val="none"/>
              </w:rPr>
              <w:t>5.应急救援方案（包含但不限于以下内容）。车辆租赁期间，中标人接到使用单位关于车辆在广西区内故障或交通事故的通知后，立即响应，2小时到达现场处理；接到使用单位关于车辆在广西区内外故障或交通事故的通知后，立即响应，积极协助使用单位处理事故。</w:t>
            </w:r>
          </w:p>
          <w:p w14:paraId="40884C41">
            <w:pPr>
              <w:spacing w:line="340" w:lineRule="exact"/>
              <w:ind w:firstLine="210" w:firstLineChars="100"/>
              <w:rPr>
                <w:rFonts w:ascii="宋体" w:hAnsi="宋体" w:cs="宋体"/>
                <w:color w:val="auto"/>
                <w:szCs w:val="21"/>
                <w:highlight w:val="none"/>
              </w:rPr>
            </w:pPr>
            <w:bookmarkStart w:id="51" w:name="OLE_LINK2"/>
            <w:bookmarkStart w:id="52" w:name="OLE_LINK1"/>
            <w:r>
              <w:rPr>
                <w:rFonts w:ascii="宋体" w:hAnsi="宋体" w:cs="宋体"/>
                <w:color w:val="auto"/>
                <w:szCs w:val="21"/>
                <w:highlight w:val="none"/>
              </w:rPr>
              <w:t>6.因本单位业务涉及野外作业较多，工作强度较大，企业投入驾驶员年龄不超过50岁，固定人数不低于5人，驾龄：5年（含）及以上。（响应文件中提供拟投入项目人员名单包含姓名、身份证号及联系方式，并提供驾驶证复印件盖公章；成交供应商签订合同后提供与司机的劳动合同或者</w:t>
            </w:r>
            <w:r>
              <w:rPr>
                <w:rFonts w:hint="eastAsia" w:ascii="宋体" w:hAnsi="宋体" w:cs="宋体"/>
                <w:color w:val="auto"/>
                <w:szCs w:val="21"/>
                <w:highlight w:val="none"/>
              </w:rPr>
              <w:t>社保证明材料）</w:t>
            </w:r>
            <w:bookmarkEnd w:id="51"/>
            <w:bookmarkEnd w:id="52"/>
          </w:p>
        </w:tc>
        <w:tc>
          <w:tcPr>
            <w:tcW w:w="1195" w:type="dxa"/>
            <w:tcMar>
              <w:top w:w="0" w:type="dxa"/>
              <w:left w:w="108" w:type="dxa"/>
              <w:bottom w:w="0" w:type="dxa"/>
              <w:right w:w="108" w:type="dxa"/>
            </w:tcMar>
            <w:vAlign w:val="center"/>
          </w:tcPr>
          <w:p w14:paraId="5E8FEA24">
            <w:pPr>
              <w:tabs>
                <w:tab w:val="left" w:pos="1440"/>
              </w:tabs>
              <w:spacing w:line="380" w:lineRule="exact"/>
              <w:jc w:val="left"/>
              <w:rPr>
                <w:rFonts w:ascii="宋体" w:hAnsi="宋体" w:cs="宋体"/>
                <w:bCs/>
                <w:color w:val="auto"/>
                <w:kern w:val="0"/>
                <w:szCs w:val="21"/>
                <w:highlight w:val="none"/>
              </w:rPr>
            </w:pPr>
          </w:p>
        </w:tc>
      </w:tr>
      <w:tr w14:paraId="2FBD8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58" w:hRule="atLeast"/>
          <w:jc w:val="center"/>
        </w:trPr>
        <w:tc>
          <w:tcPr>
            <w:tcW w:w="483" w:type="dxa"/>
            <w:tcMar>
              <w:top w:w="0" w:type="dxa"/>
              <w:left w:w="108" w:type="dxa"/>
              <w:bottom w:w="0" w:type="dxa"/>
              <w:right w:w="108" w:type="dxa"/>
            </w:tcMar>
            <w:vAlign w:val="center"/>
          </w:tcPr>
          <w:p w14:paraId="380BB9B5">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商务条款</w:t>
            </w:r>
          </w:p>
        </w:tc>
        <w:tc>
          <w:tcPr>
            <w:tcW w:w="9037" w:type="dxa"/>
            <w:gridSpan w:val="4"/>
          </w:tcPr>
          <w:p w14:paraId="2988B736">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一、合同签订期：自中标通知书发出之日起</w:t>
            </w:r>
            <w:r>
              <w:rPr>
                <w:rFonts w:hint="eastAsia" w:ascii="宋体" w:hAnsi="宋体" w:cs="宋体"/>
                <w:bCs/>
                <w:color w:val="auto"/>
                <w:kern w:val="0"/>
                <w:szCs w:val="21"/>
                <w:highlight w:val="none"/>
                <w:u w:val="single"/>
              </w:rPr>
              <w:t> </w:t>
            </w:r>
            <w:r>
              <w:rPr>
                <w:rFonts w:ascii="宋体" w:hAnsi="宋体" w:cs="宋体"/>
                <w:bCs/>
                <w:color w:val="auto"/>
                <w:kern w:val="0"/>
                <w:szCs w:val="21"/>
                <w:highlight w:val="none"/>
                <w:u w:val="single"/>
              </w:rPr>
              <w:t>25</w:t>
            </w:r>
            <w:r>
              <w:rPr>
                <w:rFonts w:hint="eastAsia" w:ascii="宋体" w:hAnsi="宋体" w:cs="宋体"/>
                <w:bCs/>
                <w:color w:val="auto"/>
                <w:kern w:val="0"/>
                <w:szCs w:val="21"/>
                <w:highlight w:val="none"/>
              </w:rPr>
              <w:t>个工作日内</w:t>
            </w:r>
          </w:p>
          <w:p w14:paraId="0F63EC1A">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▲二、服务时间：</w:t>
            </w:r>
            <w:r>
              <w:rPr>
                <w:rFonts w:hint="eastAsia" w:ascii="宋体" w:hAnsi="宋体" w:cs="宋体"/>
                <w:b/>
                <w:bCs/>
                <w:color w:val="auto"/>
                <w:kern w:val="0"/>
                <w:szCs w:val="21"/>
                <w:highlight w:val="none"/>
              </w:rPr>
              <w:t>自合同签订之</w:t>
            </w:r>
            <w:r>
              <w:rPr>
                <w:rFonts w:hint="eastAsia" w:ascii="宋体" w:hAnsi="宋体" w:cs="宋体"/>
                <w:b/>
                <w:bCs/>
                <w:color w:val="auto"/>
                <w:kern w:val="0"/>
                <w:szCs w:val="21"/>
                <w:highlight w:val="none"/>
                <w:u w:val="single"/>
              </w:rPr>
              <w:t>日起一年</w:t>
            </w:r>
            <w:r>
              <w:rPr>
                <w:rFonts w:hint="eastAsia" w:ascii="宋体" w:hAnsi="宋体" w:cs="宋体"/>
                <w:bCs/>
                <w:color w:val="auto"/>
                <w:kern w:val="0"/>
                <w:szCs w:val="21"/>
                <w:highlight w:val="none"/>
              </w:rPr>
              <w:t> </w:t>
            </w:r>
          </w:p>
          <w:p w14:paraId="1C09E93D">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三、服务地点：</w:t>
            </w:r>
            <w:r>
              <w:rPr>
                <w:rFonts w:hint="eastAsia" w:ascii="宋体" w:hAnsi="宋体" w:cs="宋体"/>
                <w:b/>
                <w:bCs/>
                <w:color w:val="auto"/>
                <w:szCs w:val="21"/>
                <w:highlight w:val="none"/>
              </w:rPr>
              <w:t>各标段指定地市。</w:t>
            </w:r>
            <w:r>
              <w:rPr>
                <w:rFonts w:hint="eastAsia" w:ascii="宋体" w:hAnsi="宋体" w:cs="宋体"/>
                <w:bCs/>
                <w:color w:val="auto"/>
                <w:kern w:val="0"/>
                <w:szCs w:val="21"/>
                <w:highlight w:val="none"/>
              </w:rPr>
              <w:t>       </w:t>
            </w:r>
          </w:p>
          <w:p w14:paraId="0DE0D75B">
            <w:pPr>
              <w:tabs>
                <w:tab w:val="left" w:pos="1440"/>
              </w:tabs>
              <w:spacing w:line="3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四、售后服务要求：</w:t>
            </w:r>
          </w:p>
          <w:p w14:paraId="65413E28">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1、质量保证期：</w:t>
            </w:r>
            <w:r>
              <w:rPr>
                <w:rFonts w:hint="eastAsia" w:ascii="宋体" w:hAnsi="宋体" w:cs="宋体"/>
                <w:b/>
                <w:bCs/>
                <w:color w:val="auto"/>
                <w:kern w:val="0"/>
                <w:szCs w:val="21"/>
                <w:highlight w:val="none"/>
              </w:rPr>
              <w:t>自合同签订之</w:t>
            </w:r>
            <w:r>
              <w:rPr>
                <w:rFonts w:hint="eastAsia" w:ascii="宋体" w:hAnsi="宋体" w:cs="宋体"/>
                <w:b/>
                <w:bCs/>
                <w:color w:val="auto"/>
                <w:kern w:val="0"/>
                <w:szCs w:val="21"/>
                <w:highlight w:val="none"/>
                <w:u w:val="single"/>
              </w:rPr>
              <w:t>日起一年</w:t>
            </w:r>
            <w:r>
              <w:rPr>
                <w:rFonts w:hint="eastAsia" w:ascii="宋体" w:hAnsi="宋体" w:cs="宋体"/>
                <w:bCs/>
                <w:color w:val="auto"/>
                <w:kern w:val="0"/>
                <w:szCs w:val="21"/>
                <w:highlight w:val="none"/>
              </w:rPr>
              <w:t> </w:t>
            </w:r>
          </w:p>
          <w:p w14:paraId="33A90463">
            <w:pPr>
              <w:tabs>
                <w:tab w:val="left" w:pos="1440"/>
              </w:tabs>
              <w:spacing w:line="380" w:lineRule="exact"/>
              <w:jc w:val="left"/>
              <w:rPr>
                <w:rFonts w:ascii="宋体" w:hAnsi="宋体" w:cs="宋体"/>
                <w:bCs/>
                <w:color w:val="auto"/>
                <w:kern w:val="0"/>
                <w:szCs w:val="21"/>
                <w:highlight w:val="none"/>
              </w:rPr>
            </w:pPr>
            <w:r>
              <w:rPr>
                <w:rFonts w:ascii="宋体" w:hAnsi="宋体" w:cs="宋体"/>
                <w:bCs/>
                <w:color w:val="auto"/>
                <w:kern w:val="0"/>
                <w:szCs w:val="21"/>
                <w:highlight w:val="none"/>
              </w:rPr>
              <w:t>2、处理问题响应时间：接到采购人处理问题通知后</w:t>
            </w:r>
            <w:r>
              <w:rPr>
                <w:rFonts w:ascii="宋体" w:hAnsi="宋体" w:cs="宋体"/>
                <w:bCs/>
                <w:color w:val="auto"/>
                <w:kern w:val="0"/>
                <w:szCs w:val="21"/>
                <w:highlight w:val="none"/>
                <w:u w:val="single"/>
              </w:rPr>
              <w:t>1</w:t>
            </w:r>
            <w:r>
              <w:rPr>
                <w:rFonts w:hint="eastAsia" w:ascii="宋体" w:hAnsi="宋体" w:cs="宋体"/>
                <w:bCs/>
                <w:color w:val="auto"/>
                <w:kern w:val="0"/>
                <w:szCs w:val="21"/>
                <w:highlight w:val="none"/>
              </w:rPr>
              <w:t>小时内到达采购人指定现场</w:t>
            </w:r>
          </w:p>
          <w:p w14:paraId="2E7EFFAE">
            <w:pPr>
              <w:tabs>
                <w:tab w:val="left" w:pos="1440"/>
              </w:tabs>
              <w:spacing w:line="380" w:lineRule="exact"/>
              <w:jc w:val="left"/>
              <w:rPr>
                <w:rFonts w:ascii="宋体" w:hAnsi="宋体" w:cs="宋体"/>
                <w:bCs/>
                <w:color w:val="auto"/>
                <w:kern w:val="0"/>
                <w:szCs w:val="21"/>
                <w:highlight w:val="none"/>
              </w:rPr>
            </w:pPr>
            <w:r>
              <w:rPr>
                <w:rFonts w:ascii="宋体" w:hAnsi="宋体" w:cs="宋体"/>
                <w:bCs/>
                <w:color w:val="auto"/>
                <w:kern w:val="0"/>
                <w:szCs w:val="21"/>
                <w:highlight w:val="none"/>
              </w:rPr>
              <w:t>3、其他：本项目采购完成后,采购人组织相关专业人士对中标人的投标文件的真实性（软硬件情况）进行抽查，如有不符,则按《采购法》有关规定报市政府采购监管部门进行处罚，同时取消其中标资格。</w:t>
            </w:r>
          </w:p>
          <w:p w14:paraId="4BFD6D89">
            <w:pPr>
              <w:tabs>
                <w:tab w:val="left" w:pos="1440"/>
              </w:tabs>
              <w:spacing w:line="3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五、服务范围</w:t>
            </w:r>
          </w:p>
          <w:p w14:paraId="404B9010">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（一）服务单位：广西壮族自治区自然资源生态修复中心</w:t>
            </w:r>
            <w:r>
              <w:rPr>
                <w:rFonts w:hint="eastAsia" w:ascii="宋体" w:hAnsi="宋体" w:cs="宋体"/>
                <w:bCs/>
                <w:color w:val="auto"/>
                <w:kern w:val="0"/>
                <w:szCs w:val="21"/>
                <w:highlight w:val="none"/>
              </w:rPr>
              <w:t>。</w:t>
            </w:r>
          </w:p>
          <w:p w14:paraId="6FBDC732">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（二）开展公务租车范围：</w:t>
            </w:r>
            <w:r>
              <w:rPr>
                <w:rFonts w:hint="eastAsia" w:ascii="宋体" w:hAnsi="宋体" w:cs="宋体"/>
                <w:b/>
                <w:bCs/>
                <w:color w:val="auto"/>
                <w:szCs w:val="21"/>
                <w:highlight w:val="none"/>
              </w:rPr>
              <w:t>各标段指定地市</w:t>
            </w:r>
            <w:r>
              <w:rPr>
                <w:rFonts w:hint="eastAsia" w:ascii="宋体" w:hAnsi="宋体" w:cs="宋体"/>
                <w:bCs/>
                <w:color w:val="auto"/>
                <w:kern w:val="0"/>
                <w:szCs w:val="21"/>
                <w:highlight w:val="none"/>
              </w:rPr>
              <w:t>公务租车。</w:t>
            </w:r>
          </w:p>
          <w:p w14:paraId="2E9119DC">
            <w:pPr>
              <w:tabs>
                <w:tab w:val="left" w:pos="1440"/>
              </w:tabs>
              <w:spacing w:line="3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六、其他要求：</w:t>
            </w:r>
          </w:p>
          <w:p w14:paraId="3FC61AC9">
            <w:pPr>
              <w:tabs>
                <w:tab w:val="left" w:pos="1440"/>
              </w:tabs>
              <w:spacing w:line="38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1、付款方式：本项目无预付款，成交后，</w:t>
            </w:r>
            <w:r>
              <w:rPr>
                <w:rFonts w:hint="eastAsia" w:ascii="宋体" w:hAnsi="宋体" w:cs="宋体"/>
                <w:b/>
                <w:color w:val="auto"/>
                <w:kern w:val="0"/>
                <w:szCs w:val="21"/>
                <w:highlight w:val="none"/>
              </w:rPr>
              <w:t>按照</w:t>
            </w:r>
            <w:r>
              <w:rPr>
                <w:rFonts w:hint="eastAsia" w:ascii="宋体" w:hAnsi="宋体" w:cs="宋体"/>
                <w:b/>
                <w:color w:val="auto"/>
                <w:szCs w:val="21"/>
                <w:highlight w:val="none"/>
              </w:rPr>
              <w:t>成交人承诺的折扣率</w:t>
            </w:r>
            <w:r>
              <w:rPr>
                <w:rFonts w:hint="eastAsia" w:ascii="宋体" w:hAnsi="宋体" w:cs="宋体"/>
                <w:b/>
                <w:color w:val="auto"/>
                <w:kern w:val="0"/>
                <w:szCs w:val="21"/>
                <w:highlight w:val="none"/>
              </w:rPr>
              <w:t>进行单次结算</w:t>
            </w:r>
            <w:r>
              <w:rPr>
                <w:rFonts w:hint="eastAsia" w:ascii="宋体" w:hAnsi="宋体" w:cs="宋体"/>
                <w:bCs/>
                <w:color w:val="auto"/>
                <w:kern w:val="0"/>
                <w:szCs w:val="21"/>
                <w:highlight w:val="none"/>
              </w:rPr>
              <w:t>。</w:t>
            </w:r>
          </w:p>
          <w:p w14:paraId="4198C959">
            <w:pPr>
              <w:tabs>
                <w:tab w:val="left" w:pos="1440"/>
              </w:tabs>
              <w:spacing w:line="380" w:lineRule="exact"/>
              <w:jc w:val="left"/>
              <w:rPr>
                <w:rFonts w:ascii="宋体" w:hAnsi="宋体" w:cs="宋体"/>
                <w:bCs/>
                <w:color w:val="auto"/>
                <w:kern w:val="0"/>
                <w:szCs w:val="21"/>
                <w:highlight w:val="none"/>
              </w:rPr>
            </w:pPr>
            <w:r>
              <w:rPr>
                <w:rFonts w:ascii="宋体" w:hAnsi="宋体" w:cs="宋体"/>
                <w:bCs/>
                <w:color w:val="auto"/>
                <w:kern w:val="0"/>
                <w:szCs w:val="21"/>
                <w:highlight w:val="none"/>
              </w:rPr>
              <w:t>2、对合同条款的调整：需要对合同条款未尽事宜进行修改、补充或完善的，采购人与中标人必须就所修改的内容签订书面的协议修改书，作为合同的补充。</w:t>
            </w:r>
          </w:p>
          <w:p w14:paraId="57AC2B14">
            <w:pPr>
              <w:tabs>
                <w:tab w:val="left" w:pos="1440"/>
              </w:tabs>
              <w:spacing w:line="380" w:lineRule="exact"/>
              <w:jc w:val="left"/>
              <w:rPr>
                <w:rFonts w:ascii="宋体" w:hAnsi="宋体" w:cs="宋体"/>
                <w:bCs/>
                <w:color w:val="auto"/>
                <w:kern w:val="0"/>
                <w:szCs w:val="21"/>
                <w:highlight w:val="none"/>
              </w:rPr>
            </w:pPr>
            <w:r>
              <w:rPr>
                <w:rFonts w:ascii="宋体" w:hAnsi="宋体" w:cs="宋体"/>
                <w:bCs/>
                <w:color w:val="auto"/>
                <w:kern w:val="0"/>
                <w:szCs w:val="21"/>
                <w:highlight w:val="none"/>
              </w:rPr>
              <w:t>3、车辆花名册及行驶证要求如下“</w:t>
            </w:r>
          </w:p>
          <w:p w14:paraId="553F0069">
            <w:pPr>
              <w:tabs>
                <w:tab w:val="left" w:pos="1440"/>
              </w:tabs>
              <w:spacing w:line="380" w:lineRule="exact"/>
              <w:ind w:firstLine="42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1）提供供应商拟投入本项目车辆花名册（拥有所有权）</w:t>
            </w:r>
            <w:r>
              <w:rPr>
                <w:rFonts w:hint="eastAsia" w:ascii="宋体" w:hAnsi="宋体" w:cs="宋体"/>
                <w:color w:val="auto"/>
                <w:szCs w:val="21"/>
                <w:highlight w:val="none"/>
              </w:rPr>
              <w:t>以及车辆行驶证。</w:t>
            </w:r>
          </w:p>
          <w:p w14:paraId="2DA568D5">
            <w:pPr>
              <w:tabs>
                <w:tab w:val="left" w:pos="1440"/>
              </w:tabs>
              <w:spacing w:line="380" w:lineRule="exact"/>
              <w:ind w:firstLine="420"/>
              <w:jc w:val="left"/>
              <w:rPr>
                <w:rFonts w:ascii="宋体" w:hAnsi="宋体" w:cs="宋体"/>
                <w:bCs/>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2）提供第“</w:t>
            </w:r>
            <w:r>
              <w:rPr>
                <w:rFonts w:hint="eastAsia" w:ascii="宋体" w:hAnsi="宋体" w:cs="宋体"/>
                <w:bCs/>
                <w:color w:val="auto"/>
                <w:kern w:val="0"/>
                <w:szCs w:val="21"/>
                <w:highlight w:val="none"/>
              </w:rPr>
              <w:t>▲（</w:t>
            </w:r>
            <w:r>
              <w:rPr>
                <w:rFonts w:ascii="宋体" w:hAnsi="宋体" w:cs="宋体"/>
                <w:bCs/>
                <w:color w:val="auto"/>
                <w:kern w:val="0"/>
                <w:szCs w:val="21"/>
                <w:highlight w:val="none"/>
              </w:rPr>
              <w:t>1）”项要求的花名册中所列新能源车辆的行驶证原件扫描件，按花名册顺序排列。</w:t>
            </w:r>
          </w:p>
          <w:p w14:paraId="45772409">
            <w:pPr>
              <w:tabs>
                <w:tab w:val="left" w:pos="1440"/>
              </w:tabs>
              <w:spacing w:line="380" w:lineRule="exact"/>
              <w:ind w:firstLine="42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3）提供所投燃油车花名册，</w:t>
            </w:r>
            <w:r>
              <w:rPr>
                <w:rFonts w:hint="eastAsia" w:ascii="宋体" w:hAnsi="宋体" w:cs="宋体"/>
                <w:color w:val="auto"/>
                <w:szCs w:val="21"/>
                <w:highlight w:val="none"/>
              </w:rPr>
              <w:t>以及车辆行驶证。</w:t>
            </w:r>
          </w:p>
          <w:p w14:paraId="490789D6">
            <w:pPr>
              <w:tabs>
                <w:tab w:val="left" w:pos="1440"/>
              </w:tabs>
              <w:spacing w:line="380" w:lineRule="exact"/>
              <w:ind w:firstLine="42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4）</w:t>
            </w:r>
            <w:r>
              <w:rPr>
                <w:rFonts w:hint="eastAsia" w:ascii="宋体" w:hAnsi="宋体" w:cs="宋体"/>
                <w:color w:val="auto"/>
                <w:szCs w:val="21"/>
                <w:highlight w:val="none"/>
              </w:rPr>
              <w:t>提供第“</w:t>
            </w:r>
            <w:r>
              <w:rPr>
                <w:rFonts w:hint="eastAsia" w:ascii="宋体" w:hAnsi="宋体" w:cs="宋体"/>
                <w:bCs/>
                <w:color w:val="auto"/>
                <w:kern w:val="0"/>
                <w:szCs w:val="21"/>
                <w:highlight w:val="none"/>
              </w:rPr>
              <w:t>▲（</w:t>
            </w:r>
            <w:r>
              <w:rPr>
                <w:rFonts w:ascii="宋体" w:hAnsi="宋体" w:cs="宋体"/>
                <w:bCs/>
                <w:color w:val="auto"/>
                <w:kern w:val="0"/>
                <w:szCs w:val="21"/>
                <w:highlight w:val="none"/>
              </w:rPr>
              <w:t>3）”项要求的花名册中所列车辆的行驶证原件扫描件，按花名册顺序排列。</w:t>
            </w:r>
          </w:p>
          <w:p w14:paraId="1EBAE6C6">
            <w:pPr>
              <w:tabs>
                <w:tab w:val="left" w:pos="1440"/>
              </w:tabs>
              <w:spacing w:line="380" w:lineRule="exact"/>
              <w:ind w:firstLine="42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5）提供所投新能源汽车花名册，</w:t>
            </w:r>
            <w:r>
              <w:rPr>
                <w:rFonts w:hint="eastAsia" w:ascii="宋体" w:hAnsi="宋体" w:cs="宋体"/>
                <w:color w:val="auto"/>
                <w:szCs w:val="21"/>
                <w:highlight w:val="none"/>
              </w:rPr>
              <w:t>以及车辆行驶证。</w:t>
            </w:r>
          </w:p>
          <w:p w14:paraId="19FF573F">
            <w:pPr>
              <w:numPr>
                <w:ilvl w:val="0"/>
                <w:numId w:val="5"/>
              </w:numPr>
              <w:tabs>
                <w:tab w:val="left" w:pos="1440"/>
              </w:tabs>
              <w:spacing w:line="380" w:lineRule="exact"/>
              <w:ind w:firstLine="420"/>
              <w:jc w:val="left"/>
              <w:rPr>
                <w:rFonts w:ascii="宋体" w:hAnsi="宋体" w:cs="宋体"/>
                <w:bCs/>
                <w:color w:val="auto"/>
                <w:kern w:val="0"/>
                <w:szCs w:val="21"/>
                <w:highlight w:val="none"/>
              </w:rPr>
            </w:pPr>
            <w:r>
              <w:rPr>
                <w:rFonts w:hint="eastAsia" w:ascii="宋体" w:hAnsi="宋体" w:cs="宋体"/>
                <w:color w:val="auto"/>
                <w:szCs w:val="21"/>
                <w:highlight w:val="none"/>
              </w:rPr>
              <w:t>提供第“</w:t>
            </w:r>
            <w:r>
              <w:rPr>
                <w:rFonts w:hint="eastAsia" w:ascii="宋体" w:hAnsi="宋体" w:cs="宋体"/>
                <w:bCs/>
                <w:color w:val="auto"/>
                <w:kern w:val="0"/>
                <w:szCs w:val="21"/>
                <w:highlight w:val="none"/>
              </w:rPr>
              <w:t>▲（</w:t>
            </w:r>
            <w:r>
              <w:rPr>
                <w:rFonts w:ascii="宋体" w:hAnsi="宋体" w:cs="宋体"/>
                <w:bCs/>
                <w:color w:val="auto"/>
                <w:kern w:val="0"/>
                <w:szCs w:val="21"/>
                <w:highlight w:val="none"/>
              </w:rPr>
              <w:t>5）”项要求的花名册中所列车辆的行驶证原件扫描件，按花名册顺序排列。</w:t>
            </w:r>
          </w:p>
          <w:p w14:paraId="55CF1EB3">
            <w:pPr>
              <w:tabs>
                <w:tab w:val="left" w:pos="1440"/>
              </w:tabs>
              <w:spacing w:line="380" w:lineRule="exact"/>
              <w:jc w:val="left"/>
              <w:rPr>
                <w:rFonts w:ascii="宋体" w:hAnsi="宋体" w:cs="宋体"/>
                <w:bCs/>
                <w:color w:val="auto"/>
                <w:kern w:val="0"/>
                <w:szCs w:val="21"/>
                <w:highlight w:val="none"/>
              </w:rPr>
            </w:pPr>
            <w:r>
              <w:rPr>
                <w:rFonts w:ascii="宋体" w:hAnsi="宋体" w:cs="宋体"/>
                <w:bCs/>
                <w:color w:val="auto"/>
                <w:kern w:val="0"/>
                <w:szCs w:val="21"/>
                <w:highlight w:val="none"/>
              </w:rPr>
              <w:t>4、供应商应承诺拟投入本项目的人员不允许随意变更，因特殊情况需要变更的，应向采购人提交书面申请并说明理由，采购人同意后方可变更，否则视为违约，每出现一名人员违约</w:t>
            </w:r>
            <w:r>
              <w:rPr>
                <w:rFonts w:hint="eastAsia" w:ascii="宋体" w:hAnsi="宋体" w:cs="宋体"/>
                <w:bCs/>
                <w:color w:val="auto"/>
                <w:kern w:val="0"/>
                <w:szCs w:val="21"/>
                <w:highlight w:val="none"/>
              </w:rPr>
              <w:t>变更按合同金额的</w:t>
            </w:r>
            <w:r>
              <w:rPr>
                <w:rFonts w:ascii="宋体" w:hAnsi="宋体" w:cs="宋体"/>
                <w:bCs/>
                <w:color w:val="auto"/>
                <w:kern w:val="0"/>
                <w:szCs w:val="21"/>
                <w:highlight w:val="none"/>
              </w:rPr>
              <w:t>1%扣除违约金，违约次数发生超过5次的，采购人有权解除合同，并要求供应商赔偿因此造成的损失。供应商聘用员工必须符合国家法律、政策的有关规定，对员工的疾病和人身安全负责。</w:t>
            </w:r>
          </w:p>
        </w:tc>
      </w:tr>
    </w:tbl>
    <w:p w14:paraId="03613FA9">
      <w:pPr>
        <w:spacing w:line="440" w:lineRule="exact"/>
        <w:ind w:firstLine="437"/>
        <w:rPr>
          <w:rFonts w:ascii="宋体" w:hAnsi="宋体"/>
          <w:color w:val="auto"/>
          <w:szCs w:val="21"/>
          <w:highlight w:val="none"/>
        </w:rPr>
      </w:pPr>
    </w:p>
    <w:p w14:paraId="08E728CF">
      <w:pPr>
        <w:spacing w:line="440" w:lineRule="exact"/>
        <w:ind w:firstLine="437"/>
        <w:rPr>
          <w:rFonts w:ascii="宋体" w:hAnsi="宋体"/>
          <w:color w:val="auto"/>
          <w:szCs w:val="21"/>
          <w:highlight w:val="none"/>
        </w:rPr>
      </w:pPr>
    </w:p>
    <w:p w14:paraId="3877F89C">
      <w:pPr>
        <w:rPr>
          <w:rFonts w:ascii="宋体" w:hAnsi="宋体"/>
          <w:b/>
          <w:color w:val="auto"/>
          <w:sz w:val="32"/>
          <w:szCs w:val="32"/>
          <w:highlight w:val="none"/>
        </w:rPr>
      </w:pPr>
      <w:r>
        <w:rPr>
          <w:rFonts w:ascii="宋体" w:hAnsi="宋体"/>
          <w:b/>
          <w:color w:val="auto"/>
          <w:sz w:val="32"/>
          <w:szCs w:val="32"/>
          <w:highlight w:val="none"/>
        </w:rPr>
        <w:br w:type="page"/>
      </w:r>
    </w:p>
    <w:p w14:paraId="7E58C0CE">
      <w:pPr>
        <w:spacing w:line="400" w:lineRule="exact"/>
        <w:jc w:val="center"/>
        <w:rPr>
          <w:rFonts w:ascii="宋体" w:hAnsi="宋体"/>
          <w:b/>
          <w:color w:val="auto"/>
          <w:sz w:val="32"/>
          <w:szCs w:val="32"/>
          <w:highlight w:val="none"/>
        </w:rPr>
      </w:pPr>
    </w:p>
    <w:p w14:paraId="385AAB1C">
      <w:pPr>
        <w:spacing w:line="400" w:lineRule="exact"/>
        <w:jc w:val="center"/>
        <w:rPr>
          <w:rFonts w:ascii="宋体" w:hAnsi="宋体"/>
          <w:b/>
          <w:color w:val="auto"/>
          <w:sz w:val="32"/>
          <w:szCs w:val="32"/>
          <w:highlight w:val="none"/>
        </w:rPr>
      </w:pPr>
    </w:p>
    <w:p w14:paraId="1692571A">
      <w:pPr>
        <w:spacing w:line="400" w:lineRule="exact"/>
        <w:jc w:val="center"/>
        <w:rPr>
          <w:rFonts w:ascii="宋体" w:hAnsi="宋体"/>
          <w:b/>
          <w:color w:val="auto"/>
          <w:sz w:val="32"/>
          <w:szCs w:val="32"/>
          <w:highlight w:val="none"/>
        </w:rPr>
      </w:pPr>
    </w:p>
    <w:p w14:paraId="465A63F1">
      <w:pPr>
        <w:spacing w:line="400" w:lineRule="exact"/>
        <w:jc w:val="center"/>
        <w:rPr>
          <w:rFonts w:ascii="宋体" w:hAnsi="宋体"/>
          <w:b/>
          <w:color w:val="auto"/>
          <w:sz w:val="32"/>
          <w:szCs w:val="32"/>
          <w:highlight w:val="none"/>
        </w:rPr>
      </w:pPr>
    </w:p>
    <w:p w14:paraId="225E1F1E">
      <w:pPr>
        <w:spacing w:line="400" w:lineRule="exact"/>
        <w:jc w:val="center"/>
        <w:rPr>
          <w:rFonts w:ascii="宋体" w:hAnsi="宋体"/>
          <w:b/>
          <w:color w:val="auto"/>
          <w:sz w:val="32"/>
          <w:szCs w:val="32"/>
          <w:highlight w:val="none"/>
        </w:rPr>
      </w:pPr>
    </w:p>
    <w:p w14:paraId="27222142">
      <w:pPr>
        <w:spacing w:line="400" w:lineRule="exact"/>
        <w:jc w:val="center"/>
        <w:rPr>
          <w:rFonts w:ascii="宋体" w:hAnsi="宋体"/>
          <w:b/>
          <w:color w:val="auto"/>
          <w:sz w:val="32"/>
          <w:szCs w:val="32"/>
          <w:highlight w:val="none"/>
        </w:rPr>
      </w:pPr>
    </w:p>
    <w:p w14:paraId="075E6151">
      <w:pPr>
        <w:spacing w:line="400" w:lineRule="exact"/>
        <w:jc w:val="center"/>
        <w:rPr>
          <w:rFonts w:ascii="宋体" w:hAnsi="宋体"/>
          <w:b/>
          <w:color w:val="auto"/>
          <w:sz w:val="32"/>
          <w:szCs w:val="32"/>
          <w:highlight w:val="none"/>
        </w:rPr>
      </w:pPr>
    </w:p>
    <w:p w14:paraId="728B7996">
      <w:pPr>
        <w:spacing w:line="400" w:lineRule="exact"/>
        <w:jc w:val="center"/>
        <w:rPr>
          <w:rFonts w:ascii="宋体" w:hAnsi="宋体"/>
          <w:b/>
          <w:color w:val="auto"/>
          <w:sz w:val="32"/>
          <w:szCs w:val="32"/>
          <w:highlight w:val="none"/>
        </w:rPr>
      </w:pPr>
    </w:p>
    <w:p w14:paraId="39319CE1">
      <w:pPr>
        <w:spacing w:line="400" w:lineRule="exact"/>
        <w:jc w:val="center"/>
        <w:rPr>
          <w:rFonts w:ascii="宋体" w:hAnsi="宋体"/>
          <w:b/>
          <w:color w:val="auto"/>
          <w:sz w:val="32"/>
          <w:szCs w:val="32"/>
          <w:highlight w:val="none"/>
        </w:rPr>
      </w:pPr>
    </w:p>
    <w:p w14:paraId="4F501690">
      <w:pPr>
        <w:spacing w:line="400" w:lineRule="exact"/>
        <w:jc w:val="center"/>
        <w:rPr>
          <w:rFonts w:ascii="宋体" w:hAnsi="宋体"/>
          <w:b/>
          <w:color w:val="auto"/>
          <w:sz w:val="32"/>
          <w:szCs w:val="32"/>
          <w:highlight w:val="none"/>
        </w:rPr>
      </w:pPr>
    </w:p>
    <w:p w14:paraId="443BBF96">
      <w:pPr>
        <w:spacing w:line="400" w:lineRule="exact"/>
        <w:jc w:val="center"/>
        <w:rPr>
          <w:rFonts w:ascii="宋体" w:hAnsi="宋体"/>
          <w:b/>
          <w:color w:val="auto"/>
          <w:sz w:val="32"/>
          <w:szCs w:val="32"/>
          <w:highlight w:val="none"/>
        </w:rPr>
      </w:pPr>
    </w:p>
    <w:p w14:paraId="50287617">
      <w:pPr>
        <w:spacing w:line="400" w:lineRule="exact"/>
        <w:jc w:val="center"/>
        <w:rPr>
          <w:rFonts w:ascii="宋体" w:hAnsi="宋体"/>
          <w:b/>
          <w:color w:val="auto"/>
          <w:sz w:val="32"/>
          <w:szCs w:val="32"/>
          <w:highlight w:val="none"/>
        </w:rPr>
      </w:pPr>
    </w:p>
    <w:p w14:paraId="67B45CF2">
      <w:pPr>
        <w:spacing w:line="400" w:lineRule="exact"/>
        <w:jc w:val="center"/>
        <w:rPr>
          <w:rFonts w:ascii="宋体" w:hAnsi="宋体"/>
          <w:b/>
          <w:color w:val="auto"/>
          <w:sz w:val="32"/>
          <w:szCs w:val="32"/>
          <w:highlight w:val="none"/>
        </w:rPr>
      </w:pPr>
    </w:p>
    <w:p w14:paraId="6FD89E17">
      <w:pPr>
        <w:pStyle w:val="35"/>
        <w:rPr>
          <w:color w:val="auto"/>
          <w:sz w:val="44"/>
          <w:szCs w:val="44"/>
          <w:highlight w:val="none"/>
        </w:rPr>
      </w:pPr>
      <w:bookmarkStart w:id="53" w:name="_Toc476258759"/>
      <w:bookmarkStart w:id="54" w:name="_Toc476258665"/>
      <w:r>
        <w:rPr>
          <w:rFonts w:hint="eastAsia"/>
          <w:color w:val="auto"/>
          <w:sz w:val="44"/>
          <w:szCs w:val="44"/>
          <w:highlight w:val="none"/>
        </w:rPr>
        <w:t>第四章</w:t>
      </w:r>
      <w:r>
        <w:rPr>
          <w:color w:val="auto"/>
          <w:sz w:val="44"/>
          <w:szCs w:val="44"/>
          <w:highlight w:val="none"/>
        </w:rPr>
        <w:t xml:space="preserve">  </w:t>
      </w:r>
      <w:r>
        <w:rPr>
          <w:rFonts w:hint="eastAsia"/>
          <w:color w:val="auto"/>
          <w:sz w:val="44"/>
          <w:szCs w:val="44"/>
          <w:highlight w:val="none"/>
        </w:rPr>
        <w:t>竞争性磋商响应文件格式</w:t>
      </w:r>
      <w:bookmarkEnd w:id="53"/>
      <w:bookmarkEnd w:id="54"/>
    </w:p>
    <w:p w14:paraId="5B369371">
      <w:pPr>
        <w:spacing w:line="500" w:lineRule="exact"/>
        <w:jc w:val="center"/>
        <w:rPr>
          <w:rFonts w:ascii="仿宋_GB2312" w:hAnsi="宋体" w:eastAsia="仿宋_GB2312"/>
          <w:b/>
          <w:color w:val="auto"/>
          <w:sz w:val="32"/>
          <w:szCs w:val="32"/>
          <w:highlight w:val="none"/>
        </w:rPr>
      </w:pPr>
    </w:p>
    <w:p w14:paraId="432598BE">
      <w:pPr>
        <w:spacing w:line="720" w:lineRule="auto"/>
        <w:jc w:val="center"/>
        <w:rPr>
          <w:rFonts w:ascii="宋体" w:hAnsi="宋体"/>
          <w:b/>
          <w:bCs/>
          <w:color w:val="auto"/>
          <w:sz w:val="30"/>
          <w:szCs w:val="30"/>
          <w:highlight w:val="none"/>
        </w:rPr>
      </w:pPr>
      <w:r>
        <w:rPr>
          <w:rFonts w:ascii="仿宋_GB2312" w:hAnsi="宋体" w:eastAsia="仿宋_GB2312"/>
          <w:b/>
          <w:color w:val="auto"/>
          <w:sz w:val="32"/>
          <w:szCs w:val="32"/>
          <w:highlight w:val="none"/>
        </w:rPr>
        <w:br w:type="page"/>
      </w:r>
      <w:r>
        <w:rPr>
          <w:rFonts w:hint="eastAsia" w:ascii="宋体" w:hAnsi="宋体"/>
          <w:b/>
          <w:bCs/>
          <w:color w:val="auto"/>
          <w:sz w:val="30"/>
          <w:szCs w:val="30"/>
          <w:highlight w:val="none"/>
        </w:rPr>
        <w:t>一、</w:t>
      </w:r>
      <w:r>
        <w:rPr>
          <w:rFonts w:hint="eastAsia"/>
          <w:b/>
          <w:color w:val="auto"/>
          <w:sz w:val="30"/>
          <w:szCs w:val="30"/>
          <w:highlight w:val="none"/>
        </w:rPr>
        <w:t>竞争性磋商响应文件</w:t>
      </w:r>
      <w:r>
        <w:rPr>
          <w:rFonts w:hint="eastAsia" w:ascii="宋体" w:hAnsi="宋体"/>
          <w:b/>
          <w:bCs/>
          <w:color w:val="auto"/>
          <w:sz w:val="30"/>
          <w:szCs w:val="30"/>
          <w:highlight w:val="none"/>
        </w:rPr>
        <w:t>格式</w:t>
      </w:r>
    </w:p>
    <w:p w14:paraId="1A3133CD">
      <w:pPr>
        <w:spacing w:line="240" w:lineRule="atLeast"/>
        <w:rPr>
          <w:rFonts w:ascii="仿宋_GB2312" w:hAnsi="宋体" w:eastAsia="仿宋_GB2312"/>
          <w:b/>
          <w:color w:val="auto"/>
          <w:sz w:val="32"/>
          <w:szCs w:val="32"/>
          <w:highlight w:val="none"/>
          <w:u w:val="single"/>
        </w:rPr>
      </w:pPr>
    </w:p>
    <w:p w14:paraId="153D13F3">
      <w:pPr>
        <w:spacing w:line="240" w:lineRule="atLeast"/>
        <w:rPr>
          <w:rFonts w:ascii="仿宋_GB2312" w:hAnsi="宋体" w:eastAsia="仿宋_GB2312"/>
          <w:b/>
          <w:color w:val="auto"/>
          <w:sz w:val="32"/>
          <w:szCs w:val="32"/>
          <w:highlight w:val="none"/>
        </w:rPr>
      </w:pPr>
    </w:p>
    <w:p w14:paraId="6F8887C1">
      <w:pPr>
        <w:snapToGrid w:val="0"/>
        <w:spacing w:before="156" w:beforeLines="50" w:after="50" w:line="360" w:lineRule="exact"/>
        <w:ind w:left="8400" w:hanging="8400" w:hangingChars="3000"/>
        <w:rPr>
          <w:rFonts w:ascii="仿宋_GB2312" w:hAnsi="宋体" w:eastAsia="仿宋_GB2312"/>
          <w:bCs/>
          <w:color w:val="auto"/>
          <w:sz w:val="28"/>
          <w:szCs w:val="28"/>
          <w:highlight w:val="none"/>
        </w:rPr>
      </w:pPr>
    </w:p>
    <w:p w14:paraId="5D468E29">
      <w:pPr>
        <w:snapToGrid w:val="0"/>
        <w:spacing w:before="156" w:beforeLines="50" w:after="50" w:line="360" w:lineRule="exact"/>
        <w:jc w:val="center"/>
        <w:rPr>
          <w:rFonts w:ascii="仿宋_GB2312" w:hAnsi="宋体" w:eastAsia="仿宋_GB2312"/>
          <w:bCs/>
          <w:color w:val="auto"/>
          <w:sz w:val="24"/>
          <w:highlight w:val="none"/>
        </w:rPr>
      </w:pPr>
      <w:r>
        <w:rPr>
          <w:rFonts w:hint="eastAsia" w:ascii="仿宋_GB2312" w:hAnsi="宋体" w:eastAsia="仿宋_GB2312"/>
          <w:b/>
          <w:color w:val="auto"/>
          <w:sz w:val="44"/>
          <w:szCs w:val="44"/>
          <w:highlight w:val="none"/>
        </w:rPr>
        <w:t>竞争性磋商响应文件</w:t>
      </w:r>
    </w:p>
    <w:p w14:paraId="5B34E5DC">
      <w:pPr>
        <w:spacing w:line="500" w:lineRule="exact"/>
        <w:ind w:firstLine="420" w:firstLineChars="200"/>
        <w:rPr>
          <w:rFonts w:ascii="宋体" w:hAnsi="宋体"/>
          <w:color w:val="auto"/>
          <w:szCs w:val="21"/>
          <w:highlight w:val="none"/>
        </w:rPr>
      </w:pPr>
    </w:p>
    <w:p w14:paraId="24832850">
      <w:pPr>
        <w:spacing w:line="500" w:lineRule="exact"/>
        <w:ind w:firstLine="420" w:firstLineChars="200"/>
        <w:rPr>
          <w:rFonts w:ascii="宋体" w:hAnsi="宋体"/>
          <w:color w:val="auto"/>
          <w:szCs w:val="21"/>
          <w:highlight w:val="none"/>
        </w:rPr>
      </w:pPr>
    </w:p>
    <w:p w14:paraId="55881CC4">
      <w:pPr>
        <w:spacing w:line="500" w:lineRule="exact"/>
        <w:ind w:firstLine="420" w:firstLineChars="200"/>
        <w:rPr>
          <w:rFonts w:ascii="宋体" w:hAnsi="宋体"/>
          <w:color w:val="auto"/>
          <w:szCs w:val="21"/>
          <w:highlight w:val="none"/>
        </w:rPr>
      </w:pPr>
    </w:p>
    <w:p w14:paraId="7180B464">
      <w:pPr>
        <w:spacing w:line="600" w:lineRule="auto"/>
        <w:ind w:firstLine="420" w:firstLineChars="200"/>
        <w:jc w:val="left"/>
        <w:rPr>
          <w:rFonts w:ascii="宋体" w:hAnsi="宋体"/>
          <w:color w:val="auto"/>
          <w:sz w:val="28"/>
          <w:szCs w:val="28"/>
          <w:highlight w:val="none"/>
        </w:rPr>
      </w:pPr>
      <w:r>
        <w:rPr>
          <w:rFonts w:ascii="宋体" w:hAnsi="宋体"/>
          <w:color w:val="auto"/>
          <w:szCs w:val="21"/>
          <w:highlight w:val="none"/>
        </w:rPr>
        <w:t xml:space="preserve">        </w:t>
      </w:r>
      <w:r>
        <w:rPr>
          <w:rFonts w:ascii="宋体" w:hAnsi="宋体"/>
          <w:color w:val="auto"/>
          <w:sz w:val="28"/>
          <w:szCs w:val="28"/>
          <w:highlight w:val="none"/>
        </w:rPr>
        <w:t xml:space="preserve"> 采购项目名称：广西壮族自治区自然资源生态修复中心业务租车服务采购</w:t>
      </w:r>
    </w:p>
    <w:p w14:paraId="736E87B1">
      <w:pPr>
        <w:spacing w:line="600" w:lineRule="auto"/>
        <w:rPr>
          <w:rFonts w:hint="eastAsia" w:eastAsia="宋体"/>
          <w:color w:val="auto"/>
          <w:highlight w:val="none"/>
          <w:lang w:eastAsia="zh-CN"/>
        </w:rPr>
      </w:pPr>
      <w:r>
        <w:rPr>
          <w:color w:val="auto"/>
          <w:highlight w:val="none"/>
        </w:rPr>
        <w:t xml:space="preserve"> </w:t>
      </w:r>
      <w:r>
        <w:rPr>
          <w:rFonts w:ascii="宋体" w:hAnsi="宋体"/>
          <w:color w:val="auto"/>
          <w:sz w:val="28"/>
          <w:szCs w:val="28"/>
          <w:highlight w:val="none"/>
        </w:rPr>
        <w:t xml:space="preserve">         采购项目编号：</w:t>
      </w:r>
      <w:r>
        <w:rPr>
          <w:rFonts w:hint="eastAsia" w:ascii="宋体" w:hAnsi="宋体"/>
          <w:color w:val="auto"/>
          <w:sz w:val="28"/>
          <w:szCs w:val="28"/>
          <w:highlight w:val="none"/>
          <w:lang w:eastAsia="zh-CN"/>
        </w:rPr>
        <w:t>GXZC2025-C3-002387-TQGC</w:t>
      </w:r>
    </w:p>
    <w:p w14:paraId="07F9CB6B">
      <w:pPr>
        <w:spacing w:line="600" w:lineRule="auto"/>
        <w:ind w:firstLine="560" w:firstLineChars="200"/>
        <w:rPr>
          <w:rFonts w:ascii="宋体" w:hAnsi="宋体"/>
          <w:color w:val="auto"/>
          <w:sz w:val="28"/>
          <w:szCs w:val="28"/>
          <w:highlight w:val="none"/>
          <w:u w:val="single"/>
        </w:rPr>
      </w:pPr>
      <w:r>
        <w:rPr>
          <w:bCs/>
          <w:color w:val="auto"/>
          <w:sz w:val="28"/>
          <w:szCs w:val="28"/>
          <w:highlight w:val="none"/>
        </w:rPr>
        <w:t xml:space="preserve">      </w:t>
      </w:r>
      <w:r>
        <w:rPr>
          <w:rFonts w:hint="eastAsia"/>
          <w:bCs/>
          <w:color w:val="auto"/>
          <w:sz w:val="28"/>
          <w:szCs w:val="28"/>
          <w:highlight w:val="none"/>
        </w:rPr>
        <w:t>标段号</w:t>
      </w:r>
      <w:r>
        <w:rPr>
          <w:rFonts w:hint="eastAsia" w:ascii="宋体" w:hAnsi="宋体"/>
          <w:color w:val="auto"/>
          <w:sz w:val="28"/>
          <w:szCs w:val="28"/>
          <w:highlight w:val="none"/>
        </w:rPr>
        <w:t>：</w:t>
      </w:r>
      <w:r>
        <w:rPr>
          <w:rFonts w:ascii="宋体" w:hAnsi="宋体"/>
          <w:color w:val="auto"/>
          <w:sz w:val="28"/>
          <w:szCs w:val="28"/>
          <w:highlight w:val="none"/>
          <w:u w:val="single"/>
        </w:rPr>
        <w:t xml:space="preserve">                                </w:t>
      </w:r>
    </w:p>
    <w:p w14:paraId="22BE946B">
      <w:pPr>
        <w:snapToGrid w:val="0"/>
        <w:spacing w:before="156" w:beforeLines="50" w:after="50" w:line="600" w:lineRule="auto"/>
        <w:ind w:firstLine="560" w:firstLineChars="200"/>
        <w:rPr>
          <w:rFonts w:ascii="宋体" w:hAnsi="宋体"/>
          <w:bCs/>
          <w:color w:val="auto"/>
          <w:sz w:val="28"/>
          <w:szCs w:val="28"/>
          <w:highlight w:val="none"/>
        </w:rPr>
      </w:pPr>
      <w:r>
        <w:rPr>
          <w:rFonts w:ascii="宋体" w:hAnsi="宋体"/>
          <w:color w:val="auto"/>
          <w:sz w:val="28"/>
          <w:szCs w:val="28"/>
          <w:highlight w:val="none"/>
        </w:rPr>
        <w:t xml:space="preserve">      磋商供应商名称</w:t>
      </w:r>
      <w:r>
        <w:rPr>
          <w:rFonts w:hint="eastAsia" w:ascii="宋体" w:hAnsi="宋体"/>
          <w:bCs/>
          <w:color w:val="auto"/>
          <w:sz w:val="28"/>
          <w:szCs w:val="28"/>
          <w:highlight w:val="none"/>
        </w:rPr>
        <w:t>：</w:t>
      </w:r>
      <w:r>
        <w:rPr>
          <w:rFonts w:ascii="宋体" w:hAnsi="宋体"/>
          <w:color w:val="auto"/>
          <w:sz w:val="28"/>
          <w:szCs w:val="28"/>
          <w:highlight w:val="none"/>
          <w:u w:val="single"/>
        </w:rPr>
        <w:t xml:space="preserve">                        </w:t>
      </w:r>
    </w:p>
    <w:p w14:paraId="66372B98">
      <w:pPr>
        <w:spacing w:line="500" w:lineRule="exact"/>
        <w:jc w:val="center"/>
        <w:rPr>
          <w:rFonts w:ascii="宋体" w:hAnsi="宋体"/>
          <w:color w:val="auto"/>
          <w:szCs w:val="21"/>
          <w:highlight w:val="none"/>
        </w:rPr>
      </w:pPr>
      <w:r>
        <w:rPr>
          <w:rFonts w:ascii="仿宋_GB2312" w:hAnsi="宋体" w:eastAsia="仿宋_GB2312"/>
          <w:color w:val="auto"/>
          <w:sz w:val="24"/>
          <w:highlight w:val="none"/>
        </w:rPr>
        <w:t xml:space="preserve">                      </w:t>
      </w:r>
    </w:p>
    <w:p w14:paraId="71BF53B8">
      <w:pPr>
        <w:rPr>
          <w:color w:val="auto"/>
          <w:sz w:val="28"/>
          <w:szCs w:val="28"/>
          <w:highlight w:val="none"/>
        </w:rPr>
      </w:pPr>
      <w:r>
        <w:rPr>
          <w:color w:val="auto"/>
          <w:highlight w:val="none"/>
        </w:rPr>
        <w:t xml:space="preserve">                                   </w:t>
      </w:r>
      <w:r>
        <w:rPr>
          <w:color w:val="auto"/>
          <w:sz w:val="28"/>
          <w:szCs w:val="28"/>
          <w:highlight w:val="none"/>
        </w:rPr>
        <w:t xml:space="preserve">                     </w:t>
      </w:r>
      <w:r>
        <w:rPr>
          <w:rFonts w:hint="eastAsia"/>
          <w:color w:val="auto"/>
          <w:sz w:val="28"/>
          <w:szCs w:val="28"/>
          <w:highlight w:val="none"/>
        </w:rPr>
        <w:t>年</w:t>
      </w:r>
      <w:r>
        <w:rPr>
          <w:rFonts w:cs="宋体"/>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14:paraId="3558CE91">
      <w:pPr>
        <w:spacing w:line="520" w:lineRule="exact"/>
        <w:rPr>
          <w:rFonts w:ascii="宋体" w:hAnsi="宋体"/>
          <w:color w:val="auto"/>
          <w:szCs w:val="21"/>
          <w:highlight w:val="none"/>
        </w:rPr>
      </w:pPr>
    </w:p>
    <w:p w14:paraId="2431A2C8">
      <w:pPr>
        <w:spacing w:line="520" w:lineRule="exact"/>
        <w:ind w:firstLine="3767" w:firstLineChars="1340"/>
        <w:rPr>
          <w:rFonts w:ascii="宋体" w:hAnsi="宋体"/>
          <w:b/>
          <w:color w:val="auto"/>
          <w:sz w:val="28"/>
          <w:szCs w:val="28"/>
          <w:highlight w:val="none"/>
        </w:rPr>
      </w:pPr>
    </w:p>
    <w:p w14:paraId="31A42FC1">
      <w:pPr>
        <w:spacing w:line="520" w:lineRule="exact"/>
        <w:ind w:firstLine="3767" w:firstLineChars="1340"/>
        <w:rPr>
          <w:rFonts w:ascii="宋体" w:hAnsi="宋体"/>
          <w:b/>
          <w:color w:val="auto"/>
          <w:sz w:val="28"/>
          <w:szCs w:val="28"/>
          <w:highlight w:val="none"/>
        </w:rPr>
      </w:pPr>
    </w:p>
    <w:p w14:paraId="485B7E6C">
      <w:pPr>
        <w:spacing w:line="520" w:lineRule="exact"/>
        <w:ind w:firstLine="3767" w:firstLineChars="1340"/>
        <w:rPr>
          <w:rFonts w:ascii="宋体" w:hAnsi="宋体"/>
          <w:b/>
          <w:color w:val="auto"/>
          <w:sz w:val="28"/>
          <w:szCs w:val="28"/>
          <w:highlight w:val="none"/>
        </w:rPr>
      </w:pPr>
    </w:p>
    <w:p w14:paraId="54105B03">
      <w:pPr>
        <w:spacing w:line="520" w:lineRule="exact"/>
        <w:ind w:firstLine="3767" w:firstLineChars="1340"/>
        <w:rPr>
          <w:rFonts w:ascii="宋体" w:hAnsi="宋体"/>
          <w:b/>
          <w:color w:val="auto"/>
          <w:sz w:val="28"/>
          <w:szCs w:val="28"/>
          <w:highlight w:val="none"/>
        </w:rPr>
      </w:pPr>
    </w:p>
    <w:p w14:paraId="5C7D04D3">
      <w:pPr>
        <w:spacing w:line="720" w:lineRule="auto"/>
        <w:jc w:val="center"/>
        <w:rPr>
          <w:rFonts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二、附</w:t>
      </w:r>
      <w:r>
        <w:rPr>
          <w:rFonts w:ascii="宋体" w:hAnsi="宋体"/>
          <w:b/>
          <w:color w:val="auto"/>
          <w:sz w:val="30"/>
          <w:szCs w:val="30"/>
          <w:highlight w:val="none"/>
        </w:rPr>
        <w:t xml:space="preserve">  </w:t>
      </w:r>
      <w:r>
        <w:rPr>
          <w:rFonts w:hint="eastAsia" w:ascii="宋体" w:hAnsi="宋体"/>
          <w:b/>
          <w:color w:val="auto"/>
          <w:sz w:val="30"/>
          <w:szCs w:val="30"/>
          <w:highlight w:val="none"/>
        </w:rPr>
        <w:t>件</w:t>
      </w:r>
    </w:p>
    <w:p w14:paraId="6F385639">
      <w:pPr>
        <w:spacing w:line="500" w:lineRule="exact"/>
        <w:rPr>
          <w:rFonts w:ascii="宋体" w:hAnsi="宋体"/>
          <w:b/>
          <w:color w:val="auto"/>
          <w:szCs w:val="21"/>
          <w:highlight w:val="none"/>
        </w:rPr>
      </w:pPr>
      <w:r>
        <w:rPr>
          <w:rFonts w:hint="eastAsia" w:ascii="宋体" w:hAnsi="宋体"/>
          <w:b/>
          <w:color w:val="auto"/>
          <w:szCs w:val="21"/>
          <w:highlight w:val="none"/>
        </w:rPr>
        <w:t>附件一</w:t>
      </w:r>
      <w:r>
        <w:rPr>
          <w:rFonts w:ascii="宋体" w:hAnsi="宋体"/>
          <w:b/>
          <w:color w:val="auto"/>
          <w:szCs w:val="21"/>
          <w:highlight w:val="none"/>
        </w:rPr>
        <w:t xml:space="preserve"> </w:t>
      </w:r>
    </w:p>
    <w:p w14:paraId="35043BC5">
      <w:pPr>
        <w:spacing w:line="5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报</w:t>
      </w:r>
      <w:r>
        <w:rPr>
          <w:rFonts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rPr>
        <w:t>价</w:t>
      </w:r>
      <w:r>
        <w:rPr>
          <w:rFonts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rPr>
        <w:t>表</w:t>
      </w:r>
    </w:p>
    <w:p w14:paraId="4655347D">
      <w:pPr>
        <w:spacing w:line="500" w:lineRule="exact"/>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rPr>
        <w:t>:</w:t>
      </w:r>
      <w:r>
        <w:rPr>
          <w:rFonts w:hint="eastAsia" w:ascii="宋体" w:hAnsi="宋体" w:cs="宋体"/>
          <w:color w:val="auto"/>
          <w:highlight w:val="none"/>
        </w:rPr>
        <w:t>广西壮族自治区自然资源生态修复中心业务租车服务采购</w:t>
      </w:r>
    </w:p>
    <w:p w14:paraId="7814BFEE">
      <w:pPr>
        <w:spacing w:line="50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采购项目编号</w:t>
      </w:r>
      <w:r>
        <w:rPr>
          <w:rFonts w:ascii="宋体" w:hAnsi="宋体"/>
          <w:color w:val="auto"/>
          <w:szCs w:val="21"/>
          <w:highlight w:val="none"/>
        </w:rPr>
        <w:t xml:space="preserve">: </w:t>
      </w:r>
      <w:r>
        <w:rPr>
          <w:rFonts w:hint="eastAsia" w:ascii="宋体" w:hAnsi="宋体"/>
          <w:color w:val="auto"/>
          <w:szCs w:val="21"/>
          <w:highlight w:val="none"/>
          <w:lang w:eastAsia="zh-CN"/>
        </w:rPr>
        <w:t>GXZC2025-C3-002387-TQGC</w:t>
      </w:r>
    </w:p>
    <w:p w14:paraId="69BFF8BD">
      <w:pPr>
        <w:spacing w:line="500" w:lineRule="exact"/>
        <w:rPr>
          <w:rFonts w:ascii="宋体" w:hAnsi="宋体"/>
          <w:color w:val="auto"/>
          <w:szCs w:val="21"/>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3516"/>
        <w:gridCol w:w="1417"/>
        <w:gridCol w:w="2901"/>
      </w:tblGrid>
      <w:tr w14:paraId="323F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3D423D2">
            <w:pPr>
              <w:rPr>
                <w:rFonts w:ascii="宋体" w:hAnsi="宋体"/>
                <w:color w:val="auto"/>
                <w:szCs w:val="22"/>
                <w:highlight w:val="none"/>
              </w:rPr>
            </w:pPr>
            <w:r>
              <w:rPr>
                <w:rFonts w:hint="eastAsia" w:ascii="宋体" w:hAnsi="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C702560">
            <w:pPr>
              <w:rPr>
                <w:rFonts w:ascii="宋体" w:hAnsi="宋体"/>
                <w:color w:val="auto"/>
                <w:szCs w:val="22"/>
                <w:highlight w:val="none"/>
              </w:rPr>
            </w:pPr>
            <w:r>
              <w:rPr>
                <w:rFonts w:hint="eastAsia" w:ascii="宋体" w:hAnsi="宋体"/>
                <w:color w:val="auto"/>
                <w:szCs w:val="22"/>
                <w:highlight w:val="none"/>
              </w:rPr>
              <w:t>服务名称</w:t>
            </w:r>
          </w:p>
        </w:tc>
        <w:tc>
          <w:tcPr>
            <w:tcW w:w="3516" w:type="dxa"/>
            <w:tcBorders>
              <w:top w:val="single" w:color="auto" w:sz="4" w:space="0"/>
              <w:left w:val="single" w:color="auto" w:sz="4" w:space="0"/>
              <w:bottom w:val="single" w:color="auto" w:sz="4" w:space="0"/>
              <w:right w:val="single" w:color="auto" w:sz="4" w:space="0"/>
            </w:tcBorders>
            <w:vAlign w:val="center"/>
          </w:tcPr>
          <w:p w14:paraId="41936B40">
            <w:pPr>
              <w:jc w:val="center"/>
              <w:rPr>
                <w:rFonts w:ascii="宋体" w:hAnsi="宋体"/>
                <w:color w:val="auto"/>
                <w:szCs w:val="22"/>
                <w:highlight w:val="none"/>
              </w:rPr>
            </w:pPr>
            <w:r>
              <w:rPr>
                <w:rFonts w:hint="eastAsia" w:ascii="宋体" w:hAnsi="宋体"/>
                <w:color w:val="auto"/>
                <w:szCs w:val="22"/>
                <w:highlight w:val="none"/>
              </w:rPr>
              <w:t>具体服务内容</w:t>
            </w:r>
          </w:p>
        </w:tc>
        <w:tc>
          <w:tcPr>
            <w:tcW w:w="1417" w:type="dxa"/>
            <w:tcBorders>
              <w:top w:val="single" w:color="auto" w:sz="4" w:space="0"/>
              <w:left w:val="single" w:color="auto" w:sz="4" w:space="0"/>
              <w:bottom w:val="single" w:color="auto" w:sz="4" w:space="0"/>
              <w:right w:val="single" w:color="auto" w:sz="4" w:space="0"/>
            </w:tcBorders>
            <w:vAlign w:val="center"/>
          </w:tcPr>
          <w:p w14:paraId="41C7AEE0">
            <w:pPr>
              <w:rPr>
                <w:rFonts w:ascii="宋体" w:hAnsi="宋体"/>
                <w:color w:val="auto"/>
                <w:szCs w:val="22"/>
                <w:highlight w:val="none"/>
              </w:rPr>
            </w:pPr>
            <w:r>
              <w:rPr>
                <w:rFonts w:hint="eastAsia" w:ascii="宋体" w:hAnsi="宋体"/>
                <w:color w:val="auto"/>
                <w:szCs w:val="22"/>
                <w:highlight w:val="none"/>
              </w:rPr>
              <w:t>数量</w:t>
            </w:r>
          </w:p>
        </w:tc>
        <w:tc>
          <w:tcPr>
            <w:tcW w:w="2901" w:type="dxa"/>
            <w:tcBorders>
              <w:top w:val="single" w:color="auto" w:sz="4" w:space="0"/>
              <w:left w:val="single" w:color="auto" w:sz="4" w:space="0"/>
              <w:bottom w:val="single" w:color="auto" w:sz="4" w:space="0"/>
              <w:right w:val="single" w:color="auto" w:sz="4" w:space="0"/>
            </w:tcBorders>
            <w:vAlign w:val="center"/>
          </w:tcPr>
          <w:p w14:paraId="3297BCAF">
            <w:pPr>
              <w:rPr>
                <w:rFonts w:ascii="宋体" w:hAnsi="宋体"/>
                <w:color w:val="auto"/>
                <w:szCs w:val="22"/>
                <w:highlight w:val="none"/>
              </w:rPr>
            </w:pPr>
            <w:r>
              <w:rPr>
                <w:rFonts w:hint="eastAsia"/>
                <w:color w:val="auto"/>
                <w:highlight w:val="none"/>
              </w:rPr>
              <w:t>服务时间</w:t>
            </w:r>
          </w:p>
        </w:tc>
      </w:tr>
      <w:tr w14:paraId="4C53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2F9AF55">
            <w:pPr>
              <w:rPr>
                <w:rFonts w:ascii="宋体" w:hAnsi="宋体"/>
                <w:color w:val="auto"/>
                <w:szCs w:val="22"/>
                <w:highlight w:val="none"/>
              </w:rPr>
            </w:pPr>
            <w:r>
              <w:rPr>
                <w:rFonts w:ascii="宋体" w:hAnsi="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327CE73">
            <w:pPr>
              <w:rPr>
                <w:rFonts w:ascii="宋体" w:hAnsi="宋体"/>
                <w:color w:val="auto"/>
                <w:szCs w:val="22"/>
                <w:highlight w:val="none"/>
              </w:rPr>
            </w:pPr>
          </w:p>
        </w:tc>
        <w:tc>
          <w:tcPr>
            <w:tcW w:w="3516" w:type="dxa"/>
            <w:tcBorders>
              <w:top w:val="single" w:color="auto" w:sz="4" w:space="0"/>
              <w:left w:val="single" w:color="auto" w:sz="4" w:space="0"/>
              <w:bottom w:val="single" w:color="auto" w:sz="4" w:space="0"/>
              <w:right w:val="single" w:color="auto" w:sz="4" w:space="0"/>
            </w:tcBorders>
            <w:vAlign w:val="center"/>
          </w:tcPr>
          <w:p w14:paraId="3BE71980">
            <w:pPr>
              <w:rPr>
                <w:rFonts w:ascii="宋体" w:hAnsi="宋体"/>
                <w:color w:val="auto"/>
                <w:szCs w:val="22"/>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73D34F3">
            <w:pPr>
              <w:rPr>
                <w:rFonts w:ascii="宋体" w:hAnsi="宋体"/>
                <w:color w:val="auto"/>
                <w:szCs w:val="22"/>
                <w:highlight w:val="none"/>
              </w:rPr>
            </w:pPr>
          </w:p>
        </w:tc>
        <w:tc>
          <w:tcPr>
            <w:tcW w:w="2901" w:type="dxa"/>
            <w:tcBorders>
              <w:top w:val="single" w:color="auto" w:sz="4" w:space="0"/>
              <w:left w:val="single" w:color="auto" w:sz="4" w:space="0"/>
              <w:bottom w:val="single" w:color="auto" w:sz="4" w:space="0"/>
              <w:right w:val="single" w:color="auto" w:sz="4" w:space="0"/>
            </w:tcBorders>
            <w:vAlign w:val="center"/>
          </w:tcPr>
          <w:p w14:paraId="2614C54B">
            <w:pPr>
              <w:rPr>
                <w:rFonts w:ascii="宋体" w:hAnsi="宋体"/>
                <w:color w:val="auto"/>
                <w:szCs w:val="22"/>
                <w:highlight w:val="none"/>
              </w:rPr>
            </w:pPr>
          </w:p>
        </w:tc>
      </w:tr>
      <w:tr w14:paraId="65CD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516CCE84">
            <w:pPr>
              <w:rPr>
                <w:rFonts w:ascii="宋体" w:hAnsi="宋体"/>
                <w:color w:val="auto"/>
                <w:szCs w:val="22"/>
                <w:highlight w:val="none"/>
              </w:rPr>
            </w:pPr>
            <w:r>
              <w:rPr>
                <w:rFonts w:ascii="宋体" w:hAnsi="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C8A2E53">
            <w:pPr>
              <w:rPr>
                <w:rFonts w:ascii="宋体" w:hAnsi="宋体"/>
                <w:color w:val="auto"/>
                <w:szCs w:val="22"/>
                <w:highlight w:val="none"/>
              </w:rPr>
            </w:pPr>
          </w:p>
        </w:tc>
        <w:tc>
          <w:tcPr>
            <w:tcW w:w="3516" w:type="dxa"/>
            <w:tcBorders>
              <w:top w:val="single" w:color="auto" w:sz="4" w:space="0"/>
              <w:left w:val="single" w:color="auto" w:sz="4" w:space="0"/>
              <w:bottom w:val="single" w:color="auto" w:sz="4" w:space="0"/>
              <w:right w:val="single" w:color="auto" w:sz="4" w:space="0"/>
            </w:tcBorders>
            <w:vAlign w:val="center"/>
          </w:tcPr>
          <w:p w14:paraId="4C725B4F">
            <w:pPr>
              <w:rPr>
                <w:rFonts w:ascii="宋体" w:hAnsi="宋体"/>
                <w:color w:val="auto"/>
                <w:szCs w:val="22"/>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7BE7622">
            <w:pPr>
              <w:rPr>
                <w:rFonts w:ascii="宋体" w:hAnsi="宋体"/>
                <w:color w:val="auto"/>
                <w:szCs w:val="22"/>
                <w:highlight w:val="none"/>
              </w:rPr>
            </w:pPr>
          </w:p>
        </w:tc>
        <w:tc>
          <w:tcPr>
            <w:tcW w:w="2901" w:type="dxa"/>
            <w:tcBorders>
              <w:top w:val="single" w:color="auto" w:sz="4" w:space="0"/>
              <w:left w:val="single" w:color="auto" w:sz="4" w:space="0"/>
              <w:bottom w:val="single" w:color="auto" w:sz="4" w:space="0"/>
              <w:right w:val="single" w:color="auto" w:sz="4" w:space="0"/>
            </w:tcBorders>
            <w:vAlign w:val="center"/>
          </w:tcPr>
          <w:p w14:paraId="15A09393">
            <w:pPr>
              <w:rPr>
                <w:rFonts w:ascii="宋体" w:hAnsi="宋体"/>
                <w:color w:val="auto"/>
                <w:szCs w:val="22"/>
                <w:highlight w:val="none"/>
              </w:rPr>
            </w:pPr>
          </w:p>
        </w:tc>
      </w:tr>
      <w:tr w14:paraId="6706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3F5E2CE4">
            <w:pPr>
              <w:rPr>
                <w:rFonts w:ascii="宋体" w:hAnsi="宋体"/>
                <w:color w:val="auto"/>
                <w:szCs w:val="22"/>
                <w:highlight w:val="none"/>
              </w:rPr>
            </w:pPr>
            <w:r>
              <w:rPr>
                <w:rFonts w:ascii="宋体" w:hAnsi="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A2FEF32">
            <w:pPr>
              <w:rPr>
                <w:rFonts w:ascii="宋体" w:hAnsi="宋体"/>
                <w:color w:val="auto"/>
                <w:szCs w:val="22"/>
                <w:highlight w:val="none"/>
              </w:rPr>
            </w:pPr>
          </w:p>
        </w:tc>
        <w:tc>
          <w:tcPr>
            <w:tcW w:w="3516" w:type="dxa"/>
            <w:tcBorders>
              <w:top w:val="single" w:color="auto" w:sz="4" w:space="0"/>
              <w:left w:val="single" w:color="auto" w:sz="4" w:space="0"/>
              <w:bottom w:val="single" w:color="auto" w:sz="4" w:space="0"/>
              <w:right w:val="single" w:color="auto" w:sz="4" w:space="0"/>
            </w:tcBorders>
            <w:vAlign w:val="center"/>
          </w:tcPr>
          <w:p w14:paraId="6DEBBA9C">
            <w:pPr>
              <w:rPr>
                <w:rFonts w:ascii="宋体" w:hAnsi="宋体"/>
                <w:color w:val="auto"/>
                <w:szCs w:val="22"/>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3694DE8">
            <w:pPr>
              <w:rPr>
                <w:rFonts w:ascii="宋体" w:hAnsi="宋体"/>
                <w:color w:val="auto"/>
                <w:szCs w:val="22"/>
                <w:highlight w:val="none"/>
              </w:rPr>
            </w:pPr>
          </w:p>
        </w:tc>
        <w:tc>
          <w:tcPr>
            <w:tcW w:w="2901" w:type="dxa"/>
            <w:tcBorders>
              <w:top w:val="single" w:color="auto" w:sz="4" w:space="0"/>
              <w:left w:val="single" w:color="auto" w:sz="4" w:space="0"/>
              <w:bottom w:val="single" w:color="auto" w:sz="4" w:space="0"/>
              <w:right w:val="single" w:color="auto" w:sz="4" w:space="0"/>
            </w:tcBorders>
            <w:vAlign w:val="center"/>
          </w:tcPr>
          <w:p w14:paraId="695B0DAB">
            <w:pPr>
              <w:rPr>
                <w:rFonts w:ascii="宋体" w:hAnsi="宋体"/>
                <w:color w:val="auto"/>
                <w:szCs w:val="22"/>
                <w:highlight w:val="none"/>
              </w:rPr>
            </w:pPr>
          </w:p>
        </w:tc>
      </w:tr>
      <w:tr w14:paraId="77B8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vAlign w:val="center"/>
          </w:tcPr>
          <w:p w14:paraId="3415596A">
            <w:pPr>
              <w:rPr>
                <w:rFonts w:ascii="宋体" w:hAnsi="宋体"/>
                <w:color w:val="auto"/>
                <w:szCs w:val="22"/>
                <w:highlight w:val="none"/>
              </w:rPr>
            </w:pPr>
            <w:r>
              <w:rPr>
                <w:rFonts w:hint="eastAsia" w:ascii="宋体" w:hAnsi="宋体"/>
                <w:color w:val="auto"/>
                <w:szCs w:val="22"/>
                <w:highlight w:val="none"/>
              </w:rPr>
              <w:t>报价（包含税费等所有费用）：</w:t>
            </w:r>
            <w:r>
              <w:rPr>
                <w:rFonts w:hint="eastAsia" w:ascii="宋体" w:hAnsi="宋体"/>
                <w:b/>
                <w:color w:val="auto"/>
                <w:highlight w:val="none"/>
              </w:rPr>
              <w:t>折扣率</w:t>
            </w:r>
            <w:r>
              <w:rPr>
                <w:b/>
                <w:color w:val="auto"/>
                <w:highlight w:val="none"/>
                <w:u w:val="single"/>
              </w:rPr>
              <w:t xml:space="preserve">         </w:t>
            </w:r>
            <w:r>
              <w:rPr>
                <w:rFonts w:ascii="宋体" w:hAnsi="宋体" w:cs="宋体"/>
                <w:b/>
                <w:color w:val="auto"/>
                <w:kern w:val="0"/>
                <w:szCs w:val="21"/>
                <w:highlight w:val="none"/>
              </w:rPr>
              <w:t>%</w:t>
            </w:r>
          </w:p>
        </w:tc>
      </w:tr>
      <w:tr w14:paraId="0451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vAlign w:val="center"/>
          </w:tcPr>
          <w:p w14:paraId="223434DE">
            <w:pPr>
              <w:rPr>
                <w:rFonts w:ascii="宋体" w:hAnsi="宋体"/>
                <w:color w:val="auto"/>
                <w:szCs w:val="22"/>
                <w:highlight w:val="none"/>
              </w:rPr>
            </w:pPr>
            <w:r>
              <w:rPr>
                <w:rFonts w:hint="eastAsia" w:ascii="宋体" w:hAnsi="宋体"/>
                <w:color w:val="auto"/>
                <w:szCs w:val="21"/>
                <w:highlight w:val="none"/>
              </w:rPr>
              <w:t>标段</w:t>
            </w:r>
            <w:r>
              <w:rPr>
                <w:rFonts w:ascii="宋体" w:hAnsi="宋体"/>
                <w:color w:val="auto"/>
                <w:szCs w:val="21"/>
                <w:highlight w:val="none"/>
                <w:u w:val="single"/>
              </w:rPr>
              <w:t xml:space="preserve">     　　</w:t>
            </w:r>
          </w:p>
        </w:tc>
      </w:tr>
      <w:tr w14:paraId="1923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vAlign w:val="center"/>
          </w:tcPr>
          <w:p w14:paraId="143C62C7">
            <w:pPr>
              <w:rPr>
                <w:rFonts w:ascii="宋体" w:hAnsi="宋体"/>
                <w:color w:val="auto"/>
                <w:szCs w:val="22"/>
                <w:highlight w:val="none"/>
              </w:rPr>
            </w:pPr>
          </w:p>
        </w:tc>
      </w:tr>
    </w:tbl>
    <w:p w14:paraId="44814090">
      <w:pPr>
        <w:spacing w:line="400" w:lineRule="exact"/>
        <w:rPr>
          <w:rFonts w:ascii="宋体" w:hAnsi="宋体"/>
          <w:color w:val="auto"/>
          <w:szCs w:val="21"/>
          <w:highlight w:val="none"/>
        </w:rPr>
      </w:pPr>
    </w:p>
    <w:p w14:paraId="59B1985B">
      <w:pPr>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hAnsi="宋体"/>
          <w:bCs/>
          <w:color w:val="auto"/>
          <w:highlight w:val="none"/>
        </w:rPr>
        <w:t>报价指服务费、管理费、验收费、利润、税金及其它所有成本、费用的总和</w:t>
      </w:r>
      <w:r>
        <w:rPr>
          <w:rFonts w:hint="eastAsia" w:ascii="宋体" w:hAnsi="宋体"/>
          <w:color w:val="auto"/>
          <w:szCs w:val="21"/>
          <w:highlight w:val="none"/>
        </w:rPr>
        <w:t>。</w:t>
      </w:r>
    </w:p>
    <w:p w14:paraId="6B7837C6">
      <w:pPr>
        <w:pStyle w:val="21"/>
        <w:spacing w:line="500" w:lineRule="exact"/>
        <w:ind w:firstLine="420" w:firstLineChars="200"/>
        <w:rPr>
          <w:rFonts w:hAnsi="宋体"/>
          <w:color w:val="auto"/>
          <w:highlight w:val="none"/>
        </w:rPr>
      </w:pPr>
    </w:p>
    <w:p w14:paraId="0EDAED15">
      <w:pPr>
        <w:pStyle w:val="21"/>
        <w:spacing w:line="500" w:lineRule="exact"/>
        <w:ind w:firstLine="420" w:firstLineChars="200"/>
        <w:rPr>
          <w:rFonts w:hAnsi="宋体"/>
          <w:color w:val="auto"/>
          <w:highlight w:val="none"/>
          <w:u w:val="single"/>
        </w:rPr>
      </w:pPr>
      <w:r>
        <w:rPr>
          <w:rFonts w:hint="eastAsia" w:hAnsi="宋体"/>
          <w:color w:val="auto"/>
          <w:highlight w:val="none"/>
        </w:rPr>
        <w:t>法定代表人或委托代理人（签字或盖章）</w:t>
      </w:r>
      <w:r>
        <w:rPr>
          <w:rFonts w:hAnsi="宋体"/>
          <w:color w:val="auto"/>
          <w:highlight w:val="none"/>
        </w:rPr>
        <w:t>:</w:t>
      </w:r>
      <w:r>
        <w:rPr>
          <w:rFonts w:hAnsi="宋体"/>
          <w:color w:val="auto"/>
          <w:highlight w:val="none"/>
          <w:u w:val="single"/>
        </w:rPr>
        <w:t xml:space="preserve">              </w:t>
      </w:r>
    </w:p>
    <w:p w14:paraId="790EB501">
      <w:pPr>
        <w:pStyle w:val="21"/>
        <w:spacing w:line="500" w:lineRule="exact"/>
        <w:ind w:firstLine="420" w:firstLineChars="200"/>
        <w:rPr>
          <w:rFonts w:hAnsi="宋体"/>
          <w:color w:val="auto"/>
          <w:highlight w:val="none"/>
          <w:u w:val="single"/>
        </w:rPr>
      </w:pPr>
      <w:r>
        <w:rPr>
          <w:rFonts w:hint="eastAsia" w:hAnsi="宋体"/>
          <w:color w:val="auto"/>
          <w:highlight w:val="none"/>
        </w:rPr>
        <w:t>磋商供应商名称（盖章）：</w:t>
      </w:r>
      <w:r>
        <w:rPr>
          <w:rFonts w:hAnsi="宋体"/>
          <w:color w:val="auto"/>
          <w:highlight w:val="none"/>
          <w:u w:val="single"/>
        </w:rPr>
        <w:t xml:space="preserve">                             </w:t>
      </w:r>
    </w:p>
    <w:p w14:paraId="166B0A36">
      <w:pPr>
        <w:spacing w:line="500" w:lineRule="exact"/>
        <w:ind w:firstLine="420" w:firstLineChars="200"/>
        <w:rPr>
          <w:rFonts w:hAnsi="宋体"/>
          <w:color w:val="auto"/>
          <w:highlight w:val="none"/>
        </w:rPr>
      </w:pPr>
      <w:r>
        <w:rPr>
          <w:rFonts w:hint="eastAsia" w:hAnsi="宋体"/>
          <w:color w:val="auto"/>
          <w:highlight w:val="none"/>
        </w:rPr>
        <w:t>报价时间：</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C8FBE7F">
      <w:pPr>
        <w:adjustRightInd w:val="0"/>
        <w:snapToGrid w:val="0"/>
        <w:spacing w:line="500" w:lineRule="exact"/>
        <w:ind w:left="-88" w:leftChars="-42"/>
        <w:rPr>
          <w:rFonts w:ascii="宋体" w:hAnsi="宋体"/>
          <w:color w:val="auto"/>
          <w:szCs w:val="21"/>
          <w:highlight w:val="none"/>
        </w:rPr>
      </w:pPr>
      <w:r>
        <w:rPr>
          <w:rFonts w:hAnsi="宋体"/>
          <w:color w:val="auto"/>
          <w:highlight w:val="none"/>
        </w:rPr>
        <w:br w:type="page"/>
      </w:r>
      <w:r>
        <w:rPr>
          <w:rFonts w:hint="eastAsia" w:ascii="宋体" w:hAnsi="宋体"/>
          <w:b/>
          <w:color w:val="auto"/>
          <w:szCs w:val="21"/>
          <w:highlight w:val="none"/>
        </w:rPr>
        <w:t>附件二</w:t>
      </w:r>
    </w:p>
    <w:p w14:paraId="1B7AC81A">
      <w:pPr>
        <w:spacing w:line="520" w:lineRule="exact"/>
        <w:jc w:val="center"/>
        <w:rPr>
          <w:rFonts w:ascii="宋体" w:hAnsi="宋体"/>
          <w:b/>
          <w:color w:val="auto"/>
          <w:sz w:val="32"/>
          <w:szCs w:val="32"/>
          <w:highlight w:val="none"/>
        </w:rPr>
      </w:pPr>
      <w:r>
        <w:rPr>
          <w:rFonts w:hint="eastAsia" w:ascii="宋体" w:hAnsi="宋体"/>
          <w:b/>
          <w:color w:val="auto"/>
          <w:sz w:val="32"/>
          <w:szCs w:val="32"/>
          <w:highlight w:val="none"/>
        </w:rPr>
        <w:t>磋</w:t>
      </w:r>
      <w:r>
        <w:rPr>
          <w:rFonts w:ascii="宋体" w:hAnsi="宋体"/>
          <w:b/>
          <w:color w:val="auto"/>
          <w:sz w:val="32"/>
          <w:szCs w:val="32"/>
          <w:highlight w:val="none"/>
        </w:rPr>
        <w:t xml:space="preserve">  商  书</w:t>
      </w:r>
    </w:p>
    <w:p w14:paraId="4C6B2080">
      <w:pPr>
        <w:spacing w:line="520" w:lineRule="exact"/>
        <w:jc w:val="center"/>
        <w:rPr>
          <w:rFonts w:ascii="宋体" w:hAnsi="宋体"/>
          <w:b/>
          <w:color w:val="auto"/>
          <w:szCs w:val="21"/>
          <w:highlight w:val="none"/>
        </w:rPr>
      </w:pPr>
    </w:p>
    <w:p w14:paraId="50A9EA22">
      <w:pPr>
        <w:pStyle w:val="21"/>
        <w:spacing w:line="520" w:lineRule="exact"/>
        <w:rPr>
          <w:rFonts w:hAnsi="宋体"/>
          <w:color w:val="auto"/>
          <w:highlight w:val="none"/>
        </w:rPr>
      </w:pPr>
      <w:r>
        <w:rPr>
          <w:rFonts w:hint="eastAsia" w:hAnsi="宋体"/>
          <w:color w:val="auto"/>
          <w:highlight w:val="none"/>
          <w:u w:val="single"/>
        </w:rPr>
        <w:t>天勤工程咨询有限公司</w:t>
      </w:r>
      <w:r>
        <w:rPr>
          <w:rFonts w:hint="eastAsia" w:hAnsi="宋体"/>
          <w:color w:val="auto"/>
          <w:highlight w:val="none"/>
        </w:rPr>
        <w:t>：</w:t>
      </w:r>
    </w:p>
    <w:p w14:paraId="2B36247C">
      <w:pPr>
        <w:pStyle w:val="21"/>
        <w:spacing w:line="520" w:lineRule="exact"/>
        <w:ind w:firstLine="480"/>
        <w:rPr>
          <w:rFonts w:hAnsi="宋体"/>
          <w:color w:val="auto"/>
          <w:highlight w:val="none"/>
        </w:rPr>
      </w:pPr>
      <w:r>
        <w:rPr>
          <w:rFonts w:hint="eastAsia" w:hAnsi="宋体"/>
          <w:color w:val="auto"/>
          <w:highlight w:val="none"/>
        </w:rPr>
        <w:t>依据贵方</w:t>
      </w:r>
      <w:r>
        <w:rPr>
          <w:rFonts w:hint="eastAsia" w:hAnsi="宋体"/>
          <w:color w:val="auto"/>
          <w:highlight w:val="none"/>
          <w:u w:val="single"/>
        </w:rPr>
        <w:t>（</w:t>
      </w:r>
      <w:r>
        <w:rPr>
          <w:rFonts w:hint="eastAsia" w:hAnsi="宋体" w:cs="宋体"/>
          <w:color w:val="auto"/>
          <w:highlight w:val="none"/>
        </w:rPr>
        <w:t>广西壮族自治区自然资源生态修复中心业务租车服务采购</w:t>
      </w:r>
      <w:r>
        <w:rPr>
          <w:rFonts w:hAnsi="宋体"/>
          <w:color w:val="auto"/>
          <w:highlight w:val="none"/>
          <w:u w:val="single"/>
        </w:rPr>
        <w:t>/采购项目编号）</w:t>
      </w:r>
      <w:r>
        <w:rPr>
          <w:rFonts w:hint="eastAsia" w:hAnsi="宋体"/>
          <w:color w:val="auto"/>
          <w:highlight w:val="none"/>
        </w:rPr>
        <w:t>项目政府采购的磋商邀请，我方</w:t>
      </w:r>
      <w:r>
        <w:rPr>
          <w:rFonts w:hint="eastAsia" w:hAnsi="宋体"/>
          <w:color w:val="auto"/>
          <w:highlight w:val="none"/>
          <w:u w:val="single"/>
        </w:rPr>
        <w:t>（姓名和职务）</w:t>
      </w:r>
      <w:r>
        <w:rPr>
          <w:rFonts w:hint="eastAsia" w:hAnsi="宋体"/>
          <w:color w:val="auto"/>
          <w:highlight w:val="none"/>
        </w:rPr>
        <w:t>经正式授权并代表本单位</w:t>
      </w:r>
      <w:r>
        <w:rPr>
          <w:rFonts w:hint="eastAsia" w:hAnsi="宋体"/>
          <w:color w:val="auto"/>
          <w:highlight w:val="none"/>
          <w:u w:val="single"/>
        </w:rPr>
        <w:t>（磋商供应商名称、地址）</w:t>
      </w:r>
      <w:r>
        <w:rPr>
          <w:rFonts w:hint="eastAsia" w:hAnsi="宋体"/>
          <w:color w:val="auto"/>
          <w:highlight w:val="none"/>
        </w:rPr>
        <w:t>提交下述竞争性磋商响应文件</w:t>
      </w:r>
      <w:r>
        <w:rPr>
          <w:rFonts w:hint="eastAsia" w:hAnsi="宋体"/>
          <w:b/>
          <w:color w:val="auto"/>
          <w:highlight w:val="none"/>
        </w:rPr>
        <w:t>（价格文件、商务技术文件）。</w:t>
      </w:r>
    </w:p>
    <w:p w14:paraId="007ED908">
      <w:pPr>
        <w:pStyle w:val="21"/>
        <w:spacing w:line="520" w:lineRule="exact"/>
        <w:ind w:firstLine="480"/>
        <w:rPr>
          <w:rFonts w:hAnsi="宋体"/>
          <w:color w:val="auto"/>
          <w:highlight w:val="none"/>
        </w:rPr>
      </w:pPr>
      <w:r>
        <w:rPr>
          <w:rFonts w:hAnsi="宋体"/>
          <w:color w:val="auto"/>
          <w:highlight w:val="none"/>
        </w:rPr>
        <w:t xml:space="preserve">1. </w:t>
      </w:r>
      <w:r>
        <w:rPr>
          <w:rFonts w:hint="eastAsia" w:hAnsi="宋体"/>
          <w:color w:val="auto"/>
          <w:highlight w:val="none"/>
        </w:rPr>
        <w:t>报价表；</w:t>
      </w:r>
    </w:p>
    <w:p w14:paraId="4EE422D8">
      <w:pPr>
        <w:pStyle w:val="21"/>
        <w:spacing w:line="520" w:lineRule="exact"/>
        <w:ind w:firstLine="480"/>
        <w:rPr>
          <w:rFonts w:hAnsi="宋体"/>
          <w:color w:val="auto"/>
          <w:highlight w:val="none"/>
        </w:rPr>
      </w:pPr>
      <w:r>
        <w:rPr>
          <w:rFonts w:hAnsi="宋体"/>
          <w:color w:val="auto"/>
          <w:highlight w:val="none"/>
        </w:rPr>
        <w:t xml:space="preserve">2. </w:t>
      </w:r>
      <w:r>
        <w:rPr>
          <w:rFonts w:hint="eastAsia" w:hAnsi="宋体"/>
          <w:color w:val="auto"/>
          <w:highlight w:val="none"/>
        </w:rPr>
        <w:t>商务、服务响应、偏离情况说明表；</w:t>
      </w:r>
    </w:p>
    <w:p w14:paraId="709B1EC7">
      <w:pPr>
        <w:pStyle w:val="21"/>
        <w:spacing w:line="520" w:lineRule="exact"/>
        <w:ind w:firstLine="480"/>
        <w:rPr>
          <w:rFonts w:hAnsi="宋体"/>
          <w:color w:val="auto"/>
          <w:highlight w:val="none"/>
        </w:rPr>
      </w:pPr>
      <w:r>
        <w:rPr>
          <w:rFonts w:hAnsi="宋体"/>
          <w:color w:val="auto"/>
          <w:highlight w:val="none"/>
        </w:rPr>
        <w:t xml:space="preserve">3. </w:t>
      </w:r>
      <w:r>
        <w:rPr>
          <w:rFonts w:hint="eastAsia" w:hAnsi="宋体"/>
          <w:color w:val="auto"/>
          <w:highlight w:val="none"/>
        </w:rPr>
        <w:t>资格证明文件；</w:t>
      </w:r>
    </w:p>
    <w:p w14:paraId="798AD03A">
      <w:pPr>
        <w:pStyle w:val="21"/>
        <w:spacing w:line="520" w:lineRule="exact"/>
        <w:ind w:firstLine="480"/>
        <w:rPr>
          <w:rFonts w:hAnsi="宋体"/>
          <w:color w:val="auto"/>
          <w:highlight w:val="none"/>
        </w:rPr>
      </w:pPr>
      <w:r>
        <w:rPr>
          <w:rFonts w:hAnsi="宋体"/>
          <w:color w:val="auto"/>
          <w:highlight w:val="none"/>
        </w:rPr>
        <w:t xml:space="preserve">4. </w:t>
      </w:r>
      <w:r>
        <w:rPr>
          <w:rFonts w:hint="eastAsia" w:hAnsi="宋体"/>
          <w:color w:val="auto"/>
          <w:highlight w:val="none"/>
        </w:rPr>
        <w:t>按竞争性磋商文件磋商供应商须知和采购需求提供的有关文件；</w:t>
      </w:r>
    </w:p>
    <w:p w14:paraId="6117DD9F">
      <w:pPr>
        <w:pStyle w:val="21"/>
        <w:spacing w:line="520" w:lineRule="exact"/>
        <w:ind w:firstLine="480"/>
        <w:rPr>
          <w:rFonts w:hAnsi="宋体"/>
          <w:color w:val="auto"/>
          <w:highlight w:val="none"/>
        </w:rPr>
      </w:pPr>
      <w:r>
        <w:rPr>
          <w:rFonts w:hint="eastAsia" w:hAnsi="宋体"/>
          <w:color w:val="auto"/>
          <w:highlight w:val="none"/>
        </w:rPr>
        <w:t>在此，授权代表宣布同意如下：</w:t>
      </w:r>
    </w:p>
    <w:p w14:paraId="1108B956">
      <w:pPr>
        <w:pStyle w:val="21"/>
        <w:spacing w:line="520" w:lineRule="exact"/>
        <w:ind w:firstLine="480"/>
        <w:rPr>
          <w:rFonts w:hAnsi="宋体"/>
          <w:color w:val="auto"/>
          <w:highlight w:val="none"/>
        </w:rPr>
      </w:pPr>
      <w:r>
        <w:rPr>
          <w:rFonts w:hAnsi="宋体"/>
          <w:color w:val="auto"/>
          <w:highlight w:val="none"/>
        </w:rPr>
        <w:t xml:space="preserve">1. </w:t>
      </w:r>
      <w:r>
        <w:rPr>
          <w:rFonts w:hint="eastAsia" w:hAnsi="宋体"/>
          <w:color w:val="auto"/>
          <w:highlight w:val="none"/>
        </w:rPr>
        <w:t>将按竞争性磋商文件的约定履行合同责任和义务；</w:t>
      </w:r>
    </w:p>
    <w:p w14:paraId="7394B95C">
      <w:pPr>
        <w:pStyle w:val="21"/>
        <w:spacing w:line="520" w:lineRule="exact"/>
        <w:ind w:firstLine="480"/>
        <w:rPr>
          <w:rFonts w:hAnsi="宋体"/>
          <w:color w:val="auto"/>
          <w:highlight w:val="none"/>
        </w:rPr>
      </w:pPr>
      <w:r>
        <w:rPr>
          <w:rFonts w:hAnsi="宋体"/>
          <w:color w:val="auto"/>
          <w:highlight w:val="none"/>
        </w:rPr>
        <w:t xml:space="preserve">2. </w:t>
      </w:r>
      <w:r>
        <w:rPr>
          <w:rFonts w:hint="eastAsia" w:hAnsi="宋体"/>
          <w:color w:val="auto"/>
          <w:highlight w:val="none"/>
        </w:rPr>
        <w:t>已详细审查全部竞争性磋商文件，包括</w:t>
      </w:r>
      <w:r>
        <w:rPr>
          <w:rFonts w:hint="eastAsia" w:hAnsi="宋体"/>
          <w:color w:val="auto"/>
          <w:highlight w:val="none"/>
          <w:u w:val="single"/>
        </w:rPr>
        <w:t>（补遗文件）（如果有的话）</w:t>
      </w:r>
      <w:r>
        <w:rPr>
          <w:rFonts w:hint="eastAsia" w:hAnsi="宋体"/>
          <w:color w:val="auto"/>
          <w:highlight w:val="none"/>
        </w:rPr>
        <w:t>；</w:t>
      </w:r>
    </w:p>
    <w:p w14:paraId="2718BF85">
      <w:pPr>
        <w:pStyle w:val="21"/>
        <w:spacing w:line="520" w:lineRule="exact"/>
        <w:ind w:firstLine="480"/>
        <w:rPr>
          <w:rFonts w:hAnsi="宋体"/>
          <w:color w:val="auto"/>
          <w:highlight w:val="none"/>
        </w:rPr>
      </w:pPr>
      <w:r>
        <w:rPr>
          <w:rFonts w:hAnsi="宋体"/>
          <w:color w:val="auto"/>
          <w:highlight w:val="none"/>
        </w:rPr>
        <w:t xml:space="preserve">3. </w:t>
      </w:r>
      <w:r>
        <w:rPr>
          <w:rFonts w:hint="eastAsia" w:hAnsi="宋体"/>
          <w:color w:val="auto"/>
          <w:highlight w:val="none"/>
        </w:rPr>
        <w:t>同意提供按照贵方可能要求的与其磋商有关的一切数据或资料；</w:t>
      </w:r>
    </w:p>
    <w:p w14:paraId="392A8298">
      <w:pPr>
        <w:pStyle w:val="21"/>
        <w:spacing w:line="520" w:lineRule="exact"/>
        <w:ind w:firstLine="480"/>
        <w:rPr>
          <w:rFonts w:hAnsi="宋体"/>
          <w:color w:val="auto"/>
          <w:highlight w:val="none"/>
          <w:u w:val="single"/>
        </w:rPr>
      </w:pPr>
      <w:r>
        <w:rPr>
          <w:rFonts w:hAnsi="宋体"/>
          <w:color w:val="auto"/>
          <w:highlight w:val="none"/>
        </w:rPr>
        <w:t xml:space="preserve">4. </w:t>
      </w:r>
      <w:r>
        <w:rPr>
          <w:rFonts w:hint="eastAsia" w:hAnsi="宋体"/>
          <w:color w:val="auto"/>
          <w:highlight w:val="none"/>
        </w:rPr>
        <w:t>与本磋商有关的一切正式往来信函请寄：</w:t>
      </w:r>
      <w:r>
        <w:rPr>
          <w:rFonts w:hAnsi="宋体"/>
          <w:color w:val="auto"/>
          <w:highlight w:val="none"/>
          <w:u w:val="single"/>
        </w:rPr>
        <w:t xml:space="preserve">                                    </w:t>
      </w:r>
    </w:p>
    <w:p w14:paraId="14EFC6E1">
      <w:pPr>
        <w:pStyle w:val="21"/>
        <w:spacing w:line="520" w:lineRule="exact"/>
        <w:ind w:firstLine="840"/>
        <w:rPr>
          <w:rFonts w:hAnsi="宋体"/>
          <w:color w:val="auto"/>
          <w:highlight w:val="none"/>
          <w:u w:val="single"/>
        </w:rPr>
      </w:pPr>
      <w:r>
        <w:rPr>
          <w:rFonts w:hint="eastAsia" w:hAnsi="宋体"/>
          <w:color w:val="auto"/>
          <w:highlight w:val="none"/>
        </w:rPr>
        <w:t>开户银行：</w:t>
      </w:r>
      <w:r>
        <w:rPr>
          <w:rFonts w:hAnsi="宋体"/>
          <w:color w:val="auto"/>
          <w:highlight w:val="none"/>
          <w:u w:val="single"/>
        </w:rPr>
        <w:t xml:space="preserve">                         </w:t>
      </w:r>
      <w:r>
        <w:rPr>
          <w:rFonts w:hAnsi="宋体"/>
          <w:color w:val="auto"/>
          <w:highlight w:val="none"/>
        </w:rPr>
        <w:t xml:space="preserve">  账号/行号：</w:t>
      </w:r>
      <w:r>
        <w:rPr>
          <w:rFonts w:hAnsi="宋体"/>
          <w:color w:val="auto"/>
          <w:highlight w:val="none"/>
          <w:u w:val="single"/>
        </w:rPr>
        <w:t xml:space="preserve">                       </w:t>
      </w:r>
    </w:p>
    <w:p w14:paraId="13036055">
      <w:pPr>
        <w:pStyle w:val="21"/>
        <w:spacing w:line="520" w:lineRule="exact"/>
        <w:ind w:firstLine="840"/>
        <w:rPr>
          <w:rFonts w:hAnsi="宋体"/>
          <w:color w:val="auto"/>
          <w:highlight w:val="none"/>
        </w:rPr>
      </w:pPr>
      <w:r>
        <w:rPr>
          <w:rFonts w:hint="eastAsia" w:hAnsi="宋体"/>
          <w:color w:val="auto"/>
          <w:highlight w:val="none"/>
        </w:rPr>
        <w:t>电话</w:t>
      </w:r>
      <w:r>
        <w:rPr>
          <w:rFonts w:hAnsi="宋体"/>
          <w:color w:val="auto"/>
          <w:highlight w:val="none"/>
        </w:rPr>
        <w:t>/传真：</w:t>
      </w:r>
      <w:r>
        <w:rPr>
          <w:rFonts w:hAnsi="宋体"/>
          <w:color w:val="auto"/>
          <w:highlight w:val="none"/>
          <w:u w:val="single"/>
        </w:rPr>
        <w:t xml:space="preserve">                        </w:t>
      </w:r>
      <w:r>
        <w:rPr>
          <w:rFonts w:hAnsi="宋体"/>
          <w:color w:val="auto"/>
          <w:highlight w:val="none"/>
        </w:rPr>
        <w:t xml:space="preserve"> 电子函件：</w:t>
      </w:r>
      <w:r>
        <w:rPr>
          <w:rFonts w:hAnsi="宋体"/>
          <w:color w:val="auto"/>
          <w:highlight w:val="none"/>
          <w:u w:val="single"/>
        </w:rPr>
        <w:t xml:space="preserve">                         </w:t>
      </w:r>
    </w:p>
    <w:p w14:paraId="61DB4C55">
      <w:pPr>
        <w:pStyle w:val="21"/>
        <w:spacing w:line="520" w:lineRule="exact"/>
        <w:ind w:firstLine="840"/>
        <w:rPr>
          <w:rFonts w:hAnsi="宋体"/>
          <w:color w:val="auto"/>
          <w:highlight w:val="none"/>
          <w:u w:val="single"/>
        </w:rPr>
      </w:pPr>
      <w:r>
        <w:rPr>
          <w:rFonts w:hint="eastAsia" w:hAnsi="宋体"/>
          <w:color w:val="auto"/>
          <w:highlight w:val="none"/>
        </w:rPr>
        <w:t>日期：</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043CDC65">
      <w:pPr>
        <w:pStyle w:val="21"/>
        <w:spacing w:line="520" w:lineRule="exact"/>
        <w:ind w:firstLine="840"/>
        <w:rPr>
          <w:rFonts w:hAnsi="宋体"/>
          <w:color w:val="auto"/>
          <w:highlight w:val="none"/>
          <w:u w:val="single"/>
        </w:rPr>
      </w:pPr>
      <w:r>
        <w:rPr>
          <w:rFonts w:hint="eastAsia" w:hAnsi="宋体"/>
          <w:color w:val="auto"/>
          <w:highlight w:val="none"/>
        </w:rPr>
        <w:t>法定代表人或</w:t>
      </w:r>
      <w:r>
        <w:rPr>
          <w:rFonts w:hint="eastAsia"/>
          <w:color w:val="auto"/>
          <w:highlight w:val="none"/>
        </w:rPr>
        <w:t>委托代理人（被授权人）</w:t>
      </w:r>
      <w:r>
        <w:rPr>
          <w:rFonts w:hint="eastAsia" w:hAnsi="宋体"/>
          <w:color w:val="auto"/>
          <w:highlight w:val="none"/>
        </w:rPr>
        <w:t>签字或盖章：</w:t>
      </w:r>
      <w:r>
        <w:rPr>
          <w:rFonts w:hAnsi="宋体"/>
          <w:color w:val="auto"/>
          <w:highlight w:val="none"/>
          <w:u w:val="single"/>
        </w:rPr>
        <w:t xml:space="preserve">                       </w:t>
      </w:r>
    </w:p>
    <w:p w14:paraId="2AE3CB4E">
      <w:pPr>
        <w:pStyle w:val="21"/>
        <w:spacing w:line="520" w:lineRule="exact"/>
        <w:ind w:firstLine="840"/>
        <w:rPr>
          <w:rFonts w:hAnsi="宋体"/>
          <w:color w:val="auto"/>
          <w:highlight w:val="none"/>
        </w:rPr>
      </w:pPr>
      <w:r>
        <w:rPr>
          <w:rFonts w:hint="eastAsia" w:hAnsi="宋体"/>
          <w:color w:val="auto"/>
          <w:highlight w:val="none"/>
        </w:rPr>
        <w:t>磋商供应商名称（盖章）：</w:t>
      </w:r>
      <w:r>
        <w:rPr>
          <w:rFonts w:hAnsi="宋体"/>
          <w:color w:val="auto"/>
          <w:highlight w:val="none"/>
          <w:u w:val="single"/>
        </w:rPr>
        <w:t xml:space="preserve">                                                </w:t>
      </w:r>
    </w:p>
    <w:p w14:paraId="499D343E">
      <w:pPr>
        <w:pStyle w:val="21"/>
        <w:spacing w:line="520" w:lineRule="exact"/>
        <w:ind w:firstLine="840"/>
        <w:rPr>
          <w:rFonts w:hAnsi="宋体"/>
          <w:color w:val="auto"/>
          <w:highlight w:val="none"/>
        </w:rPr>
      </w:pPr>
      <w:r>
        <w:rPr>
          <w:rFonts w:hAnsi="宋体"/>
          <w:color w:val="auto"/>
          <w:highlight w:val="none"/>
        </w:rPr>
        <w:t xml:space="preserve">                     </w:t>
      </w:r>
    </w:p>
    <w:p w14:paraId="6AD20C0E">
      <w:pPr>
        <w:adjustRightInd w:val="0"/>
        <w:snapToGrid w:val="0"/>
        <w:spacing w:line="300" w:lineRule="auto"/>
        <w:ind w:left="-88" w:leftChars="-42"/>
        <w:rPr>
          <w:rFonts w:ascii="宋体" w:hAnsi="宋体"/>
          <w:color w:val="auto"/>
          <w:szCs w:val="21"/>
          <w:highlight w:val="none"/>
        </w:rPr>
      </w:pPr>
    </w:p>
    <w:p w14:paraId="7036C796">
      <w:pPr>
        <w:adjustRightInd w:val="0"/>
        <w:snapToGrid w:val="0"/>
        <w:spacing w:line="300" w:lineRule="auto"/>
        <w:ind w:left="-88" w:leftChars="-42"/>
        <w:rPr>
          <w:rFonts w:ascii="宋体" w:hAnsi="宋体"/>
          <w:color w:val="auto"/>
          <w:szCs w:val="21"/>
          <w:highlight w:val="none"/>
        </w:rPr>
      </w:pPr>
    </w:p>
    <w:p w14:paraId="2E9C9A6F">
      <w:pPr>
        <w:adjustRightInd w:val="0"/>
        <w:snapToGrid w:val="0"/>
        <w:spacing w:line="300" w:lineRule="auto"/>
        <w:ind w:left="-88" w:leftChars="-42"/>
        <w:rPr>
          <w:rFonts w:ascii="宋体" w:hAnsi="宋体"/>
          <w:color w:val="auto"/>
          <w:szCs w:val="21"/>
          <w:highlight w:val="none"/>
        </w:rPr>
      </w:pPr>
    </w:p>
    <w:p w14:paraId="3E7225B9">
      <w:pPr>
        <w:adjustRightInd w:val="0"/>
        <w:snapToGrid w:val="0"/>
        <w:spacing w:line="300" w:lineRule="auto"/>
        <w:ind w:left="-88" w:leftChars="-42"/>
        <w:rPr>
          <w:rFonts w:ascii="宋体" w:hAnsi="宋体"/>
          <w:color w:val="auto"/>
          <w:szCs w:val="21"/>
          <w:highlight w:val="none"/>
        </w:rPr>
      </w:pPr>
    </w:p>
    <w:p w14:paraId="3AD15366">
      <w:pPr>
        <w:adjustRightInd w:val="0"/>
        <w:snapToGrid w:val="0"/>
        <w:spacing w:line="300" w:lineRule="auto"/>
        <w:ind w:left="-88" w:leftChars="-42"/>
        <w:rPr>
          <w:rFonts w:ascii="宋体" w:hAnsi="宋体"/>
          <w:color w:val="auto"/>
          <w:szCs w:val="21"/>
          <w:highlight w:val="none"/>
        </w:rPr>
      </w:pPr>
    </w:p>
    <w:p w14:paraId="0EA9F55E">
      <w:pPr>
        <w:adjustRightInd w:val="0"/>
        <w:snapToGrid w:val="0"/>
        <w:spacing w:line="300" w:lineRule="auto"/>
        <w:ind w:left="-88" w:leftChars="-42"/>
        <w:rPr>
          <w:rFonts w:ascii="宋体" w:hAnsi="宋体"/>
          <w:color w:val="auto"/>
          <w:szCs w:val="21"/>
          <w:highlight w:val="none"/>
        </w:rPr>
      </w:pPr>
    </w:p>
    <w:p w14:paraId="28FAB7DC">
      <w:pPr>
        <w:spacing w:line="520" w:lineRule="exact"/>
        <w:jc w:val="center"/>
        <w:rPr>
          <w:rFonts w:ascii="宋体" w:hAnsi="宋体"/>
          <w:b/>
          <w:color w:val="auto"/>
          <w:sz w:val="32"/>
          <w:szCs w:val="32"/>
          <w:highlight w:val="none"/>
        </w:rPr>
      </w:pPr>
      <w:r>
        <w:rPr>
          <w:rFonts w:ascii="宋体" w:hAnsi="宋体"/>
          <w:color w:val="auto"/>
          <w:sz w:val="32"/>
          <w:szCs w:val="32"/>
          <w:highlight w:val="none"/>
        </w:rPr>
        <w:br w:type="page"/>
      </w:r>
      <w:r>
        <w:rPr>
          <w:rFonts w:hint="eastAsia" w:ascii="宋体" w:hAnsi="宋体"/>
          <w:b/>
          <w:color w:val="auto"/>
          <w:sz w:val="32"/>
          <w:szCs w:val="32"/>
          <w:highlight w:val="none"/>
        </w:rPr>
        <w:t>磋商声明书</w:t>
      </w:r>
    </w:p>
    <w:p w14:paraId="7AA7BAB4">
      <w:pPr>
        <w:spacing w:line="320" w:lineRule="exact"/>
        <w:jc w:val="center"/>
        <w:rPr>
          <w:rFonts w:ascii="宋体" w:hAnsi="宋体"/>
          <w:color w:val="auto"/>
          <w:sz w:val="24"/>
          <w:szCs w:val="20"/>
          <w:highlight w:val="none"/>
        </w:rPr>
      </w:pPr>
    </w:p>
    <w:p w14:paraId="66250B74">
      <w:pPr>
        <w:snapToGrid w:val="0"/>
        <w:spacing w:before="156" w:beforeLines="50" w:after="50" w:line="38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天勤工程咨询有限公司</w:t>
      </w:r>
      <w:r>
        <w:rPr>
          <w:rFonts w:hint="eastAsia" w:ascii="宋体" w:hAnsi="宋体"/>
          <w:color w:val="auto"/>
          <w:szCs w:val="21"/>
          <w:highlight w:val="none"/>
        </w:rPr>
        <w:t>：</w:t>
      </w:r>
    </w:p>
    <w:p w14:paraId="39CCF072">
      <w:pPr>
        <w:snapToGrid w:val="0"/>
        <w:spacing w:before="156" w:beforeLines="50" w:after="50" w:line="380" w:lineRule="exact"/>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（供应商名称）系中华人民共和国合法企业，经营地址</w:t>
      </w:r>
      <w:r>
        <w:rPr>
          <w:rFonts w:ascii="宋体" w:hAnsi="宋体"/>
          <w:color w:val="auto"/>
          <w:szCs w:val="21"/>
          <w:highlight w:val="none"/>
          <w:u w:val="single"/>
        </w:rPr>
        <w:t xml:space="preserve">                  </w:t>
      </w:r>
      <w:r>
        <w:rPr>
          <w:rFonts w:hint="eastAsia" w:ascii="宋体" w:hAnsi="宋体"/>
          <w:color w:val="auto"/>
          <w:szCs w:val="21"/>
          <w:highlight w:val="none"/>
        </w:rPr>
        <w:t>。</w:t>
      </w:r>
    </w:p>
    <w:p w14:paraId="4570D3CE">
      <w:pPr>
        <w:snapToGrid w:val="0"/>
        <w:spacing w:before="156" w:beforeLines="50" w:line="380" w:lineRule="exact"/>
        <w:ind w:firstLine="420" w:firstLineChars="200"/>
        <w:rPr>
          <w:rFonts w:ascii="宋体" w:hAns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u w:val="single"/>
        </w:rPr>
        <w:t xml:space="preserve">                </w:t>
      </w:r>
      <w:r>
        <w:rPr>
          <w:rFonts w:hint="eastAsia" w:ascii="宋体" w:hAnsi="宋体"/>
          <w:color w:val="auto"/>
          <w:szCs w:val="21"/>
          <w:highlight w:val="none"/>
        </w:rPr>
        <w:t>（供应商名称）的法定代表人，我方愿意参加贵方组织的</w:t>
      </w:r>
      <w:r>
        <w:rPr>
          <w:rFonts w:ascii="宋体" w:hAnsi="宋体"/>
          <w:color w:val="auto"/>
          <w:szCs w:val="21"/>
          <w:highlight w:val="none"/>
          <w:u w:val="single"/>
        </w:rPr>
        <w:t xml:space="preserve">              </w:t>
      </w:r>
      <w:r>
        <w:rPr>
          <w:rFonts w:hint="eastAsia" w:ascii="宋体" w:hAnsi="宋体"/>
          <w:color w:val="auto"/>
          <w:szCs w:val="21"/>
          <w:highlight w:val="none"/>
        </w:rPr>
        <w:t>项目的磋商活动，为便于贵方公正、择优地确定成交供应商及其竞标产品和服务，我方就本次磋商有关事项郑重声明如下：</w:t>
      </w:r>
    </w:p>
    <w:p w14:paraId="2992A4A9">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1.我方向贵方提交的所有响应文件、资料都是准确的和真实的。</w:t>
      </w:r>
    </w:p>
    <w:p w14:paraId="6DC0F77F">
      <w:pPr>
        <w:snapToGrid w:val="0"/>
        <w:spacing w:before="156" w:beforeLines="50" w:line="380" w:lineRule="exact"/>
        <w:ind w:firstLine="420" w:firstLineChars="200"/>
        <w:rPr>
          <w:rFonts w:ascii="宋体" w:hAnsi="宋体"/>
          <w:color w:val="auto"/>
          <w:szCs w:val="21"/>
          <w:highlight w:val="none"/>
        </w:rPr>
      </w:pPr>
      <w:r>
        <w:rPr>
          <w:rFonts w:ascii="宋体" w:hAnsi="宋体"/>
          <w:color w:val="auto"/>
          <w:szCs w:val="21"/>
          <w:highlight w:val="none"/>
        </w:rPr>
        <w:t>2.我方不是采购人的附属机构；在获知本项目采购信息后，与采购人聘请的为此项目提供咨询服务的公司及其附属机构没有任何联系。</w:t>
      </w:r>
    </w:p>
    <w:p w14:paraId="2EE1F711">
      <w:pPr>
        <w:snapToGrid w:val="0"/>
        <w:spacing w:before="156" w:beforeLines="50" w:line="380" w:lineRule="exact"/>
        <w:ind w:firstLine="420" w:firstLineChars="200"/>
        <w:rPr>
          <w:rFonts w:ascii="宋体" w:hAnsi="宋体"/>
          <w:color w:val="auto"/>
          <w:szCs w:val="21"/>
          <w:highlight w:val="none"/>
        </w:rPr>
      </w:pPr>
      <w:r>
        <w:rPr>
          <w:rFonts w:ascii="宋体" w:hAnsi="宋体"/>
          <w:color w:val="auto"/>
          <w:szCs w:val="21"/>
          <w:highlight w:val="none"/>
        </w:rPr>
        <w:t>3.我方此次向贵方提供的产品（服务）名称为：</w:t>
      </w:r>
      <w:r>
        <w:rPr>
          <w:rFonts w:ascii="宋体" w:hAnsi="宋体"/>
          <w:color w:val="auto"/>
          <w:szCs w:val="21"/>
          <w:highlight w:val="none"/>
          <w:u w:val="single"/>
        </w:rPr>
        <w:t xml:space="preserve">                              </w:t>
      </w:r>
      <w:r>
        <w:rPr>
          <w:rFonts w:hint="eastAsia" w:ascii="宋体" w:hAnsi="宋体"/>
          <w:color w:val="auto"/>
          <w:szCs w:val="21"/>
          <w:highlight w:val="none"/>
        </w:rPr>
        <w:t>；我方承诺具备履行合同所必需的设备和专业技术能力。</w:t>
      </w:r>
    </w:p>
    <w:p w14:paraId="3D00C3D5">
      <w:pPr>
        <w:snapToGrid w:val="0"/>
        <w:spacing w:before="156" w:beforeLines="50" w:line="380" w:lineRule="exact"/>
        <w:ind w:firstLine="420" w:firstLineChars="200"/>
        <w:rPr>
          <w:rFonts w:ascii="宋体" w:hAnsi="宋体"/>
          <w:color w:val="auto"/>
          <w:szCs w:val="21"/>
          <w:highlight w:val="none"/>
        </w:rPr>
      </w:pPr>
      <w:r>
        <w:rPr>
          <w:rFonts w:ascii="宋体" w:hAnsi="宋体"/>
          <w:color w:val="auto"/>
          <w:szCs w:val="21"/>
          <w:highlight w:val="none"/>
        </w:rPr>
        <w:t>4.我方诚意提请贵方关注：近期有关该型号产品（服务）的生产、供货、售后服务以及性能等方面的重大决策和事项有：</w:t>
      </w:r>
    </w:p>
    <w:p w14:paraId="7E63B24F">
      <w:pPr>
        <w:snapToGrid w:val="0"/>
        <w:spacing w:before="156" w:beforeLines="5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14:paraId="42A6496B">
      <w:pPr>
        <w:snapToGrid w:val="0"/>
        <w:spacing w:before="156" w:beforeLines="5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w:t>
      </w:r>
    </w:p>
    <w:p w14:paraId="6DF252EF">
      <w:pPr>
        <w:pStyle w:val="18"/>
        <w:snapToGrid w:val="0"/>
        <w:spacing w:line="380" w:lineRule="exact"/>
        <w:ind w:firstLine="420" w:firstLineChars="200"/>
        <w:rPr>
          <w:rFonts w:ascii="宋体" w:hAnsi="宋体"/>
          <w:color w:val="auto"/>
          <w:sz w:val="21"/>
          <w:szCs w:val="21"/>
          <w:highlight w:val="none"/>
          <w:u w:val="single"/>
        </w:rPr>
      </w:pPr>
      <w:r>
        <w:rPr>
          <w:rFonts w:ascii="宋体" w:hAnsi="宋体" w:eastAsia="宋体"/>
          <w:color w:val="auto"/>
          <w:sz w:val="21"/>
          <w:szCs w:val="21"/>
          <w:highlight w:val="none"/>
        </w:rPr>
        <w:t xml:space="preserve">5. </w:t>
      </w:r>
      <w:r>
        <w:rPr>
          <w:rFonts w:hint="eastAsia" w:ascii="宋体" w:hAnsi="宋体" w:eastAsia="宋体"/>
          <w:color w:val="auto"/>
          <w:sz w:val="21"/>
          <w:szCs w:val="21"/>
          <w:highlight w:val="none"/>
        </w:rPr>
        <w:t>以上事项如有虚假或隐瞒，我方愿意承担一切后果，并不再寻求任何旨在减轻或免除法律责任的辩解。</w:t>
      </w:r>
    </w:p>
    <w:p w14:paraId="1B253E7D">
      <w:pPr>
        <w:spacing w:line="380" w:lineRule="exact"/>
        <w:ind w:firstLine="420" w:firstLineChars="200"/>
        <w:rPr>
          <w:rFonts w:ascii="宋体" w:hAns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根据</w:t>
      </w:r>
      <w:r>
        <w:rPr>
          <w:rFonts w:ascii="宋体" w:hAnsi="宋体"/>
          <w:color w:val="auto"/>
          <w:szCs w:val="21"/>
          <w:highlight w:val="none"/>
        </w:rPr>
        <w:t>《中华人民共和国政府采购法实施条例》第五十条要求对政府采购合同进行公告</w:t>
      </w:r>
      <w:r>
        <w:rPr>
          <w:rFonts w:hint="eastAsia" w:ascii="宋体" w:hAnsi="宋体"/>
          <w:color w:val="auto"/>
          <w:szCs w:val="21"/>
          <w:highlight w:val="none"/>
        </w:rPr>
        <w:t>，</w:t>
      </w:r>
      <w:r>
        <w:rPr>
          <w:rFonts w:ascii="宋体" w:hAnsi="宋体"/>
          <w:color w:val="auto"/>
          <w:szCs w:val="21"/>
          <w:highlight w:val="none"/>
        </w:rPr>
        <w:t>但政府采购合同中涉及国家秘密、商业秘密的内容除外。</w:t>
      </w:r>
      <w:r>
        <w:rPr>
          <w:rFonts w:hint="eastAsia" w:ascii="宋体" w:hAnsi="宋体"/>
          <w:color w:val="auto"/>
          <w:szCs w:val="21"/>
          <w:highlight w:val="none"/>
        </w:rPr>
        <w:t>我方就对本次响应文件进行注明如下：（两项内容中必须选择一项）</w:t>
      </w:r>
    </w:p>
    <w:p w14:paraId="29A8C4C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□我方本次响应文件</w:t>
      </w:r>
      <w:r>
        <w:rPr>
          <w:rFonts w:ascii="宋体" w:hAnsi="宋体" w:cs="宋体"/>
          <w:color w:val="auto"/>
          <w:kern w:val="0"/>
          <w:szCs w:val="21"/>
          <w:highlight w:val="none"/>
        </w:rPr>
        <w:t>内容中</w:t>
      </w:r>
      <w:r>
        <w:rPr>
          <w:rFonts w:hint="eastAsia" w:ascii="宋体" w:hAnsi="宋体"/>
          <w:color w:val="auto"/>
          <w:szCs w:val="21"/>
          <w:highlight w:val="none"/>
        </w:rPr>
        <w:t>未</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w:t>
      </w:r>
    </w:p>
    <w:p w14:paraId="08A28F68">
      <w:pPr>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□我方本次响应文件</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的</w:t>
      </w:r>
      <w:r>
        <w:rPr>
          <w:rFonts w:ascii="宋体" w:hAnsi="宋体" w:cs="宋体"/>
          <w:color w:val="auto"/>
          <w:kern w:val="0"/>
          <w:szCs w:val="21"/>
          <w:highlight w:val="none"/>
        </w:rPr>
        <w:t>内容</w:t>
      </w:r>
      <w:r>
        <w:rPr>
          <w:rFonts w:hint="eastAsia" w:ascii="宋体" w:hAnsi="宋体" w:cs="宋体"/>
          <w:color w:val="auto"/>
          <w:kern w:val="0"/>
          <w:szCs w:val="21"/>
          <w:highlight w:val="none"/>
        </w:rPr>
        <w:t>有：</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738982A">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55D6113B">
      <w:pPr>
        <w:pStyle w:val="20"/>
        <w:tabs>
          <w:tab w:val="left" w:pos="939"/>
        </w:tabs>
        <w:snapToGrid w:val="0"/>
        <w:spacing w:line="380" w:lineRule="exact"/>
        <w:ind w:left="849" w:leftChars="150" w:hanging="534" w:hangingChars="191"/>
        <w:rPr>
          <w:rFonts w:ascii="宋体" w:hAnsi="宋体"/>
          <w:color w:val="auto"/>
          <w:szCs w:val="21"/>
          <w:highlight w:val="none"/>
        </w:rPr>
      </w:pPr>
    </w:p>
    <w:p w14:paraId="682EEDA1">
      <w:pPr>
        <w:pStyle w:val="102"/>
        <w:snapToGrid w:val="0"/>
        <w:spacing w:before="156" w:beforeLines="50" w:line="380" w:lineRule="exact"/>
        <w:ind w:firstLine="200"/>
        <w:rPr>
          <w:rFonts w:ascii="宋体" w:hAnsi="宋体"/>
          <w:color w:val="auto"/>
          <w:sz w:val="21"/>
          <w:szCs w:val="21"/>
          <w:highlight w:val="none"/>
        </w:rPr>
      </w:pPr>
    </w:p>
    <w:p w14:paraId="6E659943">
      <w:pPr>
        <w:snapToGrid w:val="0"/>
        <w:spacing w:before="156" w:beforeLines="50" w:line="380" w:lineRule="exact"/>
        <w:ind w:right="480" w:firstLine="5628" w:firstLineChars="2680"/>
        <w:rPr>
          <w:rFonts w:ascii="宋体" w:hAnsi="宋体"/>
          <w:color w:val="auto"/>
          <w:szCs w:val="21"/>
          <w:highlight w:val="none"/>
          <w:u w:val="single"/>
        </w:rPr>
      </w:pPr>
      <w:r>
        <w:rPr>
          <w:rFonts w:hint="eastAsia" w:ascii="宋体" w:hAnsi="宋体"/>
          <w:color w:val="auto"/>
          <w:szCs w:val="21"/>
          <w:highlight w:val="none"/>
        </w:rPr>
        <w:t>法定代表人签字或盖章：</w:t>
      </w:r>
      <w:r>
        <w:rPr>
          <w:rFonts w:ascii="宋体" w:hAnsi="宋体"/>
          <w:color w:val="auto"/>
          <w:szCs w:val="21"/>
          <w:highlight w:val="none"/>
          <w:u w:val="single"/>
        </w:rPr>
        <w:t xml:space="preserve">             </w:t>
      </w:r>
    </w:p>
    <w:p w14:paraId="71A2D94C">
      <w:pPr>
        <w:snapToGrid w:val="0"/>
        <w:spacing w:before="156" w:beforeLines="50" w:after="50" w:line="380" w:lineRule="exact"/>
        <w:ind w:right="480" w:firstLine="5670" w:firstLineChars="2700"/>
        <w:rPr>
          <w:rFonts w:ascii="宋体" w:hAnsi="宋体"/>
          <w:color w:val="auto"/>
          <w:szCs w:val="21"/>
          <w:highlight w:val="none"/>
        </w:rPr>
      </w:pPr>
      <w:r>
        <w:rPr>
          <w:rFonts w:hint="eastAsia" w:ascii="宋体" w:hAnsi="宋体"/>
          <w:color w:val="auto"/>
          <w:szCs w:val="21"/>
          <w:highlight w:val="none"/>
        </w:rPr>
        <w:t>供应商公章：</w:t>
      </w:r>
      <w:r>
        <w:rPr>
          <w:rFonts w:ascii="宋体" w:hAnsi="宋体"/>
          <w:color w:val="auto"/>
          <w:szCs w:val="21"/>
          <w:highlight w:val="none"/>
          <w:u w:val="single"/>
        </w:rPr>
        <w:t xml:space="preserve">                 </w:t>
      </w:r>
    </w:p>
    <w:p w14:paraId="7619701A">
      <w:pPr>
        <w:snapToGrid w:val="0"/>
        <w:spacing w:before="156" w:beforeLines="50" w:after="50" w:line="380" w:lineRule="exact"/>
        <w:ind w:right="900" w:firstLine="210" w:firstLineChars="100"/>
        <w:jc w:val="right"/>
        <w:rPr>
          <w:rFonts w:ascii="宋体" w:hAnsi="宋体"/>
          <w:color w:val="auto"/>
          <w:szCs w:val="21"/>
          <w:highlight w:val="none"/>
        </w:rPr>
      </w:pPr>
      <w:r>
        <w:rPr>
          <w:rFonts w:hint="eastAsia" w:hAnsi="宋体"/>
          <w:color w:val="auto"/>
          <w:highlight w:val="none"/>
        </w:rPr>
        <w:t>日期：</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41A09BA9">
      <w:pPr>
        <w:adjustRightInd w:val="0"/>
        <w:snapToGrid w:val="0"/>
        <w:spacing w:line="50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附件三</w:t>
      </w:r>
      <w:r>
        <w:rPr>
          <w:rFonts w:ascii="宋体" w:hAnsi="宋体"/>
          <w:b/>
          <w:color w:val="auto"/>
          <w:szCs w:val="21"/>
          <w:highlight w:val="none"/>
        </w:rPr>
        <w:t xml:space="preserve"> </w:t>
      </w:r>
    </w:p>
    <w:p w14:paraId="654FDB2E">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商务、服务响应、偏离情况说明表</w:t>
      </w:r>
    </w:p>
    <w:p w14:paraId="54752687">
      <w:pPr>
        <w:spacing w:line="300" w:lineRule="auto"/>
        <w:rPr>
          <w:rFonts w:ascii="宋体" w:hAnsi="宋体"/>
          <w:color w:val="auto"/>
          <w:szCs w:val="21"/>
          <w:highlight w:val="none"/>
        </w:rPr>
      </w:pPr>
    </w:p>
    <w:p w14:paraId="1FFE4839">
      <w:pPr>
        <w:spacing w:line="500" w:lineRule="exact"/>
        <w:rPr>
          <w:rFonts w:ascii="宋体" w:hAnsi="宋体" w:cs="宋体"/>
          <w:color w:val="auto"/>
          <w:highlight w:val="none"/>
        </w:rPr>
      </w:pPr>
      <w:r>
        <w:rPr>
          <w:rFonts w:hint="eastAsia" w:ascii="宋体" w:hAnsi="宋体"/>
          <w:color w:val="auto"/>
          <w:szCs w:val="21"/>
          <w:highlight w:val="none"/>
        </w:rPr>
        <w:t>采购项目名称</w:t>
      </w:r>
      <w:r>
        <w:rPr>
          <w:rFonts w:ascii="宋体" w:hAnsi="宋体"/>
          <w:color w:val="auto"/>
          <w:szCs w:val="21"/>
          <w:highlight w:val="none"/>
        </w:rPr>
        <w:t>:</w:t>
      </w:r>
      <w:r>
        <w:rPr>
          <w:rFonts w:hint="eastAsia" w:ascii="宋体" w:hAnsi="宋体" w:cs="宋体"/>
          <w:color w:val="auto"/>
          <w:highlight w:val="none"/>
        </w:rPr>
        <w:t>广西壮族自治区自然资源生态修复中心业务租车服务采购</w:t>
      </w:r>
    </w:p>
    <w:p w14:paraId="514E0A37">
      <w:pPr>
        <w:spacing w:line="50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采购项目编号</w:t>
      </w:r>
      <w:r>
        <w:rPr>
          <w:rFonts w:ascii="宋体" w:hAnsi="宋体"/>
          <w:color w:val="auto"/>
          <w:szCs w:val="21"/>
          <w:highlight w:val="none"/>
        </w:rPr>
        <w:t>:</w:t>
      </w:r>
      <w:r>
        <w:rPr>
          <w:rFonts w:hint="eastAsia" w:ascii="宋体" w:hAnsi="宋体"/>
          <w:color w:val="auto"/>
          <w:szCs w:val="21"/>
          <w:highlight w:val="none"/>
          <w:lang w:eastAsia="zh-CN"/>
        </w:rPr>
        <w:t>GXZC2025-C3-002387-TQGC</w:t>
      </w:r>
    </w:p>
    <w:p w14:paraId="5BA070B3">
      <w:pPr>
        <w:spacing w:line="500" w:lineRule="exact"/>
        <w:rPr>
          <w:rFonts w:ascii="宋体" w:hAnsi="宋体"/>
          <w:color w:val="auto"/>
          <w:szCs w:val="21"/>
          <w:highlight w:val="none"/>
        </w:rPr>
      </w:pPr>
      <w:r>
        <w:rPr>
          <w:rFonts w:hint="eastAsia" w:ascii="宋体" w:hAnsi="宋体"/>
          <w:color w:val="auto"/>
          <w:szCs w:val="21"/>
          <w:highlight w:val="none"/>
        </w:rPr>
        <w:t>标段号：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629BE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12931F11">
            <w:pPr>
              <w:jc w:val="center"/>
              <w:rPr>
                <w:color w:val="auto"/>
                <w:highlight w:val="none"/>
              </w:rPr>
            </w:pPr>
            <w:bookmarkStart w:id="55" w:name="_Toc173066401"/>
            <w:bookmarkStart w:id="56" w:name="_Toc254970588"/>
            <w:bookmarkStart w:id="57" w:name="_Toc254970729"/>
            <w:bookmarkStart w:id="58" w:name="_Toc173211900"/>
            <w:r>
              <w:rPr>
                <w:rFonts w:hint="eastAsia"/>
                <w:color w:val="auto"/>
                <w:highlight w:val="none"/>
              </w:rPr>
              <w:t>序号</w:t>
            </w:r>
            <w:bookmarkEnd w:id="55"/>
            <w:bookmarkEnd w:id="56"/>
            <w:bookmarkEnd w:id="57"/>
            <w:bookmarkEnd w:id="58"/>
          </w:p>
        </w:tc>
        <w:tc>
          <w:tcPr>
            <w:tcW w:w="3013" w:type="dxa"/>
            <w:vAlign w:val="center"/>
          </w:tcPr>
          <w:p w14:paraId="2DC60FC8">
            <w:pPr>
              <w:jc w:val="center"/>
              <w:rPr>
                <w:color w:val="auto"/>
                <w:highlight w:val="none"/>
              </w:rPr>
            </w:pPr>
            <w:bookmarkStart w:id="59" w:name="_Toc173211901"/>
            <w:bookmarkStart w:id="60" w:name="_Toc254970730"/>
            <w:bookmarkStart w:id="61" w:name="_Toc173066402"/>
            <w:bookmarkStart w:id="62" w:name="_Toc254970589"/>
            <w:r>
              <w:rPr>
                <w:rFonts w:hint="eastAsia"/>
                <w:color w:val="auto"/>
                <w:highlight w:val="none"/>
              </w:rPr>
              <w:t>竞争性磋商文件要求</w:t>
            </w:r>
            <w:bookmarkEnd w:id="59"/>
            <w:bookmarkEnd w:id="60"/>
            <w:bookmarkEnd w:id="61"/>
            <w:bookmarkEnd w:id="62"/>
          </w:p>
        </w:tc>
        <w:tc>
          <w:tcPr>
            <w:tcW w:w="3159" w:type="dxa"/>
            <w:vAlign w:val="center"/>
          </w:tcPr>
          <w:p w14:paraId="2F84D302">
            <w:pPr>
              <w:jc w:val="center"/>
              <w:rPr>
                <w:color w:val="auto"/>
                <w:highlight w:val="none"/>
              </w:rPr>
            </w:pPr>
            <w:bookmarkStart w:id="63" w:name="_Toc254970590"/>
            <w:bookmarkStart w:id="64" w:name="_Toc173211902"/>
            <w:bookmarkStart w:id="65" w:name="_Toc254970731"/>
            <w:bookmarkStart w:id="66" w:name="_Toc173066403"/>
            <w:r>
              <w:rPr>
                <w:rFonts w:hint="eastAsia"/>
                <w:color w:val="auto"/>
                <w:highlight w:val="none"/>
              </w:rPr>
              <w:t>竞争性磋商响应文件具体响应</w:t>
            </w:r>
            <w:bookmarkEnd w:id="63"/>
            <w:bookmarkEnd w:id="64"/>
            <w:bookmarkEnd w:id="65"/>
            <w:bookmarkEnd w:id="66"/>
          </w:p>
        </w:tc>
        <w:tc>
          <w:tcPr>
            <w:tcW w:w="1571" w:type="dxa"/>
            <w:vAlign w:val="center"/>
          </w:tcPr>
          <w:p w14:paraId="1189D6D5">
            <w:pPr>
              <w:jc w:val="center"/>
              <w:rPr>
                <w:color w:val="auto"/>
                <w:highlight w:val="none"/>
              </w:rPr>
            </w:pPr>
            <w:bookmarkStart w:id="67" w:name="_Toc173211903"/>
            <w:bookmarkStart w:id="68" w:name="_Toc173066404"/>
            <w:bookmarkStart w:id="69" w:name="_Toc254970732"/>
            <w:bookmarkStart w:id="70" w:name="_Toc254970591"/>
            <w:r>
              <w:rPr>
                <w:rFonts w:hint="eastAsia"/>
                <w:color w:val="auto"/>
                <w:highlight w:val="none"/>
              </w:rPr>
              <w:t>响应</w:t>
            </w:r>
            <w:r>
              <w:rPr>
                <w:color w:val="auto"/>
                <w:highlight w:val="none"/>
              </w:rPr>
              <w:t>/</w:t>
            </w:r>
            <w:r>
              <w:rPr>
                <w:rFonts w:hint="eastAsia"/>
                <w:color w:val="auto"/>
                <w:highlight w:val="none"/>
              </w:rPr>
              <w:t>偏离</w:t>
            </w:r>
            <w:bookmarkEnd w:id="67"/>
            <w:bookmarkEnd w:id="68"/>
            <w:bookmarkEnd w:id="69"/>
            <w:bookmarkEnd w:id="70"/>
          </w:p>
        </w:tc>
        <w:tc>
          <w:tcPr>
            <w:tcW w:w="1460" w:type="dxa"/>
            <w:vAlign w:val="center"/>
          </w:tcPr>
          <w:p w14:paraId="3424C4BB">
            <w:pPr>
              <w:jc w:val="center"/>
              <w:rPr>
                <w:color w:val="auto"/>
                <w:highlight w:val="none"/>
              </w:rPr>
            </w:pPr>
            <w:r>
              <w:rPr>
                <w:rFonts w:hint="eastAsia"/>
                <w:color w:val="auto"/>
                <w:highlight w:val="none"/>
              </w:rPr>
              <w:t>备注</w:t>
            </w:r>
          </w:p>
        </w:tc>
      </w:tr>
      <w:tr w14:paraId="5B7B51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54427F8F">
            <w:pPr>
              <w:jc w:val="center"/>
              <w:rPr>
                <w:color w:val="auto"/>
                <w:highlight w:val="none"/>
              </w:rPr>
            </w:pPr>
            <w:bookmarkStart w:id="71" w:name="_Toc476258666"/>
            <w:r>
              <w:rPr>
                <w:rFonts w:hint="eastAsia"/>
                <w:color w:val="auto"/>
                <w:highlight w:val="none"/>
              </w:rPr>
              <w:t>商务部分</w:t>
            </w:r>
            <w:bookmarkEnd w:id="71"/>
            <w:r>
              <w:rPr>
                <w:rFonts w:hint="eastAsia"/>
                <w:color w:val="auto"/>
                <w:highlight w:val="none"/>
              </w:rPr>
              <w:t>（商务条款）</w:t>
            </w:r>
          </w:p>
        </w:tc>
      </w:tr>
      <w:tr w14:paraId="1F9B6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14:paraId="2451EF94">
            <w:pPr>
              <w:jc w:val="center"/>
              <w:rPr>
                <w:color w:val="auto"/>
                <w:highlight w:val="none"/>
              </w:rPr>
            </w:pPr>
            <w:bookmarkStart w:id="72" w:name="_Toc173211905"/>
            <w:bookmarkStart w:id="73" w:name="_Toc254970734"/>
            <w:bookmarkStart w:id="74" w:name="_Toc254970593"/>
            <w:bookmarkStart w:id="75" w:name="_Toc173066406"/>
            <w:r>
              <w:rPr>
                <w:color w:val="auto"/>
                <w:highlight w:val="none"/>
              </w:rPr>
              <w:t>1</w:t>
            </w:r>
            <w:bookmarkEnd w:id="72"/>
            <w:bookmarkEnd w:id="73"/>
            <w:bookmarkEnd w:id="74"/>
            <w:bookmarkEnd w:id="75"/>
          </w:p>
        </w:tc>
        <w:tc>
          <w:tcPr>
            <w:tcW w:w="3013" w:type="dxa"/>
            <w:vAlign w:val="center"/>
          </w:tcPr>
          <w:p w14:paraId="23DFEED4">
            <w:pPr>
              <w:tabs>
                <w:tab w:val="left" w:pos="180"/>
                <w:tab w:val="left" w:pos="1620"/>
              </w:tabs>
              <w:spacing w:line="380" w:lineRule="exact"/>
              <w:jc w:val="center"/>
              <w:rPr>
                <w:rFonts w:ascii="宋体" w:hAnsi="宋体" w:cs="宋体"/>
                <w:color w:val="auto"/>
                <w:szCs w:val="21"/>
                <w:highlight w:val="none"/>
              </w:rPr>
            </w:pPr>
          </w:p>
        </w:tc>
        <w:tc>
          <w:tcPr>
            <w:tcW w:w="3159" w:type="dxa"/>
          </w:tcPr>
          <w:p w14:paraId="3F784520">
            <w:pPr>
              <w:rPr>
                <w:color w:val="auto"/>
                <w:highlight w:val="none"/>
              </w:rPr>
            </w:pPr>
          </w:p>
        </w:tc>
        <w:tc>
          <w:tcPr>
            <w:tcW w:w="1571" w:type="dxa"/>
            <w:vAlign w:val="center"/>
          </w:tcPr>
          <w:p w14:paraId="1178B4D1">
            <w:pPr>
              <w:jc w:val="center"/>
              <w:rPr>
                <w:color w:val="auto"/>
                <w:highlight w:val="none"/>
              </w:rPr>
            </w:pPr>
          </w:p>
        </w:tc>
        <w:tc>
          <w:tcPr>
            <w:tcW w:w="1460" w:type="dxa"/>
            <w:vAlign w:val="center"/>
          </w:tcPr>
          <w:p w14:paraId="1B9A660D">
            <w:pPr>
              <w:jc w:val="center"/>
              <w:rPr>
                <w:color w:val="auto"/>
                <w:highlight w:val="none"/>
              </w:rPr>
            </w:pPr>
          </w:p>
        </w:tc>
      </w:tr>
      <w:tr w14:paraId="725D4E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9A801D9">
            <w:pPr>
              <w:jc w:val="center"/>
              <w:rPr>
                <w:color w:val="auto"/>
                <w:highlight w:val="none"/>
              </w:rPr>
            </w:pPr>
            <w:bookmarkStart w:id="76" w:name="_Toc173211906"/>
            <w:bookmarkStart w:id="77" w:name="_Toc254970594"/>
            <w:bookmarkStart w:id="78" w:name="_Toc173066407"/>
            <w:bookmarkStart w:id="79" w:name="_Toc254970735"/>
            <w:r>
              <w:rPr>
                <w:color w:val="auto"/>
                <w:highlight w:val="none"/>
              </w:rPr>
              <w:t>2</w:t>
            </w:r>
            <w:bookmarkEnd w:id="76"/>
            <w:bookmarkEnd w:id="77"/>
            <w:bookmarkEnd w:id="78"/>
            <w:bookmarkEnd w:id="79"/>
          </w:p>
        </w:tc>
        <w:tc>
          <w:tcPr>
            <w:tcW w:w="3013" w:type="dxa"/>
            <w:vAlign w:val="center"/>
          </w:tcPr>
          <w:p w14:paraId="368B4BA9">
            <w:pPr>
              <w:tabs>
                <w:tab w:val="left" w:pos="180"/>
                <w:tab w:val="left" w:pos="1620"/>
              </w:tabs>
              <w:spacing w:line="360" w:lineRule="exact"/>
              <w:jc w:val="center"/>
              <w:rPr>
                <w:rFonts w:ascii="宋体" w:hAnsi="宋体" w:cs="宋体"/>
                <w:color w:val="auto"/>
                <w:szCs w:val="21"/>
                <w:highlight w:val="none"/>
              </w:rPr>
            </w:pPr>
          </w:p>
        </w:tc>
        <w:tc>
          <w:tcPr>
            <w:tcW w:w="3159" w:type="dxa"/>
          </w:tcPr>
          <w:p w14:paraId="6F98D313">
            <w:pPr>
              <w:rPr>
                <w:color w:val="auto"/>
                <w:highlight w:val="none"/>
              </w:rPr>
            </w:pPr>
          </w:p>
        </w:tc>
        <w:tc>
          <w:tcPr>
            <w:tcW w:w="1571" w:type="dxa"/>
            <w:vAlign w:val="center"/>
          </w:tcPr>
          <w:p w14:paraId="1CE5EAD3">
            <w:pPr>
              <w:jc w:val="center"/>
              <w:rPr>
                <w:color w:val="auto"/>
                <w:highlight w:val="none"/>
              </w:rPr>
            </w:pPr>
          </w:p>
        </w:tc>
        <w:tc>
          <w:tcPr>
            <w:tcW w:w="1460" w:type="dxa"/>
            <w:vAlign w:val="center"/>
          </w:tcPr>
          <w:p w14:paraId="7631A013">
            <w:pPr>
              <w:jc w:val="center"/>
              <w:rPr>
                <w:color w:val="auto"/>
                <w:highlight w:val="none"/>
              </w:rPr>
            </w:pPr>
          </w:p>
        </w:tc>
      </w:tr>
      <w:tr w14:paraId="27BCB4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FAA9741">
            <w:pPr>
              <w:jc w:val="center"/>
              <w:rPr>
                <w:color w:val="auto"/>
                <w:highlight w:val="none"/>
              </w:rPr>
            </w:pPr>
            <w:r>
              <w:rPr>
                <w:color w:val="auto"/>
                <w:highlight w:val="none"/>
              </w:rPr>
              <w:t>3</w:t>
            </w:r>
          </w:p>
        </w:tc>
        <w:tc>
          <w:tcPr>
            <w:tcW w:w="3013" w:type="dxa"/>
            <w:vAlign w:val="center"/>
          </w:tcPr>
          <w:p w14:paraId="1DE71E85">
            <w:pPr>
              <w:spacing w:line="380" w:lineRule="exact"/>
              <w:jc w:val="center"/>
              <w:rPr>
                <w:rFonts w:ascii="宋体" w:hAnsi="宋体" w:cs="宋体"/>
                <w:color w:val="auto"/>
                <w:szCs w:val="21"/>
                <w:highlight w:val="none"/>
              </w:rPr>
            </w:pPr>
          </w:p>
        </w:tc>
        <w:tc>
          <w:tcPr>
            <w:tcW w:w="3159" w:type="dxa"/>
          </w:tcPr>
          <w:p w14:paraId="6020291D">
            <w:pPr>
              <w:rPr>
                <w:color w:val="auto"/>
                <w:highlight w:val="none"/>
              </w:rPr>
            </w:pPr>
          </w:p>
        </w:tc>
        <w:tc>
          <w:tcPr>
            <w:tcW w:w="1571" w:type="dxa"/>
            <w:vAlign w:val="center"/>
          </w:tcPr>
          <w:p w14:paraId="3B246BD3">
            <w:pPr>
              <w:jc w:val="center"/>
              <w:rPr>
                <w:color w:val="auto"/>
                <w:highlight w:val="none"/>
              </w:rPr>
            </w:pPr>
          </w:p>
        </w:tc>
        <w:tc>
          <w:tcPr>
            <w:tcW w:w="1460" w:type="dxa"/>
            <w:vAlign w:val="center"/>
          </w:tcPr>
          <w:p w14:paraId="03BC2B6F">
            <w:pPr>
              <w:jc w:val="center"/>
              <w:rPr>
                <w:color w:val="auto"/>
                <w:highlight w:val="none"/>
              </w:rPr>
            </w:pPr>
          </w:p>
        </w:tc>
      </w:tr>
      <w:tr w14:paraId="5823E6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48193B3">
            <w:pPr>
              <w:jc w:val="center"/>
              <w:rPr>
                <w:color w:val="auto"/>
                <w:highlight w:val="none"/>
              </w:rPr>
            </w:pPr>
            <w:r>
              <w:rPr>
                <w:color w:val="auto"/>
                <w:highlight w:val="none"/>
              </w:rPr>
              <w:t>4</w:t>
            </w:r>
          </w:p>
        </w:tc>
        <w:tc>
          <w:tcPr>
            <w:tcW w:w="3013" w:type="dxa"/>
            <w:vAlign w:val="center"/>
          </w:tcPr>
          <w:p w14:paraId="48AB3E64">
            <w:pPr>
              <w:spacing w:line="380" w:lineRule="exact"/>
              <w:jc w:val="center"/>
              <w:rPr>
                <w:rFonts w:ascii="宋体" w:hAnsi="宋体" w:cs="宋体"/>
                <w:color w:val="auto"/>
                <w:szCs w:val="21"/>
                <w:highlight w:val="none"/>
              </w:rPr>
            </w:pPr>
          </w:p>
        </w:tc>
        <w:tc>
          <w:tcPr>
            <w:tcW w:w="3159" w:type="dxa"/>
          </w:tcPr>
          <w:p w14:paraId="4473B158">
            <w:pPr>
              <w:rPr>
                <w:color w:val="auto"/>
                <w:highlight w:val="none"/>
              </w:rPr>
            </w:pPr>
          </w:p>
        </w:tc>
        <w:tc>
          <w:tcPr>
            <w:tcW w:w="1571" w:type="dxa"/>
            <w:vAlign w:val="center"/>
          </w:tcPr>
          <w:p w14:paraId="78D866F4">
            <w:pPr>
              <w:jc w:val="center"/>
              <w:rPr>
                <w:color w:val="auto"/>
                <w:highlight w:val="none"/>
              </w:rPr>
            </w:pPr>
          </w:p>
        </w:tc>
        <w:tc>
          <w:tcPr>
            <w:tcW w:w="1460" w:type="dxa"/>
            <w:vAlign w:val="center"/>
          </w:tcPr>
          <w:p w14:paraId="2F4D766B">
            <w:pPr>
              <w:jc w:val="center"/>
              <w:rPr>
                <w:color w:val="auto"/>
                <w:highlight w:val="none"/>
              </w:rPr>
            </w:pPr>
          </w:p>
        </w:tc>
      </w:tr>
      <w:tr w14:paraId="63E7D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45631E6A">
            <w:pPr>
              <w:jc w:val="center"/>
              <w:rPr>
                <w:color w:val="auto"/>
                <w:highlight w:val="none"/>
              </w:rPr>
            </w:pPr>
            <w:bookmarkStart w:id="80" w:name="_Toc476258667"/>
            <w:r>
              <w:rPr>
                <w:rFonts w:hint="eastAsia"/>
                <w:color w:val="auto"/>
                <w:highlight w:val="none"/>
              </w:rPr>
              <w:t>服务部分</w:t>
            </w:r>
            <w:bookmarkEnd w:id="80"/>
            <w:r>
              <w:rPr>
                <w:rFonts w:hint="eastAsia"/>
                <w:color w:val="auto"/>
                <w:highlight w:val="none"/>
              </w:rPr>
              <w:t>（内容和要求）</w:t>
            </w:r>
          </w:p>
        </w:tc>
      </w:tr>
      <w:tr w14:paraId="070A2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B094791">
            <w:pPr>
              <w:jc w:val="center"/>
              <w:rPr>
                <w:color w:val="auto"/>
                <w:highlight w:val="none"/>
              </w:rPr>
            </w:pPr>
            <w:bookmarkStart w:id="81" w:name="_Toc476258668"/>
            <w:r>
              <w:rPr>
                <w:color w:val="auto"/>
                <w:highlight w:val="none"/>
              </w:rPr>
              <w:t>1</w:t>
            </w:r>
            <w:bookmarkEnd w:id="81"/>
          </w:p>
        </w:tc>
        <w:tc>
          <w:tcPr>
            <w:tcW w:w="3013" w:type="dxa"/>
            <w:vAlign w:val="center"/>
          </w:tcPr>
          <w:p w14:paraId="425207B2">
            <w:pPr>
              <w:rPr>
                <w:color w:val="auto"/>
                <w:highlight w:val="none"/>
              </w:rPr>
            </w:pPr>
          </w:p>
        </w:tc>
        <w:tc>
          <w:tcPr>
            <w:tcW w:w="3159" w:type="dxa"/>
            <w:vAlign w:val="center"/>
          </w:tcPr>
          <w:p w14:paraId="1540B44B">
            <w:pPr>
              <w:rPr>
                <w:color w:val="auto"/>
                <w:highlight w:val="none"/>
              </w:rPr>
            </w:pPr>
          </w:p>
        </w:tc>
        <w:tc>
          <w:tcPr>
            <w:tcW w:w="1571" w:type="dxa"/>
            <w:vAlign w:val="center"/>
          </w:tcPr>
          <w:p w14:paraId="23FB4FF0">
            <w:pPr>
              <w:rPr>
                <w:color w:val="auto"/>
                <w:highlight w:val="none"/>
              </w:rPr>
            </w:pPr>
          </w:p>
        </w:tc>
        <w:tc>
          <w:tcPr>
            <w:tcW w:w="1460" w:type="dxa"/>
            <w:vAlign w:val="center"/>
          </w:tcPr>
          <w:p w14:paraId="5503287E">
            <w:pPr>
              <w:rPr>
                <w:color w:val="auto"/>
                <w:highlight w:val="none"/>
              </w:rPr>
            </w:pPr>
          </w:p>
        </w:tc>
      </w:tr>
      <w:tr w14:paraId="156248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6C6F935">
            <w:pPr>
              <w:jc w:val="center"/>
              <w:rPr>
                <w:color w:val="auto"/>
                <w:highlight w:val="none"/>
              </w:rPr>
            </w:pPr>
            <w:bookmarkStart w:id="82" w:name="_Toc476258669"/>
            <w:r>
              <w:rPr>
                <w:color w:val="auto"/>
                <w:highlight w:val="none"/>
              </w:rPr>
              <w:t>2</w:t>
            </w:r>
            <w:bookmarkEnd w:id="82"/>
          </w:p>
        </w:tc>
        <w:tc>
          <w:tcPr>
            <w:tcW w:w="3013" w:type="dxa"/>
            <w:vAlign w:val="center"/>
          </w:tcPr>
          <w:p w14:paraId="5F2C0AFE">
            <w:pPr>
              <w:rPr>
                <w:color w:val="auto"/>
                <w:highlight w:val="none"/>
              </w:rPr>
            </w:pPr>
          </w:p>
        </w:tc>
        <w:tc>
          <w:tcPr>
            <w:tcW w:w="3159" w:type="dxa"/>
            <w:vAlign w:val="center"/>
          </w:tcPr>
          <w:p w14:paraId="007EBD1B">
            <w:pPr>
              <w:rPr>
                <w:color w:val="auto"/>
                <w:highlight w:val="none"/>
              </w:rPr>
            </w:pPr>
          </w:p>
        </w:tc>
        <w:tc>
          <w:tcPr>
            <w:tcW w:w="1571" w:type="dxa"/>
            <w:vAlign w:val="center"/>
          </w:tcPr>
          <w:p w14:paraId="3183FDAC">
            <w:pPr>
              <w:rPr>
                <w:color w:val="auto"/>
                <w:highlight w:val="none"/>
              </w:rPr>
            </w:pPr>
          </w:p>
        </w:tc>
        <w:tc>
          <w:tcPr>
            <w:tcW w:w="1460" w:type="dxa"/>
            <w:vAlign w:val="center"/>
          </w:tcPr>
          <w:p w14:paraId="7DE4422F">
            <w:pPr>
              <w:rPr>
                <w:color w:val="auto"/>
                <w:highlight w:val="none"/>
              </w:rPr>
            </w:pPr>
          </w:p>
        </w:tc>
      </w:tr>
      <w:tr w14:paraId="234EA4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0A7F5192">
            <w:pPr>
              <w:jc w:val="center"/>
              <w:rPr>
                <w:color w:val="auto"/>
                <w:highlight w:val="none"/>
              </w:rPr>
            </w:pPr>
            <w:bookmarkStart w:id="83" w:name="_Toc476258670"/>
            <w:r>
              <w:rPr>
                <w:color w:val="auto"/>
                <w:highlight w:val="none"/>
              </w:rPr>
              <w:t>3</w:t>
            </w:r>
            <w:bookmarkEnd w:id="83"/>
          </w:p>
        </w:tc>
        <w:tc>
          <w:tcPr>
            <w:tcW w:w="3013" w:type="dxa"/>
            <w:vAlign w:val="center"/>
          </w:tcPr>
          <w:p w14:paraId="5B2DB5AB">
            <w:pPr>
              <w:rPr>
                <w:color w:val="auto"/>
                <w:highlight w:val="none"/>
              </w:rPr>
            </w:pPr>
          </w:p>
        </w:tc>
        <w:tc>
          <w:tcPr>
            <w:tcW w:w="3159" w:type="dxa"/>
            <w:vAlign w:val="center"/>
          </w:tcPr>
          <w:p w14:paraId="634B6F30">
            <w:pPr>
              <w:rPr>
                <w:color w:val="auto"/>
                <w:highlight w:val="none"/>
              </w:rPr>
            </w:pPr>
          </w:p>
        </w:tc>
        <w:tc>
          <w:tcPr>
            <w:tcW w:w="1571" w:type="dxa"/>
            <w:vAlign w:val="center"/>
          </w:tcPr>
          <w:p w14:paraId="51A0AA3E">
            <w:pPr>
              <w:rPr>
                <w:color w:val="auto"/>
                <w:highlight w:val="none"/>
              </w:rPr>
            </w:pPr>
          </w:p>
        </w:tc>
        <w:tc>
          <w:tcPr>
            <w:tcW w:w="1460" w:type="dxa"/>
            <w:vAlign w:val="center"/>
          </w:tcPr>
          <w:p w14:paraId="61DF09DB">
            <w:pPr>
              <w:rPr>
                <w:color w:val="auto"/>
                <w:highlight w:val="none"/>
              </w:rPr>
            </w:pPr>
          </w:p>
        </w:tc>
      </w:tr>
      <w:tr w14:paraId="0E138A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6790592D">
            <w:pPr>
              <w:jc w:val="center"/>
              <w:rPr>
                <w:color w:val="auto"/>
                <w:highlight w:val="none"/>
              </w:rPr>
            </w:pPr>
            <w:bookmarkStart w:id="84" w:name="_Toc476258671"/>
            <w:r>
              <w:rPr>
                <w:rFonts w:hint="eastAsia"/>
                <w:color w:val="auto"/>
                <w:highlight w:val="none"/>
              </w:rPr>
              <w:t>…</w:t>
            </w:r>
            <w:bookmarkEnd w:id="84"/>
          </w:p>
        </w:tc>
        <w:tc>
          <w:tcPr>
            <w:tcW w:w="3013" w:type="dxa"/>
            <w:vAlign w:val="center"/>
          </w:tcPr>
          <w:p w14:paraId="5EAB9B80">
            <w:pPr>
              <w:rPr>
                <w:color w:val="auto"/>
                <w:highlight w:val="none"/>
              </w:rPr>
            </w:pPr>
          </w:p>
        </w:tc>
        <w:tc>
          <w:tcPr>
            <w:tcW w:w="3159" w:type="dxa"/>
            <w:vAlign w:val="center"/>
          </w:tcPr>
          <w:p w14:paraId="161296D5">
            <w:pPr>
              <w:rPr>
                <w:color w:val="auto"/>
                <w:highlight w:val="none"/>
              </w:rPr>
            </w:pPr>
          </w:p>
        </w:tc>
        <w:tc>
          <w:tcPr>
            <w:tcW w:w="1571" w:type="dxa"/>
            <w:tcBorders>
              <w:right w:val="single" w:color="auto" w:sz="4" w:space="0"/>
            </w:tcBorders>
            <w:vAlign w:val="center"/>
          </w:tcPr>
          <w:p w14:paraId="483A2B12">
            <w:pPr>
              <w:rPr>
                <w:color w:val="auto"/>
                <w:highlight w:val="none"/>
              </w:rPr>
            </w:pPr>
          </w:p>
        </w:tc>
        <w:tc>
          <w:tcPr>
            <w:tcW w:w="1460" w:type="dxa"/>
            <w:tcBorders>
              <w:left w:val="single" w:color="auto" w:sz="4" w:space="0"/>
            </w:tcBorders>
            <w:vAlign w:val="center"/>
          </w:tcPr>
          <w:p w14:paraId="50789A91">
            <w:pPr>
              <w:rPr>
                <w:color w:val="auto"/>
                <w:highlight w:val="none"/>
              </w:rPr>
            </w:pPr>
          </w:p>
        </w:tc>
      </w:tr>
    </w:tbl>
    <w:p w14:paraId="165F25AA">
      <w:pPr>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说明：</w:t>
      </w:r>
      <w:r>
        <w:rPr>
          <w:rFonts w:hAnsi="宋体"/>
          <w:b/>
          <w:color w:val="auto"/>
          <w:highlight w:val="none"/>
        </w:rPr>
        <w:t>1</w:t>
      </w:r>
      <w:r>
        <w:rPr>
          <w:rFonts w:hint="eastAsia" w:hAnsi="宋体"/>
          <w:b/>
          <w:color w:val="auto"/>
          <w:highlight w:val="none"/>
        </w:rPr>
        <w:t>、应写明竞</w:t>
      </w:r>
      <w:r>
        <w:rPr>
          <w:rFonts w:hint="eastAsia" w:ascii="宋体" w:hAnsi="宋体"/>
          <w:b/>
          <w:color w:val="auto"/>
          <w:szCs w:val="21"/>
          <w:highlight w:val="none"/>
        </w:rPr>
        <w:t>争性磋商响应文件对</w:t>
      </w:r>
      <w:r>
        <w:rPr>
          <w:rFonts w:hint="eastAsia"/>
          <w:b/>
          <w:color w:val="auto"/>
          <w:highlight w:val="none"/>
        </w:rPr>
        <w:t>商务</w:t>
      </w:r>
      <w:r>
        <w:rPr>
          <w:rFonts w:hint="eastAsia" w:hAnsi="宋体"/>
          <w:b/>
          <w:color w:val="auto"/>
          <w:highlight w:val="none"/>
        </w:rPr>
        <w:t>与服务要求的</w:t>
      </w:r>
      <w:r>
        <w:rPr>
          <w:rFonts w:hint="eastAsia" w:ascii="宋体" w:hAnsi="宋体"/>
          <w:b/>
          <w:color w:val="auto"/>
          <w:szCs w:val="21"/>
          <w:highlight w:val="none"/>
        </w:rPr>
        <w:t>响应和偏离情况</w:t>
      </w:r>
      <w:r>
        <w:rPr>
          <w:rFonts w:hint="eastAsia"/>
          <w:b/>
          <w:bCs/>
          <w:color w:val="auto"/>
          <w:szCs w:val="21"/>
          <w:highlight w:val="none"/>
        </w:rPr>
        <w:t>；</w:t>
      </w:r>
    </w:p>
    <w:p w14:paraId="16770C1B">
      <w:pPr>
        <w:pStyle w:val="18"/>
        <w:spacing w:line="360" w:lineRule="exact"/>
        <w:ind w:firstLine="632" w:firstLineChars="300"/>
        <w:rPr>
          <w:rFonts w:ascii="宋体" w:hAnsi="宋体" w:eastAsia="宋体"/>
          <w:b/>
          <w:color w:val="auto"/>
          <w:sz w:val="21"/>
          <w:szCs w:val="21"/>
          <w:highlight w:val="none"/>
        </w:rPr>
      </w:pPr>
      <w:r>
        <w:rPr>
          <w:rFonts w:ascii="宋体" w:hAnsi="宋体" w:eastAsia="宋体"/>
          <w:b/>
          <w:color w:val="auto"/>
          <w:sz w:val="21"/>
          <w:szCs w:val="21"/>
          <w:highlight w:val="none"/>
        </w:rPr>
        <w:t xml:space="preserve">2、应对照竞争性磋商文件“第三章 </w:t>
      </w:r>
      <w:r>
        <w:rPr>
          <w:rFonts w:hint="eastAsia" w:ascii="宋体" w:hAnsi="宋体" w:eastAsia="宋体"/>
          <w:b/>
          <w:color w:val="auto"/>
          <w:sz w:val="21"/>
          <w:szCs w:val="21"/>
          <w:highlight w:val="none"/>
        </w:rPr>
        <w:t>服务需求一览表”，逐条说明所提供货物和服务已对竞争性磋商文件的商务、服务做出了实质性的响应，并申明商务、技术条文的响应或偏离。特别对有具体商务、服务参数要求的，磋商供应商必须提供对应的详细应答。</w:t>
      </w:r>
    </w:p>
    <w:p w14:paraId="6F23BE90">
      <w:pPr>
        <w:pStyle w:val="21"/>
        <w:spacing w:line="360" w:lineRule="exact"/>
        <w:rPr>
          <w:rFonts w:hAnsi="宋体"/>
          <w:color w:val="auto"/>
          <w:highlight w:val="none"/>
        </w:rPr>
      </w:pPr>
    </w:p>
    <w:p w14:paraId="3CCD016D">
      <w:pPr>
        <w:pStyle w:val="21"/>
        <w:spacing w:line="500" w:lineRule="exact"/>
        <w:ind w:firstLine="4200" w:firstLineChars="2000"/>
        <w:rPr>
          <w:rFonts w:hAnsi="宋体"/>
          <w:color w:val="auto"/>
          <w:highlight w:val="none"/>
          <w:u w:val="single"/>
        </w:rPr>
      </w:pPr>
      <w:r>
        <w:rPr>
          <w:rFonts w:hint="eastAsia" w:hAnsi="宋体"/>
          <w:color w:val="auto"/>
          <w:highlight w:val="none"/>
        </w:rPr>
        <w:t>法定代表人或委托代理人（签字或盖章）</w:t>
      </w:r>
      <w:r>
        <w:rPr>
          <w:rFonts w:hAnsi="宋体"/>
          <w:color w:val="auto"/>
          <w:highlight w:val="none"/>
        </w:rPr>
        <w:t>:</w:t>
      </w:r>
      <w:r>
        <w:rPr>
          <w:rFonts w:hAnsi="宋体"/>
          <w:color w:val="auto"/>
          <w:highlight w:val="none"/>
          <w:u w:val="single"/>
        </w:rPr>
        <w:t xml:space="preserve">              </w:t>
      </w:r>
    </w:p>
    <w:p w14:paraId="7AD5330E">
      <w:pPr>
        <w:pStyle w:val="21"/>
        <w:spacing w:line="500" w:lineRule="exact"/>
        <w:ind w:firstLine="4200" w:firstLineChars="2000"/>
        <w:rPr>
          <w:rFonts w:hAnsi="宋体"/>
          <w:color w:val="auto"/>
          <w:highlight w:val="none"/>
          <w:u w:val="single"/>
        </w:rPr>
      </w:pPr>
      <w:r>
        <w:rPr>
          <w:rFonts w:hint="eastAsia" w:hAnsi="宋体"/>
          <w:color w:val="auto"/>
          <w:highlight w:val="none"/>
        </w:rPr>
        <w:t>磋商供应商名称（盖章）：</w:t>
      </w:r>
      <w:r>
        <w:rPr>
          <w:rFonts w:hAnsi="宋体"/>
          <w:color w:val="auto"/>
          <w:highlight w:val="none"/>
          <w:u w:val="single"/>
        </w:rPr>
        <w:t xml:space="preserve">                     </w:t>
      </w:r>
    </w:p>
    <w:p w14:paraId="37945BB3">
      <w:pPr>
        <w:spacing w:line="500" w:lineRule="exact"/>
        <w:ind w:firstLine="4200" w:firstLineChars="2000"/>
        <w:rPr>
          <w:rFonts w:hAnsi="宋体"/>
          <w:color w:val="auto"/>
          <w:highlight w:val="none"/>
        </w:rPr>
      </w:pPr>
      <w:r>
        <w:rPr>
          <w:rFonts w:hint="eastAsia" w:hAnsi="宋体"/>
          <w:color w:val="auto"/>
          <w:highlight w:val="none"/>
        </w:rPr>
        <w:t>日期：</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3F23E1B2">
      <w:pPr>
        <w:snapToGrid w:val="0"/>
        <w:spacing w:before="156" w:beforeLines="50" w:line="380" w:lineRule="exact"/>
        <w:ind w:right="480" w:firstLine="4792" w:firstLineChars="2282"/>
        <w:rPr>
          <w:rFonts w:hAnsi="宋体"/>
          <w:color w:val="auto"/>
          <w:highlight w:val="none"/>
          <w:u w:val="single"/>
        </w:rPr>
      </w:pPr>
    </w:p>
    <w:p w14:paraId="43672CD5">
      <w:pPr>
        <w:spacing w:line="300" w:lineRule="auto"/>
        <w:rPr>
          <w:rFonts w:ascii="宋体" w:hAnsi="宋体"/>
          <w:color w:val="auto"/>
          <w:szCs w:val="21"/>
          <w:highlight w:val="none"/>
        </w:rPr>
      </w:pPr>
    </w:p>
    <w:p w14:paraId="05D411DD">
      <w:pPr>
        <w:spacing w:line="300" w:lineRule="auto"/>
        <w:rPr>
          <w:rFonts w:ascii="宋体" w:hAnsi="宋体"/>
          <w:color w:val="auto"/>
          <w:szCs w:val="21"/>
          <w:highlight w:val="none"/>
        </w:rPr>
      </w:pPr>
    </w:p>
    <w:p w14:paraId="34902992">
      <w:pPr>
        <w:spacing w:line="300" w:lineRule="auto"/>
        <w:rPr>
          <w:rFonts w:ascii="宋体" w:hAnsi="宋体"/>
          <w:color w:val="auto"/>
          <w:szCs w:val="21"/>
          <w:highlight w:val="none"/>
        </w:rPr>
      </w:pPr>
    </w:p>
    <w:p w14:paraId="2C778A89">
      <w:pPr>
        <w:spacing w:line="50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附件四</w:t>
      </w:r>
    </w:p>
    <w:p w14:paraId="43F9AF7A">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70B7DF72">
      <w:pPr>
        <w:adjustRightInd w:val="0"/>
        <w:snapToGrid w:val="0"/>
        <w:spacing w:line="520" w:lineRule="exact"/>
        <w:rPr>
          <w:rFonts w:ascii="宋体" w:hAnsi="宋体"/>
          <w:color w:val="auto"/>
          <w:szCs w:val="21"/>
          <w:highlight w:val="none"/>
        </w:rPr>
      </w:pPr>
    </w:p>
    <w:p w14:paraId="4094BFCC">
      <w:pPr>
        <w:spacing w:line="520" w:lineRule="exact"/>
        <w:rPr>
          <w:rFonts w:ascii="宋体" w:hAnsi="宋体"/>
          <w:color w:val="auto"/>
          <w:szCs w:val="21"/>
          <w:highlight w:val="none"/>
        </w:rPr>
      </w:pPr>
      <w:r>
        <w:rPr>
          <w:rFonts w:hint="eastAsia" w:ascii="宋体" w:hAnsi="宋体"/>
          <w:color w:val="auto"/>
          <w:szCs w:val="21"/>
          <w:highlight w:val="none"/>
          <w:u w:val="single"/>
        </w:rPr>
        <w:t>天勤工程咨询有限公司</w:t>
      </w:r>
      <w:r>
        <w:rPr>
          <w:rFonts w:hint="eastAsia" w:ascii="宋体" w:hAnsi="宋体"/>
          <w:color w:val="auto"/>
          <w:szCs w:val="21"/>
          <w:highlight w:val="none"/>
        </w:rPr>
        <w:t>：</w:t>
      </w:r>
    </w:p>
    <w:p w14:paraId="5D44C768">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兹授权</w:t>
      </w:r>
      <w:r>
        <w:rPr>
          <w:rFonts w:ascii="宋体" w:hAnsi="宋体"/>
          <w:color w:val="auto"/>
          <w:szCs w:val="21"/>
          <w:highlight w:val="none"/>
          <w:u w:val="single"/>
        </w:rPr>
        <w:t xml:space="preserve">         </w:t>
      </w:r>
      <w:r>
        <w:rPr>
          <w:rFonts w:hint="eastAsia" w:ascii="宋体" w:hAnsi="宋体"/>
          <w:color w:val="auto"/>
          <w:szCs w:val="21"/>
          <w:highlight w:val="none"/>
        </w:rPr>
        <w:t>同志为我公司参加贵单位组织的</w:t>
      </w:r>
      <w:r>
        <w:rPr>
          <w:rFonts w:hint="eastAsia" w:ascii="宋体" w:hAnsi="宋体"/>
          <w:color w:val="auto"/>
          <w:szCs w:val="21"/>
          <w:highlight w:val="none"/>
          <w:u w:val="single"/>
        </w:rPr>
        <w:t>（</w:t>
      </w:r>
      <w:r>
        <w:rPr>
          <w:rFonts w:hint="eastAsia" w:ascii="宋体" w:hAnsi="宋体" w:cs="宋体"/>
          <w:color w:val="auto"/>
          <w:highlight w:val="none"/>
        </w:rPr>
        <w:t>广西壮族自治区自然资源生态修复中心业务租车服务采购</w:t>
      </w:r>
      <w:r>
        <w:rPr>
          <w:rFonts w:hint="eastAsia" w:ascii="宋体" w:hAnsi="宋体"/>
          <w:color w:val="auto"/>
          <w:szCs w:val="21"/>
          <w:highlight w:val="none"/>
          <w:u w:val="single"/>
        </w:rPr>
        <w:t>、采购项目编号）竞争性磋商</w:t>
      </w:r>
      <w:r>
        <w:rPr>
          <w:rFonts w:hint="eastAsia" w:ascii="宋体" w:hAnsi="宋体"/>
          <w:color w:val="auto"/>
          <w:szCs w:val="21"/>
          <w:highlight w:val="none"/>
        </w:rPr>
        <w:t>采购活动的委托代理人，全权代表我公司处理在该项目活动中的一切事宜。代理期限从</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日起至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日止。</w:t>
      </w:r>
      <w:r>
        <w:rPr>
          <w:rFonts w:ascii="宋体" w:hAnsi="宋体"/>
          <w:color w:val="auto"/>
          <w:szCs w:val="21"/>
          <w:highlight w:val="none"/>
        </w:rPr>
        <w:t xml:space="preserve"> </w:t>
      </w:r>
    </w:p>
    <w:p w14:paraId="7B95214A">
      <w:pPr>
        <w:spacing w:line="520" w:lineRule="exact"/>
        <w:rPr>
          <w:rFonts w:ascii="宋体" w:hAnsi="宋体"/>
          <w:color w:val="auto"/>
          <w:szCs w:val="21"/>
          <w:highlight w:val="none"/>
        </w:rPr>
      </w:pPr>
    </w:p>
    <w:p w14:paraId="229C6864">
      <w:pPr>
        <w:spacing w:line="520" w:lineRule="exact"/>
        <w:rPr>
          <w:rFonts w:ascii="宋体" w:hAnsi="宋体"/>
          <w:color w:val="auto"/>
          <w:szCs w:val="21"/>
          <w:highlight w:val="none"/>
        </w:rPr>
      </w:pPr>
      <w:r>
        <w:rPr>
          <w:rFonts w:hint="eastAsia" w:ascii="宋体" w:hAnsi="宋体"/>
          <w:color w:val="auto"/>
          <w:szCs w:val="21"/>
          <w:highlight w:val="none"/>
        </w:rPr>
        <w:t>磋商供应商（盖章）：</w:t>
      </w:r>
      <w:r>
        <w:rPr>
          <w:rFonts w:ascii="宋体" w:hAnsi="宋体"/>
          <w:color w:val="auto"/>
          <w:szCs w:val="21"/>
          <w:highlight w:val="none"/>
          <w:u w:val="single"/>
        </w:rPr>
        <w:t xml:space="preserve">                   </w:t>
      </w:r>
    </w:p>
    <w:p w14:paraId="6953A198">
      <w:pPr>
        <w:spacing w:line="520" w:lineRule="exact"/>
        <w:rPr>
          <w:rFonts w:ascii="宋体" w:hAnsi="宋体"/>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u w:val="single"/>
        </w:rPr>
        <w:t xml:space="preserve">             </w:t>
      </w:r>
    </w:p>
    <w:p w14:paraId="2D59046D">
      <w:pPr>
        <w:spacing w:line="520" w:lineRule="exact"/>
        <w:rPr>
          <w:rFonts w:ascii="宋体" w:hAnsi="宋体"/>
          <w:color w:val="auto"/>
          <w:szCs w:val="21"/>
          <w:highlight w:val="none"/>
        </w:rPr>
      </w:pPr>
      <w:r>
        <w:rPr>
          <w:rFonts w:hint="eastAsia" w:ascii="宋体" w:hAnsi="宋体"/>
          <w:color w:val="auto"/>
          <w:szCs w:val="21"/>
          <w:highlight w:val="none"/>
        </w:rPr>
        <w:t>签发日期：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6E6B3C14">
      <w:pPr>
        <w:spacing w:line="520" w:lineRule="exact"/>
        <w:rPr>
          <w:rFonts w:ascii="宋体" w:hAnsi="宋体"/>
          <w:color w:val="auto"/>
          <w:szCs w:val="21"/>
          <w:highlight w:val="none"/>
        </w:rPr>
      </w:pPr>
    </w:p>
    <w:p w14:paraId="601367BF">
      <w:pPr>
        <w:spacing w:line="520" w:lineRule="exact"/>
        <w:rPr>
          <w:rFonts w:ascii="宋体" w:hAnsi="宋体"/>
          <w:color w:val="auto"/>
          <w:szCs w:val="21"/>
          <w:highlight w:val="none"/>
        </w:rPr>
      </w:pPr>
      <w:r>
        <w:rPr>
          <w:rFonts w:hint="eastAsia" w:ascii="宋体" w:hAnsi="宋体"/>
          <w:color w:val="auto"/>
          <w:szCs w:val="21"/>
          <w:highlight w:val="none"/>
        </w:rPr>
        <w:t>附：委托代理人工作单位：</w:t>
      </w:r>
      <w:r>
        <w:rPr>
          <w:rFonts w:ascii="宋体" w:hAnsi="宋体"/>
          <w:color w:val="auto"/>
          <w:szCs w:val="21"/>
          <w:highlight w:val="none"/>
          <w:u w:val="single"/>
        </w:rPr>
        <w:t xml:space="preserve">                      </w:t>
      </w:r>
    </w:p>
    <w:p w14:paraId="5FA50B98">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p>
    <w:p w14:paraId="2EFDE031">
      <w:pPr>
        <w:adjustRightInd w:val="0"/>
        <w:snapToGrid w:val="0"/>
        <w:spacing w:line="5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4B45DED9">
      <w:pPr>
        <w:adjustRightInd w:val="0"/>
        <w:snapToGrid w:val="0"/>
        <w:spacing w:line="520" w:lineRule="exact"/>
        <w:ind w:firstLine="420" w:firstLineChars="200"/>
        <w:rPr>
          <w:rFonts w:ascii="宋体" w:hAnsi="宋体"/>
          <w:color w:val="auto"/>
          <w:szCs w:val="21"/>
          <w:highlight w:val="none"/>
          <w:u w:val="single"/>
        </w:rPr>
      </w:pP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4DC8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14:paraId="262D53F8">
            <w:pPr>
              <w:spacing w:line="300" w:lineRule="auto"/>
              <w:rPr>
                <w:rFonts w:ascii="宋体" w:hAnsi="宋体"/>
                <w:color w:val="auto"/>
                <w:szCs w:val="21"/>
                <w:highlight w:val="none"/>
              </w:rPr>
            </w:pPr>
            <w:r>
              <w:rPr>
                <w:rFonts w:hint="eastAsia" w:ascii="宋体" w:hAnsi="宋体"/>
                <w:color w:val="auto"/>
                <w:szCs w:val="21"/>
                <w:highlight w:val="none"/>
              </w:rPr>
              <w:t>粘贴委托代理人的有效身份证正面及反面复印件</w:t>
            </w:r>
          </w:p>
        </w:tc>
      </w:tr>
    </w:tbl>
    <w:p w14:paraId="19C6E85D">
      <w:pPr>
        <w:autoSpaceDE w:val="0"/>
        <w:autoSpaceDN w:val="0"/>
        <w:spacing w:line="300" w:lineRule="auto"/>
        <w:ind w:left="480" w:hanging="480"/>
        <w:rPr>
          <w:rFonts w:ascii="宋体" w:hAnsi="宋体"/>
          <w:color w:val="auto"/>
          <w:szCs w:val="21"/>
          <w:highlight w:val="none"/>
        </w:rPr>
      </w:pPr>
    </w:p>
    <w:p w14:paraId="1C9951E2">
      <w:pPr>
        <w:autoSpaceDE w:val="0"/>
        <w:autoSpaceDN w:val="0"/>
        <w:spacing w:line="300" w:lineRule="auto"/>
        <w:ind w:left="480" w:hanging="480"/>
        <w:rPr>
          <w:rFonts w:ascii="宋体" w:hAnsi="宋体"/>
          <w:color w:val="auto"/>
          <w:szCs w:val="21"/>
          <w:highlight w:val="none"/>
        </w:rPr>
      </w:pPr>
    </w:p>
    <w:p w14:paraId="044D628E">
      <w:pPr>
        <w:pStyle w:val="21"/>
        <w:spacing w:line="300" w:lineRule="auto"/>
        <w:rPr>
          <w:rFonts w:hAnsi="宋体"/>
          <w:color w:val="auto"/>
          <w:highlight w:val="none"/>
        </w:rPr>
      </w:pPr>
    </w:p>
    <w:p w14:paraId="278E0F33">
      <w:pPr>
        <w:pStyle w:val="21"/>
        <w:spacing w:line="300" w:lineRule="auto"/>
        <w:rPr>
          <w:rFonts w:hAnsi="宋体"/>
          <w:color w:val="auto"/>
          <w:highlight w:val="none"/>
        </w:rPr>
      </w:pPr>
    </w:p>
    <w:p w14:paraId="1F7851C1">
      <w:pPr>
        <w:pStyle w:val="21"/>
        <w:spacing w:line="300" w:lineRule="auto"/>
        <w:rPr>
          <w:rFonts w:hAnsi="宋体"/>
          <w:color w:val="auto"/>
          <w:highlight w:val="none"/>
        </w:rPr>
      </w:pPr>
    </w:p>
    <w:p w14:paraId="2C16E75A">
      <w:pPr>
        <w:pStyle w:val="21"/>
        <w:spacing w:line="300" w:lineRule="auto"/>
        <w:rPr>
          <w:rFonts w:hAnsi="宋体"/>
          <w:color w:val="auto"/>
          <w:highlight w:val="none"/>
        </w:rPr>
      </w:pPr>
    </w:p>
    <w:p w14:paraId="143683C8">
      <w:pPr>
        <w:pStyle w:val="21"/>
        <w:spacing w:line="300" w:lineRule="auto"/>
        <w:rPr>
          <w:rFonts w:hAnsi="宋体"/>
          <w:color w:val="auto"/>
          <w:highlight w:val="none"/>
        </w:rPr>
      </w:pPr>
    </w:p>
    <w:p w14:paraId="2D1B59CA">
      <w:pPr>
        <w:pStyle w:val="21"/>
        <w:spacing w:line="300" w:lineRule="auto"/>
        <w:rPr>
          <w:rFonts w:hAnsi="宋体"/>
          <w:color w:val="auto"/>
          <w:highlight w:val="none"/>
        </w:rPr>
      </w:pPr>
    </w:p>
    <w:p w14:paraId="2902FAB0">
      <w:pPr>
        <w:spacing w:line="500" w:lineRule="exact"/>
        <w:rPr>
          <w:color w:val="auto"/>
          <w:kern w:val="0"/>
          <w:highlight w:val="none"/>
        </w:rPr>
      </w:pPr>
      <w:r>
        <w:rPr>
          <w:color w:val="auto"/>
          <w:kern w:val="0"/>
          <w:highlight w:val="none"/>
        </w:rPr>
        <w:t xml:space="preserve"> </w:t>
      </w:r>
    </w:p>
    <w:p w14:paraId="562511EE">
      <w:pPr>
        <w:spacing w:line="500" w:lineRule="exact"/>
        <w:rPr>
          <w:rFonts w:ascii="宋体" w:hAnsi="宋体"/>
          <w:b/>
          <w:color w:val="auto"/>
          <w:szCs w:val="21"/>
          <w:highlight w:val="none"/>
        </w:rPr>
      </w:pPr>
      <w:r>
        <w:rPr>
          <w:color w:val="auto"/>
          <w:kern w:val="0"/>
          <w:highlight w:val="none"/>
        </w:rPr>
        <w:br w:type="page"/>
      </w:r>
      <w:r>
        <w:rPr>
          <w:rFonts w:hint="eastAsia" w:ascii="宋体" w:hAnsi="宋体"/>
          <w:b/>
          <w:color w:val="auto"/>
          <w:szCs w:val="21"/>
          <w:highlight w:val="none"/>
        </w:rPr>
        <w:t>附件五</w:t>
      </w:r>
    </w:p>
    <w:p w14:paraId="7B417742">
      <w:pPr>
        <w:spacing w:line="500" w:lineRule="exact"/>
        <w:rPr>
          <w:rFonts w:ascii="宋体" w:hAnsi="宋体"/>
          <w:b/>
          <w:color w:val="auto"/>
          <w:szCs w:val="21"/>
          <w:highlight w:val="none"/>
        </w:rPr>
      </w:pPr>
    </w:p>
    <w:p w14:paraId="6B1FCCF8">
      <w:pPr>
        <w:pStyle w:val="21"/>
        <w:spacing w:line="500" w:lineRule="exact"/>
        <w:jc w:val="center"/>
        <w:rPr>
          <w:rFonts w:hAnsi="宋体"/>
          <w:b/>
          <w:bCs/>
          <w:color w:val="auto"/>
          <w:sz w:val="30"/>
          <w:szCs w:val="30"/>
          <w:highlight w:val="none"/>
        </w:rPr>
      </w:pPr>
      <w:r>
        <w:rPr>
          <w:rFonts w:hAnsi="宋体"/>
          <w:b/>
          <w:bCs/>
          <w:color w:val="auto"/>
          <w:sz w:val="30"/>
          <w:szCs w:val="30"/>
          <w:highlight w:val="none"/>
        </w:rPr>
        <w:t>中小企业声明函（</w:t>
      </w:r>
      <w:r>
        <w:rPr>
          <w:rFonts w:hint="eastAsia" w:hAnsi="宋体"/>
          <w:b/>
          <w:bCs/>
          <w:color w:val="auto"/>
          <w:sz w:val="30"/>
          <w:szCs w:val="30"/>
          <w:highlight w:val="none"/>
        </w:rPr>
        <w:t>服务</w:t>
      </w:r>
      <w:r>
        <w:rPr>
          <w:rFonts w:hAnsi="宋体"/>
          <w:b/>
          <w:bCs/>
          <w:color w:val="auto"/>
          <w:sz w:val="30"/>
          <w:szCs w:val="30"/>
          <w:highlight w:val="none"/>
        </w:rPr>
        <w:t>）</w:t>
      </w:r>
    </w:p>
    <w:p w14:paraId="68E14576">
      <w:pPr>
        <w:rPr>
          <w:color w:val="auto"/>
          <w:highlight w:val="none"/>
        </w:rPr>
      </w:pPr>
    </w:p>
    <w:p w14:paraId="337C9F5E">
      <w:pPr>
        <w:pStyle w:val="21"/>
        <w:spacing w:line="500" w:lineRule="exact"/>
        <w:ind w:firstLine="525" w:firstLineChars="250"/>
        <w:jc w:val="left"/>
        <w:rPr>
          <w:color w:val="auto"/>
          <w:highlight w:val="none"/>
        </w:rPr>
      </w:pPr>
      <w:r>
        <w:rPr>
          <w:rFonts w:hint="eastAsia"/>
          <w:color w:val="auto"/>
          <w:highlight w:val="none"/>
        </w:rPr>
        <w:t>本公司（联合体）郑重声明，根据《政府采购促进中小企业发展管理办法》（财库﹝2020﹞46</w:t>
      </w:r>
      <w:r>
        <w:rPr>
          <w:color w:val="auto"/>
          <w:highlight w:val="none"/>
        </w:rPr>
        <w:t xml:space="preserve"> </w:t>
      </w:r>
      <w:r>
        <w:rPr>
          <w:rFonts w:hint="eastAsia"/>
          <w:color w:val="auto"/>
          <w:highlight w:val="none"/>
        </w:rPr>
        <w:t>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采购活动，服务全部由符合政策要求的中小企业承接。相关企业（含联合体中的中小企业、签订分包意向协议的中小企业）的具体情况如下：</w:t>
      </w:r>
    </w:p>
    <w:p w14:paraId="78BDB220">
      <w:pPr>
        <w:pStyle w:val="21"/>
        <w:spacing w:line="500" w:lineRule="exact"/>
        <w:ind w:firstLine="420" w:firstLineChars="200"/>
        <w:jc w:val="left"/>
        <w:rPr>
          <w:color w:val="auto"/>
          <w:highlight w:val="none"/>
        </w:rPr>
      </w:pPr>
      <w:r>
        <w:rPr>
          <w:color w:val="auto"/>
          <w:highlight w:val="none"/>
        </w:rPr>
        <w:t>1.</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w:t>
      </w:r>
      <w:r>
        <w:rPr>
          <w:rFonts w:hint="eastAsia"/>
          <w:color w:val="auto"/>
          <w:highlight w:val="none"/>
          <w:u w:val="single"/>
        </w:rPr>
        <w:t>（企业名称）</w:t>
      </w:r>
      <w:r>
        <w:rPr>
          <w:rFonts w:hint="eastAsia"/>
          <w:color w:val="auto"/>
          <w:highlight w:val="none"/>
        </w:rPr>
        <w:t>，从业人员</w:t>
      </w:r>
      <w:r>
        <w:rPr>
          <w:color w:val="auto"/>
          <w:highlight w:val="none"/>
          <w:u w:val="single"/>
        </w:rPr>
        <w:t xml:space="preserve">     </w:t>
      </w:r>
      <w:r>
        <w:rPr>
          <w:rFonts w:hint="eastAsia"/>
          <w:color w:val="auto"/>
          <w:highlight w:val="none"/>
        </w:rPr>
        <w:t>人，营业收入为</w:t>
      </w:r>
      <w:r>
        <w:rPr>
          <w:color w:val="auto"/>
          <w:highlight w:val="none"/>
          <w:u w:val="single"/>
        </w:rPr>
        <w:t xml:space="preserve">     </w:t>
      </w:r>
      <w:r>
        <w:rPr>
          <w:rFonts w:hint="eastAsia"/>
          <w:color w:val="auto"/>
          <w:highlight w:val="none"/>
        </w:rPr>
        <w:t>万元，资产总额为</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 xml:space="preserve">； </w:t>
      </w:r>
    </w:p>
    <w:p w14:paraId="60C9F214">
      <w:pPr>
        <w:pStyle w:val="21"/>
        <w:spacing w:line="500" w:lineRule="exact"/>
        <w:ind w:firstLine="420" w:firstLineChars="200"/>
        <w:jc w:val="left"/>
        <w:rPr>
          <w:color w:val="auto"/>
          <w:highlight w:val="none"/>
        </w:rPr>
      </w:pPr>
      <w:r>
        <w:rPr>
          <w:color w:val="auto"/>
          <w:highlight w:val="none"/>
        </w:rPr>
        <w:t>2.</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；承接企业为（企业名称），从业人员</w:t>
      </w:r>
      <w:r>
        <w:rPr>
          <w:color w:val="auto"/>
          <w:highlight w:val="none"/>
          <w:u w:val="single"/>
        </w:rPr>
        <w:t xml:space="preserve">     </w:t>
      </w:r>
      <w:r>
        <w:rPr>
          <w:rFonts w:hint="eastAsia"/>
          <w:color w:val="auto"/>
          <w:highlight w:val="none"/>
        </w:rPr>
        <w:t>人，营业收入为</w:t>
      </w:r>
      <w:r>
        <w:rPr>
          <w:color w:val="auto"/>
          <w:highlight w:val="none"/>
          <w:u w:val="single"/>
        </w:rPr>
        <w:t xml:space="preserve">     </w:t>
      </w:r>
      <w:r>
        <w:rPr>
          <w:rFonts w:hint="eastAsia"/>
          <w:color w:val="auto"/>
          <w:highlight w:val="none"/>
        </w:rPr>
        <w:t>万元，资产总额为</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14:paraId="44F2CE2B">
      <w:pPr>
        <w:pStyle w:val="21"/>
        <w:spacing w:line="500" w:lineRule="exact"/>
        <w:ind w:firstLine="420" w:firstLineChars="200"/>
        <w:jc w:val="left"/>
        <w:rPr>
          <w:color w:val="auto"/>
          <w:highlight w:val="none"/>
        </w:rPr>
      </w:pPr>
      <w:r>
        <w:rPr>
          <w:rFonts w:hint="eastAsia"/>
          <w:color w:val="auto"/>
          <w:highlight w:val="none"/>
        </w:rPr>
        <w:t>……</w:t>
      </w:r>
    </w:p>
    <w:p w14:paraId="6D93C577">
      <w:pPr>
        <w:pStyle w:val="21"/>
        <w:spacing w:line="500" w:lineRule="exact"/>
        <w:ind w:firstLine="420" w:firstLineChars="200"/>
        <w:jc w:val="left"/>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56AA1550">
      <w:pPr>
        <w:pStyle w:val="21"/>
        <w:spacing w:line="500" w:lineRule="exact"/>
        <w:ind w:firstLine="420" w:firstLineChars="200"/>
        <w:jc w:val="left"/>
        <w:rPr>
          <w:color w:val="auto"/>
          <w:highlight w:val="none"/>
        </w:rPr>
      </w:pPr>
      <w:r>
        <w:rPr>
          <w:rFonts w:hint="eastAsia"/>
          <w:color w:val="auto"/>
          <w:highlight w:val="none"/>
        </w:rPr>
        <w:t>本企业对上述声明内容的真实性负责。如有虚假，将依法承担相应责任。</w:t>
      </w:r>
    </w:p>
    <w:p w14:paraId="1618CD0F">
      <w:pPr>
        <w:pStyle w:val="21"/>
        <w:spacing w:line="500" w:lineRule="exact"/>
        <w:ind w:firstLine="420" w:firstLineChars="200"/>
        <w:jc w:val="left"/>
        <w:rPr>
          <w:color w:val="auto"/>
          <w:highlight w:val="none"/>
        </w:rPr>
      </w:pPr>
    </w:p>
    <w:p w14:paraId="46918A3A">
      <w:pPr>
        <w:pStyle w:val="21"/>
        <w:spacing w:line="500" w:lineRule="exact"/>
        <w:ind w:firstLine="4620" w:firstLineChars="2200"/>
        <w:jc w:val="left"/>
        <w:rPr>
          <w:color w:val="auto"/>
          <w:highlight w:val="none"/>
        </w:rPr>
      </w:pPr>
      <w:r>
        <w:rPr>
          <w:rFonts w:hint="eastAsia"/>
          <w:color w:val="auto"/>
          <w:highlight w:val="none"/>
        </w:rPr>
        <w:t>企业名称（盖章）：</w:t>
      </w:r>
    </w:p>
    <w:p w14:paraId="26F619DB">
      <w:pPr>
        <w:pStyle w:val="21"/>
        <w:spacing w:line="500" w:lineRule="exact"/>
        <w:ind w:firstLine="4620" w:firstLineChars="2200"/>
        <w:jc w:val="left"/>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p>
    <w:p w14:paraId="5C7D81BC">
      <w:pPr>
        <w:snapToGrid w:val="0"/>
        <w:spacing w:line="380" w:lineRule="exact"/>
        <w:ind w:firstLine="411" w:firstLineChars="196"/>
        <w:jc w:val="left"/>
        <w:rPr>
          <w:rFonts w:ascii="宋体"/>
          <w:color w:val="auto"/>
          <w:szCs w:val="21"/>
          <w:highlight w:val="none"/>
        </w:rPr>
      </w:pPr>
    </w:p>
    <w:p w14:paraId="0C3B387F">
      <w:pPr>
        <w:snapToGrid w:val="0"/>
        <w:spacing w:line="380" w:lineRule="exact"/>
        <w:ind w:firstLine="352" w:firstLineChars="196"/>
        <w:jc w:val="left"/>
        <w:rPr>
          <w:color w:val="auto"/>
          <w:sz w:val="18"/>
          <w:szCs w:val="18"/>
          <w:highlight w:val="none"/>
        </w:rPr>
      </w:pPr>
    </w:p>
    <w:p w14:paraId="176753C9">
      <w:pPr>
        <w:snapToGrid w:val="0"/>
        <w:spacing w:line="380" w:lineRule="exact"/>
        <w:ind w:firstLine="352" w:firstLineChars="196"/>
        <w:jc w:val="lef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1、从业人员、营业收入、资产总额填报上一年度数据，无上</w:t>
      </w:r>
      <w:r>
        <w:rPr>
          <w:rFonts w:hint="eastAsia" w:ascii="宋体" w:hAnsi="宋体"/>
          <w:color w:val="auto"/>
          <w:sz w:val="18"/>
          <w:szCs w:val="18"/>
          <w:highlight w:val="none"/>
        </w:rPr>
        <w:t>一年度数据的新成立企业可不填报。</w:t>
      </w:r>
    </w:p>
    <w:p w14:paraId="3DE4EF1D">
      <w:pPr>
        <w:snapToGrid w:val="0"/>
        <w:spacing w:line="380" w:lineRule="exact"/>
        <w:ind w:firstLine="712" w:firstLineChars="396"/>
        <w:jc w:val="left"/>
        <w:rPr>
          <w:rFonts w:ascii="宋体" w:hAnsi="宋体"/>
          <w:color w:val="auto"/>
          <w:sz w:val="18"/>
          <w:szCs w:val="18"/>
          <w:highlight w:val="none"/>
        </w:rPr>
      </w:pPr>
      <w:r>
        <w:rPr>
          <w:rFonts w:ascii="宋体" w:hAnsi="宋体"/>
          <w:color w:val="auto"/>
          <w:sz w:val="18"/>
          <w:szCs w:val="18"/>
          <w:highlight w:val="none"/>
        </w:rPr>
        <w:t>2、请根据自己的真实情况出具《中小企业声明函》。依法享受中小企业优惠政策的，采购人或者采购代理机构在公告中标结果时，同时公告其《中小企业声明函》，接受社会监督。</w:t>
      </w:r>
    </w:p>
    <w:p w14:paraId="3B202244">
      <w:pPr>
        <w:snapToGrid w:val="0"/>
        <w:spacing w:line="380" w:lineRule="exact"/>
        <w:ind w:firstLine="712" w:firstLineChars="396"/>
        <w:jc w:val="left"/>
        <w:rPr>
          <w:rFonts w:ascii="宋体" w:hAnsi="宋体"/>
          <w:color w:val="auto"/>
          <w:sz w:val="18"/>
          <w:szCs w:val="18"/>
          <w:highlight w:val="none"/>
        </w:rPr>
      </w:pPr>
      <w:r>
        <w:rPr>
          <w:rFonts w:ascii="宋体" w:hAnsi="宋体"/>
          <w:color w:val="auto"/>
          <w:sz w:val="18"/>
          <w:szCs w:val="18"/>
          <w:highlight w:val="none"/>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w:t>
      </w:r>
      <w:r>
        <w:rPr>
          <w:rFonts w:hint="eastAsia" w:ascii="宋体" w:hAnsi="宋体"/>
          <w:color w:val="auto"/>
          <w:sz w:val="18"/>
          <w:szCs w:val="18"/>
          <w:highlight w:val="none"/>
        </w:rPr>
        <w:t>式参加政府采购活动，联合体各方均为中小企业的，联合体视同中小企业。其中，联合体各方均为小微企业的，联合体视同小微企业。</w:t>
      </w:r>
    </w:p>
    <w:p w14:paraId="3B4D1EC2">
      <w:pPr>
        <w:spacing w:line="528" w:lineRule="exact"/>
        <w:ind w:left="1871" w:leftChars="891" w:firstLine="540" w:firstLineChars="300"/>
        <w:rPr>
          <w:rFonts w:ascii="宋体" w:hAnsi="宋体" w:cs="Arial Unicode MS"/>
          <w:color w:val="auto"/>
          <w:sz w:val="40"/>
          <w:szCs w:val="40"/>
          <w:highlight w:val="none"/>
        </w:rPr>
      </w:pPr>
      <w:r>
        <w:rPr>
          <w:rFonts w:ascii="宋体" w:hAnsi="宋体"/>
          <w:color w:val="auto"/>
          <w:sz w:val="18"/>
          <w:szCs w:val="18"/>
          <w:highlight w:val="none"/>
        </w:rPr>
        <w:br w:type="page"/>
      </w:r>
      <w:r>
        <w:rPr>
          <w:rFonts w:hint="eastAsia" w:ascii="宋体" w:hAnsi="宋体" w:cs="微软雅黑"/>
          <w:color w:val="auto"/>
          <w:sz w:val="40"/>
          <w:szCs w:val="40"/>
          <w:highlight w:val="none"/>
        </w:rPr>
        <w:t>中小微企业划型标准</w:t>
      </w:r>
    </w:p>
    <w:tbl>
      <w:tblPr>
        <w:tblStyle w:val="37"/>
        <w:tblW w:w="8591" w:type="dxa"/>
        <w:tblInd w:w="250" w:type="dxa"/>
        <w:tblLayout w:type="fixed"/>
        <w:tblCellMar>
          <w:top w:w="0" w:type="dxa"/>
          <w:left w:w="108" w:type="dxa"/>
          <w:bottom w:w="0" w:type="dxa"/>
          <w:right w:w="108" w:type="dxa"/>
        </w:tblCellMar>
      </w:tblPr>
      <w:tblGrid>
        <w:gridCol w:w="1831"/>
        <w:gridCol w:w="1489"/>
        <w:gridCol w:w="983"/>
        <w:gridCol w:w="1743"/>
        <w:gridCol w:w="1549"/>
        <w:gridCol w:w="996"/>
      </w:tblGrid>
      <w:tr w14:paraId="28EEF8DC">
        <w:tblPrEx>
          <w:tblCellMar>
            <w:top w:w="0" w:type="dxa"/>
            <w:left w:w="108" w:type="dxa"/>
            <w:bottom w:w="0" w:type="dxa"/>
            <w:right w:w="108" w:type="dxa"/>
          </w:tblCellMar>
        </w:tblPrEx>
        <w:trPr>
          <w:trHeight w:val="287" w:hRule="atLeast"/>
        </w:trPr>
        <w:tc>
          <w:tcPr>
            <w:tcW w:w="1831" w:type="dxa"/>
            <w:tcBorders>
              <w:top w:val="single" w:color="auto" w:sz="4" w:space="0"/>
              <w:left w:val="single" w:color="auto" w:sz="4" w:space="0"/>
              <w:bottom w:val="single" w:color="auto" w:sz="4" w:space="0"/>
              <w:right w:val="single" w:color="auto" w:sz="4" w:space="0"/>
            </w:tcBorders>
            <w:vAlign w:val="center"/>
          </w:tcPr>
          <w:p w14:paraId="6EABF05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89" w:type="dxa"/>
            <w:tcBorders>
              <w:top w:val="single" w:color="auto" w:sz="4" w:space="0"/>
              <w:left w:val="nil"/>
              <w:bottom w:val="single" w:color="auto" w:sz="4" w:space="0"/>
              <w:right w:val="single" w:color="auto" w:sz="4" w:space="0"/>
            </w:tcBorders>
            <w:vAlign w:val="center"/>
          </w:tcPr>
          <w:p w14:paraId="708CA58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83" w:type="dxa"/>
            <w:tcBorders>
              <w:top w:val="single" w:color="auto" w:sz="4" w:space="0"/>
              <w:left w:val="nil"/>
              <w:bottom w:val="single" w:color="auto" w:sz="4" w:space="0"/>
              <w:right w:val="single" w:color="auto" w:sz="4" w:space="0"/>
            </w:tcBorders>
            <w:vAlign w:val="center"/>
          </w:tcPr>
          <w:p w14:paraId="013CC9F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743" w:type="dxa"/>
            <w:tcBorders>
              <w:top w:val="single" w:color="auto" w:sz="4" w:space="0"/>
              <w:left w:val="nil"/>
              <w:bottom w:val="single" w:color="auto" w:sz="4" w:space="0"/>
              <w:right w:val="single" w:color="auto" w:sz="4" w:space="0"/>
            </w:tcBorders>
            <w:vAlign w:val="center"/>
          </w:tcPr>
          <w:p w14:paraId="1D87D5E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549" w:type="dxa"/>
            <w:tcBorders>
              <w:top w:val="single" w:color="auto" w:sz="4" w:space="0"/>
              <w:left w:val="nil"/>
              <w:bottom w:val="single" w:color="auto" w:sz="4" w:space="0"/>
              <w:right w:val="single" w:color="auto" w:sz="4" w:space="0"/>
            </w:tcBorders>
            <w:vAlign w:val="center"/>
          </w:tcPr>
          <w:p w14:paraId="33A3ECD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96" w:type="dxa"/>
            <w:tcBorders>
              <w:top w:val="single" w:color="auto" w:sz="4" w:space="0"/>
              <w:left w:val="nil"/>
              <w:bottom w:val="single" w:color="auto" w:sz="4" w:space="0"/>
              <w:right w:val="single" w:color="auto" w:sz="4" w:space="0"/>
            </w:tcBorders>
            <w:vAlign w:val="center"/>
          </w:tcPr>
          <w:p w14:paraId="5225B9D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5692757">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14:paraId="13C97C7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489" w:type="dxa"/>
            <w:tcBorders>
              <w:top w:val="nil"/>
              <w:left w:val="nil"/>
              <w:bottom w:val="single" w:color="auto" w:sz="4" w:space="0"/>
              <w:right w:val="single" w:color="auto" w:sz="4" w:space="0"/>
            </w:tcBorders>
            <w:vAlign w:val="center"/>
          </w:tcPr>
          <w:p w14:paraId="4E61A3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45EBEA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203D66D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500≤Y＜20000</w:t>
            </w:r>
          </w:p>
        </w:tc>
        <w:tc>
          <w:tcPr>
            <w:tcW w:w="1549" w:type="dxa"/>
            <w:tcBorders>
              <w:top w:val="nil"/>
              <w:left w:val="nil"/>
              <w:bottom w:val="single" w:color="auto" w:sz="4" w:space="0"/>
              <w:right w:val="single" w:color="auto" w:sz="4" w:space="0"/>
            </w:tcBorders>
            <w:vAlign w:val="center"/>
          </w:tcPr>
          <w:p w14:paraId="173B3EA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50≤Y＜500</w:t>
            </w:r>
          </w:p>
        </w:tc>
        <w:tc>
          <w:tcPr>
            <w:tcW w:w="996" w:type="dxa"/>
            <w:tcBorders>
              <w:top w:val="nil"/>
              <w:left w:val="nil"/>
              <w:bottom w:val="single" w:color="auto" w:sz="4" w:space="0"/>
              <w:right w:val="single" w:color="auto" w:sz="4" w:space="0"/>
            </w:tcBorders>
            <w:vAlign w:val="center"/>
          </w:tcPr>
          <w:p w14:paraId="1A76A8F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Y＜50</w:t>
            </w:r>
          </w:p>
        </w:tc>
      </w:tr>
      <w:tr w14:paraId="5B594A25">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FA754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489" w:type="dxa"/>
            <w:tcBorders>
              <w:top w:val="nil"/>
              <w:left w:val="nil"/>
              <w:bottom w:val="single" w:color="auto" w:sz="4" w:space="0"/>
              <w:right w:val="single" w:color="auto" w:sz="4" w:space="0"/>
            </w:tcBorders>
            <w:vAlign w:val="center"/>
          </w:tcPr>
          <w:p w14:paraId="2FDABF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37B9BE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77C3918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7F23DFC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vAlign w:val="center"/>
          </w:tcPr>
          <w:p w14:paraId="1C605A1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X＜20</w:t>
            </w:r>
          </w:p>
        </w:tc>
      </w:tr>
      <w:tr w14:paraId="6A9A1D83">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46E1DA50">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4A6F71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7BF090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71ED46B3">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2000≤Y＜40000</w:t>
            </w:r>
          </w:p>
        </w:tc>
        <w:tc>
          <w:tcPr>
            <w:tcW w:w="1549" w:type="dxa"/>
            <w:tcBorders>
              <w:top w:val="nil"/>
              <w:left w:val="nil"/>
              <w:bottom w:val="single" w:color="auto" w:sz="4" w:space="0"/>
              <w:right w:val="single" w:color="auto" w:sz="4" w:space="0"/>
            </w:tcBorders>
            <w:vAlign w:val="center"/>
          </w:tcPr>
          <w:p w14:paraId="22DB17AD">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300≤Y＜2000</w:t>
            </w:r>
          </w:p>
        </w:tc>
        <w:tc>
          <w:tcPr>
            <w:tcW w:w="996" w:type="dxa"/>
            <w:tcBorders>
              <w:top w:val="nil"/>
              <w:left w:val="nil"/>
              <w:bottom w:val="single" w:color="auto" w:sz="4" w:space="0"/>
              <w:right w:val="single" w:color="auto" w:sz="4" w:space="0"/>
            </w:tcBorders>
            <w:vAlign w:val="center"/>
          </w:tcPr>
          <w:p w14:paraId="3089063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Y＜300</w:t>
            </w:r>
          </w:p>
        </w:tc>
      </w:tr>
      <w:tr w14:paraId="4957A59E">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0794DBE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489" w:type="dxa"/>
            <w:tcBorders>
              <w:top w:val="nil"/>
              <w:left w:val="nil"/>
              <w:bottom w:val="single" w:color="auto" w:sz="4" w:space="0"/>
              <w:right w:val="single" w:color="auto" w:sz="4" w:space="0"/>
            </w:tcBorders>
            <w:vAlign w:val="center"/>
          </w:tcPr>
          <w:p w14:paraId="7241FF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799C67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56E5F24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6000≤Y＜80000</w:t>
            </w:r>
          </w:p>
        </w:tc>
        <w:tc>
          <w:tcPr>
            <w:tcW w:w="1549" w:type="dxa"/>
            <w:tcBorders>
              <w:top w:val="nil"/>
              <w:left w:val="nil"/>
              <w:bottom w:val="single" w:color="auto" w:sz="4" w:space="0"/>
              <w:right w:val="single" w:color="auto" w:sz="4" w:space="0"/>
            </w:tcBorders>
            <w:vAlign w:val="center"/>
          </w:tcPr>
          <w:p w14:paraId="52B9D23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300≤Y＜6000</w:t>
            </w:r>
          </w:p>
        </w:tc>
        <w:tc>
          <w:tcPr>
            <w:tcW w:w="996" w:type="dxa"/>
            <w:tcBorders>
              <w:top w:val="nil"/>
              <w:left w:val="nil"/>
              <w:bottom w:val="single" w:color="auto" w:sz="4" w:space="0"/>
              <w:right w:val="single" w:color="auto" w:sz="4" w:space="0"/>
            </w:tcBorders>
            <w:vAlign w:val="center"/>
          </w:tcPr>
          <w:p w14:paraId="0133A87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Y＜300</w:t>
            </w:r>
          </w:p>
        </w:tc>
      </w:tr>
      <w:tr w14:paraId="6C5AFF05">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2F1C35F2">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0B0832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p>
        </w:tc>
        <w:tc>
          <w:tcPr>
            <w:tcW w:w="983" w:type="dxa"/>
            <w:tcBorders>
              <w:top w:val="nil"/>
              <w:left w:val="nil"/>
              <w:bottom w:val="single" w:color="auto" w:sz="4" w:space="0"/>
              <w:right w:val="single" w:color="auto" w:sz="4" w:space="0"/>
            </w:tcBorders>
            <w:vAlign w:val="center"/>
          </w:tcPr>
          <w:p w14:paraId="546458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6FDAD6DB">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5000≤Z＜80000</w:t>
            </w:r>
          </w:p>
        </w:tc>
        <w:tc>
          <w:tcPr>
            <w:tcW w:w="1549" w:type="dxa"/>
            <w:tcBorders>
              <w:top w:val="nil"/>
              <w:left w:val="nil"/>
              <w:bottom w:val="single" w:color="auto" w:sz="4" w:space="0"/>
              <w:right w:val="single" w:color="auto" w:sz="4" w:space="0"/>
            </w:tcBorders>
            <w:vAlign w:val="center"/>
          </w:tcPr>
          <w:p w14:paraId="36C7019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300≤Z＜5000</w:t>
            </w:r>
          </w:p>
        </w:tc>
        <w:tc>
          <w:tcPr>
            <w:tcW w:w="996" w:type="dxa"/>
            <w:tcBorders>
              <w:top w:val="nil"/>
              <w:left w:val="nil"/>
              <w:bottom w:val="single" w:color="auto" w:sz="4" w:space="0"/>
              <w:right w:val="single" w:color="auto" w:sz="4" w:space="0"/>
            </w:tcBorders>
            <w:vAlign w:val="center"/>
          </w:tcPr>
          <w:p w14:paraId="66F36D2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Z＜300</w:t>
            </w:r>
          </w:p>
        </w:tc>
      </w:tr>
      <w:tr w14:paraId="72EDC317">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2CAD2C7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489" w:type="dxa"/>
            <w:tcBorders>
              <w:top w:val="nil"/>
              <w:left w:val="nil"/>
              <w:bottom w:val="single" w:color="auto" w:sz="4" w:space="0"/>
              <w:right w:val="single" w:color="auto" w:sz="4" w:space="0"/>
            </w:tcBorders>
            <w:vAlign w:val="center"/>
          </w:tcPr>
          <w:p w14:paraId="17658D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20DC18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1954D7F1">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20≤X＜200</w:t>
            </w:r>
          </w:p>
        </w:tc>
        <w:tc>
          <w:tcPr>
            <w:tcW w:w="1549" w:type="dxa"/>
            <w:tcBorders>
              <w:top w:val="nil"/>
              <w:left w:val="nil"/>
              <w:bottom w:val="single" w:color="auto" w:sz="4" w:space="0"/>
              <w:right w:val="single" w:color="auto" w:sz="4" w:space="0"/>
            </w:tcBorders>
            <w:vAlign w:val="center"/>
          </w:tcPr>
          <w:p w14:paraId="588A691B">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5≤X＜20</w:t>
            </w:r>
          </w:p>
        </w:tc>
        <w:tc>
          <w:tcPr>
            <w:tcW w:w="996" w:type="dxa"/>
            <w:tcBorders>
              <w:top w:val="nil"/>
              <w:left w:val="nil"/>
              <w:bottom w:val="single" w:color="auto" w:sz="4" w:space="0"/>
              <w:right w:val="single" w:color="auto" w:sz="4" w:space="0"/>
            </w:tcBorders>
            <w:vAlign w:val="center"/>
          </w:tcPr>
          <w:p w14:paraId="7AF75F5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X＜5</w:t>
            </w:r>
          </w:p>
        </w:tc>
      </w:tr>
      <w:tr w14:paraId="2F86713F">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1399224">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5D06BD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777E02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50274C78">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5000≤Y＜40000</w:t>
            </w:r>
          </w:p>
        </w:tc>
        <w:tc>
          <w:tcPr>
            <w:tcW w:w="1549" w:type="dxa"/>
            <w:tcBorders>
              <w:top w:val="nil"/>
              <w:left w:val="nil"/>
              <w:bottom w:val="single" w:color="auto" w:sz="4" w:space="0"/>
              <w:right w:val="single" w:color="auto" w:sz="4" w:space="0"/>
            </w:tcBorders>
            <w:vAlign w:val="center"/>
          </w:tcPr>
          <w:p w14:paraId="30B3C5B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1000≤Y＜5000</w:t>
            </w:r>
          </w:p>
        </w:tc>
        <w:tc>
          <w:tcPr>
            <w:tcW w:w="996" w:type="dxa"/>
            <w:tcBorders>
              <w:top w:val="nil"/>
              <w:left w:val="nil"/>
              <w:bottom w:val="single" w:color="auto" w:sz="4" w:space="0"/>
              <w:right w:val="single" w:color="auto" w:sz="4" w:space="0"/>
            </w:tcBorders>
            <w:vAlign w:val="center"/>
          </w:tcPr>
          <w:p w14:paraId="5D4E371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Y＜1000</w:t>
            </w:r>
          </w:p>
        </w:tc>
      </w:tr>
      <w:tr w14:paraId="6C912B0E">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BA1381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489" w:type="dxa"/>
            <w:tcBorders>
              <w:top w:val="nil"/>
              <w:left w:val="nil"/>
              <w:bottom w:val="single" w:color="auto" w:sz="4" w:space="0"/>
              <w:right w:val="single" w:color="auto" w:sz="4" w:space="0"/>
            </w:tcBorders>
            <w:vAlign w:val="center"/>
          </w:tcPr>
          <w:p w14:paraId="5012CF1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330297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03740C35">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50≤X＜300</w:t>
            </w:r>
          </w:p>
        </w:tc>
        <w:tc>
          <w:tcPr>
            <w:tcW w:w="1549" w:type="dxa"/>
            <w:tcBorders>
              <w:top w:val="nil"/>
              <w:left w:val="nil"/>
              <w:bottom w:val="single" w:color="auto" w:sz="4" w:space="0"/>
              <w:right w:val="single" w:color="auto" w:sz="4" w:space="0"/>
            </w:tcBorders>
            <w:vAlign w:val="center"/>
          </w:tcPr>
          <w:p w14:paraId="51D38DF5">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10≤X＜50</w:t>
            </w:r>
          </w:p>
        </w:tc>
        <w:tc>
          <w:tcPr>
            <w:tcW w:w="996" w:type="dxa"/>
            <w:tcBorders>
              <w:top w:val="nil"/>
              <w:left w:val="nil"/>
              <w:bottom w:val="single" w:color="auto" w:sz="4" w:space="0"/>
              <w:right w:val="single" w:color="auto" w:sz="4" w:space="0"/>
            </w:tcBorders>
            <w:vAlign w:val="center"/>
          </w:tcPr>
          <w:p w14:paraId="0925C178">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w:t>
            </w:r>
          </w:p>
        </w:tc>
      </w:tr>
      <w:tr w14:paraId="14CBD15B">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83DC34C">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556D1B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1240D9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497FCAA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500≤Y＜20000</w:t>
            </w:r>
          </w:p>
        </w:tc>
        <w:tc>
          <w:tcPr>
            <w:tcW w:w="1549" w:type="dxa"/>
            <w:tcBorders>
              <w:top w:val="nil"/>
              <w:left w:val="nil"/>
              <w:bottom w:val="single" w:color="auto" w:sz="4" w:space="0"/>
              <w:right w:val="single" w:color="auto" w:sz="4" w:space="0"/>
            </w:tcBorders>
            <w:vAlign w:val="center"/>
          </w:tcPr>
          <w:p w14:paraId="08F81F5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100≤Y＜500</w:t>
            </w:r>
          </w:p>
        </w:tc>
        <w:tc>
          <w:tcPr>
            <w:tcW w:w="996" w:type="dxa"/>
            <w:tcBorders>
              <w:top w:val="nil"/>
              <w:left w:val="nil"/>
              <w:bottom w:val="single" w:color="auto" w:sz="4" w:space="0"/>
              <w:right w:val="single" w:color="auto" w:sz="4" w:space="0"/>
            </w:tcBorders>
            <w:vAlign w:val="center"/>
          </w:tcPr>
          <w:p w14:paraId="5DC832A0">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w:t>
            </w:r>
          </w:p>
        </w:tc>
      </w:tr>
      <w:tr w14:paraId="77C8B2A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52E6DB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489" w:type="dxa"/>
            <w:tcBorders>
              <w:top w:val="nil"/>
              <w:left w:val="nil"/>
              <w:bottom w:val="single" w:color="auto" w:sz="4" w:space="0"/>
              <w:right w:val="single" w:color="auto" w:sz="4" w:space="0"/>
            </w:tcBorders>
            <w:vAlign w:val="center"/>
          </w:tcPr>
          <w:p w14:paraId="33166C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41F6AF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3085CC63">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60A3D94A">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vAlign w:val="center"/>
          </w:tcPr>
          <w:p w14:paraId="45A35D2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X＜20</w:t>
            </w:r>
          </w:p>
        </w:tc>
      </w:tr>
      <w:tr w14:paraId="5C62C547">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6ADDB10">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148F15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20B72A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62EB22A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3000≤Y＜30000</w:t>
            </w:r>
          </w:p>
        </w:tc>
        <w:tc>
          <w:tcPr>
            <w:tcW w:w="1549" w:type="dxa"/>
            <w:tcBorders>
              <w:top w:val="nil"/>
              <w:left w:val="nil"/>
              <w:bottom w:val="single" w:color="auto" w:sz="4" w:space="0"/>
              <w:right w:val="single" w:color="auto" w:sz="4" w:space="0"/>
            </w:tcBorders>
            <w:vAlign w:val="center"/>
          </w:tcPr>
          <w:p w14:paraId="54B51B08">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200≤Y＜3000</w:t>
            </w:r>
          </w:p>
        </w:tc>
        <w:tc>
          <w:tcPr>
            <w:tcW w:w="996" w:type="dxa"/>
            <w:tcBorders>
              <w:top w:val="nil"/>
              <w:left w:val="nil"/>
              <w:bottom w:val="single" w:color="auto" w:sz="4" w:space="0"/>
              <w:right w:val="single" w:color="auto" w:sz="4" w:space="0"/>
            </w:tcBorders>
            <w:vAlign w:val="center"/>
          </w:tcPr>
          <w:p w14:paraId="61494ADD">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Y＜200</w:t>
            </w:r>
          </w:p>
        </w:tc>
      </w:tr>
      <w:tr w14:paraId="595ADD29">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24072D2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489" w:type="dxa"/>
            <w:tcBorders>
              <w:top w:val="nil"/>
              <w:left w:val="nil"/>
              <w:bottom w:val="single" w:color="auto" w:sz="4" w:space="0"/>
              <w:right w:val="single" w:color="auto" w:sz="4" w:space="0"/>
            </w:tcBorders>
            <w:vAlign w:val="center"/>
          </w:tcPr>
          <w:p w14:paraId="1C5AA4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24A4A8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1F9E108B">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100≤X＜200</w:t>
            </w:r>
          </w:p>
        </w:tc>
        <w:tc>
          <w:tcPr>
            <w:tcW w:w="1549" w:type="dxa"/>
            <w:tcBorders>
              <w:top w:val="nil"/>
              <w:left w:val="nil"/>
              <w:bottom w:val="single" w:color="auto" w:sz="4" w:space="0"/>
              <w:right w:val="single" w:color="auto" w:sz="4" w:space="0"/>
            </w:tcBorders>
            <w:vAlign w:val="center"/>
          </w:tcPr>
          <w:p w14:paraId="46FAD140">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20≤X＜100</w:t>
            </w:r>
          </w:p>
        </w:tc>
        <w:tc>
          <w:tcPr>
            <w:tcW w:w="996" w:type="dxa"/>
            <w:tcBorders>
              <w:top w:val="nil"/>
              <w:left w:val="nil"/>
              <w:bottom w:val="single" w:color="auto" w:sz="4" w:space="0"/>
              <w:right w:val="single" w:color="auto" w:sz="4" w:space="0"/>
            </w:tcBorders>
            <w:vAlign w:val="center"/>
          </w:tcPr>
          <w:p w14:paraId="161ECCA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X＜20</w:t>
            </w:r>
          </w:p>
        </w:tc>
      </w:tr>
      <w:tr w14:paraId="197691D3">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B5665BB">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421CCF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47A09B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483AF023">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1000≤Y＜30000</w:t>
            </w:r>
          </w:p>
        </w:tc>
        <w:tc>
          <w:tcPr>
            <w:tcW w:w="1549" w:type="dxa"/>
            <w:tcBorders>
              <w:top w:val="nil"/>
              <w:left w:val="nil"/>
              <w:bottom w:val="single" w:color="auto" w:sz="4" w:space="0"/>
              <w:right w:val="single" w:color="auto" w:sz="4" w:space="0"/>
            </w:tcBorders>
            <w:vAlign w:val="center"/>
          </w:tcPr>
          <w:p w14:paraId="0C2807B7">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100≤Y＜1000</w:t>
            </w:r>
          </w:p>
        </w:tc>
        <w:tc>
          <w:tcPr>
            <w:tcW w:w="996" w:type="dxa"/>
            <w:tcBorders>
              <w:top w:val="nil"/>
              <w:left w:val="nil"/>
              <w:bottom w:val="single" w:color="auto" w:sz="4" w:space="0"/>
              <w:right w:val="single" w:color="auto" w:sz="4" w:space="0"/>
            </w:tcBorders>
            <w:vAlign w:val="center"/>
          </w:tcPr>
          <w:p w14:paraId="189FD9F3">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w:t>
            </w:r>
          </w:p>
        </w:tc>
      </w:tr>
      <w:tr w14:paraId="127A7DD3">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0AB3F46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489" w:type="dxa"/>
            <w:tcBorders>
              <w:top w:val="nil"/>
              <w:left w:val="nil"/>
              <w:bottom w:val="single" w:color="auto" w:sz="4" w:space="0"/>
              <w:right w:val="single" w:color="auto" w:sz="4" w:space="0"/>
            </w:tcBorders>
            <w:vAlign w:val="center"/>
          </w:tcPr>
          <w:p w14:paraId="559A7E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5C8F32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1F58342B">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54EF68D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vAlign w:val="center"/>
          </w:tcPr>
          <w:p w14:paraId="0E3BC60F">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X＜20</w:t>
            </w:r>
          </w:p>
        </w:tc>
      </w:tr>
      <w:tr w14:paraId="455FCB41">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45B2B8BE">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55CBFC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02FF35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35553C1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2000≤Y＜30000</w:t>
            </w:r>
          </w:p>
        </w:tc>
        <w:tc>
          <w:tcPr>
            <w:tcW w:w="1549" w:type="dxa"/>
            <w:tcBorders>
              <w:top w:val="nil"/>
              <w:left w:val="nil"/>
              <w:bottom w:val="single" w:color="auto" w:sz="4" w:space="0"/>
              <w:right w:val="single" w:color="auto" w:sz="4" w:space="0"/>
            </w:tcBorders>
            <w:vAlign w:val="center"/>
          </w:tcPr>
          <w:p w14:paraId="0394B8FA">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vAlign w:val="center"/>
          </w:tcPr>
          <w:p w14:paraId="64E58BEA">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w:t>
            </w:r>
          </w:p>
        </w:tc>
      </w:tr>
      <w:tr w14:paraId="3CA33951">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56BA6EE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489" w:type="dxa"/>
            <w:tcBorders>
              <w:top w:val="nil"/>
              <w:left w:val="nil"/>
              <w:bottom w:val="single" w:color="auto" w:sz="4" w:space="0"/>
              <w:right w:val="single" w:color="auto" w:sz="4" w:space="0"/>
            </w:tcBorders>
            <w:vAlign w:val="center"/>
          </w:tcPr>
          <w:p w14:paraId="782D0F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6833B8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6B5C92EF">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3D6FB4A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6F6DAE5D">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w:t>
            </w:r>
          </w:p>
        </w:tc>
      </w:tr>
      <w:tr w14:paraId="19491B6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4765AF03">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0236B1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1EA175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4654BAF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2000≤Y＜10000</w:t>
            </w:r>
          </w:p>
        </w:tc>
        <w:tc>
          <w:tcPr>
            <w:tcW w:w="1549" w:type="dxa"/>
            <w:tcBorders>
              <w:top w:val="nil"/>
              <w:left w:val="nil"/>
              <w:bottom w:val="single" w:color="auto" w:sz="4" w:space="0"/>
              <w:right w:val="single" w:color="auto" w:sz="4" w:space="0"/>
            </w:tcBorders>
            <w:vAlign w:val="center"/>
          </w:tcPr>
          <w:p w14:paraId="6A7E2387">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vAlign w:val="center"/>
          </w:tcPr>
          <w:p w14:paraId="08566D17">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w:t>
            </w:r>
          </w:p>
        </w:tc>
      </w:tr>
      <w:tr w14:paraId="3F251C9A">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2FA8F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489" w:type="dxa"/>
            <w:tcBorders>
              <w:top w:val="nil"/>
              <w:left w:val="nil"/>
              <w:bottom w:val="single" w:color="auto" w:sz="4" w:space="0"/>
              <w:right w:val="single" w:color="auto" w:sz="4" w:space="0"/>
            </w:tcBorders>
            <w:vAlign w:val="center"/>
          </w:tcPr>
          <w:p w14:paraId="27D928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35DD99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66FD8ADF">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67409585">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04D874AF">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w:t>
            </w:r>
          </w:p>
        </w:tc>
      </w:tr>
      <w:tr w14:paraId="3E42BCA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47535E48">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0E8F1C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569321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677AD76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2000≤Y＜10000</w:t>
            </w:r>
          </w:p>
        </w:tc>
        <w:tc>
          <w:tcPr>
            <w:tcW w:w="1549" w:type="dxa"/>
            <w:tcBorders>
              <w:top w:val="nil"/>
              <w:left w:val="nil"/>
              <w:bottom w:val="single" w:color="auto" w:sz="4" w:space="0"/>
              <w:right w:val="single" w:color="auto" w:sz="4" w:space="0"/>
            </w:tcBorders>
            <w:vAlign w:val="center"/>
          </w:tcPr>
          <w:p w14:paraId="7752E0EB">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vAlign w:val="center"/>
          </w:tcPr>
          <w:p w14:paraId="33C7764B">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w:t>
            </w:r>
          </w:p>
        </w:tc>
      </w:tr>
      <w:tr w14:paraId="517EDC0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5D5EE43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489" w:type="dxa"/>
            <w:tcBorders>
              <w:top w:val="nil"/>
              <w:left w:val="nil"/>
              <w:bottom w:val="single" w:color="auto" w:sz="4" w:space="0"/>
              <w:right w:val="single" w:color="auto" w:sz="4" w:space="0"/>
            </w:tcBorders>
            <w:vAlign w:val="center"/>
          </w:tcPr>
          <w:p w14:paraId="4CEC13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6B8720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6C99497A">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100≤X＜2000</w:t>
            </w:r>
          </w:p>
        </w:tc>
        <w:tc>
          <w:tcPr>
            <w:tcW w:w="1549" w:type="dxa"/>
            <w:tcBorders>
              <w:top w:val="nil"/>
              <w:left w:val="nil"/>
              <w:bottom w:val="single" w:color="auto" w:sz="4" w:space="0"/>
              <w:right w:val="single" w:color="auto" w:sz="4" w:space="0"/>
            </w:tcBorders>
            <w:vAlign w:val="center"/>
          </w:tcPr>
          <w:p w14:paraId="54D5281F">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4CA8AA2F">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w:t>
            </w:r>
          </w:p>
        </w:tc>
      </w:tr>
      <w:tr w14:paraId="008C18F6">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2203AB74">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6B47C4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0CB5D6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7D00D55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1000≤Y＜100000</w:t>
            </w:r>
          </w:p>
        </w:tc>
        <w:tc>
          <w:tcPr>
            <w:tcW w:w="1549" w:type="dxa"/>
            <w:tcBorders>
              <w:top w:val="nil"/>
              <w:left w:val="nil"/>
              <w:bottom w:val="single" w:color="auto" w:sz="4" w:space="0"/>
              <w:right w:val="single" w:color="auto" w:sz="4" w:space="0"/>
            </w:tcBorders>
            <w:vAlign w:val="center"/>
          </w:tcPr>
          <w:p w14:paraId="14B4A347">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100≤Y＜1000</w:t>
            </w:r>
          </w:p>
        </w:tc>
        <w:tc>
          <w:tcPr>
            <w:tcW w:w="996" w:type="dxa"/>
            <w:tcBorders>
              <w:top w:val="nil"/>
              <w:left w:val="nil"/>
              <w:bottom w:val="single" w:color="auto" w:sz="4" w:space="0"/>
              <w:right w:val="single" w:color="auto" w:sz="4" w:space="0"/>
            </w:tcBorders>
            <w:vAlign w:val="center"/>
          </w:tcPr>
          <w:p w14:paraId="7FE24D3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w:t>
            </w:r>
          </w:p>
        </w:tc>
      </w:tr>
      <w:tr w14:paraId="70C246B2">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D9AC76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489" w:type="dxa"/>
            <w:tcBorders>
              <w:top w:val="nil"/>
              <w:left w:val="nil"/>
              <w:bottom w:val="single" w:color="auto" w:sz="4" w:space="0"/>
              <w:right w:val="single" w:color="auto" w:sz="4" w:space="0"/>
            </w:tcBorders>
            <w:vAlign w:val="center"/>
          </w:tcPr>
          <w:p w14:paraId="19B3A4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61CF9B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32930C31">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74071D48">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0B6E442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w:t>
            </w:r>
          </w:p>
        </w:tc>
      </w:tr>
      <w:tr w14:paraId="702F2D5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4A4AD46F">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4ED7C5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1F35F5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55FE6BD1">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1000≤Y＜10000</w:t>
            </w:r>
          </w:p>
        </w:tc>
        <w:tc>
          <w:tcPr>
            <w:tcW w:w="1549" w:type="dxa"/>
            <w:tcBorders>
              <w:top w:val="nil"/>
              <w:left w:val="nil"/>
              <w:bottom w:val="single" w:color="auto" w:sz="4" w:space="0"/>
              <w:right w:val="single" w:color="auto" w:sz="4" w:space="0"/>
            </w:tcBorders>
            <w:vAlign w:val="center"/>
          </w:tcPr>
          <w:p w14:paraId="3BEC95F6">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50≤Y＜1000</w:t>
            </w:r>
          </w:p>
        </w:tc>
        <w:tc>
          <w:tcPr>
            <w:tcW w:w="996" w:type="dxa"/>
            <w:tcBorders>
              <w:top w:val="nil"/>
              <w:left w:val="nil"/>
              <w:bottom w:val="single" w:color="auto" w:sz="4" w:space="0"/>
              <w:right w:val="single" w:color="auto" w:sz="4" w:space="0"/>
            </w:tcBorders>
            <w:vAlign w:val="center"/>
          </w:tcPr>
          <w:p w14:paraId="2C0E7E80">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Y＜50</w:t>
            </w:r>
          </w:p>
        </w:tc>
      </w:tr>
      <w:tr w14:paraId="0C6B5B50">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230B4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489" w:type="dxa"/>
            <w:tcBorders>
              <w:top w:val="nil"/>
              <w:left w:val="nil"/>
              <w:bottom w:val="single" w:color="auto" w:sz="4" w:space="0"/>
              <w:right w:val="single" w:color="auto" w:sz="4" w:space="0"/>
            </w:tcBorders>
            <w:vAlign w:val="center"/>
          </w:tcPr>
          <w:p w14:paraId="5BD5BC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4613A0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037BD20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1000≤Y＜200000</w:t>
            </w:r>
          </w:p>
        </w:tc>
        <w:tc>
          <w:tcPr>
            <w:tcW w:w="1549" w:type="dxa"/>
            <w:tcBorders>
              <w:top w:val="nil"/>
              <w:left w:val="nil"/>
              <w:bottom w:val="single" w:color="auto" w:sz="4" w:space="0"/>
              <w:right w:val="single" w:color="auto" w:sz="4" w:space="0"/>
            </w:tcBorders>
            <w:vAlign w:val="center"/>
          </w:tcPr>
          <w:p w14:paraId="4ADB894F">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100≤X＜1000</w:t>
            </w:r>
          </w:p>
        </w:tc>
        <w:tc>
          <w:tcPr>
            <w:tcW w:w="996" w:type="dxa"/>
            <w:tcBorders>
              <w:top w:val="nil"/>
              <w:left w:val="nil"/>
              <w:bottom w:val="single" w:color="auto" w:sz="4" w:space="0"/>
              <w:right w:val="single" w:color="auto" w:sz="4" w:space="0"/>
            </w:tcBorders>
            <w:vAlign w:val="center"/>
          </w:tcPr>
          <w:p w14:paraId="693D2265">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X＜100</w:t>
            </w:r>
          </w:p>
        </w:tc>
      </w:tr>
      <w:tr w14:paraId="212E933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122F27EF">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7CC293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p>
        </w:tc>
        <w:tc>
          <w:tcPr>
            <w:tcW w:w="983" w:type="dxa"/>
            <w:tcBorders>
              <w:top w:val="nil"/>
              <w:left w:val="nil"/>
              <w:bottom w:val="single" w:color="auto" w:sz="4" w:space="0"/>
              <w:right w:val="single" w:color="auto" w:sz="4" w:space="0"/>
            </w:tcBorders>
            <w:vAlign w:val="center"/>
          </w:tcPr>
          <w:p w14:paraId="31698B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301531E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5000≤Z＜10000</w:t>
            </w:r>
          </w:p>
        </w:tc>
        <w:tc>
          <w:tcPr>
            <w:tcW w:w="1549" w:type="dxa"/>
            <w:tcBorders>
              <w:top w:val="nil"/>
              <w:left w:val="nil"/>
              <w:bottom w:val="single" w:color="auto" w:sz="4" w:space="0"/>
              <w:right w:val="single" w:color="auto" w:sz="4" w:space="0"/>
            </w:tcBorders>
            <w:vAlign w:val="center"/>
          </w:tcPr>
          <w:p w14:paraId="1E1146C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2000≤Y＜5000</w:t>
            </w:r>
          </w:p>
        </w:tc>
        <w:tc>
          <w:tcPr>
            <w:tcW w:w="996" w:type="dxa"/>
            <w:tcBorders>
              <w:top w:val="nil"/>
              <w:left w:val="nil"/>
              <w:bottom w:val="single" w:color="auto" w:sz="4" w:space="0"/>
              <w:right w:val="single" w:color="auto" w:sz="4" w:space="0"/>
            </w:tcBorders>
            <w:vAlign w:val="center"/>
          </w:tcPr>
          <w:p w14:paraId="48CF739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Y＜2000</w:t>
            </w:r>
          </w:p>
        </w:tc>
      </w:tr>
      <w:tr w14:paraId="3C6AEC10">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5425DEF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489" w:type="dxa"/>
            <w:tcBorders>
              <w:top w:val="nil"/>
              <w:left w:val="nil"/>
              <w:bottom w:val="single" w:color="auto" w:sz="4" w:space="0"/>
              <w:right w:val="single" w:color="auto" w:sz="4" w:space="0"/>
            </w:tcBorders>
            <w:vAlign w:val="center"/>
          </w:tcPr>
          <w:p w14:paraId="3EEA91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08E927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29B57F8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1A6A355D">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100≤X＜300</w:t>
            </w:r>
          </w:p>
        </w:tc>
        <w:tc>
          <w:tcPr>
            <w:tcW w:w="996" w:type="dxa"/>
            <w:tcBorders>
              <w:top w:val="nil"/>
              <w:left w:val="nil"/>
              <w:bottom w:val="single" w:color="auto" w:sz="4" w:space="0"/>
              <w:right w:val="single" w:color="auto" w:sz="4" w:space="0"/>
            </w:tcBorders>
            <w:vAlign w:val="center"/>
          </w:tcPr>
          <w:p w14:paraId="761219D1">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X＜100</w:t>
            </w:r>
          </w:p>
        </w:tc>
      </w:tr>
      <w:tr w14:paraId="0E6C3442">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197088A">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2500FB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983" w:type="dxa"/>
            <w:tcBorders>
              <w:top w:val="nil"/>
              <w:left w:val="nil"/>
              <w:bottom w:val="single" w:color="auto" w:sz="4" w:space="0"/>
              <w:right w:val="single" w:color="auto" w:sz="4" w:space="0"/>
            </w:tcBorders>
            <w:vAlign w:val="center"/>
          </w:tcPr>
          <w:p w14:paraId="4BCE2F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3BA01D79">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1000≤Y＜5000</w:t>
            </w:r>
          </w:p>
        </w:tc>
        <w:tc>
          <w:tcPr>
            <w:tcW w:w="1549" w:type="dxa"/>
            <w:tcBorders>
              <w:top w:val="nil"/>
              <w:left w:val="nil"/>
              <w:bottom w:val="single" w:color="auto" w:sz="4" w:space="0"/>
              <w:right w:val="single" w:color="auto" w:sz="4" w:space="0"/>
            </w:tcBorders>
            <w:vAlign w:val="center"/>
          </w:tcPr>
          <w:p w14:paraId="156F556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500≤Y＜1000</w:t>
            </w:r>
          </w:p>
        </w:tc>
        <w:tc>
          <w:tcPr>
            <w:tcW w:w="996" w:type="dxa"/>
            <w:tcBorders>
              <w:top w:val="nil"/>
              <w:left w:val="nil"/>
              <w:bottom w:val="single" w:color="auto" w:sz="4" w:space="0"/>
              <w:right w:val="single" w:color="auto" w:sz="4" w:space="0"/>
            </w:tcBorders>
            <w:vAlign w:val="center"/>
          </w:tcPr>
          <w:p w14:paraId="1A5C3CB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Y＜500</w:t>
            </w:r>
          </w:p>
        </w:tc>
      </w:tr>
      <w:tr w14:paraId="55958765">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D3B469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489" w:type="dxa"/>
            <w:tcBorders>
              <w:top w:val="nil"/>
              <w:left w:val="nil"/>
              <w:bottom w:val="single" w:color="auto" w:sz="4" w:space="0"/>
              <w:right w:val="single" w:color="auto" w:sz="4" w:space="0"/>
            </w:tcBorders>
            <w:vAlign w:val="center"/>
          </w:tcPr>
          <w:p w14:paraId="73599E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4519C4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5D1A593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71F463F3">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1DA2B0E6">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w:t>
            </w:r>
          </w:p>
        </w:tc>
      </w:tr>
      <w:tr w14:paraId="66448D4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75238F2F">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07A435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p>
        </w:tc>
        <w:tc>
          <w:tcPr>
            <w:tcW w:w="983" w:type="dxa"/>
            <w:tcBorders>
              <w:top w:val="nil"/>
              <w:left w:val="nil"/>
              <w:bottom w:val="single" w:color="auto" w:sz="4" w:space="0"/>
              <w:right w:val="single" w:color="auto" w:sz="4" w:space="0"/>
            </w:tcBorders>
            <w:vAlign w:val="center"/>
          </w:tcPr>
          <w:p w14:paraId="09D36C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3300F8E5">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8000≤Z＜120000</w:t>
            </w:r>
          </w:p>
        </w:tc>
        <w:tc>
          <w:tcPr>
            <w:tcW w:w="1549" w:type="dxa"/>
            <w:tcBorders>
              <w:top w:val="nil"/>
              <w:left w:val="nil"/>
              <w:bottom w:val="single" w:color="auto" w:sz="4" w:space="0"/>
              <w:right w:val="single" w:color="auto" w:sz="4" w:space="0"/>
            </w:tcBorders>
            <w:vAlign w:val="center"/>
          </w:tcPr>
          <w:p w14:paraId="18BB28D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100≤Z＜8000</w:t>
            </w:r>
          </w:p>
        </w:tc>
        <w:tc>
          <w:tcPr>
            <w:tcW w:w="996" w:type="dxa"/>
            <w:tcBorders>
              <w:top w:val="nil"/>
              <w:left w:val="nil"/>
              <w:bottom w:val="single" w:color="auto" w:sz="4" w:space="0"/>
              <w:right w:val="single" w:color="auto" w:sz="4" w:space="0"/>
            </w:tcBorders>
            <w:vAlign w:val="center"/>
          </w:tcPr>
          <w:p w14:paraId="14919F25">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Y＜100</w:t>
            </w:r>
          </w:p>
        </w:tc>
      </w:tr>
      <w:tr w14:paraId="671E5EE4">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14:paraId="5F8C1E7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489" w:type="dxa"/>
            <w:tcBorders>
              <w:top w:val="nil"/>
              <w:left w:val="nil"/>
              <w:bottom w:val="single" w:color="auto" w:sz="4" w:space="0"/>
              <w:right w:val="single" w:color="auto" w:sz="4" w:space="0"/>
            </w:tcBorders>
            <w:vAlign w:val="center"/>
          </w:tcPr>
          <w:p w14:paraId="6C6497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983" w:type="dxa"/>
            <w:tcBorders>
              <w:top w:val="nil"/>
              <w:left w:val="nil"/>
              <w:bottom w:val="single" w:color="auto" w:sz="4" w:space="0"/>
              <w:right w:val="single" w:color="auto" w:sz="4" w:space="0"/>
            </w:tcBorders>
            <w:vAlign w:val="center"/>
          </w:tcPr>
          <w:p w14:paraId="6C98A2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471B5CD0">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622A636E">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26B24862">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X＜10</w:t>
            </w:r>
          </w:p>
        </w:tc>
      </w:tr>
    </w:tbl>
    <w:p w14:paraId="669AD5E6">
      <w:pPr>
        <w:pStyle w:val="21"/>
        <w:spacing w:line="500" w:lineRule="exact"/>
        <w:ind w:firstLine="420" w:firstLineChars="200"/>
        <w:jc w:val="left"/>
        <w:rPr>
          <w:color w:val="auto"/>
          <w:sz w:val="18"/>
          <w:szCs w:val="18"/>
          <w:highlight w:val="none"/>
        </w:rPr>
      </w:pPr>
      <w:r>
        <w:rPr>
          <w:rFonts w:hint="eastAsia" w:hAnsi="宋体" w:cs="Times New Roman"/>
          <w:color w:val="auto"/>
          <w:highlight w:val="none"/>
        </w:rPr>
        <w:t>说明：上述标准参照《关于印发中小企业划型标准规定的通知》（工信部联企业</w:t>
      </w:r>
      <w:r>
        <w:rPr>
          <w:rFonts w:hAnsi="宋体" w:cs="Times New Roman"/>
          <w:color w:val="auto"/>
          <w:highlight w:val="none"/>
        </w:rPr>
        <w:t>[2011]300号），大型、中型和小型企业须同时满足所列指标的下限，否则下划一档；微型企业只须满足所列指标中的一项即可。</w:t>
      </w:r>
    </w:p>
    <w:p w14:paraId="37B94031">
      <w:pPr>
        <w:snapToGrid w:val="0"/>
        <w:spacing w:line="380" w:lineRule="exact"/>
        <w:ind w:firstLine="831" w:firstLineChars="396"/>
        <w:jc w:val="left"/>
        <w:rPr>
          <w:rFonts w:ascii="宋体" w:hAnsi="宋体"/>
          <w:color w:val="auto"/>
          <w:szCs w:val="21"/>
          <w:highlight w:val="none"/>
        </w:rPr>
      </w:pPr>
    </w:p>
    <w:p w14:paraId="61E3F189">
      <w:pPr>
        <w:pStyle w:val="21"/>
        <w:spacing w:line="500" w:lineRule="exact"/>
        <w:jc w:val="center"/>
        <w:rPr>
          <w:rFonts w:hAnsi="宋体"/>
          <w:color w:val="auto"/>
          <w:sz w:val="32"/>
          <w:szCs w:val="32"/>
          <w:highlight w:val="none"/>
        </w:rPr>
      </w:pPr>
      <w:r>
        <w:rPr>
          <w:color w:val="auto"/>
          <w:kern w:val="0"/>
          <w:highlight w:val="none"/>
        </w:rPr>
        <w:br w:type="page"/>
      </w:r>
    </w:p>
    <w:p w14:paraId="744418DE">
      <w:pPr>
        <w:snapToGrid w:val="0"/>
        <w:spacing w:before="156" w:beforeLines="50" w:after="50" w:line="400" w:lineRule="exact"/>
        <w:jc w:val="center"/>
        <w:rPr>
          <w:rFonts w:ascii="宋体" w:hAnsi="宋体"/>
          <w:b/>
          <w:color w:val="auto"/>
          <w:kern w:val="0"/>
          <w:sz w:val="32"/>
          <w:szCs w:val="32"/>
          <w:highlight w:val="none"/>
        </w:rPr>
      </w:pPr>
    </w:p>
    <w:p w14:paraId="77739770">
      <w:pPr>
        <w:spacing w:line="400" w:lineRule="exact"/>
        <w:ind w:left="420" w:hanging="420"/>
        <w:jc w:val="center"/>
        <w:rPr>
          <w:rFonts w:ascii="宋体" w:hAnsi="宋体"/>
          <w:b/>
          <w:color w:val="auto"/>
          <w:kern w:val="0"/>
          <w:sz w:val="32"/>
          <w:szCs w:val="32"/>
          <w:highlight w:val="none"/>
        </w:rPr>
      </w:pPr>
    </w:p>
    <w:p w14:paraId="2BAA9CDB">
      <w:pPr>
        <w:spacing w:line="400" w:lineRule="exact"/>
        <w:ind w:left="420" w:hanging="420"/>
        <w:jc w:val="center"/>
        <w:rPr>
          <w:rFonts w:ascii="宋体" w:hAnsi="宋体"/>
          <w:b/>
          <w:color w:val="auto"/>
          <w:kern w:val="0"/>
          <w:sz w:val="32"/>
          <w:szCs w:val="32"/>
          <w:highlight w:val="none"/>
        </w:rPr>
      </w:pPr>
    </w:p>
    <w:p w14:paraId="5AD7401E">
      <w:pPr>
        <w:spacing w:line="400" w:lineRule="exact"/>
        <w:ind w:left="420" w:hanging="420"/>
        <w:jc w:val="center"/>
        <w:rPr>
          <w:rFonts w:ascii="宋体" w:hAnsi="宋体"/>
          <w:b/>
          <w:color w:val="auto"/>
          <w:kern w:val="0"/>
          <w:sz w:val="32"/>
          <w:szCs w:val="32"/>
          <w:highlight w:val="none"/>
        </w:rPr>
      </w:pPr>
    </w:p>
    <w:p w14:paraId="2DAB8435">
      <w:pPr>
        <w:spacing w:line="400" w:lineRule="exact"/>
        <w:ind w:left="420" w:hanging="420"/>
        <w:jc w:val="center"/>
        <w:rPr>
          <w:rFonts w:ascii="宋体" w:hAnsi="宋体"/>
          <w:b/>
          <w:color w:val="auto"/>
          <w:kern w:val="0"/>
          <w:sz w:val="32"/>
          <w:szCs w:val="32"/>
          <w:highlight w:val="none"/>
        </w:rPr>
      </w:pPr>
    </w:p>
    <w:p w14:paraId="0EA4F8C2">
      <w:pPr>
        <w:spacing w:line="400" w:lineRule="exact"/>
        <w:ind w:left="420" w:hanging="420"/>
        <w:jc w:val="center"/>
        <w:rPr>
          <w:rFonts w:ascii="宋体" w:hAnsi="宋体"/>
          <w:b/>
          <w:color w:val="auto"/>
          <w:kern w:val="0"/>
          <w:sz w:val="32"/>
          <w:szCs w:val="32"/>
          <w:highlight w:val="none"/>
        </w:rPr>
      </w:pPr>
    </w:p>
    <w:p w14:paraId="29CE4A9C">
      <w:pPr>
        <w:spacing w:line="400" w:lineRule="exact"/>
        <w:ind w:left="420" w:hanging="420"/>
        <w:jc w:val="center"/>
        <w:rPr>
          <w:rFonts w:ascii="宋体" w:hAnsi="宋体"/>
          <w:b/>
          <w:color w:val="auto"/>
          <w:kern w:val="0"/>
          <w:sz w:val="32"/>
          <w:szCs w:val="32"/>
          <w:highlight w:val="none"/>
        </w:rPr>
      </w:pPr>
    </w:p>
    <w:p w14:paraId="009A5F3B">
      <w:pPr>
        <w:spacing w:line="400" w:lineRule="exact"/>
        <w:ind w:left="420" w:hanging="420"/>
        <w:jc w:val="center"/>
        <w:rPr>
          <w:rFonts w:ascii="宋体" w:hAnsi="宋体"/>
          <w:b/>
          <w:color w:val="auto"/>
          <w:kern w:val="0"/>
          <w:sz w:val="32"/>
          <w:szCs w:val="32"/>
          <w:highlight w:val="none"/>
        </w:rPr>
      </w:pPr>
    </w:p>
    <w:p w14:paraId="5F5BC4CC">
      <w:pPr>
        <w:spacing w:line="400" w:lineRule="exact"/>
        <w:ind w:left="420" w:hanging="420"/>
        <w:jc w:val="center"/>
        <w:rPr>
          <w:rFonts w:ascii="宋体" w:hAnsi="宋体"/>
          <w:b/>
          <w:color w:val="auto"/>
          <w:kern w:val="0"/>
          <w:sz w:val="32"/>
          <w:szCs w:val="32"/>
          <w:highlight w:val="none"/>
        </w:rPr>
      </w:pPr>
    </w:p>
    <w:p w14:paraId="33707D03">
      <w:pPr>
        <w:spacing w:line="400" w:lineRule="exact"/>
        <w:ind w:left="420" w:hanging="420"/>
        <w:jc w:val="center"/>
        <w:rPr>
          <w:rFonts w:ascii="宋体" w:hAnsi="宋体"/>
          <w:b/>
          <w:color w:val="auto"/>
          <w:kern w:val="0"/>
          <w:sz w:val="32"/>
          <w:szCs w:val="32"/>
          <w:highlight w:val="none"/>
        </w:rPr>
      </w:pPr>
    </w:p>
    <w:p w14:paraId="06FE66DB">
      <w:pPr>
        <w:spacing w:line="400" w:lineRule="exact"/>
        <w:ind w:left="420" w:hanging="420"/>
        <w:jc w:val="center"/>
        <w:rPr>
          <w:rFonts w:ascii="宋体" w:hAnsi="宋体"/>
          <w:b/>
          <w:color w:val="auto"/>
          <w:kern w:val="0"/>
          <w:sz w:val="32"/>
          <w:szCs w:val="32"/>
          <w:highlight w:val="none"/>
        </w:rPr>
      </w:pPr>
    </w:p>
    <w:p w14:paraId="009C79C5">
      <w:pPr>
        <w:spacing w:line="400" w:lineRule="exact"/>
        <w:rPr>
          <w:rFonts w:ascii="宋体" w:hAnsi="宋体"/>
          <w:b/>
          <w:color w:val="auto"/>
          <w:kern w:val="0"/>
          <w:sz w:val="32"/>
          <w:szCs w:val="32"/>
          <w:highlight w:val="none"/>
        </w:rPr>
      </w:pPr>
    </w:p>
    <w:p w14:paraId="0A5A70BE">
      <w:pPr>
        <w:pStyle w:val="35"/>
        <w:rPr>
          <w:color w:val="auto"/>
          <w:kern w:val="0"/>
          <w:sz w:val="44"/>
          <w:szCs w:val="44"/>
          <w:highlight w:val="none"/>
        </w:rPr>
      </w:pPr>
      <w:bookmarkStart w:id="85" w:name="_Toc476258672"/>
      <w:bookmarkStart w:id="86" w:name="_Toc476258760"/>
      <w:r>
        <w:rPr>
          <w:rFonts w:hint="eastAsia"/>
          <w:color w:val="auto"/>
          <w:kern w:val="0"/>
          <w:sz w:val="44"/>
          <w:szCs w:val="44"/>
          <w:highlight w:val="none"/>
        </w:rPr>
        <w:t>第五章</w:t>
      </w:r>
      <w:r>
        <w:rPr>
          <w:color w:val="auto"/>
          <w:kern w:val="0"/>
          <w:sz w:val="44"/>
          <w:szCs w:val="44"/>
          <w:highlight w:val="none"/>
        </w:rPr>
        <w:t xml:space="preserve">  </w:t>
      </w:r>
      <w:r>
        <w:rPr>
          <w:rFonts w:hint="eastAsia"/>
          <w:color w:val="auto"/>
          <w:kern w:val="0"/>
          <w:sz w:val="44"/>
          <w:szCs w:val="44"/>
          <w:highlight w:val="none"/>
        </w:rPr>
        <w:t>合同主要条款</w:t>
      </w:r>
      <w:bookmarkEnd w:id="85"/>
      <w:bookmarkEnd w:id="86"/>
    </w:p>
    <w:p w14:paraId="262037D2">
      <w:pPr>
        <w:spacing w:line="300" w:lineRule="auto"/>
        <w:ind w:left="420" w:hanging="420"/>
        <w:jc w:val="center"/>
        <w:rPr>
          <w:rFonts w:ascii="黑体" w:hAnsi="宋体" w:eastAsia="黑体"/>
          <w:b/>
          <w:color w:val="auto"/>
          <w:kern w:val="0"/>
          <w:sz w:val="32"/>
          <w:szCs w:val="32"/>
          <w:highlight w:val="none"/>
        </w:rPr>
      </w:pPr>
    </w:p>
    <w:p w14:paraId="626BC9DF">
      <w:pPr>
        <w:spacing w:line="300" w:lineRule="auto"/>
        <w:ind w:left="420" w:hanging="420"/>
        <w:jc w:val="center"/>
        <w:rPr>
          <w:rFonts w:ascii="黑体" w:hAnsi="宋体" w:eastAsia="黑体"/>
          <w:b/>
          <w:color w:val="auto"/>
          <w:kern w:val="0"/>
          <w:sz w:val="32"/>
          <w:szCs w:val="32"/>
          <w:highlight w:val="none"/>
        </w:rPr>
      </w:pPr>
    </w:p>
    <w:p w14:paraId="58F0BDCF">
      <w:pPr>
        <w:spacing w:line="300" w:lineRule="auto"/>
        <w:ind w:left="420" w:hanging="420"/>
        <w:jc w:val="center"/>
        <w:rPr>
          <w:rFonts w:ascii="黑体" w:hAnsi="宋体" w:eastAsia="黑体"/>
          <w:b/>
          <w:color w:val="auto"/>
          <w:kern w:val="0"/>
          <w:sz w:val="32"/>
          <w:szCs w:val="32"/>
          <w:highlight w:val="none"/>
        </w:rPr>
      </w:pPr>
    </w:p>
    <w:p w14:paraId="2B30A670">
      <w:pPr>
        <w:spacing w:line="300" w:lineRule="auto"/>
        <w:ind w:left="420" w:hanging="420"/>
        <w:jc w:val="center"/>
        <w:rPr>
          <w:rFonts w:ascii="黑体" w:hAnsi="宋体" w:eastAsia="黑体"/>
          <w:b/>
          <w:color w:val="auto"/>
          <w:kern w:val="0"/>
          <w:sz w:val="32"/>
          <w:szCs w:val="32"/>
          <w:highlight w:val="none"/>
        </w:rPr>
      </w:pPr>
    </w:p>
    <w:p w14:paraId="55348A7E">
      <w:pPr>
        <w:spacing w:line="300" w:lineRule="auto"/>
        <w:ind w:left="420" w:hanging="420"/>
        <w:jc w:val="center"/>
        <w:rPr>
          <w:rFonts w:ascii="黑体" w:hAnsi="宋体" w:eastAsia="黑体"/>
          <w:b/>
          <w:color w:val="auto"/>
          <w:kern w:val="0"/>
          <w:sz w:val="32"/>
          <w:szCs w:val="32"/>
          <w:highlight w:val="none"/>
        </w:rPr>
      </w:pPr>
    </w:p>
    <w:p w14:paraId="159FB28F">
      <w:pPr>
        <w:spacing w:line="300" w:lineRule="auto"/>
        <w:ind w:left="420" w:hanging="420"/>
        <w:jc w:val="center"/>
        <w:rPr>
          <w:rFonts w:ascii="黑体" w:hAnsi="宋体" w:eastAsia="黑体"/>
          <w:b/>
          <w:color w:val="auto"/>
          <w:kern w:val="0"/>
          <w:sz w:val="32"/>
          <w:szCs w:val="32"/>
          <w:highlight w:val="none"/>
        </w:rPr>
      </w:pPr>
    </w:p>
    <w:p w14:paraId="6464D1AC">
      <w:pPr>
        <w:spacing w:line="300" w:lineRule="auto"/>
        <w:ind w:left="420" w:hanging="420"/>
        <w:jc w:val="center"/>
        <w:rPr>
          <w:rFonts w:ascii="黑体" w:hAnsi="宋体" w:eastAsia="黑体"/>
          <w:b/>
          <w:color w:val="auto"/>
          <w:kern w:val="0"/>
          <w:sz w:val="32"/>
          <w:szCs w:val="32"/>
          <w:highlight w:val="none"/>
        </w:rPr>
      </w:pPr>
    </w:p>
    <w:p w14:paraId="02146084">
      <w:pPr>
        <w:spacing w:line="300" w:lineRule="auto"/>
        <w:ind w:left="420" w:hanging="420"/>
        <w:jc w:val="center"/>
        <w:rPr>
          <w:rFonts w:ascii="黑体" w:hAnsi="宋体" w:eastAsia="黑体"/>
          <w:b/>
          <w:color w:val="auto"/>
          <w:kern w:val="0"/>
          <w:sz w:val="32"/>
          <w:szCs w:val="32"/>
          <w:highlight w:val="none"/>
        </w:rPr>
      </w:pPr>
    </w:p>
    <w:p w14:paraId="457A32E0">
      <w:pPr>
        <w:spacing w:line="300" w:lineRule="auto"/>
        <w:ind w:left="420" w:hanging="420"/>
        <w:jc w:val="center"/>
        <w:rPr>
          <w:rFonts w:ascii="黑体" w:hAnsi="宋体" w:eastAsia="黑体"/>
          <w:b/>
          <w:color w:val="auto"/>
          <w:kern w:val="0"/>
          <w:sz w:val="32"/>
          <w:szCs w:val="32"/>
          <w:highlight w:val="none"/>
        </w:rPr>
      </w:pPr>
    </w:p>
    <w:p w14:paraId="40628A7F">
      <w:pPr>
        <w:spacing w:line="300" w:lineRule="auto"/>
        <w:ind w:left="420" w:hanging="420"/>
        <w:jc w:val="center"/>
        <w:rPr>
          <w:rFonts w:ascii="黑体" w:hAnsi="宋体" w:eastAsia="黑体"/>
          <w:b/>
          <w:color w:val="auto"/>
          <w:kern w:val="0"/>
          <w:sz w:val="32"/>
          <w:szCs w:val="32"/>
          <w:highlight w:val="none"/>
        </w:rPr>
      </w:pPr>
    </w:p>
    <w:p w14:paraId="50E69E70">
      <w:pPr>
        <w:spacing w:line="300" w:lineRule="auto"/>
        <w:ind w:left="420" w:hanging="420"/>
        <w:jc w:val="center"/>
        <w:rPr>
          <w:rFonts w:ascii="黑体" w:hAnsi="宋体" w:eastAsia="黑体"/>
          <w:b/>
          <w:color w:val="auto"/>
          <w:kern w:val="0"/>
          <w:sz w:val="32"/>
          <w:szCs w:val="32"/>
          <w:highlight w:val="none"/>
        </w:rPr>
      </w:pPr>
    </w:p>
    <w:p w14:paraId="48F70F4F">
      <w:pPr>
        <w:spacing w:line="480" w:lineRule="exact"/>
        <w:jc w:val="center"/>
        <w:rPr>
          <w:rFonts w:ascii="宋体" w:hAnsi="宋体" w:cs="宋体"/>
          <w:b/>
          <w:bCs/>
          <w:color w:val="auto"/>
          <w:kern w:val="0"/>
          <w:szCs w:val="21"/>
          <w:highlight w:val="none"/>
        </w:rPr>
      </w:pPr>
      <w:r>
        <w:rPr>
          <w:color w:val="auto"/>
          <w:highlight w:val="none"/>
        </w:rPr>
        <w:br w:type="page"/>
      </w:r>
    </w:p>
    <w:p w14:paraId="76FEBB12">
      <w:pPr>
        <w:spacing w:line="440" w:lineRule="exact"/>
        <w:jc w:val="left"/>
        <w:rPr>
          <w:rFonts w:ascii="宋体" w:hAnsi="宋体" w:cs="宋体"/>
          <w:b/>
          <w:bCs/>
          <w:color w:val="auto"/>
          <w:szCs w:val="21"/>
          <w:highlight w:val="none"/>
        </w:rPr>
      </w:pPr>
    </w:p>
    <w:p w14:paraId="25928D9A">
      <w:pPr>
        <w:spacing w:after="468" w:afterLines="150" w:line="380" w:lineRule="exact"/>
        <w:jc w:val="center"/>
        <w:rPr>
          <w:rFonts w:ascii="宋体" w:hAnsi="宋体" w:cs="宋体"/>
          <w:b/>
          <w:bCs/>
          <w:color w:val="auto"/>
          <w:szCs w:val="21"/>
          <w:highlight w:val="none"/>
        </w:rPr>
      </w:pPr>
      <w:r>
        <w:rPr>
          <w:rFonts w:ascii="宋体" w:hAnsi="宋体" w:cs="宋体"/>
          <w:b/>
          <w:bCs/>
          <w:color w:val="auto"/>
          <w:sz w:val="36"/>
          <w:szCs w:val="36"/>
          <w:highlight w:val="none"/>
        </w:rPr>
        <w:t>汽车租赁合同</w:t>
      </w:r>
      <w:r>
        <w:rPr>
          <w:rFonts w:ascii="宋体" w:hAnsi="宋体" w:cs="宋体"/>
          <w:b/>
          <w:bCs/>
          <w:color w:val="auto"/>
          <w:sz w:val="52"/>
          <w:szCs w:val="52"/>
          <w:highlight w:val="none"/>
        </w:rPr>
        <w:br w:type="textWrapping"/>
      </w:r>
    </w:p>
    <w:p w14:paraId="201CE0DE">
      <w:pPr>
        <w:spacing w:line="380" w:lineRule="exact"/>
        <w:jc w:val="left"/>
        <w:rPr>
          <w:rFonts w:ascii="宋体" w:hAnsi="宋体" w:cs="宋体"/>
          <w:color w:val="auto"/>
          <w:szCs w:val="21"/>
          <w:highlight w:val="none"/>
        </w:rPr>
      </w:pPr>
      <w:r>
        <w:rPr>
          <w:rFonts w:hint="eastAsia" w:ascii="宋体" w:hAnsi="宋体" w:cs="宋体"/>
          <w:b/>
          <w:bCs/>
          <w:color w:val="auto"/>
          <w:szCs w:val="21"/>
          <w:highlight w:val="none"/>
        </w:rPr>
        <w:t>甲方（</w:t>
      </w:r>
      <w:r>
        <w:rPr>
          <w:rFonts w:hint="eastAsia" w:ascii="宋体" w:hAnsi="宋体" w:cs="宋体"/>
          <w:b/>
          <w:color w:val="auto"/>
          <w:szCs w:val="21"/>
          <w:highlight w:val="none"/>
        </w:rPr>
        <w:t>承租方）</w:t>
      </w:r>
      <w:r>
        <w:rPr>
          <w:rFonts w:hint="eastAsia" w:ascii="宋体" w:hAnsi="宋体" w:cs="宋体"/>
          <w:color w:val="auto"/>
          <w:szCs w:val="21"/>
          <w:highlight w:val="none"/>
        </w:rPr>
        <w:t>：广西壮族自治区自然资源生态修复中心</w:t>
      </w:r>
    </w:p>
    <w:p w14:paraId="582DCAED">
      <w:pPr>
        <w:spacing w:line="380" w:lineRule="exact"/>
        <w:jc w:val="left"/>
        <w:rPr>
          <w:rFonts w:ascii="宋体" w:hAnsi="宋体" w:cs="宋体"/>
          <w:color w:val="auto"/>
          <w:szCs w:val="21"/>
          <w:highlight w:val="none"/>
          <w:u w:val="single"/>
        </w:rPr>
      </w:pPr>
      <w:r>
        <w:rPr>
          <w:rFonts w:hint="eastAsia" w:ascii="宋体" w:hAnsi="宋体" w:cs="宋体"/>
          <w:color w:val="auto"/>
          <w:szCs w:val="21"/>
          <w:highlight w:val="none"/>
        </w:rPr>
        <w:t>住所地：</w:t>
      </w:r>
      <w:r>
        <w:rPr>
          <w:rFonts w:hint="eastAsia" w:ascii="宋体" w:hAnsi="宋体" w:cs="宋体"/>
          <w:color w:val="auto"/>
          <w:szCs w:val="21"/>
          <w:highlight w:val="none"/>
          <w:u w:val="single"/>
        </w:rPr>
        <w:t>南宁青秀区中新路</w:t>
      </w:r>
      <w:r>
        <w:rPr>
          <w:rFonts w:ascii="宋体" w:hAnsi="宋体" w:cs="宋体"/>
          <w:color w:val="auto"/>
          <w:szCs w:val="21"/>
          <w:highlight w:val="none"/>
          <w:u w:val="single"/>
        </w:rPr>
        <w:t>2号</w:t>
      </w:r>
    </w:p>
    <w:p w14:paraId="705B932F">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rPr>
        <w:t>/负责人：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9A4F891">
      <w:pPr>
        <w:spacing w:line="380" w:lineRule="exact"/>
        <w:jc w:val="left"/>
        <w:rPr>
          <w:rFonts w:ascii="宋体" w:hAnsi="宋体" w:cs="宋体"/>
          <w:color w:val="auto"/>
          <w:szCs w:val="21"/>
          <w:highlight w:val="none"/>
          <w:u w:val="single"/>
        </w:rPr>
      </w:pPr>
      <w:r>
        <w:rPr>
          <w:rFonts w:hint="eastAsia" w:ascii="宋体" w:hAnsi="宋体" w:cs="宋体"/>
          <w:b/>
          <w:bCs/>
          <w:color w:val="auto"/>
          <w:szCs w:val="21"/>
          <w:highlight w:val="none"/>
        </w:rPr>
        <w:t>乙方（</w:t>
      </w:r>
      <w:r>
        <w:rPr>
          <w:rFonts w:hint="eastAsia" w:ascii="宋体" w:hAnsi="宋体" w:cs="宋体"/>
          <w:b/>
          <w:color w:val="auto"/>
          <w:szCs w:val="21"/>
          <w:highlight w:val="none"/>
        </w:rPr>
        <w:t>出租方）</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p w14:paraId="566BF63A">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住所地：</w:t>
      </w:r>
      <w:r>
        <w:rPr>
          <w:rFonts w:ascii="宋体" w:hAnsi="宋体" w:cs="宋体"/>
          <w:color w:val="auto"/>
          <w:szCs w:val="21"/>
          <w:highlight w:val="none"/>
          <w:u w:val="single"/>
        </w:rPr>
        <w:t xml:space="preserve">                       </w:t>
      </w:r>
    </w:p>
    <w:p w14:paraId="54E23073">
      <w:pPr>
        <w:spacing w:line="380" w:lineRule="exact"/>
        <w:jc w:val="left"/>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ascii="宋体" w:hAnsi="宋体" w:cs="宋体"/>
          <w:color w:val="auto"/>
          <w:szCs w:val="21"/>
          <w:highlight w:val="none"/>
        </w:rPr>
        <w:t>/负责人：</w:t>
      </w:r>
      <w:r>
        <w:rPr>
          <w:rFonts w:ascii="宋体" w:hAnsi="宋体" w:cs="宋体"/>
          <w:color w:val="auto"/>
          <w:szCs w:val="21"/>
          <w:highlight w:val="none"/>
          <w:u w:val="single"/>
        </w:rPr>
        <w:t xml:space="preserve">            </w:t>
      </w:r>
    </w:p>
    <w:p w14:paraId="0506AFA6">
      <w:pPr>
        <w:spacing w:line="38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Hans"/>
        </w:rPr>
        <w:t>民法典</w:t>
      </w:r>
      <w:r>
        <w:rPr>
          <w:rFonts w:hint="eastAsia" w:ascii="宋体" w:hAnsi="宋体" w:cs="宋体"/>
          <w:color w:val="auto"/>
          <w:szCs w:val="21"/>
          <w:highlight w:val="none"/>
        </w:rPr>
        <w:t>》、《中华人民共和国政府采购法》等相关法律法规之规定等有关法律、法规的规定，经双方充分协商一致，就甲方租赁乙方车辆、配备驾驶员事宜订立本合同。</w:t>
      </w:r>
    </w:p>
    <w:p w14:paraId="44F231E0">
      <w:pPr>
        <w:spacing w:line="380" w:lineRule="exact"/>
        <w:rPr>
          <w:rFonts w:ascii="宋体" w:hAnsi="宋体" w:cs="宋体"/>
          <w:color w:val="auto"/>
          <w:szCs w:val="21"/>
          <w:highlight w:val="none"/>
        </w:rPr>
      </w:pPr>
      <w:r>
        <w:rPr>
          <w:rFonts w:hint="eastAsia" w:ascii="宋体" w:hAnsi="宋体" w:cs="宋体"/>
          <w:b/>
          <w:bCs/>
          <w:color w:val="auto"/>
          <w:szCs w:val="21"/>
          <w:highlight w:val="none"/>
        </w:rPr>
        <w:t>第一条</w:t>
      </w:r>
      <w:r>
        <w:rPr>
          <w:rFonts w:ascii="宋体" w:hAnsi="宋体" w:cs="宋体"/>
          <w:b/>
          <w:bCs/>
          <w:color w:val="auto"/>
          <w:szCs w:val="21"/>
          <w:highlight w:val="none"/>
        </w:rPr>
        <w:t xml:space="preserve">  </w:t>
      </w:r>
      <w:r>
        <w:rPr>
          <w:rFonts w:hint="eastAsia" w:ascii="宋体" w:hAnsi="宋体" w:cs="宋体"/>
          <w:b/>
          <w:bCs/>
          <w:color w:val="auto"/>
          <w:szCs w:val="21"/>
          <w:highlight w:val="none"/>
        </w:rPr>
        <w:t>乙方具有从事汽车租赁资质</w:t>
      </w:r>
    </w:p>
    <w:p w14:paraId="027F1FA6">
      <w:pPr>
        <w:pStyle w:val="15"/>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承诺具有根据有关法律、法规规定合法从事本合同项下汽车租赁业务的有关资格资质，如违反此规定，甲方可随时解除合同并要求甲方赔偿损失；如因此被政府有关部门依法查处的，由乙方自行处理，与甲方无关，因此给甲方造成损失的应予以赔偿。</w:t>
      </w:r>
    </w:p>
    <w:p w14:paraId="478CF366">
      <w:pPr>
        <w:pStyle w:val="15"/>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乙方承诺拥有租赁车辆的所有权和出租权，无租赁权属纠纷，如有相关权属或者使用纠纷由乙方负责处理，与甲方无关，因此给甲方造成损失的应予以赔偿。</w:t>
      </w:r>
    </w:p>
    <w:p w14:paraId="71908B8B">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第二条</w:t>
      </w:r>
      <w:r>
        <w:rPr>
          <w:rFonts w:ascii="宋体" w:hAnsi="宋体" w:cs="宋体"/>
          <w:b/>
          <w:bCs/>
          <w:color w:val="auto"/>
          <w:szCs w:val="21"/>
          <w:highlight w:val="none"/>
        </w:rPr>
        <w:t xml:space="preserve">  </w:t>
      </w:r>
      <w:r>
        <w:rPr>
          <w:rFonts w:hint="eastAsia" w:ascii="宋体" w:hAnsi="宋体" w:cs="宋体"/>
          <w:b/>
          <w:bCs/>
          <w:color w:val="auto"/>
          <w:szCs w:val="21"/>
          <w:highlight w:val="none"/>
        </w:rPr>
        <w:t>乙方提供的租赁车辆及配备驾驶员标准</w:t>
      </w:r>
      <w:r>
        <w:rPr>
          <w:rFonts w:ascii="宋体" w:hAnsi="宋体" w:cs="宋体"/>
          <w:b/>
          <w:bCs/>
          <w:color w:val="auto"/>
          <w:szCs w:val="21"/>
          <w:highlight w:val="none"/>
        </w:rPr>
        <w:br w:type="textWrapping"/>
      </w:r>
      <w:r>
        <w:rPr>
          <w:rFonts w:ascii="宋体" w:hAnsi="宋体" w:cs="宋体"/>
          <w:b/>
          <w:bCs/>
          <w:color w:val="auto"/>
          <w:szCs w:val="21"/>
          <w:highlight w:val="none"/>
        </w:rPr>
        <w:t xml:space="preserve">    （一）车辆标准。</w:t>
      </w:r>
    </w:p>
    <w:p w14:paraId="52133FAF">
      <w:pPr>
        <w:spacing w:line="38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乙方向甲方提供符合国家车辆质量安全标准及交通道路运输要求、技术状况为一级标准、设备齐全的租赁车辆，以及租赁车辆行驶所需的有效证件（包括但不限于机动车行驶证、检验合格标志、保险证等）。</w:t>
      </w:r>
      <w:r>
        <w:rPr>
          <w:rFonts w:ascii="宋体" w:hAnsi="宋体" w:cs="宋体"/>
          <w:color w:val="auto"/>
          <w:szCs w:val="21"/>
          <w:highlight w:val="none"/>
        </w:rPr>
        <w:br w:type="textWrapping"/>
      </w:r>
      <w:r>
        <w:rPr>
          <w:rFonts w:ascii="宋体" w:hAnsi="宋体" w:cs="宋体"/>
          <w:color w:val="auto"/>
          <w:szCs w:val="21"/>
          <w:highlight w:val="none"/>
        </w:rPr>
        <w:t xml:space="preserve">    一级标准指：</w:t>
      </w:r>
      <w:r>
        <w:rPr>
          <w:rFonts w:ascii="宋体" w:hAnsi="宋体" w:cs="宋体"/>
          <w:color w:val="auto"/>
          <w:szCs w:val="21"/>
          <w:highlight w:val="none"/>
        </w:rPr>
        <w:br w:type="textWrapping"/>
      </w:r>
      <w:r>
        <w:rPr>
          <w:rFonts w:ascii="宋体" w:hAnsi="宋体" w:cs="宋体"/>
          <w:color w:val="auto"/>
          <w:szCs w:val="21"/>
          <w:highlight w:val="none"/>
        </w:rPr>
        <w:t xml:space="preserve">    1.乙方建立完整的车辆安全管理制度，提供用于租赁的车辆必须为检验合格有效期内并按照有关规定进行维护保养，确保车辆始终处于良好的安全状态。在每次出租前对车辆进行全面检查，严禁故障运行。乙方承诺并保证所提供的租赁车辆均符合安全法定标准与保障人身、财物安全标准。交接租赁车辆时如实提供车辆状况信息。</w:t>
      </w:r>
      <w:r>
        <w:rPr>
          <w:rFonts w:ascii="宋体" w:hAnsi="宋体" w:cs="宋体"/>
          <w:color w:val="auto"/>
          <w:szCs w:val="21"/>
          <w:highlight w:val="none"/>
        </w:rPr>
        <w:br w:type="textWrapping"/>
      </w:r>
      <w:r>
        <w:rPr>
          <w:rFonts w:ascii="宋体" w:hAnsi="宋体" w:cs="宋体"/>
          <w:color w:val="auto"/>
          <w:szCs w:val="21"/>
          <w:highlight w:val="none"/>
        </w:rPr>
        <w:t xml:space="preserve">   2.免费提供租赁车辆保养及甲方使用租赁车辆期间出现的故障维修服务。</w:t>
      </w:r>
      <w:r>
        <w:rPr>
          <w:rFonts w:ascii="宋体" w:hAnsi="宋体" w:cs="宋体"/>
          <w:color w:val="auto"/>
          <w:szCs w:val="21"/>
          <w:highlight w:val="none"/>
        </w:rPr>
        <w:br w:type="textWrapping"/>
      </w:r>
      <w:r>
        <w:rPr>
          <w:rFonts w:ascii="宋体" w:hAnsi="宋体" w:cs="宋体"/>
          <w:color w:val="auto"/>
          <w:szCs w:val="21"/>
          <w:highlight w:val="none"/>
        </w:rPr>
        <w:t xml:space="preserve">   3.提供广西行政区域内租赁车辆故障、事故的24小时免费救援服务。</w:t>
      </w:r>
      <w:r>
        <w:rPr>
          <w:rFonts w:ascii="宋体" w:hAnsi="宋体" w:cs="宋体"/>
          <w:color w:val="auto"/>
          <w:szCs w:val="21"/>
          <w:highlight w:val="none"/>
        </w:rPr>
        <w:br w:type="textWrapping"/>
      </w:r>
      <w:r>
        <w:rPr>
          <w:rFonts w:ascii="宋体" w:hAnsi="宋体" w:cs="宋体"/>
          <w:color w:val="auto"/>
          <w:szCs w:val="21"/>
          <w:highlight w:val="none"/>
        </w:rPr>
        <w:t xml:space="preserve">   4.对出租给甲方的车辆投保充足的保险，包括但不限于机动车交通事故责任强制保险、车上人员责任险（保险金额</w:t>
      </w:r>
      <w:r>
        <w:rPr>
          <w:rFonts w:ascii="宋体" w:hAnsi="宋体" w:cs="宋体"/>
          <w:color w:val="auto"/>
          <w:szCs w:val="21"/>
          <w:highlight w:val="none"/>
          <w:u w:val="single"/>
        </w:rPr>
        <w:t xml:space="preserve">   万</w:t>
      </w:r>
      <w:r>
        <w:rPr>
          <w:rFonts w:hint="eastAsia" w:ascii="宋体" w:hAnsi="宋体" w:cs="宋体"/>
          <w:color w:val="auto"/>
          <w:szCs w:val="21"/>
          <w:highlight w:val="none"/>
          <w:u w:val="single"/>
        </w:rPr>
        <w:t>元</w:t>
      </w:r>
      <w:r>
        <w:rPr>
          <w:rFonts w:hint="eastAsia" w:ascii="宋体" w:hAnsi="宋体" w:cs="宋体"/>
          <w:color w:val="auto"/>
          <w:szCs w:val="21"/>
          <w:highlight w:val="none"/>
        </w:rPr>
        <w:t>）、驾乘人员意外伤害险（</w:t>
      </w:r>
      <w:r>
        <w:rPr>
          <w:rFonts w:hint="eastAsia" w:ascii="宋体" w:hAnsi="宋体" w:cs="宋体"/>
          <w:color w:val="auto"/>
          <w:szCs w:val="21"/>
          <w:highlight w:val="none"/>
          <w:u w:val="single"/>
        </w:rPr>
        <w:t>每座位</w:t>
      </w:r>
      <w:r>
        <w:rPr>
          <w:rFonts w:ascii="宋体" w:hAnsi="宋体" w:cs="宋体"/>
          <w:color w:val="auto"/>
          <w:szCs w:val="21"/>
          <w:highlight w:val="none"/>
          <w:u w:val="single"/>
        </w:rPr>
        <w:t xml:space="preserve">   万</w:t>
      </w:r>
      <w:r>
        <w:rPr>
          <w:rFonts w:hint="eastAsia" w:ascii="宋体" w:hAnsi="宋体" w:cs="宋体"/>
          <w:color w:val="auto"/>
          <w:szCs w:val="21"/>
          <w:highlight w:val="none"/>
          <w:u w:val="single"/>
        </w:rPr>
        <w:t>元</w:t>
      </w:r>
      <w:r>
        <w:rPr>
          <w:rFonts w:hint="eastAsia" w:ascii="宋体" w:hAnsi="宋体" w:cs="宋体"/>
          <w:color w:val="auto"/>
          <w:szCs w:val="21"/>
          <w:highlight w:val="none"/>
        </w:rPr>
        <w:t>）、第三者责任险</w:t>
      </w:r>
      <w:r>
        <w:rPr>
          <w:rFonts w:ascii="宋体" w:hAnsi="宋体" w:cs="宋体"/>
          <w:color w:val="auto"/>
          <w:szCs w:val="21"/>
          <w:highlight w:val="none"/>
        </w:rPr>
        <w:t>(保险金额</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万元</w:t>
      </w:r>
      <w:r>
        <w:rPr>
          <w:rFonts w:ascii="宋体" w:hAnsi="宋体" w:cs="宋体"/>
          <w:color w:val="auto"/>
          <w:szCs w:val="21"/>
          <w:highlight w:val="none"/>
        </w:rPr>
        <w:t>)、车损险、盗抢险、自燃损失险、发动机涉水损失险、充电保险不计</w:t>
      </w:r>
      <w:r>
        <w:rPr>
          <w:rFonts w:hint="eastAsia" w:ascii="宋体" w:hAnsi="宋体" w:cs="宋体"/>
          <w:b/>
          <w:bCs/>
          <w:color w:val="auto"/>
          <w:szCs w:val="21"/>
          <w:highlight w:val="none"/>
        </w:rPr>
        <w:t>免赔险</w:t>
      </w:r>
      <w:r>
        <w:rPr>
          <w:rFonts w:hint="eastAsia" w:ascii="宋体" w:hAnsi="宋体" w:cs="宋体"/>
          <w:color w:val="auto"/>
          <w:szCs w:val="21"/>
          <w:highlight w:val="none"/>
        </w:rPr>
        <w:t>等。交付车辆时应向甲方说明车辆的投保状况。</w:t>
      </w:r>
    </w:p>
    <w:p w14:paraId="589B66E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违反前述规定的，甲方有权要求乙方及时调换并赔偿损失。</w:t>
      </w:r>
    </w:p>
    <w:p w14:paraId="52CF9CF5">
      <w:pPr>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（二）配备驾驶员要求。</w:t>
      </w:r>
    </w:p>
    <w:p w14:paraId="1E82F85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乙方在租赁车辆时配备驾驶员的，应达到以下要求：</w:t>
      </w:r>
    </w:p>
    <w:p w14:paraId="442D7C89">
      <w:pPr>
        <w:spacing w:line="380" w:lineRule="exact"/>
        <w:ind w:firstLine="420" w:firstLineChars="200"/>
        <w:rPr>
          <w:rFonts w:ascii="宋体" w:hAnsi="宋体" w:cs="宋体"/>
          <w:color w:val="auto"/>
          <w:szCs w:val="21"/>
          <w:highlight w:val="none"/>
        </w:rPr>
      </w:pPr>
      <w:r>
        <w:rPr>
          <w:rFonts w:ascii="宋体" w:hAnsi="宋体" w:cs="宋体"/>
          <w:color w:val="auto"/>
          <w:szCs w:val="21"/>
          <w:highlight w:val="none"/>
        </w:rPr>
        <w:t>1.乙方配备的驾驶员应与乙方建立合法的劳动关系或雇佣关系，持证上岗，持有与准驾车型与租赁车</w:t>
      </w:r>
      <w:r>
        <w:rPr>
          <w:rFonts w:hint="eastAsia" w:ascii="宋体" w:hAnsi="宋体" w:cs="宋体"/>
          <w:color w:val="auto"/>
          <w:szCs w:val="21"/>
          <w:highlight w:val="none"/>
        </w:rPr>
        <w:t>辆相符的合法驾驶证、资格证，系公安等部门登记在册的符合车辆驾驶资质的人员，且实际驾龄应为</w:t>
      </w:r>
      <w:r>
        <w:rPr>
          <w:rFonts w:ascii="宋体" w:hAnsi="宋体" w:cs="宋体"/>
          <w:b/>
          <w:bCs/>
          <w:color w:val="auto"/>
          <w:szCs w:val="21"/>
          <w:highlight w:val="none"/>
          <w:u w:val="single"/>
        </w:rPr>
        <w:t>5</w:t>
      </w:r>
      <w:r>
        <w:rPr>
          <w:rFonts w:hint="eastAsia" w:ascii="宋体" w:hAnsi="宋体" w:cs="宋体"/>
          <w:b/>
          <w:bCs/>
          <w:color w:val="auto"/>
          <w:szCs w:val="21"/>
          <w:highlight w:val="none"/>
        </w:rPr>
        <w:t>年以上，</w:t>
      </w:r>
      <w:r>
        <w:rPr>
          <w:rFonts w:hint="eastAsia" w:ascii="宋体" w:hAnsi="宋体" w:cs="宋体"/>
          <w:color w:val="auto"/>
          <w:szCs w:val="21"/>
          <w:highlight w:val="none"/>
        </w:rPr>
        <w:t>驾驶技术良好、身体健康且精神状态良好，服务态度热情周到。</w:t>
      </w:r>
    </w:p>
    <w:p w14:paraId="3FE52E9D">
      <w:pPr>
        <w:spacing w:line="380" w:lineRule="exact"/>
        <w:ind w:firstLine="420" w:firstLineChars="200"/>
        <w:rPr>
          <w:rFonts w:ascii="宋体" w:hAnsi="宋体" w:cs="宋体"/>
          <w:color w:val="auto"/>
          <w:szCs w:val="21"/>
          <w:highlight w:val="none"/>
        </w:rPr>
      </w:pPr>
      <w:r>
        <w:rPr>
          <w:rFonts w:ascii="宋体" w:hAnsi="宋体" w:cs="宋体"/>
          <w:color w:val="auto"/>
          <w:szCs w:val="21"/>
          <w:highlight w:val="none"/>
        </w:rPr>
        <w:t>2.乙方交付租赁车辆给甲方时，应将与原件核对一致的驾驶员的驾驶证及身份证件复印件及信息如实提供给甲方。</w:t>
      </w:r>
    </w:p>
    <w:p w14:paraId="762386BD">
      <w:pPr>
        <w:spacing w:line="380" w:lineRule="exact"/>
        <w:ind w:firstLine="420" w:firstLineChars="200"/>
        <w:rPr>
          <w:rFonts w:ascii="宋体" w:hAnsi="宋体" w:cs="宋体"/>
          <w:color w:val="auto"/>
          <w:szCs w:val="21"/>
          <w:highlight w:val="none"/>
        </w:rPr>
      </w:pPr>
      <w:r>
        <w:rPr>
          <w:rFonts w:ascii="宋体" w:hAnsi="宋体" w:cs="宋体"/>
          <w:color w:val="auto"/>
          <w:szCs w:val="21"/>
          <w:highlight w:val="none"/>
        </w:rPr>
        <w:t>3.乙方配备的驾驶员应当听从甲方调度的安排，按时按要求到达甲方指定的地点。</w:t>
      </w:r>
    </w:p>
    <w:p w14:paraId="358CEDC1">
      <w:pPr>
        <w:spacing w:line="380" w:lineRule="exact"/>
        <w:ind w:firstLine="420" w:firstLineChars="200"/>
        <w:rPr>
          <w:rFonts w:ascii="宋体" w:hAnsi="宋体" w:cs="宋体"/>
          <w:color w:val="auto"/>
          <w:szCs w:val="21"/>
          <w:highlight w:val="none"/>
        </w:rPr>
      </w:pPr>
      <w:r>
        <w:rPr>
          <w:rFonts w:ascii="宋体" w:hAnsi="宋体" w:cs="宋体"/>
          <w:color w:val="auto"/>
          <w:szCs w:val="21"/>
          <w:highlight w:val="none"/>
        </w:rPr>
        <w:t>4.司机务必做好文明驾驶，安全行车，不得超速驾驶、疲劳驾驶，自觉维护车上人员的人身及财产安全及甲方形象，妥善保管租赁期间甲方因工作需要所领取或者分发的车辆通行证，避免造成任何不良影响。在租赁期间，如遇到乙方车辆、乙方配备驾驶员原因引发的投诉，甲乙双方应及时沟通，经查实属于乙方配备驾驶员责任的，由此引发的责任由乙方负责。</w:t>
      </w:r>
    </w:p>
    <w:p w14:paraId="643273F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乙方配备的驾驶员违反前述规定的，甲方有权要求乙方及时调换并弥补损失。乙方在接到调换配备驾驶员的通知后，应在</w:t>
      </w:r>
      <w:r>
        <w:rPr>
          <w:rFonts w:ascii="宋体" w:hAnsi="宋体" w:cs="宋体"/>
          <w:color w:val="auto"/>
          <w:szCs w:val="21"/>
          <w:highlight w:val="none"/>
          <w:u w:val="single"/>
        </w:rPr>
        <w:t>1</w:t>
      </w:r>
      <w:r>
        <w:rPr>
          <w:rFonts w:hint="eastAsia" w:ascii="宋体" w:hAnsi="宋体" w:cs="宋体"/>
          <w:color w:val="auto"/>
          <w:szCs w:val="21"/>
          <w:highlight w:val="none"/>
        </w:rPr>
        <w:t>小时之内安排符合本合同约定条件的驾驶员到达甲方指定地点完成交接。</w:t>
      </w:r>
    </w:p>
    <w:p w14:paraId="6ABB8A27">
      <w:pPr>
        <w:spacing w:line="380" w:lineRule="exact"/>
        <w:ind w:firstLine="420" w:firstLineChars="200"/>
        <w:rPr>
          <w:rFonts w:ascii="宋体" w:hAnsi="宋体" w:cs="宋体"/>
          <w:color w:val="auto"/>
          <w:szCs w:val="21"/>
          <w:highlight w:val="none"/>
        </w:rPr>
      </w:pPr>
      <w:r>
        <w:rPr>
          <w:rFonts w:ascii="宋体" w:hAnsi="宋体" w:cs="宋体"/>
          <w:color w:val="auto"/>
          <w:szCs w:val="21"/>
          <w:highlight w:val="none"/>
        </w:rPr>
        <w:t>5.乙方拟投入本项目的人员不允许随意变更，乙方因特殊情况需要变更的，应向甲方提交书面申请并说明理由，甲方同意后方可变更，否则视为违约，每出现一名人员违约</w:t>
      </w:r>
      <w:r>
        <w:rPr>
          <w:rFonts w:hint="eastAsia" w:ascii="宋体" w:hAnsi="宋体" w:cs="宋体"/>
          <w:color w:val="auto"/>
          <w:szCs w:val="21"/>
          <w:highlight w:val="none"/>
        </w:rPr>
        <w:t>变更按合同金额的</w:t>
      </w:r>
      <w:r>
        <w:rPr>
          <w:rFonts w:ascii="宋体" w:hAnsi="宋体" w:cs="宋体"/>
          <w:color w:val="auto"/>
          <w:szCs w:val="21"/>
          <w:highlight w:val="none"/>
        </w:rPr>
        <w:t>1%扣除违约金，违约次数发生超过5次的，甲方有权解除合同，并要求乙方赔偿因此造成的损失。乙方聘用员工必须符合国家法律、政策的有关规定，对员工的疾病和人身安全负责。</w:t>
      </w:r>
    </w:p>
    <w:p w14:paraId="2993A640">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第三条</w:t>
      </w:r>
      <w:r>
        <w:rPr>
          <w:rFonts w:ascii="宋体" w:hAnsi="宋体" w:cs="宋体"/>
          <w:b/>
          <w:bCs/>
          <w:color w:val="auto"/>
          <w:szCs w:val="21"/>
          <w:highlight w:val="none"/>
        </w:rPr>
        <w:t xml:space="preserve">  </w:t>
      </w:r>
      <w:r>
        <w:rPr>
          <w:rFonts w:hint="eastAsia" w:ascii="宋体" w:hAnsi="宋体" w:cs="宋体"/>
          <w:b/>
          <w:bCs/>
          <w:color w:val="auto"/>
          <w:szCs w:val="21"/>
          <w:highlight w:val="none"/>
        </w:rPr>
        <w:t>乙方的其他权利义务</w:t>
      </w:r>
    </w:p>
    <w:p w14:paraId="0AE1376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（一）依合同约定向甲方计收租金及其他约定费用。除本合同另有约定外，驾驶员劳务费等费用由乙方承担。</w:t>
      </w:r>
      <w:r>
        <w:rPr>
          <w:rFonts w:ascii="宋体" w:hAnsi="宋体" w:cs="宋体"/>
          <w:color w:val="auto"/>
          <w:szCs w:val="21"/>
          <w:highlight w:val="none"/>
        </w:rPr>
        <w:br w:type="textWrapping"/>
      </w:r>
      <w:r>
        <w:rPr>
          <w:rFonts w:ascii="宋体" w:hAnsi="宋体" w:cs="宋体"/>
          <w:color w:val="auto"/>
          <w:szCs w:val="21"/>
          <w:highlight w:val="none"/>
        </w:rPr>
        <w:t xml:space="preserve">    （二）在车辆租赁期间，甲方要求乙方配备驾驶员的，应由乙方配备的驾驶员负责驾驶汽车。乙方配备的驾驶员按车辆性能、操作规程及相关法律、法规驾驶、保管租赁车辆，保证安全谨慎驾驶。</w:t>
      </w:r>
    </w:p>
    <w:p w14:paraId="21046EA7">
      <w:pPr>
        <w:spacing w:line="380" w:lineRule="exact"/>
        <w:ind w:left="399" w:leftChars="190" w:firstLine="0" w:firstLineChars="0"/>
        <w:rPr>
          <w:rFonts w:ascii="宋体" w:hAnsi="宋体" w:cs="宋体"/>
          <w:color w:val="auto"/>
          <w:szCs w:val="21"/>
          <w:highlight w:val="none"/>
        </w:rPr>
      </w:pPr>
      <w:r>
        <w:rPr>
          <w:rFonts w:hint="eastAsia" w:ascii="宋体" w:hAnsi="宋体" w:cs="宋体"/>
          <w:color w:val="auto"/>
          <w:szCs w:val="21"/>
          <w:highlight w:val="none"/>
        </w:rPr>
        <w:t>（三）做好车辆租赁使用期间车辆临时性的车检及维修保养。</w:t>
      </w:r>
      <w:r>
        <w:rPr>
          <w:rFonts w:ascii="宋体" w:hAnsi="宋体" w:cs="宋体"/>
          <w:color w:val="auto"/>
          <w:szCs w:val="21"/>
          <w:highlight w:val="none"/>
        </w:rPr>
        <w:br w:type="textWrapping"/>
      </w:r>
      <w:r>
        <w:rPr>
          <w:rFonts w:hint="eastAsia" w:ascii="宋体" w:hAnsi="宋体" w:cs="宋体"/>
          <w:color w:val="auto"/>
          <w:szCs w:val="21"/>
          <w:highlight w:val="none"/>
        </w:rPr>
        <w:t>（四）负责妥善做好车辆租赁使用期间车辆发生交通事故、被盗抢等突发性事件的处理。</w:t>
      </w:r>
    </w:p>
    <w:p w14:paraId="09D24154">
      <w:pPr>
        <w:spacing w:line="38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（五）对所获得的甲方商业信息或应当保密的甲方工作信息负有保密义务。</w:t>
      </w:r>
    </w:p>
    <w:p w14:paraId="3B992776">
      <w:pPr>
        <w:spacing w:line="380" w:lineRule="exact"/>
        <w:ind w:left="422" w:hanging="422" w:hangingChars="200"/>
        <w:rPr>
          <w:rFonts w:ascii="宋体" w:hAnsi="宋体" w:cs="宋体"/>
          <w:color w:val="auto"/>
          <w:szCs w:val="21"/>
          <w:highlight w:val="none"/>
        </w:rPr>
      </w:pPr>
      <w:r>
        <w:rPr>
          <w:rFonts w:hint="eastAsia" w:ascii="宋体" w:hAnsi="宋体" w:cs="宋体"/>
          <w:b/>
          <w:bCs/>
          <w:color w:val="auto"/>
          <w:szCs w:val="21"/>
          <w:highlight w:val="none"/>
        </w:rPr>
        <w:t>第四条甲方的权利义务</w:t>
      </w:r>
      <w:r>
        <w:rPr>
          <w:rFonts w:ascii="宋体" w:hAnsi="宋体" w:cs="宋体"/>
          <w:b/>
          <w:bCs/>
          <w:color w:val="auto"/>
          <w:szCs w:val="21"/>
          <w:highlight w:val="none"/>
        </w:rPr>
        <w:br w:type="textWrapping"/>
      </w:r>
      <w:r>
        <w:rPr>
          <w:rFonts w:hint="eastAsia" w:ascii="宋体" w:hAnsi="宋体" w:cs="宋体"/>
          <w:color w:val="auto"/>
          <w:szCs w:val="21"/>
          <w:highlight w:val="none"/>
        </w:rPr>
        <w:t>（一）按合同的约定拥有租赁车辆承租期间的使用权，有权获得乙方为保障租赁车辆正常使用所提供的相应服务。</w:t>
      </w:r>
      <w:r>
        <w:rPr>
          <w:rFonts w:ascii="宋体" w:hAnsi="宋体" w:cs="宋体"/>
          <w:color w:val="auto"/>
          <w:szCs w:val="21"/>
          <w:highlight w:val="none"/>
        </w:rPr>
        <w:br w:type="textWrapping"/>
      </w:r>
      <w:r>
        <w:rPr>
          <w:rFonts w:hint="eastAsia" w:ascii="宋体" w:hAnsi="宋体" w:cs="宋体"/>
          <w:color w:val="auto"/>
          <w:szCs w:val="21"/>
          <w:highlight w:val="none"/>
        </w:rPr>
        <w:t>（二）有权获知保证安全驾驶所需的车辆技术状况、性能及驾驶员的信息。</w:t>
      </w:r>
    </w:p>
    <w:p w14:paraId="29B87B6A">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在本协议约定的期限内，甲方每次需要租赁车辆时，应提前通知乙方，并将预计的租赁天数告知乙方。如甲方行程发生变更或取消应及时通知乙方。若在实际租用过程中需长于上述期限的，应以电话或其他方式提前通知乙方，并按本合同约定的价格支付车辆租金；若短于上述期限的，甲方有权提前归还租赁车辆，双方按实际租赁期限结算租金及其他费用。</w:t>
      </w:r>
    </w:p>
    <w:p w14:paraId="35494365">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按合同约定交纳租赁车辆租金，按实际支付使用租赁车辆期间的过路、过桥、停车费、燃油费和乙方配备的驾驶员的住宿费等费用。但是乙方配备驾驶员违章驾驶产生的交通违章罚款、扣分等由乙方支付及处理。</w:t>
      </w:r>
      <w:r>
        <w:rPr>
          <w:rFonts w:ascii="宋体" w:hAnsi="宋体" w:cs="宋体"/>
          <w:color w:val="auto"/>
          <w:szCs w:val="21"/>
          <w:highlight w:val="none"/>
        </w:rPr>
        <w:br w:type="textWrapping"/>
      </w:r>
      <w:r>
        <w:rPr>
          <w:rFonts w:ascii="宋体" w:hAnsi="宋体" w:cs="宋体"/>
          <w:color w:val="auto"/>
          <w:szCs w:val="21"/>
          <w:highlight w:val="none"/>
        </w:rPr>
        <w:t xml:space="preserve">    （五）配合乙方配备的驾驶员按车辆性能、操作规程及相关法律、法规使用租赁车辆。</w:t>
      </w:r>
      <w:r>
        <w:rPr>
          <w:rFonts w:ascii="宋体" w:hAnsi="宋体" w:cs="宋体"/>
          <w:color w:val="auto"/>
          <w:szCs w:val="21"/>
          <w:highlight w:val="none"/>
        </w:rPr>
        <w:br w:type="textWrapping"/>
      </w:r>
      <w:r>
        <w:rPr>
          <w:rFonts w:ascii="宋体" w:hAnsi="宋体" w:cs="宋体"/>
          <w:color w:val="auto"/>
          <w:szCs w:val="21"/>
          <w:highlight w:val="none"/>
        </w:rPr>
        <w:t xml:space="preserve">   （六）配合乙方做好车辆租赁使用期间车辆临时性的车检及维修保养。</w:t>
      </w:r>
      <w:r>
        <w:rPr>
          <w:rFonts w:ascii="宋体" w:hAnsi="宋体" w:cs="宋体"/>
          <w:color w:val="auto"/>
          <w:szCs w:val="21"/>
          <w:highlight w:val="none"/>
        </w:rPr>
        <w:br w:type="textWrapping"/>
      </w:r>
      <w:r>
        <w:rPr>
          <w:rFonts w:ascii="宋体" w:hAnsi="宋体" w:cs="宋体"/>
          <w:color w:val="auto"/>
          <w:szCs w:val="21"/>
          <w:highlight w:val="none"/>
        </w:rPr>
        <w:t xml:space="preserve">   （七）配合乙方做好车辆租赁使用期间车辆发生交通事故、被盗抢时等突发性事件的处理。</w:t>
      </w:r>
      <w:r>
        <w:rPr>
          <w:rFonts w:ascii="宋体" w:hAnsi="宋体" w:cs="宋体"/>
          <w:color w:val="auto"/>
          <w:szCs w:val="21"/>
          <w:highlight w:val="none"/>
        </w:rPr>
        <w:br w:type="textWrapping"/>
      </w:r>
      <w:r>
        <w:rPr>
          <w:rFonts w:hint="eastAsia" w:ascii="宋体" w:hAnsi="宋体" w:cs="宋体"/>
          <w:b/>
          <w:bCs/>
          <w:color w:val="auto"/>
          <w:szCs w:val="21"/>
          <w:highlight w:val="none"/>
        </w:rPr>
        <w:t>第五条</w:t>
      </w:r>
      <w:r>
        <w:rPr>
          <w:rFonts w:ascii="宋体" w:hAnsi="宋体" w:cs="宋体"/>
          <w:b/>
          <w:bCs/>
          <w:color w:val="auto"/>
          <w:szCs w:val="21"/>
          <w:highlight w:val="none"/>
        </w:rPr>
        <w:t xml:space="preserve">  </w:t>
      </w:r>
      <w:r>
        <w:rPr>
          <w:rFonts w:hint="eastAsia" w:ascii="宋体" w:hAnsi="宋体" w:cs="宋体"/>
          <w:b/>
          <w:bCs/>
          <w:color w:val="auto"/>
          <w:szCs w:val="21"/>
          <w:highlight w:val="none"/>
        </w:rPr>
        <w:t>租金及有关费用</w:t>
      </w:r>
      <w:r>
        <w:rPr>
          <w:rFonts w:ascii="宋体" w:hAnsi="宋体" w:cs="宋体"/>
          <w:color w:val="auto"/>
          <w:szCs w:val="21"/>
          <w:highlight w:val="none"/>
        </w:rPr>
        <w:br w:type="textWrapping"/>
      </w:r>
      <w:r>
        <w:rPr>
          <w:rFonts w:ascii="宋体" w:hAnsi="宋体" w:cs="宋体"/>
          <w:color w:val="auto"/>
          <w:szCs w:val="21"/>
          <w:highlight w:val="none"/>
        </w:rPr>
        <w:t xml:space="preserve">    （一）租金及有关费用标准为：按双方约定好的价格</w:t>
      </w:r>
      <w:r>
        <w:rPr>
          <w:rFonts w:hint="eastAsia" w:ascii="宋体" w:hAnsi="宋体" w:cs="宋体"/>
          <w:color w:val="auto"/>
          <w:szCs w:val="21"/>
          <w:highlight w:val="none"/>
        </w:rPr>
        <w:t>表执行</w:t>
      </w:r>
      <w:r>
        <w:rPr>
          <w:rFonts w:ascii="宋体" w:hAnsi="宋体" w:cs="宋体"/>
          <w:color w:val="auto"/>
          <w:szCs w:val="21"/>
          <w:highlight w:val="none"/>
        </w:rPr>
        <w:t>(详见合同附件)</w:t>
      </w:r>
      <w:r>
        <w:rPr>
          <w:rFonts w:ascii="宋体" w:hAnsi="宋体" w:cs="宋体"/>
          <w:color w:val="auto"/>
          <w:szCs w:val="21"/>
          <w:highlight w:val="none"/>
        </w:rPr>
        <w:br w:type="textWrapping"/>
      </w:r>
      <w:r>
        <w:rPr>
          <w:rFonts w:hint="eastAsia" w:ascii="宋体" w:hAnsi="宋体" w:cs="宋体"/>
          <w:color w:val="auto"/>
          <w:szCs w:val="21"/>
          <w:highlight w:val="none"/>
        </w:rPr>
        <w:t>未经双方协商同意，乙方不得擅自变更租金及有关费用的价格。</w:t>
      </w:r>
      <w:r>
        <w:rPr>
          <w:rFonts w:ascii="宋体" w:hAnsi="宋体" w:cs="宋体"/>
          <w:color w:val="auto"/>
          <w:szCs w:val="21"/>
          <w:highlight w:val="none"/>
        </w:rPr>
        <w:br w:type="textWrapping"/>
      </w:r>
      <w:r>
        <w:rPr>
          <w:rFonts w:ascii="宋体" w:hAnsi="宋体" w:cs="宋体"/>
          <w:color w:val="auto"/>
          <w:szCs w:val="21"/>
          <w:highlight w:val="none"/>
        </w:rPr>
        <w:t xml:space="preserve">    （二）甲方应负责乙方配备的驾驶员的住宿费用；如出车返回</w:t>
      </w:r>
      <w:r>
        <w:rPr>
          <w:rFonts w:hint="eastAsia" w:ascii="宋体" w:hAnsi="宋体" w:cs="宋体"/>
          <w:color w:val="auto"/>
          <w:szCs w:val="21"/>
          <w:highlight w:val="none"/>
        </w:rPr>
        <w:t>车辆始发地不得要求甲方再提供住宿，且在任何情况下，乙方不得以任何理由要求甲方支付乙方配备的驾驶员的加班费或其他未约定的额外费用。</w:t>
      </w:r>
      <w:r>
        <w:rPr>
          <w:rFonts w:ascii="宋体" w:hAnsi="宋体" w:cs="宋体"/>
          <w:color w:val="auto"/>
          <w:szCs w:val="21"/>
          <w:highlight w:val="none"/>
        </w:rPr>
        <w:t xml:space="preserve"> </w:t>
      </w:r>
    </w:p>
    <w:p w14:paraId="37F1F77C">
      <w:pPr>
        <w:tabs>
          <w:tab w:val="left" w:pos="5680"/>
        </w:tabs>
        <w:spacing w:line="380" w:lineRule="exact"/>
        <w:ind w:firstLine="560"/>
        <w:rPr>
          <w:rFonts w:ascii="宋体" w:hAnsi="宋体" w:cs="宋体"/>
          <w:color w:val="auto"/>
          <w:szCs w:val="21"/>
          <w:highlight w:val="none"/>
        </w:rPr>
      </w:pPr>
      <w:r>
        <w:rPr>
          <w:rFonts w:hint="eastAsia" w:ascii="宋体" w:hAnsi="宋体" w:cs="宋体"/>
          <w:color w:val="auto"/>
          <w:szCs w:val="21"/>
          <w:highlight w:val="none"/>
        </w:rPr>
        <w:t>（三）如甲方要求乙方提供协议范围以外的相关服务，乙方承诺按同类服务的市场收费标准收取相关费用。</w:t>
      </w:r>
    </w:p>
    <w:p w14:paraId="30EFAE07">
      <w:pPr>
        <w:spacing w:line="380" w:lineRule="exact"/>
        <w:ind w:left="559" w:leftChars="266"/>
        <w:jc w:val="left"/>
        <w:rPr>
          <w:rFonts w:ascii="宋体" w:hAnsi="宋体" w:cs="宋体"/>
          <w:color w:val="auto"/>
          <w:szCs w:val="21"/>
          <w:highlight w:val="none"/>
          <w:u w:val="single"/>
        </w:rPr>
      </w:pPr>
      <w:r>
        <w:rPr>
          <w:rFonts w:hint="eastAsia" w:ascii="宋体" w:hAnsi="宋体" w:cs="宋体"/>
          <w:b/>
          <w:bCs/>
          <w:color w:val="auto"/>
          <w:szCs w:val="21"/>
          <w:highlight w:val="none"/>
        </w:rPr>
        <w:t>第六条租金及有关费用结算</w:t>
      </w:r>
      <w:r>
        <w:rPr>
          <w:rFonts w:ascii="宋体" w:hAnsi="宋体" w:cs="宋体"/>
          <w:b/>
          <w:bCs/>
          <w:color w:val="auto"/>
          <w:szCs w:val="21"/>
          <w:highlight w:val="none"/>
        </w:rPr>
        <w:br w:type="textWrapping"/>
      </w:r>
      <w:r>
        <w:rPr>
          <w:rFonts w:hint="eastAsia" w:ascii="宋体" w:hAnsi="宋体" w:cs="宋体"/>
          <w:color w:val="auto"/>
          <w:szCs w:val="21"/>
          <w:highlight w:val="none"/>
        </w:rPr>
        <w:t>（一）甲方每次租赁使用车辆，须以双方签署且双方核对确认的派车单或月度结算汇总表作为结算依据。</w:t>
      </w:r>
      <w:r>
        <w:rPr>
          <w:rFonts w:ascii="宋体" w:hAnsi="宋体" w:cs="宋体"/>
          <w:color w:val="auto"/>
          <w:szCs w:val="21"/>
          <w:highlight w:val="none"/>
        </w:rPr>
        <w:br w:type="textWrapping"/>
      </w:r>
      <w:r>
        <w:rPr>
          <w:rFonts w:hint="eastAsia" w:ascii="宋体" w:hAnsi="宋体" w:cs="宋体"/>
          <w:color w:val="auto"/>
          <w:szCs w:val="21"/>
          <w:highlight w:val="none"/>
        </w:rPr>
        <w:t>（二）甲方使用完成租赁车辆，在收到乙方向甲方提供的</w:t>
      </w:r>
      <w:r>
        <w:rPr>
          <w:rFonts w:hint="eastAsia" w:ascii="宋体" w:hAnsi="宋体" w:cs="宋体"/>
          <w:color w:val="auto"/>
          <w:szCs w:val="21"/>
          <w:highlight w:val="none"/>
          <w:lang w:val="en-US" w:eastAsia="zh-CN"/>
        </w:rPr>
        <w:t>结算依据及</w:t>
      </w:r>
      <w:r>
        <w:rPr>
          <w:rFonts w:hint="eastAsia" w:ascii="宋体" w:hAnsi="宋体" w:cs="宋体"/>
          <w:color w:val="auto"/>
          <w:szCs w:val="21"/>
          <w:highlight w:val="none"/>
        </w:rPr>
        <w:t>有效合法的发票后</w:t>
      </w:r>
      <w:r>
        <w:rPr>
          <w:rFonts w:ascii="宋体" w:hAnsi="宋体" w:cs="宋体"/>
          <w:color w:val="auto"/>
          <w:szCs w:val="21"/>
          <w:highlight w:val="none"/>
        </w:rPr>
        <w:t>1个月内，以公务卡刷卡或单位转账等财政部门认可的方式向乙方支付有关款项。</w:t>
      </w:r>
      <w:r>
        <w:rPr>
          <w:rFonts w:ascii="宋体" w:hAnsi="宋体" w:cs="宋体"/>
          <w:color w:val="auto"/>
          <w:szCs w:val="21"/>
          <w:highlight w:val="none"/>
        </w:rPr>
        <w:br w:type="textWrapping"/>
      </w:r>
      <w:r>
        <w:rPr>
          <w:rFonts w:ascii="宋体" w:hAnsi="宋体" w:cs="宋体"/>
          <w:color w:val="auto"/>
          <w:szCs w:val="21"/>
          <w:highlight w:val="none"/>
        </w:rPr>
        <w:t xml:space="preserve"> 1.乙方的收款账户如下:</w:t>
      </w:r>
      <w:r>
        <w:rPr>
          <w:rFonts w:ascii="宋体" w:hAnsi="宋体" w:cs="宋体"/>
          <w:color w:val="auto"/>
          <w:szCs w:val="21"/>
          <w:highlight w:val="none"/>
        </w:rPr>
        <w:br w:type="textWrapping"/>
      </w:r>
      <w:r>
        <w:rPr>
          <w:rFonts w:ascii="宋体" w:hAnsi="宋体" w:cs="宋体"/>
          <w:color w:val="auto"/>
          <w:szCs w:val="21"/>
          <w:highlight w:val="none"/>
        </w:rPr>
        <w:t xml:space="preserve">  收款单位名称：</w:t>
      </w:r>
      <w:r>
        <w:rPr>
          <w:rFonts w:ascii="宋体" w:hAnsi="宋体" w:cs="宋体"/>
          <w:color w:val="auto"/>
          <w:szCs w:val="21"/>
          <w:highlight w:val="none"/>
          <w:u w:val="single"/>
        </w:rPr>
        <w:t xml:space="preserve">                        </w:t>
      </w:r>
      <w:r>
        <w:rPr>
          <w:rFonts w:ascii="宋体" w:hAnsi="宋体" w:cs="宋体"/>
          <w:color w:val="auto"/>
          <w:szCs w:val="21"/>
          <w:highlight w:val="none"/>
        </w:rPr>
        <w:br w:type="textWrapping"/>
      </w:r>
      <w:r>
        <w:rPr>
          <w:rFonts w:ascii="宋体" w:hAnsi="宋体" w:cs="宋体"/>
          <w:color w:val="auto"/>
          <w:szCs w:val="21"/>
          <w:highlight w:val="none"/>
        </w:rPr>
        <w:t xml:space="preserve">  收款银行账号：</w:t>
      </w:r>
      <w:r>
        <w:rPr>
          <w:rFonts w:ascii="宋体" w:hAnsi="宋体" w:cs="宋体"/>
          <w:color w:val="auto"/>
          <w:szCs w:val="21"/>
          <w:highlight w:val="none"/>
          <w:u w:val="single"/>
        </w:rPr>
        <w:t xml:space="preserve">                        </w:t>
      </w:r>
      <w:r>
        <w:rPr>
          <w:rFonts w:ascii="宋体" w:hAnsi="宋体" w:cs="宋体"/>
          <w:color w:val="auto"/>
          <w:szCs w:val="21"/>
          <w:highlight w:val="none"/>
        </w:rPr>
        <w:br w:type="textWrapping"/>
      </w:r>
      <w:r>
        <w:rPr>
          <w:rFonts w:ascii="宋体" w:hAnsi="宋体" w:cs="宋体"/>
          <w:color w:val="auto"/>
          <w:szCs w:val="21"/>
          <w:highlight w:val="none"/>
        </w:rPr>
        <w:t xml:space="preserve">  开户行：</w:t>
      </w:r>
      <w:r>
        <w:rPr>
          <w:rFonts w:ascii="宋体" w:hAnsi="宋体" w:cs="宋体"/>
          <w:color w:val="auto"/>
          <w:szCs w:val="21"/>
          <w:highlight w:val="none"/>
          <w:u w:val="single"/>
        </w:rPr>
        <w:t xml:space="preserve">                           </w:t>
      </w:r>
      <w:r>
        <w:rPr>
          <w:rFonts w:ascii="宋体" w:hAnsi="宋体" w:cs="宋体"/>
          <w:color w:val="auto"/>
          <w:szCs w:val="21"/>
          <w:highlight w:val="none"/>
        </w:rPr>
        <w:br w:type="textWrapping"/>
      </w:r>
      <w:r>
        <w:rPr>
          <w:rFonts w:ascii="宋体" w:hAnsi="宋体" w:cs="宋体"/>
          <w:color w:val="auto"/>
          <w:szCs w:val="21"/>
          <w:highlight w:val="none"/>
        </w:rPr>
        <w:t xml:space="preserve"> 2.甲方的开票信息如下:</w:t>
      </w:r>
      <w:r>
        <w:rPr>
          <w:rFonts w:ascii="宋体" w:hAnsi="宋体" w:cs="宋体"/>
          <w:color w:val="auto"/>
          <w:szCs w:val="21"/>
          <w:highlight w:val="none"/>
        </w:rPr>
        <w:br w:type="textWrapping"/>
      </w:r>
      <w:r>
        <w:rPr>
          <w:rFonts w:ascii="宋体" w:hAnsi="宋体" w:cs="宋体"/>
          <w:color w:val="auto"/>
          <w:szCs w:val="21"/>
          <w:highlight w:val="none"/>
        </w:rPr>
        <w:t xml:space="preserve">    开 票  名 称:</w:t>
      </w:r>
      <w:r>
        <w:rPr>
          <w:rFonts w:ascii="宋体" w:hAnsi="宋体" w:cs="宋体"/>
          <w:color w:val="auto"/>
          <w:szCs w:val="21"/>
          <w:highlight w:val="none"/>
          <w:u w:val="single"/>
        </w:rPr>
        <w:t xml:space="preserve">                 </w:t>
      </w:r>
    </w:p>
    <w:p w14:paraId="62C97C6A">
      <w:pPr>
        <w:spacing w:line="380" w:lineRule="exact"/>
        <w:ind w:left="559" w:leftChars="266"/>
        <w:jc w:val="left"/>
        <w:rPr>
          <w:rFonts w:ascii="宋体" w:hAnsi="宋体" w:cs="宋体"/>
          <w:color w:val="auto"/>
          <w:szCs w:val="21"/>
          <w:highlight w:val="none"/>
          <w:u w:val="single"/>
        </w:rPr>
      </w:pPr>
      <w:r>
        <w:rPr>
          <w:rFonts w:hint="eastAsia" w:ascii="宋体" w:hAnsi="宋体" w:cs="宋体"/>
          <w:color w:val="auto"/>
          <w:szCs w:val="21"/>
          <w:highlight w:val="none"/>
        </w:rPr>
        <w:t>纳税人识别号</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p w14:paraId="5AF37DB2">
      <w:pPr>
        <w:spacing w:line="380" w:lineRule="exact"/>
        <w:ind w:left="559" w:leftChars="266"/>
        <w:jc w:val="left"/>
        <w:rPr>
          <w:rFonts w:ascii="宋体" w:hAnsi="宋体" w:cs="宋体"/>
          <w:color w:val="auto"/>
          <w:szCs w:val="21"/>
          <w:highlight w:val="none"/>
          <w:u w:val="single"/>
        </w:rPr>
      </w:pPr>
      <w:r>
        <w:rPr>
          <w:rFonts w:hint="eastAsia" w:ascii="宋体" w:hAnsi="宋体" w:cs="宋体"/>
          <w:color w:val="auto"/>
          <w:szCs w:val="21"/>
          <w:highlight w:val="none"/>
        </w:rPr>
        <w:t>地址、电</w:t>
      </w:r>
      <w:r>
        <w:rPr>
          <w:rFonts w:ascii="宋体" w:hAnsi="宋体" w:cs="宋体"/>
          <w:color w:val="auto"/>
          <w:szCs w:val="21"/>
          <w:highlight w:val="none"/>
        </w:rPr>
        <w:t xml:space="preserve"> 话: </w:t>
      </w:r>
      <w:r>
        <w:rPr>
          <w:rFonts w:ascii="宋体" w:hAnsi="宋体" w:cs="宋体"/>
          <w:color w:val="auto"/>
          <w:szCs w:val="21"/>
          <w:highlight w:val="none"/>
          <w:u w:val="single"/>
        </w:rPr>
        <w:t xml:space="preserve">                 </w:t>
      </w:r>
    </w:p>
    <w:p w14:paraId="048E8EDA">
      <w:pPr>
        <w:spacing w:line="380" w:lineRule="exact"/>
        <w:ind w:left="550" w:leftChars="256" w:hanging="12" w:hangingChars="6"/>
        <w:jc w:val="left"/>
        <w:rPr>
          <w:rFonts w:ascii="宋体" w:hAnsi="宋体" w:cs="宋体"/>
          <w:b/>
          <w:bCs/>
          <w:color w:val="auto"/>
          <w:szCs w:val="21"/>
          <w:highlight w:val="none"/>
        </w:rPr>
      </w:pPr>
      <w:r>
        <w:rPr>
          <w:rFonts w:hint="eastAsia" w:ascii="宋体" w:hAnsi="宋体" w:cs="宋体"/>
          <w:color w:val="auto"/>
          <w:szCs w:val="21"/>
          <w:highlight w:val="none"/>
        </w:rPr>
        <w:t>开户行及账号</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b/>
          <w:bCs/>
          <w:color w:val="auto"/>
          <w:szCs w:val="21"/>
          <w:highlight w:val="none"/>
          <w:u w:val="single"/>
        </w:rPr>
        <w:t xml:space="preserve">           </w:t>
      </w:r>
      <w:r>
        <w:rPr>
          <w:rFonts w:ascii="宋体" w:hAnsi="宋体" w:cs="宋体"/>
          <w:b/>
          <w:bCs/>
          <w:color w:val="auto"/>
          <w:szCs w:val="21"/>
          <w:highlight w:val="none"/>
        </w:rPr>
        <w:br w:type="textWrapping"/>
      </w:r>
      <w:r>
        <w:rPr>
          <w:rFonts w:hint="eastAsia" w:ascii="宋体" w:hAnsi="宋体" w:cs="宋体"/>
          <w:b/>
          <w:bCs/>
          <w:color w:val="auto"/>
          <w:szCs w:val="21"/>
          <w:highlight w:val="none"/>
        </w:rPr>
        <w:t>第七条</w:t>
      </w:r>
      <w:r>
        <w:rPr>
          <w:rFonts w:ascii="宋体" w:hAnsi="宋体" w:cs="宋体"/>
          <w:b/>
          <w:bCs/>
          <w:color w:val="auto"/>
          <w:szCs w:val="21"/>
          <w:highlight w:val="none"/>
        </w:rPr>
        <w:t xml:space="preserve">  </w:t>
      </w:r>
      <w:r>
        <w:rPr>
          <w:rFonts w:hint="eastAsia" w:ascii="宋体" w:hAnsi="宋体" w:cs="宋体"/>
          <w:b/>
          <w:bCs/>
          <w:color w:val="auto"/>
          <w:szCs w:val="21"/>
          <w:highlight w:val="none"/>
        </w:rPr>
        <w:t>事故、意外风险</w:t>
      </w:r>
    </w:p>
    <w:p w14:paraId="32979C73">
      <w:pPr>
        <w:numPr>
          <w:ilvl w:val="255"/>
          <w:numId w:val="0"/>
        </w:num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意外风险责任，乙方应按照本合同的约定向保险公司充足投保。因事故、意外风险导致甲方人员人身或财产损害的，由乙方负责协调保险公司及时将理赔款项足额支付给甲方人员。乙方未依法依约投保或投保不足的，则由乙方应承担全部损失或保险赔偿不足的损失，并由乙方负责处理。</w:t>
      </w:r>
    </w:p>
    <w:p w14:paraId="607C89CA">
      <w:pPr>
        <w:numPr>
          <w:ilvl w:val="255"/>
          <w:numId w:val="0"/>
        </w:numPr>
        <w:spacing w:line="380" w:lineRule="exact"/>
        <w:jc w:val="left"/>
        <w:rPr>
          <w:rFonts w:ascii="宋体" w:hAnsi="宋体" w:cs="宋体"/>
          <w:color w:val="auto"/>
          <w:szCs w:val="21"/>
          <w:highlight w:val="none"/>
        </w:rPr>
      </w:pPr>
      <w:r>
        <w:rPr>
          <w:rFonts w:ascii="宋体" w:hAnsi="宋体" w:cs="宋体"/>
          <w:color w:val="auto"/>
          <w:szCs w:val="21"/>
          <w:highlight w:val="none"/>
        </w:rPr>
        <w:t xml:space="preserve">    （二）乙方向甲方承诺：乙方已经依照《中华人民共和国道路交通安全法》等法律法规，并且依照本合同第二条等约定对出租车辆购买各类充足保险，特别是已购买车上人员座位险、驾乘人员意外伤害险、第三者责任险、不计免赔险等险种。在车辆出租期间，车辆发生被盗、被抢、交通事故或其他损失的，由乙方按保险理赔程序处理或者先行处理；保险公司免责和保险赔付不足部分由乙方自行承担，甲方不承担责任。</w:t>
      </w:r>
    </w:p>
    <w:p w14:paraId="4E9F502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（三）租赁车辆由乙方配备的驾驶员驾驶的</w:t>
      </w:r>
      <w:r>
        <w:rPr>
          <w:rFonts w:hint="eastAsia" w:ascii="宋体" w:hAnsi="宋体" w:cs="宋体"/>
          <w:color w:val="auto"/>
          <w:szCs w:val="21"/>
          <w:highlight w:val="none"/>
          <w:lang w:eastAsia="zh-Hans"/>
        </w:rPr>
        <w:t>，</w:t>
      </w:r>
      <w:r>
        <w:rPr>
          <w:rFonts w:hint="eastAsia" w:ascii="宋体" w:hAnsi="宋体" w:cs="宋体"/>
          <w:color w:val="auto"/>
          <w:szCs w:val="21"/>
          <w:highlight w:val="none"/>
        </w:rPr>
        <w:t>行车安全、技术操作由乙方及其所派驾驶员负责，无论在任何情况下发生交通事故或其他意外事故</w:t>
      </w:r>
      <w:r>
        <w:rPr>
          <w:rFonts w:hint="eastAsia" w:ascii="宋体" w:hAnsi="宋体" w:cs="宋体"/>
          <w:color w:val="auto"/>
          <w:szCs w:val="21"/>
          <w:highlight w:val="none"/>
          <w:lang w:eastAsia="zh-Hans"/>
        </w:rPr>
        <w:t>，</w:t>
      </w:r>
      <w:r>
        <w:rPr>
          <w:rFonts w:hint="eastAsia" w:ascii="宋体" w:hAnsi="宋体" w:cs="宋体"/>
          <w:color w:val="auto"/>
          <w:szCs w:val="21"/>
          <w:highlight w:val="none"/>
        </w:rPr>
        <w:t>都由乙方负责处理并承担所发生费用的责任（除由保险公司支付外，剩余部分由乙方承担），甲方不承担任何责任。因驾驶员驾驶不当造成损坏的，由乙方负责。只有在甲方人员驾驶租赁车辆发生交通事故或其他意外事故，且甲方驾驶人员有过错且该过错会导致相关保险免赔时，甲方才依法承担过错责任。</w:t>
      </w:r>
    </w:p>
    <w:p w14:paraId="47427CFB">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（四）租赁车辆由乙方配备的驾驶员负责驾驶，租赁车辆日常管理由其负责，对于交付前后租赁车辆有无刮痕、破损等，由乙方负责。</w:t>
      </w:r>
      <w:r>
        <w:rPr>
          <w:rFonts w:ascii="宋体" w:hAnsi="宋体" w:cs="宋体"/>
          <w:color w:val="auto"/>
          <w:szCs w:val="21"/>
          <w:highlight w:val="none"/>
        </w:rPr>
        <w:br w:type="textWrapping"/>
      </w:r>
      <w:r>
        <w:rPr>
          <w:rFonts w:ascii="宋体" w:hAnsi="宋体" w:cs="宋体"/>
          <w:color w:val="auto"/>
          <w:szCs w:val="21"/>
          <w:highlight w:val="none"/>
        </w:rPr>
        <w:t xml:space="preserve">    （五）乙方配备驾驶员的租赁车辆发生交通事故或车辆发生被盗、被抢等意外风险导致车辆停驶时，乙方按甲方实际使用车辆的时间收取租金。因乙方的原因或非甲方原因而发生安全事故、抛锚、漏接、车</w:t>
      </w:r>
      <w:r>
        <w:rPr>
          <w:rFonts w:hint="eastAsia" w:ascii="宋体" w:hAnsi="宋体" w:cs="宋体"/>
          <w:color w:val="auto"/>
          <w:szCs w:val="21"/>
          <w:highlight w:val="none"/>
        </w:rPr>
        <w:t>辆被查扣等造成的经济损失，由乙方负责赔偿，同时安排同等以上车辆来替补。</w:t>
      </w:r>
      <w:r>
        <w:rPr>
          <w:rFonts w:ascii="宋体" w:hAnsi="宋体" w:cs="宋体"/>
          <w:color w:val="auto"/>
          <w:szCs w:val="21"/>
          <w:highlight w:val="none"/>
        </w:rPr>
        <w:br w:type="textWrapping"/>
      </w:r>
      <w:r>
        <w:rPr>
          <w:rFonts w:ascii="宋体" w:hAnsi="宋体" w:cs="宋体"/>
          <w:color w:val="auto"/>
          <w:szCs w:val="21"/>
          <w:highlight w:val="none"/>
        </w:rPr>
        <w:t xml:space="preserve">    （六）因政府政策发生重大变化、不可抗力以及其他无法归究于甲、乙双方的原因造成的损失，依照有关法律法规规定和公平原则由双方协商解决。</w:t>
      </w:r>
      <w:r>
        <w:rPr>
          <w:rFonts w:ascii="宋体" w:hAnsi="宋体" w:cs="宋体"/>
          <w:color w:val="auto"/>
          <w:szCs w:val="21"/>
          <w:highlight w:val="none"/>
        </w:rPr>
        <w:br w:type="textWrapping"/>
      </w:r>
      <w:r>
        <w:rPr>
          <w:rFonts w:ascii="宋体" w:hAnsi="宋体" w:cs="宋体"/>
          <w:color w:val="auto"/>
          <w:szCs w:val="21"/>
          <w:highlight w:val="none"/>
        </w:rPr>
        <w:t xml:space="preserve">    </w:t>
      </w:r>
      <w:r>
        <w:rPr>
          <w:rFonts w:hint="eastAsia" w:ascii="宋体" w:hAnsi="宋体" w:cs="宋体"/>
          <w:b/>
          <w:bCs/>
          <w:color w:val="auto"/>
          <w:szCs w:val="21"/>
          <w:highlight w:val="none"/>
        </w:rPr>
        <w:t>第八条</w:t>
      </w:r>
      <w:r>
        <w:rPr>
          <w:rFonts w:ascii="宋体" w:hAnsi="宋体" w:cs="宋体"/>
          <w:b/>
          <w:bCs/>
          <w:color w:val="auto"/>
          <w:szCs w:val="21"/>
          <w:highlight w:val="none"/>
        </w:rPr>
        <w:t xml:space="preserve">  </w:t>
      </w:r>
      <w:r>
        <w:rPr>
          <w:rFonts w:hint="eastAsia" w:ascii="宋体" w:hAnsi="宋体" w:cs="宋体"/>
          <w:b/>
          <w:bCs/>
          <w:color w:val="auto"/>
          <w:szCs w:val="21"/>
          <w:highlight w:val="none"/>
        </w:rPr>
        <w:t>乙方的违约责任</w:t>
      </w:r>
      <w:r>
        <w:rPr>
          <w:rFonts w:ascii="宋体" w:hAnsi="宋体" w:cs="宋体"/>
          <w:b/>
          <w:bCs/>
          <w:color w:val="auto"/>
          <w:szCs w:val="21"/>
          <w:highlight w:val="none"/>
        </w:rPr>
        <w:br w:type="textWrapping"/>
      </w:r>
      <w:r>
        <w:rPr>
          <w:rFonts w:ascii="宋体" w:hAnsi="宋体" w:cs="宋体"/>
          <w:b/>
          <w:bCs/>
          <w:color w:val="auto"/>
          <w:szCs w:val="21"/>
          <w:highlight w:val="none"/>
        </w:rPr>
        <w:t xml:space="preserve">  </w:t>
      </w:r>
      <w:r>
        <w:rPr>
          <w:rFonts w:hint="eastAsia" w:ascii="宋体" w:hAnsi="宋体" w:cs="宋体"/>
          <w:color w:val="auto"/>
          <w:szCs w:val="21"/>
          <w:highlight w:val="none"/>
        </w:rPr>
        <w:t>乙方未能履行向甲方提供合同约定的车辆、服务等义务时，应承担下列违约责任：</w:t>
      </w:r>
      <w:r>
        <w:rPr>
          <w:rFonts w:ascii="宋体" w:hAnsi="宋体" w:cs="宋体"/>
          <w:color w:val="auto"/>
          <w:szCs w:val="21"/>
          <w:highlight w:val="none"/>
        </w:rPr>
        <w:br w:type="textWrapping"/>
      </w:r>
      <w:r>
        <w:rPr>
          <w:rFonts w:ascii="宋体" w:hAnsi="宋体" w:cs="宋体"/>
          <w:color w:val="auto"/>
          <w:szCs w:val="21"/>
          <w:highlight w:val="none"/>
        </w:rPr>
        <w:t xml:space="preserve">   （一）乙方违反本合同要求提供非营运资质或不符合安全保障要求车辆（经道路运输管理部门等政府部门或其依法认可的专业检测机构认定）用于租赁的，甲方有权降低租赁价格或拒付车款，直至解除本合同，且由此造成的一切责任由乙方承担。若给甲方造成损失，乙方负责赔偿。</w:t>
      </w:r>
    </w:p>
    <w:p w14:paraId="79061973">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（二）乙方不能按约定及时提供故障维修或救援时，甲方有权委托第三方承担，由此发生的维修和救援费用及给甲方增加的开支，由乙方承担，且甲方可以不支付故障车辆使用期间的租金。</w:t>
      </w:r>
    </w:p>
    <w:p w14:paraId="4F1BB1F0">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乙方违反本合同第二条以及第七条第（一）项、第（二）项规定，未依法依约购买车上人员座位险、驾乘人员意外伤害险、第三者责任险、不计免赔险等充足保险，导致无法进行保险理赔或者险公司免责和保险赔付不足的，由乙方承担赔偿责任。</w:t>
      </w:r>
    </w:p>
    <w:p w14:paraId="36152C32">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（四）车辆租赁期间存在下列情形之一的，乙方应按照</w:t>
      </w:r>
      <w:r>
        <w:rPr>
          <w:rFonts w:ascii="宋体" w:hAnsi="宋体" w:cs="宋体"/>
          <w:color w:val="auto"/>
          <w:szCs w:val="21"/>
          <w:highlight w:val="none"/>
          <w:u w:val="single"/>
        </w:rPr>
        <w:t>1000</w:t>
      </w:r>
      <w:r>
        <w:rPr>
          <w:rFonts w:hint="eastAsia" w:ascii="宋体" w:hAnsi="宋体" w:cs="宋体"/>
          <w:color w:val="auto"/>
          <w:szCs w:val="21"/>
          <w:highlight w:val="none"/>
        </w:rPr>
        <w:t>元</w:t>
      </w:r>
      <w:r>
        <w:rPr>
          <w:rFonts w:ascii="宋体" w:hAnsi="宋体" w:cs="宋体"/>
          <w:color w:val="auto"/>
          <w:szCs w:val="21"/>
          <w:highlight w:val="none"/>
        </w:rPr>
        <w:t>/车·次向甲方支付违约金，违约金不足以弥补甲方损失的，甲方有权另行向乙方索赔，并且甲方有权要求乙方立即更换符合约定条件的车辆；乙方未能立即更换的，或者经更换后又发生下列情形的，甲方有权单方面解除本合同，且无需向乙方支付任何租赁费用：</w:t>
      </w:r>
    </w:p>
    <w:p w14:paraId="1B63BC10">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1.乙方提供的租赁车辆未达到本合同约定的技术状况一级标准的或设备、证照不齐全的；</w:t>
      </w:r>
    </w:p>
    <w:p w14:paraId="1D0CD419">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2.乙方未及时对租赁车辆进行维修或保养的；</w:t>
      </w:r>
    </w:p>
    <w:p w14:paraId="7966183F">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3.乙方未及时提供租赁车辆免费救援服务的；</w:t>
      </w:r>
    </w:p>
    <w:p w14:paraId="6B72DFEE">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4.乙方未对租赁车辆足额投保、续保的。</w:t>
      </w:r>
    </w:p>
    <w:p w14:paraId="6937F916">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（五）车辆租赁期间，乙方配备司机存在下列情形之一的，乙方应按照</w:t>
      </w:r>
      <w:r>
        <w:rPr>
          <w:rFonts w:ascii="宋体" w:hAnsi="宋体" w:cs="宋体"/>
          <w:color w:val="auto"/>
          <w:szCs w:val="21"/>
          <w:highlight w:val="none"/>
          <w:u w:val="single"/>
        </w:rPr>
        <w:t>1000</w:t>
      </w:r>
      <w:r>
        <w:rPr>
          <w:rFonts w:hint="eastAsia" w:ascii="宋体" w:hAnsi="宋体" w:cs="宋体"/>
          <w:color w:val="auto"/>
          <w:szCs w:val="21"/>
          <w:highlight w:val="none"/>
        </w:rPr>
        <w:t>元</w:t>
      </w:r>
      <w:r>
        <w:rPr>
          <w:rFonts w:ascii="宋体" w:hAnsi="宋体" w:cs="宋体"/>
          <w:color w:val="auto"/>
          <w:szCs w:val="21"/>
          <w:highlight w:val="none"/>
        </w:rPr>
        <w:t>/人·次向甲方支付违约金，违约金不足以弥补甲方损失的，甲方有权另行向乙方索赔，并且甲方有权要求乙方立即更换乙方配备的司机；乙方未能立即更换的，或者经更换后又发生下列情形的，甲方有权单方面解除本合同，且无需向乙方支付任何租赁费用：</w:t>
      </w:r>
    </w:p>
    <w:p w14:paraId="025C3DF5">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1.乙方配备的司机不服从甲方或甲方人员的调配或安排的；</w:t>
      </w:r>
    </w:p>
    <w:p w14:paraId="3F3F33E1">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2.乙方配备的司机违反道路交通安全法律、法规或操作规程或安全规定，导致交通违法或造成租赁车辆损坏、无法正常使用或者发生交通事故的；</w:t>
      </w:r>
    </w:p>
    <w:p w14:paraId="5F993540">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3.乙方配备的司机在工作中酒驾、毒驾、疲劳驾驶、带病驾驶的；</w:t>
      </w:r>
    </w:p>
    <w:p w14:paraId="058E3743">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4.乙方配备的司机在工作中存在谩骂他人或斗殴、吸毒、嫖娼或其他违法、犯罪行为或者有其他有可能损害甲方形象的行为的；</w:t>
      </w:r>
    </w:p>
    <w:p w14:paraId="4720ED88">
      <w:pPr>
        <w:spacing w:line="3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5.乙方配备的司机在工作中，有其他违反法律、法规、本合同约定或因过错给甲方造成损失的行为的。</w:t>
      </w:r>
    </w:p>
    <w:p w14:paraId="0ED501C2">
      <w:pPr>
        <w:spacing w:line="380" w:lineRule="exact"/>
        <w:ind w:left="559" w:leftChars="266"/>
        <w:jc w:val="left"/>
        <w:rPr>
          <w:rFonts w:ascii="宋体" w:hAnsi="宋体" w:cs="宋体"/>
          <w:color w:val="auto"/>
          <w:szCs w:val="21"/>
          <w:highlight w:val="none"/>
        </w:rPr>
      </w:pPr>
      <w:r>
        <w:rPr>
          <w:rFonts w:hint="eastAsia" w:ascii="宋体" w:hAnsi="宋体" w:cs="宋体"/>
          <w:b/>
          <w:bCs/>
          <w:color w:val="auto"/>
          <w:szCs w:val="21"/>
          <w:highlight w:val="none"/>
        </w:rPr>
        <w:t>第九条</w:t>
      </w:r>
      <w:r>
        <w:rPr>
          <w:rFonts w:ascii="宋体" w:hAnsi="宋体" w:cs="宋体"/>
          <w:b/>
          <w:bCs/>
          <w:color w:val="auto"/>
          <w:szCs w:val="21"/>
          <w:highlight w:val="none"/>
        </w:rPr>
        <w:t xml:space="preserve">  </w:t>
      </w:r>
      <w:r>
        <w:rPr>
          <w:rFonts w:hint="eastAsia" w:ascii="宋体" w:hAnsi="宋体" w:cs="宋体"/>
          <w:b/>
          <w:bCs/>
          <w:color w:val="auto"/>
          <w:szCs w:val="21"/>
          <w:highlight w:val="none"/>
        </w:rPr>
        <w:t>甲方的违约责任</w:t>
      </w:r>
      <w:r>
        <w:rPr>
          <w:rFonts w:ascii="宋体" w:hAnsi="宋体" w:cs="宋体"/>
          <w:b/>
          <w:bCs/>
          <w:color w:val="auto"/>
          <w:szCs w:val="21"/>
          <w:highlight w:val="none"/>
        </w:rPr>
        <w:br w:type="textWrapping"/>
      </w:r>
      <w:r>
        <w:rPr>
          <w:rFonts w:hint="eastAsia" w:ascii="宋体" w:hAnsi="宋体" w:cs="宋体"/>
          <w:color w:val="auto"/>
          <w:szCs w:val="21"/>
          <w:highlight w:val="none"/>
        </w:rPr>
        <w:t>甲方不能按合同约定使用租赁车辆，向乙方承担下列的责任：</w:t>
      </w:r>
    </w:p>
    <w:p w14:paraId="74C8FF3F">
      <w:pPr>
        <w:spacing w:line="380" w:lineRule="exact"/>
        <w:ind w:left="559" w:leftChars="266"/>
        <w:jc w:val="left"/>
        <w:rPr>
          <w:rFonts w:ascii="宋体" w:hAnsi="宋体" w:cs="宋体"/>
          <w:b/>
          <w:bCs/>
          <w:color w:val="auto"/>
          <w:szCs w:val="21"/>
          <w:highlight w:val="none"/>
        </w:rPr>
      </w:pPr>
      <w:r>
        <w:rPr>
          <w:rFonts w:hint="eastAsia" w:ascii="宋体" w:hAnsi="宋体" w:cs="宋体"/>
          <w:color w:val="auto"/>
          <w:szCs w:val="21"/>
          <w:highlight w:val="none"/>
        </w:rPr>
        <w:t>（一）逾期交纳租金，每逾期一日，按应交未交租金总额的万分之一点五支付违约金。</w:t>
      </w:r>
      <w:r>
        <w:rPr>
          <w:rFonts w:ascii="宋体" w:hAnsi="宋体" w:cs="宋体"/>
          <w:color w:val="auto"/>
          <w:szCs w:val="21"/>
          <w:highlight w:val="none"/>
        </w:rPr>
        <w:br w:type="textWrapping"/>
      </w:r>
      <w:r>
        <w:rPr>
          <w:rFonts w:ascii="宋体" w:hAnsi="宋体" w:cs="宋体"/>
          <w:color w:val="auto"/>
          <w:szCs w:val="21"/>
          <w:highlight w:val="none"/>
        </w:rPr>
        <w:t>(二)确有证据证明甲方利用租赁车辆从事违法犯罪活动的，乙方有权解除合同，因此给乙方造成损失的，甲方应予以赔偿。</w:t>
      </w:r>
      <w:r>
        <w:rPr>
          <w:rFonts w:ascii="宋体" w:hAnsi="宋体" w:cs="宋体"/>
          <w:color w:val="auto"/>
          <w:szCs w:val="21"/>
          <w:highlight w:val="none"/>
        </w:rPr>
        <w:br w:type="textWrapping"/>
      </w:r>
      <w:r>
        <w:rPr>
          <w:rFonts w:hint="eastAsia" w:ascii="宋体" w:hAnsi="宋体" w:cs="宋体"/>
          <w:b/>
          <w:bCs/>
          <w:color w:val="auto"/>
          <w:szCs w:val="21"/>
          <w:highlight w:val="none"/>
        </w:rPr>
        <w:t>第十条</w:t>
      </w:r>
      <w:r>
        <w:rPr>
          <w:rFonts w:ascii="宋体" w:hAnsi="宋体" w:cs="宋体"/>
          <w:b/>
          <w:bCs/>
          <w:color w:val="auto"/>
          <w:szCs w:val="21"/>
          <w:highlight w:val="none"/>
        </w:rPr>
        <w:t xml:space="preserve">  </w:t>
      </w:r>
      <w:r>
        <w:rPr>
          <w:rFonts w:hint="eastAsia" w:ascii="宋体" w:hAnsi="宋体" w:cs="宋体"/>
          <w:b/>
          <w:bCs/>
          <w:color w:val="auto"/>
          <w:szCs w:val="21"/>
          <w:highlight w:val="none"/>
        </w:rPr>
        <w:t>特别约定</w:t>
      </w:r>
    </w:p>
    <w:p w14:paraId="73F04DD7">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（一）乙方配备驾驶员与乙方之间的劳动关系或其他关系，不因本合同的签订和履行而发生改变。驾驶员的工资报酬及福利待遇等，由乙方自行负责解决和承担，并且不因此影响本合同所约定费用的计算与支付。</w:t>
      </w:r>
    </w:p>
    <w:p w14:paraId="3197AA21">
      <w:pPr>
        <w:numPr>
          <w:ilvl w:val="0"/>
          <w:numId w:val="6"/>
        </w:numPr>
        <w:spacing w:line="380" w:lineRule="exact"/>
        <w:ind w:left="769" w:leftChars="266" w:hanging="210" w:hangingChars="100"/>
        <w:jc w:val="left"/>
        <w:rPr>
          <w:rFonts w:ascii="宋体" w:hAnsi="宋体" w:cs="宋体"/>
          <w:color w:val="auto"/>
          <w:szCs w:val="21"/>
          <w:highlight w:val="none"/>
        </w:rPr>
      </w:pPr>
      <w:r>
        <w:rPr>
          <w:rFonts w:hint="eastAsia" w:ascii="宋体" w:hAnsi="宋体" w:cs="宋体"/>
          <w:color w:val="auto"/>
          <w:szCs w:val="21"/>
          <w:highlight w:val="none"/>
        </w:rPr>
        <w:t>甲、乙双方可对本合同内容以书面形式予以增加、细化作为补充条款，但不得违反有关法规及政策规定，不得违反公平原则。</w:t>
      </w:r>
    </w:p>
    <w:p w14:paraId="367D5B1C">
      <w:pPr>
        <w:numPr>
          <w:ilvl w:val="0"/>
          <w:numId w:val="6"/>
        </w:numPr>
        <w:spacing w:line="380" w:lineRule="exact"/>
        <w:ind w:left="769" w:leftChars="266" w:hanging="210" w:hangingChars="100"/>
        <w:jc w:val="left"/>
        <w:rPr>
          <w:rFonts w:ascii="宋体" w:hAnsi="宋体" w:cs="宋体"/>
          <w:color w:val="auto"/>
          <w:szCs w:val="21"/>
          <w:highlight w:val="none"/>
        </w:rPr>
      </w:pPr>
      <w:r>
        <w:rPr>
          <w:rFonts w:hint="eastAsia" w:ascii="宋体" w:hAnsi="宋体" w:cs="宋体"/>
          <w:color w:val="auto"/>
          <w:szCs w:val="21"/>
          <w:highlight w:val="none"/>
        </w:rPr>
        <w:t>本协议有效期为</w:t>
      </w:r>
      <w:r>
        <w:rPr>
          <w:rFonts w:ascii="宋体" w:hAnsi="宋体" w:cs="宋体"/>
          <w:color w:val="auto"/>
          <w:szCs w:val="21"/>
          <w:highlight w:val="none"/>
          <w:u w:val="single"/>
        </w:rPr>
        <w:t>1</w:t>
      </w:r>
      <w:r>
        <w:rPr>
          <w:rFonts w:hint="eastAsia" w:ascii="宋体" w:hAnsi="宋体" w:cs="宋体"/>
          <w:color w:val="auto"/>
          <w:szCs w:val="21"/>
          <w:highlight w:val="none"/>
        </w:rPr>
        <w:t>年，自</w:t>
      </w:r>
      <w:r>
        <w:rPr>
          <w:rFonts w:ascii="宋体" w:hAnsi="宋体" w:cs="宋体"/>
          <w:color w:val="auto"/>
          <w:szCs w:val="21"/>
          <w:highlight w:val="none"/>
          <w:u w:val="single"/>
        </w:rPr>
        <w:t>2025</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日起至年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日止，甲乙双方在本合同有效期内均需履行相关责任和义务。期满后如甲方仍有意租用乙方车辆，双方可另行协商重新签订协议。</w:t>
      </w:r>
      <w:r>
        <w:rPr>
          <w:rFonts w:ascii="宋体" w:hAnsi="宋体" w:cs="宋体"/>
          <w:color w:val="auto"/>
          <w:szCs w:val="21"/>
          <w:highlight w:val="none"/>
        </w:rPr>
        <w:br w:type="textWrapping"/>
      </w:r>
      <w:r>
        <w:rPr>
          <w:rFonts w:hint="eastAsia" w:ascii="宋体" w:hAnsi="宋体" w:cs="宋体"/>
          <w:color w:val="auto"/>
          <w:szCs w:val="21"/>
          <w:highlight w:val="none"/>
        </w:rPr>
        <w:t>在上述合同期限内，如国家、自治区政府及相关职能部门出台相关公车租赁办法，甲方有权单方面终止</w:t>
      </w:r>
      <w:r>
        <w:rPr>
          <w:rFonts w:ascii="宋体" w:hAnsi="宋体" w:cs="宋体"/>
          <w:color w:val="auto"/>
          <w:szCs w:val="21"/>
          <w:highlight w:val="none"/>
        </w:rPr>
        <w:t>(解除)本合同，且不构成违约。</w:t>
      </w:r>
      <w:r>
        <w:rPr>
          <w:rFonts w:ascii="宋体" w:hAnsi="宋体" w:cs="宋体"/>
          <w:color w:val="auto"/>
          <w:szCs w:val="21"/>
          <w:highlight w:val="none"/>
        </w:rPr>
        <w:br w:type="textWrapping"/>
      </w:r>
      <w:r>
        <w:rPr>
          <w:rFonts w:hint="eastAsia" w:ascii="宋体" w:hAnsi="宋体" w:cs="宋体"/>
          <w:color w:val="auto"/>
          <w:szCs w:val="21"/>
          <w:highlight w:val="none"/>
        </w:rPr>
        <w:t>（四）本合同项下发生的争议，双方应协商解决；协商未果的，向甲方所在地有管辖权的人民法院提起诉讼。</w:t>
      </w:r>
      <w:r>
        <w:rPr>
          <w:rFonts w:ascii="宋体" w:hAnsi="宋体" w:cs="宋体"/>
          <w:color w:val="auto"/>
          <w:szCs w:val="21"/>
          <w:highlight w:val="none"/>
        </w:rPr>
        <w:br w:type="textWrapping"/>
      </w:r>
      <w:r>
        <w:rPr>
          <w:rFonts w:hint="eastAsia" w:ascii="宋体" w:hAnsi="宋体" w:cs="宋体"/>
          <w:color w:val="auto"/>
          <w:szCs w:val="21"/>
          <w:highlight w:val="none"/>
        </w:rPr>
        <w:t>（五）甲乙双方以下材料作为本合同附件</w:t>
      </w:r>
      <w:r>
        <w:rPr>
          <w:rFonts w:ascii="宋体" w:hAnsi="宋体" w:cs="宋体"/>
          <w:color w:val="auto"/>
          <w:szCs w:val="21"/>
          <w:highlight w:val="none"/>
        </w:rPr>
        <w:br w:type="textWrapping"/>
      </w:r>
      <w:r>
        <w:rPr>
          <w:rFonts w:ascii="宋体" w:hAnsi="宋体" w:cs="宋体"/>
          <w:color w:val="auto"/>
          <w:szCs w:val="21"/>
          <w:highlight w:val="none"/>
        </w:rPr>
        <w:t xml:space="preserve">    1.用车报价表。</w:t>
      </w:r>
      <w:r>
        <w:rPr>
          <w:rFonts w:ascii="宋体" w:hAnsi="宋体" w:cs="宋体"/>
          <w:color w:val="auto"/>
          <w:szCs w:val="21"/>
          <w:highlight w:val="none"/>
        </w:rPr>
        <w:br w:type="textWrapping"/>
      </w:r>
      <w:r>
        <w:rPr>
          <w:rFonts w:ascii="宋体" w:hAnsi="宋体" w:cs="宋体"/>
          <w:color w:val="auto"/>
          <w:szCs w:val="21"/>
          <w:highlight w:val="none"/>
        </w:rPr>
        <w:t xml:space="preserve">    2.乙方营业执照(三证合一)正本及相关资质证件复印件。</w:t>
      </w:r>
      <w:r>
        <w:rPr>
          <w:rFonts w:ascii="宋体" w:hAnsi="宋体" w:cs="宋体"/>
          <w:color w:val="auto"/>
          <w:szCs w:val="21"/>
          <w:highlight w:val="none"/>
        </w:rPr>
        <w:br w:type="textWrapping"/>
      </w:r>
      <w:r>
        <w:rPr>
          <w:rFonts w:ascii="宋体" w:hAnsi="宋体" w:cs="宋体"/>
          <w:color w:val="auto"/>
          <w:szCs w:val="21"/>
          <w:highlight w:val="none"/>
        </w:rPr>
        <w:t xml:space="preserve">    3.甲方的事业单位法人证书复印件。</w:t>
      </w:r>
    </w:p>
    <w:p w14:paraId="78E23CB7">
      <w:pPr>
        <w:numPr>
          <w:ilvl w:val="0"/>
          <w:numId w:val="7"/>
        </w:numPr>
        <w:spacing w:line="380" w:lineRule="exact"/>
        <w:ind w:left="556" w:leftChars="265"/>
        <w:jc w:val="left"/>
        <w:rPr>
          <w:rFonts w:ascii="宋体" w:hAnsi="宋体" w:cs="宋体"/>
          <w:color w:val="auto"/>
          <w:szCs w:val="21"/>
          <w:highlight w:val="none"/>
        </w:rPr>
      </w:pPr>
      <w:r>
        <w:rPr>
          <w:rFonts w:ascii="宋体" w:hAnsi="宋体" w:cs="宋体"/>
          <w:color w:val="auto"/>
          <w:szCs w:val="21"/>
          <w:highlight w:val="none"/>
        </w:rPr>
        <w:t xml:space="preserve"> 本合同经双方盖章，并经双方法定代表人（或者授权代表）签字之日起生效。</w:t>
      </w:r>
    </w:p>
    <w:p w14:paraId="3158A4CF">
      <w:pPr>
        <w:spacing w:line="380" w:lineRule="exact"/>
        <w:ind w:left="556" w:leftChars="265"/>
        <w:jc w:val="left"/>
        <w:rPr>
          <w:rFonts w:ascii="宋体" w:hAnsi="宋体" w:cs="宋体"/>
          <w:color w:val="auto"/>
          <w:szCs w:val="21"/>
          <w:highlight w:val="none"/>
        </w:rPr>
      </w:pPr>
      <w:r>
        <w:rPr>
          <w:rFonts w:hint="eastAsia" w:ascii="宋体" w:hAnsi="宋体" w:cs="宋体"/>
          <w:color w:val="auto"/>
          <w:szCs w:val="21"/>
          <w:highlight w:val="none"/>
        </w:rPr>
        <w:t>第十二条</w:t>
      </w:r>
      <w:r>
        <w:rPr>
          <w:rFonts w:ascii="宋体" w:hAnsi="宋体" w:cs="宋体"/>
          <w:color w:val="auto"/>
          <w:szCs w:val="21"/>
          <w:highlight w:val="none"/>
        </w:rPr>
        <w:t xml:space="preserve">  </w:t>
      </w:r>
      <w:r>
        <w:rPr>
          <w:rFonts w:hint="eastAsia" w:ascii="宋体" w:hAnsi="宋体" w:cs="宋体"/>
          <w:color w:val="auto"/>
          <w:szCs w:val="21"/>
          <w:highlight w:val="none"/>
        </w:rPr>
        <w:t>本合同壹式肆份，甲乙双方各执贰份，具有同等法律效力。</w:t>
      </w:r>
    </w:p>
    <w:p w14:paraId="21DC1EB1">
      <w:pPr>
        <w:spacing w:line="380" w:lineRule="exact"/>
        <w:ind w:firstLine="420" w:firstLineChars="200"/>
        <w:jc w:val="left"/>
        <w:rPr>
          <w:rFonts w:ascii="宋体" w:hAnsi="宋体" w:cs="宋体"/>
          <w:color w:val="auto"/>
          <w:szCs w:val="21"/>
          <w:highlight w:val="none"/>
          <w:lang w:eastAsia="zh-Hans"/>
        </w:rPr>
      </w:pPr>
      <w:r>
        <w:rPr>
          <w:rFonts w:hint="eastAsia" w:ascii="宋体" w:hAnsi="宋体" w:cs="宋体"/>
          <w:color w:val="auto"/>
          <w:szCs w:val="21"/>
          <w:highlight w:val="none"/>
          <w:lang w:eastAsia="zh-Hans"/>
        </w:rPr>
        <w:t>第十三条</w:t>
      </w:r>
      <w:r>
        <w:rPr>
          <w:rFonts w:ascii="宋体" w:hAnsi="宋体" w:cs="宋体"/>
          <w:color w:val="auto"/>
          <w:szCs w:val="21"/>
          <w:highlight w:val="none"/>
          <w:lang w:eastAsia="zh-Hans"/>
        </w:rPr>
        <w:t xml:space="preserve">  </w:t>
      </w:r>
      <w:r>
        <w:rPr>
          <w:rFonts w:hint="eastAsia" w:ascii="宋体" w:hAnsi="宋体" w:cs="宋体"/>
          <w:color w:val="auto"/>
          <w:szCs w:val="21"/>
          <w:highlight w:val="none"/>
          <w:lang w:eastAsia="zh-Hans"/>
        </w:rPr>
        <w:t>合同正文后载明的各方地址、电话、传真为各方确认的往来送达地址和通讯方式，凡本合同项下的有关文件文书以及相关法律、诉讼文书的送达地址均因此为准。双方在通讯及联系方式发生变更时，应及时书面通知对方，否则按合同载明的通讯方式和地址送达的文件均为有效送达。如因合同地址或通讯方式不准确，导致合同往来文件及法律文书被拒绝签收等情形，以邮寄方式送达的，文书退回之日即视为送达之日。</w:t>
      </w:r>
    </w:p>
    <w:p w14:paraId="75BEE425">
      <w:pPr>
        <w:spacing w:line="380" w:lineRule="exact"/>
        <w:jc w:val="left"/>
        <w:rPr>
          <w:rFonts w:ascii="宋体" w:hAnsi="宋体" w:cs="宋体"/>
          <w:color w:val="auto"/>
          <w:szCs w:val="21"/>
          <w:highlight w:val="none"/>
        </w:rPr>
      </w:pPr>
    </w:p>
    <w:p w14:paraId="19F1A52B">
      <w:pPr>
        <w:spacing w:line="380" w:lineRule="exact"/>
        <w:ind w:left="1399" w:leftChars="266" w:hanging="840" w:hangingChars="400"/>
        <w:jc w:val="left"/>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1.报价表（注：与各个租赁公司分别签订合同时，分别</w:t>
      </w:r>
      <w:r>
        <w:rPr>
          <w:rFonts w:hint="eastAsia" w:ascii="宋体" w:hAnsi="宋体" w:cs="宋体"/>
          <w:color w:val="auto"/>
          <w:szCs w:val="21"/>
          <w:highlight w:val="none"/>
        </w:rPr>
        <w:t>只附该公司自己的报价表——事先经甲方认可）</w:t>
      </w:r>
    </w:p>
    <w:p w14:paraId="2C65F557">
      <w:pPr>
        <w:spacing w:line="380" w:lineRule="exact"/>
        <w:ind w:left="1399" w:leftChars="266" w:hanging="840" w:hangingChars="400"/>
        <w:jc w:val="left"/>
        <w:rPr>
          <w:rFonts w:ascii="宋体" w:hAnsi="宋体" w:cs="宋体"/>
          <w:color w:val="auto"/>
          <w:szCs w:val="21"/>
          <w:highlight w:val="none"/>
        </w:rPr>
      </w:pPr>
      <w:r>
        <w:rPr>
          <w:rFonts w:ascii="宋体" w:hAnsi="宋体" w:cs="宋体"/>
          <w:color w:val="auto"/>
          <w:szCs w:val="21"/>
          <w:highlight w:val="none"/>
        </w:rPr>
        <w:t xml:space="preserve">      2.乙方营业执照(三证合一)正本复印件</w:t>
      </w:r>
    </w:p>
    <w:p w14:paraId="448F047A">
      <w:pPr>
        <w:spacing w:line="380" w:lineRule="exact"/>
        <w:ind w:left="1399" w:leftChars="266" w:hanging="840" w:hangingChars="400"/>
        <w:jc w:val="left"/>
        <w:rPr>
          <w:rFonts w:ascii="宋体" w:hAnsi="宋体" w:cs="宋体"/>
          <w:color w:val="auto"/>
          <w:szCs w:val="21"/>
          <w:highlight w:val="none"/>
        </w:rPr>
      </w:pPr>
      <w:r>
        <w:rPr>
          <w:rFonts w:ascii="宋体" w:hAnsi="宋体" w:cs="宋体"/>
          <w:color w:val="auto"/>
          <w:szCs w:val="21"/>
          <w:highlight w:val="none"/>
        </w:rPr>
        <w:t xml:space="preserve">      3.乙方的事业单位法人证书复印件</w:t>
      </w:r>
    </w:p>
    <w:p w14:paraId="03A379A6">
      <w:pPr>
        <w:spacing w:line="380" w:lineRule="exact"/>
        <w:jc w:val="left"/>
        <w:rPr>
          <w:rFonts w:ascii="宋体" w:hAnsi="宋体" w:cs="宋体"/>
          <w:color w:val="auto"/>
          <w:szCs w:val="21"/>
          <w:highlight w:val="none"/>
        </w:rPr>
      </w:pPr>
    </w:p>
    <w:p w14:paraId="0BCA78AC">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甲方（签章）广西壮族自治区自然资源</w:t>
      </w:r>
      <w:r>
        <w:rPr>
          <w:rFonts w:ascii="宋体" w:hAnsi="宋体" w:cs="宋体"/>
          <w:color w:val="auto"/>
          <w:szCs w:val="21"/>
          <w:highlight w:val="none"/>
        </w:rPr>
        <w:t xml:space="preserve">   </w:t>
      </w:r>
      <w:r>
        <w:rPr>
          <w:rFonts w:hint="eastAsia" w:ascii="宋体" w:hAnsi="宋体" w:cs="宋体"/>
          <w:color w:val="auto"/>
          <w:szCs w:val="21"/>
          <w:highlight w:val="none"/>
        </w:rPr>
        <w:t>乙方（签章）</w:t>
      </w:r>
    </w:p>
    <w:p w14:paraId="475087A5">
      <w:pPr>
        <w:spacing w:line="380" w:lineRule="exact"/>
        <w:ind w:firstLine="1260" w:firstLineChars="600"/>
        <w:jc w:val="left"/>
        <w:rPr>
          <w:rFonts w:ascii="宋体" w:hAnsi="宋体" w:cs="宋体"/>
          <w:color w:val="auto"/>
          <w:szCs w:val="21"/>
          <w:highlight w:val="none"/>
        </w:rPr>
      </w:pPr>
      <w:r>
        <w:rPr>
          <w:rFonts w:hint="eastAsia" w:ascii="宋体" w:hAnsi="宋体" w:cs="宋体"/>
          <w:color w:val="auto"/>
          <w:szCs w:val="21"/>
          <w:highlight w:val="none"/>
        </w:rPr>
        <w:t>生态修复中心</w:t>
      </w:r>
      <w:r>
        <w:rPr>
          <w:rFonts w:ascii="宋体" w:hAnsi="宋体" w:cs="宋体"/>
          <w:color w:val="auto"/>
          <w:szCs w:val="21"/>
          <w:highlight w:val="none"/>
        </w:rPr>
        <w:t xml:space="preserve">                        </w:t>
      </w:r>
    </w:p>
    <w:p w14:paraId="0263022A">
      <w:pPr>
        <w:spacing w:line="380" w:lineRule="exact"/>
        <w:jc w:val="left"/>
        <w:rPr>
          <w:rFonts w:ascii="宋体" w:hAnsi="宋体" w:cs="宋体"/>
          <w:color w:val="auto"/>
          <w:szCs w:val="21"/>
          <w:highlight w:val="none"/>
        </w:rPr>
      </w:pPr>
      <w:r>
        <w:rPr>
          <w:rFonts w:ascii="宋体" w:hAnsi="宋体" w:cs="宋体"/>
          <w:color w:val="auto"/>
          <w:szCs w:val="21"/>
          <w:highlight w:val="none"/>
        </w:rPr>
        <w:t xml:space="preserve"> </w:t>
      </w:r>
    </w:p>
    <w:p w14:paraId="22D7C1B1">
      <w:pPr>
        <w:spacing w:line="380" w:lineRule="exact"/>
        <w:jc w:val="left"/>
        <w:rPr>
          <w:rFonts w:ascii="宋体" w:hAnsi="宋体" w:cs="宋体"/>
          <w:color w:val="auto"/>
          <w:szCs w:val="21"/>
          <w:highlight w:val="none"/>
        </w:rPr>
      </w:pPr>
      <w:r>
        <w:rPr>
          <w:rFonts w:ascii="宋体" w:hAnsi="宋体" w:cs="宋体"/>
          <w:color w:val="auto"/>
          <w:szCs w:val="21"/>
          <w:highlight w:val="none"/>
        </w:rPr>
        <w:t xml:space="preserve">                                                 </w:t>
      </w:r>
    </w:p>
    <w:p w14:paraId="51B3E98A">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法定代表人（或者授权代表）</w:t>
      </w:r>
      <w:r>
        <w:rPr>
          <w:rFonts w:ascii="宋体" w:hAnsi="宋体" w:cs="宋体"/>
          <w:color w:val="auto"/>
          <w:szCs w:val="21"/>
          <w:highlight w:val="none"/>
        </w:rPr>
        <w:t xml:space="preserve">       </w:t>
      </w:r>
      <w:r>
        <w:rPr>
          <w:rFonts w:hint="eastAsia" w:ascii="宋体" w:hAnsi="宋体" w:cs="宋体"/>
          <w:color w:val="auto"/>
          <w:szCs w:val="21"/>
          <w:highlight w:val="none"/>
        </w:rPr>
        <w:t>法定代表人（或者授权代表）</w:t>
      </w:r>
    </w:p>
    <w:p w14:paraId="642C8315">
      <w:pPr>
        <w:spacing w:line="380" w:lineRule="exact"/>
        <w:jc w:val="left"/>
        <w:rPr>
          <w:rFonts w:ascii="宋体" w:hAnsi="宋体" w:cs="宋体"/>
          <w:color w:val="auto"/>
          <w:szCs w:val="21"/>
          <w:highlight w:val="none"/>
        </w:rPr>
      </w:pPr>
    </w:p>
    <w:p w14:paraId="6A9614E3">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甲方联系人及电话：</w:t>
      </w:r>
      <w:r>
        <w:rPr>
          <w:rFonts w:ascii="宋体" w:hAnsi="宋体" w:cs="宋体"/>
          <w:color w:val="auto"/>
          <w:szCs w:val="21"/>
          <w:highlight w:val="none"/>
        </w:rPr>
        <w:t xml:space="preserve">              </w:t>
      </w:r>
      <w:r>
        <w:rPr>
          <w:rFonts w:hint="eastAsia" w:ascii="宋体" w:hAnsi="宋体" w:cs="宋体"/>
          <w:color w:val="auto"/>
          <w:szCs w:val="21"/>
          <w:highlight w:val="none"/>
        </w:rPr>
        <w:t>乙方联系人及电话：</w:t>
      </w:r>
    </w:p>
    <w:p w14:paraId="134D0176">
      <w:pPr>
        <w:spacing w:line="380" w:lineRule="exact"/>
        <w:ind w:firstLine="3360" w:firstLineChars="1600"/>
        <w:jc w:val="left"/>
        <w:rPr>
          <w:rFonts w:ascii="宋体" w:hAnsi="宋体" w:cs="宋体"/>
          <w:color w:val="auto"/>
          <w:szCs w:val="21"/>
          <w:highlight w:val="none"/>
        </w:rPr>
      </w:pPr>
    </w:p>
    <w:p w14:paraId="224EF7A2">
      <w:pPr>
        <w:spacing w:line="380" w:lineRule="exact"/>
        <w:ind w:firstLine="3360" w:firstLineChars="1600"/>
        <w:jc w:val="left"/>
        <w:rPr>
          <w:rFonts w:ascii="宋体" w:hAns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rPr>
        <w:t xml:space="preserve"> </w:t>
      </w:r>
    </w:p>
    <w:p w14:paraId="019FD8BE">
      <w:pPr>
        <w:spacing w:line="380" w:lineRule="exact"/>
        <w:ind w:left="4481" w:leftChars="2134" w:firstLine="840" w:firstLineChars="400"/>
        <w:jc w:val="left"/>
        <w:rPr>
          <w:rFonts w:ascii="宋体" w:hAnsi="宋体" w:cs="宋体"/>
          <w:color w:val="auto"/>
          <w:szCs w:val="21"/>
          <w:highlight w:val="none"/>
        </w:rPr>
      </w:pPr>
    </w:p>
    <w:p w14:paraId="4EFBA047">
      <w:pPr>
        <w:spacing w:line="380" w:lineRule="exact"/>
        <w:jc w:val="left"/>
        <w:rPr>
          <w:rFonts w:ascii="宋体" w:hAnsi="宋体" w:cs="宋体"/>
          <w:color w:val="auto"/>
          <w:szCs w:val="21"/>
          <w:highlight w:val="none"/>
        </w:rPr>
      </w:pPr>
      <w:r>
        <w:rPr>
          <w:rFonts w:ascii="宋体" w:hAnsi="宋体" w:cs="宋体"/>
          <w:color w:val="auto"/>
          <w:szCs w:val="21"/>
          <w:highlight w:val="none"/>
        </w:rPr>
        <w:t xml:space="preserve">                         签订日期： 年   月   日   </w:t>
      </w:r>
    </w:p>
    <w:p w14:paraId="22CF9CDD">
      <w:pPr>
        <w:spacing w:line="380" w:lineRule="exact"/>
        <w:rPr>
          <w:rFonts w:ascii="宋体" w:hAnsi="宋体" w:cs="宋体"/>
          <w:color w:val="auto"/>
          <w:szCs w:val="21"/>
          <w:highlight w:val="none"/>
        </w:rPr>
      </w:pPr>
    </w:p>
    <w:p w14:paraId="586255B5">
      <w:pPr>
        <w:spacing w:line="380" w:lineRule="exact"/>
        <w:rPr>
          <w:rFonts w:ascii="宋体" w:hAnsi="宋体" w:cs="宋体"/>
          <w:color w:val="auto"/>
          <w:szCs w:val="21"/>
          <w:highlight w:val="none"/>
        </w:rPr>
      </w:pPr>
    </w:p>
    <w:p w14:paraId="0263470F">
      <w:pPr>
        <w:spacing w:line="380" w:lineRule="exact"/>
        <w:rPr>
          <w:rFonts w:ascii="宋体" w:hAnsi="宋体" w:cs="宋体"/>
          <w:color w:val="auto"/>
          <w:szCs w:val="21"/>
          <w:highlight w:val="none"/>
        </w:rPr>
      </w:pPr>
    </w:p>
    <w:p w14:paraId="382124B7">
      <w:pPr>
        <w:spacing w:line="380" w:lineRule="exact"/>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1：价格表</w:t>
      </w:r>
    </w:p>
    <w:tbl>
      <w:tblPr>
        <w:tblStyle w:val="37"/>
        <w:tblpPr w:leftFromText="180" w:rightFromText="180" w:vertAnchor="text" w:horzAnchor="margin" w:tblpX="-209" w:tblpY="48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65"/>
        <w:gridCol w:w="6521"/>
        <w:gridCol w:w="992"/>
      </w:tblGrid>
      <w:tr w14:paraId="0FB3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0A9CA9FC">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65" w:type="dxa"/>
            <w:tcBorders>
              <w:top w:val="single" w:color="auto" w:sz="4" w:space="0"/>
              <w:left w:val="single" w:color="auto" w:sz="4" w:space="0"/>
              <w:bottom w:val="single" w:color="auto" w:sz="4" w:space="0"/>
              <w:right w:val="single" w:color="auto" w:sz="4" w:space="0"/>
            </w:tcBorders>
            <w:noWrap/>
            <w:vAlign w:val="center"/>
          </w:tcPr>
          <w:p w14:paraId="65ED2C7C">
            <w:pPr>
              <w:spacing w:line="380" w:lineRule="exact"/>
              <w:ind w:firstLine="103" w:firstLineChars="49"/>
              <w:rPr>
                <w:rFonts w:ascii="宋体" w:hAnsi="宋体" w:cs="宋体"/>
                <w:b/>
                <w:bCs/>
                <w:color w:val="auto"/>
                <w:szCs w:val="21"/>
                <w:highlight w:val="none"/>
              </w:rPr>
            </w:pPr>
            <w:r>
              <w:rPr>
                <w:rFonts w:hint="eastAsia" w:ascii="宋体" w:hAnsi="宋体" w:cs="宋体"/>
                <w:b/>
                <w:bCs/>
                <w:color w:val="auto"/>
                <w:szCs w:val="21"/>
                <w:highlight w:val="none"/>
              </w:rPr>
              <w:t>服务名称</w:t>
            </w:r>
          </w:p>
        </w:tc>
        <w:tc>
          <w:tcPr>
            <w:tcW w:w="6521" w:type="dxa"/>
            <w:tcBorders>
              <w:top w:val="single" w:color="auto" w:sz="4" w:space="0"/>
              <w:left w:val="single" w:color="auto" w:sz="4" w:space="0"/>
              <w:bottom w:val="single" w:color="auto" w:sz="4" w:space="0"/>
              <w:right w:val="single" w:color="auto" w:sz="4" w:space="0"/>
            </w:tcBorders>
            <w:noWrap/>
            <w:vAlign w:val="center"/>
          </w:tcPr>
          <w:p w14:paraId="3259DC79">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具体服务内容（上控价格）</w:t>
            </w:r>
          </w:p>
        </w:tc>
        <w:tc>
          <w:tcPr>
            <w:tcW w:w="992" w:type="dxa"/>
            <w:tcBorders>
              <w:top w:val="single" w:color="auto" w:sz="4" w:space="0"/>
              <w:left w:val="single" w:color="auto" w:sz="4" w:space="0"/>
              <w:bottom w:val="single" w:color="auto" w:sz="4" w:space="0"/>
              <w:right w:val="single" w:color="auto" w:sz="4" w:space="0"/>
            </w:tcBorders>
            <w:noWrap/>
            <w:vAlign w:val="center"/>
          </w:tcPr>
          <w:p w14:paraId="40279677">
            <w:pPr>
              <w:spacing w:line="380" w:lineRule="exact"/>
              <w:ind w:firstLine="103" w:firstLineChars="49"/>
              <w:rPr>
                <w:rFonts w:ascii="宋体" w:hAnsi="宋体" w:cs="宋体"/>
                <w:b/>
                <w:bCs/>
                <w:color w:val="auto"/>
                <w:szCs w:val="21"/>
                <w:highlight w:val="none"/>
              </w:rPr>
            </w:pPr>
            <w:r>
              <w:rPr>
                <w:rFonts w:hint="eastAsia" w:ascii="宋体" w:hAnsi="宋体" w:cs="宋体"/>
                <w:b/>
                <w:bCs/>
                <w:color w:val="auto"/>
                <w:szCs w:val="21"/>
                <w:highlight w:val="none"/>
              </w:rPr>
              <w:t>数量</w:t>
            </w:r>
          </w:p>
        </w:tc>
      </w:tr>
      <w:tr w14:paraId="0353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820" w:type="dxa"/>
            <w:tcBorders>
              <w:top w:val="single" w:color="auto" w:sz="4" w:space="0"/>
              <w:left w:val="single" w:color="auto" w:sz="4" w:space="0"/>
              <w:right w:val="single" w:color="auto" w:sz="4" w:space="0"/>
            </w:tcBorders>
            <w:noWrap/>
            <w:vAlign w:val="center"/>
          </w:tcPr>
          <w:p w14:paraId="1438F346">
            <w:pPr>
              <w:spacing w:line="380" w:lineRule="exact"/>
              <w:rPr>
                <w:rFonts w:ascii="宋体" w:hAnsi="宋体" w:cs="宋体"/>
                <w:color w:val="auto"/>
                <w:szCs w:val="21"/>
                <w:highlight w:val="none"/>
              </w:rPr>
            </w:pPr>
            <w:r>
              <w:rPr>
                <w:rFonts w:ascii="宋体" w:hAnsi="宋体" w:cs="宋体"/>
                <w:color w:val="auto"/>
                <w:szCs w:val="21"/>
                <w:highlight w:val="none"/>
              </w:rPr>
              <w:t>1</w:t>
            </w:r>
          </w:p>
        </w:tc>
        <w:tc>
          <w:tcPr>
            <w:tcW w:w="1765" w:type="dxa"/>
            <w:vMerge w:val="restart"/>
            <w:tcBorders>
              <w:top w:val="single" w:color="auto" w:sz="4" w:space="0"/>
              <w:left w:val="single" w:color="auto" w:sz="4" w:space="0"/>
              <w:right w:val="single" w:color="auto" w:sz="4" w:space="0"/>
            </w:tcBorders>
            <w:noWrap/>
            <w:vAlign w:val="center"/>
          </w:tcPr>
          <w:p w14:paraId="0879E3E3">
            <w:pPr>
              <w:spacing w:line="380" w:lineRule="exact"/>
              <w:rPr>
                <w:rFonts w:ascii="宋体" w:hAnsi="宋体" w:cs="宋体"/>
                <w:bCs/>
                <w:color w:val="auto"/>
                <w:szCs w:val="21"/>
                <w:highlight w:val="none"/>
              </w:rPr>
            </w:pPr>
            <w:r>
              <w:rPr>
                <w:rFonts w:hint="eastAsia" w:ascii="宋体" w:hAnsi="宋体" w:cs="宋体"/>
                <w:bCs/>
                <w:color w:val="auto"/>
                <w:szCs w:val="21"/>
                <w:highlight w:val="none"/>
              </w:rPr>
              <w:t>广西壮族自治区自然资源生态修复中心采购汽车租赁服务项目</w:t>
            </w:r>
          </w:p>
        </w:tc>
        <w:tc>
          <w:tcPr>
            <w:tcW w:w="6521" w:type="dxa"/>
            <w:tcBorders>
              <w:top w:val="single" w:color="auto" w:sz="4" w:space="0"/>
              <w:left w:val="single" w:color="auto" w:sz="4" w:space="0"/>
              <w:bottom w:val="single" w:color="auto" w:sz="4" w:space="0"/>
              <w:right w:val="single" w:color="auto" w:sz="4" w:space="0"/>
            </w:tcBorders>
            <w:noWrap/>
            <w:vAlign w:val="center"/>
          </w:tcPr>
          <w:p w14:paraId="0B08E62A">
            <w:pPr>
              <w:spacing w:line="380" w:lineRule="exact"/>
              <w:rPr>
                <w:rFonts w:ascii="宋体" w:hAnsi="宋体" w:cs="宋体"/>
                <w:bCs/>
                <w:color w:val="auto"/>
                <w:szCs w:val="21"/>
                <w:highlight w:val="none"/>
              </w:rPr>
            </w:pPr>
            <w:r>
              <w:rPr>
                <w:rFonts w:hint="eastAsia" w:ascii="宋体" w:hAnsi="宋体" w:cs="宋体"/>
                <w:bCs/>
                <w:color w:val="auto"/>
                <w:szCs w:val="21"/>
                <w:highlight w:val="none"/>
              </w:rPr>
              <w:t>（一）燃油轿车：</w:t>
            </w:r>
          </w:p>
          <w:p w14:paraId="1E99BE19">
            <w:pPr>
              <w:spacing w:line="380" w:lineRule="exact"/>
              <w:rPr>
                <w:rFonts w:ascii="宋体" w:hAnsi="宋体" w:cs="宋体"/>
                <w:bCs/>
                <w:color w:val="auto"/>
                <w:szCs w:val="21"/>
                <w:highlight w:val="none"/>
              </w:rPr>
            </w:pPr>
            <w:r>
              <w:rPr>
                <w:rFonts w:ascii="宋体" w:hAnsi="宋体" w:cs="宋体"/>
                <w:bCs/>
                <w:color w:val="auto"/>
                <w:szCs w:val="21"/>
                <w:highlight w:val="none"/>
              </w:rPr>
              <w:t>1.A1车型[10万-15万（含）]:550</w:t>
            </w:r>
            <w:r>
              <w:rPr>
                <w:rFonts w:hint="eastAsia" w:ascii="宋体" w:hAnsi="宋体" w:cs="宋体"/>
                <w:bCs/>
                <w:color w:val="auto"/>
                <w:szCs w:val="21"/>
                <w:highlight w:val="none"/>
              </w:rPr>
              <w:t>元</w:t>
            </w:r>
            <w:r>
              <w:rPr>
                <w:rFonts w:ascii="宋体" w:hAnsi="宋体" w:cs="宋体"/>
                <w:bCs/>
                <w:color w:val="auto"/>
                <w:szCs w:val="21"/>
                <w:highlight w:val="none"/>
              </w:rPr>
              <w:t>/天</w:t>
            </w:r>
          </w:p>
          <w:p w14:paraId="55CB1061">
            <w:pPr>
              <w:spacing w:line="380" w:lineRule="exact"/>
              <w:rPr>
                <w:rFonts w:ascii="宋体" w:hAnsi="宋体" w:cs="宋体"/>
                <w:bCs/>
                <w:color w:val="auto"/>
                <w:szCs w:val="21"/>
                <w:highlight w:val="none"/>
              </w:rPr>
            </w:pPr>
            <w:r>
              <w:rPr>
                <w:rFonts w:ascii="宋体" w:hAnsi="宋体" w:cs="宋体"/>
                <w:bCs/>
                <w:color w:val="auto"/>
                <w:szCs w:val="21"/>
                <w:highlight w:val="none"/>
              </w:rPr>
              <w:t>2.A2车型[15万-18万（含）]:650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restart"/>
            <w:tcBorders>
              <w:top w:val="single" w:color="auto" w:sz="4" w:space="0"/>
              <w:left w:val="single" w:color="auto" w:sz="4" w:space="0"/>
              <w:right w:val="single" w:color="auto" w:sz="4" w:space="0"/>
            </w:tcBorders>
            <w:noWrap/>
            <w:vAlign w:val="center"/>
          </w:tcPr>
          <w:p w14:paraId="25FF3507">
            <w:pPr>
              <w:spacing w:line="380" w:lineRule="exact"/>
              <w:ind w:firstLine="210" w:firstLineChars="100"/>
              <w:rPr>
                <w:rFonts w:ascii="宋体" w:hAnsi="宋体" w:cs="宋体"/>
                <w:bCs/>
                <w:color w:val="auto"/>
                <w:szCs w:val="21"/>
                <w:highlight w:val="none"/>
              </w:rPr>
            </w:pPr>
            <w:r>
              <w:rPr>
                <w:rFonts w:ascii="宋体" w:hAnsi="宋体" w:cs="宋体"/>
                <w:bCs/>
                <w:color w:val="auto"/>
                <w:szCs w:val="21"/>
                <w:highlight w:val="none"/>
              </w:rPr>
              <w:t>1项</w:t>
            </w:r>
          </w:p>
        </w:tc>
      </w:tr>
      <w:tr w14:paraId="2E01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20" w:type="dxa"/>
            <w:tcBorders>
              <w:left w:val="single" w:color="auto" w:sz="4" w:space="0"/>
              <w:right w:val="single" w:color="auto" w:sz="4" w:space="0"/>
            </w:tcBorders>
            <w:noWrap/>
            <w:vAlign w:val="center"/>
          </w:tcPr>
          <w:p w14:paraId="4F3EE308">
            <w:pPr>
              <w:spacing w:line="380" w:lineRule="exact"/>
              <w:rPr>
                <w:rFonts w:ascii="宋体" w:hAnsi="宋体" w:cs="宋体"/>
                <w:color w:val="auto"/>
                <w:szCs w:val="21"/>
                <w:highlight w:val="none"/>
              </w:rPr>
            </w:pPr>
            <w:r>
              <w:rPr>
                <w:rFonts w:ascii="宋体" w:hAnsi="宋体" w:cs="宋体"/>
                <w:color w:val="auto"/>
                <w:szCs w:val="21"/>
                <w:highlight w:val="none"/>
              </w:rPr>
              <w:t>2</w:t>
            </w:r>
          </w:p>
        </w:tc>
        <w:tc>
          <w:tcPr>
            <w:tcW w:w="1765" w:type="dxa"/>
            <w:vMerge w:val="continue"/>
            <w:tcBorders>
              <w:left w:val="single" w:color="auto" w:sz="4" w:space="0"/>
              <w:right w:val="single" w:color="auto" w:sz="4" w:space="0"/>
            </w:tcBorders>
            <w:noWrap/>
            <w:vAlign w:val="center"/>
          </w:tcPr>
          <w:p w14:paraId="2096A769">
            <w:pPr>
              <w:spacing w:line="380" w:lineRule="exact"/>
              <w:rPr>
                <w:rFonts w:ascii="宋体" w:hAnsi="宋体" w:cs="宋体"/>
                <w:bCs/>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79EC6510">
            <w:pPr>
              <w:spacing w:line="380" w:lineRule="exact"/>
              <w:rPr>
                <w:rFonts w:ascii="宋体" w:hAnsi="宋体" w:cs="宋体"/>
                <w:bCs/>
                <w:color w:val="auto"/>
                <w:szCs w:val="21"/>
                <w:highlight w:val="none"/>
              </w:rPr>
            </w:pPr>
            <w:r>
              <w:rPr>
                <w:rFonts w:hint="eastAsia" w:ascii="宋体" w:hAnsi="宋体" w:cs="宋体"/>
                <w:bCs/>
                <w:color w:val="auto"/>
                <w:szCs w:val="21"/>
                <w:highlight w:val="none"/>
              </w:rPr>
              <w:t>（二）燃油越野车：</w:t>
            </w:r>
          </w:p>
          <w:p w14:paraId="23ADDDDB">
            <w:pPr>
              <w:spacing w:line="380" w:lineRule="exact"/>
              <w:rPr>
                <w:rFonts w:ascii="宋体" w:hAnsi="宋体" w:cs="宋体"/>
                <w:bCs/>
                <w:color w:val="auto"/>
                <w:szCs w:val="21"/>
                <w:highlight w:val="none"/>
              </w:rPr>
            </w:pPr>
            <w:r>
              <w:rPr>
                <w:rFonts w:ascii="宋体" w:hAnsi="宋体" w:cs="宋体"/>
                <w:bCs/>
                <w:color w:val="auto"/>
                <w:szCs w:val="21"/>
                <w:highlight w:val="none"/>
              </w:rPr>
              <w:t>1.B1车型[12万-18万（含）]：650</w:t>
            </w:r>
            <w:r>
              <w:rPr>
                <w:rFonts w:hint="eastAsia" w:ascii="宋体" w:hAnsi="宋体" w:cs="宋体"/>
                <w:bCs/>
                <w:color w:val="auto"/>
                <w:szCs w:val="21"/>
                <w:highlight w:val="none"/>
              </w:rPr>
              <w:t>元</w:t>
            </w:r>
            <w:r>
              <w:rPr>
                <w:rFonts w:ascii="宋体" w:hAnsi="宋体" w:cs="宋体"/>
                <w:bCs/>
                <w:color w:val="auto"/>
                <w:szCs w:val="21"/>
                <w:highlight w:val="none"/>
              </w:rPr>
              <w:t>/天</w:t>
            </w:r>
          </w:p>
          <w:p w14:paraId="0B8909D1">
            <w:pPr>
              <w:spacing w:line="380" w:lineRule="exact"/>
              <w:rPr>
                <w:rFonts w:ascii="宋体" w:hAnsi="宋体" w:cs="宋体"/>
                <w:bCs/>
                <w:color w:val="auto"/>
                <w:szCs w:val="21"/>
                <w:highlight w:val="none"/>
              </w:rPr>
            </w:pPr>
            <w:r>
              <w:rPr>
                <w:rFonts w:ascii="宋体" w:hAnsi="宋体" w:cs="宋体"/>
                <w:bCs/>
                <w:color w:val="auto"/>
                <w:szCs w:val="21"/>
                <w:highlight w:val="none"/>
              </w:rPr>
              <w:t>2.B2车型[18万-25万（含）]：750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continue"/>
            <w:tcBorders>
              <w:left w:val="single" w:color="auto" w:sz="4" w:space="0"/>
              <w:right w:val="single" w:color="auto" w:sz="4" w:space="0"/>
            </w:tcBorders>
            <w:noWrap/>
            <w:vAlign w:val="center"/>
          </w:tcPr>
          <w:p w14:paraId="1030AF2C">
            <w:pPr>
              <w:spacing w:line="380" w:lineRule="exact"/>
              <w:ind w:firstLine="210" w:firstLineChars="100"/>
              <w:rPr>
                <w:rFonts w:ascii="宋体" w:hAnsi="宋体" w:cs="宋体"/>
                <w:bCs/>
                <w:color w:val="auto"/>
                <w:szCs w:val="21"/>
                <w:highlight w:val="none"/>
              </w:rPr>
            </w:pPr>
          </w:p>
        </w:tc>
      </w:tr>
      <w:tr w14:paraId="3129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820" w:type="dxa"/>
            <w:tcBorders>
              <w:left w:val="single" w:color="auto" w:sz="4" w:space="0"/>
              <w:right w:val="single" w:color="auto" w:sz="4" w:space="0"/>
            </w:tcBorders>
            <w:noWrap/>
            <w:vAlign w:val="center"/>
          </w:tcPr>
          <w:p w14:paraId="62A16E48">
            <w:pPr>
              <w:spacing w:line="380" w:lineRule="exact"/>
              <w:rPr>
                <w:rFonts w:ascii="宋体" w:hAnsi="宋体" w:cs="宋体"/>
                <w:color w:val="auto"/>
                <w:szCs w:val="21"/>
                <w:highlight w:val="none"/>
              </w:rPr>
            </w:pPr>
            <w:r>
              <w:rPr>
                <w:rFonts w:ascii="宋体" w:hAnsi="宋体" w:cs="宋体"/>
                <w:color w:val="auto"/>
                <w:szCs w:val="21"/>
                <w:highlight w:val="none"/>
              </w:rPr>
              <w:t>3</w:t>
            </w:r>
          </w:p>
        </w:tc>
        <w:tc>
          <w:tcPr>
            <w:tcW w:w="1765" w:type="dxa"/>
            <w:vMerge w:val="continue"/>
            <w:tcBorders>
              <w:left w:val="single" w:color="auto" w:sz="4" w:space="0"/>
              <w:right w:val="single" w:color="auto" w:sz="4" w:space="0"/>
            </w:tcBorders>
            <w:noWrap/>
            <w:vAlign w:val="center"/>
          </w:tcPr>
          <w:p w14:paraId="64EEF5FD">
            <w:pPr>
              <w:spacing w:line="380" w:lineRule="exact"/>
              <w:rPr>
                <w:rFonts w:ascii="宋体" w:hAnsi="宋体" w:cs="宋体"/>
                <w:bCs/>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2C4BE0FE">
            <w:pPr>
              <w:spacing w:line="380" w:lineRule="exact"/>
              <w:rPr>
                <w:rFonts w:ascii="宋体" w:hAnsi="宋体" w:cs="宋体"/>
                <w:bCs/>
                <w:color w:val="auto"/>
                <w:szCs w:val="21"/>
                <w:highlight w:val="none"/>
              </w:rPr>
            </w:pPr>
            <w:r>
              <w:rPr>
                <w:rFonts w:hint="eastAsia" w:ascii="宋体" w:hAnsi="宋体" w:cs="宋体"/>
                <w:bCs/>
                <w:color w:val="auto"/>
                <w:szCs w:val="21"/>
                <w:highlight w:val="none"/>
              </w:rPr>
              <w:t>（三）燃油商务车：</w:t>
            </w:r>
          </w:p>
          <w:p w14:paraId="0E64FBAE">
            <w:pPr>
              <w:spacing w:line="380" w:lineRule="exact"/>
              <w:rPr>
                <w:rFonts w:ascii="宋体" w:hAnsi="宋体" w:cs="宋体"/>
                <w:bCs/>
                <w:color w:val="auto"/>
                <w:szCs w:val="21"/>
                <w:highlight w:val="none"/>
              </w:rPr>
            </w:pPr>
            <w:r>
              <w:rPr>
                <w:rFonts w:ascii="宋体" w:hAnsi="宋体" w:cs="宋体"/>
                <w:bCs/>
                <w:color w:val="auto"/>
                <w:szCs w:val="21"/>
                <w:highlight w:val="none"/>
              </w:rPr>
              <w:t>1.C1车型[12万-18万（含）]：750</w:t>
            </w:r>
            <w:r>
              <w:rPr>
                <w:rFonts w:hint="eastAsia" w:ascii="宋体" w:hAnsi="宋体" w:cs="宋体"/>
                <w:bCs/>
                <w:color w:val="auto"/>
                <w:szCs w:val="21"/>
                <w:highlight w:val="none"/>
              </w:rPr>
              <w:t>元</w:t>
            </w:r>
            <w:r>
              <w:rPr>
                <w:rFonts w:ascii="宋体" w:hAnsi="宋体" w:cs="宋体"/>
                <w:bCs/>
                <w:color w:val="auto"/>
                <w:szCs w:val="21"/>
                <w:highlight w:val="none"/>
              </w:rPr>
              <w:t>/天</w:t>
            </w:r>
          </w:p>
          <w:p w14:paraId="6141D693">
            <w:pPr>
              <w:spacing w:line="380" w:lineRule="exact"/>
              <w:rPr>
                <w:rFonts w:ascii="宋体" w:hAnsi="宋体" w:cs="宋体"/>
                <w:bCs/>
                <w:color w:val="auto"/>
                <w:szCs w:val="21"/>
                <w:highlight w:val="none"/>
              </w:rPr>
            </w:pPr>
            <w:r>
              <w:rPr>
                <w:rFonts w:ascii="宋体" w:hAnsi="宋体" w:cs="宋体"/>
                <w:bCs/>
                <w:color w:val="auto"/>
                <w:szCs w:val="21"/>
                <w:highlight w:val="none"/>
              </w:rPr>
              <w:t>2.C2车型[18万-25万（含）]：850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continue"/>
            <w:tcBorders>
              <w:left w:val="single" w:color="auto" w:sz="4" w:space="0"/>
              <w:right w:val="single" w:color="auto" w:sz="4" w:space="0"/>
            </w:tcBorders>
            <w:noWrap/>
            <w:vAlign w:val="center"/>
          </w:tcPr>
          <w:p w14:paraId="4492D699">
            <w:pPr>
              <w:spacing w:line="380" w:lineRule="exact"/>
              <w:ind w:firstLine="210" w:firstLineChars="100"/>
              <w:rPr>
                <w:rFonts w:ascii="宋体" w:hAnsi="宋体" w:cs="宋体"/>
                <w:bCs/>
                <w:color w:val="auto"/>
                <w:szCs w:val="21"/>
                <w:highlight w:val="none"/>
              </w:rPr>
            </w:pPr>
          </w:p>
        </w:tc>
      </w:tr>
      <w:tr w14:paraId="01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20" w:type="dxa"/>
            <w:tcBorders>
              <w:left w:val="single" w:color="auto" w:sz="4" w:space="0"/>
              <w:right w:val="single" w:color="auto" w:sz="4" w:space="0"/>
            </w:tcBorders>
            <w:noWrap/>
            <w:vAlign w:val="center"/>
          </w:tcPr>
          <w:p w14:paraId="021B838B">
            <w:pPr>
              <w:spacing w:line="380" w:lineRule="exact"/>
              <w:rPr>
                <w:rFonts w:ascii="宋体" w:hAnsi="宋体" w:cs="宋体"/>
                <w:color w:val="auto"/>
                <w:szCs w:val="21"/>
                <w:highlight w:val="none"/>
              </w:rPr>
            </w:pPr>
            <w:r>
              <w:rPr>
                <w:rFonts w:ascii="宋体" w:hAnsi="宋体" w:cs="宋体"/>
                <w:color w:val="auto"/>
                <w:szCs w:val="21"/>
                <w:highlight w:val="none"/>
              </w:rPr>
              <w:t>4</w:t>
            </w:r>
          </w:p>
        </w:tc>
        <w:tc>
          <w:tcPr>
            <w:tcW w:w="1765" w:type="dxa"/>
            <w:vMerge w:val="continue"/>
            <w:tcBorders>
              <w:left w:val="single" w:color="auto" w:sz="4" w:space="0"/>
              <w:right w:val="single" w:color="auto" w:sz="4" w:space="0"/>
            </w:tcBorders>
            <w:noWrap/>
            <w:vAlign w:val="center"/>
          </w:tcPr>
          <w:p w14:paraId="0BE21E1C">
            <w:pPr>
              <w:spacing w:line="380" w:lineRule="exact"/>
              <w:rPr>
                <w:rFonts w:ascii="宋体" w:hAnsi="宋体" w:cs="宋体"/>
                <w:bCs/>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2B961AF1">
            <w:pPr>
              <w:spacing w:line="380" w:lineRule="exact"/>
              <w:rPr>
                <w:rFonts w:ascii="宋体" w:hAnsi="宋体" w:cs="宋体"/>
                <w:bCs/>
                <w:color w:val="auto"/>
                <w:szCs w:val="21"/>
                <w:highlight w:val="none"/>
              </w:rPr>
            </w:pPr>
            <w:r>
              <w:rPr>
                <w:rFonts w:hint="eastAsia" w:ascii="宋体" w:hAnsi="宋体" w:cs="宋体"/>
                <w:bCs/>
                <w:color w:val="auto"/>
                <w:szCs w:val="21"/>
                <w:highlight w:val="none"/>
              </w:rPr>
              <w:t>（四）两座新能源轿车：</w:t>
            </w:r>
          </w:p>
          <w:p w14:paraId="412E6216">
            <w:pPr>
              <w:spacing w:line="380" w:lineRule="exact"/>
              <w:rPr>
                <w:rFonts w:ascii="宋体" w:hAnsi="宋体" w:cs="宋体"/>
                <w:bCs/>
                <w:color w:val="auto"/>
                <w:szCs w:val="21"/>
                <w:highlight w:val="none"/>
              </w:rPr>
            </w:pPr>
            <w:r>
              <w:rPr>
                <w:rFonts w:ascii="宋体" w:hAnsi="宋体" w:cs="宋体"/>
                <w:bCs/>
                <w:color w:val="auto"/>
                <w:szCs w:val="21"/>
                <w:highlight w:val="none"/>
              </w:rPr>
              <w:t>D车型:300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continue"/>
            <w:tcBorders>
              <w:left w:val="single" w:color="auto" w:sz="4" w:space="0"/>
              <w:right w:val="single" w:color="auto" w:sz="4" w:space="0"/>
            </w:tcBorders>
            <w:noWrap/>
            <w:vAlign w:val="center"/>
          </w:tcPr>
          <w:p w14:paraId="2F3A9326">
            <w:pPr>
              <w:spacing w:line="380" w:lineRule="exact"/>
              <w:ind w:firstLine="210" w:firstLineChars="100"/>
              <w:rPr>
                <w:rFonts w:ascii="宋体" w:hAnsi="宋体" w:cs="宋体"/>
                <w:bCs/>
                <w:color w:val="auto"/>
                <w:szCs w:val="21"/>
                <w:highlight w:val="none"/>
              </w:rPr>
            </w:pPr>
          </w:p>
        </w:tc>
      </w:tr>
      <w:tr w14:paraId="6D3B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820" w:type="dxa"/>
            <w:tcBorders>
              <w:left w:val="single" w:color="auto" w:sz="4" w:space="0"/>
              <w:right w:val="single" w:color="auto" w:sz="4" w:space="0"/>
            </w:tcBorders>
            <w:noWrap/>
            <w:vAlign w:val="center"/>
          </w:tcPr>
          <w:p w14:paraId="7FD24821">
            <w:pPr>
              <w:spacing w:line="380" w:lineRule="exact"/>
              <w:rPr>
                <w:rFonts w:ascii="宋体" w:hAnsi="宋体" w:cs="宋体"/>
                <w:color w:val="auto"/>
                <w:szCs w:val="21"/>
                <w:highlight w:val="none"/>
              </w:rPr>
            </w:pPr>
            <w:r>
              <w:rPr>
                <w:rFonts w:ascii="宋体" w:hAnsi="宋体" w:cs="宋体"/>
                <w:color w:val="auto"/>
                <w:szCs w:val="21"/>
                <w:highlight w:val="none"/>
              </w:rPr>
              <w:t>5</w:t>
            </w:r>
          </w:p>
        </w:tc>
        <w:tc>
          <w:tcPr>
            <w:tcW w:w="1765" w:type="dxa"/>
            <w:vMerge w:val="continue"/>
            <w:tcBorders>
              <w:left w:val="single" w:color="auto" w:sz="4" w:space="0"/>
              <w:right w:val="single" w:color="auto" w:sz="4" w:space="0"/>
            </w:tcBorders>
            <w:noWrap/>
            <w:vAlign w:val="center"/>
          </w:tcPr>
          <w:p w14:paraId="2F66BD11">
            <w:pPr>
              <w:spacing w:line="380" w:lineRule="exact"/>
              <w:rPr>
                <w:rFonts w:ascii="宋体" w:hAnsi="宋体" w:cs="宋体"/>
                <w:bCs/>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5DE88AE4">
            <w:pPr>
              <w:spacing w:line="380" w:lineRule="exact"/>
              <w:rPr>
                <w:rFonts w:ascii="宋体" w:hAnsi="宋体" w:cs="宋体"/>
                <w:bCs/>
                <w:color w:val="auto"/>
                <w:szCs w:val="21"/>
                <w:highlight w:val="none"/>
              </w:rPr>
            </w:pPr>
            <w:r>
              <w:rPr>
                <w:rFonts w:hint="eastAsia" w:ascii="宋体" w:hAnsi="宋体" w:cs="宋体"/>
                <w:bCs/>
                <w:color w:val="auto"/>
                <w:szCs w:val="21"/>
                <w:highlight w:val="none"/>
              </w:rPr>
              <w:t>（五）四座新能源轿车：</w:t>
            </w:r>
          </w:p>
          <w:p w14:paraId="09A7772A">
            <w:pPr>
              <w:spacing w:line="380" w:lineRule="exact"/>
              <w:rPr>
                <w:rFonts w:ascii="宋体" w:hAnsi="宋体" w:cs="宋体"/>
                <w:bCs/>
                <w:color w:val="auto"/>
                <w:szCs w:val="21"/>
                <w:highlight w:val="none"/>
              </w:rPr>
            </w:pPr>
            <w:r>
              <w:rPr>
                <w:rFonts w:ascii="宋体" w:hAnsi="宋体" w:cs="宋体"/>
                <w:bCs/>
                <w:color w:val="auto"/>
                <w:szCs w:val="21"/>
                <w:highlight w:val="none"/>
              </w:rPr>
              <w:t>E车型:400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continue"/>
            <w:tcBorders>
              <w:left w:val="single" w:color="auto" w:sz="4" w:space="0"/>
              <w:right w:val="single" w:color="auto" w:sz="4" w:space="0"/>
            </w:tcBorders>
            <w:noWrap/>
            <w:vAlign w:val="center"/>
          </w:tcPr>
          <w:p w14:paraId="380C8EF7">
            <w:pPr>
              <w:spacing w:line="380" w:lineRule="exact"/>
              <w:ind w:firstLine="210" w:firstLineChars="100"/>
              <w:rPr>
                <w:rFonts w:ascii="宋体" w:hAnsi="宋体" w:cs="宋体"/>
                <w:bCs/>
                <w:color w:val="auto"/>
                <w:szCs w:val="21"/>
                <w:highlight w:val="none"/>
              </w:rPr>
            </w:pPr>
          </w:p>
        </w:tc>
      </w:tr>
      <w:tr w14:paraId="236E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820" w:type="dxa"/>
            <w:tcBorders>
              <w:left w:val="single" w:color="auto" w:sz="4" w:space="0"/>
              <w:right w:val="single" w:color="auto" w:sz="4" w:space="0"/>
            </w:tcBorders>
            <w:noWrap/>
            <w:vAlign w:val="center"/>
          </w:tcPr>
          <w:p w14:paraId="3F373497">
            <w:pPr>
              <w:spacing w:line="380" w:lineRule="exact"/>
              <w:rPr>
                <w:rFonts w:ascii="宋体" w:hAnsi="宋体" w:cs="宋体"/>
                <w:color w:val="auto"/>
                <w:szCs w:val="21"/>
                <w:highlight w:val="none"/>
              </w:rPr>
            </w:pPr>
            <w:r>
              <w:rPr>
                <w:rFonts w:ascii="宋体" w:hAnsi="宋体" w:cs="宋体"/>
                <w:color w:val="auto"/>
                <w:szCs w:val="21"/>
                <w:highlight w:val="none"/>
              </w:rPr>
              <w:t>6</w:t>
            </w:r>
          </w:p>
        </w:tc>
        <w:tc>
          <w:tcPr>
            <w:tcW w:w="1765" w:type="dxa"/>
            <w:vMerge w:val="continue"/>
            <w:tcBorders>
              <w:left w:val="single" w:color="auto" w:sz="4" w:space="0"/>
              <w:right w:val="single" w:color="auto" w:sz="4" w:space="0"/>
            </w:tcBorders>
            <w:noWrap/>
            <w:vAlign w:val="center"/>
          </w:tcPr>
          <w:p w14:paraId="6603F89C">
            <w:pPr>
              <w:spacing w:line="380" w:lineRule="exact"/>
              <w:rPr>
                <w:rFonts w:ascii="宋体" w:hAnsi="宋体" w:cs="宋体"/>
                <w:bCs/>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732AE65E">
            <w:pPr>
              <w:spacing w:line="380" w:lineRule="exact"/>
              <w:rPr>
                <w:rFonts w:ascii="宋体" w:hAnsi="宋体" w:cs="宋体"/>
                <w:bCs/>
                <w:color w:val="auto"/>
                <w:szCs w:val="21"/>
                <w:highlight w:val="none"/>
              </w:rPr>
            </w:pPr>
            <w:r>
              <w:rPr>
                <w:rFonts w:hint="eastAsia" w:ascii="宋体" w:hAnsi="宋体" w:cs="宋体"/>
                <w:bCs/>
                <w:color w:val="auto"/>
                <w:szCs w:val="21"/>
                <w:highlight w:val="none"/>
              </w:rPr>
              <w:t>（六）五座新能源轿车：</w:t>
            </w:r>
          </w:p>
          <w:p w14:paraId="6410BF09">
            <w:pPr>
              <w:spacing w:line="380" w:lineRule="exact"/>
              <w:rPr>
                <w:rFonts w:ascii="宋体" w:hAnsi="宋体" w:cs="宋体"/>
                <w:bCs/>
                <w:color w:val="auto"/>
                <w:szCs w:val="21"/>
                <w:highlight w:val="none"/>
              </w:rPr>
            </w:pPr>
            <w:r>
              <w:rPr>
                <w:rFonts w:ascii="宋体" w:hAnsi="宋体" w:cs="宋体"/>
                <w:bCs/>
                <w:color w:val="auto"/>
                <w:szCs w:val="21"/>
                <w:highlight w:val="none"/>
              </w:rPr>
              <w:t>F车型:450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continue"/>
            <w:tcBorders>
              <w:left w:val="single" w:color="auto" w:sz="4" w:space="0"/>
              <w:right w:val="single" w:color="auto" w:sz="4" w:space="0"/>
            </w:tcBorders>
            <w:noWrap/>
            <w:vAlign w:val="center"/>
          </w:tcPr>
          <w:p w14:paraId="168C1BA6">
            <w:pPr>
              <w:spacing w:line="380" w:lineRule="exact"/>
              <w:ind w:firstLine="210" w:firstLineChars="100"/>
              <w:rPr>
                <w:rFonts w:ascii="宋体" w:hAnsi="宋体" w:cs="宋体"/>
                <w:bCs/>
                <w:color w:val="auto"/>
                <w:szCs w:val="21"/>
                <w:highlight w:val="none"/>
              </w:rPr>
            </w:pPr>
          </w:p>
        </w:tc>
      </w:tr>
      <w:tr w14:paraId="13A9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820" w:type="dxa"/>
            <w:tcBorders>
              <w:left w:val="single" w:color="auto" w:sz="4" w:space="0"/>
              <w:right w:val="single" w:color="auto" w:sz="4" w:space="0"/>
            </w:tcBorders>
            <w:noWrap/>
            <w:vAlign w:val="center"/>
          </w:tcPr>
          <w:p w14:paraId="511077EC">
            <w:pPr>
              <w:spacing w:line="380" w:lineRule="exact"/>
              <w:rPr>
                <w:rFonts w:ascii="宋体" w:hAnsi="宋体" w:cs="宋体"/>
                <w:color w:val="auto"/>
                <w:szCs w:val="21"/>
                <w:highlight w:val="none"/>
              </w:rPr>
            </w:pPr>
            <w:r>
              <w:rPr>
                <w:rFonts w:ascii="宋体" w:hAnsi="宋体" w:cs="宋体"/>
                <w:color w:val="auto"/>
                <w:szCs w:val="21"/>
                <w:highlight w:val="none"/>
              </w:rPr>
              <w:t>7</w:t>
            </w:r>
          </w:p>
        </w:tc>
        <w:tc>
          <w:tcPr>
            <w:tcW w:w="1765" w:type="dxa"/>
            <w:vMerge w:val="continue"/>
            <w:tcBorders>
              <w:left w:val="single" w:color="auto" w:sz="4" w:space="0"/>
              <w:right w:val="single" w:color="auto" w:sz="4" w:space="0"/>
            </w:tcBorders>
            <w:noWrap/>
            <w:vAlign w:val="center"/>
          </w:tcPr>
          <w:p w14:paraId="2559F8A3">
            <w:pPr>
              <w:spacing w:line="380" w:lineRule="exact"/>
              <w:rPr>
                <w:rFonts w:ascii="宋体" w:hAnsi="宋体" w:cs="宋体"/>
                <w:bCs/>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1BC2EF08">
            <w:pPr>
              <w:spacing w:line="380" w:lineRule="exact"/>
              <w:rPr>
                <w:rFonts w:ascii="宋体" w:hAnsi="宋体" w:cs="宋体"/>
                <w:bCs/>
                <w:color w:val="auto"/>
                <w:szCs w:val="21"/>
                <w:highlight w:val="none"/>
              </w:rPr>
            </w:pPr>
            <w:r>
              <w:rPr>
                <w:rFonts w:hint="eastAsia" w:ascii="宋体" w:hAnsi="宋体" w:cs="宋体"/>
                <w:bCs/>
                <w:color w:val="auto"/>
                <w:szCs w:val="21"/>
                <w:highlight w:val="none"/>
              </w:rPr>
              <w:t>（七）新能源越野车：</w:t>
            </w:r>
          </w:p>
          <w:p w14:paraId="7F19F8F7">
            <w:pPr>
              <w:spacing w:line="380" w:lineRule="exact"/>
              <w:rPr>
                <w:rFonts w:ascii="宋体" w:hAnsi="宋体" w:cs="宋体"/>
                <w:bCs/>
                <w:color w:val="auto"/>
                <w:szCs w:val="21"/>
                <w:highlight w:val="none"/>
              </w:rPr>
            </w:pPr>
            <w:r>
              <w:rPr>
                <w:rFonts w:ascii="宋体" w:hAnsi="宋体" w:cs="宋体"/>
                <w:bCs/>
                <w:color w:val="auto"/>
                <w:szCs w:val="21"/>
                <w:highlight w:val="none"/>
              </w:rPr>
              <w:t>G车型：500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continue"/>
            <w:tcBorders>
              <w:left w:val="single" w:color="auto" w:sz="4" w:space="0"/>
              <w:right w:val="single" w:color="auto" w:sz="4" w:space="0"/>
            </w:tcBorders>
            <w:noWrap/>
            <w:vAlign w:val="center"/>
          </w:tcPr>
          <w:p w14:paraId="01138883">
            <w:pPr>
              <w:spacing w:line="380" w:lineRule="exact"/>
              <w:ind w:firstLine="210" w:firstLineChars="100"/>
              <w:rPr>
                <w:rFonts w:ascii="宋体" w:hAnsi="宋体" w:cs="宋体"/>
                <w:bCs/>
                <w:color w:val="auto"/>
                <w:szCs w:val="21"/>
                <w:highlight w:val="none"/>
              </w:rPr>
            </w:pPr>
          </w:p>
        </w:tc>
      </w:tr>
      <w:tr w14:paraId="7A26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20" w:type="dxa"/>
            <w:tcBorders>
              <w:left w:val="single" w:color="auto" w:sz="4" w:space="0"/>
              <w:bottom w:val="single" w:color="auto" w:sz="4" w:space="0"/>
              <w:right w:val="single" w:color="auto" w:sz="4" w:space="0"/>
            </w:tcBorders>
            <w:noWrap/>
            <w:vAlign w:val="center"/>
          </w:tcPr>
          <w:p w14:paraId="508CFBF5">
            <w:pPr>
              <w:spacing w:line="380" w:lineRule="exact"/>
              <w:rPr>
                <w:rFonts w:ascii="宋体" w:hAnsi="宋体" w:cs="宋体"/>
                <w:color w:val="auto"/>
                <w:szCs w:val="21"/>
                <w:highlight w:val="none"/>
              </w:rPr>
            </w:pPr>
            <w:r>
              <w:rPr>
                <w:rFonts w:ascii="宋体" w:hAnsi="宋体" w:cs="宋体"/>
                <w:color w:val="auto"/>
                <w:szCs w:val="21"/>
                <w:highlight w:val="none"/>
              </w:rPr>
              <w:t>8</w:t>
            </w:r>
          </w:p>
        </w:tc>
        <w:tc>
          <w:tcPr>
            <w:tcW w:w="1765" w:type="dxa"/>
            <w:vMerge w:val="continue"/>
            <w:tcBorders>
              <w:left w:val="single" w:color="auto" w:sz="4" w:space="0"/>
              <w:right w:val="single" w:color="auto" w:sz="4" w:space="0"/>
            </w:tcBorders>
            <w:noWrap/>
            <w:vAlign w:val="center"/>
          </w:tcPr>
          <w:p w14:paraId="0D3957CB">
            <w:pPr>
              <w:spacing w:line="380" w:lineRule="exact"/>
              <w:rPr>
                <w:rFonts w:ascii="宋体" w:hAnsi="宋体" w:cs="宋体"/>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1E6C2AC7">
            <w:pPr>
              <w:spacing w:line="380" w:lineRule="exact"/>
              <w:rPr>
                <w:rFonts w:ascii="宋体" w:hAnsi="宋体" w:cs="宋体"/>
                <w:bCs/>
                <w:color w:val="auto"/>
                <w:szCs w:val="21"/>
                <w:highlight w:val="none"/>
              </w:rPr>
            </w:pPr>
            <w:r>
              <w:rPr>
                <w:rFonts w:ascii="宋体" w:hAnsi="宋体" w:cs="宋体"/>
                <w:bCs/>
                <w:color w:val="auto"/>
                <w:szCs w:val="21"/>
                <w:highlight w:val="none"/>
              </w:rPr>
              <w:t>(八）新能源商务车：</w:t>
            </w:r>
          </w:p>
          <w:p w14:paraId="2B2830AD">
            <w:pPr>
              <w:spacing w:line="380" w:lineRule="exact"/>
              <w:rPr>
                <w:rFonts w:ascii="宋体" w:hAnsi="宋体" w:cs="宋体"/>
                <w:bCs/>
                <w:color w:val="auto"/>
                <w:szCs w:val="21"/>
                <w:highlight w:val="none"/>
              </w:rPr>
            </w:pPr>
            <w:r>
              <w:rPr>
                <w:rFonts w:ascii="宋体" w:hAnsi="宋体" w:cs="宋体"/>
                <w:bCs/>
                <w:color w:val="auto"/>
                <w:szCs w:val="21"/>
                <w:highlight w:val="none"/>
              </w:rPr>
              <w:t>H车型：650</w:t>
            </w:r>
            <w:r>
              <w:rPr>
                <w:rFonts w:hint="eastAsia" w:ascii="宋体" w:hAnsi="宋体" w:cs="宋体"/>
                <w:bCs/>
                <w:color w:val="auto"/>
                <w:szCs w:val="21"/>
                <w:highlight w:val="none"/>
              </w:rPr>
              <w:t>元</w:t>
            </w:r>
            <w:r>
              <w:rPr>
                <w:rFonts w:ascii="宋体" w:hAnsi="宋体" w:cs="宋体"/>
                <w:bCs/>
                <w:color w:val="auto"/>
                <w:szCs w:val="21"/>
                <w:highlight w:val="none"/>
              </w:rPr>
              <w:t>/天</w:t>
            </w:r>
          </w:p>
        </w:tc>
        <w:tc>
          <w:tcPr>
            <w:tcW w:w="992" w:type="dxa"/>
            <w:vMerge w:val="continue"/>
            <w:tcBorders>
              <w:left w:val="single" w:color="auto" w:sz="4" w:space="0"/>
              <w:right w:val="single" w:color="auto" w:sz="4" w:space="0"/>
            </w:tcBorders>
            <w:noWrap/>
            <w:vAlign w:val="center"/>
          </w:tcPr>
          <w:p w14:paraId="34407EED">
            <w:pPr>
              <w:spacing w:line="380" w:lineRule="exact"/>
              <w:ind w:firstLine="210" w:firstLineChars="100"/>
              <w:rPr>
                <w:rFonts w:ascii="宋体" w:hAnsi="宋体" w:cs="宋体"/>
                <w:bCs/>
                <w:color w:val="auto"/>
                <w:szCs w:val="21"/>
                <w:highlight w:val="none"/>
              </w:rPr>
            </w:pPr>
          </w:p>
        </w:tc>
      </w:tr>
      <w:tr w14:paraId="2FBD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20" w:type="dxa"/>
            <w:tcBorders>
              <w:left w:val="single" w:color="auto" w:sz="4" w:space="0"/>
              <w:bottom w:val="single" w:color="auto" w:sz="4" w:space="0"/>
              <w:right w:val="single" w:color="auto" w:sz="4" w:space="0"/>
            </w:tcBorders>
            <w:noWrap/>
            <w:vAlign w:val="center"/>
          </w:tcPr>
          <w:p w14:paraId="3FEA7942">
            <w:pPr>
              <w:spacing w:line="380" w:lineRule="exact"/>
              <w:rPr>
                <w:rFonts w:ascii="宋体" w:hAnsi="宋体" w:cs="宋体"/>
                <w:color w:val="auto"/>
                <w:szCs w:val="21"/>
                <w:highlight w:val="none"/>
              </w:rPr>
            </w:pPr>
            <w:r>
              <w:rPr>
                <w:rFonts w:ascii="宋体" w:hAnsi="宋体" w:cs="宋体"/>
                <w:color w:val="auto"/>
                <w:szCs w:val="21"/>
                <w:highlight w:val="none"/>
              </w:rPr>
              <w:t>9</w:t>
            </w:r>
          </w:p>
        </w:tc>
        <w:tc>
          <w:tcPr>
            <w:tcW w:w="1765" w:type="dxa"/>
            <w:vMerge w:val="continue"/>
            <w:tcBorders>
              <w:left w:val="single" w:color="auto" w:sz="4" w:space="0"/>
              <w:right w:val="single" w:color="auto" w:sz="4" w:space="0"/>
            </w:tcBorders>
            <w:noWrap/>
            <w:vAlign w:val="center"/>
          </w:tcPr>
          <w:p w14:paraId="3F711016">
            <w:pPr>
              <w:spacing w:line="380" w:lineRule="exact"/>
              <w:rPr>
                <w:rFonts w:ascii="宋体" w:hAnsi="宋体" w:cs="宋体"/>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578B845F">
            <w:pPr>
              <w:spacing w:line="380" w:lineRule="exact"/>
              <w:rPr>
                <w:rFonts w:ascii="宋体" w:hAnsi="宋体" w:cs="宋体"/>
                <w:bCs/>
                <w:color w:val="auto"/>
                <w:szCs w:val="21"/>
                <w:highlight w:val="none"/>
              </w:rPr>
            </w:pPr>
            <w:r>
              <w:rPr>
                <w:rFonts w:hint="eastAsia" w:ascii="宋体" w:hAnsi="宋体" w:cs="宋体"/>
                <w:bCs/>
                <w:color w:val="auto"/>
                <w:szCs w:val="21"/>
                <w:highlight w:val="none"/>
              </w:rPr>
              <w:t>商务车市内接送机场单趟</w:t>
            </w:r>
            <w:r>
              <w:rPr>
                <w:rFonts w:ascii="宋体" w:hAnsi="宋体" w:cs="宋体"/>
                <w:bCs/>
                <w:color w:val="auto"/>
                <w:szCs w:val="21"/>
                <w:highlight w:val="none"/>
              </w:rPr>
              <w:t>200元/次、接送火车站100元/次（包含油费、过路费、司机服务费）</w:t>
            </w:r>
          </w:p>
        </w:tc>
        <w:tc>
          <w:tcPr>
            <w:tcW w:w="992" w:type="dxa"/>
            <w:vMerge w:val="continue"/>
            <w:tcBorders>
              <w:left w:val="single" w:color="auto" w:sz="4" w:space="0"/>
              <w:right w:val="single" w:color="auto" w:sz="4" w:space="0"/>
            </w:tcBorders>
            <w:noWrap/>
            <w:vAlign w:val="center"/>
          </w:tcPr>
          <w:p w14:paraId="306815A1">
            <w:pPr>
              <w:spacing w:line="380" w:lineRule="exact"/>
              <w:ind w:firstLine="210" w:firstLineChars="100"/>
              <w:rPr>
                <w:rFonts w:ascii="宋体" w:hAnsi="宋体" w:cs="宋体"/>
                <w:bCs/>
                <w:color w:val="auto"/>
                <w:szCs w:val="21"/>
                <w:highlight w:val="none"/>
              </w:rPr>
            </w:pPr>
          </w:p>
        </w:tc>
      </w:tr>
      <w:tr w14:paraId="564C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20" w:type="dxa"/>
            <w:tcBorders>
              <w:left w:val="single" w:color="auto" w:sz="4" w:space="0"/>
              <w:bottom w:val="single" w:color="auto" w:sz="4" w:space="0"/>
              <w:right w:val="single" w:color="auto" w:sz="4" w:space="0"/>
            </w:tcBorders>
            <w:noWrap/>
            <w:vAlign w:val="center"/>
          </w:tcPr>
          <w:p w14:paraId="7718BC4B">
            <w:pPr>
              <w:spacing w:line="380" w:lineRule="exact"/>
              <w:rPr>
                <w:rFonts w:ascii="宋体" w:hAnsi="宋体" w:cs="宋体"/>
                <w:color w:val="auto"/>
                <w:szCs w:val="21"/>
                <w:highlight w:val="none"/>
              </w:rPr>
            </w:pPr>
            <w:r>
              <w:rPr>
                <w:rFonts w:ascii="宋体" w:hAnsi="宋体" w:cs="宋体"/>
                <w:color w:val="auto"/>
                <w:szCs w:val="21"/>
                <w:highlight w:val="none"/>
              </w:rPr>
              <w:t>10</w:t>
            </w:r>
          </w:p>
        </w:tc>
        <w:tc>
          <w:tcPr>
            <w:tcW w:w="1765" w:type="dxa"/>
            <w:vMerge w:val="continue"/>
            <w:tcBorders>
              <w:left w:val="single" w:color="auto" w:sz="4" w:space="0"/>
              <w:bottom w:val="single" w:color="auto" w:sz="4" w:space="0"/>
              <w:right w:val="single" w:color="auto" w:sz="4" w:space="0"/>
            </w:tcBorders>
            <w:noWrap/>
            <w:vAlign w:val="center"/>
          </w:tcPr>
          <w:p w14:paraId="6B8FAAC5">
            <w:pPr>
              <w:spacing w:line="380" w:lineRule="exact"/>
              <w:rPr>
                <w:rFonts w:ascii="宋体" w:hAnsi="宋体" w:cs="宋体"/>
                <w:color w:val="auto"/>
                <w:szCs w:val="21"/>
                <w:highlight w:val="none"/>
              </w:rPr>
            </w:pPr>
          </w:p>
        </w:tc>
        <w:tc>
          <w:tcPr>
            <w:tcW w:w="6521" w:type="dxa"/>
            <w:tcBorders>
              <w:top w:val="single" w:color="auto" w:sz="4" w:space="0"/>
              <w:left w:val="single" w:color="auto" w:sz="4" w:space="0"/>
              <w:bottom w:val="single" w:color="auto" w:sz="4" w:space="0"/>
              <w:right w:val="single" w:color="auto" w:sz="4" w:space="0"/>
            </w:tcBorders>
            <w:noWrap/>
            <w:vAlign w:val="center"/>
          </w:tcPr>
          <w:p w14:paraId="0901783C">
            <w:pPr>
              <w:spacing w:line="380" w:lineRule="exact"/>
              <w:rPr>
                <w:rFonts w:ascii="宋体" w:hAnsi="宋体" w:cs="宋体"/>
                <w:bCs/>
                <w:color w:val="auto"/>
                <w:szCs w:val="21"/>
                <w:highlight w:val="none"/>
              </w:rPr>
            </w:pPr>
            <w:r>
              <w:rPr>
                <w:rFonts w:hint="eastAsia" w:ascii="宋体" w:hAnsi="宋体" w:cs="宋体"/>
                <w:bCs/>
                <w:color w:val="auto"/>
                <w:szCs w:val="21"/>
                <w:highlight w:val="none"/>
              </w:rPr>
              <w:t>越野车、轿车市内接送机场</w:t>
            </w:r>
            <w:r>
              <w:rPr>
                <w:rFonts w:ascii="宋体" w:hAnsi="宋体" w:cs="宋体"/>
                <w:bCs/>
                <w:color w:val="auto"/>
                <w:szCs w:val="21"/>
                <w:highlight w:val="none"/>
              </w:rPr>
              <w:t>150元/次、接送火车站80元/次（包含油费、过路费、司机服务费）</w:t>
            </w:r>
          </w:p>
        </w:tc>
        <w:tc>
          <w:tcPr>
            <w:tcW w:w="992" w:type="dxa"/>
            <w:vMerge w:val="continue"/>
            <w:tcBorders>
              <w:left w:val="single" w:color="auto" w:sz="4" w:space="0"/>
              <w:bottom w:val="single" w:color="auto" w:sz="4" w:space="0"/>
              <w:right w:val="single" w:color="auto" w:sz="4" w:space="0"/>
            </w:tcBorders>
            <w:noWrap/>
            <w:vAlign w:val="center"/>
          </w:tcPr>
          <w:p w14:paraId="5049A2FD">
            <w:pPr>
              <w:spacing w:line="380" w:lineRule="exact"/>
              <w:ind w:firstLine="210" w:firstLineChars="100"/>
              <w:rPr>
                <w:rFonts w:ascii="宋体" w:hAnsi="宋体" w:cs="宋体"/>
                <w:bCs/>
                <w:color w:val="auto"/>
                <w:szCs w:val="21"/>
                <w:highlight w:val="none"/>
              </w:rPr>
            </w:pPr>
          </w:p>
        </w:tc>
      </w:tr>
      <w:tr w14:paraId="453B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0098" w:type="dxa"/>
            <w:gridSpan w:val="4"/>
            <w:tcBorders>
              <w:top w:val="single" w:color="auto" w:sz="4" w:space="0"/>
              <w:left w:val="single" w:color="auto" w:sz="4" w:space="0"/>
              <w:bottom w:val="single" w:color="auto" w:sz="4" w:space="0"/>
              <w:right w:val="single" w:color="auto" w:sz="4" w:space="0"/>
            </w:tcBorders>
            <w:noWrap/>
          </w:tcPr>
          <w:p w14:paraId="6E980EB0">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报价（包含税费）：</w:t>
            </w:r>
            <w:r>
              <w:rPr>
                <w:rFonts w:hint="eastAsia" w:ascii="宋体" w:hAnsi="宋体" w:cs="宋体"/>
                <w:b/>
                <w:color w:val="auto"/>
                <w:szCs w:val="21"/>
                <w:highlight w:val="none"/>
              </w:rPr>
              <w:t>折扣率</w:t>
            </w:r>
            <w:r>
              <w:rPr>
                <w:rFonts w:ascii="宋体" w:hAnsi="宋体" w:cs="宋体"/>
                <w:b/>
                <w:color w:val="auto"/>
                <w:szCs w:val="21"/>
                <w:highlight w:val="none"/>
                <w:u w:val="single"/>
              </w:rPr>
              <w:t xml:space="preserve">       </w:t>
            </w:r>
            <w:r>
              <w:rPr>
                <w:rFonts w:ascii="宋体" w:hAnsi="宋体" w:cs="宋体"/>
                <w:b/>
                <w:color w:val="auto"/>
                <w:kern w:val="0"/>
                <w:szCs w:val="21"/>
                <w:highlight w:val="none"/>
              </w:rPr>
              <w:t>%</w:t>
            </w:r>
          </w:p>
        </w:tc>
      </w:tr>
      <w:tr w14:paraId="6AC9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trPr>
        <w:tc>
          <w:tcPr>
            <w:tcW w:w="10098" w:type="dxa"/>
            <w:gridSpan w:val="4"/>
            <w:tcBorders>
              <w:top w:val="single" w:color="auto" w:sz="4" w:space="0"/>
              <w:left w:val="single" w:color="auto" w:sz="4" w:space="0"/>
              <w:bottom w:val="single" w:color="auto" w:sz="4" w:space="0"/>
              <w:right w:val="single" w:color="auto" w:sz="4" w:space="0"/>
            </w:tcBorders>
            <w:noWrap/>
          </w:tcPr>
          <w:p w14:paraId="47A42D69">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备注：</w:t>
            </w:r>
            <w:r>
              <w:rPr>
                <w:rFonts w:ascii="宋体" w:hAnsi="宋体" w:cs="宋体"/>
                <w:color w:val="auto"/>
                <w:szCs w:val="21"/>
                <w:highlight w:val="none"/>
              </w:rPr>
              <w:t>1、以上报价</w:t>
            </w:r>
            <w:r>
              <w:rPr>
                <w:rFonts w:hint="eastAsia" w:ascii="宋体" w:hAnsi="宋体" w:cs="宋体"/>
                <w:color w:val="auto"/>
                <w:szCs w:val="21"/>
                <w:highlight w:val="none"/>
              </w:rPr>
              <w:t>包含车辆租赁价、司机服务费、餐费及税费。</w:t>
            </w:r>
          </w:p>
          <w:p w14:paraId="2AF8AE54">
            <w:pPr>
              <w:spacing w:line="380" w:lineRule="exact"/>
              <w:ind w:firstLine="630" w:firstLineChars="3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、司机住宿费</w:t>
            </w:r>
            <w:r>
              <w:rPr>
                <w:rFonts w:ascii="宋体" w:hAnsi="宋体" w:cs="宋体"/>
                <w:color w:val="auto"/>
                <w:szCs w:val="21"/>
                <w:highlight w:val="none"/>
              </w:rPr>
              <w:t>:150元/天</w:t>
            </w:r>
            <w:r>
              <w:rPr>
                <w:rFonts w:hint="eastAsia" w:ascii="宋体" w:hAnsi="宋体" w:cs="宋体"/>
                <w:color w:val="auto"/>
                <w:szCs w:val="21"/>
                <w:highlight w:val="none"/>
              </w:rPr>
              <w:t>，当发生二个师傅同一个行程入住同一个酒店时，按要求入住一间房。</w:t>
            </w:r>
          </w:p>
          <w:p w14:paraId="5CDFE0F3">
            <w:pPr>
              <w:spacing w:line="380" w:lineRule="exact"/>
              <w:ind w:firstLine="630" w:firstLineChars="3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、日租结算方式：日租金</w:t>
            </w:r>
            <w:r>
              <w:rPr>
                <w:rFonts w:ascii="宋体" w:hAnsi="宋体" w:cs="宋体"/>
                <w:color w:val="auto"/>
                <w:szCs w:val="21"/>
                <w:highlight w:val="none"/>
              </w:rPr>
              <w:t>+实际燃油费+</w:t>
            </w:r>
            <w:r>
              <w:rPr>
                <w:rFonts w:hint="eastAsia" w:ascii="宋体" w:hAnsi="宋体" w:cs="宋体"/>
                <w:color w:val="auto"/>
                <w:szCs w:val="21"/>
                <w:highlight w:val="none"/>
              </w:rPr>
              <w:t>过路费</w:t>
            </w:r>
            <w:r>
              <w:rPr>
                <w:rFonts w:ascii="宋体" w:hAnsi="宋体" w:cs="宋体"/>
                <w:color w:val="auto"/>
                <w:szCs w:val="21"/>
                <w:highlight w:val="none"/>
              </w:rPr>
              <w:t>+停车费。</w:t>
            </w:r>
          </w:p>
          <w:p w14:paraId="67002F9E">
            <w:pPr>
              <w:spacing w:line="380" w:lineRule="exact"/>
              <w:ind w:firstLine="630" w:firstLineChars="3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、司机正常服务时间为：（</w:t>
            </w:r>
            <w:r>
              <w:rPr>
                <w:rFonts w:ascii="宋体" w:hAnsi="宋体" w:cs="宋体"/>
                <w:color w:val="auto"/>
                <w:szCs w:val="21"/>
                <w:highlight w:val="none"/>
              </w:rPr>
              <w:t>07:00-22:00）超出时间按南宁市最低25元/小时收取，不满一小时按小时收取。</w:t>
            </w:r>
          </w:p>
          <w:p w14:paraId="117E2ABD">
            <w:pPr>
              <w:spacing w:line="380" w:lineRule="exact"/>
              <w:ind w:firstLine="630" w:firstLineChars="3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、市内接送机场、火车站等短途报价均包含司机服务费、油费、过路费。</w:t>
            </w:r>
          </w:p>
        </w:tc>
      </w:tr>
    </w:tbl>
    <w:p w14:paraId="4DDB3581">
      <w:pPr>
        <w:spacing w:line="500" w:lineRule="exact"/>
        <w:rPr>
          <w:rFonts w:ascii="宋体" w:hAnsi="宋体" w:cs="宋体"/>
          <w:color w:val="auto"/>
          <w:sz w:val="28"/>
          <w:szCs w:val="28"/>
          <w:highlight w:val="none"/>
        </w:rPr>
      </w:pPr>
    </w:p>
    <w:p w14:paraId="19B6702C">
      <w:pPr>
        <w:rPr>
          <w:rFonts w:ascii="宋体" w:hAnsi="宋体" w:cs="宋体"/>
          <w:color w:val="auto"/>
          <w:sz w:val="28"/>
          <w:szCs w:val="28"/>
          <w:highlight w:val="none"/>
        </w:rPr>
      </w:pPr>
      <w:r>
        <w:rPr>
          <w:rFonts w:ascii="宋体" w:hAnsi="宋体" w:cs="宋体"/>
          <w:color w:val="auto"/>
          <w:sz w:val="28"/>
          <w:szCs w:val="28"/>
          <w:highlight w:val="none"/>
        </w:rPr>
        <w:br w:type="page"/>
      </w:r>
    </w:p>
    <w:p w14:paraId="374F5FE8">
      <w:pPr>
        <w:spacing w:line="540" w:lineRule="exact"/>
        <w:rPr>
          <w:rFonts w:ascii="宋体" w:hAnsi="宋体" w:cs="宋体"/>
          <w:color w:val="auto"/>
          <w:sz w:val="28"/>
          <w:szCs w:val="28"/>
          <w:highlight w:val="none"/>
        </w:rPr>
      </w:pPr>
    </w:p>
    <w:p w14:paraId="2B4A9344">
      <w:pPr>
        <w:spacing w:line="540" w:lineRule="exact"/>
        <w:rPr>
          <w:rFonts w:ascii="宋体" w:hAnsi="宋体" w:cs="宋体"/>
          <w:color w:val="auto"/>
          <w:sz w:val="28"/>
          <w:szCs w:val="28"/>
          <w:highlight w:val="none"/>
        </w:rPr>
      </w:pPr>
    </w:p>
    <w:p w14:paraId="15B3FB34">
      <w:pPr>
        <w:spacing w:line="540" w:lineRule="exact"/>
        <w:rPr>
          <w:rFonts w:ascii="宋体" w:hAnsi="宋体" w:cs="宋体"/>
          <w:color w:val="auto"/>
          <w:sz w:val="28"/>
          <w:szCs w:val="28"/>
          <w:highlight w:val="none"/>
        </w:rPr>
      </w:pPr>
    </w:p>
    <w:p w14:paraId="1F3FB4A8">
      <w:pPr>
        <w:spacing w:line="540" w:lineRule="exact"/>
        <w:rPr>
          <w:rFonts w:ascii="宋体" w:hAnsi="宋体" w:cs="宋体"/>
          <w:color w:val="auto"/>
          <w:sz w:val="28"/>
          <w:szCs w:val="28"/>
          <w:highlight w:val="none"/>
        </w:rPr>
      </w:pPr>
    </w:p>
    <w:p w14:paraId="15261032">
      <w:pPr>
        <w:spacing w:line="540" w:lineRule="exact"/>
        <w:rPr>
          <w:rFonts w:ascii="宋体" w:hAnsi="宋体" w:cs="宋体"/>
          <w:color w:val="auto"/>
          <w:sz w:val="28"/>
          <w:szCs w:val="28"/>
          <w:highlight w:val="none"/>
        </w:rPr>
      </w:pPr>
    </w:p>
    <w:p w14:paraId="778ABEB6">
      <w:pPr>
        <w:spacing w:line="540" w:lineRule="exact"/>
        <w:rPr>
          <w:rFonts w:ascii="宋体" w:hAnsi="宋体" w:cs="宋体"/>
          <w:color w:val="auto"/>
          <w:sz w:val="28"/>
          <w:szCs w:val="28"/>
          <w:highlight w:val="none"/>
        </w:rPr>
      </w:pPr>
    </w:p>
    <w:p w14:paraId="187B7DF9">
      <w:pPr>
        <w:spacing w:line="540" w:lineRule="exact"/>
        <w:rPr>
          <w:rFonts w:ascii="宋体" w:hAnsi="宋体" w:cs="宋体"/>
          <w:color w:val="auto"/>
          <w:sz w:val="28"/>
          <w:szCs w:val="28"/>
          <w:highlight w:val="none"/>
        </w:rPr>
      </w:pPr>
    </w:p>
    <w:p w14:paraId="58BA7704">
      <w:pPr>
        <w:spacing w:line="540" w:lineRule="exact"/>
        <w:rPr>
          <w:rFonts w:ascii="宋体" w:hAnsi="宋体" w:cs="宋体"/>
          <w:color w:val="auto"/>
          <w:sz w:val="28"/>
          <w:szCs w:val="28"/>
          <w:highlight w:val="none"/>
        </w:rPr>
      </w:pPr>
    </w:p>
    <w:p w14:paraId="26AC1009">
      <w:pPr>
        <w:pStyle w:val="3"/>
        <w:rPr>
          <w:rFonts w:ascii="宋体" w:hAnsi="宋体"/>
          <w:color w:val="auto"/>
          <w:sz w:val="32"/>
          <w:highlight w:val="none"/>
        </w:rPr>
      </w:pPr>
    </w:p>
    <w:p w14:paraId="43512D85">
      <w:pPr>
        <w:rPr>
          <w:color w:val="auto"/>
          <w:highlight w:val="none"/>
        </w:rPr>
      </w:pPr>
    </w:p>
    <w:p w14:paraId="608C8C98">
      <w:pPr>
        <w:pStyle w:val="35"/>
        <w:rPr>
          <w:color w:val="auto"/>
          <w:kern w:val="0"/>
          <w:sz w:val="44"/>
          <w:szCs w:val="44"/>
          <w:highlight w:val="none"/>
        </w:rPr>
      </w:pPr>
      <w:bookmarkStart w:id="87" w:name="_Toc476258761"/>
      <w:bookmarkStart w:id="88" w:name="_Toc476258673"/>
      <w:r>
        <w:rPr>
          <w:rFonts w:hint="eastAsia"/>
          <w:color w:val="auto"/>
          <w:kern w:val="0"/>
          <w:sz w:val="44"/>
          <w:szCs w:val="44"/>
          <w:highlight w:val="none"/>
        </w:rPr>
        <w:t>第六章</w:t>
      </w:r>
      <w:r>
        <w:rPr>
          <w:color w:val="auto"/>
          <w:kern w:val="0"/>
          <w:sz w:val="44"/>
          <w:szCs w:val="44"/>
          <w:highlight w:val="none"/>
        </w:rPr>
        <w:t xml:space="preserve">  </w:t>
      </w:r>
      <w:r>
        <w:rPr>
          <w:rFonts w:hint="eastAsia"/>
          <w:color w:val="auto"/>
          <w:kern w:val="0"/>
          <w:sz w:val="44"/>
          <w:szCs w:val="44"/>
          <w:highlight w:val="none"/>
        </w:rPr>
        <w:t>评标标准</w:t>
      </w:r>
      <w:bookmarkEnd w:id="87"/>
      <w:bookmarkEnd w:id="88"/>
    </w:p>
    <w:p w14:paraId="1542A914">
      <w:pPr>
        <w:pStyle w:val="21"/>
        <w:spacing w:line="440" w:lineRule="exact"/>
        <w:rPr>
          <w:rFonts w:ascii="黑体" w:hAnsi="宋体" w:eastAsia="黑体"/>
          <w:b/>
          <w:color w:val="auto"/>
          <w:kern w:val="0"/>
          <w:sz w:val="32"/>
          <w:szCs w:val="32"/>
          <w:highlight w:val="none"/>
        </w:rPr>
      </w:pPr>
    </w:p>
    <w:p w14:paraId="6EFD6EC5">
      <w:pPr>
        <w:pStyle w:val="21"/>
        <w:spacing w:line="440" w:lineRule="exact"/>
        <w:rPr>
          <w:rFonts w:ascii="黑体" w:hAnsi="宋体" w:eastAsia="黑体"/>
          <w:b/>
          <w:color w:val="auto"/>
          <w:kern w:val="0"/>
          <w:sz w:val="32"/>
          <w:szCs w:val="32"/>
          <w:highlight w:val="none"/>
        </w:rPr>
      </w:pPr>
    </w:p>
    <w:p w14:paraId="7C8684BC">
      <w:pPr>
        <w:pStyle w:val="21"/>
        <w:spacing w:line="440" w:lineRule="exact"/>
        <w:rPr>
          <w:rFonts w:ascii="黑体" w:hAnsi="宋体" w:eastAsia="黑体"/>
          <w:b/>
          <w:color w:val="auto"/>
          <w:kern w:val="0"/>
          <w:sz w:val="32"/>
          <w:szCs w:val="32"/>
          <w:highlight w:val="none"/>
        </w:rPr>
      </w:pPr>
    </w:p>
    <w:p w14:paraId="15FB16E9">
      <w:pPr>
        <w:pStyle w:val="21"/>
        <w:spacing w:line="440" w:lineRule="exact"/>
        <w:rPr>
          <w:rFonts w:ascii="黑体" w:hAnsi="宋体" w:eastAsia="黑体"/>
          <w:b/>
          <w:color w:val="auto"/>
          <w:kern w:val="0"/>
          <w:sz w:val="32"/>
          <w:szCs w:val="32"/>
          <w:highlight w:val="none"/>
        </w:rPr>
      </w:pPr>
    </w:p>
    <w:p w14:paraId="48635A61">
      <w:pPr>
        <w:pStyle w:val="21"/>
        <w:spacing w:line="440" w:lineRule="exact"/>
        <w:rPr>
          <w:rFonts w:ascii="黑体" w:hAnsi="宋体" w:eastAsia="黑体"/>
          <w:b/>
          <w:color w:val="auto"/>
          <w:kern w:val="0"/>
          <w:sz w:val="32"/>
          <w:szCs w:val="32"/>
          <w:highlight w:val="none"/>
        </w:rPr>
      </w:pPr>
    </w:p>
    <w:p w14:paraId="1B961B8C">
      <w:pPr>
        <w:pStyle w:val="21"/>
        <w:spacing w:line="440" w:lineRule="exact"/>
        <w:rPr>
          <w:rFonts w:ascii="黑体" w:hAnsi="宋体" w:eastAsia="黑体"/>
          <w:b/>
          <w:color w:val="auto"/>
          <w:kern w:val="0"/>
          <w:sz w:val="32"/>
          <w:szCs w:val="32"/>
          <w:highlight w:val="none"/>
        </w:rPr>
      </w:pPr>
    </w:p>
    <w:p w14:paraId="60BAFBC7">
      <w:pPr>
        <w:pStyle w:val="21"/>
        <w:spacing w:line="440" w:lineRule="exact"/>
        <w:rPr>
          <w:rFonts w:ascii="黑体" w:hAnsi="宋体" w:eastAsia="黑体"/>
          <w:b/>
          <w:color w:val="auto"/>
          <w:kern w:val="0"/>
          <w:sz w:val="32"/>
          <w:szCs w:val="32"/>
          <w:highlight w:val="none"/>
        </w:rPr>
      </w:pPr>
    </w:p>
    <w:p w14:paraId="7E022C23">
      <w:pPr>
        <w:pStyle w:val="21"/>
        <w:spacing w:line="440" w:lineRule="exact"/>
        <w:rPr>
          <w:rFonts w:ascii="黑体" w:hAnsi="宋体" w:eastAsia="黑体"/>
          <w:b/>
          <w:color w:val="auto"/>
          <w:kern w:val="0"/>
          <w:sz w:val="32"/>
          <w:szCs w:val="32"/>
          <w:highlight w:val="none"/>
        </w:rPr>
      </w:pPr>
    </w:p>
    <w:p w14:paraId="136AE4D5">
      <w:pPr>
        <w:pStyle w:val="21"/>
        <w:spacing w:line="440" w:lineRule="exact"/>
        <w:rPr>
          <w:rFonts w:ascii="黑体" w:hAnsi="宋体" w:eastAsia="黑体"/>
          <w:b/>
          <w:color w:val="auto"/>
          <w:kern w:val="0"/>
          <w:sz w:val="32"/>
          <w:szCs w:val="32"/>
          <w:highlight w:val="none"/>
        </w:rPr>
      </w:pPr>
    </w:p>
    <w:p w14:paraId="04F0B32A">
      <w:pPr>
        <w:pStyle w:val="21"/>
        <w:spacing w:line="440" w:lineRule="exact"/>
        <w:rPr>
          <w:rFonts w:ascii="黑体" w:hAnsi="宋体" w:eastAsia="黑体"/>
          <w:b/>
          <w:color w:val="auto"/>
          <w:kern w:val="0"/>
          <w:sz w:val="32"/>
          <w:szCs w:val="32"/>
          <w:highlight w:val="none"/>
        </w:rPr>
      </w:pPr>
    </w:p>
    <w:p w14:paraId="6159C42C">
      <w:pPr>
        <w:pStyle w:val="21"/>
        <w:spacing w:line="440" w:lineRule="exact"/>
        <w:rPr>
          <w:rFonts w:hAnsi="宋体"/>
          <w:b/>
          <w:color w:val="auto"/>
          <w:kern w:val="0"/>
          <w:highlight w:val="none"/>
        </w:rPr>
      </w:pPr>
    </w:p>
    <w:p w14:paraId="6A74EF28">
      <w:pPr>
        <w:pStyle w:val="21"/>
        <w:jc w:val="center"/>
        <w:rPr>
          <w:rFonts w:ascii="仿宋_GB2312" w:hAnsi="宋体" w:eastAsia="仿宋_GB2312"/>
          <w:b/>
          <w:color w:val="auto"/>
          <w:kern w:val="0"/>
          <w:sz w:val="32"/>
          <w:szCs w:val="32"/>
          <w:highlight w:val="none"/>
        </w:rPr>
      </w:pPr>
      <w:r>
        <w:rPr>
          <w:rFonts w:ascii="仿宋_GB2312" w:hAnsi="宋体" w:eastAsia="仿宋_GB2312"/>
          <w:b/>
          <w:color w:val="auto"/>
          <w:kern w:val="0"/>
          <w:sz w:val="32"/>
          <w:szCs w:val="32"/>
          <w:highlight w:val="none"/>
        </w:rPr>
        <w:br w:type="page"/>
      </w:r>
      <w:r>
        <w:rPr>
          <w:rFonts w:hint="eastAsia" w:ascii="仿宋_GB2312" w:hAnsi="宋体" w:eastAsia="仿宋_GB2312"/>
          <w:b/>
          <w:color w:val="auto"/>
          <w:kern w:val="0"/>
          <w:sz w:val="32"/>
          <w:szCs w:val="32"/>
          <w:highlight w:val="none"/>
        </w:rPr>
        <w:t>评标标准</w:t>
      </w:r>
    </w:p>
    <w:p w14:paraId="13BE914D">
      <w:pPr>
        <w:pStyle w:val="21"/>
        <w:jc w:val="center"/>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（适用于</w:t>
      </w:r>
      <w:r>
        <w:rPr>
          <w:rFonts w:ascii="仿宋_GB2312" w:hAnsi="宋体" w:eastAsia="仿宋_GB2312"/>
          <w:b/>
          <w:color w:val="auto"/>
          <w:kern w:val="0"/>
          <w:sz w:val="32"/>
          <w:szCs w:val="32"/>
          <w:highlight w:val="none"/>
        </w:rPr>
        <w:t>14个标段）</w:t>
      </w:r>
    </w:p>
    <w:p w14:paraId="3D51197C">
      <w:pPr>
        <w:pStyle w:val="31"/>
        <w:spacing w:line="360" w:lineRule="exact"/>
        <w:ind w:left="0"/>
        <w:rPr>
          <w:b/>
          <w:bCs/>
          <w:color w:val="auto"/>
          <w:szCs w:val="21"/>
          <w:highlight w:val="none"/>
        </w:rPr>
      </w:pPr>
      <w:r>
        <w:rPr>
          <w:rFonts w:hint="eastAsia"/>
          <w:b/>
          <w:bCs/>
          <w:color w:val="auto"/>
          <w:szCs w:val="21"/>
          <w:highlight w:val="none"/>
        </w:rPr>
        <w:t>一、评标原则</w:t>
      </w:r>
    </w:p>
    <w:p w14:paraId="6739AFE6">
      <w:pPr>
        <w:pStyle w:val="31"/>
        <w:spacing w:line="360" w:lineRule="exact"/>
        <w:ind w:left="0"/>
        <w:rPr>
          <w:bCs/>
          <w:color w:val="auto"/>
          <w:szCs w:val="21"/>
          <w:highlight w:val="none"/>
        </w:rPr>
      </w:pPr>
      <w:r>
        <w:rPr>
          <w:bCs/>
          <w:color w:val="auto"/>
          <w:szCs w:val="21"/>
          <w:highlight w:val="none"/>
        </w:rPr>
        <w:t xml:space="preserve">    </w:t>
      </w:r>
      <w:r>
        <w:rPr>
          <w:rFonts w:hint="eastAsia"/>
          <w:bCs/>
          <w:color w:val="auto"/>
          <w:szCs w:val="21"/>
          <w:highlight w:val="none"/>
        </w:rPr>
        <w:t>（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24DC233F">
      <w:pPr>
        <w:spacing w:line="360" w:lineRule="exact"/>
        <w:rPr>
          <w:rFonts w:ascii="宋体" w:hAnsi="宋体"/>
          <w:b/>
          <w:color w:val="auto"/>
          <w:highlight w:val="none"/>
        </w:rPr>
      </w:pPr>
      <w:r>
        <w:rPr>
          <w:bCs/>
          <w:color w:val="auto"/>
          <w:szCs w:val="21"/>
          <w:highlight w:val="none"/>
        </w:rPr>
        <w:t xml:space="preserve">    </w:t>
      </w:r>
      <w:r>
        <w:rPr>
          <w:rFonts w:hint="eastAsia"/>
          <w:bCs/>
          <w:color w:val="auto"/>
          <w:szCs w:val="21"/>
          <w:highlight w:val="none"/>
        </w:rPr>
        <w:t>（二）评标依据：评委将以竞争性磋商文件和竞</w:t>
      </w:r>
      <w:r>
        <w:rPr>
          <w:rFonts w:hint="eastAsia" w:ascii="宋体" w:hAnsi="宋体"/>
          <w:bCs/>
          <w:color w:val="auto"/>
          <w:szCs w:val="21"/>
          <w:highlight w:val="none"/>
        </w:rPr>
        <w:t>争性磋商响应文件为评标依据，对供应商的响应文件内容按百分制打分。</w:t>
      </w:r>
    </w:p>
    <w:p w14:paraId="099C0A04">
      <w:pPr>
        <w:pStyle w:val="31"/>
        <w:spacing w:line="360" w:lineRule="exact"/>
        <w:ind w:left="0" w:firstLine="420" w:firstLineChars="200"/>
        <w:rPr>
          <w:rFonts w:ascii="宋体" w:hAnsi="宋体"/>
          <w:bCs/>
          <w:color w:val="auto"/>
          <w:szCs w:val="21"/>
          <w:highlight w:val="none"/>
        </w:rPr>
      </w:pPr>
      <w:r>
        <w:rPr>
          <w:rFonts w:hint="eastAsia" w:ascii="宋体" w:hAnsi="宋体"/>
          <w:bCs/>
          <w:color w:val="auto"/>
          <w:szCs w:val="21"/>
          <w:highlight w:val="none"/>
        </w:rPr>
        <w:t>（三）评标方式：以封闭方式进行。</w:t>
      </w:r>
    </w:p>
    <w:p w14:paraId="44894658">
      <w:pPr>
        <w:pStyle w:val="31"/>
        <w:spacing w:line="360" w:lineRule="exact"/>
        <w:ind w:left="0"/>
        <w:rPr>
          <w:rFonts w:ascii="宋体" w:hAnsi="宋体"/>
          <w:b/>
          <w:bCs/>
          <w:color w:val="auto"/>
          <w:szCs w:val="21"/>
          <w:highlight w:val="none"/>
        </w:rPr>
      </w:pPr>
      <w:r>
        <w:rPr>
          <w:rFonts w:hint="eastAsia" w:ascii="宋体" w:hAnsi="宋体"/>
          <w:b/>
          <w:bCs/>
          <w:color w:val="auto"/>
          <w:szCs w:val="21"/>
          <w:highlight w:val="none"/>
        </w:rPr>
        <w:t>二、评标方法</w:t>
      </w:r>
    </w:p>
    <w:p w14:paraId="11667ECE">
      <w:pPr>
        <w:pStyle w:val="31"/>
        <w:spacing w:line="360" w:lineRule="exact"/>
        <w:ind w:left="0"/>
        <w:rPr>
          <w:rFonts w:ascii="宋体" w:hAnsi="宋体"/>
          <w:bCs/>
          <w:color w:val="auto"/>
          <w:szCs w:val="21"/>
          <w:highlight w:val="none"/>
        </w:rPr>
      </w:pPr>
      <w:r>
        <w:rPr>
          <w:rFonts w:hint="eastAsia" w:ascii="宋体" w:hAnsi="宋体"/>
          <w:bCs/>
          <w:color w:val="auto"/>
          <w:szCs w:val="21"/>
          <w:highlight w:val="none"/>
        </w:rPr>
        <w:t>（一）对进入详评的，采用百分制综合评分法。</w:t>
      </w:r>
    </w:p>
    <w:p w14:paraId="2572B0FE">
      <w:pPr>
        <w:pStyle w:val="31"/>
        <w:spacing w:line="360" w:lineRule="exact"/>
        <w:ind w:left="0"/>
        <w:rPr>
          <w:rFonts w:ascii="宋体" w:hAnsi="宋体"/>
          <w:bCs/>
          <w:color w:val="auto"/>
          <w:szCs w:val="21"/>
          <w:highlight w:val="none"/>
        </w:rPr>
      </w:pPr>
      <w:r>
        <w:rPr>
          <w:rFonts w:hint="eastAsia" w:ascii="宋体" w:hAnsi="宋体"/>
          <w:bCs/>
          <w:color w:val="auto"/>
          <w:szCs w:val="21"/>
          <w:highlight w:val="none"/>
        </w:rPr>
        <w:t>（二）计分办法（按四舍五入取至百分位）：</w:t>
      </w:r>
    </w:p>
    <w:p w14:paraId="0757766D">
      <w:pPr>
        <w:spacing w:line="360" w:lineRule="exac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、价格分………………………………………………………………………………………………………</w:t>
      </w:r>
      <w:r>
        <w:rPr>
          <w:rFonts w:ascii="宋体" w:hAnsi="宋体"/>
          <w:b/>
          <w:color w:val="auto"/>
          <w:szCs w:val="21"/>
          <w:highlight w:val="none"/>
        </w:rPr>
        <w:t>30</w:t>
      </w:r>
      <w:r>
        <w:rPr>
          <w:rFonts w:hint="eastAsia" w:ascii="宋体" w:hAnsi="宋体"/>
          <w:b/>
          <w:color w:val="auto"/>
          <w:szCs w:val="21"/>
          <w:highlight w:val="none"/>
        </w:rPr>
        <w:t>分</w:t>
      </w:r>
    </w:p>
    <w:p w14:paraId="42DCE1B4">
      <w:pPr>
        <w:pStyle w:val="21"/>
        <w:spacing w:line="360" w:lineRule="exact"/>
        <w:ind w:firstLine="420" w:firstLineChars="200"/>
        <w:rPr>
          <w:rFonts w:hAnsi="宋体"/>
          <w:bCs/>
          <w:color w:val="auto"/>
          <w:kern w:val="0"/>
          <w:highlight w:val="none"/>
        </w:rPr>
      </w:pPr>
      <w:r>
        <w:rPr>
          <w:rFonts w:hint="eastAsia" w:hAnsi="宋体"/>
          <w:bCs/>
          <w:color w:val="auto"/>
          <w:kern w:val="0"/>
          <w:highlight w:val="none"/>
        </w:rPr>
        <w:t>（</w:t>
      </w:r>
      <w:r>
        <w:rPr>
          <w:rFonts w:hAnsi="宋体"/>
          <w:bCs/>
          <w:color w:val="auto"/>
          <w:kern w:val="0"/>
          <w:highlight w:val="none"/>
        </w:rPr>
        <w:t>1）</w:t>
      </w:r>
      <w:r>
        <w:rPr>
          <w:rFonts w:hint="eastAsia" w:hAnsi="宋体"/>
          <w:color w:val="auto"/>
          <w:highlight w:val="none"/>
        </w:rPr>
        <w:t>本项目为专门面向中小企业采购的项目，不再执行价格评审优惠的扶持政策。</w:t>
      </w:r>
    </w:p>
    <w:p w14:paraId="65F6E237">
      <w:pPr>
        <w:pStyle w:val="21"/>
        <w:spacing w:line="360" w:lineRule="exact"/>
        <w:ind w:firstLine="420" w:firstLineChars="200"/>
        <w:rPr>
          <w:rFonts w:hAnsi="宋体"/>
          <w:bCs/>
          <w:color w:val="auto"/>
          <w:kern w:val="0"/>
          <w:highlight w:val="none"/>
        </w:rPr>
      </w:pPr>
      <w:r>
        <w:rPr>
          <w:rFonts w:hint="eastAsia" w:hAnsi="宋体"/>
          <w:bCs/>
          <w:color w:val="auto"/>
          <w:kern w:val="0"/>
          <w:highlight w:val="none"/>
        </w:rPr>
        <w:t>按照《关于政府采购支持监狱企业发展有关问题的通知》（财库〔</w:t>
      </w:r>
      <w:r>
        <w:rPr>
          <w:rFonts w:hAnsi="宋体"/>
          <w:bCs/>
          <w:color w:val="auto"/>
          <w:kern w:val="0"/>
          <w:highlight w:val="none"/>
        </w:rPr>
        <w:t>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DC0F72A">
      <w:pPr>
        <w:pStyle w:val="21"/>
        <w:spacing w:line="360" w:lineRule="exact"/>
        <w:ind w:firstLine="420" w:firstLineChars="200"/>
        <w:rPr>
          <w:rFonts w:hAnsi="宋体"/>
          <w:bCs/>
          <w:color w:val="auto"/>
          <w:kern w:val="0"/>
          <w:highlight w:val="none"/>
        </w:rPr>
      </w:pPr>
      <w:r>
        <w:rPr>
          <w:rFonts w:hint="eastAsia" w:hAnsi="宋体"/>
          <w:bCs/>
          <w:color w:val="auto"/>
          <w:kern w:val="0"/>
          <w:highlight w:val="none"/>
        </w:rPr>
        <w:t>符合《关于促进残疾人就业政府采购政策的通知》</w:t>
      </w:r>
      <w:r>
        <w:rPr>
          <w:rFonts w:hAnsi="宋体"/>
          <w:bCs/>
          <w:color w:val="auto"/>
          <w:kern w:val="0"/>
          <w:highlight w:val="none"/>
        </w:rPr>
        <w:t>(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14:paraId="31E93A24">
      <w:pPr>
        <w:spacing w:line="400" w:lineRule="exact"/>
        <w:ind w:firstLine="420" w:firstLineChars="200"/>
        <w:rPr>
          <w:rFonts w:ascii="宋体" w:hAnsi="宋体"/>
          <w:color w:val="auto"/>
          <w:kern w:val="0"/>
          <w:szCs w:val="21"/>
          <w:highlight w:val="none"/>
        </w:rPr>
      </w:pPr>
      <w:r>
        <w:rPr>
          <w:rFonts w:hint="eastAsia" w:hAnsi="宋体"/>
          <w:bCs/>
          <w:color w:val="auto"/>
          <w:kern w:val="0"/>
          <w:highlight w:val="none"/>
        </w:rPr>
        <w:t>（</w:t>
      </w:r>
      <w:r>
        <w:rPr>
          <w:rFonts w:hAnsi="宋体"/>
          <w:bCs/>
          <w:color w:val="auto"/>
          <w:kern w:val="0"/>
          <w:highlight w:val="none"/>
        </w:rPr>
        <w:t>2</w:t>
      </w:r>
      <w:r>
        <w:rPr>
          <w:rFonts w:hint="eastAsia" w:ascii="宋体" w:hAnsi="宋体"/>
          <w:color w:val="auto"/>
          <w:szCs w:val="20"/>
          <w:highlight w:val="none"/>
        </w:rPr>
        <w:t>）</w:t>
      </w:r>
      <w:r>
        <w:rPr>
          <w:rFonts w:hint="eastAsia" w:ascii="宋体" w:hAnsi="Courier New"/>
          <w:b/>
          <w:bCs/>
          <w:color w:val="auto"/>
          <w:kern w:val="0"/>
          <w:szCs w:val="21"/>
          <w:highlight w:val="none"/>
          <w:u w:val="single"/>
        </w:rPr>
        <w:t>本项目投标报价采用</w:t>
      </w:r>
      <w:r>
        <w:rPr>
          <w:rFonts w:hint="eastAsia" w:ascii="宋体" w:hAnsi="宋体"/>
          <w:b/>
          <w:bCs/>
          <w:color w:val="auto"/>
          <w:szCs w:val="21"/>
          <w:highlight w:val="none"/>
        </w:rPr>
        <w:t>折扣率</w:t>
      </w:r>
      <w:r>
        <w:rPr>
          <w:rFonts w:hint="eastAsia" w:ascii="宋体" w:hAnsi="Courier New"/>
          <w:b/>
          <w:bCs/>
          <w:color w:val="auto"/>
          <w:kern w:val="0"/>
          <w:szCs w:val="21"/>
          <w:highlight w:val="none"/>
          <w:u w:val="single"/>
        </w:rPr>
        <w:t>报价，由投标人根据市场价格及自我承受能力按</w:t>
      </w:r>
      <w:r>
        <w:rPr>
          <w:rFonts w:hint="eastAsia" w:ascii="宋体" w:hAnsi="宋体"/>
          <w:b/>
          <w:bCs/>
          <w:color w:val="auto"/>
          <w:szCs w:val="21"/>
          <w:highlight w:val="none"/>
        </w:rPr>
        <w:t>折扣率</w:t>
      </w:r>
      <w:r>
        <w:rPr>
          <w:rFonts w:hint="eastAsia" w:ascii="宋体" w:hAnsi="Courier New"/>
          <w:b/>
          <w:bCs/>
          <w:color w:val="auto"/>
          <w:kern w:val="0"/>
          <w:szCs w:val="21"/>
          <w:highlight w:val="none"/>
          <w:u w:val="single"/>
        </w:rPr>
        <w:t>进行报价</w:t>
      </w:r>
      <w:r>
        <w:rPr>
          <w:rFonts w:hint="eastAsia" w:ascii="宋体" w:hAnsi="宋体" w:cs="Courier New"/>
          <w:color w:val="auto"/>
          <w:kern w:val="0"/>
          <w:szCs w:val="21"/>
          <w:highlight w:val="none"/>
        </w:rPr>
        <w:t>，报价的有效范围：</w:t>
      </w:r>
      <w:r>
        <w:rPr>
          <w:b/>
          <w:color w:val="auto"/>
          <w:szCs w:val="21"/>
          <w:highlight w:val="none"/>
        </w:rPr>
        <w:t>0%</w:t>
      </w:r>
      <w:r>
        <w:rPr>
          <w:rFonts w:ascii="宋体" w:hAnsi="宋体" w:cs="宋体"/>
          <w:b/>
          <w:color w:val="auto"/>
          <w:kern w:val="0"/>
          <w:szCs w:val="21"/>
          <w:highlight w:val="none"/>
        </w:rPr>
        <w:t>&lt;</w:t>
      </w:r>
      <w:r>
        <w:rPr>
          <w:rFonts w:hint="eastAsia" w:ascii="宋体" w:hAnsi="宋体"/>
          <w:b/>
          <w:bCs/>
          <w:color w:val="auto"/>
          <w:szCs w:val="21"/>
          <w:highlight w:val="none"/>
        </w:rPr>
        <w:t>折扣率</w:t>
      </w:r>
      <w:r>
        <w:rPr>
          <w:rFonts w:hint="eastAsia" w:ascii="宋体" w:hAnsi="宋体" w:cs="宋体"/>
          <w:b/>
          <w:color w:val="auto"/>
          <w:kern w:val="0"/>
          <w:szCs w:val="21"/>
          <w:highlight w:val="none"/>
        </w:rPr>
        <w:t>≤</w:t>
      </w:r>
      <w:r>
        <w:rPr>
          <w:rFonts w:ascii="宋体" w:hAnsi="宋体" w:cs="宋体"/>
          <w:b/>
          <w:color w:val="auto"/>
          <w:kern w:val="0"/>
          <w:szCs w:val="21"/>
          <w:highlight w:val="none"/>
        </w:rPr>
        <w:t xml:space="preserve">100% </w:t>
      </w:r>
      <w:r>
        <w:rPr>
          <w:rFonts w:hint="eastAsia" w:ascii="宋体" w:hAnsi="宋体" w:cs="Courier New"/>
          <w:color w:val="auto"/>
          <w:kern w:val="0"/>
          <w:szCs w:val="21"/>
          <w:highlight w:val="none"/>
        </w:rPr>
        <w:t>。</w:t>
      </w:r>
    </w:p>
    <w:p w14:paraId="18E40B5E">
      <w:pPr>
        <w:spacing w:line="400" w:lineRule="exact"/>
        <w:ind w:firstLine="420" w:firstLineChars="200"/>
        <w:rPr>
          <w:rFonts w:ascii="宋体" w:hAnsi="Courier New"/>
          <w:color w:val="auto"/>
          <w:szCs w:val="20"/>
          <w:highlight w:val="none"/>
        </w:rPr>
      </w:pPr>
      <w:r>
        <w:rPr>
          <w:rFonts w:hint="eastAsia" w:ascii="宋体" w:hAnsi="宋体"/>
          <w:color w:val="auto"/>
          <w:szCs w:val="20"/>
          <w:highlight w:val="none"/>
        </w:rPr>
        <w:t>（</w:t>
      </w:r>
      <w:r>
        <w:rPr>
          <w:rFonts w:ascii="宋体" w:hAnsi="宋体"/>
          <w:color w:val="auto"/>
          <w:szCs w:val="20"/>
          <w:highlight w:val="none"/>
        </w:rPr>
        <w:t>3）</w:t>
      </w:r>
      <w:r>
        <w:rPr>
          <w:rFonts w:hint="eastAsia" w:hAnsi="宋体"/>
          <w:color w:val="auto"/>
          <w:highlight w:val="none"/>
        </w:rPr>
        <w:t>除上述情况外，评标价＝投标报价；</w:t>
      </w:r>
    </w:p>
    <w:p w14:paraId="374260E6">
      <w:pPr>
        <w:spacing w:line="360" w:lineRule="auto"/>
        <w:ind w:firstLine="420" w:firstLineChars="200"/>
        <w:rPr>
          <w:rFonts w:ascii="宋体" w:hAnsi="Courier New"/>
          <w:color w:val="auto"/>
          <w:szCs w:val="20"/>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）价格分计算公式：</w:t>
      </w:r>
    </w:p>
    <w:p w14:paraId="092E1573">
      <w:pPr>
        <w:spacing w:line="300" w:lineRule="exact"/>
        <w:ind w:firstLine="404" w:firstLineChars="200"/>
        <w:rPr>
          <w:rFonts w:ascii="宋体" w:hAnsi="宋体"/>
          <w:color w:val="auto"/>
          <w:spacing w:val="-4"/>
          <w:szCs w:val="20"/>
          <w:highlight w:val="none"/>
        </w:rPr>
      </w:pPr>
      <w:r>
        <w:rPr>
          <w:rFonts w:ascii="宋体" w:hAnsi="宋体"/>
          <w:color w:val="auto"/>
          <w:spacing w:val="-4"/>
          <w:szCs w:val="20"/>
          <w:highlight w:val="none"/>
        </w:rPr>
        <w:t xml:space="preserve">               　　 </w:t>
      </w:r>
      <w:r>
        <w:rPr>
          <w:rFonts w:hint="eastAsia" w:ascii="宋体" w:hAnsi="宋体"/>
          <w:bCs/>
          <w:color w:val="auto"/>
          <w:kern w:val="0"/>
          <w:highlight w:val="none"/>
        </w:rPr>
        <w:t>供应商最低评标报价</w:t>
      </w:r>
    </w:p>
    <w:p w14:paraId="11B72897">
      <w:pPr>
        <w:spacing w:line="300" w:lineRule="exact"/>
        <w:ind w:firstLine="344" w:firstLineChars="200"/>
        <w:rPr>
          <w:rFonts w:ascii="宋体" w:hAnsi="宋体"/>
          <w:color w:val="auto"/>
          <w:spacing w:val="-4"/>
          <w:szCs w:val="20"/>
          <w:highlight w:val="none"/>
        </w:rPr>
      </w:pPr>
      <w:r>
        <w:rPr>
          <w:rFonts w:ascii="宋体" w:hAnsi="Courier New"/>
          <w:color w:val="auto"/>
          <w:spacing w:val="-4"/>
          <w:sz w:val="18"/>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1400175</wp:posOffset>
                </wp:positionH>
                <wp:positionV relativeFrom="paragraph">
                  <wp:posOffset>107315</wp:posOffset>
                </wp:positionV>
                <wp:extent cx="16002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0.25pt;margin-top:8.45pt;height:0pt;width:126pt;z-index:251659264;mso-width-relative:page;mso-height-relative:page;" filled="f" stroked="t" coordsize="21600,21600" o:gfxdata="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BKXz&#10;1QAAAAkBAAAPAAAAAAAAAAEAIAAAACIAAABkcnMvZG93bnJldi54bWxQSwECFAAUAAAACACHTuJA&#10;s903U+sBAADY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olor w:val="auto"/>
          <w:spacing w:val="-4"/>
          <w:szCs w:val="20"/>
          <w:highlight w:val="none"/>
        </w:rPr>
        <w:t>某</w:t>
      </w:r>
      <w:r>
        <w:rPr>
          <w:rFonts w:hint="eastAsia" w:ascii="宋体" w:hAnsi="宋体"/>
          <w:bCs/>
          <w:color w:val="auto"/>
          <w:kern w:val="0"/>
          <w:highlight w:val="none"/>
        </w:rPr>
        <w:t>供应商</w:t>
      </w:r>
      <w:r>
        <w:rPr>
          <w:rFonts w:hint="eastAsia" w:ascii="宋体" w:hAnsi="宋体"/>
          <w:color w:val="auto"/>
          <w:spacing w:val="-4"/>
          <w:szCs w:val="20"/>
          <w:highlight w:val="none"/>
        </w:rPr>
        <w:t>价格分</w:t>
      </w:r>
      <w:r>
        <w:rPr>
          <w:rFonts w:ascii="宋体" w:hAnsi="宋体"/>
          <w:color w:val="auto"/>
          <w:spacing w:val="-4"/>
          <w:szCs w:val="20"/>
          <w:highlight w:val="none"/>
        </w:rPr>
        <w:t xml:space="preserve"> ＝                            ×　</w:t>
      </w:r>
      <w:r>
        <w:rPr>
          <w:rFonts w:ascii="宋体" w:hAnsi="宋体"/>
          <w:b/>
          <w:color w:val="auto"/>
          <w:spacing w:val="-4"/>
          <w:szCs w:val="20"/>
          <w:highlight w:val="none"/>
        </w:rPr>
        <w:t>30分</w:t>
      </w:r>
    </w:p>
    <w:p w14:paraId="19EEB479">
      <w:pPr>
        <w:spacing w:line="300" w:lineRule="exact"/>
        <w:ind w:firstLine="404" w:firstLineChars="200"/>
        <w:rPr>
          <w:rFonts w:ascii="宋体" w:hAnsi="宋体"/>
          <w:color w:val="auto"/>
          <w:spacing w:val="-4"/>
          <w:szCs w:val="20"/>
          <w:highlight w:val="none"/>
        </w:rPr>
      </w:pPr>
      <w:r>
        <w:rPr>
          <w:rFonts w:ascii="宋体" w:hAnsi="宋体"/>
          <w:color w:val="auto"/>
          <w:spacing w:val="-4"/>
          <w:szCs w:val="20"/>
          <w:highlight w:val="none"/>
        </w:rPr>
        <w:t xml:space="preserve">                   　</w:t>
      </w:r>
      <w:r>
        <w:rPr>
          <w:rFonts w:hint="eastAsia" w:ascii="宋体" w:hAnsi="宋体"/>
          <w:bCs/>
          <w:color w:val="auto"/>
          <w:kern w:val="0"/>
          <w:highlight w:val="none"/>
        </w:rPr>
        <w:t>某供应商评标报价</w:t>
      </w:r>
    </w:p>
    <w:p w14:paraId="6C778058">
      <w:pPr>
        <w:spacing w:line="360" w:lineRule="exact"/>
        <w:ind w:firstLine="420" w:firstLineChars="200"/>
        <w:rPr>
          <w:rFonts w:ascii="宋体" w:hAnsi="宋体" w:cs="宋体"/>
          <w:color w:val="auto"/>
          <w:szCs w:val="21"/>
          <w:highlight w:val="none"/>
        </w:rPr>
      </w:pPr>
    </w:p>
    <w:p w14:paraId="0CF0397A">
      <w:pPr>
        <w:spacing w:line="360" w:lineRule="auto"/>
        <w:ind w:firstLine="422" w:firstLineChars="200"/>
        <w:rPr>
          <w:rFonts w:ascii="宋体" w:hAnsi="宋体"/>
          <w:b/>
          <w:color w:val="auto"/>
          <w:highlight w:val="none"/>
        </w:rPr>
      </w:pPr>
      <w:r>
        <w:rPr>
          <w:rFonts w:ascii="宋体" w:hAnsi="宋体"/>
          <w:b/>
          <w:color w:val="auto"/>
          <w:highlight w:val="none"/>
        </w:rPr>
        <w:t>2、技术分……</w:t>
      </w:r>
      <w:r>
        <w:rPr>
          <w:rFonts w:hint="eastAsia" w:ascii="宋体" w:hAnsi="宋体"/>
          <w:b/>
          <w:color w:val="auto"/>
          <w:highlight w:val="none"/>
        </w:rPr>
        <w:t>……………………………………………………………………………………………</w:t>
      </w:r>
      <w:r>
        <w:rPr>
          <w:rFonts w:ascii="宋体" w:hAnsi="宋体"/>
          <w:b/>
          <w:color w:val="auto"/>
          <w:highlight w:val="none"/>
        </w:rPr>
        <w:t>40分</w:t>
      </w:r>
    </w:p>
    <w:p w14:paraId="6A66A676">
      <w:pPr>
        <w:spacing w:line="360" w:lineRule="auto"/>
        <w:ind w:firstLine="422" w:firstLineChars="200"/>
        <w:rPr>
          <w:rFonts w:ascii="Calibri" w:hAnsi="宋体"/>
          <w:bCs/>
          <w:color w:val="auto"/>
          <w:szCs w:val="21"/>
          <w:highlight w:val="none"/>
        </w:rPr>
      </w:pPr>
      <w:r>
        <w:rPr>
          <w:rFonts w:hint="eastAsia" w:ascii="宋体" w:hAnsi="Courier New"/>
          <w:b/>
          <w:color w:val="auto"/>
          <w:highlight w:val="none"/>
        </w:rPr>
        <w:t>（1）开展上门送车、收车服务分：</w:t>
      </w:r>
      <w:r>
        <w:rPr>
          <w:rFonts w:hint="eastAsia" w:ascii="宋体" w:hAnsi="Courier New"/>
          <w:color w:val="auto"/>
          <w:highlight w:val="none"/>
        </w:rPr>
        <w:t>（</w:t>
      </w:r>
      <w:r>
        <w:rPr>
          <w:rFonts w:hint="eastAsia" w:ascii="宋体" w:hAnsi="Courier New"/>
          <w:b/>
          <w:color w:val="auto"/>
          <w:highlight w:val="none"/>
        </w:rPr>
        <w:t>满分1分</w:t>
      </w:r>
      <w:r>
        <w:rPr>
          <w:rFonts w:hint="eastAsia" w:ascii="宋体" w:hAnsi="Courier New"/>
          <w:color w:val="auto"/>
          <w:highlight w:val="none"/>
        </w:rPr>
        <w:t>，</w:t>
      </w:r>
      <w:r>
        <w:rPr>
          <w:rFonts w:hint="eastAsia" w:ascii="Calibri" w:hAnsi="宋体"/>
          <w:bCs/>
          <w:color w:val="auto"/>
          <w:szCs w:val="21"/>
          <w:highlight w:val="none"/>
        </w:rPr>
        <w:t>根据《服务需求一览表》中的“服务内容及要求”栏中“四、服务要求</w:t>
      </w:r>
      <w:r>
        <w:rPr>
          <w:rFonts w:hint="eastAsia" w:ascii="Calibri" w:hAnsi="宋体"/>
          <w:b/>
          <w:bCs/>
          <w:color w:val="auto"/>
          <w:szCs w:val="21"/>
          <w:highlight w:val="none"/>
        </w:rPr>
        <w:t>第</w:t>
      </w:r>
      <w:r>
        <w:rPr>
          <w:rFonts w:ascii="Calibri" w:hAnsi="宋体"/>
          <w:b/>
          <w:bCs/>
          <w:color w:val="auto"/>
          <w:szCs w:val="21"/>
          <w:highlight w:val="none"/>
        </w:rPr>
        <w:t>1</w:t>
      </w:r>
      <w:r>
        <w:rPr>
          <w:rFonts w:hint="eastAsia" w:ascii="Calibri" w:hAnsi="宋体"/>
          <w:b/>
          <w:bCs/>
          <w:color w:val="auto"/>
          <w:szCs w:val="21"/>
          <w:highlight w:val="none"/>
        </w:rPr>
        <w:t>点</w:t>
      </w:r>
      <w:r>
        <w:rPr>
          <w:rFonts w:hint="eastAsia" w:ascii="Calibri" w:hAnsi="宋体"/>
          <w:bCs/>
          <w:color w:val="auto"/>
          <w:szCs w:val="21"/>
          <w:highlight w:val="none"/>
        </w:rPr>
        <w:t>的内容评审</w:t>
      </w:r>
      <w:r>
        <w:rPr>
          <w:rFonts w:hint="eastAsia" w:ascii="宋体" w:hAnsi="Courier New"/>
          <w:color w:val="auto"/>
          <w:highlight w:val="none"/>
        </w:rPr>
        <w:t>）</w:t>
      </w:r>
    </w:p>
    <w:p w14:paraId="58C2CC96">
      <w:pPr>
        <w:spacing w:line="360" w:lineRule="auto"/>
        <w:ind w:firstLine="525" w:firstLineChars="250"/>
        <w:rPr>
          <w:rFonts w:ascii="Calibri" w:hAnsi="宋体"/>
          <w:bCs/>
          <w:color w:val="auto"/>
          <w:szCs w:val="21"/>
          <w:highlight w:val="none"/>
        </w:rPr>
      </w:pPr>
      <w:r>
        <w:rPr>
          <w:rFonts w:ascii="Calibri" w:hAnsi="宋体"/>
          <w:bCs/>
          <w:color w:val="auto"/>
          <w:szCs w:val="21"/>
          <w:highlight w:val="none"/>
        </w:rPr>
        <w:t>1</w:t>
      </w:r>
      <w:r>
        <w:rPr>
          <w:rFonts w:hint="eastAsia" w:ascii="Calibri" w:hAnsi="宋体"/>
          <w:bCs/>
          <w:color w:val="auto"/>
          <w:szCs w:val="21"/>
          <w:highlight w:val="none"/>
        </w:rPr>
        <w:t>）完全满足磋商文件且评标时被磋商小组接受的，得</w:t>
      </w:r>
      <w:r>
        <w:rPr>
          <w:rFonts w:ascii="Calibri" w:hAnsi="宋体"/>
          <w:b/>
          <w:bCs/>
          <w:color w:val="auto"/>
          <w:szCs w:val="21"/>
          <w:highlight w:val="none"/>
        </w:rPr>
        <w:t>1</w:t>
      </w:r>
      <w:r>
        <w:rPr>
          <w:rFonts w:hint="eastAsia" w:ascii="Calibri" w:hAnsi="宋体"/>
          <w:b/>
          <w:bCs/>
          <w:color w:val="auto"/>
          <w:szCs w:val="21"/>
          <w:highlight w:val="none"/>
        </w:rPr>
        <w:t>分</w:t>
      </w:r>
      <w:r>
        <w:rPr>
          <w:rFonts w:hint="eastAsia" w:ascii="Calibri" w:hAnsi="宋体"/>
          <w:bCs/>
          <w:color w:val="auto"/>
          <w:szCs w:val="21"/>
          <w:highlight w:val="none"/>
        </w:rPr>
        <w:t>。</w:t>
      </w:r>
    </w:p>
    <w:p w14:paraId="512B7649">
      <w:pPr>
        <w:spacing w:line="360" w:lineRule="auto"/>
        <w:ind w:firstLine="422" w:firstLineChars="200"/>
        <w:rPr>
          <w:rFonts w:ascii="Calibri" w:hAnsi="宋体"/>
          <w:bCs/>
          <w:color w:val="auto"/>
          <w:szCs w:val="21"/>
          <w:highlight w:val="none"/>
        </w:rPr>
      </w:pPr>
      <w:r>
        <w:rPr>
          <w:rFonts w:hint="eastAsia" w:ascii="宋体" w:hAnsi="Courier New"/>
          <w:b/>
          <w:color w:val="auto"/>
          <w:highlight w:val="none"/>
        </w:rPr>
        <w:t>（2）租赁业务信息化管理分：</w:t>
      </w:r>
      <w:r>
        <w:rPr>
          <w:rFonts w:hint="eastAsia" w:ascii="宋体" w:hAnsi="Courier New"/>
          <w:color w:val="auto"/>
          <w:highlight w:val="none"/>
        </w:rPr>
        <w:t>（</w:t>
      </w:r>
      <w:r>
        <w:rPr>
          <w:rFonts w:hint="eastAsia" w:ascii="宋体" w:hAnsi="Courier New"/>
          <w:b/>
          <w:color w:val="auto"/>
          <w:highlight w:val="none"/>
        </w:rPr>
        <w:t>满分2分</w:t>
      </w:r>
      <w:r>
        <w:rPr>
          <w:rFonts w:hint="eastAsia" w:ascii="宋体" w:hAnsi="Courier New"/>
          <w:color w:val="auto"/>
          <w:highlight w:val="none"/>
        </w:rPr>
        <w:t>，</w:t>
      </w:r>
      <w:r>
        <w:rPr>
          <w:rFonts w:hint="eastAsia" w:ascii="Calibri" w:hAnsi="宋体"/>
          <w:bCs/>
          <w:color w:val="auto"/>
          <w:szCs w:val="21"/>
          <w:highlight w:val="none"/>
        </w:rPr>
        <w:t>根据《服务需求一览表》中的“服务内容及要求”栏中“四、服务要求第</w:t>
      </w:r>
      <w:r>
        <w:rPr>
          <w:rFonts w:ascii="Calibri" w:hAnsi="宋体"/>
          <w:bCs/>
          <w:color w:val="auto"/>
          <w:szCs w:val="21"/>
          <w:highlight w:val="none"/>
        </w:rPr>
        <w:t>2</w:t>
      </w:r>
      <w:r>
        <w:rPr>
          <w:rFonts w:hint="eastAsia" w:ascii="Calibri" w:hAnsi="宋体"/>
          <w:bCs/>
          <w:color w:val="auto"/>
          <w:szCs w:val="21"/>
          <w:highlight w:val="none"/>
        </w:rPr>
        <w:t>点的内容评审</w:t>
      </w:r>
      <w:r>
        <w:rPr>
          <w:rFonts w:hint="eastAsia" w:ascii="宋体" w:hAnsi="Courier New"/>
          <w:color w:val="auto"/>
          <w:highlight w:val="none"/>
        </w:rPr>
        <w:t>）</w:t>
      </w:r>
    </w:p>
    <w:p w14:paraId="7B86B698">
      <w:pPr>
        <w:spacing w:line="360" w:lineRule="auto"/>
        <w:ind w:firstLine="525" w:firstLineChars="250"/>
        <w:rPr>
          <w:rFonts w:ascii="Calibri" w:hAnsi="宋体"/>
          <w:bCs/>
          <w:color w:val="auto"/>
          <w:szCs w:val="21"/>
          <w:highlight w:val="none"/>
        </w:rPr>
      </w:pPr>
      <w:r>
        <w:rPr>
          <w:rFonts w:ascii="Calibri" w:hAnsi="宋体"/>
          <w:bCs/>
          <w:color w:val="auto"/>
          <w:szCs w:val="21"/>
          <w:highlight w:val="none"/>
        </w:rPr>
        <w:t>1</w:t>
      </w:r>
      <w:r>
        <w:rPr>
          <w:rFonts w:hint="eastAsia" w:ascii="Calibri" w:hAnsi="宋体"/>
          <w:bCs/>
          <w:color w:val="auto"/>
          <w:szCs w:val="21"/>
          <w:highlight w:val="none"/>
        </w:rPr>
        <w:t>）基本分：拟投入标地车辆配备</w:t>
      </w:r>
      <w:r>
        <w:rPr>
          <w:rFonts w:ascii="Calibri" w:hAnsi="宋体"/>
          <w:bCs/>
          <w:color w:val="auto"/>
          <w:szCs w:val="21"/>
          <w:highlight w:val="none"/>
        </w:rPr>
        <w:t>GPS</w:t>
      </w:r>
      <w:r>
        <w:rPr>
          <w:rFonts w:hint="eastAsia" w:ascii="Calibri" w:hAnsi="宋体"/>
          <w:bCs/>
          <w:color w:val="auto"/>
          <w:szCs w:val="21"/>
          <w:highlight w:val="none"/>
        </w:rPr>
        <w:t>或北斗终端定位</w:t>
      </w:r>
      <w:r>
        <w:rPr>
          <w:rFonts w:ascii="Calibri" w:hAnsi="宋体"/>
          <w:bCs/>
          <w:color w:val="auto"/>
          <w:szCs w:val="21"/>
          <w:highlight w:val="none"/>
        </w:rPr>
        <w:t>5</w:t>
      </w:r>
      <w:r>
        <w:rPr>
          <w:rFonts w:hint="eastAsia" w:ascii="Calibri" w:hAnsi="宋体"/>
          <w:bCs/>
          <w:color w:val="auto"/>
          <w:szCs w:val="21"/>
          <w:highlight w:val="none"/>
        </w:rPr>
        <w:t>辆的，得基本分</w:t>
      </w:r>
      <w:r>
        <w:rPr>
          <w:rFonts w:ascii="Calibri" w:hAnsi="宋体"/>
          <w:b/>
          <w:bCs/>
          <w:color w:val="auto"/>
          <w:szCs w:val="21"/>
          <w:highlight w:val="none"/>
        </w:rPr>
        <w:t>1</w:t>
      </w:r>
      <w:r>
        <w:rPr>
          <w:rFonts w:hint="eastAsia" w:ascii="Calibri" w:hAnsi="宋体"/>
          <w:b/>
          <w:bCs/>
          <w:color w:val="auto"/>
          <w:szCs w:val="21"/>
          <w:highlight w:val="none"/>
        </w:rPr>
        <w:t>分</w:t>
      </w:r>
      <w:r>
        <w:rPr>
          <w:rFonts w:hint="eastAsia" w:ascii="Calibri" w:hAnsi="宋体"/>
          <w:bCs/>
          <w:color w:val="auto"/>
          <w:szCs w:val="21"/>
          <w:highlight w:val="none"/>
        </w:rPr>
        <w:t>。</w:t>
      </w:r>
    </w:p>
    <w:p w14:paraId="4A3E6E6D">
      <w:pPr>
        <w:spacing w:line="360" w:lineRule="auto"/>
        <w:ind w:firstLine="525" w:firstLineChars="250"/>
        <w:rPr>
          <w:rFonts w:ascii="Calibri" w:hAnsi="宋体"/>
          <w:bCs/>
          <w:color w:val="auto"/>
          <w:szCs w:val="21"/>
          <w:highlight w:val="none"/>
        </w:rPr>
      </w:pPr>
      <w:r>
        <w:rPr>
          <w:rFonts w:ascii="Calibri" w:hAnsi="宋体"/>
          <w:bCs/>
          <w:color w:val="auto"/>
          <w:szCs w:val="21"/>
          <w:highlight w:val="none"/>
        </w:rPr>
        <w:t>2</w:t>
      </w:r>
      <w:r>
        <w:rPr>
          <w:rFonts w:hint="eastAsia" w:ascii="Calibri" w:hAnsi="宋体"/>
          <w:bCs/>
          <w:color w:val="auto"/>
          <w:szCs w:val="21"/>
          <w:highlight w:val="none"/>
        </w:rPr>
        <w:t>）加分：每多配备一辆增加</w:t>
      </w:r>
      <w:r>
        <w:rPr>
          <w:rFonts w:ascii="Calibri" w:hAnsi="宋体"/>
          <w:bCs/>
          <w:color w:val="auto"/>
          <w:szCs w:val="21"/>
          <w:highlight w:val="none"/>
        </w:rPr>
        <w:t>0.5</w:t>
      </w:r>
      <w:r>
        <w:rPr>
          <w:rFonts w:hint="eastAsia" w:ascii="Calibri" w:hAnsi="宋体"/>
          <w:bCs/>
          <w:color w:val="auto"/>
          <w:szCs w:val="21"/>
          <w:highlight w:val="none"/>
        </w:rPr>
        <w:t>分，满分</w:t>
      </w:r>
      <w:r>
        <w:rPr>
          <w:rFonts w:ascii="Calibri" w:hAnsi="宋体"/>
          <w:bCs/>
          <w:color w:val="auto"/>
          <w:szCs w:val="21"/>
          <w:highlight w:val="none"/>
        </w:rPr>
        <w:t>1</w:t>
      </w:r>
      <w:r>
        <w:rPr>
          <w:rFonts w:hint="eastAsia" w:ascii="Calibri" w:hAnsi="宋体"/>
          <w:b/>
          <w:bCs/>
          <w:color w:val="auto"/>
          <w:szCs w:val="21"/>
          <w:highlight w:val="none"/>
        </w:rPr>
        <w:t>分</w:t>
      </w:r>
      <w:r>
        <w:rPr>
          <w:rFonts w:hint="eastAsia" w:ascii="Calibri" w:hAnsi="宋体"/>
          <w:bCs/>
          <w:color w:val="auto"/>
          <w:szCs w:val="21"/>
          <w:highlight w:val="none"/>
        </w:rPr>
        <w:t>。</w:t>
      </w:r>
    </w:p>
    <w:p w14:paraId="66F96376">
      <w:pPr>
        <w:spacing w:line="400" w:lineRule="exact"/>
        <w:ind w:firstLine="422" w:firstLineChars="200"/>
        <w:rPr>
          <w:rFonts w:ascii="宋体" w:hAnsi="Courier New"/>
          <w:color w:val="auto"/>
          <w:highlight w:val="none"/>
        </w:rPr>
      </w:pPr>
      <w:r>
        <w:rPr>
          <w:rFonts w:hint="eastAsia" w:ascii="宋体" w:hAnsi="Courier New"/>
          <w:b/>
          <w:color w:val="auto"/>
          <w:highlight w:val="none"/>
        </w:rPr>
        <w:t>（3）短时租赁服务及报价机制分：（满分1分，</w:t>
      </w:r>
      <w:r>
        <w:rPr>
          <w:rFonts w:hint="eastAsia" w:ascii="Calibri" w:hAnsi="宋体"/>
          <w:bCs/>
          <w:color w:val="auto"/>
          <w:szCs w:val="21"/>
          <w:highlight w:val="none"/>
        </w:rPr>
        <w:t>根据《服务需求一览表》中的“服务内容及要求”栏中“四、服务要求第</w:t>
      </w:r>
      <w:r>
        <w:rPr>
          <w:rFonts w:ascii="Calibri" w:hAnsi="宋体"/>
          <w:bCs/>
          <w:color w:val="auto"/>
          <w:szCs w:val="21"/>
          <w:highlight w:val="none"/>
        </w:rPr>
        <w:t>3</w:t>
      </w:r>
      <w:r>
        <w:rPr>
          <w:rFonts w:hint="eastAsia" w:ascii="Calibri" w:hAnsi="宋体"/>
          <w:bCs/>
          <w:color w:val="auto"/>
          <w:szCs w:val="21"/>
          <w:highlight w:val="none"/>
        </w:rPr>
        <w:t>点的内容评审</w:t>
      </w:r>
      <w:r>
        <w:rPr>
          <w:rFonts w:hint="eastAsia" w:ascii="宋体" w:hAnsi="Courier New"/>
          <w:color w:val="auto"/>
          <w:highlight w:val="none"/>
        </w:rPr>
        <w:t>）</w:t>
      </w:r>
    </w:p>
    <w:p w14:paraId="59689DA3">
      <w:pPr>
        <w:spacing w:line="400" w:lineRule="exact"/>
        <w:ind w:firstLine="420" w:firstLineChars="200"/>
        <w:rPr>
          <w:rFonts w:ascii="宋体" w:hAnsi="Courier New"/>
          <w:color w:val="auto"/>
          <w:highlight w:val="none"/>
        </w:rPr>
      </w:pPr>
      <w:r>
        <w:rPr>
          <w:rFonts w:hint="eastAsia" w:ascii="宋体" w:hAnsi="Courier New"/>
          <w:color w:val="auto"/>
          <w:highlight w:val="none"/>
        </w:rPr>
        <w:t>1）供应商面向该项目提供短时租赁用车服务（半天或小于半天），并具有健全服务方案的，得1分。</w:t>
      </w:r>
    </w:p>
    <w:p w14:paraId="57458AA6">
      <w:pPr>
        <w:spacing w:line="400" w:lineRule="exact"/>
        <w:ind w:firstLine="422" w:firstLineChars="200"/>
        <w:rPr>
          <w:rFonts w:ascii="宋体" w:hAnsi="Courier New"/>
          <w:color w:val="auto"/>
          <w:highlight w:val="none"/>
        </w:rPr>
      </w:pPr>
      <w:r>
        <w:rPr>
          <w:rFonts w:hint="eastAsia" w:ascii="宋体" w:hAnsi="Courier New"/>
          <w:b/>
          <w:color w:val="auto"/>
          <w:highlight w:val="none"/>
        </w:rPr>
        <w:t>（4）车辆保险险种分：</w:t>
      </w:r>
      <w:r>
        <w:rPr>
          <w:rFonts w:hint="eastAsia" w:ascii="宋体" w:hAnsi="Courier New"/>
          <w:color w:val="auto"/>
          <w:highlight w:val="none"/>
        </w:rPr>
        <w:t>除国家规定的必保险种，投标商承诺中标后额外为本次政府采购提供服务的车辆投保（</w:t>
      </w:r>
      <w:r>
        <w:rPr>
          <w:rFonts w:hint="eastAsia" w:ascii="宋体" w:hAnsi="Courier New"/>
          <w:b/>
          <w:color w:val="auto"/>
          <w:highlight w:val="none"/>
        </w:rPr>
        <w:t>满分15分</w:t>
      </w:r>
      <w:r>
        <w:rPr>
          <w:rFonts w:hint="eastAsia" w:ascii="宋体" w:hAnsi="Courier New"/>
          <w:color w:val="auto"/>
          <w:highlight w:val="none"/>
        </w:rPr>
        <w:t>，</w:t>
      </w:r>
      <w:r>
        <w:rPr>
          <w:rFonts w:hint="eastAsia" w:ascii="Calibri" w:hAnsi="宋体"/>
          <w:bCs/>
          <w:color w:val="auto"/>
          <w:szCs w:val="21"/>
          <w:highlight w:val="none"/>
        </w:rPr>
        <w:t>根据《服务需求一览表》中的“服务内容及要求”栏中“四、服务要求第</w:t>
      </w:r>
      <w:r>
        <w:rPr>
          <w:rFonts w:ascii="Calibri" w:hAnsi="宋体"/>
          <w:bCs/>
          <w:color w:val="auto"/>
          <w:szCs w:val="21"/>
          <w:highlight w:val="none"/>
        </w:rPr>
        <w:t>4</w:t>
      </w:r>
      <w:r>
        <w:rPr>
          <w:rFonts w:hint="eastAsia" w:ascii="Calibri" w:hAnsi="宋体"/>
          <w:bCs/>
          <w:color w:val="auto"/>
          <w:szCs w:val="21"/>
          <w:highlight w:val="none"/>
        </w:rPr>
        <w:t>点的内容评审</w:t>
      </w:r>
      <w:r>
        <w:rPr>
          <w:rFonts w:hint="eastAsia" w:ascii="宋体" w:hAnsi="Courier New"/>
          <w:color w:val="auto"/>
          <w:highlight w:val="none"/>
        </w:rPr>
        <w:t>）</w:t>
      </w:r>
    </w:p>
    <w:p w14:paraId="29E7003D">
      <w:pPr>
        <w:spacing w:line="400" w:lineRule="exact"/>
        <w:ind w:firstLine="525" w:firstLineChars="250"/>
        <w:rPr>
          <w:rFonts w:ascii="宋体" w:hAnsi="Courier New"/>
          <w:color w:val="auto"/>
          <w:highlight w:val="none"/>
        </w:rPr>
      </w:pPr>
      <w:r>
        <w:rPr>
          <w:rFonts w:hint="eastAsia" w:ascii="宋体" w:hAnsi="Courier New"/>
          <w:color w:val="auto"/>
          <w:highlight w:val="none"/>
        </w:rPr>
        <w:t>1）具有机动车损失险的，</w:t>
      </w:r>
      <w:r>
        <w:rPr>
          <w:rFonts w:hint="eastAsia" w:ascii="宋体" w:hAnsi="Courier New"/>
          <w:b/>
          <w:color w:val="auto"/>
          <w:highlight w:val="none"/>
        </w:rPr>
        <w:t>得2分</w:t>
      </w:r>
      <w:r>
        <w:rPr>
          <w:rFonts w:hint="eastAsia" w:ascii="宋体" w:hAnsi="Courier New"/>
          <w:color w:val="auto"/>
          <w:highlight w:val="none"/>
        </w:rPr>
        <w:t>；</w:t>
      </w:r>
    </w:p>
    <w:p w14:paraId="1A59119C">
      <w:pPr>
        <w:spacing w:line="400" w:lineRule="exact"/>
        <w:ind w:firstLine="525" w:firstLineChars="250"/>
        <w:rPr>
          <w:rFonts w:ascii="宋体" w:hAnsi="Courier New"/>
          <w:color w:val="auto"/>
          <w:highlight w:val="none"/>
        </w:rPr>
      </w:pPr>
      <w:r>
        <w:rPr>
          <w:rFonts w:hint="eastAsia" w:ascii="宋体" w:hAnsi="Courier New"/>
          <w:color w:val="auto"/>
          <w:highlight w:val="none"/>
        </w:rPr>
        <w:t>2）三者险保额：200万（含）～300万，得3分；300万（含）及以上</w:t>
      </w:r>
      <w:r>
        <w:rPr>
          <w:rFonts w:hint="eastAsia" w:ascii="宋体" w:hAnsi="Courier New"/>
          <w:b/>
          <w:color w:val="auto"/>
          <w:highlight w:val="none"/>
        </w:rPr>
        <w:t>得5分；</w:t>
      </w:r>
    </w:p>
    <w:p w14:paraId="6F6FBBA7">
      <w:pPr>
        <w:spacing w:line="400" w:lineRule="exact"/>
        <w:ind w:firstLine="525" w:firstLineChars="250"/>
        <w:rPr>
          <w:rFonts w:ascii="宋体" w:hAnsi="Courier New"/>
          <w:color w:val="auto"/>
          <w:highlight w:val="none"/>
        </w:rPr>
      </w:pPr>
      <w:r>
        <w:rPr>
          <w:rFonts w:hint="eastAsia" w:ascii="宋体" w:hAnsi="Courier New"/>
          <w:color w:val="auto"/>
          <w:highlight w:val="none"/>
        </w:rPr>
        <w:t>3）具有车上人员（驾驶人）（乘客）责任险的，</w:t>
      </w:r>
      <w:r>
        <w:rPr>
          <w:rFonts w:hint="eastAsia" w:ascii="宋体" w:hAnsi="Courier New"/>
          <w:b/>
          <w:color w:val="auto"/>
          <w:highlight w:val="none"/>
        </w:rPr>
        <w:t>得5分</w:t>
      </w:r>
      <w:r>
        <w:rPr>
          <w:rFonts w:hint="eastAsia" w:ascii="宋体" w:hAnsi="Courier New"/>
          <w:color w:val="auto"/>
          <w:highlight w:val="none"/>
        </w:rPr>
        <w:t>；</w:t>
      </w:r>
    </w:p>
    <w:p w14:paraId="0119F4CF">
      <w:pPr>
        <w:spacing w:line="400" w:lineRule="exact"/>
        <w:ind w:firstLine="525" w:firstLineChars="250"/>
        <w:rPr>
          <w:rFonts w:ascii="宋体" w:hAnsi="Courier New"/>
          <w:color w:val="auto"/>
          <w:highlight w:val="none"/>
        </w:rPr>
      </w:pPr>
      <w:r>
        <w:rPr>
          <w:rFonts w:hint="eastAsia" w:ascii="宋体" w:hAnsi="Courier New"/>
          <w:color w:val="auto"/>
          <w:highlight w:val="none"/>
        </w:rPr>
        <w:t>4）附加医保外医疗费用责任险的，</w:t>
      </w:r>
      <w:r>
        <w:rPr>
          <w:rFonts w:hint="eastAsia" w:ascii="宋体" w:hAnsi="Courier New"/>
          <w:b/>
          <w:color w:val="auto"/>
          <w:highlight w:val="none"/>
        </w:rPr>
        <w:t>得3分</w:t>
      </w:r>
      <w:r>
        <w:rPr>
          <w:rFonts w:hint="eastAsia" w:ascii="宋体" w:hAnsi="Courier New"/>
          <w:color w:val="auto"/>
          <w:highlight w:val="none"/>
        </w:rPr>
        <w:t>；</w:t>
      </w:r>
    </w:p>
    <w:p w14:paraId="65EDF1C0">
      <w:pPr>
        <w:spacing w:line="400" w:lineRule="exact"/>
        <w:ind w:firstLine="422" w:firstLineChars="200"/>
        <w:rPr>
          <w:rFonts w:ascii="宋体" w:hAnsi="Courier New"/>
          <w:color w:val="auto"/>
          <w:highlight w:val="none"/>
        </w:rPr>
      </w:pPr>
      <w:r>
        <w:rPr>
          <w:rFonts w:hint="eastAsia" w:ascii="宋体" w:hAnsi="Courier New"/>
          <w:b/>
          <w:color w:val="auto"/>
          <w:highlight w:val="none"/>
        </w:rPr>
        <w:t>（5）车辆应急救援分：（满分1分</w:t>
      </w:r>
      <w:r>
        <w:rPr>
          <w:rFonts w:hint="eastAsia" w:ascii="宋体" w:hAnsi="Courier New"/>
          <w:color w:val="auto"/>
          <w:highlight w:val="none"/>
        </w:rPr>
        <w:t>，</w:t>
      </w:r>
      <w:r>
        <w:rPr>
          <w:rFonts w:hint="eastAsia" w:ascii="Calibri" w:hAnsi="宋体"/>
          <w:bCs/>
          <w:color w:val="auto"/>
          <w:szCs w:val="21"/>
          <w:highlight w:val="none"/>
        </w:rPr>
        <w:t>根据《服务需求一览表》中的“服务内容及要求”栏中“四、服务要求第</w:t>
      </w:r>
      <w:r>
        <w:rPr>
          <w:rFonts w:ascii="Calibri" w:hAnsi="宋体"/>
          <w:bCs/>
          <w:color w:val="auto"/>
          <w:szCs w:val="21"/>
          <w:highlight w:val="none"/>
        </w:rPr>
        <w:t>5</w:t>
      </w:r>
      <w:r>
        <w:rPr>
          <w:rFonts w:hint="eastAsia" w:ascii="Calibri" w:hAnsi="宋体"/>
          <w:bCs/>
          <w:color w:val="auto"/>
          <w:szCs w:val="21"/>
          <w:highlight w:val="none"/>
        </w:rPr>
        <w:t>点的内容评审</w:t>
      </w:r>
      <w:r>
        <w:rPr>
          <w:rFonts w:hint="eastAsia" w:ascii="宋体" w:hAnsi="Courier New"/>
          <w:color w:val="auto"/>
          <w:highlight w:val="none"/>
        </w:rPr>
        <w:t>）</w:t>
      </w:r>
    </w:p>
    <w:p w14:paraId="13CDF323">
      <w:pPr>
        <w:spacing w:line="400" w:lineRule="exact"/>
        <w:ind w:left="420" w:leftChars="200" w:firstLine="105" w:firstLineChars="50"/>
        <w:rPr>
          <w:rFonts w:ascii="宋体" w:hAnsi="Courier New"/>
          <w:color w:val="auto"/>
          <w:highlight w:val="none"/>
        </w:rPr>
      </w:pPr>
      <w:r>
        <w:rPr>
          <w:rFonts w:hint="eastAsia" w:ascii="宋体" w:hAnsi="Courier New"/>
          <w:color w:val="auto"/>
          <w:highlight w:val="none"/>
        </w:rPr>
        <w:t>1）完全满足磋商文件且评标时被磋商小组接受的，得基本分1分。</w:t>
      </w:r>
    </w:p>
    <w:p w14:paraId="1D4743FC">
      <w:pPr>
        <w:spacing w:line="400" w:lineRule="exact"/>
        <w:ind w:firstLine="422" w:firstLineChars="200"/>
        <w:rPr>
          <w:rFonts w:ascii="宋体" w:hAnsi="Courier New"/>
          <w:color w:val="auto"/>
          <w:highlight w:val="none"/>
        </w:rPr>
      </w:pPr>
      <w:r>
        <w:rPr>
          <w:rFonts w:hint="eastAsia" w:ascii="宋体" w:hAnsi="Courier New"/>
          <w:b/>
          <w:color w:val="auto"/>
          <w:highlight w:val="none"/>
        </w:rPr>
        <w:t>（6）司机投入分：（满分20分</w:t>
      </w:r>
      <w:r>
        <w:rPr>
          <w:rFonts w:hint="eastAsia" w:ascii="宋体" w:hAnsi="Courier New"/>
          <w:color w:val="auto"/>
          <w:highlight w:val="none"/>
        </w:rPr>
        <w:t>，</w:t>
      </w:r>
      <w:r>
        <w:rPr>
          <w:rFonts w:hint="eastAsia" w:ascii="Calibri" w:hAnsi="宋体"/>
          <w:bCs/>
          <w:color w:val="auto"/>
          <w:szCs w:val="21"/>
          <w:highlight w:val="none"/>
        </w:rPr>
        <w:t>根据《服务需求一览表》中的“服务内容及要求”栏中“四、服务要求第</w:t>
      </w:r>
      <w:r>
        <w:rPr>
          <w:rFonts w:ascii="Calibri" w:hAnsi="宋体"/>
          <w:bCs/>
          <w:color w:val="auto"/>
          <w:szCs w:val="21"/>
          <w:highlight w:val="none"/>
        </w:rPr>
        <w:t>6</w:t>
      </w:r>
      <w:r>
        <w:rPr>
          <w:rFonts w:hint="eastAsia" w:ascii="Calibri" w:hAnsi="宋体"/>
          <w:bCs/>
          <w:color w:val="auto"/>
          <w:szCs w:val="21"/>
          <w:highlight w:val="none"/>
        </w:rPr>
        <w:t>点的内容评审</w:t>
      </w:r>
      <w:r>
        <w:rPr>
          <w:rFonts w:hint="eastAsia" w:ascii="宋体" w:hAnsi="Courier New"/>
          <w:color w:val="auto"/>
          <w:highlight w:val="none"/>
        </w:rPr>
        <w:t>）</w:t>
      </w:r>
    </w:p>
    <w:p w14:paraId="23294CC6">
      <w:pPr>
        <w:spacing w:line="400" w:lineRule="exact"/>
        <w:ind w:left="420" w:leftChars="200" w:firstLine="105" w:firstLineChars="50"/>
        <w:rPr>
          <w:rFonts w:ascii="宋体" w:hAnsi="Courier New"/>
          <w:color w:val="auto"/>
          <w:highlight w:val="none"/>
        </w:rPr>
      </w:pPr>
      <w:r>
        <w:rPr>
          <w:rFonts w:hint="eastAsia" w:ascii="宋体" w:hAnsi="Courier New"/>
          <w:color w:val="auto"/>
          <w:highlight w:val="none"/>
        </w:rPr>
        <w:t>1）基本分：司机投入人员5-10(含）人得5分，10-20(含）人得10分，</w:t>
      </w:r>
      <w:r>
        <w:rPr>
          <w:rFonts w:ascii="宋体" w:hAnsi="Courier New"/>
          <w:color w:val="auto"/>
          <w:highlight w:val="none"/>
        </w:rPr>
        <w:t xml:space="preserve"> </w:t>
      </w:r>
      <w:r>
        <w:rPr>
          <w:rFonts w:hint="eastAsia" w:ascii="宋体" w:hAnsi="Courier New"/>
          <w:color w:val="auto"/>
          <w:highlight w:val="none"/>
        </w:rPr>
        <w:t>20人以上得15分；</w:t>
      </w:r>
      <w:r>
        <w:rPr>
          <w:rFonts w:ascii="宋体" w:hAnsi="Courier New"/>
          <w:color w:val="auto"/>
          <w:highlight w:val="none"/>
        </w:rPr>
        <w:t xml:space="preserve"> </w:t>
      </w:r>
    </w:p>
    <w:p w14:paraId="7AD4784B">
      <w:pPr>
        <w:spacing w:line="360" w:lineRule="auto"/>
        <w:ind w:left="145" w:leftChars="69" w:firstLine="315" w:firstLineChars="150"/>
        <w:rPr>
          <w:rFonts w:hAnsi="宋体" w:cs="宋体"/>
          <w:color w:val="auto"/>
          <w:szCs w:val="21"/>
          <w:highlight w:val="none"/>
        </w:rPr>
      </w:pPr>
      <w:r>
        <w:rPr>
          <w:rFonts w:hint="eastAsia" w:ascii="宋体" w:hAnsi="Courier New"/>
          <w:color w:val="auto"/>
          <w:highlight w:val="none"/>
        </w:rPr>
        <w:t>2）针对本项目拟投入司机持有B1驾照的每个加0.5分、持有A1驾照的每个加1分，加满5分。</w:t>
      </w:r>
    </w:p>
    <w:p w14:paraId="116B0D4C">
      <w:pPr>
        <w:spacing w:line="360" w:lineRule="auto"/>
        <w:ind w:firstLine="422" w:firstLineChars="200"/>
        <w:rPr>
          <w:rFonts w:ascii="宋体" w:hAnsi="宋体"/>
          <w:b/>
          <w:color w:val="auto"/>
          <w:highlight w:val="none"/>
        </w:rPr>
      </w:pPr>
      <w:r>
        <w:rPr>
          <w:rFonts w:ascii="宋体" w:hAnsi="宋体"/>
          <w:b/>
          <w:color w:val="auto"/>
          <w:highlight w:val="none"/>
        </w:rPr>
        <w:t>3、商务分……</w:t>
      </w:r>
      <w:r>
        <w:rPr>
          <w:rFonts w:hint="eastAsia" w:ascii="宋体" w:hAnsi="宋体"/>
          <w:b/>
          <w:color w:val="auto"/>
          <w:highlight w:val="none"/>
        </w:rPr>
        <w:t>……………………………………………………………………………………………</w:t>
      </w:r>
      <w:r>
        <w:rPr>
          <w:rFonts w:ascii="宋体" w:hAnsi="宋体"/>
          <w:b/>
          <w:color w:val="auto"/>
          <w:highlight w:val="none"/>
        </w:rPr>
        <w:t>30分</w:t>
      </w:r>
    </w:p>
    <w:p w14:paraId="56CD6811">
      <w:pPr>
        <w:spacing w:line="400" w:lineRule="exact"/>
        <w:ind w:firstLine="420" w:firstLineChars="200"/>
        <w:rPr>
          <w:rFonts w:ascii="宋体" w:hAnsi="Courier New"/>
          <w:color w:val="auto"/>
          <w:highlight w:val="none"/>
        </w:rPr>
      </w:pPr>
      <w:r>
        <w:rPr>
          <w:rFonts w:hint="eastAsia" w:ascii="宋体" w:hAnsi="Courier New"/>
          <w:color w:val="auto"/>
          <w:highlight w:val="none"/>
        </w:rPr>
        <w:t>（1）2023年1月1日以来市级及以上党政机关(含国有企事业单位)租赁业务（</w:t>
      </w:r>
      <w:r>
        <w:rPr>
          <w:rFonts w:hint="eastAsia" w:ascii="宋体" w:hAnsi="Courier New"/>
          <w:b/>
          <w:color w:val="auto"/>
          <w:highlight w:val="none"/>
        </w:rPr>
        <w:t>满分5分</w:t>
      </w:r>
      <w:r>
        <w:rPr>
          <w:rFonts w:hint="eastAsia" w:ascii="宋体" w:hAnsi="Courier New"/>
          <w:color w:val="auto"/>
          <w:highlight w:val="none"/>
        </w:rPr>
        <w:t>）：供应商为市级及以上党政机关提供公务用车租赁业务（提供案例清单及合同主要文档</w:t>
      </w:r>
      <w:r>
        <w:rPr>
          <w:rFonts w:hint="eastAsia" w:ascii="宋体" w:hAnsi="宋体"/>
          <w:b/>
          <w:color w:val="auto"/>
          <w:szCs w:val="21"/>
          <w:highlight w:val="none"/>
        </w:rPr>
        <w:t>原件扫描件或其他电子文件</w:t>
      </w:r>
      <w:r>
        <w:rPr>
          <w:rFonts w:hint="eastAsia" w:ascii="宋体" w:hAnsi="Courier New"/>
          <w:color w:val="auto"/>
          <w:highlight w:val="none"/>
        </w:rPr>
        <w:t>），每有一个有效案例，得0.5分，最多5分。</w:t>
      </w:r>
    </w:p>
    <w:p w14:paraId="1F1B83C6">
      <w:pPr>
        <w:spacing w:line="400" w:lineRule="exact"/>
        <w:ind w:firstLine="420" w:firstLineChars="200"/>
        <w:rPr>
          <w:rFonts w:ascii="宋体" w:hAnsi="Courier New"/>
          <w:color w:val="auto"/>
          <w:highlight w:val="none"/>
        </w:rPr>
      </w:pPr>
      <w:r>
        <w:rPr>
          <w:rFonts w:hint="eastAsia" w:ascii="宋体" w:hAnsi="Courier New"/>
          <w:color w:val="auto"/>
          <w:highlight w:val="none"/>
        </w:rPr>
        <w:t>（2）自有车辆燃油数量（</w:t>
      </w:r>
      <w:r>
        <w:rPr>
          <w:rFonts w:hint="eastAsia" w:ascii="宋体" w:hAnsi="Courier New"/>
          <w:b/>
          <w:color w:val="auto"/>
          <w:highlight w:val="none"/>
        </w:rPr>
        <w:t>满分15分</w:t>
      </w:r>
      <w:r>
        <w:rPr>
          <w:rFonts w:hint="eastAsia" w:ascii="宋体" w:hAnsi="Courier New"/>
          <w:color w:val="auto"/>
          <w:highlight w:val="none"/>
        </w:rPr>
        <w:t>）：</w:t>
      </w:r>
    </w:p>
    <w:p w14:paraId="14E338CF">
      <w:pPr>
        <w:spacing w:line="400" w:lineRule="exact"/>
        <w:ind w:firstLine="420" w:firstLineChars="200"/>
        <w:rPr>
          <w:rFonts w:ascii="宋体" w:hAnsi="Courier New"/>
          <w:color w:val="auto"/>
          <w:highlight w:val="none"/>
        </w:rPr>
      </w:pPr>
      <w:r>
        <w:rPr>
          <w:rFonts w:hint="eastAsia" w:ascii="宋体" w:hAnsi="Courier New"/>
          <w:color w:val="auto"/>
          <w:highlight w:val="none"/>
        </w:rPr>
        <w:t>供应商自有且符合招标基本要求的车辆规模：不足10辆不得分，10辆得5分；每增加一辆加0.5分，</w:t>
      </w:r>
      <w:r>
        <w:rPr>
          <w:rFonts w:hint="eastAsia" w:ascii="宋体" w:hAnsi="Courier New"/>
          <w:b/>
          <w:color w:val="auto"/>
          <w:highlight w:val="none"/>
        </w:rPr>
        <w:t>满分15分</w:t>
      </w:r>
      <w:r>
        <w:rPr>
          <w:rFonts w:hint="eastAsia" w:ascii="宋体" w:hAnsi="Courier New"/>
          <w:color w:val="auto"/>
          <w:highlight w:val="none"/>
        </w:rPr>
        <w:t>。（以响应文件中提供的车辆行驶证为准）</w:t>
      </w:r>
    </w:p>
    <w:p w14:paraId="676DE9A8">
      <w:pPr>
        <w:spacing w:line="400" w:lineRule="exact"/>
        <w:ind w:firstLine="420" w:firstLineChars="200"/>
        <w:rPr>
          <w:rFonts w:ascii="宋体" w:hAnsi="Courier New"/>
          <w:color w:val="auto"/>
          <w:highlight w:val="none"/>
        </w:rPr>
      </w:pPr>
      <w:r>
        <w:rPr>
          <w:rFonts w:hint="eastAsia" w:ascii="宋体" w:hAnsi="Courier New"/>
          <w:color w:val="auto"/>
          <w:highlight w:val="none"/>
        </w:rPr>
        <w:t>（3）自有车辆数量有新能源车辆（</w:t>
      </w:r>
      <w:r>
        <w:rPr>
          <w:rFonts w:hint="eastAsia" w:ascii="宋体" w:hAnsi="Courier New"/>
          <w:b/>
          <w:color w:val="auto"/>
          <w:highlight w:val="none"/>
        </w:rPr>
        <w:t>满分3分</w:t>
      </w:r>
      <w:r>
        <w:rPr>
          <w:rFonts w:hint="eastAsia" w:ascii="宋体" w:hAnsi="Courier New"/>
          <w:color w:val="auto"/>
          <w:highlight w:val="none"/>
        </w:rPr>
        <w:t>）</w:t>
      </w:r>
    </w:p>
    <w:p w14:paraId="7DF98F1B">
      <w:pPr>
        <w:spacing w:line="400" w:lineRule="exact"/>
        <w:ind w:firstLine="420" w:firstLineChars="200"/>
        <w:rPr>
          <w:rFonts w:ascii="宋体" w:hAnsi="Courier New"/>
          <w:color w:val="auto"/>
          <w:highlight w:val="none"/>
        </w:rPr>
      </w:pPr>
      <w:r>
        <w:rPr>
          <w:rFonts w:hint="eastAsia" w:ascii="宋体" w:hAnsi="Courier New"/>
          <w:color w:val="auto"/>
          <w:highlight w:val="none"/>
        </w:rPr>
        <w:t>供应商拥有所有权且符合招标基本要求的新能源汽车，每有一辆两座新能源轿车，得0.2分；每有一辆四座或五座新能源轿车，得0.3分；每有一辆新能源越野车，得0.5分；每有一辆新能源商务车，得0.6分，最多得3分。（以响应文件中提供的车辆行驶证为准）</w:t>
      </w:r>
    </w:p>
    <w:p w14:paraId="2E3F308A">
      <w:pPr>
        <w:spacing w:line="400" w:lineRule="exact"/>
        <w:ind w:firstLine="420" w:firstLineChars="200"/>
        <w:rPr>
          <w:rFonts w:ascii="宋体" w:hAnsi="Courier New"/>
          <w:color w:val="auto"/>
          <w:highlight w:val="none"/>
        </w:rPr>
      </w:pPr>
      <w:r>
        <w:rPr>
          <w:rFonts w:hint="eastAsia" w:ascii="宋体" w:hAnsi="Courier New"/>
          <w:color w:val="auto"/>
          <w:highlight w:val="none"/>
        </w:rPr>
        <w:t>（4）停车场资源及面积（</w:t>
      </w:r>
      <w:r>
        <w:rPr>
          <w:rFonts w:hint="eastAsia" w:ascii="宋体" w:hAnsi="Courier New"/>
          <w:b/>
          <w:color w:val="auto"/>
          <w:highlight w:val="none"/>
        </w:rPr>
        <w:t>满分2分</w:t>
      </w:r>
      <w:r>
        <w:rPr>
          <w:rFonts w:hint="eastAsia" w:ascii="宋体" w:hAnsi="Courier New"/>
          <w:color w:val="auto"/>
          <w:highlight w:val="none"/>
        </w:rPr>
        <w:t>）</w:t>
      </w:r>
    </w:p>
    <w:p w14:paraId="2C1CB8EB">
      <w:pPr>
        <w:spacing w:line="400" w:lineRule="exact"/>
        <w:ind w:firstLine="420" w:firstLineChars="200"/>
        <w:rPr>
          <w:rFonts w:ascii="宋体" w:hAnsi="Courier New"/>
          <w:color w:val="auto"/>
          <w:highlight w:val="none"/>
        </w:rPr>
      </w:pPr>
      <w:r>
        <w:rPr>
          <w:rFonts w:hint="eastAsia" w:ascii="宋体" w:hAnsi="Courier New"/>
          <w:color w:val="auto"/>
          <w:highlight w:val="none"/>
        </w:rPr>
        <w:t>拥有自有自用或租用（租赁起止有效期不少于1年）的停车场，租用面积在200平方米的得</w:t>
      </w:r>
      <w:r>
        <w:rPr>
          <w:rFonts w:hint="eastAsia" w:ascii="宋体" w:hAnsi="Courier New"/>
          <w:b/>
          <w:color w:val="auto"/>
          <w:highlight w:val="none"/>
        </w:rPr>
        <w:t>1分，</w:t>
      </w:r>
      <w:r>
        <w:rPr>
          <w:rFonts w:hint="eastAsia" w:ascii="宋体" w:hAnsi="Courier New"/>
          <w:color w:val="auto"/>
          <w:highlight w:val="none"/>
        </w:rPr>
        <w:t>每增加100平方（含）得0.2分，满分2</w:t>
      </w:r>
      <w:r>
        <w:rPr>
          <w:rFonts w:hint="eastAsia" w:ascii="宋体" w:hAnsi="Courier New"/>
          <w:b/>
          <w:bCs/>
          <w:color w:val="auto"/>
          <w:highlight w:val="none"/>
        </w:rPr>
        <w:t>分</w:t>
      </w:r>
      <w:r>
        <w:rPr>
          <w:rFonts w:hint="eastAsia" w:ascii="宋体" w:hAnsi="Courier New"/>
          <w:color w:val="auto"/>
          <w:highlight w:val="none"/>
        </w:rPr>
        <w:t>；没有自有停车场或租用面积不到200平方米的停车场不得分。供应商须提供停车场租赁合同或停车场自有产权相关证明材料</w:t>
      </w:r>
      <w:r>
        <w:rPr>
          <w:rFonts w:hint="eastAsia" w:ascii="宋体" w:hAnsi="宋体"/>
          <w:b/>
          <w:color w:val="auto"/>
          <w:szCs w:val="21"/>
          <w:highlight w:val="none"/>
        </w:rPr>
        <w:t>原件扫描件或其他电子文件</w:t>
      </w:r>
      <w:r>
        <w:rPr>
          <w:rFonts w:hint="eastAsia" w:ascii="宋体" w:hAnsi="Courier New"/>
          <w:color w:val="auto"/>
          <w:highlight w:val="none"/>
        </w:rPr>
        <w:t>，不提供材料的不得分。</w:t>
      </w:r>
    </w:p>
    <w:p w14:paraId="5D30427E">
      <w:pPr>
        <w:spacing w:line="400" w:lineRule="exact"/>
        <w:ind w:firstLine="420" w:firstLineChars="200"/>
        <w:rPr>
          <w:rFonts w:ascii="宋体" w:hAnsi="Courier New"/>
          <w:color w:val="auto"/>
          <w:highlight w:val="none"/>
        </w:rPr>
      </w:pPr>
      <w:r>
        <w:rPr>
          <w:rFonts w:hint="eastAsia" w:ascii="宋体" w:hAnsi="Courier New"/>
          <w:color w:val="auto"/>
          <w:highlight w:val="none"/>
        </w:rPr>
        <w:t>（5）经营网点（</w:t>
      </w:r>
      <w:r>
        <w:rPr>
          <w:rFonts w:hint="eastAsia" w:ascii="宋体" w:hAnsi="Courier New"/>
          <w:b/>
          <w:color w:val="auto"/>
          <w:highlight w:val="none"/>
        </w:rPr>
        <w:t>满分5分</w:t>
      </w:r>
      <w:r>
        <w:rPr>
          <w:rFonts w:hint="eastAsia" w:ascii="宋体" w:hAnsi="Courier New"/>
          <w:color w:val="auto"/>
          <w:highlight w:val="none"/>
        </w:rPr>
        <w:t>）</w:t>
      </w:r>
    </w:p>
    <w:p w14:paraId="20C89E58">
      <w:pPr>
        <w:spacing w:line="400" w:lineRule="exact"/>
        <w:ind w:firstLine="420" w:firstLineChars="200"/>
        <w:rPr>
          <w:rFonts w:ascii="宋体" w:hAnsi="宋体" w:cs="Arial"/>
          <w:bCs/>
          <w:color w:val="auto"/>
          <w:kern w:val="0"/>
          <w:szCs w:val="21"/>
          <w:highlight w:val="none"/>
        </w:rPr>
      </w:pPr>
      <w:r>
        <w:rPr>
          <w:rFonts w:hint="eastAsia" w:ascii="宋体" w:hAnsi="Courier New"/>
          <w:color w:val="auto"/>
          <w:highlight w:val="none"/>
        </w:rPr>
        <w:t>在所投标段地市拥有固定的经营网点（场地租用的合同有效期限不少于1年）的得5分；（供应商须提供门店租赁合同或门店自有产权相关证明材料</w:t>
      </w:r>
      <w:r>
        <w:rPr>
          <w:rFonts w:hint="eastAsia" w:ascii="宋体" w:hAnsi="宋体"/>
          <w:b/>
          <w:color w:val="auto"/>
          <w:szCs w:val="21"/>
          <w:highlight w:val="none"/>
        </w:rPr>
        <w:t>原件扫描件或其他电子文件</w:t>
      </w:r>
      <w:r>
        <w:rPr>
          <w:rFonts w:hint="eastAsia" w:ascii="宋体" w:hAnsi="Courier New"/>
          <w:color w:val="auto"/>
          <w:highlight w:val="none"/>
        </w:rPr>
        <w:t>，不提供材料的不得分。）</w:t>
      </w:r>
    </w:p>
    <w:p w14:paraId="1A8DA857">
      <w:pPr>
        <w:spacing w:line="360" w:lineRule="auto"/>
        <w:ind w:left="145" w:leftChars="69" w:firstLine="420" w:firstLineChars="200"/>
        <w:rPr>
          <w:rFonts w:hAnsi="宋体"/>
          <w:bCs/>
          <w:color w:val="auto"/>
          <w:szCs w:val="21"/>
          <w:highlight w:val="none"/>
        </w:rPr>
      </w:pPr>
      <w:r>
        <w:rPr>
          <w:rFonts w:hint="eastAsia" w:hAnsi="宋体"/>
          <w:bCs/>
          <w:color w:val="auto"/>
          <w:szCs w:val="21"/>
          <w:highlight w:val="none"/>
        </w:rPr>
        <w:t>（三）总得分＝</w:t>
      </w:r>
      <w:r>
        <w:rPr>
          <w:rFonts w:hAnsi="宋体"/>
          <w:bCs/>
          <w:color w:val="auto"/>
          <w:szCs w:val="21"/>
          <w:highlight w:val="none"/>
        </w:rPr>
        <w:t>1</w:t>
      </w:r>
      <w:r>
        <w:rPr>
          <w:rFonts w:hint="eastAsia" w:hAnsi="宋体"/>
          <w:bCs/>
          <w:color w:val="auto"/>
          <w:szCs w:val="21"/>
          <w:highlight w:val="none"/>
        </w:rPr>
        <w:t>＋</w:t>
      </w:r>
      <w:r>
        <w:rPr>
          <w:rFonts w:hAnsi="宋体"/>
          <w:bCs/>
          <w:color w:val="auto"/>
          <w:szCs w:val="21"/>
          <w:highlight w:val="none"/>
        </w:rPr>
        <w:t>2</w:t>
      </w:r>
      <w:r>
        <w:rPr>
          <w:rFonts w:hint="eastAsia" w:hAnsi="宋体"/>
          <w:bCs/>
          <w:color w:val="auto"/>
          <w:szCs w:val="21"/>
          <w:highlight w:val="none"/>
        </w:rPr>
        <w:t>＋</w:t>
      </w:r>
      <w:r>
        <w:rPr>
          <w:rFonts w:hAnsi="宋体"/>
          <w:bCs/>
          <w:color w:val="auto"/>
          <w:szCs w:val="21"/>
          <w:highlight w:val="none"/>
        </w:rPr>
        <w:t>3</w:t>
      </w:r>
    </w:p>
    <w:p w14:paraId="76F696BE">
      <w:pPr>
        <w:pStyle w:val="31"/>
        <w:spacing w:line="360" w:lineRule="exact"/>
        <w:ind w:left="0"/>
        <w:rPr>
          <w:rFonts w:ascii="宋体" w:hAnsi="宋体"/>
          <w:b/>
          <w:bCs/>
          <w:color w:val="auto"/>
          <w:szCs w:val="21"/>
          <w:highlight w:val="none"/>
        </w:rPr>
      </w:pPr>
      <w:r>
        <w:rPr>
          <w:rFonts w:hint="eastAsia" w:ascii="宋体" w:hAnsi="宋体"/>
          <w:b/>
          <w:bCs/>
          <w:color w:val="auto"/>
          <w:szCs w:val="21"/>
          <w:highlight w:val="none"/>
        </w:rPr>
        <w:t>三、成交候选供应商推荐原则</w:t>
      </w:r>
    </w:p>
    <w:p w14:paraId="7185C178">
      <w:pPr>
        <w:pStyle w:val="21"/>
        <w:spacing w:line="360" w:lineRule="exact"/>
        <w:rPr>
          <w:rFonts w:hAnsi="宋体" w:cs="Times New Roman"/>
          <w:color w:val="auto"/>
          <w:highlight w:val="none"/>
        </w:rPr>
      </w:pPr>
      <w:r>
        <w:rPr>
          <w:rFonts w:hAnsi="宋体"/>
          <w:b/>
          <w:color w:val="auto"/>
          <w:highlight w:val="none"/>
        </w:rPr>
        <w:t xml:space="preserve">    </w:t>
      </w:r>
      <w:r>
        <w:rPr>
          <w:rFonts w:hint="eastAsia" w:hAnsi="宋体" w:cs="Times New Roman"/>
          <w:color w:val="auto"/>
          <w:highlight w:val="none"/>
        </w:rPr>
        <w:t>（一）磋商小组将根据得分由高到低排列次序（得分相同时，以磋商报价</w:t>
      </w:r>
      <w:r>
        <w:rPr>
          <w:rFonts w:hint="eastAsia" w:hAnsi="宋体" w:cs="Times New Roman"/>
          <w:b/>
          <w:color w:val="auto"/>
          <w:highlight w:val="none"/>
        </w:rPr>
        <w:t>由低到高</w:t>
      </w:r>
      <w:r>
        <w:rPr>
          <w:rFonts w:hint="eastAsia" w:hAnsi="宋体" w:cs="Times New Roman"/>
          <w:color w:val="auto"/>
          <w:highlight w:val="none"/>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w:t>
      </w:r>
      <w:r>
        <w:rPr>
          <w:rFonts w:hint="eastAsia" w:hAnsi="宋体"/>
          <w:color w:val="auto"/>
          <w:highlight w:val="none"/>
        </w:rPr>
        <w:t>疑</w:t>
      </w:r>
      <w:r>
        <w:rPr>
          <w:rFonts w:hAnsi="宋体"/>
          <w:color w:val="auto"/>
          <w:highlight w:val="none"/>
        </w:rPr>
        <w:t>成立</w:t>
      </w:r>
      <w:r>
        <w:rPr>
          <w:rFonts w:hint="eastAsia" w:hAnsi="宋体" w:cs="Times New Roman"/>
          <w:color w:val="auto"/>
          <w:highlight w:val="none"/>
        </w:rPr>
        <w:t>后取消成交资格，合格供应商符合法定数量时，可以从合格的成交候选人中另行确定成交供应商的，应当依法另行确定成交供应商；否则应当重新开展采购活动。</w:t>
      </w:r>
    </w:p>
    <w:p w14:paraId="0F9CACC5">
      <w:pPr>
        <w:spacing w:line="360" w:lineRule="exact"/>
        <w:ind w:firstLine="420"/>
        <w:rPr>
          <w:color w:val="auto"/>
          <w:highlight w:val="none"/>
        </w:rPr>
      </w:pPr>
      <w:r>
        <w:rPr>
          <w:rFonts w:hint="eastAsia" w:ascii="宋体" w:hAnsi="宋体"/>
          <w:color w:val="auto"/>
          <w:szCs w:val="21"/>
          <w:highlight w:val="none"/>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sectPr>
      <w:footerReference r:id="rId7" w:type="first"/>
      <w:headerReference r:id="rId4" w:type="default"/>
      <w:footerReference r:id="rId5" w:type="default"/>
      <w:footerReference r:id="rId6"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42E0">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07268">
                          <w:pPr>
                            <w:pStyle w:val="25"/>
                            <w:rPr>
                              <w:rStyle w:val="39"/>
                            </w:rPr>
                          </w:pPr>
                          <w:r>
                            <w:fldChar w:fldCharType="begin"/>
                          </w:r>
                          <w:r>
                            <w:rPr>
                              <w:rStyle w:val="39"/>
                            </w:rPr>
                            <w:instrText xml:space="preserve">PAGE  </w:instrText>
                          </w:r>
                          <w:r>
                            <w:fldChar w:fldCharType="separate"/>
                          </w:r>
                          <w:r>
                            <w:rPr>
                              <w:rStyle w:val="39"/>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107268">
                    <w:pPr>
                      <w:pStyle w:val="25"/>
                      <w:rPr>
                        <w:rStyle w:val="39"/>
                      </w:rPr>
                    </w:pPr>
                    <w:r>
                      <w:fldChar w:fldCharType="begin"/>
                    </w:r>
                    <w:r>
                      <w:rPr>
                        <w:rStyle w:val="39"/>
                      </w:rPr>
                      <w:instrText xml:space="preserve">PAGE  </w:instrText>
                    </w:r>
                    <w:r>
                      <w:fldChar w:fldCharType="separate"/>
                    </w:r>
                    <w:r>
                      <w:rPr>
                        <w:rStyle w:val="39"/>
                      </w:rP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35B0">
    <w:pPr>
      <w:pStyle w:val="25"/>
      <w:framePr w:wrap="around" w:vAnchor="text" w:hAnchor="margin" w:xAlign="center" w:y="1"/>
      <w:rPr>
        <w:rStyle w:val="39"/>
      </w:rPr>
    </w:pPr>
    <w:r>
      <w:fldChar w:fldCharType="begin"/>
    </w:r>
    <w:r>
      <w:rPr>
        <w:rStyle w:val="39"/>
      </w:rPr>
      <w:instrText xml:space="preserve">PAGE  </w:instrText>
    </w:r>
    <w:r>
      <w:fldChar w:fldCharType="end"/>
    </w:r>
  </w:p>
  <w:p w14:paraId="778B8688">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7E5A">
    <w:pPr>
      <w:pStyle w:val="25"/>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5088E">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865088E">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3858">
    <w:pPr>
      <w:pStyle w:val="26"/>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FD36">
    <w:pPr>
      <w:pStyle w:val="26"/>
      <w:wordWrap w:val="0"/>
      <w:jc w:val="right"/>
      <w:rPr>
        <w:rFonts w:ascii="宋体" w:hAnsi="宋体"/>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BB659"/>
    <w:multiLevelType w:val="singleLevel"/>
    <w:tmpl w:val="DF9BB659"/>
    <w:lvl w:ilvl="0" w:tentative="0">
      <w:start w:val="11"/>
      <w:numFmt w:val="chineseCounting"/>
      <w:suff w:val="space"/>
      <w:lvlText w:val="第%1条"/>
      <w:lvlJc w:val="left"/>
      <w:rPr>
        <w:rFonts w:hint="eastAsia"/>
      </w:rPr>
    </w:lvl>
  </w:abstractNum>
  <w:abstractNum w:abstractNumId="1">
    <w:nsid w:val="E7E0BF22"/>
    <w:multiLevelType w:val="singleLevel"/>
    <w:tmpl w:val="E7E0BF22"/>
    <w:lvl w:ilvl="0" w:tentative="0">
      <w:start w:val="6"/>
      <w:numFmt w:val="decimal"/>
      <w:suff w:val="nothing"/>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32342496"/>
    <w:multiLevelType w:val="multilevel"/>
    <w:tmpl w:val="32342496"/>
    <w:lvl w:ilvl="0" w:tentative="0">
      <w:start w:val="1"/>
      <w:numFmt w:val="japaneseCounting"/>
      <w:lvlText w:val="%1、"/>
      <w:lvlJc w:val="left"/>
      <w:pPr>
        <w:ind w:left="1065" w:hanging="450"/>
      </w:pPr>
      <w:rPr>
        <w:rFonts w:hint="default"/>
      </w:rPr>
    </w:lvl>
    <w:lvl w:ilvl="1" w:tentative="0">
      <w:start w:val="1"/>
      <w:numFmt w:val="lowerLetter"/>
      <w:lvlText w:val="%2)"/>
      <w:lvlJc w:val="left"/>
      <w:pPr>
        <w:ind w:left="1455" w:hanging="420"/>
      </w:pPr>
    </w:lvl>
    <w:lvl w:ilvl="2" w:tentative="0">
      <w:start w:val="1"/>
      <w:numFmt w:val="lowerRoman"/>
      <w:lvlText w:val="%3."/>
      <w:lvlJc w:val="right"/>
      <w:pPr>
        <w:ind w:left="1875" w:hanging="420"/>
      </w:pPr>
    </w:lvl>
    <w:lvl w:ilvl="3" w:tentative="0">
      <w:start w:val="1"/>
      <w:numFmt w:val="decimal"/>
      <w:lvlText w:val="%4."/>
      <w:lvlJc w:val="left"/>
      <w:pPr>
        <w:ind w:left="2295" w:hanging="420"/>
      </w:pPr>
    </w:lvl>
    <w:lvl w:ilvl="4" w:tentative="0">
      <w:start w:val="1"/>
      <w:numFmt w:val="lowerLetter"/>
      <w:lvlText w:val="%5)"/>
      <w:lvlJc w:val="left"/>
      <w:pPr>
        <w:ind w:left="2715" w:hanging="420"/>
      </w:pPr>
    </w:lvl>
    <w:lvl w:ilvl="5" w:tentative="0">
      <w:start w:val="1"/>
      <w:numFmt w:val="lowerRoman"/>
      <w:lvlText w:val="%6."/>
      <w:lvlJc w:val="right"/>
      <w:pPr>
        <w:ind w:left="3135" w:hanging="420"/>
      </w:pPr>
    </w:lvl>
    <w:lvl w:ilvl="6" w:tentative="0">
      <w:start w:val="1"/>
      <w:numFmt w:val="decimal"/>
      <w:lvlText w:val="%7."/>
      <w:lvlJc w:val="left"/>
      <w:pPr>
        <w:ind w:left="3555" w:hanging="420"/>
      </w:pPr>
    </w:lvl>
    <w:lvl w:ilvl="7" w:tentative="0">
      <w:start w:val="1"/>
      <w:numFmt w:val="lowerLetter"/>
      <w:lvlText w:val="%8)"/>
      <w:lvlJc w:val="left"/>
      <w:pPr>
        <w:ind w:left="3975" w:hanging="420"/>
      </w:pPr>
    </w:lvl>
    <w:lvl w:ilvl="8" w:tentative="0">
      <w:start w:val="1"/>
      <w:numFmt w:val="lowerRoman"/>
      <w:lvlText w:val="%9."/>
      <w:lvlJc w:val="right"/>
      <w:pPr>
        <w:ind w:left="4395"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619AD2B"/>
    <w:multiLevelType w:val="singleLevel"/>
    <w:tmpl w:val="4619AD2B"/>
    <w:lvl w:ilvl="0" w:tentative="0">
      <w:start w:val="2"/>
      <w:numFmt w:val="chineseCounting"/>
      <w:suff w:val="nothing"/>
      <w:lvlText w:val="（%1）"/>
      <w:lvlJc w:val="left"/>
      <w:rPr>
        <w:rFonts w:hint="eastAsia"/>
      </w:rPr>
    </w:lvl>
  </w:abstractNum>
  <w:abstractNum w:abstractNumId="6">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ZjBhMzg5NmYzMDE4YWQ4ZGJjMmRlNThhMjYwNDAifQ=="/>
    <w:docVar w:name="KSO_WPS_MARK_KEY" w:val="5db3cebb-dc0e-4418-b109-cb223d61b007"/>
  </w:docVars>
  <w:rsids>
    <w:rsidRoot w:val="00172A27"/>
    <w:rsid w:val="00001098"/>
    <w:rsid w:val="000010CA"/>
    <w:rsid w:val="00001CB9"/>
    <w:rsid w:val="00002237"/>
    <w:rsid w:val="0000260D"/>
    <w:rsid w:val="0000289B"/>
    <w:rsid w:val="0000699F"/>
    <w:rsid w:val="00007FB5"/>
    <w:rsid w:val="0001014C"/>
    <w:rsid w:val="0001197A"/>
    <w:rsid w:val="00011F55"/>
    <w:rsid w:val="00012D27"/>
    <w:rsid w:val="00014190"/>
    <w:rsid w:val="00015ED7"/>
    <w:rsid w:val="00016039"/>
    <w:rsid w:val="00016641"/>
    <w:rsid w:val="00017140"/>
    <w:rsid w:val="000172CA"/>
    <w:rsid w:val="00017EA3"/>
    <w:rsid w:val="00020B8B"/>
    <w:rsid w:val="0002105F"/>
    <w:rsid w:val="00021076"/>
    <w:rsid w:val="0002135E"/>
    <w:rsid w:val="0002156F"/>
    <w:rsid w:val="000226B9"/>
    <w:rsid w:val="000228C8"/>
    <w:rsid w:val="000252AE"/>
    <w:rsid w:val="000268C8"/>
    <w:rsid w:val="00027DF3"/>
    <w:rsid w:val="000309CA"/>
    <w:rsid w:val="00030C19"/>
    <w:rsid w:val="00031717"/>
    <w:rsid w:val="00032F17"/>
    <w:rsid w:val="000334CB"/>
    <w:rsid w:val="00034B8F"/>
    <w:rsid w:val="00034F93"/>
    <w:rsid w:val="0003706A"/>
    <w:rsid w:val="0004067A"/>
    <w:rsid w:val="00041080"/>
    <w:rsid w:val="0004142E"/>
    <w:rsid w:val="00042B0D"/>
    <w:rsid w:val="00042E38"/>
    <w:rsid w:val="00045441"/>
    <w:rsid w:val="000503F1"/>
    <w:rsid w:val="0005057C"/>
    <w:rsid w:val="00050EBF"/>
    <w:rsid w:val="00053AC4"/>
    <w:rsid w:val="00056F9F"/>
    <w:rsid w:val="000614B0"/>
    <w:rsid w:val="0006163C"/>
    <w:rsid w:val="00065B10"/>
    <w:rsid w:val="00066EA0"/>
    <w:rsid w:val="000753AF"/>
    <w:rsid w:val="00077429"/>
    <w:rsid w:val="00080E5B"/>
    <w:rsid w:val="0008123B"/>
    <w:rsid w:val="0008132D"/>
    <w:rsid w:val="00083D37"/>
    <w:rsid w:val="00084253"/>
    <w:rsid w:val="000842A4"/>
    <w:rsid w:val="00084E12"/>
    <w:rsid w:val="00085D7D"/>
    <w:rsid w:val="000873C9"/>
    <w:rsid w:val="00091BEF"/>
    <w:rsid w:val="0009242A"/>
    <w:rsid w:val="00092AC0"/>
    <w:rsid w:val="00094995"/>
    <w:rsid w:val="00094EFC"/>
    <w:rsid w:val="00094FE0"/>
    <w:rsid w:val="00095259"/>
    <w:rsid w:val="00096FA5"/>
    <w:rsid w:val="000A26DC"/>
    <w:rsid w:val="000B00CB"/>
    <w:rsid w:val="000B1C02"/>
    <w:rsid w:val="000B31FB"/>
    <w:rsid w:val="000B5645"/>
    <w:rsid w:val="000B614A"/>
    <w:rsid w:val="000B62B2"/>
    <w:rsid w:val="000B639B"/>
    <w:rsid w:val="000C2A29"/>
    <w:rsid w:val="000C2C68"/>
    <w:rsid w:val="000C37D8"/>
    <w:rsid w:val="000C6AC3"/>
    <w:rsid w:val="000D74B1"/>
    <w:rsid w:val="000D7B9B"/>
    <w:rsid w:val="000E078F"/>
    <w:rsid w:val="000E0B2A"/>
    <w:rsid w:val="000E1521"/>
    <w:rsid w:val="000E203D"/>
    <w:rsid w:val="000E2A6B"/>
    <w:rsid w:val="000E4013"/>
    <w:rsid w:val="000E4CBE"/>
    <w:rsid w:val="000F25A3"/>
    <w:rsid w:val="000F322F"/>
    <w:rsid w:val="000F5755"/>
    <w:rsid w:val="00100229"/>
    <w:rsid w:val="0010043F"/>
    <w:rsid w:val="00100982"/>
    <w:rsid w:val="00101225"/>
    <w:rsid w:val="001031AE"/>
    <w:rsid w:val="001063D9"/>
    <w:rsid w:val="00110993"/>
    <w:rsid w:val="00112D14"/>
    <w:rsid w:val="001134AF"/>
    <w:rsid w:val="0011412D"/>
    <w:rsid w:val="00115787"/>
    <w:rsid w:val="00115BD6"/>
    <w:rsid w:val="0012032B"/>
    <w:rsid w:val="00121911"/>
    <w:rsid w:val="001245C2"/>
    <w:rsid w:val="00125045"/>
    <w:rsid w:val="00125EF2"/>
    <w:rsid w:val="00126606"/>
    <w:rsid w:val="001307DD"/>
    <w:rsid w:val="00130DDD"/>
    <w:rsid w:val="00132CCD"/>
    <w:rsid w:val="001348E5"/>
    <w:rsid w:val="001351A8"/>
    <w:rsid w:val="001355CE"/>
    <w:rsid w:val="00136726"/>
    <w:rsid w:val="0013745D"/>
    <w:rsid w:val="00145A1C"/>
    <w:rsid w:val="001470C2"/>
    <w:rsid w:val="001528CD"/>
    <w:rsid w:val="00153A13"/>
    <w:rsid w:val="00154272"/>
    <w:rsid w:val="00155921"/>
    <w:rsid w:val="001559BA"/>
    <w:rsid w:val="00157468"/>
    <w:rsid w:val="00157E2A"/>
    <w:rsid w:val="00160DBF"/>
    <w:rsid w:val="00161858"/>
    <w:rsid w:val="00162EA9"/>
    <w:rsid w:val="0016419C"/>
    <w:rsid w:val="0016459F"/>
    <w:rsid w:val="0016705C"/>
    <w:rsid w:val="001676CE"/>
    <w:rsid w:val="00171F44"/>
    <w:rsid w:val="00172A27"/>
    <w:rsid w:val="00172F42"/>
    <w:rsid w:val="00173A99"/>
    <w:rsid w:val="00173C5B"/>
    <w:rsid w:val="00174A2E"/>
    <w:rsid w:val="00177213"/>
    <w:rsid w:val="00177B75"/>
    <w:rsid w:val="001811D1"/>
    <w:rsid w:val="00181E49"/>
    <w:rsid w:val="00182960"/>
    <w:rsid w:val="00182A9B"/>
    <w:rsid w:val="001871C7"/>
    <w:rsid w:val="00190468"/>
    <w:rsid w:val="00192051"/>
    <w:rsid w:val="0019310D"/>
    <w:rsid w:val="001931CB"/>
    <w:rsid w:val="00193DEC"/>
    <w:rsid w:val="00194351"/>
    <w:rsid w:val="0019788A"/>
    <w:rsid w:val="001A02CA"/>
    <w:rsid w:val="001A16B2"/>
    <w:rsid w:val="001A2ED5"/>
    <w:rsid w:val="001A486D"/>
    <w:rsid w:val="001A4BC5"/>
    <w:rsid w:val="001A5868"/>
    <w:rsid w:val="001A791A"/>
    <w:rsid w:val="001A7FBB"/>
    <w:rsid w:val="001B1671"/>
    <w:rsid w:val="001B16E1"/>
    <w:rsid w:val="001B5FCD"/>
    <w:rsid w:val="001B6E5F"/>
    <w:rsid w:val="001C0CF8"/>
    <w:rsid w:val="001C1B97"/>
    <w:rsid w:val="001C500E"/>
    <w:rsid w:val="001C54BA"/>
    <w:rsid w:val="001C7A7C"/>
    <w:rsid w:val="001D0532"/>
    <w:rsid w:val="001D1A61"/>
    <w:rsid w:val="001D269B"/>
    <w:rsid w:val="001D3685"/>
    <w:rsid w:val="001D4290"/>
    <w:rsid w:val="001D6206"/>
    <w:rsid w:val="001D777A"/>
    <w:rsid w:val="001E0345"/>
    <w:rsid w:val="001E1DDA"/>
    <w:rsid w:val="001E1EB4"/>
    <w:rsid w:val="001E62EB"/>
    <w:rsid w:val="001E6E86"/>
    <w:rsid w:val="001F047C"/>
    <w:rsid w:val="001F1A43"/>
    <w:rsid w:val="001F22F7"/>
    <w:rsid w:val="001F3103"/>
    <w:rsid w:val="001F750D"/>
    <w:rsid w:val="00202212"/>
    <w:rsid w:val="0020303F"/>
    <w:rsid w:val="00203E88"/>
    <w:rsid w:val="0020780C"/>
    <w:rsid w:val="00210528"/>
    <w:rsid w:val="002109FF"/>
    <w:rsid w:val="002113E7"/>
    <w:rsid w:val="00213B7A"/>
    <w:rsid w:val="00217949"/>
    <w:rsid w:val="0022065B"/>
    <w:rsid w:val="00220810"/>
    <w:rsid w:val="00220C68"/>
    <w:rsid w:val="00221BF7"/>
    <w:rsid w:val="002255EB"/>
    <w:rsid w:val="002327BB"/>
    <w:rsid w:val="0023393A"/>
    <w:rsid w:val="0023706A"/>
    <w:rsid w:val="002403CB"/>
    <w:rsid w:val="00240ED9"/>
    <w:rsid w:val="0024114A"/>
    <w:rsid w:val="00242392"/>
    <w:rsid w:val="00243976"/>
    <w:rsid w:val="002449F7"/>
    <w:rsid w:val="00245DE7"/>
    <w:rsid w:val="00250757"/>
    <w:rsid w:val="00251D74"/>
    <w:rsid w:val="0025343F"/>
    <w:rsid w:val="00254200"/>
    <w:rsid w:val="002562A5"/>
    <w:rsid w:val="00260EB4"/>
    <w:rsid w:val="00261A92"/>
    <w:rsid w:val="002643F2"/>
    <w:rsid w:val="00264E38"/>
    <w:rsid w:val="00265D26"/>
    <w:rsid w:val="0026763E"/>
    <w:rsid w:val="002701C4"/>
    <w:rsid w:val="00270924"/>
    <w:rsid w:val="00271CD9"/>
    <w:rsid w:val="002722B1"/>
    <w:rsid w:val="002742F4"/>
    <w:rsid w:val="00274C47"/>
    <w:rsid w:val="00276A18"/>
    <w:rsid w:val="002774AA"/>
    <w:rsid w:val="00277F5C"/>
    <w:rsid w:val="0028230F"/>
    <w:rsid w:val="002846D8"/>
    <w:rsid w:val="002906F3"/>
    <w:rsid w:val="00292921"/>
    <w:rsid w:val="002936A6"/>
    <w:rsid w:val="00294A3C"/>
    <w:rsid w:val="0029651D"/>
    <w:rsid w:val="002969DA"/>
    <w:rsid w:val="002A06C0"/>
    <w:rsid w:val="002A0E17"/>
    <w:rsid w:val="002A0E81"/>
    <w:rsid w:val="002A1EAD"/>
    <w:rsid w:val="002A3CFE"/>
    <w:rsid w:val="002A5D62"/>
    <w:rsid w:val="002A7487"/>
    <w:rsid w:val="002B0A57"/>
    <w:rsid w:val="002B32B5"/>
    <w:rsid w:val="002B5549"/>
    <w:rsid w:val="002B58CD"/>
    <w:rsid w:val="002B627B"/>
    <w:rsid w:val="002B62C2"/>
    <w:rsid w:val="002B75E3"/>
    <w:rsid w:val="002C0396"/>
    <w:rsid w:val="002C0E37"/>
    <w:rsid w:val="002C5B5F"/>
    <w:rsid w:val="002C72A5"/>
    <w:rsid w:val="002D0334"/>
    <w:rsid w:val="002D0450"/>
    <w:rsid w:val="002D15BC"/>
    <w:rsid w:val="002D2857"/>
    <w:rsid w:val="002D2D94"/>
    <w:rsid w:val="002D3747"/>
    <w:rsid w:val="002D3D97"/>
    <w:rsid w:val="002D6BE9"/>
    <w:rsid w:val="002D7EB7"/>
    <w:rsid w:val="002E0426"/>
    <w:rsid w:val="002E142A"/>
    <w:rsid w:val="002E219D"/>
    <w:rsid w:val="002E2257"/>
    <w:rsid w:val="002E2E5B"/>
    <w:rsid w:val="002E448B"/>
    <w:rsid w:val="002E5C40"/>
    <w:rsid w:val="002E6C7F"/>
    <w:rsid w:val="002E752E"/>
    <w:rsid w:val="002F0A3C"/>
    <w:rsid w:val="002F3831"/>
    <w:rsid w:val="002F3CB1"/>
    <w:rsid w:val="002F3D92"/>
    <w:rsid w:val="002F5D91"/>
    <w:rsid w:val="002F6285"/>
    <w:rsid w:val="0030112B"/>
    <w:rsid w:val="0030283D"/>
    <w:rsid w:val="00303379"/>
    <w:rsid w:val="003077CA"/>
    <w:rsid w:val="00310AC8"/>
    <w:rsid w:val="00311239"/>
    <w:rsid w:val="00313B35"/>
    <w:rsid w:val="00314FC6"/>
    <w:rsid w:val="0031687C"/>
    <w:rsid w:val="00316A9B"/>
    <w:rsid w:val="00316B2C"/>
    <w:rsid w:val="00320CBD"/>
    <w:rsid w:val="00321895"/>
    <w:rsid w:val="003218BD"/>
    <w:rsid w:val="00323471"/>
    <w:rsid w:val="00323980"/>
    <w:rsid w:val="00324095"/>
    <w:rsid w:val="0032493D"/>
    <w:rsid w:val="0032520E"/>
    <w:rsid w:val="00325D72"/>
    <w:rsid w:val="00326951"/>
    <w:rsid w:val="00327DB9"/>
    <w:rsid w:val="00330137"/>
    <w:rsid w:val="00330E89"/>
    <w:rsid w:val="00332337"/>
    <w:rsid w:val="0033322F"/>
    <w:rsid w:val="0033349D"/>
    <w:rsid w:val="00333AF8"/>
    <w:rsid w:val="00333D8E"/>
    <w:rsid w:val="003405DA"/>
    <w:rsid w:val="00343EB1"/>
    <w:rsid w:val="003441B2"/>
    <w:rsid w:val="003447B4"/>
    <w:rsid w:val="00345FF4"/>
    <w:rsid w:val="00346054"/>
    <w:rsid w:val="0034694E"/>
    <w:rsid w:val="00346BA9"/>
    <w:rsid w:val="00347A62"/>
    <w:rsid w:val="00350392"/>
    <w:rsid w:val="00351489"/>
    <w:rsid w:val="0035156F"/>
    <w:rsid w:val="0035173D"/>
    <w:rsid w:val="00351DF8"/>
    <w:rsid w:val="003537FE"/>
    <w:rsid w:val="00357383"/>
    <w:rsid w:val="00360FAA"/>
    <w:rsid w:val="0036121C"/>
    <w:rsid w:val="003613F8"/>
    <w:rsid w:val="00361C86"/>
    <w:rsid w:val="00370082"/>
    <w:rsid w:val="0037358B"/>
    <w:rsid w:val="00374207"/>
    <w:rsid w:val="00374F83"/>
    <w:rsid w:val="00376821"/>
    <w:rsid w:val="003815A0"/>
    <w:rsid w:val="00381B59"/>
    <w:rsid w:val="00382AFE"/>
    <w:rsid w:val="003834DA"/>
    <w:rsid w:val="00384F90"/>
    <w:rsid w:val="00385405"/>
    <w:rsid w:val="00386D65"/>
    <w:rsid w:val="00392ED3"/>
    <w:rsid w:val="003930E3"/>
    <w:rsid w:val="003931AE"/>
    <w:rsid w:val="00394507"/>
    <w:rsid w:val="00394A82"/>
    <w:rsid w:val="00395FB2"/>
    <w:rsid w:val="00395FB4"/>
    <w:rsid w:val="003A20B7"/>
    <w:rsid w:val="003A41F9"/>
    <w:rsid w:val="003A4B35"/>
    <w:rsid w:val="003A5298"/>
    <w:rsid w:val="003A6326"/>
    <w:rsid w:val="003B53EA"/>
    <w:rsid w:val="003C3345"/>
    <w:rsid w:val="003C340B"/>
    <w:rsid w:val="003C346D"/>
    <w:rsid w:val="003C4657"/>
    <w:rsid w:val="003C6247"/>
    <w:rsid w:val="003C7F77"/>
    <w:rsid w:val="003D2714"/>
    <w:rsid w:val="003D2939"/>
    <w:rsid w:val="003D4BC9"/>
    <w:rsid w:val="003D556C"/>
    <w:rsid w:val="003D5683"/>
    <w:rsid w:val="003D7B47"/>
    <w:rsid w:val="003E060F"/>
    <w:rsid w:val="003E090B"/>
    <w:rsid w:val="003E1FCB"/>
    <w:rsid w:val="003E3E52"/>
    <w:rsid w:val="003E3F78"/>
    <w:rsid w:val="003E4F35"/>
    <w:rsid w:val="003E54DC"/>
    <w:rsid w:val="003E7CDB"/>
    <w:rsid w:val="003F004A"/>
    <w:rsid w:val="003F09BE"/>
    <w:rsid w:val="003F196B"/>
    <w:rsid w:val="003F1C22"/>
    <w:rsid w:val="003F2304"/>
    <w:rsid w:val="003F3F4B"/>
    <w:rsid w:val="003F4E53"/>
    <w:rsid w:val="003F5D1C"/>
    <w:rsid w:val="003F7C39"/>
    <w:rsid w:val="004010F5"/>
    <w:rsid w:val="00401A6D"/>
    <w:rsid w:val="004035C5"/>
    <w:rsid w:val="004041C2"/>
    <w:rsid w:val="004056D7"/>
    <w:rsid w:val="00405ABF"/>
    <w:rsid w:val="00405F02"/>
    <w:rsid w:val="00407171"/>
    <w:rsid w:val="004073E3"/>
    <w:rsid w:val="00411EFE"/>
    <w:rsid w:val="00415244"/>
    <w:rsid w:val="004206E9"/>
    <w:rsid w:val="00420F8C"/>
    <w:rsid w:val="004238E3"/>
    <w:rsid w:val="00426116"/>
    <w:rsid w:val="0042625E"/>
    <w:rsid w:val="004275AE"/>
    <w:rsid w:val="00433340"/>
    <w:rsid w:val="004352D3"/>
    <w:rsid w:val="00435444"/>
    <w:rsid w:val="004354E9"/>
    <w:rsid w:val="0043602E"/>
    <w:rsid w:val="00436968"/>
    <w:rsid w:val="00437C7E"/>
    <w:rsid w:val="00440B60"/>
    <w:rsid w:val="00441038"/>
    <w:rsid w:val="00441EC1"/>
    <w:rsid w:val="00446D7F"/>
    <w:rsid w:val="0045220A"/>
    <w:rsid w:val="004559E8"/>
    <w:rsid w:val="00457022"/>
    <w:rsid w:val="0046331B"/>
    <w:rsid w:val="00463D0E"/>
    <w:rsid w:val="00466420"/>
    <w:rsid w:val="004665C7"/>
    <w:rsid w:val="004665CE"/>
    <w:rsid w:val="00466D6F"/>
    <w:rsid w:val="0046739A"/>
    <w:rsid w:val="00467CBF"/>
    <w:rsid w:val="00472011"/>
    <w:rsid w:val="00473E52"/>
    <w:rsid w:val="004744EF"/>
    <w:rsid w:val="00475259"/>
    <w:rsid w:val="00476A9D"/>
    <w:rsid w:val="00476CD2"/>
    <w:rsid w:val="00480568"/>
    <w:rsid w:val="00482DB2"/>
    <w:rsid w:val="00485E0F"/>
    <w:rsid w:val="00485EF9"/>
    <w:rsid w:val="0049060C"/>
    <w:rsid w:val="00491616"/>
    <w:rsid w:val="004924DE"/>
    <w:rsid w:val="004929DF"/>
    <w:rsid w:val="0049399B"/>
    <w:rsid w:val="004960FF"/>
    <w:rsid w:val="00497718"/>
    <w:rsid w:val="004A094A"/>
    <w:rsid w:val="004A0AD4"/>
    <w:rsid w:val="004B13A3"/>
    <w:rsid w:val="004B1EB5"/>
    <w:rsid w:val="004B3B84"/>
    <w:rsid w:val="004B460F"/>
    <w:rsid w:val="004B6B4B"/>
    <w:rsid w:val="004B6FE6"/>
    <w:rsid w:val="004C02CC"/>
    <w:rsid w:val="004C0487"/>
    <w:rsid w:val="004C66C2"/>
    <w:rsid w:val="004C7140"/>
    <w:rsid w:val="004C7519"/>
    <w:rsid w:val="004C78BF"/>
    <w:rsid w:val="004C7D6D"/>
    <w:rsid w:val="004D099D"/>
    <w:rsid w:val="004D09F0"/>
    <w:rsid w:val="004D3BB6"/>
    <w:rsid w:val="004D47EA"/>
    <w:rsid w:val="004D4880"/>
    <w:rsid w:val="004D6D19"/>
    <w:rsid w:val="004E2638"/>
    <w:rsid w:val="004E26A8"/>
    <w:rsid w:val="004E2C35"/>
    <w:rsid w:val="004E3BDB"/>
    <w:rsid w:val="004E5414"/>
    <w:rsid w:val="004E61B6"/>
    <w:rsid w:val="004E77CE"/>
    <w:rsid w:val="004F090B"/>
    <w:rsid w:val="004F409A"/>
    <w:rsid w:val="004F4484"/>
    <w:rsid w:val="004F4757"/>
    <w:rsid w:val="004F4AB3"/>
    <w:rsid w:val="004F4E84"/>
    <w:rsid w:val="004F5F38"/>
    <w:rsid w:val="004F6E29"/>
    <w:rsid w:val="004F7284"/>
    <w:rsid w:val="004F7DEC"/>
    <w:rsid w:val="00500F75"/>
    <w:rsid w:val="00504812"/>
    <w:rsid w:val="005053B3"/>
    <w:rsid w:val="00511F67"/>
    <w:rsid w:val="00514B48"/>
    <w:rsid w:val="005158B5"/>
    <w:rsid w:val="0052297A"/>
    <w:rsid w:val="00525331"/>
    <w:rsid w:val="005270D2"/>
    <w:rsid w:val="00527BB4"/>
    <w:rsid w:val="005305F2"/>
    <w:rsid w:val="005305F9"/>
    <w:rsid w:val="00532106"/>
    <w:rsid w:val="005323BD"/>
    <w:rsid w:val="00532424"/>
    <w:rsid w:val="00532E69"/>
    <w:rsid w:val="00537876"/>
    <w:rsid w:val="00542C7A"/>
    <w:rsid w:val="005440E0"/>
    <w:rsid w:val="00544367"/>
    <w:rsid w:val="00550698"/>
    <w:rsid w:val="005511FA"/>
    <w:rsid w:val="005512C0"/>
    <w:rsid w:val="00551664"/>
    <w:rsid w:val="00551735"/>
    <w:rsid w:val="00552CD6"/>
    <w:rsid w:val="005539F5"/>
    <w:rsid w:val="00554780"/>
    <w:rsid w:val="0055641B"/>
    <w:rsid w:val="00556A06"/>
    <w:rsid w:val="00556AA2"/>
    <w:rsid w:val="00561266"/>
    <w:rsid w:val="0056143F"/>
    <w:rsid w:val="00561726"/>
    <w:rsid w:val="00561B9C"/>
    <w:rsid w:val="005635A3"/>
    <w:rsid w:val="00564477"/>
    <w:rsid w:val="00565EED"/>
    <w:rsid w:val="005671F3"/>
    <w:rsid w:val="00570054"/>
    <w:rsid w:val="0057053F"/>
    <w:rsid w:val="0057140D"/>
    <w:rsid w:val="00571B68"/>
    <w:rsid w:val="00571D59"/>
    <w:rsid w:val="00571EF4"/>
    <w:rsid w:val="00573256"/>
    <w:rsid w:val="00573783"/>
    <w:rsid w:val="00577540"/>
    <w:rsid w:val="00577D45"/>
    <w:rsid w:val="00581BA5"/>
    <w:rsid w:val="00582EF3"/>
    <w:rsid w:val="005833AB"/>
    <w:rsid w:val="00583C6D"/>
    <w:rsid w:val="00583F10"/>
    <w:rsid w:val="00584D40"/>
    <w:rsid w:val="00584E26"/>
    <w:rsid w:val="00586801"/>
    <w:rsid w:val="00587851"/>
    <w:rsid w:val="00590105"/>
    <w:rsid w:val="00591643"/>
    <w:rsid w:val="005941B5"/>
    <w:rsid w:val="005964D3"/>
    <w:rsid w:val="00596F31"/>
    <w:rsid w:val="00597FEA"/>
    <w:rsid w:val="005A124D"/>
    <w:rsid w:val="005A397E"/>
    <w:rsid w:val="005A4961"/>
    <w:rsid w:val="005A49F1"/>
    <w:rsid w:val="005A574F"/>
    <w:rsid w:val="005A7319"/>
    <w:rsid w:val="005B1F90"/>
    <w:rsid w:val="005B4E5D"/>
    <w:rsid w:val="005B5600"/>
    <w:rsid w:val="005B6607"/>
    <w:rsid w:val="005B740B"/>
    <w:rsid w:val="005C053B"/>
    <w:rsid w:val="005C0E69"/>
    <w:rsid w:val="005C2462"/>
    <w:rsid w:val="005C3969"/>
    <w:rsid w:val="005C4531"/>
    <w:rsid w:val="005C4A1D"/>
    <w:rsid w:val="005D1403"/>
    <w:rsid w:val="005D169E"/>
    <w:rsid w:val="005D48EC"/>
    <w:rsid w:val="005D77A1"/>
    <w:rsid w:val="005E3D57"/>
    <w:rsid w:val="005E3ED5"/>
    <w:rsid w:val="005E547B"/>
    <w:rsid w:val="005E6521"/>
    <w:rsid w:val="005E6D39"/>
    <w:rsid w:val="005E70F6"/>
    <w:rsid w:val="005E7A6C"/>
    <w:rsid w:val="005F2944"/>
    <w:rsid w:val="005F4CF0"/>
    <w:rsid w:val="005F519A"/>
    <w:rsid w:val="005F5590"/>
    <w:rsid w:val="005F71FD"/>
    <w:rsid w:val="005F7515"/>
    <w:rsid w:val="0060167A"/>
    <w:rsid w:val="006034E8"/>
    <w:rsid w:val="00603D8D"/>
    <w:rsid w:val="00604F39"/>
    <w:rsid w:val="0060586D"/>
    <w:rsid w:val="006070B1"/>
    <w:rsid w:val="00607974"/>
    <w:rsid w:val="006105E7"/>
    <w:rsid w:val="00616693"/>
    <w:rsid w:val="00616AB9"/>
    <w:rsid w:val="0061752B"/>
    <w:rsid w:val="00617607"/>
    <w:rsid w:val="00617B2B"/>
    <w:rsid w:val="00620156"/>
    <w:rsid w:val="0062132E"/>
    <w:rsid w:val="00623AF4"/>
    <w:rsid w:val="00624659"/>
    <w:rsid w:val="006246EB"/>
    <w:rsid w:val="006250BA"/>
    <w:rsid w:val="00626071"/>
    <w:rsid w:val="00627D9D"/>
    <w:rsid w:val="00631468"/>
    <w:rsid w:val="00632E6E"/>
    <w:rsid w:val="006333AE"/>
    <w:rsid w:val="00633691"/>
    <w:rsid w:val="00635C34"/>
    <w:rsid w:val="00635EE3"/>
    <w:rsid w:val="0063676C"/>
    <w:rsid w:val="006372DB"/>
    <w:rsid w:val="00637EBD"/>
    <w:rsid w:val="00637FEB"/>
    <w:rsid w:val="006409DD"/>
    <w:rsid w:val="00640C4E"/>
    <w:rsid w:val="00643371"/>
    <w:rsid w:val="006436AD"/>
    <w:rsid w:val="00643822"/>
    <w:rsid w:val="006457FF"/>
    <w:rsid w:val="00645CFF"/>
    <w:rsid w:val="00646461"/>
    <w:rsid w:val="00646BBC"/>
    <w:rsid w:val="00646E6C"/>
    <w:rsid w:val="00647ED3"/>
    <w:rsid w:val="00647F5F"/>
    <w:rsid w:val="00652146"/>
    <w:rsid w:val="0065256B"/>
    <w:rsid w:val="00654A49"/>
    <w:rsid w:val="00654CED"/>
    <w:rsid w:val="00655A37"/>
    <w:rsid w:val="00655BE0"/>
    <w:rsid w:val="006568B3"/>
    <w:rsid w:val="00657D90"/>
    <w:rsid w:val="0066040B"/>
    <w:rsid w:val="00660B1F"/>
    <w:rsid w:val="00661A4C"/>
    <w:rsid w:val="0066418B"/>
    <w:rsid w:val="00664CA2"/>
    <w:rsid w:val="00664DC4"/>
    <w:rsid w:val="00666699"/>
    <w:rsid w:val="00671117"/>
    <w:rsid w:val="0067357E"/>
    <w:rsid w:val="00673804"/>
    <w:rsid w:val="00675DC2"/>
    <w:rsid w:val="00676441"/>
    <w:rsid w:val="0068006C"/>
    <w:rsid w:val="006804BC"/>
    <w:rsid w:val="006859EC"/>
    <w:rsid w:val="006871DE"/>
    <w:rsid w:val="006876D9"/>
    <w:rsid w:val="00690010"/>
    <w:rsid w:val="00691DFB"/>
    <w:rsid w:val="00693CC2"/>
    <w:rsid w:val="00694F00"/>
    <w:rsid w:val="006959E5"/>
    <w:rsid w:val="00696743"/>
    <w:rsid w:val="00697205"/>
    <w:rsid w:val="006972E1"/>
    <w:rsid w:val="0069799E"/>
    <w:rsid w:val="006A0261"/>
    <w:rsid w:val="006A051E"/>
    <w:rsid w:val="006A0ACB"/>
    <w:rsid w:val="006A203B"/>
    <w:rsid w:val="006A21D9"/>
    <w:rsid w:val="006A2733"/>
    <w:rsid w:val="006A2A3D"/>
    <w:rsid w:val="006A320E"/>
    <w:rsid w:val="006A500C"/>
    <w:rsid w:val="006A54B1"/>
    <w:rsid w:val="006A6017"/>
    <w:rsid w:val="006A716A"/>
    <w:rsid w:val="006A7A4E"/>
    <w:rsid w:val="006B0E0A"/>
    <w:rsid w:val="006C2798"/>
    <w:rsid w:val="006C30F3"/>
    <w:rsid w:val="006C554B"/>
    <w:rsid w:val="006C6837"/>
    <w:rsid w:val="006C6893"/>
    <w:rsid w:val="006D0D94"/>
    <w:rsid w:val="006D1517"/>
    <w:rsid w:val="006D1CB1"/>
    <w:rsid w:val="006D2BA3"/>
    <w:rsid w:val="006D2C33"/>
    <w:rsid w:val="006D42EB"/>
    <w:rsid w:val="006D43E7"/>
    <w:rsid w:val="006D48BD"/>
    <w:rsid w:val="006D5359"/>
    <w:rsid w:val="006D6286"/>
    <w:rsid w:val="006E2D07"/>
    <w:rsid w:val="006E34D7"/>
    <w:rsid w:val="006E54EB"/>
    <w:rsid w:val="006E6314"/>
    <w:rsid w:val="006F5B42"/>
    <w:rsid w:val="006F61B8"/>
    <w:rsid w:val="006F637E"/>
    <w:rsid w:val="006F7BAD"/>
    <w:rsid w:val="0070029B"/>
    <w:rsid w:val="00705D74"/>
    <w:rsid w:val="00706A4C"/>
    <w:rsid w:val="007070AB"/>
    <w:rsid w:val="007100E7"/>
    <w:rsid w:val="00713AA4"/>
    <w:rsid w:val="007141D6"/>
    <w:rsid w:val="0071548F"/>
    <w:rsid w:val="00717D9E"/>
    <w:rsid w:val="0072074A"/>
    <w:rsid w:val="00721CA0"/>
    <w:rsid w:val="00721E8E"/>
    <w:rsid w:val="00723300"/>
    <w:rsid w:val="0072434D"/>
    <w:rsid w:val="00724A7E"/>
    <w:rsid w:val="00725582"/>
    <w:rsid w:val="00726E42"/>
    <w:rsid w:val="00730003"/>
    <w:rsid w:val="00731C22"/>
    <w:rsid w:val="00732DB3"/>
    <w:rsid w:val="007348ED"/>
    <w:rsid w:val="00735740"/>
    <w:rsid w:val="007366C0"/>
    <w:rsid w:val="0073797E"/>
    <w:rsid w:val="00737D5F"/>
    <w:rsid w:val="00742647"/>
    <w:rsid w:val="00743307"/>
    <w:rsid w:val="007456FF"/>
    <w:rsid w:val="007458F1"/>
    <w:rsid w:val="00746174"/>
    <w:rsid w:val="00747737"/>
    <w:rsid w:val="00751738"/>
    <w:rsid w:val="00752F6F"/>
    <w:rsid w:val="0075304D"/>
    <w:rsid w:val="00754242"/>
    <w:rsid w:val="00754794"/>
    <w:rsid w:val="00755059"/>
    <w:rsid w:val="007562AD"/>
    <w:rsid w:val="007605CC"/>
    <w:rsid w:val="00760949"/>
    <w:rsid w:val="00760D24"/>
    <w:rsid w:val="00761CC0"/>
    <w:rsid w:val="00763535"/>
    <w:rsid w:val="00764379"/>
    <w:rsid w:val="00764707"/>
    <w:rsid w:val="0076520F"/>
    <w:rsid w:val="0076643F"/>
    <w:rsid w:val="00770CCD"/>
    <w:rsid w:val="007721AC"/>
    <w:rsid w:val="00772B31"/>
    <w:rsid w:val="00773E4C"/>
    <w:rsid w:val="00777E1A"/>
    <w:rsid w:val="00777EFB"/>
    <w:rsid w:val="007803A4"/>
    <w:rsid w:val="007806A5"/>
    <w:rsid w:val="007824D7"/>
    <w:rsid w:val="00782D75"/>
    <w:rsid w:val="00783076"/>
    <w:rsid w:val="00783B29"/>
    <w:rsid w:val="00785A28"/>
    <w:rsid w:val="00785EE4"/>
    <w:rsid w:val="00786972"/>
    <w:rsid w:val="00786B86"/>
    <w:rsid w:val="00786E70"/>
    <w:rsid w:val="00790985"/>
    <w:rsid w:val="007941BD"/>
    <w:rsid w:val="00795762"/>
    <w:rsid w:val="00797FC6"/>
    <w:rsid w:val="007A13D1"/>
    <w:rsid w:val="007A16E7"/>
    <w:rsid w:val="007A20C3"/>
    <w:rsid w:val="007A3804"/>
    <w:rsid w:val="007A7088"/>
    <w:rsid w:val="007B13BE"/>
    <w:rsid w:val="007B1785"/>
    <w:rsid w:val="007B1AA6"/>
    <w:rsid w:val="007B272C"/>
    <w:rsid w:val="007B4389"/>
    <w:rsid w:val="007B4C7A"/>
    <w:rsid w:val="007C054C"/>
    <w:rsid w:val="007C6691"/>
    <w:rsid w:val="007C7D5C"/>
    <w:rsid w:val="007C7E79"/>
    <w:rsid w:val="007D1996"/>
    <w:rsid w:val="007D1AE6"/>
    <w:rsid w:val="007D207B"/>
    <w:rsid w:val="007D352C"/>
    <w:rsid w:val="007D38ED"/>
    <w:rsid w:val="007D43E0"/>
    <w:rsid w:val="007D577B"/>
    <w:rsid w:val="007D7CE5"/>
    <w:rsid w:val="007E2D5C"/>
    <w:rsid w:val="007E373A"/>
    <w:rsid w:val="007E4BBC"/>
    <w:rsid w:val="007E74CF"/>
    <w:rsid w:val="007E7CBC"/>
    <w:rsid w:val="007F10BB"/>
    <w:rsid w:val="007F1120"/>
    <w:rsid w:val="007F2D28"/>
    <w:rsid w:val="007F3131"/>
    <w:rsid w:val="007F388A"/>
    <w:rsid w:val="007F66FC"/>
    <w:rsid w:val="007F7770"/>
    <w:rsid w:val="007F7BEB"/>
    <w:rsid w:val="0080019C"/>
    <w:rsid w:val="00800F84"/>
    <w:rsid w:val="00801CC2"/>
    <w:rsid w:val="0080548C"/>
    <w:rsid w:val="00805F79"/>
    <w:rsid w:val="00806C6A"/>
    <w:rsid w:val="00810264"/>
    <w:rsid w:val="00810968"/>
    <w:rsid w:val="00811D4B"/>
    <w:rsid w:val="0081210D"/>
    <w:rsid w:val="00812851"/>
    <w:rsid w:val="008142FF"/>
    <w:rsid w:val="00814EE1"/>
    <w:rsid w:val="00815BB5"/>
    <w:rsid w:val="00815D2E"/>
    <w:rsid w:val="0082159A"/>
    <w:rsid w:val="00823227"/>
    <w:rsid w:val="00827ECE"/>
    <w:rsid w:val="00831346"/>
    <w:rsid w:val="00832249"/>
    <w:rsid w:val="008341EC"/>
    <w:rsid w:val="00834D5F"/>
    <w:rsid w:val="00835341"/>
    <w:rsid w:val="00840285"/>
    <w:rsid w:val="0084152E"/>
    <w:rsid w:val="008419B9"/>
    <w:rsid w:val="00843BD3"/>
    <w:rsid w:val="008449D4"/>
    <w:rsid w:val="00845562"/>
    <w:rsid w:val="00850218"/>
    <w:rsid w:val="00850E34"/>
    <w:rsid w:val="008523D6"/>
    <w:rsid w:val="00856F36"/>
    <w:rsid w:val="00857193"/>
    <w:rsid w:val="008612D9"/>
    <w:rsid w:val="00861B1C"/>
    <w:rsid w:val="008620FF"/>
    <w:rsid w:val="00863267"/>
    <w:rsid w:val="0086474B"/>
    <w:rsid w:val="00865841"/>
    <w:rsid w:val="00865984"/>
    <w:rsid w:val="008669D4"/>
    <w:rsid w:val="00867D53"/>
    <w:rsid w:val="00867DFF"/>
    <w:rsid w:val="00871F23"/>
    <w:rsid w:val="00872189"/>
    <w:rsid w:val="00874227"/>
    <w:rsid w:val="0087435A"/>
    <w:rsid w:val="008757ED"/>
    <w:rsid w:val="00882C17"/>
    <w:rsid w:val="00883E59"/>
    <w:rsid w:val="008851D9"/>
    <w:rsid w:val="008864D4"/>
    <w:rsid w:val="00886869"/>
    <w:rsid w:val="0088720D"/>
    <w:rsid w:val="00887DB2"/>
    <w:rsid w:val="00890696"/>
    <w:rsid w:val="00893564"/>
    <w:rsid w:val="008956E4"/>
    <w:rsid w:val="008978D4"/>
    <w:rsid w:val="008A14EC"/>
    <w:rsid w:val="008A39C7"/>
    <w:rsid w:val="008A42F0"/>
    <w:rsid w:val="008A487D"/>
    <w:rsid w:val="008B131B"/>
    <w:rsid w:val="008B2B07"/>
    <w:rsid w:val="008B3B79"/>
    <w:rsid w:val="008B4BF0"/>
    <w:rsid w:val="008B5597"/>
    <w:rsid w:val="008B5B7E"/>
    <w:rsid w:val="008B7720"/>
    <w:rsid w:val="008C0226"/>
    <w:rsid w:val="008C0984"/>
    <w:rsid w:val="008C24A7"/>
    <w:rsid w:val="008C2FCE"/>
    <w:rsid w:val="008C383D"/>
    <w:rsid w:val="008C5D15"/>
    <w:rsid w:val="008C7A48"/>
    <w:rsid w:val="008D0534"/>
    <w:rsid w:val="008D1BE1"/>
    <w:rsid w:val="008D2CF3"/>
    <w:rsid w:val="008D3145"/>
    <w:rsid w:val="008E06A9"/>
    <w:rsid w:val="008E3CE9"/>
    <w:rsid w:val="008E4DC3"/>
    <w:rsid w:val="008E515C"/>
    <w:rsid w:val="008F158F"/>
    <w:rsid w:val="008F1C64"/>
    <w:rsid w:val="008F20A7"/>
    <w:rsid w:val="008F3A73"/>
    <w:rsid w:val="008F3B12"/>
    <w:rsid w:val="00901C5B"/>
    <w:rsid w:val="009035EC"/>
    <w:rsid w:val="0090369C"/>
    <w:rsid w:val="00903E91"/>
    <w:rsid w:val="00911328"/>
    <w:rsid w:val="0091144B"/>
    <w:rsid w:val="0091392D"/>
    <w:rsid w:val="009143AF"/>
    <w:rsid w:val="00914A26"/>
    <w:rsid w:val="00915099"/>
    <w:rsid w:val="00915CF4"/>
    <w:rsid w:val="00915E6F"/>
    <w:rsid w:val="00915FA6"/>
    <w:rsid w:val="00920CB8"/>
    <w:rsid w:val="0092377D"/>
    <w:rsid w:val="00924733"/>
    <w:rsid w:val="009263B4"/>
    <w:rsid w:val="00926AC2"/>
    <w:rsid w:val="00930AF3"/>
    <w:rsid w:val="00930EA5"/>
    <w:rsid w:val="00931706"/>
    <w:rsid w:val="00931BE6"/>
    <w:rsid w:val="00934474"/>
    <w:rsid w:val="00934C6D"/>
    <w:rsid w:val="009354D2"/>
    <w:rsid w:val="00935F55"/>
    <w:rsid w:val="00937182"/>
    <w:rsid w:val="009454D4"/>
    <w:rsid w:val="00945BDC"/>
    <w:rsid w:val="009461AA"/>
    <w:rsid w:val="00946274"/>
    <w:rsid w:val="009520BE"/>
    <w:rsid w:val="00952E7F"/>
    <w:rsid w:val="00957AAD"/>
    <w:rsid w:val="00960CE8"/>
    <w:rsid w:val="00963484"/>
    <w:rsid w:val="00963C6D"/>
    <w:rsid w:val="00963E43"/>
    <w:rsid w:val="00965E62"/>
    <w:rsid w:val="00966CD8"/>
    <w:rsid w:val="009675C2"/>
    <w:rsid w:val="0096779B"/>
    <w:rsid w:val="00967AED"/>
    <w:rsid w:val="00967F11"/>
    <w:rsid w:val="00970626"/>
    <w:rsid w:val="00970E2E"/>
    <w:rsid w:val="00970F23"/>
    <w:rsid w:val="00971495"/>
    <w:rsid w:val="00971634"/>
    <w:rsid w:val="0097221B"/>
    <w:rsid w:val="00973A50"/>
    <w:rsid w:val="00973B7B"/>
    <w:rsid w:val="009748D7"/>
    <w:rsid w:val="009757F2"/>
    <w:rsid w:val="0097666B"/>
    <w:rsid w:val="00977626"/>
    <w:rsid w:val="00977639"/>
    <w:rsid w:val="00980163"/>
    <w:rsid w:val="00981D72"/>
    <w:rsid w:val="009830CF"/>
    <w:rsid w:val="00984458"/>
    <w:rsid w:val="00984E39"/>
    <w:rsid w:val="00986055"/>
    <w:rsid w:val="009867D9"/>
    <w:rsid w:val="00987957"/>
    <w:rsid w:val="00990444"/>
    <w:rsid w:val="00994218"/>
    <w:rsid w:val="0099462F"/>
    <w:rsid w:val="00995137"/>
    <w:rsid w:val="009952C5"/>
    <w:rsid w:val="00996D0C"/>
    <w:rsid w:val="009974D3"/>
    <w:rsid w:val="009A0D91"/>
    <w:rsid w:val="009A1A00"/>
    <w:rsid w:val="009A227B"/>
    <w:rsid w:val="009A23B0"/>
    <w:rsid w:val="009A45F2"/>
    <w:rsid w:val="009A4A95"/>
    <w:rsid w:val="009A5B91"/>
    <w:rsid w:val="009A5C99"/>
    <w:rsid w:val="009B11F7"/>
    <w:rsid w:val="009B1FB5"/>
    <w:rsid w:val="009B35C6"/>
    <w:rsid w:val="009B3C01"/>
    <w:rsid w:val="009B5061"/>
    <w:rsid w:val="009B6CDC"/>
    <w:rsid w:val="009B7BF2"/>
    <w:rsid w:val="009C0C90"/>
    <w:rsid w:val="009C17E8"/>
    <w:rsid w:val="009C1872"/>
    <w:rsid w:val="009C206A"/>
    <w:rsid w:val="009C211A"/>
    <w:rsid w:val="009C2ADD"/>
    <w:rsid w:val="009C3E49"/>
    <w:rsid w:val="009C422C"/>
    <w:rsid w:val="009C44D1"/>
    <w:rsid w:val="009C453D"/>
    <w:rsid w:val="009C47FF"/>
    <w:rsid w:val="009C4CED"/>
    <w:rsid w:val="009C71BB"/>
    <w:rsid w:val="009D15D2"/>
    <w:rsid w:val="009D358C"/>
    <w:rsid w:val="009D37FC"/>
    <w:rsid w:val="009D3F40"/>
    <w:rsid w:val="009D4348"/>
    <w:rsid w:val="009D468F"/>
    <w:rsid w:val="009D532B"/>
    <w:rsid w:val="009D57EF"/>
    <w:rsid w:val="009D5B55"/>
    <w:rsid w:val="009D77D9"/>
    <w:rsid w:val="009E22C0"/>
    <w:rsid w:val="009E5AFF"/>
    <w:rsid w:val="009E74EF"/>
    <w:rsid w:val="009F3691"/>
    <w:rsid w:val="009F3E78"/>
    <w:rsid w:val="009F75CC"/>
    <w:rsid w:val="00A02B0E"/>
    <w:rsid w:val="00A03963"/>
    <w:rsid w:val="00A05A23"/>
    <w:rsid w:val="00A06C9E"/>
    <w:rsid w:val="00A078DB"/>
    <w:rsid w:val="00A07D5B"/>
    <w:rsid w:val="00A11699"/>
    <w:rsid w:val="00A1193D"/>
    <w:rsid w:val="00A12B83"/>
    <w:rsid w:val="00A12BF0"/>
    <w:rsid w:val="00A1336C"/>
    <w:rsid w:val="00A14CD2"/>
    <w:rsid w:val="00A15086"/>
    <w:rsid w:val="00A17B1F"/>
    <w:rsid w:val="00A17C90"/>
    <w:rsid w:val="00A2072E"/>
    <w:rsid w:val="00A2108D"/>
    <w:rsid w:val="00A2252A"/>
    <w:rsid w:val="00A2470E"/>
    <w:rsid w:val="00A26B41"/>
    <w:rsid w:val="00A305E4"/>
    <w:rsid w:val="00A30DF1"/>
    <w:rsid w:val="00A310A0"/>
    <w:rsid w:val="00A31702"/>
    <w:rsid w:val="00A31C8B"/>
    <w:rsid w:val="00A328C3"/>
    <w:rsid w:val="00A32A60"/>
    <w:rsid w:val="00A35BE2"/>
    <w:rsid w:val="00A36691"/>
    <w:rsid w:val="00A3753E"/>
    <w:rsid w:val="00A416AE"/>
    <w:rsid w:val="00A42D37"/>
    <w:rsid w:val="00A43241"/>
    <w:rsid w:val="00A43631"/>
    <w:rsid w:val="00A43FB4"/>
    <w:rsid w:val="00A44171"/>
    <w:rsid w:val="00A4417C"/>
    <w:rsid w:val="00A442C1"/>
    <w:rsid w:val="00A45566"/>
    <w:rsid w:val="00A45D76"/>
    <w:rsid w:val="00A4611D"/>
    <w:rsid w:val="00A47289"/>
    <w:rsid w:val="00A4769B"/>
    <w:rsid w:val="00A47FC8"/>
    <w:rsid w:val="00A54338"/>
    <w:rsid w:val="00A555BC"/>
    <w:rsid w:val="00A60FF2"/>
    <w:rsid w:val="00A62946"/>
    <w:rsid w:val="00A67E77"/>
    <w:rsid w:val="00A71547"/>
    <w:rsid w:val="00A72200"/>
    <w:rsid w:val="00A72855"/>
    <w:rsid w:val="00A75BDB"/>
    <w:rsid w:val="00A7750C"/>
    <w:rsid w:val="00A77C33"/>
    <w:rsid w:val="00A8040D"/>
    <w:rsid w:val="00A8255B"/>
    <w:rsid w:val="00A83016"/>
    <w:rsid w:val="00A85F1E"/>
    <w:rsid w:val="00A87B73"/>
    <w:rsid w:val="00A91720"/>
    <w:rsid w:val="00A935D4"/>
    <w:rsid w:val="00A9389E"/>
    <w:rsid w:val="00A94532"/>
    <w:rsid w:val="00A94D7A"/>
    <w:rsid w:val="00A9588E"/>
    <w:rsid w:val="00A976E3"/>
    <w:rsid w:val="00AA281F"/>
    <w:rsid w:val="00AA3F83"/>
    <w:rsid w:val="00AA5B8F"/>
    <w:rsid w:val="00AA5D99"/>
    <w:rsid w:val="00AA6FDF"/>
    <w:rsid w:val="00AA72E0"/>
    <w:rsid w:val="00AA72FC"/>
    <w:rsid w:val="00AB08E1"/>
    <w:rsid w:val="00AB1E29"/>
    <w:rsid w:val="00AB2418"/>
    <w:rsid w:val="00AB2CA3"/>
    <w:rsid w:val="00AB5818"/>
    <w:rsid w:val="00AB5CA7"/>
    <w:rsid w:val="00AB62DE"/>
    <w:rsid w:val="00AB7BC5"/>
    <w:rsid w:val="00AC3F30"/>
    <w:rsid w:val="00AC4DCC"/>
    <w:rsid w:val="00AD0D05"/>
    <w:rsid w:val="00AD197B"/>
    <w:rsid w:val="00AD34AA"/>
    <w:rsid w:val="00AD498B"/>
    <w:rsid w:val="00AD5E2D"/>
    <w:rsid w:val="00AD771B"/>
    <w:rsid w:val="00AE12F2"/>
    <w:rsid w:val="00AE1B06"/>
    <w:rsid w:val="00AE207C"/>
    <w:rsid w:val="00AE2270"/>
    <w:rsid w:val="00AE227F"/>
    <w:rsid w:val="00AE3865"/>
    <w:rsid w:val="00AE4F08"/>
    <w:rsid w:val="00AE5DA1"/>
    <w:rsid w:val="00AE76EF"/>
    <w:rsid w:val="00AF1547"/>
    <w:rsid w:val="00AF156A"/>
    <w:rsid w:val="00AF16E3"/>
    <w:rsid w:val="00AF179D"/>
    <w:rsid w:val="00AF192C"/>
    <w:rsid w:val="00AF1E00"/>
    <w:rsid w:val="00AF4CC5"/>
    <w:rsid w:val="00AF5C15"/>
    <w:rsid w:val="00B00B04"/>
    <w:rsid w:val="00B0179D"/>
    <w:rsid w:val="00B0249F"/>
    <w:rsid w:val="00B03C71"/>
    <w:rsid w:val="00B03D52"/>
    <w:rsid w:val="00B06063"/>
    <w:rsid w:val="00B06E2D"/>
    <w:rsid w:val="00B07110"/>
    <w:rsid w:val="00B07B57"/>
    <w:rsid w:val="00B10D5D"/>
    <w:rsid w:val="00B1150C"/>
    <w:rsid w:val="00B12F09"/>
    <w:rsid w:val="00B14C7B"/>
    <w:rsid w:val="00B154BE"/>
    <w:rsid w:val="00B15710"/>
    <w:rsid w:val="00B20ED6"/>
    <w:rsid w:val="00B20F81"/>
    <w:rsid w:val="00B212A2"/>
    <w:rsid w:val="00B24F12"/>
    <w:rsid w:val="00B24FE3"/>
    <w:rsid w:val="00B25F63"/>
    <w:rsid w:val="00B265A2"/>
    <w:rsid w:val="00B27482"/>
    <w:rsid w:val="00B2762F"/>
    <w:rsid w:val="00B3155A"/>
    <w:rsid w:val="00B345CB"/>
    <w:rsid w:val="00B352DE"/>
    <w:rsid w:val="00B3568B"/>
    <w:rsid w:val="00B36189"/>
    <w:rsid w:val="00B3786A"/>
    <w:rsid w:val="00B37C96"/>
    <w:rsid w:val="00B409B6"/>
    <w:rsid w:val="00B42811"/>
    <w:rsid w:val="00B42CB2"/>
    <w:rsid w:val="00B4664A"/>
    <w:rsid w:val="00B5045B"/>
    <w:rsid w:val="00B5183C"/>
    <w:rsid w:val="00B52920"/>
    <w:rsid w:val="00B53296"/>
    <w:rsid w:val="00B54D10"/>
    <w:rsid w:val="00B5600C"/>
    <w:rsid w:val="00B57059"/>
    <w:rsid w:val="00B5721D"/>
    <w:rsid w:val="00B60ED0"/>
    <w:rsid w:val="00B612AF"/>
    <w:rsid w:val="00B62373"/>
    <w:rsid w:val="00B6290D"/>
    <w:rsid w:val="00B63645"/>
    <w:rsid w:val="00B63F97"/>
    <w:rsid w:val="00B67481"/>
    <w:rsid w:val="00B74B59"/>
    <w:rsid w:val="00B74D1A"/>
    <w:rsid w:val="00B74F04"/>
    <w:rsid w:val="00B75955"/>
    <w:rsid w:val="00B7647A"/>
    <w:rsid w:val="00B77035"/>
    <w:rsid w:val="00B77608"/>
    <w:rsid w:val="00B77BB3"/>
    <w:rsid w:val="00B800E1"/>
    <w:rsid w:val="00B80819"/>
    <w:rsid w:val="00B80976"/>
    <w:rsid w:val="00B80D73"/>
    <w:rsid w:val="00B80E4F"/>
    <w:rsid w:val="00B82510"/>
    <w:rsid w:val="00B83001"/>
    <w:rsid w:val="00B84A5B"/>
    <w:rsid w:val="00B87034"/>
    <w:rsid w:val="00B87191"/>
    <w:rsid w:val="00B9009D"/>
    <w:rsid w:val="00B90224"/>
    <w:rsid w:val="00B90374"/>
    <w:rsid w:val="00B908A5"/>
    <w:rsid w:val="00B957B1"/>
    <w:rsid w:val="00B97E97"/>
    <w:rsid w:val="00BA2603"/>
    <w:rsid w:val="00BA26E4"/>
    <w:rsid w:val="00BA332B"/>
    <w:rsid w:val="00BA36A6"/>
    <w:rsid w:val="00BA4BA2"/>
    <w:rsid w:val="00BA51E3"/>
    <w:rsid w:val="00BA5465"/>
    <w:rsid w:val="00BA5F95"/>
    <w:rsid w:val="00BA6827"/>
    <w:rsid w:val="00BB01BF"/>
    <w:rsid w:val="00BB1442"/>
    <w:rsid w:val="00BB17D7"/>
    <w:rsid w:val="00BB30F9"/>
    <w:rsid w:val="00BB3ACF"/>
    <w:rsid w:val="00BB3E60"/>
    <w:rsid w:val="00BB4838"/>
    <w:rsid w:val="00BB70F5"/>
    <w:rsid w:val="00BB79CE"/>
    <w:rsid w:val="00BC0987"/>
    <w:rsid w:val="00BC1DE1"/>
    <w:rsid w:val="00BC3EBF"/>
    <w:rsid w:val="00BC415E"/>
    <w:rsid w:val="00BC54FB"/>
    <w:rsid w:val="00BC5D11"/>
    <w:rsid w:val="00BC73E7"/>
    <w:rsid w:val="00BC78BA"/>
    <w:rsid w:val="00BC7FC4"/>
    <w:rsid w:val="00BD0C26"/>
    <w:rsid w:val="00BD1754"/>
    <w:rsid w:val="00BD22C2"/>
    <w:rsid w:val="00BD2ED3"/>
    <w:rsid w:val="00BD3E70"/>
    <w:rsid w:val="00BD459E"/>
    <w:rsid w:val="00BD4F6F"/>
    <w:rsid w:val="00BD509C"/>
    <w:rsid w:val="00BD6FEB"/>
    <w:rsid w:val="00BE0F4F"/>
    <w:rsid w:val="00BE2B2F"/>
    <w:rsid w:val="00BE57D8"/>
    <w:rsid w:val="00BE5DC3"/>
    <w:rsid w:val="00BE6F4C"/>
    <w:rsid w:val="00BF0E47"/>
    <w:rsid w:val="00BF16DD"/>
    <w:rsid w:val="00BF1FE3"/>
    <w:rsid w:val="00BF2043"/>
    <w:rsid w:val="00BF5DED"/>
    <w:rsid w:val="00BF6A27"/>
    <w:rsid w:val="00BF7400"/>
    <w:rsid w:val="00C0099E"/>
    <w:rsid w:val="00C00ED1"/>
    <w:rsid w:val="00C0135A"/>
    <w:rsid w:val="00C0193E"/>
    <w:rsid w:val="00C01ECD"/>
    <w:rsid w:val="00C02902"/>
    <w:rsid w:val="00C0491A"/>
    <w:rsid w:val="00C05620"/>
    <w:rsid w:val="00C06A99"/>
    <w:rsid w:val="00C07022"/>
    <w:rsid w:val="00C10077"/>
    <w:rsid w:val="00C11AD8"/>
    <w:rsid w:val="00C1247B"/>
    <w:rsid w:val="00C151BF"/>
    <w:rsid w:val="00C17691"/>
    <w:rsid w:val="00C20DF7"/>
    <w:rsid w:val="00C21682"/>
    <w:rsid w:val="00C24C0B"/>
    <w:rsid w:val="00C26B25"/>
    <w:rsid w:val="00C31130"/>
    <w:rsid w:val="00C31AAF"/>
    <w:rsid w:val="00C3391B"/>
    <w:rsid w:val="00C35675"/>
    <w:rsid w:val="00C3645B"/>
    <w:rsid w:val="00C36641"/>
    <w:rsid w:val="00C36D96"/>
    <w:rsid w:val="00C40E73"/>
    <w:rsid w:val="00C4285B"/>
    <w:rsid w:val="00C42D68"/>
    <w:rsid w:val="00C42EED"/>
    <w:rsid w:val="00C4305E"/>
    <w:rsid w:val="00C45D16"/>
    <w:rsid w:val="00C476DF"/>
    <w:rsid w:val="00C47A21"/>
    <w:rsid w:val="00C47E8E"/>
    <w:rsid w:val="00C52FC6"/>
    <w:rsid w:val="00C56100"/>
    <w:rsid w:val="00C64424"/>
    <w:rsid w:val="00C64B8D"/>
    <w:rsid w:val="00C6663E"/>
    <w:rsid w:val="00C67A7A"/>
    <w:rsid w:val="00C70F34"/>
    <w:rsid w:val="00C74298"/>
    <w:rsid w:val="00C747C2"/>
    <w:rsid w:val="00C75713"/>
    <w:rsid w:val="00C76047"/>
    <w:rsid w:val="00C76B02"/>
    <w:rsid w:val="00C82384"/>
    <w:rsid w:val="00C87328"/>
    <w:rsid w:val="00C92FF9"/>
    <w:rsid w:val="00C93022"/>
    <w:rsid w:val="00C93783"/>
    <w:rsid w:val="00C952E4"/>
    <w:rsid w:val="00C97A90"/>
    <w:rsid w:val="00CA4CB7"/>
    <w:rsid w:val="00CA7BC9"/>
    <w:rsid w:val="00CA7EFF"/>
    <w:rsid w:val="00CB246D"/>
    <w:rsid w:val="00CB2D26"/>
    <w:rsid w:val="00CB652E"/>
    <w:rsid w:val="00CC1835"/>
    <w:rsid w:val="00CC2A6A"/>
    <w:rsid w:val="00CC4A9D"/>
    <w:rsid w:val="00CC6B6D"/>
    <w:rsid w:val="00CC7136"/>
    <w:rsid w:val="00CC7A52"/>
    <w:rsid w:val="00CC7F8C"/>
    <w:rsid w:val="00CD0215"/>
    <w:rsid w:val="00CD0A9F"/>
    <w:rsid w:val="00CD3375"/>
    <w:rsid w:val="00CD5810"/>
    <w:rsid w:val="00CD6BA0"/>
    <w:rsid w:val="00CD6C78"/>
    <w:rsid w:val="00CD7D59"/>
    <w:rsid w:val="00CD7D88"/>
    <w:rsid w:val="00CE0C30"/>
    <w:rsid w:val="00CE1759"/>
    <w:rsid w:val="00CE2D73"/>
    <w:rsid w:val="00CE2E81"/>
    <w:rsid w:val="00CE2F6F"/>
    <w:rsid w:val="00CE6952"/>
    <w:rsid w:val="00CE78A3"/>
    <w:rsid w:val="00CF2B0F"/>
    <w:rsid w:val="00CF54E1"/>
    <w:rsid w:val="00CF5655"/>
    <w:rsid w:val="00D00BD0"/>
    <w:rsid w:val="00D00E9D"/>
    <w:rsid w:val="00D016F2"/>
    <w:rsid w:val="00D02415"/>
    <w:rsid w:val="00D02BC8"/>
    <w:rsid w:val="00D036D4"/>
    <w:rsid w:val="00D03FBD"/>
    <w:rsid w:val="00D04E92"/>
    <w:rsid w:val="00D0729F"/>
    <w:rsid w:val="00D10A80"/>
    <w:rsid w:val="00D1109A"/>
    <w:rsid w:val="00D12CA8"/>
    <w:rsid w:val="00D12DA4"/>
    <w:rsid w:val="00D131D6"/>
    <w:rsid w:val="00D13B4E"/>
    <w:rsid w:val="00D14345"/>
    <w:rsid w:val="00D1435E"/>
    <w:rsid w:val="00D14B2B"/>
    <w:rsid w:val="00D163A7"/>
    <w:rsid w:val="00D16EDA"/>
    <w:rsid w:val="00D230AC"/>
    <w:rsid w:val="00D23517"/>
    <w:rsid w:val="00D25052"/>
    <w:rsid w:val="00D250F2"/>
    <w:rsid w:val="00D25E50"/>
    <w:rsid w:val="00D2762C"/>
    <w:rsid w:val="00D303E4"/>
    <w:rsid w:val="00D30B7E"/>
    <w:rsid w:val="00D32F32"/>
    <w:rsid w:val="00D34606"/>
    <w:rsid w:val="00D348AE"/>
    <w:rsid w:val="00D35544"/>
    <w:rsid w:val="00D35D46"/>
    <w:rsid w:val="00D403A0"/>
    <w:rsid w:val="00D43FA6"/>
    <w:rsid w:val="00D440F1"/>
    <w:rsid w:val="00D444FC"/>
    <w:rsid w:val="00D45DB5"/>
    <w:rsid w:val="00D46049"/>
    <w:rsid w:val="00D46D48"/>
    <w:rsid w:val="00D47BAF"/>
    <w:rsid w:val="00D5176F"/>
    <w:rsid w:val="00D51E2B"/>
    <w:rsid w:val="00D53E20"/>
    <w:rsid w:val="00D54677"/>
    <w:rsid w:val="00D55DC1"/>
    <w:rsid w:val="00D573FF"/>
    <w:rsid w:val="00D615B5"/>
    <w:rsid w:val="00D63A55"/>
    <w:rsid w:val="00D6420A"/>
    <w:rsid w:val="00D646E6"/>
    <w:rsid w:val="00D66CAD"/>
    <w:rsid w:val="00D671CF"/>
    <w:rsid w:val="00D67881"/>
    <w:rsid w:val="00D67E34"/>
    <w:rsid w:val="00D7137C"/>
    <w:rsid w:val="00D715CE"/>
    <w:rsid w:val="00D718C9"/>
    <w:rsid w:val="00D7194B"/>
    <w:rsid w:val="00D727EE"/>
    <w:rsid w:val="00D72BC5"/>
    <w:rsid w:val="00D7510F"/>
    <w:rsid w:val="00D75518"/>
    <w:rsid w:val="00D763D3"/>
    <w:rsid w:val="00D77074"/>
    <w:rsid w:val="00D8049B"/>
    <w:rsid w:val="00D80B01"/>
    <w:rsid w:val="00D828F0"/>
    <w:rsid w:val="00D8342A"/>
    <w:rsid w:val="00D83BE1"/>
    <w:rsid w:val="00D94665"/>
    <w:rsid w:val="00D94716"/>
    <w:rsid w:val="00D96378"/>
    <w:rsid w:val="00D96B46"/>
    <w:rsid w:val="00DA0088"/>
    <w:rsid w:val="00DA06F1"/>
    <w:rsid w:val="00DA30C5"/>
    <w:rsid w:val="00DA37B4"/>
    <w:rsid w:val="00DA40B9"/>
    <w:rsid w:val="00DA5FDF"/>
    <w:rsid w:val="00DA63B1"/>
    <w:rsid w:val="00DB0B72"/>
    <w:rsid w:val="00DB1846"/>
    <w:rsid w:val="00DB2CF7"/>
    <w:rsid w:val="00DB2F1A"/>
    <w:rsid w:val="00DB3678"/>
    <w:rsid w:val="00DB5895"/>
    <w:rsid w:val="00DB770F"/>
    <w:rsid w:val="00DC2EFD"/>
    <w:rsid w:val="00DC4637"/>
    <w:rsid w:val="00DC4B73"/>
    <w:rsid w:val="00DC4CA9"/>
    <w:rsid w:val="00DC5249"/>
    <w:rsid w:val="00DC6676"/>
    <w:rsid w:val="00DC6D58"/>
    <w:rsid w:val="00DD11C4"/>
    <w:rsid w:val="00DD4B23"/>
    <w:rsid w:val="00DD5734"/>
    <w:rsid w:val="00DD5978"/>
    <w:rsid w:val="00DD6B97"/>
    <w:rsid w:val="00DE0FB3"/>
    <w:rsid w:val="00DE324B"/>
    <w:rsid w:val="00DE39A1"/>
    <w:rsid w:val="00DE3E06"/>
    <w:rsid w:val="00DF1154"/>
    <w:rsid w:val="00DF453F"/>
    <w:rsid w:val="00DF4ED1"/>
    <w:rsid w:val="00DF68ED"/>
    <w:rsid w:val="00DF7F09"/>
    <w:rsid w:val="00E0096E"/>
    <w:rsid w:val="00E06135"/>
    <w:rsid w:val="00E0673D"/>
    <w:rsid w:val="00E077D6"/>
    <w:rsid w:val="00E110EE"/>
    <w:rsid w:val="00E13A22"/>
    <w:rsid w:val="00E14D75"/>
    <w:rsid w:val="00E15FDE"/>
    <w:rsid w:val="00E20E48"/>
    <w:rsid w:val="00E21AEB"/>
    <w:rsid w:val="00E23DD3"/>
    <w:rsid w:val="00E24865"/>
    <w:rsid w:val="00E24A02"/>
    <w:rsid w:val="00E25863"/>
    <w:rsid w:val="00E268B8"/>
    <w:rsid w:val="00E27132"/>
    <w:rsid w:val="00E31213"/>
    <w:rsid w:val="00E31461"/>
    <w:rsid w:val="00E37582"/>
    <w:rsid w:val="00E430F7"/>
    <w:rsid w:val="00E45690"/>
    <w:rsid w:val="00E45E2D"/>
    <w:rsid w:val="00E47034"/>
    <w:rsid w:val="00E50BFB"/>
    <w:rsid w:val="00E529F7"/>
    <w:rsid w:val="00E54151"/>
    <w:rsid w:val="00E56E38"/>
    <w:rsid w:val="00E600D3"/>
    <w:rsid w:val="00E60A0E"/>
    <w:rsid w:val="00E61E71"/>
    <w:rsid w:val="00E6335D"/>
    <w:rsid w:val="00E639C9"/>
    <w:rsid w:val="00E63EE3"/>
    <w:rsid w:val="00E64757"/>
    <w:rsid w:val="00E656EE"/>
    <w:rsid w:val="00E670F2"/>
    <w:rsid w:val="00E705A3"/>
    <w:rsid w:val="00E72BF1"/>
    <w:rsid w:val="00E72CC8"/>
    <w:rsid w:val="00E74873"/>
    <w:rsid w:val="00E761D1"/>
    <w:rsid w:val="00E767DC"/>
    <w:rsid w:val="00E771E0"/>
    <w:rsid w:val="00E80AF2"/>
    <w:rsid w:val="00E810AD"/>
    <w:rsid w:val="00E81A39"/>
    <w:rsid w:val="00E828AC"/>
    <w:rsid w:val="00E84F74"/>
    <w:rsid w:val="00E851BE"/>
    <w:rsid w:val="00E857D2"/>
    <w:rsid w:val="00E87427"/>
    <w:rsid w:val="00E8785C"/>
    <w:rsid w:val="00E920A6"/>
    <w:rsid w:val="00E925E7"/>
    <w:rsid w:val="00E92A0A"/>
    <w:rsid w:val="00E94824"/>
    <w:rsid w:val="00E966CE"/>
    <w:rsid w:val="00E97CFC"/>
    <w:rsid w:val="00EA129E"/>
    <w:rsid w:val="00EA2710"/>
    <w:rsid w:val="00EA2C22"/>
    <w:rsid w:val="00EA3E59"/>
    <w:rsid w:val="00EA3F0D"/>
    <w:rsid w:val="00EA4DA1"/>
    <w:rsid w:val="00EA6643"/>
    <w:rsid w:val="00EB166F"/>
    <w:rsid w:val="00EB2AB8"/>
    <w:rsid w:val="00EB312C"/>
    <w:rsid w:val="00EB3A82"/>
    <w:rsid w:val="00EB3E22"/>
    <w:rsid w:val="00EB4302"/>
    <w:rsid w:val="00EB5B09"/>
    <w:rsid w:val="00EB6185"/>
    <w:rsid w:val="00EB6615"/>
    <w:rsid w:val="00EB7DC9"/>
    <w:rsid w:val="00EC13A0"/>
    <w:rsid w:val="00EC593A"/>
    <w:rsid w:val="00EC6C83"/>
    <w:rsid w:val="00ED2396"/>
    <w:rsid w:val="00ED33A3"/>
    <w:rsid w:val="00EE027B"/>
    <w:rsid w:val="00EE1693"/>
    <w:rsid w:val="00EE23B1"/>
    <w:rsid w:val="00EF2CEF"/>
    <w:rsid w:val="00EF346B"/>
    <w:rsid w:val="00EF43CD"/>
    <w:rsid w:val="00EF5BF1"/>
    <w:rsid w:val="00EF683E"/>
    <w:rsid w:val="00EF685D"/>
    <w:rsid w:val="00EF76F6"/>
    <w:rsid w:val="00F00690"/>
    <w:rsid w:val="00F0180D"/>
    <w:rsid w:val="00F01AB9"/>
    <w:rsid w:val="00F024E4"/>
    <w:rsid w:val="00F02AC8"/>
    <w:rsid w:val="00F04E7A"/>
    <w:rsid w:val="00F116E6"/>
    <w:rsid w:val="00F11D31"/>
    <w:rsid w:val="00F1247E"/>
    <w:rsid w:val="00F126B0"/>
    <w:rsid w:val="00F1288A"/>
    <w:rsid w:val="00F13A1D"/>
    <w:rsid w:val="00F13F70"/>
    <w:rsid w:val="00F154A8"/>
    <w:rsid w:val="00F15861"/>
    <w:rsid w:val="00F16375"/>
    <w:rsid w:val="00F163BD"/>
    <w:rsid w:val="00F170FE"/>
    <w:rsid w:val="00F25A07"/>
    <w:rsid w:val="00F30D99"/>
    <w:rsid w:val="00F31007"/>
    <w:rsid w:val="00F31CB2"/>
    <w:rsid w:val="00F32BE6"/>
    <w:rsid w:val="00F33205"/>
    <w:rsid w:val="00F37A1D"/>
    <w:rsid w:val="00F4069D"/>
    <w:rsid w:val="00F41457"/>
    <w:rsid w:val="00F41D89"/>
    <w:rsid w:val="00F42509"/>
    <w:rsid w:val="00F42616"/>
    <w:rsid w:val="00F443D2"/>
    <w:rsid w:val="00F45956"/>
    <w:rsid w:val="00F5006F"/>
    <w:rsid w:val="00F511AD"/>
    <w:rsid w:val="00F539C4"/>
    <w:rsid w:val="00F53B15"/>
    <w:rsid w:val="00F53F48"/>
    <w:rsid w:val="00F55BE1"/>
    <w:rsid w:val="00F60E9B"/>
    <w:rsid w:val="00F610C6"/>
    <w:rsid w:val="00F6674C"/>
    <w:rsid w:val="00F66874"/>
    <w:rsid w:val="00F67052"/>
    <w:rsid w:val="00F67D7D"/>
    <w:rsid w:val="00F71D86"/>
    <w:rsid w:val="00F71E51"/>
    <w:rsid w:val="00F725C9"/>
    <w:rsid w:val="00F74182"/>
    <w:rsid w:val="00F77B5D"/>
    <w:rsid w:val="00F77FE5"/>
    <w:rsid w:val="00F80110"/>
    <w:rsid w:val="00F805CE"/>
    <w:rsid w:val="00F825B7"/>
    <w:rsid w:val="00F82CD1"/>
    <w:rsid w:val="00F831A3"/>
    <w:rsid w:val="00F84C45"/>
    <w:rsid w:val="00F85342"/>
    <w:rsid w:val="00F901F7"/>
    <w:rsid w:val="00F903C2"/>
    <w:rsid w:val="00F957B4"/>
    <w:rsid w:val="00F96FB6"/>
    <w:rsid w:val="00F978DD"/>
    <w:rsid w:val="00FA0AE4"/>
    <w:rsid w:val="00FA10EC"/>
    <w:rsid w:val="00FA34C7"/>
    <w:rsid w:val="00FA5040"/>
    <w:rsid w:val="00FA795F"/>
    <w:rsid w:val="00FB15EB"/>
    <w:rsid w:val="00FB1C81"/>
    <w:rsid w:val="00FB6042"/>
    <w:rsid w:val="00FC07B6"/>
    <w:rsid w:val="00FC0DB1"/>
    <w:rsid w:val="00FC1FA3"/>
    <w:rsid w:val="00FC2759"/>
    <w:rsid w:val="00FC49F4"/>
    <w:rsid w:val="00FC6799"/>
    <w:rsid w:val="00FC7436"/>
    <w:rsid w:val="00FC7587"/>
    <w:rsid w:val="00FD138A"/>
    <w:rsid w:val="00FD1A09"/>
    <w:rsid w:val="00FD2B2D"/>
    <w:rsid w:val="00FD4D80"/>
    <w:rsid w:val="00FD5224"/>
    <w:rsid w:val="00FD6CB2"/>
    <w:rsid w:val="00FE1C16"/>
    <w:rsid w:val="00FE1DCA"/>
    <w:rsid w:val="00FE242C"/>
    <w:rsid w:val="00FE3629"/>
    <w:rsid w:val="00FE4E85"/>
    <w:rsid w:val="00FE5F10"/>
    <w:rsid w:val="00FE6FE8"/>
    <w:rsid w:val="00FE70B3"/>
    <w:rsid w:val="00FF23FE"/>
    <w:rsid w:val="00FF2573"/>
    <w:rsid w:val="00FF2EB7"/>
    <w:rsid w:val="00FF4E28"/>
    <w:rsid w:val="00FF6080"/>
    <w:rsid w:val="0263225C"/>
    <w:rsid w:val="048810DE"/>
    <w:rsid w:val="06E01274"/>
    <w:rsid w:val="0934554C"/>
    <w:rsid w:val="0977101D"/>
    <w:rsid w:val="0A1516B3"/>
    <w:rsid w:val="0A61086D"/>
    <w:rsid w:val="0A96786E"/>
    <w:rsid w:val="0ABB4D47"/>
    <w:rsid w:val="0B387AD1"/>
    <w:rsid w:val="0BD95485"/>
    <w:rsid w:val="0CA313D8"/>
    <w:rsid w:val="0CD45A64"/>
    <w:rsid w:val="0D423ACF"/>
    <w:rsid w:val="0DE90CFD"/>
    <w:rsid w:val="0DFE7425"/>
    <w:rsid w:val="0E0F581F"/>
    <w:rsid w:val="0E222229"/>
    <w:rsid w:val="0E334718"/>
    <w:rsid w:val="0EC43946"/>
    <w:rsid w:val="0F087FB5"/>
    <w:rsid w:val="0F953DB9"/>
    <w:rsid w:val="0FAE784A"/>
    <w:rsid w:val="10414AFC"/>
    <w:rsid w:val="10524731"/>
    <w:rsid w:val="10867C4B"/>
    <w:rsid w:val="125735A8"/>
    <w:rsid w:val="13DB5B12"/>
    <w:rsid w:val="14C91E0F"/>
    <w:rsid w:val="14E17B0C"/>
    <w:rsid w:val="14FE5F5C"/>
    <w:rsid w:val="169159A7"/>
    <w:rsid w:val="170A25C5"/>
    <w:rsid w:val="18C26C55"/>
    <w:rsid w:val="19037E97"/>
    <w:rsid w:val="191C38EA"/>
    <w:rsid w:val="197E7031"/>
    <w:rsid w:val="19C257AA"/>
    <w:rsid w:val="1A163D48"/>
    <w:rsid w:val="1AAD78D2"/>
    <w:rsid w:val="1ABB3B39"/>
    <w:rsid w:val="1B101CE6"/>
    <w:rsid w:val="1B1E2AD6"/>
    <w:rsid w:val="1B9178FD"/>
    <w:rsid w:val="1BEE6DFD"/>
    <w:rsid w:val="1CE7338E"/>
    <w:rsid w:val="1D746CCD"/>
    <w:rsid w:val="1DC15D79"/>
    <w:rsid w:val="1DDC7057"/>
    <w:rsid w:val="1EE37BA0"/>
    <w:rsid w:val="1EE7180F"/>
    <w:rsid w:val="1F9951FF"/>
    <w:rsid w:val="21414FA7"/>
    <w:rsid w:val="21E11FA9"/>
    <w:rsid w:val="22123047"/>
    <w:rsid w:val="23573D8B"/>
    <w:rsid w:val="237E1CC4"/>
    <w:rsid w:val="24AA14B9"/>
    <w:rsid w:val="2536453A"/>
    <w:rsid w:val="25CC175F"/>
    <w:rsid w:val="25F45E1A"/>
    <w:rsid w:val="26C65F1E"/>
    <w:rsid w:val="276E05A8"/>
    <w:rsid w:val="281175EB"/>
    <w:rsid w:val="28133675"/>
    <w:rsid w:val="293E4722"/>
    <w:rsid w:val="2A381D99"/>
    <w:rsid w:val="2A3E7874"/>
    <w:rsid w:val="2B0F3517"/>
    <w:rsid w:val="2BD355F5"/>
    <w:rsid w:val="2D6F34B0"/>
    <w:rsid w:val="2DAA679D"/>
    <w:rsid w:val="2E1866E3"/>
    <w:rsid w:val="2E196018"/>
    <w:rsid w:val="2E2609D1"/>
    <w:rsid w:val="2EFE37E7"/>
    <w:rsid w:val="2F6B4AD8"/>
    <w:rsid w:val="2FFE0FA5"/>
    <w:rsid w:val="311A2A47"/>
    <w:rsid w:val="31DF3ECC"/>
    <w:rsid w:val="324E7716"/>
    <w:rsid w:val="32ED1692"/>
    <w:rsid w:val="333C7306"/>
    <w:rsid w:val="34030355"/>
    <w:rsid w:val="34721985"/>
    <w:rsid w:val="34F65F52"/>
    <w:rsid w:val="370861B3"/>
    <w:rsid w:val="37087B6D"/>
    <w:rsid w:val="37521BDE"/>
    <w:rsid w:val="37936580"/>
    <w:rsid w:val="37E343EC"/>
    <w:rsid w:val="37EF006A"/>
    <w:rsid w:val="380134EA"/>
    <w:rsid w:val="38A54F37"/>
    <w:rsid w:val="38CA44C6"/>
    <w:rsid w:val="39507FF1"/>
    <w:rsid w:val="3B3D0CDD"/>
    <w:rsid w:val="3C735809"/>
    <w:rsid w:val="3D1A039B"/>
    <w:rsid w:val="3E182092"/>
    <w:rsid w:val="3E322D18"/>
    <w:rsid w:val="3EC87502"/>
    <w:rsid w:val="3F1B1D00"/>
    <w:rsid w:val="3F8073EA"/>
    <w:rsid w:val="3FB77DDD"/>
    <w:rsid w:val="405014B2"/>
    <w:rsid w:val="40CF5E4C"/>
    <w:rsid w:val="412339EB"/>
    <w:rsid w:val="42B70F03"/>
    <w:rsid w:val="42B71375"/>
    <w:rsid w:val="42C0092D"/>
    <w:rsid w:val="43640F01"/>
    <w:rsid w:val="43834A12"/>
    <w:rsid w:val="44522C13"/>
    <w:rsid w:val="44B37598"/>
    <w:rsid w:val="45EC5BCF"/>
    <w:rsid w:val="470A267C"/>
    <w:rsid w:val="48540D01"/>
    <w:rsid w:val="48710218"/>
    <w:rsid w:val="48942AAB"/>
    <w:rsid w:val="48D932FD"/>
    <w:rsid w:val="48F21359"/>
    <w:rsid w:val="49395FFF"/>
    <w:rsid w:val="49B86E54"/>
    <w:rsid w:val="4A557A5C"/>
    <w:rsid w:val="4A7E7FA7"/>
    <w:rsid w:val="4B6D40D4"/>
    <w:rsid w:val="4B7924ED"/>
    <w:rsid w:val="4BB02E05"/>
    <w:rsid w:val="4BE0426D"/>
    <w:rsid w:val="4BEB6533"/>
    <w:rsid w:val="4D0E1BE8"/>
    <w:rsid w:val="4F1D0B2A"/>
    <w:rsid w:val="4F1F277C"/>
    <w:rsid w:val="4F2E52F4"/>
    <w:rsid w:val="4F483E30"/>
    <w:rsid w:val="4F655527"/>
    <w:rsid w:val="500D660A"/>
    <w:rsid w:val="502655B0"/>
    <w:rsid w:val="50D90D89"/>
    <w:rsid w:val="51C00743"/>
    <w:rsid w:val="51D37866"/>
    <w:rsid w:val="51E97A4F"/>
    <w:rsid w:val="532D7D83"/>
    <w:rsid w:val="533B4EE7"/>
    <w:rsid w:val="538015A7"/>
    <w:rsid w:val="53C76FD4"/>
    <w:rsid w:val="54783247"/>
    <w:rsid w:val="549D2D58"/>
    <w:rsid w:val="549F16B7"/>
    <w:rsid w:val="55AA2FBB"/>
    <w:rsid w:val="563A203F"/>
    <w:rsid w:val="571534C1"/>
    <w:rsid w:val="58A31321"/>
    <w:rsid w:val="590078E6"/>
    <w:rsid w:val="5A274903"/>
    <w:rsid w:val="5A4852D8"/>
    <w:rsid w:val="5B2533D4"/>
    <w:rsid w:val="5BEC7E8A"/>
    <w:rsid w:val="5BF136F2"/>
    <w:rsid w:val="5D7209DD"/>
    <w:rsid w:val="5D99750E"/>
    <w:rsid w:val="5DAD189A"/>
    <w:rsid w:val="5DB91FED"/>
    <w:rsid w:val="5DD92006"/>
    <w:rsid w:val="5E3A5066"/>
    <w:rsid w:val="5FDD7250"/>
    <w:rsid w:val="5FF63EF6"/>
    <w:rsid w:val="603C0CB4"/>
    <w:rsid w:val="6108617D"/>
    <w:rsid w:val="62AC2C58"/>
    <w:rsid w:val="63214EEA"/>
    <w:rsid w:val="63875C13"/>
    <w:rsid w:val="657B53BD"/>
    <w:rsid w:val="66953F45"/>
    <w:rsid w:val="677D9B2C"/>
    <w:rsid w:val="68356714"/>
    <w:rsid w:val="68CB194B"/>
    <w:rsid w:val="69C02BB0"/>
    <w:rsid w:val="6A4133F5"/>
    <w:rsid w:val="6AE6248F"/>
    <w:rsid w:val="6B5376F4"/>
    <w:rsid w:val="6C5A5BBF"/>
    <w:rsid w:val="6CCC3D21"/>
    <w:rsid w:val="6CED5EB8"/>
    <w:rsid w:val="6D0E5786"/>
    <w:rsid w:val="6DBA3D34"/>
    <w:rsid w:val="6EBB60C9"/>
    <w:rsid w:val="6FCC515A"/>
    <w:rsid w:val="7043003D"/>
    <w:rsid w:val="70FE0154"/>
    <w:rsid w:val="71033854"/>
    <w:rsid w:val="71706E29"/>
    <w:rsid w:val="71717663"/>
    <w:rsid w:val="72101646"/>
    <w:rsid w:val="72B605FC"/>
    <w:rsid w:val="73093217"/>
    <w:rsid w:val="736E1D2A"/>
    <w:rsid w:val="739225BC"/>
    <w:rsid w:val="745B7A81"/>
    <w:rsid w:val="75720710"/>
    <w:rsid w:val="78192CCB"/>
    <w:rsid w:val="786978C5"/>
    <w:rsid w:val="78904413"/>
    <w:rsid w:val="78AE30ED"/>
    <w:rsid w:val="79140B81"/>
    <w:rsid w:val="79314D2C"/>
    <w:rsid w:val="79396A48"/>
    <w:rsid w:val="7A8C771D"/>
    <w:rsid w:val="7A94430C"/>
    <w:rsid w:val="7AAF156F"/>
    <w:rsid w:val="7B5B0730"/>
    <w:rsid w:val="7C6B2214"/>
    <w:rsid w:val="7C7650F0"/>
    <w:rsid w:val="7D3B715F"/>
    <w:rsid w:val="7D844B0F"/>
    <w:rsid w:val="7DB61C2A"/>
    <w:rsid w:val="7E994343"/>
    <w:rsid w:val="7FD25A25"/>
    <w:rsid w:val="7FFF97D2"/>
    <w:rsid w:val="DF63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before="240" w:after="240"/>
      <w:outlineLvl w:val="1"/>
    </w:pPr>
    <w:rPr>
      <w:rFonts w:ascii="Cambria" w:hAnsi="Cambria" w:eastAsia="黑体"/>
      <w:b/>
      <w:bCs/>
      <w:szCs w:val="32"/>
    </w:rPr>
  </w:style>
  <w:style w:type="paragraph" w:styleId="4">
    <w:name w:val="heading 3"/>
    <w:basedOn w:val="1"/>
    <w:next w:val="1"/>
    <w:link w:val="46"/>
    <w:qFormat/>
    <w:uiPriority w:val="0"/>
    <w:pPr>
      <w:spacing w:beforeAutospacing="1" w:afterAutospacing="1"/>
      <w:jc w:val="left"/>
      <w:outlineLvl w:val="2"/>
    </w:pPr>
    <w:rPr>
      <w:rFonts w:ascii="宋体" w:hAnsi="宋体"/>
      <w:b/>
      <w:kern w:val="0"/>
      <w:sz w:val="27"/>
      <w:szCs w:val="27"/>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numPr>
        <w:ilvl w:val="4"/>
        <w:numId w:val="1"/>
      </w:numPr>
      <w:spacing w:line="376" w:lineRule="auto"/>
      <w:outlineLvl w:val="4"/>
    </w:pPr>
    <w:rPr>
      <w:b/>
      <w:sz w:val="28"/>
    </w:rPr>
  </w:style>
  <w:style w:type="paragraph" w:styleId="8">
    <w:name w:val="heading 6"/>
    <w:basedOn w:val="1"/>
    <w:next w:val="7"/>
    <w:qFormat/>
    <w:uiPriority w:val="0"/>
    <w:pPr>
      <w:keepNext/>
      <w:keepLines/>
      <w:numPr>
        <w:ilvl w:val="5"/>
        <w:numId w:val="1"/>
      </w:numPr>
      <w:spacing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line="320" w:lineRule="auto"/>
      <w:outlineLvl w:val="6"/>
    </w:pPr>
    <w:rPr>
      <w:b/>
      <w:sz w:val="24"/>
    </w:rPr>
  </w:style>
  <w:style w:type="paragraph" w:styleId="10">
    <w:name w:val="heading 8"/>
    <w:basedOn w:val="1"/>
    <w:next w:val="7"/>
    <w:qFormat/>
    <w:uiPriority w:val="0"/>
    <w:pPr>
      <w:keepNext/>
      <w:keepLines/>
      <w:numPr>
        <w:ilvl w:val="7"/>
        <w:numId w:val="1"/>
      </w:numPr>
      <w:spacing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47"/>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link w:val="48"/>
    <w:qFormat/>
    <w:uiPriority w:val="0"/>
    <w:pPr>
      <w:spacing w:line="380" w:lineRule="exact"/>
    </w:pPr>
    <w:rPr>
      <w:kern w:val="0"/>
      <w:sz w:val="24"/>
    </w:rPr>
  </w:style>
  <w:style w:type="paragraph" w:styleId="18">
    <w:name w:val="Body Text Indent"/>
    <w:basedOn w:val="1"/>
    <w:link w:val="49"/>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0"/>
    <w:qFormat/>
    <w:uiPriority w:val="99"/>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w:basedOn w:val="1"/>
    <w:qFormat/>
    <w:uiPriority w:val="0"/>
    <w:pPr>
      <w:ind w:left="200" w:hanging="200" w:hangingChars="200"/>
    </w:pPr>
    <w:rPr>
      <w:sz w:val="28"/>
    </w:rPr>
  </w:style>
  <w:style w:type="paragraph" w:styleId="29">
    <w:name w:val="Body Text Indent 3"/>
    <w:basedOn w:val="1"/>
    <w:qFormat/>
    <w:uiPriority w:val="0"/>
    <w:pPr>
      <w:ind w:left="420" w:leftChars="200"/>
    </w:pPr>
    <w:rPr>
      <w:sz w:val="16"/>
      <w:szCs w:val="16"/>
    </w:rPr>
  </w:style>
  <w:style w:type="paragraph" w:styleId="30">
    <w:name w:val="toc 2"/>
    <w:basedOn w:val="1"/>
    <w:next w:val="1"/>
    <w:qFormat/>
    <w:uiPriority w:val="0"/>
    <w:pPr>
      <w:ind w:left="200" w:leftChars="200"/>
    </w:pPr>
  </w:style>
  <w:style w:type="paragraph" w:styleId="3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2">
    <w:name w:val="Body Text 2"/>
    <w:basedOn w:val="1"/>
    <w:qFormat/>
    <w:uiPriority w:val="0"/>
    <w:pPr>
      <w:spacing w:line="480" w:lineRule="auto"/>
    </w:pPr>
  </w:style>
  <w:style w:type="paragraph" w:styleId="33">
    <w:name w:val="Normal (Web)"/>
    <w:basedOn w:val="1"/>
    <w:qFormat/>
    <w:uiPriority w:val="0"/>
    <w:pPr>
      <w:widowControl/>
      <w:spacing w:beforeAutospacing="1"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Title"/>
    <w:basedOn w:val="1"/>
    <w:next w:val="1"/>
    <w:link w:val="52"/>
    <w:qFormat/>
    <w:uiPriority w:val="0"/>
    <w:pPr>
      <w:jc w:val="center"/>
      <w:outlineLvl w:val="0"/>
    </w:pPr>
    <w:rPr>
      <w:rFonts w:ascii="Cambria" w:hAnsi="Cambria"/>
      <w:b/>
      <w:bCs/>
      <w:sz w:val="32"/>
      <w:szCs w:val="32"/>
    </w:rPr>
  </w:style>
  <w:style w:type="paragraph" w:styleId="36">
    <w:name w:val="annotation subject"/>
    <w:basedOn w:val="15"/>
    <w:next w:val="15"/>
    <w:link w:val="53"/>
    <w:qFormat/>
    <w:uiPriority w:val="0"/>
    <w:rPr>
      <w:b/>
      <w:bCs/>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color w:val="0000CC"/>
      <w:sz w:val="18"/>
      <w:szCs w:val="18"/>
      <w:u w:val="single"/>
    </w:rPr>
  </w:style>
  <w:style w:type="character" w:styleId="41">
    <w:name w:val="Emphasis"/>
    <w:qFormat/>
    <w:uiPriority w:val="0"/>
    <w:rPr>
      <w:i/>
    </w:rPr>
  </w:style>
  <w:style w:type="character" w:styleId="42">
    <w:name w:val="Hyperlink"/>
    <w:qFormat/>
    <w:uiPriority w:val="99"/>
    <w:rPr>
      <w:color w:val="0000CC"/>
      <w:sz w:val="18"/>
      <w:szCs w:val="18"/>
      <w:u w:val="single"/>
    </w:rPr>
  </w:style>
  <w:style w:type="character" w:styleId="43">
    <w:name w:val="annotation reference"/>
    <w:basedOn w:val="38"/>
    <w:qFormat/>
    <w:uiPriority w:val="0"/>
    <w:rPr>
      <w:sz w:val="21"/>
      <w:szCs w:val="21"/>
    </w:rPr>
  </w:style>
  <w:style w:type="character" w:styleId="44">
    <w:name w:val="HTML Sample"/>
    <w:basedOn w:val="38"/>
    <w:semiHidden/>
    <w:unhideWhenUsed/>
    <w:qFormat/>
    <w:uiPriority w:val="0"/>
    <w:rPr>
      <w:rFonts w:ascii="Courier New" w:hAnsi="Courier New"/>
    </w:rPr>
  </w:style>
  <w:style w:type="character" w:customStyle="1" w:styleId="45">
    <w:name w:val="标题 1 Char"/>
    <w:link w:val="2"/>
    <w:qFormat/>
    <w:uiPriority w:val="0"/>
    <w:rPr>
      <w:rFonts w:eastAsia="宋体"/>
      <w:b/>
      <w:bCs/>
      <w:kern w:val="44"/>
      <w:sz w:val="44"/>
      <w:szCs w:val="44"/>
      <w:lang w:val="en-US" w:eastAsia="zh-CN" w:bidi="ar-SA"/>
    </w:rPr>
  </w:style>
  <w:style w:type="character" w:customStyle="1" w:styleId="46">
    <w:name w:val="标题 3 Char"/>
    <w:link w:val="4"/>
    <w:qFormat/>
    <w:uiPriority w:val="0"/>
    <w:rPr>
      <w:rFonts w:ascii="宋体" w:hAnsi="宋体"/>
      <w:b/>
      <w:sz w:val="27"/>
      <w:szCs w:val="27"/>
    </w:rPr>
  </w:style>
  <w:style w:type="character" w:customStyle="1" w:styleId="47">
    <w:name w:val="批注文字 Char"/>
    <w:link w:val="15"/>
    <w:qFormat/>
    <w:uiPriority w:val="0"/>
    <w:rPr>
      <w:kern w:val="2"/>
      <w:sz w:val="21"/>
      <w:szCs w:val="24"/>
    </w:rPr>
  </w:style>
  <w:style w:type="character" w:customStyle="1" w:styleId="48">
    <w:name w:val="正文文本 Char"/>
    <w:link w:val="17"/>
    <w:qFormat/>
    <w:uiPriority w:val="0"/>
    <w:rPr>
      <w:sz w:val="24"/>
      <w:szCs w:val="24"/>
    </w:rPr>
  </w:style>
  <w:style w:type="character" w:customStyle="1" w:styleId="49">
    <w:name w:val="正文文本缩进 Char"/>
    <w:link w:val="18"/>
    <w:qFormat/>
    <w:uiPriority w:val="0"/>
    <w:rPr>
      <w:rFonts w:ascii="仿宋_GB2312" w:eastAsia="仿宋_GB2312"/>
      <w:kern w:val="2"/>
      <w:sz w:val="32"/>
    </w:rPr>
  </w:style>
  <w:style w:type="character" w:customStyle="1" w:styleId="50">
    <w:name w:val="纯文本 Char"/>
    <w:link w:val="21"/>
    <w:qFormat/>
    <w:uiPriority w:val="99"/>
    <w:rPr>
      <w:rFonts w:ascii="宋体" w:hAnsi="Courier New" w:eastAsia="宋体" w:cs="Courier New"/>
      <w:kern w:val="2"/>
      <w:sz w:val="21"/>
      <w:szCs w:val="21"/>
      <w:lang w:val="en-US" w:eastAsia="zh-CN" w:bidi="ar-SA"/>
    </w:rPr>
  </w:style>
  <w:style w:type="character" w:customStyle="1" w:styleId="51">
    <w:name w:val="页眉 Char"/>
    <w:link w:val="26"/>
    <w:qFormat/>
    <w:uiPriority w:val="0"/>
    <w:rPr>
      <w:kern w:val="2"/>
      <w:sz w:val="18"/>
      <w:szCs w:val="18"/>
    </w:rPr>
  </w:style>
  <w:style w:type="character" w:customStyle="1" w:styleId="52">
    <w:name w:val="标题 Char"/>
    <w:link w:val="35"/>
    <w:qFormat/>
    <w:uiPriority w:val="0"/>
    <w:rPr>
      <w:rFonts w:ascii="Cambria" w:hAnsi="Cambria" w:cs="Times New Roman"/>
      <w:b/>
      <w:bCs/>
      <w:kern w:val="2"/>
      <w:sz w:val="32"/>
      <w:szCs w:val="32"/>
    </w:rPr>
  </w:style>
  <w:style w:type="character" w:customStyle="1" w:styleId="53">
    <w:name w:val="批注主题 Char"/>
    <w:link w:val="36"/>
    <w:qFormat/>
    <w:uiPriority w:val="0"/>
    <w:rPr>
      <w:b/>
      <w:bCs/>
      <w:kern w:val="2"/>
      <w:sz w:val="21"/>
      <w:szCs w:val="24"/>
    </w:rPr>
  </w:style>
  <w:style w:type="character" w:customStyle="1" w:styleId="54">
    <w:name w:val="ts_tip_2"/>
    <w:qFormat/>
    <w:uiPriority w:val="0"/>
    <w:rPr>
      <w:color w:val="E43023"/>
    </w:rPr>
  </w:style>
  <w:style w:type="character" w:customStyle="1" w:styleId="55">
    <w:name w:val="linebg"/>
    <w:qFormat/>
    <w:uiPriority w:val="0"/>
  </w:style>
  <w:style w:type="character" w:customStyle="1" w:styleId="56">
    <w:name w:val="普通文字 Char Char2"/>
    <w:qFormat/>
    <w:uiPriority w:val="0"/>
    <w:rPr>
      <w:rFonts w:ascii="宋体" w:hAnsi="Courier New" w:eastAsia="宋体"/>
      <w:kern w:val="2"/>
      <w:sz w:val="21"/>
      <w:lang w:val="en-US" w:eastAsia="zh-CN" w:bidi="ar-SA"/>
    </w:rPr>
  </w:style>
  <w:style w:type="character" w:customStyle="1" w:styleId="57">
    <w:name w:val="bus_type_tip"/>
    <w:qFormat/>
    <w:uiPriority w:val="0"/>
    <w:rPr>
      <w:color w:val="FFFFFF"/>
      <w:sz w:val="18"/>
      <w:szCs w:val="18"/>
    </w:rPr>
  </w:style>
  <w:style w:type="character" w:customStyle="1" w:styleId="58">
    <w:name w:val="linebg_on1"/>
    <w:qFormat/>
    <w:uiPriority w:val="0"/>
  </w:style>
  <w:style w:type="character" w:customStyle="1" w:styleId="59">
    <w:name w:val="ts_tip_1"/>
    <w:qFormat/>
    <w:uiPriority w:val="0"/>
    <w:rPr>
      <w:color w:val="468B02"/>
    </w:rPr>
  </w:style>
  <w:style w:type="character" w:customStyle="1" w:styleId="60">
    <w:name w:val="linebg1"/>
    <w:qFormat/>
    <w:uiPriority w:val="0"/>
  </w:style>
  <w:style w:type="character" w:customStyle="1" w:styleId="61">
    <w:name w:val="redfilefwwh"/>
    <w:qFormat/>
    <w:uiPriority w:val="0"/>
    <w:rPr>
      <w:color w:val="BA2636"/>
      <w:sz w:val="18"/>
      <w:szCs w:val="18"/>
    </w:rPr>
  </w:style>
  <w:style w:type="character" w:customStyle="1" w:styleId="62">
    <w:name w:val="map_taglist"/>
    <w:qFormat/>
    <w:uiPriority w:val="0"/>
    <w:rPr>
      <w:color w:val="666666"/>
    </w:rPr>
  </w:style>
  <w:style w:type="character" w:customStyle="1" w:styleId="63">
    <w:name w:val="bus_type_3"/>
    <w:qFormat/>
    <w:uiPriority w:val="0"/>
    <w:rPr>
      <w:shd w:val="clear" w:color="auto" w:fill="43CC8D"/>
    </w:rPr>
  </w:style>
  <w:style w:type="character" w:customStyle="1" w:styleId="64">
    <w:name w:val="active3"/>
    <w:qFormat/>
    <w:uiPriority w:val="0"/>
    <w:rPr>
      <w:shd w:val="clear" w:color="auto" w:fill="FFFFFF"/>
    </w:rPr>
  </w:style>
  <w:style w:type="character" w:customStyle="1" w:styleId="65">
    <w:name w:val="gjfg"/>
    <w:qFormat/>
    <w:uiPriority w:val="0"/>
  </w:style>
  <w:style w:type="character" w:customStyle="1" w:styleId="66">
    <w:name w:val="displayarti"/>
    <w:qFormat/>
    <w:uiPriority w:val="0"/>
    <w:rPr>
      <w:color w:val="FFFFFF"/>
      <w:shd w:val="clear" w:color="auto" w:fill="A00000"/>
    </w:rPr>
  </w:style>
  <w:style w:type="character" w:customStyle="1" w:styleId="67">
    <w:name w:val="linebg_on"/>
    <w:qFormat/>
    <w:uiPriority w:val="0"/>
  </w:style>
  <w:style w:type="character" w:customStyle="1" w:styleId="68">
    <w:name w:val="redfilenumber"/>
    <w:qFormat/>
    <w:uiPriority w:val="0"/>
    <w:rPr>
      <w:color w:val="BA2636"/>
      <w:sz w:val="18"/>
      <w:szCs w:val="18"/>
    </w:rPr>
  </w:style>
  <w:style w:type="character" w:customStyle="1" w:styleId="69">
    <w:name w:val="cfdate"/>
    <w:qFormat/>
    <w:uiPriority w:val="0"/>
    <w:rPr>
      <w:color w:val="333333"/>
      <w:sz w:val="18"/>
      <w:szCs w:val="18"/>
    </w:rPr>
  </w:style>
  <w:style w:type="character" w:customStyle="1" w:styleId="70">
    <w:name w:val="bus_type_2"/>
    <w:qFormat/>
    <w:uiPriority w:val="0"/>
    <w:rPr>
      <w:shd w:val="clear" w:color="auto" w:fill="FF4141"/>
    </w:rPr>
  </w:style>
  <w:style w:type="character" w:customStyle="1" w:styleId="71">
    <w:name w:val="bus_type_0"/>
    <w:qFormat/>
    <w:uiPriority w:val="0"/>
    <w:rPr>
      <w:shd w:val="clear" w:color="auto" w:fill="FF8853"/>
    </w:rPr>
  </w:style>
  <w:style w:type="character" w:customStyle="1" w:styleId="72">
    <w:name w:val="qxdate"/>
    <w:qFormat/>
    <w:uiPriority w:val="0"/>
    <w:rPr>
      <w:color w:val="333333"/>
      <w:sz w:val="18"/>
      <w:szCs w:val="18"/>
    </w:rPr>
  </w:style>
  <w:style w:type="character" w:customStyle="1" w:styleId="73">
    <w:name w:val="time_dis"/>
    <w:qFormat/>
    <w:uiPriority w:val="0"/>
  </w:style>
  <w:style w:type="character" w:customStyle="1" w:styleId="74">
    <w:name w:val="hover42"/>
    <w:qFormat/>
    <w:uiPriority w:val="0"/>
    <w:rPr>
      <w:bdr w:val="single" w:color="999999" w:sz="6" w:space="0"/>
    </w:rPr>
  </w:style>
  <w:style w:type="character" w:customStyle="1" w:styleId="75">
    <w:name w:val="input_span11"/>
    <w:qFormat/>
    <w:uiPriority w:val="0"/>
  </w:style>
  <w:style w:type="character" w:customStyle="1" w:styleId="76">
    <w:name w:val="bus_type_4"/>
    <w:qFormat/>
    <w:uiPriority w:val="0"/>
    <w:rPr>
      <w:shd w:val="clear" w:color="auto" w:fill="333F89"/>
    </w:rPr>
  </w:style>
  <w:style w:type="character" w:customStyle="1" w:styleId="77">
    <w:name w:val="纯文本 字符"/>
    <w:qFormat/>
    <w:uiPriority w:val="0"/>
    <w:rPr>
      <w:rFonts w:ascii="宋体" w:hAnsi="Courier New" w:eastAsia="宋体" w:cs="Courier New"/>
      <w:kern w:val="2"/>
      <w:sz w:val="21"/>
      <w:szCs w:val="21"/>
      <w:lang w:val="en-US" w:eastAsia="zh-CN" w:bidi="ar-SA"/>
    </w:rPr>
  </w:style>
  <w:style w:type="character" w:customStyle="1" w:styleId="78">
    <w:name w:val="active4"/>
    <w:qFormat/>
    <w:uiPriority w:val="0"/>
    <w:rPr>
      <w:shd w:val="clear" w:color="auto" w:fill="FFFFFF"/>
    </w:rPr>
  </w:style>
  <w:style w:type="character" w:customStyle="1" w:styleId="79">
    <w:name w:val="样式1 Char"/>
    <w:link w:val="80"/>
    <w:qFormat/>
    <w:uiPriority w:val="0"/>
    <w:rPr>
      <w:rFonts w:eastAsia="宋体"/>
      <w:kern w:val="2"/>
      <w:sz w:val="21"/>
      <w:szCs w:val="24"/>
      <w:lang w:val="en-US" w:eastAsia="zh-CN" w:bidi="ar-SA"/>
    </w:rPr>
  </w:style>
  <w:style w:type="paragraph" w:customStyle="1" w:styleId="80">
    <w:name w:val="样式1"/>
    <w:basedOn w:val="1"/>
    <w:link w:val="79"/>
    <w:qFormat/>
    <w:uiPriority w:val="0"/>
  </w:style>
  <w:style w:type="character" w:customStyle="1" w:styleId="81">
    <w:name w:val="generalinfo-address-text1"/>
    <w:qFormat/>
    <w:uiPriority w:val="0"/>
    <w:rPr>
      <w:sz w:val="18"/>
      <w:szCs w:val="18"/>
    </w:rPr>
  </w:style>
  <w:style w:type="character" w:customStyle="1" w:styleId="82">
    <w:name w:val="1ji Char"/>
    <w:link w:val="83"/>
    <w:qFormat/>
    <w:uiPriority w:val="0"/>
    <w:rPr>
      <w:rFonts w:ascii="宋体" w:hAnsi="宋体" w:eastAsia="宋体"/>
      <w:b/>
      <w:bCs/>
      <w:kern w:val="44"/>
      <w:sz w:val="36"/>
      <w:szCs w:val="44"/>
      <w:lang w:val="en-US" w:eastAsia="zh-CN" w:bidi="ar-SA"/>
    </w:rPr>
  </w:style>
  <w:style w:type="paragraph" w:customStyle="1" w:styleId="83">
    <w:name w:val="1ji"/>
    <w:basedOn w:val="2"/>
    <w:link w:val="82"/>
    <w:qFormat/>
    <w:uiPriority w:val="0"/>
    <w:pPr>
      <w:keepLines w:val="0"/>
      <w:widowControl/>
      <w:spacing w:line="240" w:lineRule="auto"/>
      <w:jc w:val="center"/>
    </w:pPr>
    <w:rPr>
      <w:rFonts w:ascii="宋体" w:hAnsi="宋体"/>
      <w:sz w:val="36"/>
    </w:rPr>
  </w:style>
  <w:style w:type="character" w:customStyle="1" w:styleId="84">
    <w:name w:val="自定义标题一 Char"/>
    <w:link w:val="85"/>
    <w:qFormat/>
    <w:uiPriority w:val="0"/>
    <w:rPr>
      <w:rFonts w:ascii="黑体" w:hAnsi="黑体" w:eastAsia="黑体"/>
      <w:b/>
      <w:bCs/>
      <w:kern w:val="44"/>
      <w:sz w:val="44"/>
      <w:szCs w:val="44"/>
    </w:rPr>
  </w:style>
  <w:style w:type="paragraph" w:customStyle="1" w:styleId="85">
    <w:name w:val="自定义标题一"/>
    <w:basedOn w:val="2"/>
    <w:link w:val="84"/>
    <w:qFormat/>
    <w:uiPriority w:val="0"/>
    <w:pPr>
      <w:pageBreakBefore/>
      <w:tabs>
        <w:tab w:val="left" w:pos="144"/>
      </w:tabs>
      <w:spacing w:line="360" w:lineRule="auto"/>
      <w:ind w:left="144" w:hanging="144"/>
      <w:jc w:val="center"/>
    </w:pPr>
    <w:rPr>
      <w:rFonts w:ascii="黑体" w:hAnsi="黑体" w:eastAsia="黑体"/>
    </w:rPr>
  </w:style>
  <w:style w:type="character" w:customStyle="1" w:styleId="86">
    <w:name w:val="font21"/>
    <w:qFormat/>
    <w:uiPriority w:val="0"/>
    <w:rPr>
      <w:rFonts w:hint="default" w:ascii="Times New Roman" w:hAnsi="Times New Roman" w:cs="Times New Roman"/>
      <w:color w:val="000000"/>
      <w:sz w:val="21"/>
      <w:szCs w:val="21"/>
      <w:u w:val="none"/>
    </w:rPr>
  </w:style>
  <w:style w:type="character" w:customStyle="1" w:styleId="87">
    <w:name w:val="普通文字 Char Char3"/>
    <w:qFormat/>
    <w:uiPriority w:val="0"/>
    <w:rPr>
      <w:rFonts w:ascii="宋体" w:hAnsi="Courier New" w:eastAsia="宋体" w:cs="Courier New"/>
      <w:kern w:val="2"/>
      <w:sz w:val="21"/>
      <w:szCs w:val="21"/>
      <w:lang w:val="en-US" w:eastAsia="zh-CN" w:bidi="ar-SA"/>
    </w:rPr>
  </w:style>
  <w:style w:type="character" w:customStyle="1" w:styleId="88">
    <w:name w:val="curpage"/>
    <w:qFormat/>
    <w:uiPriority w:val="0"/>
    <w:rPr>
      <w:b/>
    </w:rPr>
  </w:style>
  <w:style w:type="character" w:customStyle="1" w:styleId="89">
    <w:name w:val="纯文本 Char1"/>
    <w:qFormat/>
    <w:uiPriority w:val="0"/>
    <w:rPr>
      <w:rFonts w:ascii="宋体" w:hAnsi="Courier New" w:eastAsia="宋体" w:cs="Courier New"/>
      <w:kern w:val="2"/>
      <w:sz w:val="21"/>
      <w:szCs w:val="21"/>
      <w:lang w:val="en-US" w:eastAsia="zh-CN" w:bidi="ar-SA"/>
    </w:rPr>
  </w:style>
  <w:style w:type="character" w:customStyle="1" w:styleId="90">
    <w:name w:val="apple-style-span"/>
    <w:qFormat/>
    <w:uiPriority w:val="99"/>
  </w:style>
  <w:style w:type="paragraph" w:customStyle="1" w:styleId="91">
    <w:name w:val="Char"/>
    <w:basedOn w:val="14"/>
    <w:qFormat/>
    <w:uiPriority w:val="0"/>
    <w:pPr>
      <w:widowControl/>
      <w:ind w:firstLine="454"/>
      <w:jc w:val="left"/>
    </w:pPr>
    <w:rPr>
      <w:rFonts w:ascii="Tahoma" w:hAnsi="Tahoma" w:cs="宋体"/>
      <w:kern w:val="0"/>
      <w:sz w:val="24"/>
      <w:szCs w:val="20"/>
    </w:r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_Style 90"/>
    <w:basedOn w:val="2"/>
    <w:next w:val="1"/>
    <w:qFormat/>
    <w:uiPriority w:val="39"/>
    <w:pPr>
      <w:widowControl/>
      <w:spacing w:line="276" w:lineRule="auto"/>
      <w:jc w:val="left"/>
      <w:outlineLvl w:val="9"/>
    </w:pPr>
    <w:rPr>
      <w:rFonts w:ascii="Cambria" w:hAnsi="Cambria"/>
      <w:color w:val="365F91"/>
      <w:kern w:val="0"/>
      <w:sz w:val="28"/>
      <w:szCs w:val="28"/>
    </w:rPr>
  </w:style>
  <w:style w:type="paragraph" w:customStyle="1" w:styleId="94">
    <w:name w:val="_Style 35"/>
    <w:basedOn w:val="14"/>
    <w:qFormat/>
    <w:uiPriority w:val="0"/>
    <w:pPr>
      <w:widowControl/>
      <w:ind w:firstLine="454"/>
      <w:jc w:val="left"/>
    </w:pPr>
  </w:style>
  <w:style w:type="paragraph" w:customStyle="1" w:styleId="95">
    <w:name w:val="表内文字"/>
    <w:basedOn w:val="1"/>
    <w:qFormat/>
    <w:uiPriority w:val="0"/>
    <w:pPr>
      <w:snapToGrid w:val="0"/>
      <w:jc w:val="center"/>
    </w:pPr>
    <w:rPr>
      <w:rFonts w:ascii="仿宋_GB2312" w:hAnsi="宋体" w:eastAsia="仿宋_GB2312"/>
      <w:b/>
      <w:color w:val="000000"/>
      <w:sz w:val="32"/>
      <w:szCs w:val="32"/>
    </w:rPr>
  </w:style>
  <w:style w:type="paragraph" w:customStyle="1" w:styleId="96">
    <w:name w:val="列出段落1"/>
    <w:basedOn w:val="1"/>
    <w:qFormat/>
    <w:uiPriority w:val="0"/>
    <w:pPr>
      <w:spacing w:line="312" w:lineRule="auto"/>
      <w:ind w:firstLine="420" w:firstLineChars="200"/>
    </w:pPr>
  </w:style>
  <w:style w:type="paragraph" w:customStyle="1" w:styleId="97">
    <w:name w:val="1"/>
    <w:basedOn w:val="1"/>
    <w:next w:val="21"/>
    <w:qFormat/>
    <w:uiPriority w:val="0"/>
    <w:rPr>
      <w:rFonts w:ascii="宋体" w:hAnsi="Courier New"/>
      <w:szCs w:val="20"/>
    </w:rPr>
  </w:style>
  <w:style w:type="paragraph" w:customStyle="1" w:styleId="98">
    <w:name w:val="Char1"/>
    <w:basedOn w:val="14"/>
    <w:qFormat/>
    <w:uiPriority w:val="0"/>
    <w:pPr>
      <w:widowControl/>
      <w:ind w:firstLine="454"/>
      <w:jc w:val="left"/>
    </w:pPr>
    <w:rPr>
      <w:rFonts w:ascii="Tahoma" w:hAnsi="Tahoma" w:cs="宋体"/>
      <w:kern w:val="0"/>
      <w:sz w:val="24"/>
      <w:szCs w:val="20"/>
    </w:rPr>
  </w:style>
  <w:style w:type="paragraph" w:customStyle="1" w:styleId="99">
    <w:name w:val="xl31"/>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100">
    <w:name w:val="_Style 10"/>
    <w:basedOn w:val="1"/>
    <w:qFormat/>
    <w:uiPriority w:val="0"/>
    <w:pPr>
      <w:ind w:firstLine="420" w:firstLineChars="200"/>
    </w:pPr>
    <w:rPr>
      <w:rFonts w:ascii="Calibri" w:hAnsi="Calibri"/>
      <w:szCs w:val="20"/>
    </w:rPr>
  </w:style>
  <w:style w:type="paragraph" w:customStyle="1" w:styleId="101">
    <w:name w:val="列出段落2"/>
    <w:basedOn w:val="1"/>
    <w:qFormat/>
    <w:uiPriority w:val="34"/>
    <w:pPr>
      <w:widowControl/>
      <w:ind w:firstLine="420" w:firstLineChars="200"/>
      <w:jc w:val="left"/>
    </w:pPr>
    <w:rPr>
      <w:rFonts w:ascii="宋体" w:hAnsi="宋体" w:cs="宋体"/>
      <w:kern w:val="0"/>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styleId="103">
    <w:name w:val="List Paragraph"/>
    <w:basedOn w:val="1"/>
    <w:qFormat/>
    <w:uiPriority w:val="34"/>
    <w:pPr>
      <w:ind w:firstLine="420" w:firstLineChars="200"/>
    </w:pPr>
  </w:style>
  <w:style w:type="paragraph" w:customStyle="1" w:styleId="104">
    <w:name w:val="_Style 101"/>
    <w:unhideWhenUsed/>
    <w:qFormat/>
    <w:uiPriority w:val="99"/>
    <w:rPr>
      <w:rFonts w:ascii="Times New Roman" w:hAnsi="Times New Roman" w:eastAsia="宋体" w:cs="Times New Roman"/>
      <w:kern w:val="2"/>
      <w:sz w:val="21"/>
      <w:szCs w:val="24"/>
      <w:lang w:val="en-US" w:eastAsia="zh-CN" w:bidi="ar-SA"/>
    </w:rPr>
  </w:style>
  <w:style w:type="character" w:customStyle="1" w:styleId="105">
    <w:name w:val="批注文字 字符"/>
    <w:qFormat/>
    <w:uiPriority w:val="0"/>
    <w:rPr>
      <w:kern w:val="2"/>
      <w:sz w:val="21"/>
      <w:szCs w:val="24"/>
    </w:rPr>
  </w:style>
  <w:style w:type="paragraph" w:customStyle="1" w:styleId="106">
    <w:name w:val="p15"/>
    <w:basedOn w:val="1"/>
    <w:qFormat/>
    <w:uiPriority w:val="0"/>
    <w:pPr>
      <w:widowControl/>
    </w:pPr>
    <w:rPr>
      <w:rFonts w:ascii="宋体" w:hAnsi="宋体" w:cs="宋体"/>
      <w:kern w:val="0"/>
      <w:szCs w:val="21"/>
    </w:rPr>
  </w:style>
  <w:style w:type="character" w:customStyle="1" w:styleId="107">
    <w:name w:val="纯文本 Char2"/>
    <w:qFormat/>
    <w:uiPriority w:val="0"/>
    <w:rPr>
      <w:rFonts w:ascii="宋体" w:hAnsi="宋体" w:eastAsia="宋体" w:cs="Courier New"/>
      <w:color w:val="000000"/>
      <w:kern w:val="1"/>
      <w:sz w:val="21"/>
      <w:szCs w:val="21"/>
      <w:lang w:val="en-US" w:eastAsia="zh-CN" w:bidi="ar-SA"/>
    </w:rPr>
  </w:style>
  <w:style w:type="paragraph" w:customStyle="1" w:styleId="108">
    <w:name w:val="表格文字"/>
    <w:qFormat/>
    <w:uiPriority w:val="0"/>
    <w:pPr>
      <w:widowControl w:val="0"/>
      <w:spacing w:before="25" w:after="25"/>
      <w:jc w:val="both"/>
    </w:pPr>
    <w:rPr>
      <w:rFonts w:ascii="Times New Roman" w:hAnsi="Times New Roman" w:eastAsia="宋体" w:cs="Times New Roman"/>
      <w:bCs/>
      <w:spacing w:val="10"/>
      <w:sz w:val="21"/>
      <w:szCs w:val="24"/>
      <w:lang w:val="en-US" w:eastAsia="zh-CN" w:bidi="ar-SA"/>
    </w:rPr>
  </w:style>
  <w:style w:type="paragraph" w:customStyle="1" w:styleId="1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table" w:customStyle="1" w:styleId="1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50999-6E0D-4547-8D18-6C7AD3FB4CE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48</Pages>
  <Words>5208</Words>
  <Characters>5843</Characters>
  <Lines>243</Lines>
  <Paragraphs>68</Paragraphs>
  <TotalTime>63</TotalTime>
  <ScaleCrop>false</ScaleCrop>
  <LinksUpToDate>false</LinksUpToDate>
  <CharactersWithSpaces>6101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2025-07-22T02:15:00Z</dcterms:created>
  <dc:creator>聂泉源</dc:creator>
  <cp:lastModifiedBy>liu</cp:lastModifiedBy>
  <cp:lastPrinted>2025-07-22T01:13:00Z</cp:lastPrinted>
  <dcterms:modified xsi:type="dcterms:W3CDTF">2025-08-14T12:02:47Z</dcterms:modified>
  <dc:title>3</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1C70E75BA1DE434D8F7BD6F58BFD0B6A_13</vt:lpwstr>
  </property>
  <property fmtid="{D5CDD505-2E9C-101B-9397-08002B2CF9AE}" pid="4" name="KSOTemplateDocerSaveRecord">
    <vt:lpwstr>eyJoZGlkIjoiMjUxZmE3ZjM0NzAwNzFiOGY3MDJmNWU2ZDY0MDc0MWQiLCJ1c2VySWQiOiI2Mjg3NDgxNDkifQ==</vt:lpwstr>
  </property>
</Properties>
</file>