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C2A17E">
      <w:pPr>
        <w:keepNext w:val="0"/>
        <w:keepLines w:val="0"/>
        <w:pageBreakBefore w:val="0"/>
        <w:kinsoku/>
        <w:overflowPunct/>
        <w:bidi w:val="0"/>
        <w:spacing w:line="360" w:lineRule="auto"/>
        <w:jc w:val="center"/>
        <w:rPr>
          <w:b/>
          <w:bCs/>
          <w:color w:val="auto"/>
          <w:sz w:val="48"/>
          <w:szCs w:val="48"/>
        </w:rPr>
      </w:pPr>
      <w:r>
        <w:rPr>
          <w:rFonts w:hint="eastAsia" w:ascii="宋体" w:hAnsi="宋体" w:cs="宋体"/>
          <w:b/>
          <w:bCs/>
          <w:color w:val="auto"/>
          <w:sz w:val="48"/>
          <w:szCs w:val="48"/>
          <w:lang w:val="en-US" w:eastAsia="zh-CN"/>
        </w:rPr>
        <w:t xml:space="preserve"> </w:t>
      </w:r>
      <w:r>
        <w:rPr>
          <w:rFonts w:hint="eastAsia" w:ascii="宋体" w:hAnsi="宋体" w:cs="宋体"/>
          <w:b/>
          <w:bCs/>
          <w:color w:val="auto"/>
          <w:sz w:val="48"/>
          <w:szCs w:val="48"/>
        </w:rPr>
        <w:t>广西君安工程建设顾问有限公司</w:t>
      </w:r>
    </w:p>
    <w:p w14:paraId="1977A8C7">
      <w:pPr>
        <w:keepNext w:val="0"/>
        <w:keepLines w:val="0"/>
        <w:pageBreakBefore w:val="0"/>
        <w:kinsoku/>
        <w:overflowPunct/>
        <w:bidi w:val="0"/>
        <w:spacing w:line="360" w:lineRule="auto"/>
        <w:jc w:val="center"/>
        <w:rPr>
          <w:b/>
          <w:bCs/>
          <w:color w:val="auto"/>
          <w:sz w:val="32"/>
          <w:szCs w:val="32"/>
        </w:rPr>
      </w:pPr>
      <w:r>
        <w:rPr>
          <w:rFonts w:hint="eastAsia" w:ascii="宋体" w:hAnsi="宋体" w:cs="宋体"/>
          <w:b/>
          <w:color w:val="auto"/>
          <w:sz w:val="20"/>
          <w:u w:val="single"/>
        </w:rPr>
        <mc:AlternateContent>
          <mc:Choice Requires="wps">
            <w:drawing>
              <wp:anchor distT="0" distB="0" distL="114300" distR="114300" simplePos="0" relativeHeight="251660288" behindDoc="0" locked="0" layoutInCell="1" allowOverlap="1">
                <wp:simplePos x="0" y="0"/>
                <wp:positionH relativeFrom="column">
                  <wp:posOffset>-82550</wp:posOffset>
                </wp:positionH>
                <wp:positionV relativeFrom="paragraph">
                  <wp:posOffset>235585</wp:posOffset>
                </wp:positionV>
                <wp:extent cx="5652135" cy="0"/>
                <wp:effectExtent l="0" t="38100" r="5715" b="38100"/>
                <wp:wrapNone/>
                <wp:docPr id="6" name="直接连接符 6"/>
                <wp:cNvGraphicFramePr/>
                <a:graphic xmlns:a="http://schemas.openxmlformats.org/drawingml/2006/main">
                  <a:graphicData uri="http://schemas.microsoft.com/office/word/2010/wordprocessingShape">
                    <wps:wsp>
                      <wps:cNvCnPr/>
                      <wps:spPr>
                        <a:xfrm flipV="1">
                          <a:off x="0" y="0"/>
                          <a:ext cx="5652135" cy="0"/>
                        </a:xfrm>
                        <a:prstGeom prst="line">
                          <a:avLst/>
                        </a:prstGeom>
                        <a:ln w="762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6.5pt;margin-top:18.55pt;height:0pt;width:445.05pt;z-index:251660288;mso-width-relative:page;mso-height-relative:page;" filled="f" stroked="t" coordsize="21600,21600" o:gfxdata="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csH/zYAAAACQEAAA8AAAAAAAAAAQAgAAAAIgAAAGRycy9kb3ducmV2Lnht&#10;bFBLAQIUABQAAAAIAIdO4kD8ZrC7+QEAAPEDAAAOAAAAAAAAAAEAIAAAACcBAABkcnMvZTJvRG9j&#10;LnhtbFBLBQYAAAAABgAGAFkBAACSBQAAAAA=&#10;">
                <v:fill on="f" focussize="0,0"/>
                <v:stroke weight="6pt" color="#000000" joinstyle="round"/>
                <v:imagedata o:title=""/>
                <o:lock v:ext="edit" aspectratio="f"/>
              </v:line>
            </w:pict>
          </mc:Fallback>
        </mc:AlternateContent>
      </w:r>
    </w:p>
    <w:p w14:paraId="55580F85">
      <w:pPr>
        <w:keepNext w:val="0"/>
        <w:keepLines w:val="0"/>
        <w:pageBreakBefore w:val="0"/>
        <w:kinsoku/>
        <w:overflowPunct/>
        <w:bidi w:val="0"/>
        <w:spacing w:line="360" w:lineRule="auto"/>
        <w:jc w:val="center"/>
        <w:rPr>
          <w:b/>
          <w:bCs/>
          <w:color w:val="auto"/>
          <w:sz w:val="32"/>
          <w:szCs w:val="32"/>
        </w:rPr>
      </w:pPr>
    </w:p>
    <w:p w14:paraId="40651D03">
      <w:pPr>
        <w:keepNext w:val="0"/>
        <w:keepLines w:val="0"/>
        <w:pageBreakBefore w:val="0"/>
        <w:kinsoku/>
        <w:overflowPunct/>
        <w:bidi w:val="0"/>
        <w:spacing w:line="360" w:lineRule="auto"/>
        <w:jc w:val="center"/>
        <w:rPr>
          <w:b/>
          <w:bCs/>
          <w:color w:val="auto"/>
          <w:sz w:val="32"/>
          <w:szCs w:val="32"/>
        </w:rPr>
      </w:pPr>
    </w:p>
    <w:p w14:paraId="4452A766">
      <w:pPr>
        <w:keepNext w:val="0"/>
        <w:keepLines w:val="0"/>
        <w:pageBreakBefore w:val="0"/>
        <w:kinsoku/>
        <w:overflowPunct/>
        <w:bidi w:val="0"/>
        <w:spacing w:line="360" w:lineRule="auto"/>
        <w:ind w:right="5"/>
        <w:jc w:val="center"/>
        <w:rPr>
          <w:b/>
          <w:color w:val="auto"/>
          <w:sz w:val="90"/>
        </w:rPr>
      </w:pPr>
      <w:bookmarkStart w:id="0" w:name="_Toc7472"/>
      <w:r>
        <w:rPr>
          <w:rFonts w:hint="eastAsia"/>
          <w:b/>
          <w:color w:val="auto"/>
          <w:sz w:val="90"/>
        </w:rPr>
        <w:t>公开招标</w:t>
      </w:r>
      <w:r>
        <w:rPr>
          <w:b/>
          <w:color w:val="auto"/>
          <w:sz w:val="90"/>
        </w:rPr>
        <w:t>文件</w:t>
      </w:r>
      <w:bookmarkEnd w:id="0"/>
    </w:p>
    <w:p w14:paraId="6DCD65D1">
      <w:pPr>
        <w:keepNext w:val="0"/>
        <w:keepLines w:val="0"/>
        <w:pageBreakBefore w:val="0"/>
        <w:kinsoku/>
        <w:overflowPunct/>
        <w:bidi w:val="0"/>
        <w:spacing w:line="360" w:lineRule="auto"/>
        <w:jc w:val="center"/>
        <w:rPr>
          <w:b/>
          <w:bCs/>
          <w:color w:val="auto"/>
          <w:sz w:val="32"/>
          <w:szCs w:val="32"/>
        </w:rPr>
      </w:pPr>
      <w:r>
        <w:rPr>
          <w:rFonts w:hint="eastAsia"/>
          <w:b/>
          <w:bCs/>
          <w:color w:val="auto"/>
          <w:sz w:val="32"/>
          <w:szCs w:val="32"/>
        </w:rPr>
        <w:t>（全流程电子化采购）</w:t>
      </w:r>
    </w:p>
    <w:p w14:paraId="1037075C">
      <w:pPr>
        <w:keepNext w:val="0"/>
        <w:keepLines w:val="0"/>
        <w:pageBreakBefore w:val="0"/>
        <w:kinsoku/>
        <w:overflowPunct/>
        <w:bidi w:val="0"/>
        <w:spacing w:line="360" w:lineRule="auto"/>
        <w:jc w:val="center"/>
        <w:rPr>
          <w:b/>
          <w:bCs/>
          <w:color w:val="auto"/>
          <w:sz w:val="32"/>
          <w:szCs w:val="32"/>
        </w:rPr>
      </w:pPr>
      <w:r>
        <w:rPr>
          <w:rFonts w:hint="eastAsia"/>
          <w:b/>
          <w:bCs/>
          <w:color w:val="auto"/>
          <w:sz w:val="32"/>
          <w:szCs w:val="32"/>
        </w:rPr>
        <w:drawing>
          <wp:inline distT="0" distB="0" distL="114300" distR="114300">
            <wp:extent cx="2200910" cy="1161415"/>
            <wp:effectExtent l="0" t="0" r="8890" b="635"/>
            <wp:docPr id="3" name="图片 1" descr="7bea32a27a69a51cc843f2627881f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7bea32a27a69a51cc843f2627881fe8"/>
                    <pic:cNvPicPr>
                      <a:picLocks noChangeAspect="1"/>
                    </pic:cNvPicPr>
                  </pic:nvPicPr>
                  <pic:blipFill>
                    <a:blip r:embed="rId16"/>
                    <a:stretch>
                      <a:fillRect/>
                    </a:stretch>
                  </pic:blipFill>
                  <pic:spPr>
                    <a:xfrm>
                      <a:off x="0" y="0"/>
                      <a:ext cx="2200910" cy="1161415"/>
                    </a:xfrm>
                    <a:prstGeom prst="rect">
                      <a:avLst/>
                    </a:prstGeom>
                    <a:noFill/>
                    <a:ln>
                      <a:noFill/>
                    </a:ln>
                  </pic:spPr>
                </pic:pic>
              </a:graphicData>
            </a:graphic>
          </wp:inline>
        </w:drawing>
      </w:r>
    </w:p>
    <w:p w14:paraId="6617F3EB">
      <w:pPr>
        <w:keepNext w:val="0"/>
        <w:keepLines w:val="0"/>
        <w:pageBreakBefore w:val="0"/>
        <w:kinsoku/>
        <w:overflowPunct/>
        <w:bidi w:val="0"/>
        <w:spacing w:line="360" w:lineRule="auto"/>
        <w:jc w:val="center"/>
        <w:rPr>
          <w:b/>
          <w:bCs/>
          <w:color w:val="auto"/>
          <w:sz w:val="32"/>
          <w:szCs w:val="32"/>
        </w:rPr>
      </w:pPr>
    </w:p>
    <w:p w14:paraId="570AB476">
      <w:pPr>
        <w:keepNext w:val="0"/>
        <w:keepLines w:val="0"/>
        <w:pageBreakBefore w:val="0"/>
        <w:kinsoku/>
        <w:overflowPunct/>
        <w:bidi w:val="0"/>
        <w:spacing w:line="360" w:lineRule="auto"/>
        <w:jc w:val="center"/>
        <w:rPr>
          <w:b/>
          <w:bCs/>
          <w:color w:val="auto"/>
          <w:sz w:val="32"/>
          <w:szCs w:val="32"/>
        </w:rPr>
      </w:pPr>
    </w:p>
    <w:p w14:paraId="442918F0">
      <w:pPr>
        <w:keepNext w:val="0"/>
        <w:keepLines w:val="0"/>
        <w:pageBreakBefore w:val="0"/>
        <w:kinsoku/>
        <w:overflowPunct/>
        <w:bidi w:val="0"/>
        <w:spacing w:line="360" w:lineRule="auto"/>
        <w:ind w:left="1606" w:hanging="1606" w:hangingChars="500"/>
        <w:rPr>
          <w:rFonts w:hint="default" w:ascii="宋体" w:hAnsi="宋体" w:eastAsia="宋体" w:cs="宋体"/>
          <w:b/>
          <w:bCs/>
          <w:color w:val="FF0000"/>
          <w:sz w:val="32"/>
          <w:szCs w:val="32"/>
          <w:lang w:val="en-US" w:eastAsia="zh-CN"/>
        </w:rPr>
      </w:pPr>
      <w:r>
        <w:rPr>
          <w:rFonts w:hint="eastAsia" w:ascii="宋体" w:hAnsi="宋体" w:cs="宋体"/>
          <w:b/>
          <w:bCs/>
          <w:color w:val="auto"/>
          <w:sz w:val="32"/>
          <w:szCs w:val="32"/>
        </w:rPr>
        <w:t>项目名称：</w:t>
      </w:r>
      <w:r>
        <w:rPr>
          <w:rFonts w:hint="eastAsia" w:ascii="宋体" w:hAnsi="宋体" w:cs="宋体"/>
          <w:b/>
          <w:bCs/>
          <w:color w:val="auto"/>
          <w:sz w:val="32"/>
          <w:szCs w:val="32"/>
          <w:lang w:val="en-US" w:eastAsia="zh-CN"/>
        </w:rPr>
        <w:t>2025年度广西数字法院运维服务项目</w:t>
      </w:r>
    </w:p>
    <w:p w14:paraId="0AAAC452">
      <w:pPr>
        <w:keepNext w:val="0"/>
        <w:keepLines w:val="0"/>
        <w:pageBreakBefore w:val="0"/>
        <w:kinsoku/>
        <w:overflowPunct/>
        <w:bidi w:val="0"/>
        <w:spacing w:line="360" w:lineRule="auto"/>
        <w:rPr>
          <w:rFonts w:hint="default" w:eastAsia="宋体"/>
          <w:b/>
          <w:bCs/>
          <w:color w:val="auto"/>
          <w:sz w:val="32"/>
          <w:szCs w:val="32"/>
          <w:lang w:val="en-US" w:eastAsia="zh-CN"/>
        </w:rPr>
      </w:pPr>
      <w:bookmarkStart w:id="1" w:name="_Toc947"/>
      <w:r>
        <w:rPr>
          <w:rFonts w:hint="eastAsia" w:ascii="宋体" w:hAnsi="宋体" w:cs="宋体"/>
          <w:b/>
          <w:bCs/>
          <w:color w:val="auto"/>
          <w:sz w:val="32"/>
          <w:szCs w:val="32"/>
        </w:rPr>
        <w:t>项目编号：</w:t>
      </w:r>
      <w:bookmarkEnd w:id="1"/>
      <w:r>
        <w:rPr>
          <w:rFonts w:hint="eastAsia" w:ascii="宋体" w:hAnsi="宋体" w:cs="宋体"/>
          <w:b/>
          <w:bCs/>
          <w:color w:val="auto"/>
          <w:sz w:val="32"/>
          <w:szCs w:val="32"/>
        </w:rPr>
        <w:t>GXZC2025-G3-003755-GXJA</w:t>
      </w:r>
    </w:p>
    <w:p w14:paraId="1D8B90E3">
      <w:pPr>
        <w:keepNext w:val="0"/>
        <w:keepLines w:val="0"/>
        <w:pageBreakBefore w:val="0"/>
        <w:kinsoku/>
        <w:overflowPunct/>
        <w:bidi w:val="0"/>
        <w:spacing w:before="2" w:line="360" w:lineRule="auto"/>
        <w:rPr>
          <w:rFonts w:ascii="宋体" w:hAnsi="宋体" w:cs="宋体"/>
          <w:b/>
          <w:bCs/>
          <w:color w:val="auto"/>
          <w:sz w:val="32"/>
          <w:szCs w:val="32"/>
        </w:rPr>
      </w:pPr>
    </w:p>
    <w:p w14:paraId="31DD9B6C">
      <w:pPr>
        <w:pStyle w:val="8"/>
        <w:keepNext w:val="0"/>
        <w:keepLines w:val="0"/>
        <w:pageBreakBefore w:val="0"/>
        <w:kinsoku/>
        <w:overflowPunct/>
        <w:bidi w:val="0"/>
        <w:spacing w:line="360" w:lineRule="auto"/>
        <w:rPr>
          <w:color w:val="auto"/>
        </w:rPr>
      </w:pPr>
      <w:r>
        <w:rPr>
          <w:rFonts w:hint="eastAsia" w:ascii="宋体" w:hAnsi="宋体" w:cs="宋体"/>
          <w:b/>
          <w:color w:val="auto"/>
          <w:sz w:val="20"/>
          <w:u w:val="single"/>
        </w:rPr>
        <mc:AlternateContent>
          <mc:Choice Requires="wps">
            <w:drawing>
              <wp:anchor distT="0" distB="0" distL="114300" distR="114300" simplePos="0" relativeHeight="251661312" behindDoc="0" locked="0" layoutInCell="1" allowOverlap="1">
                <wp:simplePos x="0" y="0"/>
                <wp:positionH relativeFrom="column">
                  <wp:posOffset>-1270</wp:posOffset>
                </wp:positionH>
                <wp:positionV relativeFrom="paragraph">
                  <wp:posOffset>126365</wp:posOffset>
                </wp:positionV>
                <wp:extent cx="5652135" cy="0"/>
                <wp:effectExtent l="0" t="38100" r="5715" b="38100"/>
                <wp:wrapNone/>
                <wp:docPr id="4" name="直接连接符 4"/>
                <wp:cNvGraphicFramePr/>
                <a:graphic xmlns:a="http://schemas.openxmlformats.org/drawingml/2006/main">
                  <a:graphicData uri="http://schemas.microsoft.com/office/word/2010/wordprocessingShape">
                    <wps:wsp>
                      <wps:cNvCnPr/>
                      <wps:spPr>
                        <a:xfrm flipV="1">
                          <a:off x="0" y="0"/>
                          <a:ext cx="5652135" cy="0"/>
                        </a:xfrm>
                        <a:prstGeom prst="line">
                          <a:avLst/>
                        </a:prstGeom>
                        <a:ln w="762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0.1pt;margin-top:9.95pt;height:0pt;width:445.05pt;z-index:251661312;mso-width-relative:page;mso-height-relative:page;" filled="f" stroked="t" coordsize="21600,21600" o:gfxdata="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6pq6PVAAAABwEAAA8AAAAAAAAAAQAgAAAAIgAAAGRycy9kb3ducmV2LnhtbFBL&#10;AQIUABQAAAAIAIdO4kD72kqI+QEAAPEDAAAOAAAAAAAAAAEAIAAAACQBAABkcnMvZTJvRG9jLnht&#10;bFBLBQYAAAAABgAGAFkBAACPBQAAAAA=&#10;">
                <v:fill on="f" focussize="0,0"/>
                <v:stroke weight="6pt" color="#000000" joinstyle="round"/>
                <v:imagedata o:title=""/>
                <o:lock v:ext="edit" aspectratio="f"/>
              </v:line>
            </w:pict>
          </mc:Fallback>
        </mc:AlternateContent>
      </w:r>
    </w:p>
    <w:p w14:paraId="3737B3D0">
      <w:pPr>
        <w:keepNext w:val="0"/>
        <w:keepLines w:val="0"/>
        <w:pageBreakBefore w:val="0"/>
        <w:kinsoku/>
        <w:overflowPunct/>
        <w:bidi w:val="0"/>
        <w:spacing w:line="360" w:lineRule="auto"/>
        <w:rPr>
          <w:rFonts w:ascii="宋体" w:hAnsi="宋体" w:cs="宋体"/>
          <w:b/>
          <w:bCs/>
          <w:color w:val="auto"/>
          <w:sz w:val="32"/>
          <w:szCs w:val="32"/>
        </w:rPr>
      </w:pPr>
      <w:bookmarkStart w:id="2" w:name="_Toc6546"/>
      <w:r>
        <w:rPr>
          <w:rFonts w:hint="eastAsia" w:ascii="宋体" w:hAnsi="宋体" w:cs="宋体"/>
          <w:b/>
          <w:bCs/>
          <w:color w:val="auto"/>
          <w:sz w:val="32"/>
          <w:szCs w:val="32"/>
        </w:rPr>
        <w:t>采 购 单 位：</w:t>
      </w:r>
      <w:bookmarkEnd w:id="2"/>
      <w:r>
        <w:rPr>
          <w:rFonts w:hint="eastAsia" w:ascii="宋体" w:hAnsi="宋体" w:cs="宋体"/>
          <w:b/>
          <w:bCs/>
          <w:color w:val="auto"/>
          <w:sz w:val="32"/>
          <w:szCs w:val="32"/>
        </w:rPr>
        <w:t>广西壮族自治区高级人民法院</w:t>
      </w:r>
    </w:p>
    <w:p w14:paraId="41C6D473">
      <w:pPr>
        <w:keepNext w:val="0"/>
        <w:keepLines w:val="0"/>
        <w:pageBreakBefore w:val="0"/>
        <w:kinsoku/>
        <w:overflowPunct/>
        <w:bidi w:val="0"/>
        <w:spacing w:line="360" w:lineRule="auto"/>
        <w:rPr>
          <w:rFonts w:ascii="宋体" w:hAnsi="宋体" w:cs="宋体"/>
          <w:b/>
          <w:bCs/>
          <w:color w:val="auto"/>
          <w:sz w:val="32"/>
          <w:szCs w:val="32"/>
        </w:rPr>
      </w:pPr>
      <w:r>
        <w:rPr>
          <w:rFonts w:hint="eastAsia" w:ascii="宋体" w:hAnsi="宋体" w:cs="宋体"/>
          <w:b/>
          <w:bCs/>
          <w:color w:val="auto"/>
          <w:sz w:val="32"/>
          <w:szCs w:val="32"/>
        </w:rPr>
        <w:t>采购代理机构：广西君安工程建设顾问有限公司</w:t>
      </w:r>
    </w:p>
    <w:p w14:paraId="5B2355B7">
      <w:pPr>
        <w:keepNext w:val="0"/>
        <w:keepLines w:val="0"/>
        <w:pageBreakBefore w:val="0"/>
        <w:kinsoku/>
        <w:overflowPunct/>
        <w:bidi w:val="0"/>
        <w:spacing w:line="360" w:lineRule="auto"/>
        <w:rPr>
          <w:rFonts w:ascii="宋体" w:hAnsi="宋体" w:cs="宋体"/>
          <w:b/>
          <w:bCs/>
          <w:color w:val="auto"/>
          <w:sz w:val="32"/>
          <w:szCs w:val="32"/>
        </w:rPr>
      </w:pPr>
    </w:p>
    <w:p w14:paraId="5BC44F5B">
      <w:pPr>
        <w:keepNext w:val="0"/>
        <w:keepLines w:val="0"/>
        <w:pageBreakBefore w:val="0"/>
        <w:kinsoku/>
        <w:overflowPunct/>
        <w:bidi w:val="0"/>
        <w:spacing w:line="360" w:lineRule="auto"/>
        <w:ind w:firstLine="3855" w:firstLineChars="1200"/>
        <w:rPr>
          <w:b/>
          <w:bCs/>
          <w:color w:val="auto"/>
          <w:sz w:val="32"/>
          <w:szCs w:val="32"/>
        </w:rPr>
      </w:pPr>
      <w:r>
        <w:rPr>
          <w:rFonts w:hint="eastAsia"/>
          <w:b/>
          <w:bCs/>
          <w:color w:val="auto"/>
          <w:sz w:val="32"/>
          <w:szCs w:val="32"/>
        </w:rPr>
        <w:t>二〇二</w:t>
      </w:r>
      <w:r>
        <w:rPr>
          <w:rFonts w:hint="eastAsia"/>
          <w:b/>
          <w:bCs/>
          <w:color w:val="auto"/>
          <w:sz w:val="32"/>
          <w:szCs w:val="32"/>
          <w:lang w:val="en-US" w:eastAsia="zh-CN"/>
        </w:rPr>
        <w:t>五</w:t>
      </w:r>
      <w:r>
        <w:rPr>
          <w:rFonts w:hint="eastAsia"/>
          <w:b/>
          <w:bCs/>
          <w:color w:val="auto"/>
          <w:sz w:val="32"/>
          <w:szCs w:val="32"/>
        </w:rPr>
        <w:t>年</w:t>
      </w:r>
      <w:r>
        <w:rPr>
          <w:rFonts w:hint="eastAsia"/>
          <w:b/>
          <w:bCs/>
          <w:color w:val="auto"/>
          <w:sz w:val="32"/>
          <w:szCs w:val="32"/>
          <w:lang w:val="en-US" w:eastAsia="zh-CN"/>
        </w:rPr>
        <w:t>十二</w:t>
      </w:r>
      <w:r>
        <w:rPr>
          <w:rFonts w:hint="eastAsia"/>
          <w:b/>
          <w:bCs/>
          <w:color w:val="auto"/>
          <w:sz w:val="32"/>
          <w:szCs w:val="32"/>
        </w:rPr>
        <w:t>月</w:t>
      </w:r>
    </w:p>
    <w:p w14:paraId="641AD318">
      <w:pPr>
        <w:pStyle w:val="24"/>
        <w:keepNext w:val="0"/>
        <w:keepLines w:val="0"/>
        <w:pageBreakBefore w:val="0"/>
        <w:kinsoku/>
        <w:overflowPunct/>
        <w:bidi w:val="0"/>
        <w:spacing w:line="360" w:lineRule="auto"/>
        <w:ind w:firstLine="640"/>
        <w:rPr>
          <w:color w:val="auto"/>
        </w:rPr>
      </w:pPr>
    </w:p>
    <w:p w14:paraId="36786BAF">
      <w:pPr>
        <w:keepNext w:val="0"/>
        <w:keepLines w:val="0"/>
        <w:pageBreakBefore w:val="0"/>
        <w:kinsoku/>
        <w:overflowPunct/>
        <w:bidi w:val="0"/>
        <w:spacing w:line="360" w:lineRule="auto"/>
        <w:ind w:firstLine="3982" w:firstLineChars="800"/>
        <w:rPr>
          <w:rFonts w:ascii="宋体" w:hAnsi="宋体" w:cs="宋体"/>
          <w:b/>
          <w:color w:val="auto"/>
          <w:spacing w:val="28"/>
          <w:sz w:val="44"/>
          <w:szCs w:val="44"/>
        </w:rPr>
        <w:sectPr>
          <w:headerReference r:id="rId3" w:type="default"/>
          <w:footerReference r:id="rId5" w:type="default"/>
          <w:headerReference r:id="rId4" w:type="even"/>
          <w:footerReference r:id="rId6" w:type="even"/>
          <w:pgSz w:w="11906" w:h="16838"/>
          <w:pgMar w:top="1134" w:right="1800" w:bottom="1134" w:left="1800" w:header="851" w:footer="992" w:gutter="0"/>
          <w:cols w:space="720" w:num="1"/>
          <w:titlePg/>
          <w:docGrid w:type="lines" w:linePitch="312" w:charSpace="0"/>
        </w:sectPr>
      </w:pPr>
    </w:p>
    <w:sdt>
      <w:sdtPr>
        <w:rPr>
          <w:rFonts w:ascii="宋体" w:hAnsi="宋体"/>
          <w:color w:val="auto"/>
        </w:rPr>
        <w:id w:val="147456145"/>
        <w15:color w:val="DBDBDB"/>
        <w:docPartObj>
          <w:docPartGallery w:val="Table of Contents"/>
          <w:docPartUnique/>
        </w:docPartObj>
      </w:sdtPr>
      <w:sdtEndPr>
        <w:rPr>
          <w:rFonts w:hint="eastAsia" w:ascii="宋体" w:hAnsi="宋体" w:cs="宋体"/>
          <w:color w:val="auto"/>
          <w:szCs w:val="36"/>
        </w:rPr>
      </w:sdtEndPr>
      <w:sdtContent>
        <w:p w14:paraId="501DB0C9">
          <w:pPr>
            <w:keepNext w:val="0"/>
            <w:keepLines w:val="0"/>
            <w:pageBreakBefore w:val="0"/>
            <w:kinsoku/>
            <w:overflowPunct/>
            <w:bidi w:val="0"/>
            <w:spacing w:line="360" w:lineRule="auto"/>
            <w:jc w:val="center"/>
            <w:rPr>
              <w:color w:val="auto"/>
            </w:rPr>
          </w:pPr>
          <w:r>
            <w:rPr>
              <w:rFonts w:ascii="宋体" w:hAnsi="宋体"/>
              <w:color w:val="auto"/>
            </w:rPr>
            <w:t>目录</w:t>
          </w:r>
        </w:p>
        <w:p w14:paraId="65B1F51A">
          <w:pPr>
            <w:pStyle w:val="19"/>
            <w:keepNext w:val="0"/>
            <w:keepLines w:val="0"/>
            <w:pageBreakBefore w:val="0"/>
            <w:tabs>
              <w:tab w:val="right" w:leader="dot" w:pos="8306"/>
            </w:tabs>
            <w:kinsoku/>
            <w:overflowPunct/>
            <w:bidi w:val="0"/>
            <w:spacing w:line="360" w:lineRule="auto"/>
          </w:pPr>
          <w:r>
            <w:rPr>
              <w:rFonts w:hint="eastAsia" w:ascii="宋体" w:hAnsi="宋体" w:cs="宋体"/>
              <w:b/>
              <w:color w:val="auto"/>
              <w:sz w:val="36"/>
              <w:szCs w:val="36"/>
            </w:rPr>
            <w:fldChar w:fldCharType="begin"/>
          </w:r>
          <w:r>
            <w:rPr>
              <w:rFonts w:hint="eastAsia" w:ascii="宋体" w:hAnsi="宋体" w:cs="宋体"/>
              <w:b/>
              <w:color w:val="auto"/>
              <w:sz w:val="36"/>
              <w:szCs w:val="36"/>
            </w:rPr>
            <w:instrText xml:space="preserve">TOC \o "1-1" \h \u </w:instrText>
          </w:r>
          <w:r>
            <w:rPr>
              <w:rFonts w:hint="eastAsia" w:ascii="宋体" w:hAnsi="宋体" w:cs="宋体"/>
              <w:b/>
              <w:color w:val="auto"/>
              <w:sz w:val="36"/>
              <w:szCs w:val="36"/>
            </w:rPr>
            <w:fldChar w:fldCharType="separate"/>
          </w:r>
          <w:r>
            <w:rPr>
              <w:rFonts w:hint="eastAsia" w:ascii="宋体" w:hAnsi="宋体" w:cs="宋体"/>
              <w:color w:val="auto"/>
              <w:szCs w:val="36"/>
            </w:rPr>
            <w:fldChar w:fldCharType="begin"/>
          </w:r>
          <w:r>
            <w:rPr>
              <w:rFonts w:hint="eastAsia" w:ascii="宋体" w:hAnsi="宋体" w:cs="宋体"/>
              <w:szCs w:val="36"/>
            </w:rPr>
            <w:instrText xml:space="preserve"> HYPERLINK \l _Toc16228 </w:instrText>
          </w:r>
          <w:r>
            <w:rPr>
              <w:rFonts w:hint="eastAsia" w:ascii="宋体" w:hAnsi="宋体" w:cs="宋体"/>
              <w:szCs w:val="36"/>
            </w:rPr>
            <w:fldChar w:fldCharType="separate"/>
          </w:r>
          <w:r>
            <w:rPr>
              <w:rFonts w:hint="eastAsia" w:ascii="宋体" w:hAnsi="宋体" w:cs="宋体"/>
              <w:bCs/>
              <w:szCs w:val="32"/>
            </w:rPr>
            <w:t>第一章  招标公告</w:t>
          </w:r>
          <w:r>
            <w:tab/>
          </w:r>
          <w:r>
            <w:fldChar w:fldCharType="begin"/>
          </w:r>
          <w:r>
            <w:instrText xml:space="preserve"> PAGEREF _Toc16228 \h </w:instrText>
          </w:r>
          <w:r>
            <w:fldChar w:fldCharType="separate"/>
          </w:r>
          <w:r>
            <w:t>1</w:t>
          </w:r>
          <w:r>
            <w:fldChar w:fldCharType="end"/>
          </w:r>
          <w:r>
            <w:rPr>
              <w:rFonts w:hint="eastAsia" w:ascii="宋体" w:hAnsi="宋体" w:cs="宋体"/>
              <w:color w:val="auto"/>
              <w:szCs w:val="36"/>
            </w:rPr>
            <w:fldChar w:fldCharType="end"/>
          </w:r>
        </w:p>
        <w:p w14:paraId="6A31DAF7">
          <w:pPr>
            <w:pStyle w:val="19"/>
            <w:keepNext w:val="0"/>
            <w:keepLines w:val="0"/>
            <w:pageBreakBefore w:val="0"/>
            <w:tabs>
              <w:tab w:val="right" w:leader="dot" w:pos="8306"/>
            </w:tabs>
            <w:kinsoku/>
            <w:overflowPunct/>
            <w:bidi w:val="0"/>
            <w:spacing w:line="360" w:lineRule="auto"/>
          </w:pPr>
          <w:r>
            <w:rPr>
              <w:rFonts w:hint="eastAsia" w:ascii="宋体" w:hAnsi="宋体" w:cs="宋体"/>
              <w:color w:val="auto"/>
              <w:szCs w:val="36"/>
            </w:rPr>
            <w:fldChar w:fldCharType="begin"/>
          </w:r>
          <w:r>
            <w:rPr>
              <w:rFonts w:hint="eastAsia" w:ascii="宋体" w:hAnsi="宋体" w:cs="宋体"/>
              <w:szCs w:val="36"/>
            </w:rPr>
            <w:instrText xml:space="preserve"> HYPERLINK \l _Toc9492 </w:instrText>
          </w:r>
          <w:r>
            <w:rPr>
              <w:rFonts w:hint="eastAsia" w:ascii="宋体" w:hAnsi="宋体" w:cs="宋体"/>
              <w:szCs w:val="36"/>
            </w:rPr>
            <w:fldChar w:fldCharType="separate"/>
          </w:r>
          <w:r>
            <w:rPr>
              <w:rFonts w:hint="eastAsia" w:ascii="宋体" w:hAnsi="宋体" w:cs="宋体"/>
              <w:bCs/>
              <w:szCs w:val="32"/>
            </w:rPr>
            <w:t xml:space="preserve">第二章  </w:t>
          </w:r>
          <w:r>
            <w:rPr>
              <w:rFonts w:hint="eastAsia" w:ascii="宋体" w:hAnsi="宋体" w:cs="宋体"/>
              <w:bCs/>
              <w:szCs w:val="32"/>
              <w:lang w:val="en-US" w:eastAsia="zh-CN"/>
            </w:rPr>
            <w:t>采购需求</w:t>
          </w:r>
          <w:r>
            <w:tab/>
          </w:r>
          <w:r>
            <w:fldChar w:fldCharType="begin"/>
          </w:r>
          <w:r>
            <w:instrText xml:space="preserve"> PAGEREF _Toc9492 \h </w:instrText>
          </w:r>
          <w:r>
            <w:fldChar w:fldCharType="separate"/>
          </w:r>
          <w:r>
            <w:t>5</w:t>
          </w:r>
          <w:r>
            <w:fldChar w:fldCharType="end"/>
          </w:r>
          <w:r>
            <w:rPr>
              <w:rFonts w:hint="eastAsia" w:ascii="宋体" w:hAnsi="宋体" w:cs="宋体"/>
              <w:color w:val="auto"/>
              <w:szCs w:val="36"/>
            </w:rPr>
            <w:fldChar w:fldCharType="end"/>
          </w:r>
        </w:p>
        <w:p w14:paraId="3DF32940">
          <w:pPr>
            <w:pStyle w:val="19"/>
            <w:keepNext w:val="0"/>
            <w:keepLines w:val="0"/>
            <w:pageBreakBefore w:val="0"/>
            <w:tabs>
              <w:tab w:val="right" w:leader="dot" w:pos="8306"/>
            </w:tabs>
            <w:kinsoku/>
            <w:overflowPunct/>
            <w:bidi w:val="0"/>
            <w:spacing w:line="360" w:lineRule="auto"/>
          </w:pPr>
          <w:r>
            <w:rPr>
              <w:rFonts w:hint="eastAsia" w:ascii="宋体" w:hAnsi="宋体" w:cs="宋体"/>
              <w:color w:val="auto"/>
              <w:szCs w:val="36"/>
            </w:rPr>
            <w:fldChar w:fldCharType="begin"/>
          </w:r>
          <w:r>
            <w:rPr>
              <w:rFonts w:hint="eastAsia" w:ascii="宋体" w:hAnsi="宋体" w:cs="宋体"/>
              <w:szCs w:val="36"/>
            </w:rPr>
            <w:instrText xml:space="preserve"> HYPERLINK \l _Toc8796 </w:instrText>
          </w:r>
          <w:r>
            <w:rPr>
              <w:rFonts w:hint="eastAsia" w:ascii="宋体" w:hAnsi="宋体" w:cs="宋体"/>
              <w:szCs w:val="36"/>
            </w:rPr>
            <w:fldChar w:fldCharType="separate"/>
          </w:r>
          <w:r>
            <w:rPr>
              <w:rFonts w:hint="eastAsia" w:ascii="宋体" w:hAnsi="宋体" w:cs="宋体"/>
              <w:bCs/>
              <w:szCs w:val="32"/>
            </w:rPr>
            <w:t>第</w:t>
          </w:r>
          <w:r>
            <w:rPr>
              <w:rFonts w:hint="eastAsia" w:ascii="宋体" w:hAnsi="宋体" w:cs="宋体"/>
              <w:bCs/>
              <w:szCs w:val="32"/>
              <w:lang w:val="en-US" w:eastAsia="zh-CN"/>
            </w:rPr>
            <w:t>三</w:t>
          </w:r>
          <w:r>
            <w:rPr>
              <w:rFonts w:hint="eastAsia" w:ascii="宋体" w:hAnsi="宋体" w:cs="宋体"/>
              <w:bCs/>
              <w:szCs w:val="32"/>
            </w:rPr>
            <w:t>章  投标人须知</w:t>
          </w:r>
          <w:r>
            <w:tab/>
          </w:r>
          <w:r>
            <w:fldChar w:fldCharType="begin"/>
          </w:r>
          <w:r>
            <w:instrText xml:space="preserve"> PAGEREF _Toc8796 \h </w:instrText>
          </w:r>
          <w:r>
            <w:fldChar w:fldCharType="separate"/>
          </w:r>
          <w:r>
            <w:t>36</w:t>
          </w:r>
          <w:r>
            <w:fldChar w:fldCharType="end"/>
          </w:r>
          <w:r>
            <w:rPr>
              <w:rFonts w:hint="eastAsia" w:ascii="宋体" w:hAnsi="宋体" w:cs="宋体"/>
              <w:color w:val="auto"/>
              <w:szCs w:val="36"/>
            </w:rPr>
            <w:fldChar w:fldCharType="end"/>
          </w:r>
        </w:p>
        <w:p w14:paraId="5D63E464">
          <w:pPr>
            <w:pStyle w:val="19"/>
            <w:keepNext w:val="0"/>
            <w:keepLines w:val="0"/>
            <w:pageBreakBefore w:val="0"/>
            <w:tabs>
              <w:tab w:val="right" w:leader="dot" w:pos="8306"/>
            </w:tabs>
            <w:kinsoku/>
            <w:overflowPunct/>
            <w:bidi w:val="0"/>
            <w:spacing w:line="360" w:lineRule="auto"/>
          </w:pPr>
          <w:r>
            <w:rPr>
              <w:rFonts w:hint="eastAsia" w:ascii="宋体" w:hAnsi="宋体" w:cs="宋体"/>
              <w:color w:val="auto"/>
              <w:szCs w:val="36"/>
            </w:rPr>
            <w:fldChar w:fldCharType="begin"/>
          </w:r>
          <w:r>
            <w:rPr>
              <w:rFonts w:hint="eastAsia" w:ascii="宋体" w:hAnsi="宋体" w:cs="宋体"/>
              <w:szCs w:val="36"/>
            </w:rPr>
            <w:instrText xml:space="preserve"> HYPERLINK \l _Toc22631 </w:instrText>
          </w:r>
          <w:r>
            <w:rPr>
              <w:rFonts w:hint="eastAsia" w:ascii="宋体" w:hAnsi="宋体" w:cs="宋体"/>
              <w:szCs w:val="36"/>
            </w:rPr>
            <w:fldChar w:fldCharType="separate"/>
          </w:r>
          <w:r>
            <w:rPr>
              <w:rFonts w:hint="eastAsia" w:ascii="宋体" w:hAnsi="宋体" w:eastAsia="宋体" w:cs="宋体"/>
              <w:bCs/>
              <w:szCs w:val="32"/>
            </w:rPr>
            <w:t>第四章  评审方法、评审程序和评审标准</w:t>
          </w:r>
          <w:r>
            <w:tab/>
          </w:r>
          <w:r>
            <w:fldChar w:fldCharType="begin"/>
          </w:r>
          <w:r>
            <w:instrText xml:space="preserve"> PAGEREF _Toc22631 \h </w:instrText>
          </w:r>
          <w:r>
            <w:fldChar w:fldCharType="separate"/>
          </w:r>
          <w:r>
            <w:t>36</w:t>
          </w:r>
          <w:r>
            <w:fldChar w:fldCharType="end"/>
          </w:r>
          <w:r>
            <w:rPr>
              <w:rFonts w:hint="eastAsia" w:ascii="宋体" w:hAnsi="宋体" w:cs="宋体"/>
              <w:color w:val="auto"/>
              <w:szCs w:val="36"/>
            </w:rPr>
            <w:fldChar w:fldCharType="end"/>
          </w:r>
        </w:p>
        <w:p w14:paraId="199DBFF6">
          <w:pPr>
            <w:pStyle w:val="19"/>
            <w:keepNext w:val="0"/>
            <w:keepLines w:val="0"/>
            <w:pageBreakBefore w:val="0"/>
            <w:tabs>
              <w:tab w:val="right" w:leader="dot" w:pos="8306"/>
            </w:tabs>
            <w:kinsoku/>
            <w:overflowPunct/>
            <w:bidi w:val="0"/>
            <w:spacing w:line="360" w:lineRule="auto"/>
          </w:pPr>
          <w:r>
            <w:rPr>
              <w:rFonts w:hint="eastAsia" w:ascii="宋体" w:hAnsi="宋体" w:cs="宋体"/>
              <w:color w:val="auto"/>
              <w:szCs w:val="36"/>
            </w:rPr>
            <w:fldChar w:fldCharType="begin"/>
          </w:r>
          <w:r>
            <w:rPr>
              <w:rFonts w:hint="eastAsia" w:ascii="宋体" w:hAnsi="宋体" w:cs="宋体"/>
              <w:szCs w:val="36"/>
            </w:rPr>
            <w:instrText xml:space="preserve"> HYPERLINK \l _Toc16844 </w:instrText>
          </w:r>
          <w:r>
            <w:rPr>
              <w:rFonts w:hint="eastAsia" w:ascii="宋体" w:hAnsi="宋体" w:cs="宋体"/>
              <w:szCs w:val="36"/>
            </w:rPr>
            <w:fldChar w:fldCharType="separate"/>
          </w:r>
          <w:r>
            <w:rPr>
              <w:rFonts w:hint="eastAsia" w:hAnsi="宋体" w:cs="宋体"/>
              <w:bCs/>
              <w:szCs w:val="21"/>
            </w:rPr>
            <w:t xml:space="preserve">第五章  </w:t>
          </w:r>
          <w:r>
            <w:rPr>
              <w:rFonts w:hint="eastAsia" w:hAnsi="宋体" w:cs="宋体"/>
              <w:bCs/>
              <w:szCs w:val="21"/>
              <w:lang w:val="en-US" w:eastAsia="zh-CN"/>
            </w:rPr>
            <w:t>投标</w:t>
          </w:r>
          <w:r>
            <w:rPr>
              <w:rFonts w:hint="eastAsia" w:hAnsi="宋体" w:cs="宋体"/>
              <w:bCs/>
              <w:szCs w:val="21"/>
            </w:rPr>
            <w:t>文件格式</w:t>
          </w:r>
          <w:r>
            <w:tab/>
          </w:r>
          <w:r>
            <w:fldChar w:fldCharType="begin"/>
          </w:r>
          <w:r>
            <w:instrText xml:space="preserve"> PAGEREF _Toc16844 \h </w:instrText>
          </w:r>
          <w:r>
            <w:fldChar w:fldCharType="separate"/>
          </w:r>
          <w:r>
            <w:t>65</w:t>
          </w:r>
          <w:r>
            <w:fldChar w:fldCharType="end"/>
          </w:r>
          <w:r>
            <w:rPr>
              <w:rFonts w:hint="eastAsia" w:ascii="宋体" w:hAnsi="宋体" w:cs="宋体"/>
              <w:color w:val="auto"/>
              <w:szCs w:val="36"/>
            </w:rPr>
            <w:fldChar w:fldCharType="end"/>
          </w:r>
        </w:p>
        <w:p w14:paraId="1896669F">
          <w:pPr>
            <w:pStyle w:val="19"/>
            <w:keepNext w:val="0"/>
            <w:keepLines w:val="0"/>
            <w:pageBreakBefore w:val="0"/>
            <w:tabs>
              <w:tab w:val="right" w:leader="dot" w:pos="8306"/>
            </w:tabs>
            <w:kinsoku/>
            <w:overflowPunct/>
            <w:bidi w:val="0"/>
            <w:spacing w:line="360" w:lineRule="auto"/>
          </w:pPr>
          <w:r>
            <w:rPr>
              <w:rFonts w:hint="eastAsia" w:ascii="宋体" w:hAnsi="宋体" w:cs="宋体"/>
              <w:color w:val="auto"/>
              <w:szCs w:val="36"/>
            </w:rPr>
            <w:fldChar w:fldCharType="begin"/>
          </w:r>
          <w:r>
            <w:rPr>
              <w:rFonts w:hint="eastAsia" w:ascii="宋体" w:hAnsi="宋体" w:cs="宋体"/>
              <w:szCs w:val="36"/>
            </w:rPr>
            <w:instrText xml:space="preserve"> HYPERLINK \l _Toc25471 </w:instrText>
          </w:r>
          <w:r>
            <w:rPr>
              <w:rFonts w:hint="eastAsia" w:ascii="宋体" w:hAnsi="宋体" w:cs="宋体"/>
              <w:szCs w:val="36"/>
            </w:rPr>
            <w:fldChar w:fldCharType="separate"/>
          </w:r>
          <w:r>
            <w:rPr>
              <w:rFonts w:hint="eastAsia" w:hAnsi="宋体" w:cs="宋体"/>
              <w:bCs/>
              <w:szCs w:val="21"/>
            </w:rPr>
            <w:t>第六章  拟定的合同文本</w:t>
          </w:r>
          <w:r>
            <w:tab/>
          </w:r>
          <w:r>
            <w:fldChar w:fldCharType="begin"/>
          </w:r>
          <w:r>
            <w:instrText xml:space="preserve"> PAGEREF _Toc25471 \h </w:instrText>
          </w:r>
          <w:r>
            <w:fldChar w:fldCharType="separate"/>
          </w:r>
          <w:r>
            <w:t>92</w:t>
          </w:r>
          <w:r>
            <w:fldChar w:fldCharType="end"/>
          </w:r>
          <w:r>
            <w:rPr>
              <w:rFonts w:hint="eastAsia" w:ascii="宋体" w:hAnsi="宋体" w:cs="宋体"/>
              <w:color w:val="auto"/>
              <w:szCs w:val="36"/>
            </w:rPr>
            <w:fldChar w:fldCharType="end"/>
          </w:r>
        </w:p>
        <w:p w14:paraId="62085731">
          <w:pPr>
            <w:keepNext w:val="0"/>
            <w:keepLines w:val="0"/>
            <w:pageBreakBefore w:val="0"/>
            <w:kinsoku/>
            <w:wordWrap w:val="0"/>
            <w:overflowPunct/>
            <w:bidi w:val="0"/>
            <w:spacing w:line="360" w:lineRule="auto"/>
            <w:rPr>
              <w:rFonts w:ascii="宋体" w:hAnsi="宋体" w:cs="宋体"/>
              <w:b/>
              <w:color w:val="auto"/>
              <w:sz w:val="36"/>
              <w:szCs w:val="36"/>
            </w:rPr>
          </w:pPr>
          <w:r>
            <w:rPr>
              <w:rFonts w:hint="eastAsia" w:ascii="宋体" w:hAnsi="宋体" w:cs="宋体"/>
              <w:color w:val="auto"/>
              <w:szCs w:val="36"/>
            </w:rPr>
            <w:fldChar w:fldCharType="end"/>
          </w:r>
        </w:p>
      </w:sdtContent>
    </w:sdt>
    <w:p w14:paraId="3DEB8106">
      <w:pPr>
        <w:pStyle w:val="13"/>
        <w:keepNext w:val="0"/>
        <w:keepLines w:val="0"/>
        <w:pageBreakBefore w:val="0"/>
        <w:kinsoku/>
        <w:overflowPunct/>
        <w:bidi w:val="0"/>
        <w:spacing w:line="360" w:lineRule="auto"/>
        <w:rPr>
          <w:rFonts w:ascii="宋体" w:hAnsi="宋体" w:cs="宋体"/>
          <w:b/>
          <w:color w:val="auto"/>
          <w:sz w:val="36"/>
          <w:szCs w:val="36"/>
        </w:rPr>
      </w:pPr>
    </w:p>
    <w:p w14:paraId="4D50E954">
      <w:pPr>
        <w:pStyle w:val="13"/>
        <w:keepNext w:val="0"/>
        <w:keepLines w:val="0"/>
        <w:pageBreakBefore w:val="0"/>
        <w:kinsoku/>
        <w:overflowPunct/>
        <w:bidi w:val="0"/>
        <w:spacing w:line="360" w:lineRule="auto"/>
        <w:rPr>
          <w:rFonts w:ascii="宋体" w:hAnsi="宋体" w:cs="宋体"/>
          <w:b/>
          <w:color w:val="auto"/>
          <w:sz w:val="36"/>
          <w:szCs w:val="36"/>
        </w:rPr>
      </w:pPr>
    </w:p>
    <w:p w14:paraId="61C45D5D">
      <w:pPr>
        <w:pStyle w:val="13"/>
        <w:keepNext w:val="0"/>
        <w:keepLines w:val="0"/>
        <w:pageBreakBefore w:val="0"/>
        <w:kinsoku/>
        <w:overflowPunct/>
        <w:bidi w:val="0"/>
        <w:spacing w:line="360" w:lineRule="auto"/>
        <w:rPr>
          <w:rFonts w:ascii="宋体" w:hAnsi="宋体" w:cs="宋体"/>
          <w:b/>
          <w:color w:val="auto"/>
          <w:sz w:val="36"/>
          <w:szCs w:val="36"/>
        </w:rPr>
      </w:pPr>
    </w:p>
    <w:p w14:paraId="098DB68A">
      <w:pPr>
        <w:pStyle w:val="13"/>
        <w:keepNext w:val="0"/>
        <w:keepLines w:val="0"/>
        <w:pageBreakBefore w:val="0"/>
        <w:kinsoku/>
        <w:overflowPunct/>
        <w:bidi w:val="0"/>
        <w:spacing w:line="360" w:lineRule="auto"/>
        <w:rPr>
          <w:rFonts w:ascii="宋体" w:hAnsi="宋体" w:cs="宋体"/>
          <w:b/>
          <w:color w:val="auto"/>
          <w:sz w:val="36"/>
          <w:szCs w:val="36"/>
        </w:rPr>
        <w:sectPr>
          <w:headerReference r:id="rId7" w:type="default"/>
          <w:footerReference r:id="rId8" w:type="default"/>
          <w:pgSz w:w="11906" w:h="16838"/>
          <w:pgMar w:top="1440" w:right="1800" w:bottom="1440" w:left="1800" w:header="1077" w:footer="992" w:gutter="0"/>
          <w:pgNumType w:start="1"/>
          <w:cols w:space="425" w:num="1"/>
          <w:titlePg/>
          <w:docGrid w:type="lines" w:linePitch="312" w:charSpace="0"/>
        </w:sectPr>
      </w:pPr>
    </w:p>
    <w:p w14:paraId="2ED514A7">
      <w:pPr>
        <w:keepNext w:val="0"/>
        <w:keepLines w:val="0"/>
        <w:pageBreakBefore w:val="0"/>
        <w:kinsoku/>
        <w:overflowPunct/>
        <w:bidi w:val="0"/>
        <w:spacing w:line="360" w:lineRule="auto"/>
        <w:jc w:val="center"/>
        <w:outlineLvl w:val="0"/>
        <w:rPr>
          <w:rFonts w:ascii="宋体" w:hAnsi="宋体" w:cs="宋体"/>
          <w:bCs/>
          <w:color w:val="auto"/>
          <w:szCs w:val="21"/>
        </w:rPr>
      </w:pPr>
      <w:bookmarkStart w:id="3" w:name="_Toc16228"/>
      <w:r>
        <w:rPr>
          <w:rFonts w:hint="eastAsia" w:ascii="宋体" w:hAnsi="宋体" w:cs="宋体"/>
          <w:b/>
          <w:bCs/>
          <w:color w:val="auto"/>
          <w:sz w:val="32"/>
          <w:szCs w:val="32"/>
        </w:rPr>
        <w:t>第一章  招标公告</w:t>
      </w:r>
      <w:bookmarkEnd w:id="3"/>
    </w:p>
    <w:p w14:paraId="2AF60239">
      <w:pPr>
        <w:keepNext w:val="0"/>
        <w:keepLines w:val="0"/>
        <w:pageBreakBefore w:val="0"/>
        <w:kinsoku/>
        <w:wordWrap w:val="0"/>
        <w:overflowPunct/>
        <w:bidi w:val="0"/>
        <w:spacing w:line="360" w:lineRule="auto"/>
        <w:rPr>
          <w:rFonts w:ascii="宋体" w:hAnsi="宋体" w:cs="宋体"/>
          <w:b/>
          <w:color w:val="auto"/>
          <w:szCs w:val="21"/>
        </w:rPr>
      </w:pPr>
      <w:r>
        <w:rPr>
          <w:rFonts w:hint="eastAsia" w:ascii="宋体" w:hAnsi="宋体" w:cs="宋体"/>
          <w:b/>
          <w:color w:val="auto"/>
          <w:szCs w:val="21"/>
        </w:rPr>
        <w:t>项目概况</w:t>
      </w:r>
    </w:p>
    <w:p w14:paraId="204111A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ascii="宋体" w:hAnsi="宋体"/>
          <w:bCs/>
          <w:color w:val="auto"/>
          <w:szCs w:val="21"/>
        </w:rPr>
      </w:pPr>
      <w:r>
        <w:rPr>
          <w:rFonts w:hint="eastAsia" w:ascii="宋体" w:hAnsi="宋体"/>
          <w:color w:val="000000" w:themeColor="text1"/>
          <w:szCs w:val="21"/>
          <w:u w:val="single"/>
          <w:lang w:eastAsia="zh-CN"/>
          <w14:textFill>
            <w14:solidFill>
              <w14:schemeClr w14:val="tx1"/>
            </w14:solidFill>
          </w14:textFill>
        </w:rPr>
        <w:t>2025年度广西数字法院运维服务项目</w:t>
      </w:r>
      <w:r>
        <w:rPr>
          <w:rFonts w:hint="eastAsia" w:ascii="宋体" w:hAnsi="宋体"/>
          <w:color w:val="auto"/>
          <w:szCs w:val="21"/>
          <w:u w:val="none"/>
          <w:lang w:val="en-US" w:eastAsia="zh-CN"/>
        </w:rPr>
        <w:t>招标项目</w:t>
      </w:r>
      <w:r>
        <w:rPr>
          <w:rFonts w:hint="eastAsia" w:ascii="宋体" w:hAnsi="宋体"/>
          <w:color w:val="auto"/>
          <w:szCs w:val="21"/>
        </w:rPr>
        <w:t>的潜在投标人应在“广西政府采购云平台”（https://www.gcy.zfcg.gxzf.gov.cn/））获取（下载）招标文件，并于</w:t>
      </w:r>
      <w:r>
        <w:rPr>
          <w:rFonts w:hint="eastAsia" w:ascii="宋体" w:hAnsi="宋体"/>
          <w:color w:val="auto"/>
          <w:szCs w:val="21"/>
          <w:lang w:val="en-US" w:eastAsia="zh-CN"/>
        </w:rPr>
        <w:t xml:space="preserve">   </w:t>
      </w:r>
      <w:r>
        <w:rPr>
          <w:rFonts w:hint="eastAsia" w:ascii="宋体" w:hAnsi="宋体"/>
          <w:bCs/>
          <w:color w:val="auto"/>
          <w:szCs w:val="21"/>
          <w:u w:val="single"/>
        </w:rPr>
        <w:t>年</w:t>
      </w:r>
      <w:r>
        <w:rPr>
          <w:rFonts w:hint="eastAsia" w:ascii="宋体" w:hAnsi="宋体"/>
          <w:bCs/>
          <w:color w:val="auto"/>
          <w:szCs w:val="21"/>
          <w:u w:val="single"/>
          <w:lang w:val="en-US" w:eastAsia="zh-CN"/>
        </w:rPr>
        <w:t xml:space="preserve">   </w:t>
      </w:r>
      <w:r>
        <w:rPr>
          <w:rFonts w:hint="eastAsia" w:ascii="宋体" w:hAnsi="宋体"/>
          <w:bCs/>
          <w:color w:val="auto"/>
          <w:szCs w:val="21"/>
          <w:u w:val="single"/>
        </w:rPr>
        <w:t>月</w:t>
      </w:r>
      <w:r>
        <w:rPr>
          <w:rFonts w:hint="eastAsia" w:ascii="宋体" w:hAnsi="宋体"/>
          <w:bCs/>
          <w:color w:val="auto"/>
          <w:szCs w:val="21"/>
          <w:u w:val="single"/>
          <w:lang w:val="en-US" w:eastAsia="zh-CN"/>
        </w:rPr>
        <w:t xml:space="preserve">   </w:t>
      </w:r>
      <w:r>
        <w:rPr>
          <w:rFonts w:hint="eastAsia" w:ascii="宋体" w:hAnsi="宋体"/>
          <w:bCs/>
          <w:color w:val="auto"/>
          <w:szCs w:val="21"/>
          <w:u w:val="single"/>
        </w:rPr>
        <w:t>日</w:t>
      </w:r>
      <w:r>
        <w:rPr>
          <w:rFonts w:hint="eastAsia" w:ascii="宋体" w:hAnsi="宋体"/>
          <w:bCs/>
          <w:color w:val="auto"/>
          <w:szCs w:val="21"/>
          <w:u w:val="single"/>
          <w:lang w:val="en-US" w:eastAsia="zh-CN"/>
        </w:rPr>
        <w:t xml:space="preserve">   </w:t>
      </w:r>
      <w:r>
        <w:rPr>
          <w:rFonts w:hint="eastAsia" w:ascii="宋体" w:hAnsi="宋体"/>
          <w:bCs/>
          <w:color w:val="auto"/>
          <w:szCs w:val="21"/>
          <w:u w:val="single"/>
        </w:rPr>
        <w:t>时</w:t>
      </w:r>
      <w:r>
        <w:rPr>
          <w:rFonts w:hint="eastAsia" w:ascii="宋体" w:hAnsi="宋体"/>
          <w:bCs/>
          <w:color w:val="auto"/>
          <w:szCs w:val="21"/>
          <w:u w:val="single"/>
          <w:lang w:val="en-US" w:eastAsia="zh-CN"/>
        </w:rPr>
        <w:t xml:space="preserve">   </w:t>
      </w:r>
      <w:r>
        <w:rPr>
          <w:rFonts w:hint="eastAsia" w:ascii="宋体" w:hAnsi="宋体"/>
          <w:bCs/>
          <w:color w:val="auto"/>
          <w:szCs w:val="21"/>
          <w:u w:val="single"/>
        </w:rPr>
        <w:t>分（</w:t>
      </w:r>
      <w:r>
        <w:rPr>
          <w:rFonts w:hint="eastAsia" w:ascii="宋体" w:hAnsi="宋体"/>
          <w:bCs/>
          <w:color w:val="auto"/>
          <w:szCs w:val="21"/>
        </w:rPr>
        <w:t>北京时间）前按要求递交（上传）投标</w:t>
      </w:r>
      <w:r>
        <w:rPr>
          <w:rFonts w:ascii="宋体" w:hAnsi="宋体"/>
          <w:bCs/>
          <w:color w:val="auto"/>
          <w:szCs w:val="21"/>
        </w:rPr>
        <w:t>文件</w:t>
      </w:r>
      <w:r>
        <w:rPr>
          <w:rFonts w:hint="eastAsia" w:ascii="宋体" w:hAnsi="宋体"/>
          <w:bCs/>
          <w:color w:val="auto"/>
          <w:szCs w:val="21"/>
        </w:rPr>
        <w:t>。</w:t>
      </w:r>
    </w:p>
    <w:p w14:paraId="73EA445C">
      <w:pPr>
        <w:pStyle w:val="13"/>
        <w:keepNext w:val="0"/>
        <w:keepLines w:val="0"/>
        <w:pageBreakBefore w:val="0"/>
        <w:kinsoku/>
        <w:overflowPunct/>
        <w:bidi w:val="0"/>
        <w:spacing w:line="360" w:lineRule="auto"/>
        <w:ind w:left="0"/>
        <w:rPr>
          <w:rFonts w:ascii="宋体" w:hAnsi="宋体"/>
          <w:b/>
          <w:color w:val="auto"/>
          <w:szCs w:val="21"/>
        </w:rPr>
      </w:pPr>
      <w:r>
        <w:rPr>
          <w:rFonts w:hint="eastAsia" w:ascii="宋体" w:hAnsi="宋体"/>
          <w:b/>
          <w:color w:val="auto"/>
          <w:szCs w:val="21"/>
        </w:rPr>
        <w:t>一、项目基本情况</w:t>
      </w:r>
    </w:p>
    <w:p w14:paraId="7DA5FA89">
      <w:pPr>
        <w:keepNext w:val="0"/>
        <w:keepLines w:val="0"/>
        <w:pageBreakBefore w:val="0"/>
        <w:kinsoku/>
        <w:overflowPunct/>
        <w:bidi w:val="0"/>
        <w:spacing w:line="360" w:lineRule="auto"/>
        <w:ind w:firstLine="420" w:firstLineChars="200"/>
        <w:rPr>
          <w:rFonts w:ascii="宋体" w:hAnsi="宋体"/>
          <w:color w:val="auto"/>
          <w:szCs w:val="21"/>
        </w:rPr>
      </w:pPr>
      <w:r>
        <w:rPr>
          <w:rFonts w:hint="eastAsia" w:ascii="宋体" w:hAnsi="宋体"/>
          <w:color w:val="auto"/>
          <w:szCs w:val="21"/>
        </w:rPr>
        <w:t>项目编号：GXZC2025-G3-003755-GXJA</w:t>
      </w:r>
      <w:r>
        <w:rPr>
          <w:rFonts w:hint="eastAsia" w:ascii="宋体" w:hAnsi="宋体"/>
          <w:color w:val="000000" w:themeColor="text1"/>
          <w:szCs w:val="21"/>
          <w14:textFill>
            <w14:solidFill>
              <w14:schemeClr w14:val="tx1"/>
            </w14:solidFill>
          </w14:textFill>
        </w:rPr>
        <w:t>（采购计划号：广西政采[2025]24069号）</w:t>
      </w:r>
    </w:p>
    <w:p w14:paraId="4E852C4E">
      <w:pPr>
        <w:keepNext w:val="0"/>
        <w:keepLines w:val="0"/>
        <w:pageBreakBefore w:val="0"/>
        <w:kinsoku/>
        <w:overflowPunct/>
        <w:bidi w:val="0"/>
        <w:spacing w:line="360" w:lineRule="auto"/>
        <w:ind w:firstLine="420" w:firstLineChars="200"/>
        <w:rPr>
          <w:rFonts w:hint="eastAsia" w:ascii="宋体" w:hAnsi="宋体" w:eastAsia="宋体"/>
          <w:color w:val="auto"/>
          <w:szCs w:val="21"/>
          <w:lang w:eastAsia="zh-CN"/>
        </w:rPr>
      </w:pPr>
      <w:r>
        <w:rPr>
          <w:rFonts w:hint="eastAsia" w:ascii="宋体" w:hAnsi="宋体"/>
          <w:color w:val="auto"/>
          <w:szCs w:val="21"/>
        </w:rPr>
        <w:t>项目名称：</w:t>
      </w:r>
      <w:r>
        <w:rPr>
          <w:rFonts w:hint="eastAsia" w:ascii="宋体" w:hAnsi="宋体"/>
          <w:color w:val="auto"/>
          <w:szCs w:val="21"/>
          <w:lang w:eastAsia="zh-CN"/>
        </w:rPr>
        <w:t>2025年度广西数字法院运维服务项目</w:t>
      </w:r>
    </w:p>
    <w:p w14:paraId="0BFCB3F3">
      <w:pPr>
        <w:keepNext w:val="0"/>
        <w:keepLines w:val="0"/>
        <w:pageBreakBefore w:val="0"/>
        <w:kinsoku/>
        <w:overflowPunct/>
        <w:bidi w:val="0"/>
        <w:spacing w:line="360" w:lineRule="auto"/>
        <w:ind w:firstLine="420" w:firstLineChars="200"/>
        <w:rPr>
          <w:rFonts w:ascii="宋体" w:hAnsi="宋体"/>
          <w:color w:val="auto"/>
          <w:szCs w:val="21"/>
        </w:rPr>
      </w:pPr>
      <w:r>
        <w:rPr>
          <w:rFonts w:hint="eastAsia" w:ascii="宋体" w:hAnsi="宋体"/>
          <w:color w:val="auto"/>
          <w:szCs w:val="21"/>
        </w:rPr>
        <w:t>预算总金额：人民币</w:t>
      </w:r>
      <w:r>
        <w:rPr>
          <w:rFonts w:hint="eastAsia" w:ascii="宋体" w:hAnsi="宋体"/>
          <w:color w:val="auto"/>
          <w:szCs w:val="21"/>
          <w:lang w:val="en-US" w:eastAsia="zh-CN"/>
        </w:rPr>
        <w:t>909.53万</w:t>
      </w:r>
      <w:r>
        <w:rPr>
          <w:rFonts w:hint="eastAsia" w:ascii="宋体" w:hAnsi="宋体"/>
          <w:color w:val="auto"/>
          <w:szCs w:val="21"/>
        </w:rPr>
        <w:t>元</w:t>
      </w:r>
    </w:p>
    <w:p w14:paraId="6A4A1204">
      <w:pPr>
        <w:keepNext w:val="0"/>
        <w:keepLines w:val="0"/>
        <w:pageBreakBefore w:val="0"/>
        <w:kinsoku/>
        <w:overflowPunct/>
        <w:bidi w:val="0"/>
        <w:spacing w:line="360" w:lineRule="auto"/>
        <w:ind w:firstLine="420" w:firstLineChars="200"/>
        <w:rPr>
          <w:rFonts w:hint="default" w:ascii="宋体" w:hAnsi="宋体" w:eastAsia="宋体"/>
          <w:color w:val="auto"/>
          <w:szCs w:val="21"/>
          <w:lang w:val="en-US" w:eastAsia="zh-CN"/>
        </w:rPr>
      </w:pPr>
      <w:r>
        <w:rPr>
          <w:rFonts w:hint="eastAsia" w:ascii="宋体" w:hAnsi="宋体"/>
          <w:color w:val="auto"/>
          <w:szCs w:val="21"/>
        </w:rPr>
        <w:t>最高限价</w:t>
      </w:r>
      <w:r>
        <w:rPr>
          <w:rFonts w:hint="eastAsia" w:ascii="宋体" w:hAnsi="宋体"/>
          <w:color w:val="auto"/>
          <w:szCs w:val="21"/>
          <w:lang w:eastAsia="zh-CN"/>
        </w:rPr>
        <w:t>（</w:t>
      </w:r>
      <w:r>
        <w:rPr>
          <w:rFonts w:hint="eastAsia" w:ascii="宋体" w:hAnsi="宋体"/>
          <w:color w:val="auto"/>
          <w:szCs w:val="21"/>
          <w:lang w:val="en-US" w:eastAsia="zh-CN"/>
        </w:rPr>
        <w:t>元</w:t>
      </w:r>
      <w:r>
        <w:rPr>
          <w:rFonts w:hint="eastAsia" w:ascii="宋体" w:hAnsi="宋体"/>
          <w:color w:val="auto"/>
          <w:szCs w:val="21"/>
          <w:lang w:eastAsia="zh-CN"/>
        </w:rPr>
        <w:t>）</w:t>
      </w:r>
      <w:r>
        <w:rPr>
          <w:rFonts w:hint="eastAsia" w:ascii="宋体" w:hAnsi="宋体"/>
          <w:color w:val="auto"/>
          <w:szCs w:val="21"/>
        </w:rPr>
        <w:t>：</w:t>
      </w:r>
      <w:r>
        <w:rPr>
          <w:rFonts w:hint="eastAsia" w:ascii="宋体" w:hAnsi="宋体"/>
          <w:color w:val="auto"/>
          <w:szCs w:val="21"/>
          <w:lang w:val="en-US" w:eastAsia="zh-CN"/>
        </w:rPr>
        <w:t>同采购预算一致</w:t>
      </w:r>
    </w:p>
    <w:p w14:paraId="20ABB984">
      <w:pPr>
        <w:keepNext w:val="0"/>
        <w:keepLines w:val="0"/>
        <w:pageBreakBefore w:val="0"/>
        <w:kinsoku/>
        <w:overflowPunct/>
        <w:bidi w:val="0"/>
        <w:spacing w:line="360" w:lineRule="auto"/>
        <w:ind w:firstLine="420" w:firstLineChars="200"/>
        <w:rPr>
          <w:rFonts w:hint="default" w:ascii="宋体" w:hAnsi="宋体" w:eastAsia="宋体"/>
          <w:color w:val="auto"/>
          <w:szCs w:val="21"/>
          <w:lang w:val="en-US" w:eastAsia="zh-CN"/>
        </w:rPr>
      </w:pPr>
      <w:r>
        <w:rPr>
          <w:rFonts w:hint="eastAsia" w:ascii="宋体" w:hAnsi="宋体"/>
          <w:color w:val="auto"/>
          <w:szCs w:val="21"/>
          <w:lang w:val="en-US" w:eastAsia="zh-CN"/>
        </w:rPr>
        <w:t>数量：8项</w:t>
      </w:r>
    </w:p>
    <w:p w14:paraId="5C153C4E">
      <w:pPr>
        <w:pStyle w:val="13"/>
        <w:keepNext w:val="0"/>
        <w:keepLines w:val="0"/>
        <w:pageBreakBefore w:val="0"/>
        <w:kinsoku/>
        <w:overflowPunct/>
        <w:bidi w:val="0"/>
        <w:spacing w:line="360" w:lineRule="auto"/>
        <w:ind w:left="0" w:right="34" w:firstLine="420" w:firstLineChars="200"/>
        <w:rPr>
          <w:rFonts w:hint="default" w:ascii="宋体" w:hAnsi="宋体" w:eastAsia="宋体"/>
          <w:bCs/>
          <w:color w:val="auto"/>
          <w:szCs w:val="21"/>
          <w:lang w:val="en-US" w:eastAsia="zh-CN"/>
        </w:rPr>
      </w:pPr>
      <w:r>
        <w:rPr>
          <w:rFonts w:hint="eastAsia" w:ascii="宋体" w:hAnsi="宋体"/>
          <w:bCs/>
          <w:color w:val="auto"/>
          <w:szCs w:val="21"/>
        </w:rPr>
        <w:t>简要规格描述或项目基本概况介绍、用途</w:t>
      </w:r>
      <w:r>
        <w:rPr>
          <w:rFonts w:hint="eastAsia" w:ascii="宋体" w:hAnsi="宋体"/>
          <w:bCs/>
          <w:color w:val="auto"/>
          <w:szCs w:val="21"/>
          <w:lang w:eastAsia="zh-CN"/>
        </w:rPr>
        <w:t>：运维管理</w:t>
      </w:r>
      <w:r>
        <w:rPr>
          <w:rFonts w:hint="eastAsia" w:ascii="宋体" w:hAnsi="宋体"/>
          <w:bCs/>
          <w:color w:val="auto"/>
          <w:szCs w:val="21"/>
          <w:lang w:val="en-US" w:eastAsia="zh-CN"/>
        </w:rPr>
        <w:t>1项</w:t>
      </w:r>
      <w:r>
        <w:rPr>
          <w:rFonts w:hint="eastAsia" w:ascii="宋体" w:hAnsi="宋体"/>
          <w:bCs/>
          <w:color w:val="auto"/>
          <w:szCs w:val="21"/>
          <w:lang w:eastAsia="zh-CN"/>
        </w:rPr>
        <w:t>、一张网运维（高院驻点）</w:t>
      </w:r>
      <w:r>
        <w:rPr>
          <w:rFonts w:hint="eastAsia" w:ascii="宋体" w:hAnsi="宋体"/>
          <w:bCs/>
          <w:color w:val="auto"/>
          <w:szCs w:val="21"/>
          <w:lang w:val="en-US" w:eastAsia="zh-CN"/>
        </w:rPr>
        <w:t>1项</w:t>
      </w:r>
      <w:r>
        <w:rPr>
          <w:rFonts w:hint="eastAsia" w:ascii="宋体" w:hAnsi="宋体"/>
          <w:bCs/>
          <w:color w:val="auto"/>
          <w:szCs w:val="21"/>
          <w:lang w:eastAsia="zh-CN"/>
        </w:rPr>
        <w:t>、一张网运维（中院驻点）</w:t>
      </w:r>
      <w:r>
        <w:rPr>
          <w:rFonts w:hint="eastAsia" w:ascii="宋体" w:hAnsi="宋体"/>
          <w:bCs/>
          <w:color w:val="auto"/>
          <w:szCs w:val="21"/>
          <w:lang w:val="en-US" w:eastAsia="zh-CN"/>
        </w:rPr>
        <w:t>1项</w:t>
      </w:r>
      <w:r>
        <w:rPr>
          <w:rFonts w:hint="eastAsia" w:ascii="宋体" w:hAnsi="宋体"/>
          <w:bCs/>
          <w:color w:val="auto"/>
          <w:szCs w:val="21"/>
          <w:lang w:eastAsia="zh-CN"/>
        </w:rPr>
        <w:t>、本地保留系统运维</w:t>
      </w:r>
      <w:r>
        <w:rPr>
          <w:rFonts w:hint="eastAsia" w:ascii="宋体" w:hAnsi="宋体"/>
          <w:bCs/>
          <w:color w:val="auto"/>
          <w:szCs w:val="21"/>
          <w:lang w:val="en-US" w:eastAsia="zh-CN"/>
        </w:rPr>
        <w:t>1项</w:t>
      </w:r>
      <w:r>
        <w:rPr>
          <w:rFonts w:hint="eastAsia" w:ascii="宋体" w:hAnsi="宋体"/>
          <w:bCs/>
          <w:color w:val="auto"/>
          <w:szCs w:val="21"/>
          <w:lang w:eastAsia="zh-CN"/>
        </w:rPr>
        <w:t>、中心机房及网络运维</w:t>
      </w:r>
      <w:r>
        <w:rPr>
          <w:rFonts w:hint="eastAsia" w:ascii="宋体" w:hAnsi="宋体"/>
          <w:bCs/>
          <w:color w:val="auto"/>
          <w:szCs w:val="21"/>
          <w:lang w:val="en-US" w:eastAsia="zh-CN"/>
        </w:rPr>
        <w:t>1项</w:t>
      </w:r>
      <w:r>
        <w:rPr>
          <w:rFonts w:hint="eastAsia" w:ascii="宋体" w:hAnsi="宋体"/>
          <w:bCs/>
          <w:color w:val="auto"/>
          <w:szCs w:val="21"/>
          <w:lang w:eastAsia="zh-CN"/>
        </w:rPr>
        <w:t>、高院机关运维</w:t>
      </w:r>
      <w:r>
        <w:rPr>
          <w:rFonts w:hint="eastAsia" w:ascii="宋体" w:hAnsi="宋体"/>
          <w:bCs/>
          <w:color w:val="auto"/>
          <w:szCs w:val="21"/>
          <w:lang w:val="en-US" w:eastAsia="zh-CN"/>
        </w:rPr>
        <w:t>1项</w:t>
      </w:r>
      <w:r>
        <w:rPr>
          <w:rFonts w:hint="eastAsia" w:ascii="宋体" w:hAnsi="宋体"/>
          <w:bCs/>
          <w:color w:val="auto"/>
          <w:szCs w:val="21"/>
          <w:lang w:eastAsia="zh-CN"/>
        </w:rPr>
        <w:t>、网络安全运维</w:t>
      </w:r>
      <w:r>
        <w:rPr>
          <w:rFonts w:hint="eastAsia" w:ascii="宋体" w:hAnsi="宋体"/>
          <w:bCs/>
          <w:color w:val="auto"/>
          <w:szCs w:val="21"/>
          <w:lang w:val="en-US" w:eastAsia="zh-CN"/>
        </w:rPr>
        <w:t>1项</w:t>
      </w:r>
      <w:r>
        <w:rPr>
          <w:rFonts w:hint="eastAsia" w:ascii="宋体" w:hAnsi="宋体"/>
          <w:bCs/>
          <w:color w:val="auto"/>
          <w:szCs w:val="21"/>
          <w:lang w:eastAsia="zh-CN"/>
        </w:rPr>
        <w:t>、专项保障服务</w:t>
      </w:r>
      <w:r>
        <w:rPr>
          <w:rFonts w:hint="eastAsia" w:ascii="宋体" w:hAnsi="宋体"/>
          <w:bCs/>
          <w:color w:val="auto"/>
          <w:szCs w:val="21"/>
          <w:lang w:val="en-US" w:eastAsia="zh-CN"/>
        </w:rPr>
        <w:t>1项等，如需进一步了解详细内容，详见招标文件。</w:t>
      </w:r>
    </w:p>
    <w:p w14:paraId="0A604EB0">
      <w:pPr>
        <w:pStyle w:val="13"/>
        <w:keepNext w:val="0"/>
        <w:keepLines w:val="0"/>
        <w:pageBreakBefore w:val="0"/>
        <w:kinsoku/>
        <w:overflowPunct/>
        <w:bidi w:val="0"/>
        <w:spacing w:line="360" w:lineRule="auto"/>
        <w:ind w:left="0" w:right="34" w:firstLine="420" w:firstLineChars="200"/>
        <w:rPr>
          <w:rFonts w:hint="default" w:ascii="宋体" w:hAnsi="宋体" w:eastAsia="宋体"/>
          <w:bCs/>
          <w:color w:val="auto"/>
          <w:szCs w:val="21"/>
          <w:lang w:val="en-US" w:eastAsia="zh-CN"/>
        </w:rPr>
      </w:pPr>
      <w:r>
        <w:rPr>
          <w:rFonts w:hint="eastAsia" w:ascii="宋体" w:hAnsi="宋体"/>
          <w:bCs/>
          <w:color w:val="auto"/>
          <w:szCs w:val="21"/>
          <w:lang w:val="en-US" w:eastAsia="zh-CN"/>
        </w:rPr>
        <w:t>合同履行期限：</w:t>
      </w:r>
      <w:r>
        <w:rPr>
          <w:rFonts w:hint="eastAsia" w:ascii="宋体" w:hAnsi="宋体"/>
          <w:bCs/>
          <w:color w:val="FF0000"/>
          <w:szCs w:val="21"/>
          <w:lang w:val="en-US" w:eastAsia="zh-CN"/>
        </w:rPr>
        <w:t>1年。</w:t>
      </w:r>
    </w:p>
    <w:p w14:paraId="547AA91E">
      <w:pPr>
        <w:pStyle w:val="13"/>
        <w:keepNext w:val="0"/>
        <w:keepLines w:val="0"/>
        <w:pageBreakBefore w:val="0"/>
        <w:kinsoku/>
        <w:overflowPunct/>
        <w:bidi w:val="0"/>
        <w:spacing w:line="360" w:lineRule="auto"/>
        <w:ind w:left="0" w:right="34" w:firstLine="420" w:firstLineChars="200"/>
        <w:rPr>
          <w:rFonts w:ascii="宋体" w:hAnsi="宋体"/>
          <w:bCs/>
          <w:color w:val="auto"/>
          <w:szCs w:val="21"/>
        </w:rPr>
      </w:pPr>
      <w:r>
        <w:rPr>
          <w:rFonts w:ascii="宋体" w:hAnsi="宋体"/>
          <w:bCs/>
          <w:color w:val="auto"/>
          <w:szCs w:val="21"/>
        </w:rPr>
        <w:t>本项目</w:t>
      </w:r>
      <w:r>
        <w:rPr>
          <w:rFonts w:hint="eastAsia" w:ascii="宋体" w:hAnsi="宋体"/>
          <w:bCs/>
          <w:color w:val="FF0000"/>
          <w:szCs w:val="21"/>
          <w:lang w:val="en-US" w:eastAsia="zh-CN"/>
        </w:rPr>
        <w:t>不</w:t>
      </w:r>
      <w:r>
        <w:rPr>
          <w:rFonts w:ascii="宋体" w:hAnsi="宋体"/>
          <w:bCs/>
          <w:color w:val="FF0000"/>
          <w:szCs w:val="21"/>
        </w:rPr>
        <w:t>接受</w:t>
      </w:r>
      <w:r>
        <w:rPr>
          <w:rFonts w:ascii="宋体" w:hAnsi="宋体"/>
          <w:bCs/>
          <w:color w:val="auto"/>
          <w:szCs w:val="21"/>
        </w:rPr>
        <w:t>联合体投标。</w:t>
      </w:r>
    </w:p>
    <w:p w14:paraId="15BC6C1A">
      <w:pPr>
        <w:pStyle w:val="13"/>
        <w:keepNext w:val="0"/>
        <w:keepLines w:val="0"/>
        <w:pageBreakBefore w:val="0"/>
        <w:kinsoku/>
        <w:overflowPunct/>
        <w:bidi w:val="0"/>
        <w:spacing w:line="360" w:lineRule="auto"/>
        <w:ind w:left="0" w:right="34" w:firstLine="420" w:firstLineChars="200"/>
        <w:rPr>
          <w:rFonts w:ascii="宋体" w:hAnsi="宋体"/>
          <w:bCs/>
          <w:color w:val="auto"/>
          <w:szCs w:val="21"/>
        </w:rPr>
      </w:pPr>
      <w:r>
        <w:rPr>
          <w:rFonts w:ascii="宋体" w:hAnsi="宋体"/>
          <w:bCs/>
          <w:color w:val="auto"/>
          <w:szCs w:val="21"/>
        </w:rPr>
        <w:t>备注：本项目为线上电子招标项目，有意向参与本项目的供应商应当做好参与全流程电子招投标交易的充分准备。</w:t>
      </w:r>
    </w:p>
    <w:p w14:paraId="3C1EA338">
      <w:pPr>
        <w:pStyle w:val="13"/>
        <w:keepNext w:val="0"/>
        <w:keepLines w:val="0"/>
        <w:pageBreakBefore w:val="0"/>
        <w:kinsoku/>
        <w:overflowPunct/>
        <w:bidi w:val="0"/>
        <w:spacing w:line="360" w:lineRule="auto"/>
        <w:ind w:left="0"/>
        <w:rPr>
          <w:rFonts w:ascii="宋体" w:hAnsi="宋体"/>
          <w:b/>
          <w:color w:val="auto"/>
          <w:szCs w:val="21"/>
        </w:rPr>
      </w:pPr>
      <w:bookmarkStart w:id="4" w:name="_Toc28359003"/>
      <w:bookmarkStart w:id="5" w:name="_Toc35393622"/>
      <w:bookmarkStart w:id="6" w:name="_Toc28359080"/>
      <w:bookmarkStart w:id="7" w:name="_Toc35393791"/>
      <w:r>
        <w:rPr>
          <w:rFonts w:ascii="宋体" w:hAnsi="宋体"/>
          <w:b/>
          <w:color w:val="auto"/>
          <w:szCs w:val="21"/>
        </w:rPr>
        <w:t>二、申请人的资格要求：</w:t>
      </w:r>
      <w:bookmarkEnd w:id="4"/>
      <w:bookmarkEnd w:id="5"/>
      <w:bookmarkEnd w:id="6"/>
      <w:bookmarkEnd w:id="7"/>
    </w:p>
    <w:p w14:paraId="2D5F5ECB">
      <w:pPr>
        <w:pStyle w:val="13"/>
        <w:keepNext w:val="0"/>
        <w:keepLines w:val="0"/>
        <w:pageBreakBefore w:val="0"/>
        <w:kinsoku/>
        <w:overflowPunct/>
        <w:bidi w:val="0"/>
        <w:spacing w:line="360" w:lineRule="auto"/>
        <w:ind w:left="0" w:right="34" w:firstLine="420" w:firstLineChars="200"/>
        <w:rPr>
          <w:rFonts w:ascii="宋体" w:hAnsi="宋体"/>
          <w:bCs/>
          <w:color w:val="auto"/>
          <w:szCs w:val="21"/>
        </w:rPr>
      </w:pPr>
      <w:bookmarkStart w:id="8" w:name="_Hlk51746371"/>
      <w:r>
        <w:rPr>
          <w:rFonts w:ascii="宋体" w:hAnsi="宋体"/>
          <w:bCs/>
          <w:color w:val="auto"/>
          <w:szCs w:val="21"/>
        </w:rPr>
        <w:t>1.满足《中华人民共和国政府采购法》第二十二条规定；</w:t>
      </w:r>
    </w:p>
    <w:p w14:paraId="5B1F0F10">
      <w:pPr>
        <w:pStyle w:val="13"/>
        <w:keepNext w:val="0"/>
        <w:keepLines w:val="0"/>
        <w:pageBreakBefore w:val="0"/>
        <w:kinsoku/>
        <w:overflowPunct/>
        <w:bidi w:val="0"/>
        <w:spacing w:line="360" w:lineRule="auto"/>
        <w:ind w:left="0" w:right="34" w:firstLine="420" w:firstLineChars="200"/>
        <w:rPr>
          <w:rFonts w:hint="eastAsia" w:ascii="宋体" w:hAnsi="宋体" w:eastAsia="宋体"/>
          <w:bCs/>
          <w:color w:val="auto"/>
          <w:szCs w:val="21"/>
          <w:lang w:val="en-US" w:eastAsia="zh-CN"/>
        </w:rPr>
      </w:pPr>
      <w:bookmarkStart w:id="9" w:name="_Toc28359004"/>
      <w:bookmarkStart w:id="10" w:name="_Toc28359081"/>
      <w:r>
        <w:rPr>
          <w:rFonts w:ascii="宋体" w:hAnsi="宋体"/>
          <w:bCs/>
          <w:color w:val="auto"/>
          <w:szCs w:val="21"/>
        </w:rPr>
        <w:t>2.落实政府采购政策需满足的资格要求：</w:t>
      </w:r>
      <w:r>
        <w:rPr>
          <w:rFonts w:hint="eastAsia" w:ascii="宋体" w:hAnsi="宋体"/>
          <w:bCs/>
          <w:color w:val="auto"/>
          <w:szCs w:val="21"/>
          <w:lang w:val="en-US" w:eastAsia="zh-CN"/>
        </w:rPr>
        <w:t>无</w:t>
      </w:r>
    </w:p>
    <w:p w14:paraId="4BFAD978">
      <w:pPr>
        <w:pStyle w:val="13"/>
        <w:keepNext w:val="0"/>
        <w:keepLines w:val="0"/>
        <w:pageBreakBefore w:val="0"/>
        <w:kinsoku/>
        <w:overflowPunct/>
        <w:bidi w:val="0"/>
        <w:spacing w:line="360" w:lineRule="auto"/>
        <w:ind w:left="0" w:right="34" w:firstLine="420" w:firstLineChars="200"/>
        <w:rPr>
          <w:rFonts w:ascii="宋体" w:hAnsi="宋体"/>
          <w:bCs/>
          <w:color w:val="auto"/>
          <w:szCs w:val="21"/>
        </w:rPr>
      </w:pPr>
      <w:r>
        <w:rPr>
          <w:rFonts w:ascii="宋体" w:hAnsi="宋体"/>
          <w:bCs/>
          <w:color w:val="auto"/>
          <w:szCs w:val="21"/>
        </w:rPr>
        <w:t>3.本项目的特定资格要求：无</w:t>
      </w:r>
      <w:r>
        <w:rPr>
          <w:rFonts w:hint="eastAsia" w:ascii="宋体" w:hAnsi="宋体"/>
          <w:bCs/>
          <w:color w:val="auto"/>
          <w:szCs w:val="21"/>
        </w:rPr>
        <w:t>；</w:t>
      </w:r>
    </w:p>
    <w:p w14:paraId="19B494B7">
      <w:pPr>
        <w:pStyle w:val="13"/>
        <w:keepNext w:val="0"/>
        <w:keepLines w:val="0"/>
        <w:pageBreakBefore w:val="0"/>
        <w:kinsoku/>
        <w:overflowPunct/>
        <w:bidi w:val="0"/>
        <w:spacing w:line="360" w:lineRule="auto"/>
        <w:ind w:left="0" w:right="34" w:firstLine="420" w:firstLineChars="200"/>
        <w:rPr>
          <w:rFonts w:ascii="宋体" w:hAnsi="宋体"/>
          <w:bCs/>
          <w:color w:val="auto"/>
          <w:szCs w:val="21"/>
        </w:rPr>
      </w:pPr>
      <w:r>
        <w:rPr>
          <w:rFonts w:ascii="宋体" w:hAnsi="宋体"/>
          <w:bCs/>
          <w:color w:val="auto"/>
          <w:szCs w:val="21"/>
        </w:rPr>
        <w:t>4.单位负责人为同一人或者存在直接控股、管理关系的不同</w:t>
      </w:r>
      <w:r>
        <w:rPr>
          <w:rFonts w:hint="eastAsia" w:ascii="宋体" w:hAnsi="宋体"/>
          <w:bCs/>
          <w:color w:val="auto"/>
          <w:szCs w:val="21"/>
          <w:lang w:eastAsia="zh-CN"/>
        </w:rPr>
        <w:t>投标人</w:t>
      </w:r>
      <w:r>
        <w:rPr>
          <w:rFonts w:ascii="宋体" w:hAnsi="宋体"/>
          <w:bCs/>
          <w:color w:val="auto"/>
          <w:szCs w:val="21"/>
        </w:rPr>
        <w:t>，不得参加同一合同项下的政府采购活动；</w:t>
      </w:r>
    </w:p>
    <w:p w14:paraId="261849E8">
      <w:pPr>
        <w:pStyle w:val="13"/>
        <w:keepNext w:val="0"/>
        <w:keepLines w:val="0"/>
        <w:pageBreakBefore w:val="0"/>
        <w:kinsoku/>
        <w:wordWrap w:val="0"/>
        <w:overflowPunct/>
        <w:bidi w:val="0"/>
        <w:spacing w:line="360" w:lineRule="auto"/>
        <w:ind w:left="0" w:right="34" w:firstLine="420" w:firstLineChars="200"/>
        <w:rPr>
          <w:rFonts w:ascii="宋体" w:hAnsi="宋体"/>
          <w:bCs/>
          <w:color w:val="auto"/>
          <w:szCs w:val="21"/>
        </w:rPr>
      </w:pPr>
      <w:r>
        <w:rPr>
          <w:rFonts w:ascii="宋体" w:hAnsi="宋体"/>
          <w:bCs/>
          <w:color w:val="auto"/>
          <w:szCs w:val="21"/>
        </w:rPr>
        <w:t>5.对在“信用中国”网站（www.creditchina.gov.cn</w:t>
      </w:r>
      <w:r>
        <w:rPr>
          <w:rFonts w:hint="eastAsia" w:ascii="宋体" w:hAnsi="宋体"/>
          <w:bCs/>
          <w:color w:val="auto"/>
          <w:szCs w:val="21"/>
        </w:rPr>
        <w:t>）</w:t>
      </w:r>
      <w:r>
        <w:rPr>
          <w:rFonts w:ascii="宋体" w:hAnsi="宋体"/>
          <w:bCs/>
          <w:color w:val="auto"/>
          <w:szCs w:val="21"/>
        </w:rPr>
        <w:t>、中国政府采购网（www.ccgp.gov.cn）等渠道列入失信被执行人、重大税收违法案件当事人名单、政府采购严重违法失信行为记录名单及其他不符合《中华人民共和国政府采购法》第二十二条规定条件的</w:t>
      </w:r>
      <w:r>
        <w:rPr>
          <w:rFonts w:hint="eastAsia" w:ascii="宋体" w:hAnsi="宋体"/>
          <w:bCs/>
          <w:color w:val="auto"/>
          <w:szCs w:val="21"/>
          <w:lang w:eastAsia="zh-CN"/>
        </w:rPr>
        <w:t>投标人</w:t>
      </w:r>
      <w:r>
        <w:rPr>
          <w:rFonts w:ascii="宋体" w:hAnsi="宋体"/>
          <w:bCs/>
          <w:color w:val="auto"/>
          <w:szCs w:val="21"/>
        </w:rPr>
        <w:t>，不得参与本项目采购活动。</w:t>
      </w:r>
    </w:p>
    <w:bookmarkEnd w:id="8"/>
    <w:p w14:paraId="5DDE1BF9">
      <w:pPr>
        <w:pStyle w:val="13"/>
        <w:keepNext w:val="0"/>
        <w:keepLines w:val="0"/>
        <w:pageBreakBefore w:val="0"/>
        <w:kinsoku/>
        <w:overflowPunct/>
        <w:bidi w:val="0"/>
        <w:spacing w:line="360" w:lineRule="auto"/>
        <w:ind w:left="0"/>
        <w:rPr>
          <w:rFonts w:ascii="宋体" w:hAnsi="宋体"/>
          <w:b/>
          <w:color w:val="auto"/>
          <w:szCs w:val="21"/>
        </w:rPr>
      </w:pPr>
      <w:bookmarkStart w:id="11" w:name="_Toc35393623"/>
      <w:bookmarkStart w:id="12" w:name="_Toc35393792"/>
      <w:r>
        <w:rPr>
          <w:rFonts w:ascii="宋体" w:hAnsi="宋体"/>
          <w:b/>
          <w:color w:val="auto"/>
          <w:szCs w:val="21"/>
        </w:rPr>
        <w:t>三、获取招标文件</w:t>
      </w:r>
      <w:bookmarkEnd w:id="9"/>
      <w:bookmarkEnd w:id="10"/>
      <w:bookmarkEnd w:id="11"/>
      <w:bookmarkEnd w:id="12"/>
    </w:p>
    <w:p w14:paraId="2C32437B">
      <w:pPr>
        <w:pStyle w:val="13"/>
        <w:keepNext w:val="0"/>
        <w:keepLines w:val="0"/>
        <w:pageBreakBefore w:val="0"/>
        <w:kinsoku/>
        <w:overflowPunct/>
        <w:bidi w:val="0"/>
        <w:spacing w:line="360" w:lineRule="auto"/>
        <w:ind w:left="0" w:right="34" w:firstLine="420" w:firstLineChars="200"/>
        <w:rPr>
          <w:rFonts w:ascii="宋体" w:hAnsi="宋体"/>
          <w:bCs/>
          <w:color w:val="auto"/>
          <w:szCs w:val="21"/>
        </w:rPr>
      </w:pPr>
      <w:r>
        <w:rPr>
          <w:rFonts w:ascii="宋体" w:hAnsi="宋体"/>
          <w:bCs/>
          <w:color w:val="auto"/>
          <w:szCs w:val="21"/>
        </w:rPr>
        <w:t>时间：</w:t>
      </w:r>
      <w:r>
        <w:rPr>
          <w:rFonts w:hint="eastAsia" w:ascii="宋体" w:hAnsi="宋体"/>
          <w:bCs/>
          <w:color w:val="auto"/>
          <w:szCs w:val="21"/>
          <w:lang w:val="en-US" w:eastAsia="zh-CN"/>
        </w:rPr>
        <w:t xml:space="preserve">   </w:t>
      </w:r>
      <w:r>
        <w:rPr>
          <w:rFonts w:ascii="宋体" w:hAnsi="宋体"/>
          <w:bCs/>
          <w:color w:val="auto"/>
          <w:szCs w:val="21"/>
        </w:rPr>
        <w:t>年</w:t>
      </w:r>
      <w:r>
        <w:rPr>
          <w:rFonts w:hint="eastAsia" w:ascii="宋体" w:hAnsi="宋体"/>
          <w:bCs/>
          <w:color w:val="auto"/>
          <w:szCs w:val="21"/>
          <w:lang w:val="en-US" w:eastAsia="zh-CN"/>
        </w:rPr>
        <w:t xml:space="preserve">   </w:t>
      </w:r>
      <w:r>
        <w:rPr>
          <w:rFonts w:ascii="宋体" w:hAnsi="宋体"/>
          <w:bCs/>
          <w:color w:val="auto"/>
          <w:szCs w:val="21"/>
        </w:rPr>
        <w:t>月</w:t>
      </w:r>
      <w:r>
        <w:rPr>
          <w:rFonts w:hint="eastAsia" w:ascii="宋体" w:hAnsi="宋体"/>
          <w:bCs/>
          <w:color w:val="auto"/>
          <w:szCs w:val="21"/>
          <w:lang w:val="en-US" w:eastAsia="zh-CN"/>
        </w:rPr>
        <w:t xml:space="preserve">   </w:t>
      </w:r>
      <w:r>
        <w:rPr>
          <w:rFonts w:ascii="宋体" w:hAnsi="宋体"/>
          <w:bCs/>
          <w:color w:val="auto"/>
          <w:szCs w:val="21"/>
        </w:rPr>
        <w:t>日至</w:t>
      </w:r>
      <w:r>
        <w:rPr>
          <w:rFonts w:hint="eastAsia" w:ascii="宋体" w:hAnsi="宋体"/>
          <w:bCs/>
          <w:color w:val="auto"/>
          <w:szCs w:val="21"/>
          <w:lang w:val="en-US" w:eastAsia="zh-CN"/>
        </w:rPr>
        <w:t xml:space="preserve">   年   </w:t>
      </w:r>
      <w:r>
        <w:rPr>
          <w:rFonts w:ascii="宋体" w:hAnsi="宋体"/>
          <w:bCs/>
          <w:color w:val="auto"/>
          <w:szCs w:val="21"/>
        </w:rPr>
        <w:t>月</w:t>
      </w:r>
      <w:r>
        <w:rPr>
          <w:rFonts w:hint="eastAsia" w:ascii="宋体" w:hAnsi="宋体"/>
          <w:bCs/>
          <w:color w:val="auto"/>
          <w:szCs w:val="21"/>
          <w:lang w:val="en-US" w:eastAsia="zh-CN"/>
        </w:rPr>
        <w:t xml:space="preserve">   </w:t>
      </w:r>
      <w:r>
        <w:rPr>
          <w:rFonts w:ascii="宋体" w:hAnsi="宋体"/>
          <w:bCs/>
          <w:color w:val="auto"/>
          <w:szCs w:val="21"/>
        </w:rPr>
        <w:t>日，每天上午0：00至1</w:t>
      </w:r>
      <w:r>
        <w:rPr>
          <w:rFonts w:hint="eastAsia" w:ascii="宋体" w:hAnsi="宋体"/>
          <w:bCs/>
          <w:color w:val="auto"/>
          <w:szCs w:val="21"/>
          <w:lang w:val="en-US" w:eastAsia="zh-CN"/>
        </w:rPr>
        <w:t>1</w:t>
      </w:r>
      <w:r>
        <w:rPr>
          <w:rFonts w:ascii="宋体" w:hAnsi="宋体"/>
          <w:bCs/>
          <w:color w:val="auto"/>
          <w:szCs w:val="21"/>
        </w:rPr>
        <w:t>:</w:t>
      </w:r>
      <w:r>
        <w:rPr>
          <w:rFonts w:hint="eastAsia" w:ascii="宋体" w:hAnsi="宋体"/>
          <w:bCs/>
          <w:color w:val="auto"/>
          <w:szCs w:val="21"/>
          <w:lang w:val="en-US" w:eastAsia="zh-CN"/>
        </w:rPr>
        <w:t>59</w:t>
      </w:r>
      <w:r>
        <w:rPr>
          <w:rFonts w:ascii="宋体" w:hAnsi="宋体"/>
          <w:bCs/>
          <w:color w:val="auto"/>
          <w:szCs w:val="21"/>
        </w:rPr>
        <w:t>，下午12:00至23:59（北京时间）</w:t>
      </w:r>
    </w:p>
    <w:p w14:paraId="7F349016">
      <w:pPr>
        <w:pStyle w:val="13"/>
        <w:keepNext w:val="0"/>
        <w:keepLines w:val="0"/>
        <w:pageBreakBefore w:val="0"/>
        <w:kinsoku/>
        <w:overflowPunct/>
        <w:bidi w:val="0"/>
        <w:spacing w:line="360" w:lineRule="auto"/>
        <w:ind w:left="0" w:right="34" w:firstLine="420" w:firstLineChars="200"/>
        <w:rPr>
          <w:rFonts w:ascii="宋体" w:hAnsi="宋体"/>
          <w:bCs/>
          <w:color w:val="auto"/>
          <w:szCs w:val="21"/>
        </w:rPr>
      </w:pPr>
      <w:r>
        <w:rPr>
          <w:rFonts w:ascii="宋体" w:hAnsi="宋体"/>
          <w:bCs/>
          <w:color w:val="auto"/>
          <w:szCs w:val="21"/>
        </w:rPr>
        <w:t>地点：</w:t>
      </w:r>
      <w:r>
        <w:rPr>
          <w:rFonts w:hint="eastAsia" w:ascii="宋体" w:hAnsi="宋体"/>
          <w:bCs/>
          <w:color w:val="auto"/>
          <w:szCs w:val="21"/>
        </w:rPr>
        <w:t>广西政府采购云平台（https://www.gcy.zfcg.gxzf.gov.cn/）</w:t>
      </w:r>
    </w:p>
    <w:p w14:paraId="5AFA2C39">
      <w:pPr>
        <w:pStyle w:val="13"/>
        <w:keepNext w:val="0"/>
        <w:keepLines w:val="0"/>
        <w:pageBreakBefore w:val="0"/>
        <w:widowControl w:val="0"/>
        <w:kinsoku/>
        <w:wordWrap w:val="0"/>
        <w:overflowPunct/>
        <w:topLinePunct/>
        <w:autoSpaceDE/>
        <w:autoSpaceDN/>
        <w:bidi w:val="0"/>
        <w:adjustRightInd w:val="0"/>
        <w:snapToGrid/>
        <w:spacing w:line="360" w:lineRule="auto"/>
        <w:ind w:left="0" w:right="34" w:firstLine="420" w:firstLineChars="200"/>
        <w:textAlignment w:val="baseline"/>
        <w:rPr>
          <w:rFonts w:hint="eastAsia" w:ascii="宋体" w:hAnsi="宋体"/>
          <w:bCs/>
          <w:color w:val="auto"/>
          <w:szCs w:val="21"/>
        </w:rPr>
      </w:pPr>
      <w:r>
        <w:rPr>
          <w:rFonts w:ascii="宋体" w:hAnsi="宋体"/>
          <w:bCs/>
          <w:color w:val="auto"/>
          <w:szCs w:val="21"/>
        </w:rPr>
        <w:t>方式</w:t>
      </w:r>
      <w:r>
        <w:rPr>
          <w:rFonts w:hint="eastAsia" w:ascii="宋体" w:hAnsi="宋体"/>
          <w:bCs/>
          <w:color w:val="auto"/>
          <w:szCs w:val="21"/>
        </w:rPr>
        <w:t>：网上下载。本项目不提供纸质文件，</w:t>
      </w:r>
      <w:r>
        <w:rPr>
          <w:rFonts w:hint="eastAsia" w:ascii="宋体" w:hAnsi="宋体"/>
          <w:bCs/>
          <w:color w:val="auto"/>
          <w:szCs w:val="21"/>
          <w:lang w:val="en-US" w:eastAsia="zh-CN"/>
        </w:rPr>
        <w:t>潜在</w:t>
      </w:r>
      <w:r>
        <w:rPr>
          <w:rFonts w:hint="eastAsia" w:ascii="宋体" w:hAnsi="宋体"/>
          <w:bCs/>
          <w:color w:val="auto"/>
          <w:szCs w:val="21"/>
        </w:rPr>
        <w:t>供应商登录广西政府采购云平台https://www.gcy.zfcg.gxzf.gov.cn/在线申请获取采购文件（进入“项目采购”应用，在获取采购文件菜单中选择项目，申请获取采购文件）。电子响应文件制作需要基于广西政府采购云平台获取的招标文件编制，通过其他方式获取招标文件的，将有可能导致供应商无法在广西政府采购云平台编制及上传响应文件。</w:t>
      </w:r>
    </w:p>
    <w:p w14:paraId="610D5D96">
      <w:pPr>
        <w:pStyle w:val="13"/>
        <w:keepNext w:val="0"/>
        <w:keepLines w:val="0"/>
        <w:pageBreakBefore w:val="0"/>
        <w:kinsoku/>
        <w:overflowPunct/>
        <w:bidi w:val="0"/>
        <w:spacing w:line="360" w:lineRule="auto"/>
        <w:ind w:left="0" w:right="34" w:firstLine="420" w:firstLineChars="200"/>
        <w:rPr>
          <w:rFonts w:hint="eastAsia" w:ascii="宋体" w:hAnsi="宋体"/>
          <w:bCs/>
          <w:color w:val="auto"/>
          <w:szCs w:val="21"/>
        </w:rPr>
      </w:pPr>
      <w:r>
        <w:rPr>
          <w:rFonts w:hint="eastAsia" w:ascii="宋体" w:hAnsi="宋体"/>
          <w:bCs/>
          <w:color w:val="auto"/>
          <w:szCs w:val="21"/>
        </w:rPr>
        <w:t>注：1.已获取采购文件的供应商不等于符合本项目的供应商资格条件。2.未在广西政府采购云平台注册的供应商可在获取采购文件后登录广西政府采购云平台（https://www.gcy.zfcg.gxzf.gov.cn/）进行注册，如在操作过程中遇到问题或者需要技术支持，请致电广西政府采购云平台客服热线：95763。</w:t>
      </w:r>
    </w:p>
    <w:p w14:paraId="6E7AF884">
      <w:pPr>
        <w:pStyle w:val="13"/>
        <w:keepNext w:val="0"/>
        <w:keepLines w:val="0"/>
        <w:pageBreakBefore w:val="0"/>
        <w:kinsoku/>
        <w:overflowPunct/>
        <w:bidi w:val="0"/>
        <w:spacing w:line="360" w:lineRule="auto"/>
        <w:ind w:left="0" w:right="34" w:firstLine="420" w:firstLineChars="200"/>
        <w:rPr>
          <w:rFonts w:ascii="宋体" w:hAnsi="宋体"/>
          <w:bCs/>
          <w:color w:val="auto"/>
          <w:szCs w:val="21"/>
        </w:rPr>
      </w:pPr>
      <w:r>
        <w:rPr>
          <w:rFonts w:ascii="宋体" w:hAnsi="宋体"/>
          <w:bCs/>
          <w:color w:val="auto"/>
          <w:szCs w:val="21"/>
        </w:rPr>
        <w:t>售价：0元</w:t>
      </w:r>
    </w:p>
    <w:p w14:paraId="549134C7">
      <w:pPr>
        <w:pStyle w:val="13"/>
        <w:keepNext w:val="0"/>
        <w:keepLines w:val="0"/>
        <w:pageBreakBefore w:val="0"/>
        <w:kinsoku/>
        <w:overflowPunct/>
        <w:bidi w:val="0"/>
        <w:spacing w:line="360" w:lineRule="auto"/>
        <w:ind w:left="0"/>
        <w:rPr>
          <w:rFonts w:ascii="宋体" w:hAnsi="宋体"/>
          <w:b/>
          <w:color w:val="auto"/>
          <w:szCs w:val="21"/>
        </w:rPr>
      </w:pPr>
      <w:bookmarkStart w:id="13" w:name="_Toc35393793"/>
      <w:bookmarkStart w:id="14" w:name="_Toc28359082"/>
      <w:bookmarkStart w:id="15" w:name="_Toc28359005"/>
      <w:bookmarkStart w:id="16" w:name="_Toc35393624"/>
      <w:r>
        <w:rPr>
          <w:rFonts w:ascii="宋体" w:hAnsi="宋体"/>
          <w:b/>
          <w:color w:val="auto"/>
          <w:szCs w:val="21"/>
        </w:rPr>
        <w:t>四、</w:t>
      </w:r>
      <w:r>
        <w:rPr>
          <w:rFonts w:hint="eastAsia" w:ascii="宋体" w:hAnsi="宋体"/>
          <w:b/>
          <w:color w:val="auto"/>
          <w:szCs w:val="21"/>
          <w:lang w:val="en-US" w:eastAsia="zh-CN"/>
        </w:rPr>
        <w:t>响应文件</w:t>
      </w:r>
      <w:r>
        <w:rPr>
          <w:rFonts w:ascii="宋体" w:hAnsi="宋体"/>
          <w:b/>
          <w:color w:val="auto"/>
          <w:szCs w:val="21"/>
        </w:rPr>
        <w:t>提交</w:t>
      </w:r>
      <w:bookmarkEnd w:id="13"/>
      <w:bookmarkEnd w:id="14"/>
      <w:bookmarkEnd w:id="15"/>
      <w:bookmarkEnd w:id="16"/>
    </w:p>
    <w:p w14:paraId="67E1CCE7">
      <w:pPr>
        <w:pStyle w:val="13"/>
        <w:keepNext w:val="0"/>
        <w:keepLines w:val="0"/>
        <w:pageBreakBefore w:val="0"/>
        <w:kinsoku/>
        <w:overflowPunct/>
        <w:bidi w:val="0"/>
        <w:spacing w:line="360" w:lineRule="auto"/>
        <w:ind w:left="0" w:right="34" w:firstLine="420" w:firstLineChars="200"/>
        <w:rPr>
          <w:rFonts w:ascii="宋体" w:hAnsi="宋体"/>
          <w:bCs/>
          <w:color w:val="auto"/>
          <w:szCs w:val="21"/>
        </w:rPr>
      </w:pPr>
      <w:bookmarkStart w:id="17" w:name="_Toc35393794"/>
      <w:bookmarkStart w:id="18" w:name="_Toc28359007"/>
      <w:bookmarkStart w:id="19" w:name="_Toc35393625"/>
      <w:bookmarkStart w:id="20" w:name="_Toc28359084"/>
      <w:r>
        <w:rPr>
          <w:rFonts w:hint="eastAsia" w:ascii="宋体" w:hAnsi="宋体"/>
          <w:bCs/>
          <w:color w:val="auto"/>
          <w:szCs w:val="21"/>
          <w:lang w:val="en-US" w:eastAsia="zh-CN"/>
        </w:rPr>
        <w:t>1.</w:t>
      </w:r>
      <w:r>
        <w:rPr>
          <w:rFonts w:hint="eastAsia" w:ascii="宋体" w:hAnsi="宋体"/>
          <w:bCs/>
          <w:color w:val="auto"/>
          <w:szCs w:val="21"/>
        </w:rPr>
        <w:t>截止时间、开标时间：</w:t>
      </w:r>
      <w:r>
        <w:rPr>
          <w:rFonts w:hint="eastAsia" w:ascii="宋体" w:hAnsi="宋体"/>
          <w:bCs/>
          <w:color w:val="auto"/>
          <w:szCs w:val="21"/>
          <w:lang w:val="en-US" w:eastAsia="zh-CN"/>
        </w:rPr>
        <w:t xml:space="preserve">   </w:t>
      </w:r>
      <w:r>
        <w:rPr>
          <w:rFonts w:hint="eastAsia" w:ascii="宋体" w:hAnsi="宋体"/>
          <w:bCs/>
          <w:color w:val="auto"/>
          <w:szCs w:val="21"/>
        </w:rPr>
        <w:t>年</w:t>
      </w:r>
      <w:r>
        <w:rPr>
          <w:rFonts w:hint="eastAsia" w:ascii="宋体" w:hAnsi="宋体"/>
          <w:bCs/>
          <w:color w:val="auto"/>
          <w:szCs w:val="21"/>
          <w:lang w:val="en-US" w:eastAsia="zh-CN"/>
        </w:rPr>
        <w:t xml:space="preserve">   </w:t>
      </w:r>
      <w:r>
        <w:rPr>
          <w:rFonts w:hint="eastAsia" w:ascii="宋体" w:hAnsi="宋体"/>
          <w:bCs/>
          <w:color w:val="auto"/>
          <w:szCs w:val="21"/>
        </w:rPr>
        <w:t>月</w:t>
      </w:r>
      <w:r>
        <w:rPr>
          <w:rFonts w:hint="eastAsia" w:ascii="宋体" w:hAnsi="宋体"/>
          <w:bCs/>
          <w:color w:val="auto"/>
          <w:szCs w:val="21"/>
          <w:lang w:val="en-US" w:eastAsia="zh-CN"/>
        </w:rPr>
        <w:t xml:space="preserve">   </w:t>
      </w:r>
      <w:r>
        <w:rPr>
          <w:rFonts w:hint="eastAsia" w:ascii="宋体" w:hAnsi="宋体"/>
          <w:bCs/>
          <w:color w:val="auto"/>
          <w:szCs w:val="21"/>
        </w:rPr>
        <w:t>日</w:t>
      </w:r>
      <w:r>
        <w:rPr>
          <w:rFonts w:hint="eastAsia" w:ascii="宋体" w:hAnsi="宋体"/>
          <w:bCs/>
          <w:color w:val="auto"/>
          <w:szCs w:val="21"/>
          <w:lang w:val="en-US" w:eastAsia="zh-CN"/>
        </w:rPr>
        <w:t xml:space="preserve">   </w:t>
      </w:r>
      <w:r>
        <w:rPr>
          <w:rFonts w:hint="eastAsia" w:ascii="宋体" w:hAnsi="宋体"/>
          <w:bCs/>
          <w:color w:val="auto"/>
          <w:szCs w:val="21"/>
        </w:rPr>
        <w:t>时</w:t>
      </w:r>
      <w:r>
        <w:rPr>
          <w:rFonts w:hint="eastAsia" w:ascii="宋体" w:hAnsi="宋体"/>
          <w:bCs/>
          <w:color w:val="auto"/>
          <w:szCs w:val="21"/>
          <w:lang w:val="en-US" w:eastAsia="zh-CN"/>
        </w:rPr>
        <w:t xml:space="preserve">   </w:t>
      </w:r>
      <w:r>
        <w:rPr>
          <w:rFonts w:hint="eastAsia" w:ascii="宋体" w:hAnsi="宋体"/>
          <w:bCs/>
          <w:color w:val="auto"/>
          <w:szCs w:val="21"/>
        </w:rPr>
        <w:t>分</w:t>
      </w:r>
      <w:r>
        <w:rPr>
          <w:rFonts w:ascii="宋体" w:hAnsi="宋体"/>
          <w:bCs/>
          <w:color w:val="auto"/>
          <w:szCs w:val="21"/>
        </w:rPr>
        <w:t>（北京时间）</w:t>
      </w:r>
    </w:p>
    <w:p w14:paraId="784F4FE7">
      <w:pPr>
        <w:pStyle w:val="13"/>
        <w:keepNext w:val="0"/>
        <w:keepLines w:val="0"/>
        <w:pageBreakBefore w:val="0"/>
        <w:kinsoku/>
        <w:overflowPunct/>
        <w:bidi w:val="0"/>
        <w:spacing w:line="360" w:lineRule="auto"/>
        <w:ind w:left="0" w:right="34" w:firstLine="420" w:firstLineChars="200"/>
        <w:rPr>
          <w:rFonts w:ascii="宋体" w:hAnsi="宋体"/>
          <w:bCs/>
          <w:color w:val="auto"/>
          <w:szCs w:val="21"/>
        </w:rPr>
      </w:pPr>
      <w:r>
        <w:rPr>
          <w:rFonts w:hint="eastAsia" w:ascii="宋体" w:hAnsi="宋体"/>
          <w:bCs/>
          <w:color w:val="auto"/>
          <w:szCs w:val="21"/>
          <w:lang w:val="en-US" w:eastAsia="zh-CN"/>
        </w:rPr>
        <w:t>2.</w:t>
      </w:r>
      <w:r>
        <w:rPr>
          <w:rFonts w:ascii="宋体" w:hAnsi="宋体"/>
          <w:bCs/>
          <w:color w:val="auto"/>
          <w:szCs w:val="21"/>
        </w:rPr>
        <w:t>地点</w:t>
      </w:r>
      <w:r>
        <w:rPr>
          <w:rFonts w:hint="eastAsia" w:ascii="宋体" w:hAnsi="宋体"/>
          <w:bCs/>
          <w:color w:val="auto"/>
          <w:szCs w:val="21"/>
          <w:lang w:eastAsia="zh-CN"/>
        </w:rPr>
        <w:t>（</w:t>
      </w:r>
      <w:r>
        <w:rPr>
          <w:rFonts w:hint="eastAsia" w:ascii="宋体" w:hAnsi="宋体"/>
          <w:bCs/>
          <w:color w:val="auto"/>
          <w:szCs w:val="21"/>
          <w:lang w:val="en-US" w:eastAsia="zh-CN"/>
        </w:rPr>
        <w:t>网址）</w:t>
      </w:r>
      <w:r>
        <w:rPr>
          <w:rFonts w:ascii="宋体" w:hAnsi="宋体"/>
          <w:bCs/>
          <w:color w:val="auto"/>
          <w:szCs w:val="21"/>
        </w:rPr>
        <w:t>：</w:t>
      </w:r>
      <w:r>
        <w:rPr>
          <w:rFonts w:hint="eastAsia" w:ascii="宋体" w:hAnsi="宋体"/>
          <w:bCs/>
          <w:color w:val="auto"/>
          <w:szCs w:val="21"/>
        </w:rPr>
        <w:t>广西政府采购云平台（本项目为全流程电子化项目，通过广西政府采购云平台（https://www.gcy.zfcg.gxzf.gov.cn/）实行在线电子投标。不要求</w:t>
      </w:r>
      <w:r>
        <w:rPr>
          <w:rFonts w:hint="eastAsia" w:ascii="宋体" w:hAnsi="宋体"/>
          <w:bCs/>
          <w:color w:val="auto"/>
          <w:szCs w:val="21"/>
          <w:lang w:eastAsia="zh-CN"/>
        </w:rPr>
        <w:t>投标人</w:t>
      </w:r>
      <w:r>
        <w:rPr>
          <w:rFonts w:hint="eastAsia" w:ascii="宋体" w:hAnsi="宋体"/>
          <w:bCs/>
          <w:color w:val="auto"/>
          <w:szCs w:val="21"/>
        </w:rPr>
        <w:t>到达开标现场，但</w:t>
      </w:r>
      <w:r>
        <w:rPr>
          <w:rFonts w:hint="eastAsia" w:ascii="宋体" w:hAnsi="宋体"/>
          <w:bCs/>
          <w:color w:val="auto"/>
          <w:szCs w:val="21"/>
          <w:lang w:eastAsia="zh-CN"/>
        </w:rPr>
        <w:t>投标人</w:t>
      </w:r>
      <w:r>
        <w:rPr>
          <w:rFonts w:hint="eastAsia" w:ascii="宋体" w:hAnsi="宋体"/>
          <w:bCs/>
          <w:color w:val="auto"/>
          <w:szCs w:val="21"/>
        </w:rPr>
        <w:t>应派法定代表人或委托代理人准时在线出席电子开评标会议，随时关注开评标进度，如在开评标过程中有电子询标，应在规定的时间内对电子询标函进行澄清回复。）</w:t>
      </w:r>
    </w:p>
    <w:p w14:paraId="71F6A425">
      <w:pPr>
        <w:pStyle w:val="13"/>
        <w:keepNext w:val="0"/>
        <w:keepLines w:val="0"/>
        <w:pageBreakBefore w:val="0"/>
        <w:kinsoku/>
        <w:overflowPunct/>
        <w:bidi w:val="0"/>
        <w:spacing w:line="360" w:lineRule="auto"/>
        <w:ind w:left="0"/>
        <w:rPr>
          <w:rFonts w:hint="eastAsia" w:ascii="宋体" w:hAnsi="宋体"/>
          <w:b/>
          <w:color w:val="auto"/>
          <w:szCs w:val="21"/>
          <w:lang w:val="en-US" w:eastAsia="zh-CN"/>
        </w:rPr>
      </w:pPr>
      <w:r>
        <w:rPr>
          <w:rFonts w:ascii="宋体" w:hAnsi="宋体"/>
          <w:b/>
          <w:color w:val="auto"/>
          <w:szCs w:val="21"/>
        </w:rPr>
        <w:t>五、</w:t>
      </w:r>
      <w:r>
        <w:rPr>
          <w:rFonts w:hint="eastAsia" w:ascii="宋体" w:hAnsi="宋体"/>
          <w:b/>
          <w:color w:val="auto"/>
          <w:szCs w:val="21"/>
          <w:lang w:val="en-US" w:eastAsia="zh-CN"/>
        </w:rPr>
        <w:t>开启</w:t>
      </w:r>
    </w:p>
    <w:p w14:paraId="3A6798D4">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1.时间</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北京时间</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年</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月</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日</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时</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分（北京时间）</w:t>
      </w:r>
    </w:p>
    <w:p w14:paraId="61C0BB5E">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b w:val="0"/>
          <w:bCs/>
          <w:color w:val="auto"/>
          <w:szCs w:val="21"/>
          <w:lang w:val="en-US" w:eastAsia="zh-CN"/>
        </w:rPr>
      </w:pPr>
      <w:r>
        <w:rPr>
          <w:rFonts w:hint="eastAsia" w:ascii="宋体" w:hAnsi="宋体" w:eastAsia="宋体" w:cs="宋体"/>
          <w:sz w:val="21"/>
          <w:szCs w:val="21"/>
          <w:lang w:val="en-US" w:eastAsia="zh-CN"/>
        </w:rPr>
        <w:t>2.地点</w:t>
      </w:r>
      <w:r>
        <w:rPr>
          <w:rFonts w:hint="eastAsia" w:ascii="宋体" w:hAnsi="宋体" w:cs="宋体"/>
          <w:sz w:val="21"/>
          <w:szCs w:val="21"/>
          <w:lang w:val="en-US" w:eastAsia="zh-CN"/>
        </w:rPr>
        <w:t>：广西政府采购云平台电子开标大厅</w:t>
      </w:r>
    </w:p>
    <w:p w14:paraId="40145D87">
      <w:pPr>
        <w:pStyle w:val="13"/>
        <w:keepNext w:val="0"/>
        <w:keepLines w:val="0"/>
        <w:pageBreakBefore w:val="0"/>
        <w:kinsoku/>
        <w:overflowPunct/>
        <w:bidi w:val="0"/>
        <w:spacing w:line="360" w:lineRule="auto"/>
        <w:ind w:left="0"/>
        <w:rPr>
          <w:rFonts w:ascii="宋体" w:hAnsi="宋体"/>
          <w:b/>
          <w:color w:val="auto"/>
          <w:szCs w:val="21"/>
        </w:rPr>
      </w:pPr>
      <w:r>
        <w:rPr>
          <w:rFonts w:hint="eastAsia" w:ascii="宋体" w:hAnsi="宋体"/>
          <w:b/>
          <w:color w:val="auto"/>
          <w:szCs w:val="21"/>
          <w:lang w:val="en-US" w:eastAsia="zh-CN"/>
        </w:rPr>
        <w:t>六、</w:t>
      </w:r>
      <w:r>
        <w:rPr>
          <w:rFonts w:ascii="宋体" w:hAnsi="宋体"/>
          <w:b/>
          <w:color w:val="auto"/>
          <w:szCs w:val="21"/>
        </w:rPr>
        <w:t>公告期限</w:t>
      </w:r>
      <w:bookmarkEnd w:id="17"/>
      <w:bookmarkEnd w:id="18"/>
      <w:bookmarkEnd w:id="19"/>
      <w:bookmarkEnd w:id="20"/>
    </w:p>
    <w:p w14:paraId="523D98B5">
      <w:pPr>
        <w:pStyle w:val="13"/>
        <w:keepNext w:val="0"/>
        <w:keepLines w:val="0"/>
        <w:pageBreakBefore w:val="0"/>
        <w:kinsoku/>
        <w:overflowPunct/>
        <w:bidi w:val="0"/>
        <w:spacing w:line="360" w:lineRule="auto"/>
        <w:ind w:left="0" w:firstLine="420" w:firstLineChars="200"/>
        <w:rPr>
          <w:rFonts w:ascii="宋体" w:hAnsi="宋体"/>
          <w:bCs/>
          <w:color w:val="auto"/>
          <w:szCs w:val="21"/>
        </w:rPr>
      </w:pPr>
      <w:r>
        <w:rPr>
          <w:rFonts w:ascii="宋体" w:hAnsi="宋体"/>
          <w:bCs/>
          <w:color w:val="auto"/>
          <w:szCs w:val="21"/>
        </w:rPr>
        <w:t>自本公告发布之日起5个工作日。</w:t>
      </w:r>
    </w:p>
    <w:p w14:paraId="1679044B">
      <w:pPr>
        <w:pStyle w:val="13"/>
        <w:keepNext w:val="0"/>
        <w:keepLines w:val="0"/>
        <w:pageBreakBefore w:val="0"/>
        <w:kinsoku/>
        <w:overflowPunct/>
        <w:bidi w:val="0"/>
        <w:spacing w:line="360" w:lineRule="auto"/>
        <w:ind w:left="0"/>
        <w:rPr>
          <w:rFonts w:ascii="宋体" w:hAnsi="宋体" w:cs="宋体"/>
          <w:color w:val="auto"/>
          <w:szCs w:val="21"/>
        </w:rPr>
      </w:pPr>
      <w:bookmarkStart w:id="21" w:name="_Toc35393626"/>
      <w:bookmarkStart w:id="22" w:name="_Toc35393795"/>
      <w:r>
        <w:rPr>
          <w:rFonts w:hint="eastAsia" w:ascii="宋体" w:hAnsi="宋体"/>
          <w:b/>
          <w:color w:val="auto"/>
          <w:szCs w:val="21"/>
          <w:lang w:val="en-US" w:eastAsia="zh-CN"/>
        </w:rPr>
        <w:t>七</w:t>
      </w:r>
      <w:r>
        <w:rPr>
          <w:rFonts w:ascii="宋体" w:hAnsi="宋体"/>
          <w:b/>
          <w:color w:val="auto"/>
          <w:szCs w:val="21"/>
        </w:rPr>
        <w:t>、其他补充事宜</w:t>
      </w:r>
      <w:bookmarkEnd w:id="21"/>
      <w:bookmarkEnd w:id="22"/>
      <w:bookmarkStart w:id="23" w:name="_Hlk37429595"/>
      <w:bookmarkStart w:id="24" w:name="_Hlk37429585"/>
    </w:p>
    <w:p w14:paraId="2E6B50BB">
      <w:pPr>
        <w:pStyle w:val="13"/>
        <w:keepNext w:val="0"/>
        <w:keepLines w:val="0"/>
        <w:pageBreakBefore w:val="0"/>
        <w:kinsoku/>
        <w:overflowPunct/>
        <w:bidi w:val="0"/>
        <w:spacing w:line="360" w:lineRule="auto"/>
        <w:ind w:left="0" w:firstLine="420" w:firstLineChars="200"/>
        <w:rPr>
          <w:rFonts w:ascii="宋体" w:hAnsi="宋体" w:cs="宋体"/>
          <w:bCs/>
          <w:color w:val="auto"/>
          <w:szCs w:val="21"/>
        </w:rPr>
      </w:pPr>
      <w:r>
        <w:rPr>
          <w:rFonts w:hint="eastAsia" w:ascii="宋体" w:hAnsi="宋体" w:cs="宋体"/>
          <w:color w:val="auto"/>
          <w:szCs w:val="21"/>
        </w:rPr>
        <w:t>1.</w:t>
      </w:r>
      <w:r>
        <w:rPr>
          <w:rFonts w:hint="eastAsia" w:ascii="宋体" w:hAnsi="宋体" w:cs="宋体"/>
          <w:bCs/>
          <w:color w:val="auto"/>
          <w:szCs w:val="21"/>
        </w:rPr>
        <w:t>网上查询地址</w:t>
      </w:r>
    </w:p>
    <w:bookmarkEnd w:id="23"/>
    <w:bookmarkEnd w:id="24"/>
    <w:p w14:paraId="1CEC6822">
      <w:pPr>
        <w:pStyle w:val="13"/>
        <w:keepNext w:val="0"/>
        <w:keepLines w:val="0"/>
        <w:pageBreakBefore w:val="0"/>
        <w:kinsoku/>
        <w:wordWrap w:val="0"/>
        <w:overflowPunct/>
        <w:bidi w:val="0"/>
        <w:spacing w:line="360" w:lineRule="auto"/>
        <w:ind w:left="0" w:right="34" w:firstLine="420" w:firstLineChars="200"/>
        <w:rPr>
          <w:rFonts w:ascii="宋体" w:hAnsi="宋体"/>
          <w:bCs/>
          <w:color w:val="auto"/>
          <w:szCs w:val="21"/>
        </w:rPr>
      </w:pPr>
      <w:bookmarkStart w:id="25" w:name="_Hlk37429674"/>
      <w:r>
        <w:rPr>
          <w:rFonts w:ascii="宋体" w:hAnsi="宋体"/>
          <w:bCs/>
          <w:color w:val="auto"/>
          <w:szCs w:val="21"/>
        </w:rPr>
        <w:t>中国政府采购网（http://www.ccgp.gov.cn）、广西壮族自治区政府采购网（http://zfcg.gxzf.gov.cn）、广西壮族自治区公共资源交易中心（http://gxggzy.gxzf.gov.cn/）</w:t>
      </w:r>
    </w:p>
    <w:p w14:paraId="47E782F7">
      <w:pPr>
        <w:pStyle w:val="13"/>
        <w:keepNext w:val="0"/>
        <w:keepLines w:val="0"/>
        <w:pageBreakBefore w:val="0"/>
        <w:numPr>
          <w:ilvl w:val="0"/>
          <w:numId w:val="0"/>
        </w:numPr>
        <w:kinsoku/>
        <w:overflowPunct/>
        <w:bidi w:val="0"/>
        <w:spacing w:line="360" w:lineRule="auto"/>
        <w:ind w:left="0" w:leftChars="0" w:right="33" w:rightChars="0" w:firstLine="422" w:firstLineChars="200"/>
        <w:rPr>
          <w:rFonts w:hint="eastAsia" w:ascii="宋体" w:hAnsi="宋体"/>
          <w:b/>
          <w:bCs w:val="0"/>
          <w:color w:val="auto"/>
          <w:szCs w:val="21"/>
          <w:lang w:val="en-US" w:eastAsia="zh-CN"/>
        </w:rPr>
      </w:pPr>
      <w:r>
        <w:rPr>
          <w:rFonts w:hint="eastAsia" w:ascii="宋体" w:hAnsi="宋体" w:eastAsia="宋体" w:cs="Times New Roman"/>
          <w:b/>
          <w:bCs w:val="0"/>
          <w:color w:val="auto"/>
          <w:kern w:val="0"/>
          <w:sz w:val="21"/>
          <w:szCs w:val="21"/>
          <w:lang w:val="en-US" w:eastAsia="zh-CN" w:bidi="ar-SA"/>
        </w:rPr>
        <w:t>2.</w:t>
      </w:r>
      <w:r>
        <w:rPr>
          <w:rFonts w:hint="eastAsia" w:ascii="宋体" w:hAnsi="宋体"/>
          <w:b/>
          <w:bCs w:val="0"/>
          <w:color w:val="auto"/>
          <w:szCs w:val="21"/>
          <w:lang w:val="en-US" w:eastAsia="zh-CN"/>
        </w:rPr>
        <w:t>本项目收取投标保证金（人民币）：¥90000.00（必须足额缴纳）</w:t>
      </w:r>
    </w:p>
    <w:p w14:paraId="263FF566">
      <w:pPr>
        <w:pStyle w:val="13"/>
        <w:keepNext w:val="0"/>
        <w:keepLines w:val="0"/>
        <w:pageBreakBefore w:val="0"/>
        <w:numPr>
          <w:ilvl w:val="0"/>
          <w:numId w:val="0"/>
        </w:numPr>
        <w:kinsoku/>
        <w:overflowPunct/>
        <w:bidi w:val="0"/>
        <w:spacing w:line="360" w:lineRule="auto"/>
        <w:ind w:left="0" w:leftChars="0" w:right="33" w:rightChars="0" w:firstLine="422" w:firstLineChars="200"/>
        <w:rPr>
          <w:rFonts w:hint="eastAsia" w:ascii="宋体" w:hAnsi="宋体"/>
          <w:b/>
          <w:bCs w:val="0"/>
          <w:color w:val="auto"/>
          <w:szCs w:val="21"/>
          <w:lang w:val="en-US" w:eastAsia="zh-CN"/>
        </w:rPr>
      </w:pPr>
      <w:r>
        <w:rPr>
          <w:rFonts w:hint="eastAsia" w:ascii="宋体" w:hAnsi="宋体"/>
          <w:b/>
          <w:bCs w:val="0"/>
          <w:color w:val="auto"/>
          <w:szCs w:val="21"/>
          <w:lang w:val="en-US" w:eastAsia="zh-CN"/>
        </w:rPr>
        <w:t>（1）投标保证金缴纳方式：支票、汇票、本票、网上银行或者银行、保险机构出具的保函等非现金形式。</w:t>
      </w:r>
    </w:p>
    <w:p w14:paraId="01042103">
      <w:pPr>
        <w:pStyle w:val="13"/>
        <w:keepNext w:val="0"/>
        <w:keepLines w:val="0"/>
        <w:pageBreakBefore w:val="0"/>
        <w:kinsoku/>
        <w:overflowPunct/>
        <w:bidi w:val="0"/>
        <w:spacing w:line="360" w:lineRule="auto"/>
        <w:ind w:left="0" w:firstLine="422" w:firstLineChars="200"/>
        <w:rPr>
          <w:rFonts w:hint="eastAsia" w:ascii="宋体" w:hAnsi="宋体"/>
          <w:b/>
          <w:bCs w:val="0"/>
          <w:color w:val="auto"/>
          <w:szCs w:val="21"/>
          <w:lang w:val="en-US" w:eastAsia="zh-CN"/>
        </w:rPr>
      </w:pPr>
      <w:r>
        <w:rPr>
          <w:rFonts w:hint="eastAsia" w:ascii="宋体" w:hAnsi="宋体"/>
          <w:b/>
          <w:bCs w:val="0"/>
          <w:color w:val="auto"/>
          <w:szCs w:val="21"/>
          <w:lang w:val="en-US" w:eastAsia="zh-CN"/>
        </w:rPr>
        <w:t>（2）缴纳投标保证金需备注“项目编号-投标保证金”。</w:t>
      </w:r>
    </w:p>
    <w:p w14:paraId="79F7B5AB">
      <w:pPr>
        <w:pStyle w:val="13"/>
        <w:keepNext w:val="0"/>
        <w:keepLines w:val="0"/>
        <w:pageBreakBefore w:val="0"/>
        <w:kinsoku/>
        <w:overflowPunct/>
        <w:bidi w:val="0"/>
        <w:spacing w:line="360" w:lineRule="auto"/>
        <w:ind w:left="0" w:firstLine="422" w:firstLineChars="200"/>
        <w:rPr>
          <w:rFonts w:hint="eastAsia" w:ascii="宋体" w:hAnsi="宋体"/>
          <w:b/>
          <w:bCs w:val="0"/>
          <w:color w:val="auto"/>
          <w:szCs w:val="21"/>
          <w:lang w:val="en-US" w:eastAsia="zh-CN"/>
        </w:rPr>
      </w:pPr>
      <w:r>
        <w:rPr>
          <w:rFonts w:hint="eastAsia" w:ascii="宋体" w:hAnsi="宋体"/>
          <w:b/>
          <w:bCs w:val="0"/>
          <w:color w:val="auto"/>
          <w:szCs w:val="21"/>
          <w:lang w:val="en-US" w:eastAsia="zh-CN"/>
        </w:rPr>
        <w:t>（3）采购网上银行转账形式的，投标人应于提交响应文件截止时间前将投标保证金交至以下账户。</w:t>
      </w:r>
    </w:p>
    <w:p w14:paraId="3189DC4E">
      <w:pPr>
        <w:pStyle w:val="13"/>
        <w:keepNext w:val="0"/>
        <w:keepLines w:val="0"/>
        <w:pageBreakBefore w:val="0"/>
        <w:kinsoku/>
        <w:overflowPunct/>
        <w:bidi w:val="0"/>
        <w:spacing w:line="360" w:lineRule="auto"/>
        <w:ind w:left="0" w:firstLine="422" w:firstLineChars="200"/>
        <w:rPr>
          <w:rFonts w:hint="eastAsia" w:ascii="宋体" w:hAnsi="宋体"/>
          <w:b/>
          <w:bCs w:val="0"/>
          <w:color w:val="auto"/>
          <w:szCs w:val="21"/>
          <w:lang w:val="en-US" w:eastAsia="zh-CN"/>
        </w:rPr>
      </w:pPr>
      <w:r>
        <w:rPr>
          <w:rFonts w:hint="eastAsia" w:ascii="宋体" w:hAnsi="宋体"/>
          <w:b/>
          <w:bCs w:val="0"/>
          <w:color w:val="auto"/>
          <w:szCs w:val="21"/>
          <w:lang w:val="en-US" w:eastAsia="zh-CN"/>
        </w:rPr>
        <w:t>开户名称：广西君安工程建设顾问有限公司南宁第一分公司</w:t>
      </w:r>
    </w:p>
    <w:p w14:paraId="346268EB">
      <w:pPr>
        <w:pStyle w:val="13"/>
        <w:keepNext w:val="0"/>
        <w:keepLines w:val="0"/>
        <w:pageBreakBefore w:val="0"/>
        <w:kinsoku/>
        <w:overflowPunct/>
        <w:bidi w:val="0"/>
        <w:spacing w:line="360" w:lineRule="auto"/>
        <w:ind w:left="0" w:firstLine="422" w:firstLineChars="200"/>
        <w:rPr>
          <w:rFonts w:hint="eastAsia" w:ascii="宋体" w:hAnsi="宋体"/>
          <w:b/>
          <w:bCs w:val="0"/>
          <w:color w:val="auto"/>
          <w:szCs w:val="21"/>
          <w:lang w:val="en-US" w:eastAsia="zh-CN"/>
        </w:rPr>
      </w:pPr>
      <w:r>
        <w:rPr>
          <w:rFonts w:hint="eastAsia" w:ascii="宋体" w:hAnsi="宋体"/>
          <w:b/>
          <w:bCs w:val="0"/>
          <w:color w:val="auto"/>
          <w:szCs w:val="21"/>
          <w:lang w:val="en-US" w:eastAsia="zh-CN"/>
        </w:rPr>
        <w:t>开户银行：招商银行南宁分行南宁双拥路支行</w:t>
      </w:r>
    </w:p>
    <w:p w14:paraId="45B54DFD">
      <w:pPr>
        <w:pStyle w:val="13"/>
        <w:keepNext w:val="0"/>
        <w:keepLines w:val="0"/>
        <w:pageBreakBefore w:val="0"/>
        <w:kinsoku/>
        <w:overflowPunct/>
        <w:bidi w:val="0"/>
        <w:spacing w:line="360" w:lineRule="auto"/>
        <w:ind w:left="0" w:firstLine="422" w:firstLineChars="200"/>
        <w:rPr>
          <w:rFonts w:hint="default" w:ascii="宋体" w:hAnsi="宋体" w:eastAsia="宋体"/>
          <w:b/>
          <w:bCs w:val="0"/>
          <w:color w:val="auto"/>
          <w:szCs w:val="21"/>
          <w:lang w:val="en-US" w:eastAsia="zh-CN"/>
        </w:rPr>
      </w:pPr>
      <w:r>
        <w:rPr>
          <w:rFonts w:hint="eastAsia" w:ascii="宋体" w:hAnsi="宋体"/>
          <w:b/>
          <w:bCs w:val="0"/>
          <w:color w:val="auto"/>
          <w:szCs w:val="21"/>
          <w:lang w:val="en-US" w:eastAsia="zh-CN"/>
        </w:rPr>
        <w:t>银行账号：771903087910201</w:t>
      </w:r>
    </w:p>
    <w:p w14:paraId="19A5F927">
      <w:pPr>
        <w:pStyle w:val="13"/>
        <w:keepNext w:val="0"/>
        <w:keepLines w:val="0"/>
        <w:pageBreakBefore w:val="0"/>
        <w:kinsoku/>
        <w:overflowPunct/>
        <w:bidi w:val="0"/>
        <w:spacing w:line="360" w:lineRule="auto"/>
        <w:ind w:left="0" w:firstLine="420" w:firstLineChars="200"/>
        <w:rPr>
          <w:rFonts w:ascii="宋体" w:hAnsi="宋体"/>
          <w:bCs/>
          <w:color w:val="auto"/>
          <w:szCs w:val="21"/>
        </w:rPr>
      </w:pPr>
      <w:r>
        <w:rPr>
          <w:rFonts w:hint="eastAsia" w:ascii="宋体" w:hAnsi="宋体"/>
          <w:bCs/>
          <w:color w:val="auto"/>
          <w:szCs w:val="21"/>
          <w:lang w:val="en-US" w:eastAsia="zh-CN"/>
        </w:rPr>
        <w:t>3.</w:t>
      </w:r>
      <w:r>
        <w:rPr>
          <w:rFonts w:ascii="宋体" w:hAnsi="宋体"/>
          <w:bCs/>
          <w:color w:val="auto"/>
          <w:szCs w:val="21"/>
        </w:rPr>
        <w:t>本项目需要落实的政府采购政策</w:t>
      </w:r>
    </w:p>
    <w:p w14:paraId="639E4AC5">
      <w:pPr>
        <w:pStyle w:val="13"/>
        <w:keepNext w:val="0"/>
        <w:keepLines w:val="0"/>
        <w:pageBreakBefore w:val="0"/>
        <w:kinsoku/>
        <w:overflowPunct/>
        <w:bidi w:val="0"/>
        <w:spacing w:line="360" w:lineRule="auto"/>
        <w:ind w:left="0" w:firstLine="420" w:firstLineChars="200"/>
        <w:rPr>
          <w:rFonts w:ascii="宋体" w:hAnsi="宋体"/>
          <w:bCs/>
          <w:color w:val="auto"/>
          <w:szCs w:val="21"/>
        </w:rPr>
      </w:pPr>
      <w:r>
        <w:rPr>
          <w:rFonts w:ascii="宋体" w:hAnsi="宋体"/>
          <w:bCs/>
          <w:color w:val="auto"/>
          <w:szCs w:val="21"/>
        </w:rPr>
        <w:t>（1）政府采购促进中小企业发展。</w:t>
      </w:r>
    </w:p>
    <w:p w14:paraId="40D0E644">
      <w:pPr>
        <w:pStyle w:val="13"/>
        <w:keepNext w:val="0"/>
        <w:keepLines w:val="0"/>
        <w:pageBreakBefore w:val="0"/>
        <w:kinsoku/>
        <w:overflowPunct/>
        <w:bidi w:val="0"/>
        <w:spacing w:line="360" w:lineRule="auto"/>
        <w:ind w:left="0" w:firstLine="420" w:firstLineChars="200"/>
        <w:rPr>
          <w:rFonts w:ascii="宋体" w:hAnsi="宋体"/>
          <w:bCs/>
          <w:color w:val="auto"/>
          <w:szCs w:val="21"/>
        </w:rPr>
      </w:pPr>
      <w:r>
        <w:rPr>
          <w:rFonts w:ascii="宋体" w:hAnsi="宋体"/>
          <w:bCs/>
          <w:color w:val="auto"/>
          <w:szCs w:val="21"/>
        </w:rPr>
        <w:t>（2）政府采购支持采用本国产品的政策。</w:t>
      </w:r>
    </w:p>
    <w:p w14:paraId="460F1D37">
      <w:pPr>
        <w:pStyle w:val="13"/>
        <w:keepNext w:val="0"/>
        <w:keepLines w:val="0"/>
        <w:pageBreakBefore w:val="0"/>
        <w:kinsoku/>
        <w:overflowPunct/>
        <w:bidi w:val="0"/>
        <w:spacing w:line="360" w:lineRule="auto"/>
        <w:ind w:left="0" w:firstLine="420" w:firstLineChars="200"/>
        <w:rPr>
          <w:rFonts w:ascii="宋体" w:hAnsi="宋体"/>
          <w:bCs/>
          <w:color w:val="auto"/>
          <w:szCs w:val="21"/>
        </w:rPr>
      </w:pPr>
      <w:r>
        <w:rPr>
          <w:rFonts w:ascii="宋体" w:hAnsi="宋体"/>
          <w:bCs/>
          <w:color w:val="auto"/>
          <w:szCs w:val="21"/>
        </w:rPr>
        <w:t>（3）强制采购节能产品；优先采购节能产品、环境标志产品。</w:t>
      </w:r>
    </w:p>
    <w:p w14:paraId="447E9DDF">
      <w:pPr>
        <w:pStyle w:val="13"/>
        <w:keepNext w:val="0"/>
        <w:keepLines w:val="0"/>
        <w:pageBreakBefore w:val="0"/>
        <w:kinsoku/>
        <w:overflowPunct/>
        <w:bidi w:val="0"/>
        <w:spacing w:line="360" w:lineRule="auto"/>
        <w:ind w:left="0" w:firstLine="420" w:firstLineChars="200"/>
        <w:rPr>
          <w:rFonts w:ascii="宋体" w:hAnsi="宋体"/>
          <w:bCs/>
          <w:color w:val="auto"/>
          <w:szCs w:val="21"/>
        </w:rPr>
      </w:pPr>
      <w:r>
        <w:rPr>
          <w:rFonts w:ascii="宋体" w:hAnsi="宋体"/>
          <w:bCs/>
          <w:color w:val="auto"/>
          <w:szCs w:val="21"/>
        </w:rPr>
        <w:t>（4）政府采购促进残疾人就业政策。</w:t>
      </w:r>
    </w:p>
    <w:p w14:paraId="3C7D2A21">
      <w:pPr>
        <w:pStyle w:val="13"/>
        <w:keepNext w:val="0"/>
        <w:keepLines w:val="0"/>
        <w:pageBreakBefore w:val="0"/>
        <w:kinsoku/>
        <w:overflowPunct/>
        <w:bidi w:val="0"/>
        <w:spacing w:line="360" w:lineRule="auto"/>
        <w:ind w:left="0" w:firstLine="420" w:firstLineChars="200"/>
        <w:rPr>
          <w:rFonts w:ascii="宋体" w:hAnsi="宋体"/>
          <w:bCs/>
          <w:color w:val="auto"/>
          <w:szCs w:val="21"/>
        </w:rPr>
      </w:pPr>
      <w:r>
        <w:rPr>
          <w:rFonts w:ascii="宋体" w:hAnsi="宋体"/>
          <w:bCs/>
          <w:color w:val="auto"/>
          <w:szCs w:val="21"/>
        </w:rPr>
        <w:t>（5）政府采购支持监狱企业发展。</w:t>
      </w:r>
    </w:p>
    <w:p w14:paraId="1226CF2D">
      <w:pPr>
        <w:pStyle w:val="13"/>
        <w:keepNext w:val="0"/>
        <w:keepLines w:val="0"/>
        <w:pageBreakBefore w:val="0"/>
        <w:kinsoku/>
        <w:overflowPunct/>
        <w:bidi w:val="0"/>
        <w:spacing w:line="360" w:lineRule="auto"/>
        <w:ind w:left="0" w:firstLine="420" w:firstLineChars="200"/>
        <w:rPr>
          <w:rFonts w:hint="eastAsia" w:ascii="宋体" w:hAnsi="宋体" w:eastAsia="宋体"/>
          <w:bCs/>
          <w:color w:val="auto"/>
          <w:szCs w:val="21"/>
          <w:lang w:eastAsia="zh-CN"/>
        </w:rPr>
      </w:pPr>
      <w:r>
        <w:rPr>
          <w:rFonts w:hint="eastAsia" w:ascii="宋体" w:hAnsi="宋体"/>
          <w:bCs/>
          <w:color w:val="auto"/>
          <w:szCs w:val="21"/>
          <w:lang w:val="en-US" w:eastAsia="zh-CN"/>
        </w:rPr>
        <w:t>4</w:t>
      </w:r>
      <w:r>
        <w:rPr>
          <w:rFonts w:ascii="宋体" w:hAnsi="宋体"/>
          <w:bCs/>
          <w:color w:val="auto"/>
          <w:szCs w:val="21"/>
        </w:rPr>
        <w:t>.</w:t>
      </w:r>
      <w:bookmarkEnd w:id="25"/>
      <w:bookmarkStart w:id="26" w:name="_Toc28359085"/>
      <w:bookmarkStart w:id="27" w:name="_Toc35393627"/>
      <w:bookmarkStart w:id="28" w:name="_Toc35393796"/>
      <w:bookmarkStart w:id="29" w:name="_Toc28359008"/>
      <w:r>
        <w:rPr>
          <w:rFonts w:hint="eastAsia" w:ascii="宋体" w:hAnsi="宋体"/>
          <w:bCs/>
          <w:color w:val="auto"/>
          <w:szCs w:val="21"/>
        </w:rPr>
        <w:t>在线投标（电子投标）说明</w:t>
      </w:r>
      <w:r>
        <w:rPr>
          <w:rFonts w:hint="eastAsia" w:ascii="宋体" w:hAnsi="宋体"/>
          <w:bCs/>
          <w:color w:val="auto"/>
          <w:szCs w:val="21"/>
          <w:lang w:eastAsia="zh-CN"/>
        </w:rPr>
        <w:t>：</w:t>
      </w:r>
    </w:p>
    <w:p w14:paraId="445E8380">
      <w:pPr>
        <w:pStyle w:val="13"/>
        <w:keepNext w:val="0"/>
        <w:keepLines w:val="0"/>
        <w:pageBreakBefore w:val="0"/>
        <w:kinsoku/>
        <w:overflowPunct/>
        <w:bidi w:val="0"/>
        <w:spacing w:line="360" w:lineRule="auto"/>
        <w:ind w:left="0" w:firstLine="420" w:firstLineChars="200"/>
        <w:rPr>
          <w:rFonts w:hint="eastAsia" w:ascii="宋体" w:hAnsi="宋体"/>
          <w:bCs/>
          <w:color w:val="auto"/>
          <w:szCs w:val="21"/>
        </w:rPr>
      </w:pPr>
      <w:r>
        <w:rPr>
          <w:rFonts w:hint="eastAsia" w:ascii="宋体" w:hAnsi="宋体"/>
          <w:bCs/>
          <w:color w:val="auto"/>
          <w:szCs w:val="21"/>
        </w:rPr>
        <w:t>（1）本项目为全流程电子化采购项目，通过广西政府采购云平台（https://www.gcy.zfcg.gxzf.gov.cn/）实行在线电子竞标，</w:t>
      </w:r>
      <w:r>
        <w:rPr>
          <w:rFonts w:hint="eastAsia" w:ascii="宋体" w:hAnsi="宋体"/>
          <w:bCs/>
          <w:color w:val="auto"/>
          <w:szCs w:val="21"/>
          <w:lang w:eastAsia="zh-CN"/>
        </w:rPr>
        <w:t>投标人</w:t>
      </w:r>
      <w:r>
        <w:rPr>
          <w:rFonts w:hint="eastAsia" w:ascii="宋体" w:hAnsi="宋体"/>
          <w:bCs/>
          <w:color w:val="auto"/>
          <w:szCs w:val="21"/>
        </w:rPr>
        <w:t>应先安装“政采云电子交易客户端”（请自行前往广西政府采购云平台进行下载），并按照本项目</w:t>
      </w:r>
      <w:r>
        <w:rPr>
          <w:rFonts w:hint="eastAsia" w:ascii="宋体" w:hAnsi="宋体"/>
          <w:bCs/>
          <w:color w:val="auto"/>
          <w:szCs w:val="21"/>
          <w:lang w:val="en-US" w:eastAsia="zh-CN"/>
        </w:rPr>
        <w:t>招标</w:t>
      </w:r>
      <w:r>
        <w:rPr>
          <w:rFonts w:hint="eastAsia" w:ascii="宋体" w:hAnsi="宋体"/>
          <w:bCs/>
          <w:color w:val="auto"/>
          <w:szCs w:val="21"/>
        </w:rPr>
        <w:t>文件和广西政府采购云平台的要求编制、加密后在提交响应文件截止时间前通过网络上传至广西政府采购云平台（加密的电子响应文件是指后缀名为“jmbs”的文件），</w:t>
      </w:r>
      <w:r>
        <w:rPr>
          <w:rFonts w:hint="eastAsia" w:ascii="宋体" w:hAnsi="宋体"/>
          <w:b/>
          <w:bCs w:val="0"/>
          <w:color w:val="auto"/>
          <w:szCs w:val="21"/>
          <w:lang w:eastAsia="zh-CN"/>
        </w:rPr>
        <w:t>投标人</w:t>
      </w:r>
      <w:r>
        <w:rPr>
          <w:rFonts w:hint="eastAsia" w:ascii="宋体" w:hAnsi="宋体"/>
          <w:b/>
          <w:bCs w:val="0"/>
          <w:color w:val="auto"/>
          <w:szCs w:val="21"/>
        </w:rPr>
        <w:t>在广西政府采购云平台提交电子响应文件时，请填写参加远程采购活动经办人联系方式。</w:t>
      </w:r>
      <w:r>
        <w:rPr>
          <w:rFonts w:hint="eastAsia" w:ascii="宋体" w:hAnsi="宋体"/>
          <w:bCs/>
          <w:color w:val="auto"/>
          <w:szCs w:val="21"/>
          <w:lang w:eastAsia="zh-CN"/>
        </w:rPr>
        <w:t>投标人</w:t>
      </w:r>
      <w:r>
        <w:rPr>
          <w:rFonts w:hint="eastAsia" w:ascii="宋体" w:hAnsi="宋体"/>
          <w:bCs/>
          <w:color w:val="auto"/>
          <w:szCs w:val="21"/>
        </w:rPr>
        <w:t>登录广西政府采购云平台，依次进入“服务中心－项目采购－操作流程－电子招投标－政府采购项目电子交易管理操作指南－</w:t>
      </w:r>
      <w:r>
        <w:rPr>
          <w:rFonts w:hint="eastAsia" w:ascii="宋体" w:hAnsi="宋体"/>
          <w:bCs/>
          <w:color w:val="auto"/>
          <w:szCs w:val="21"/>
          <w:lang w:eastAsia="zh-CN"/>
        </w:rPr>
        <w:t>投标人</w:t>
      </w:r>
      <w:r>
        <w:rPr>
          <w:rFonts w:hint="eastAsia" w:ascii="宋体" w:hAnsi="宋体"/>
          <w:bCs/>
          <w:color w:val="auto"/>
          <w:szCs w:val="21"/>
        </w:rPr>
        <w:t>”查看电子竞标具体操作流程。</w:t>
      </w:r>
    </w:p>
    <w:p w14:paraId="00C7E31A">
      <w:pPr>
        <w:pStyle w:val="13"/>
        <w:keepNext w:val="0"/>
        <w:keepLines w:val="0"/>
        <w:pageBreakBefore w:val="0"/>
        <w:kinsoku/>
        <w:overflowPunct/>
        <w:bidi w:val="0"/>
        <w:spacing w:line="360" w:lineRule="auto"/>
        <w:ind w:left="0" w:firstLine="420" w:firstLineChars="200"/>
        <w:rPr>
          <w:rFonts w:hint="eastAsia" w:ascii="宋体" w:hAnsi="宋体"/>
          <w:bCs/>
          <w:color w:val="auto"/>
          <w:szCs w:val="21"/>
        </w:rPr>
      </w:pPr>
      <w:r>
        <w:rPr>
          <w:rFonts w:hint="eastAsia" w:ascii="宋体" w:hAnsi="宋体"/>
          <w:bCs/>
          <w:color w:val="auto"/>
          <w:szCs w:val="21"/>
        </w:rPr>
        <w:t>（2）未进行网上注册并办理数字证书（CA认证）的</w:t>
      </w:r>
      <w:r>
        <w:rPr>
          <w:rFonts w:hint="eastAsia" w:ascii="宋体" w:hAnsi="宋体"/>
          <w:bCs/>
          <w:color w:val="auto"/>
          <w:szCs w:val="21"/>
          <w:lang w:eastAsia="zh-CN"/>
        </w:rPr>
        <w:t>投标人</w:t>
      </w:r>
      <w:r>
        <w:rPr>
          <w:rFonts w:hint="eastAsia" w:ascii="宋体" w:hAnsi="宋体"/>
          <w:bCs/>
          <w:color w:val="auto"/>
          <w:szCs w:val="21"/>
        </w:rPr>
        <w:t>将无法参与本项目政府采购活动，</w:t>
      </w:r>
      <w:r>
        <w:rPr>
          <w:rFonts w:hint="eastAsia" w:ascii="宋体" w:hAnsi="宋体"/>
          <w:bCs/>
          <w:color w:val="auto"/>
          <w:szCs w:val="21"/>
          <w:lang w:eastAsia="zh-CN"/>
        </w:rPr>
        <w:t>投标人</w:t>
      </w:r>
      <w:r>
        <w:rPr>
          <w:rFonts w:hint="eastAsia" w:ascii="宋体" w:hAnsi="宋体"/>
          <w:bCs/>
          <w:color w:val="auto"/>
          <w:szCs w:val="21"/>
        </w:rPr>
        <w:t>应当在提交响应文件截止时间前，完成电子交易平台上的CA数字证书办理及响应文件的提交（</w:t>
      </w:r>
      <w:r>
        <w:rPr>
          <w:rFonts w:hint="eastAsia" w:ascii="宋体" w:hAnsi="宋体"/>
          <w:bCs/>
          <w:color w:val="auto"/>
          <w:szCs w:val="21"/>
          <w:lang w:eastAsia="zh-CN"/>
        </w:rPr>
        <w:t>投标人</w:t>
      </w:r>
      <w:r>
        <w:rPr>
          <w:rFonts w:hint="eastAsia" w:ascii="宋体" w:hAnsi="宋体"/>
          <w:bCs/>
          <w:color w:val="auto"/>
          <w:szCs w:val="21"/>
        </w:rPr>
        <w:t>可登录“广西政府采购网”，依次进入“办事服务－下载专区”或者登录广西政府采购云平台，依次进入“服务中心－入驻与配置”中查看CA数字证书办理操作流程。如在操作过程中遇到问题或者需要技术支持，请致电广西政府采购云平台客服热线：95763）。</w:t>
      </w:r>
    </w:p>
    <w:p w14:paraId="5867566E">
      <w:pPr>
        <w:pStyle w:val="13"/>
        <w:keepNext w:val="0"/>
        <w:keepLines w:val="0"/>
        <w:pageBreakBefore w:val="0"/>
        <w:kinsoku/>
        <w:overflowPunct/>
        <w:bidi w:val="0"/>
        <w:spacing w:line="360" w:lineRule="auto"/>
        <w:ind w:left="0" w:firstLine="420" w:firstLineChars="200"/>
        <w:rPr>
          <w:rFonts w:hint="eastAsia" w:ascii="宋体" w:hAnsi="宋体"/>
          <w:bCs/>
          <w:color w:val="auto"/>
          <w:szCs w:val="21"/>
        </w:rPr>
      </w:pPr>
      <w:r>
        <w:rPr>
          <w:rFonts w:hint="eastAsia" w:ascii="宋体" w:hAnsi="宋体"/>
          <w:bCs/>
          <w:color w:val="auto"/>
          <w:szCs w:val="21"/>
        </w:rPr>
        <w:t>（3）CA证书在线解密：首次响应文件开启时，需携带制作响应文件时用来加密的有效数字证书（CA认证）登录广西政府采购云平台电子开标大厅现场按规定时间对加密的响应文件进行解密，否则后果自负。</w:t>
      </w:r>
    </w:p>
    <w:p w14:paraId="0A2FE292">
      <w:pPr>
        <w:pStyle w:val="13"/>
        <w:keepNext w:val="0"/>
        <w:keepLines w:val="0"/>
        <w:pageBreakBefore w:val="0"/>
        <w:kinsoku/>
        <w:overflowPunct/>
        <w:bidi w:val="0"/>
        <w:spacing w:line="360" w:lineRule="auto"/>
        <w:ind w:left="0"/>
        <w:rPr>
          <w:rFonts w:hint="eastAsia" w:ascii="宋体" w:hAnsi="宋体"/>
          <w:bCs/>
          <w:color w:val="auto"/>
          <w:szCs w:val="21"/>
        </w:rPr>
      </w:pPr>
      <w:r>
        <w:rPr>
          <w:rFonts w:hint="eastAsia" w:ascii="宋体" w:hAnsi="宋体"/>
          <w:bCs/>
          <w:color w:val="auto"/>
          <w:szCs w:val="21"/>
        </w:rPr>
        <w:t>注：①为确保网上操作合法、有效和安全，请</w:t>
      </w:r>
      <w:r>
        <w:rPr>
          <w:rFonts w:hint="eastAsia" w:ascii="宋体" w:hAnsi="宋体"/>
          <w:bCs/>
          <w:color w:val="auto"/>
          <w:szCs w:val="21"/>
          <w:lang w:eastAsia="zh-CN"/>
        </w:rPr>
        <w:t>投标人</w:t>
      </w:r>
      <w:r>
        <w:rPr>
          <w:rFonts w:hint="eastAsia" w:ascii="宋体" w:hAnsi="宋体"/>
          <w:bCs/>
          <w:color w:val="auto"/>
          <w:szCs w:val="21"/>
        </w:rPr>
        <w:t>确保在电子响应过程中能够对相关数据电文进行加密和使用电子签章，妥善保管CA数字证书并使用有效的CA数字证书参与整个采购活动。②</w:t>
      </w:r>
      <w:r>
        <w:rPr>
          <w:rFonts w:hint="eastAsia" w:ascii="宋体" w:hAnsi="宋体"/>
          <w:bCs/>
          <w:color w:val="auto"/>
          <w:szCs w:val="21"/>
          <w:lang w:eastAsia="zh-CN"/>
        </w:rPr>
        <w:t>投标人</w:t>
      </w:r>
      <w:r>
        <w:rPr>
          <w:rFonts w:hint="eastAsia" w:ascii="宋体" w:hAnsi="宋体"/>
          <w:bCs/>
          <w:color w:val="auto"/>
          <w:szCs w:val="21"/>
        </w:rPr>
        <w:t>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14:paraId="3BA4B698">
      <w:pPr>
        <w:pStyle w:val="13"/>
        <w:keepNext w:val="0"/>
        <w:keepLines w:val="0"/>
        <w:pageBreakBefore w:val="0"/>
        <w:kinsoku/>
        <w:overflowPunct/>
        <w:bidi w:val="0"/>
        <w:spacing w:line="360" w:lineRule="auto"/>
        <w:ind w:left="0" w:firstLine="420" w:firstLineChars="200"/>
        <w:rPr>
          <w:rFonts w:hint="default" w:ascii="宋体" w:hAnsi="宋体" w:eastAsia="宋体"/>
          <w:bCs/>
          <w:color w:val="auto"/>
          <w:szCs w:val="21"/>
          <w:lang w:val="en-US" w:eastAsia="zh-CN"/>
        </w:rPr>
      </w:pPr>
      <w:r>
        <w:rPr>
          <w:rFonts w:hint="eastAsia" w:ascii="宋体" w:hAnsi="宋体"/>
          <w:bCs/>
          <w:color w:val="auto"/>
          <w:szCs w:val="21"/>
        </w:rPr>
        <w:t>（4）</w:t>
      </w:r>
      <w:r>
        <w:rPr>
          <w:rFonts w:hint="eastAsia" w:ascii="宋体" w:hAnsi="宋体"/>
          <w:bCs/>
          <w:color w:val="auto"/>
          <w:szCs w:val="21"/>
          <w:lang w:eastAsia="zh-CN"/>
        </w:rPr>
        <w:t>投标人</w:t>
      </w:r>
      <w:r>
        <w:rPr>
          <w:rFonts w:hint="eastAsia" w:ascii="宋体" w:hAnsi="宋体"/>
          <w:bCs/>
          <w:color w:val="auto"/>
          <w:szCs w:val="21"/>
        </w:rPr>
        <w:t>需要在具备摄像头及语音功能且互联网网络状况良好的电脑登录广西政府采购云平台远程开标大厅参与本次</w:t>
      </w:r>
      <w:r>
        <w:rPr>
          <w:rFonts w:hint="eastAsia" w:ascii="宋体" w:hAnsi="宋体"/>
          <w:bCs/>
          <w:color w:val="auto"/>
          <w:szCs w:val="21"/>
          <w:lang w:val="en-US" w:eastAsia="zh-CN"/>
        </w:rPr>
        <w:t>投标</w:t>
      </w:r>
      <w:r>
        <w:rPr>
          <w:rFonts w:hint="eastAsia" w:ascii="宋体" w:hAnsi="宋体"/>
          <w:bCs/>
          <w:color w:val="auto"/>
          <w:szCs w:val="21"/>
        </w:rPr>
        <w:t>，否则后果自负</w:t>
      </w:r>
      <w:r>
        <w:rPr>
          <w:rFonts w:hint="eastAsia" w:ascii="宋体" w:hAnsi="宋体"/>
          <w:bCs/>
          <w:color w:val="auto"/>
          <w:szCs w:val="21"/>
          <w:lang w:eastAsia="zh-CN"/>
        </w:rPr>
        <w:t>。</w:t>
      </w:r>
    </w:p>
    <w:p w14:paraId="21551DF0">
      <w:pPr>
        <w:keepNext w:val="0"/>
        <w:keepLines w:val="0"/>
        <w:pageBreakBefore w:val="0"/>
        <w:kinsoku/>
        <w:overflowPunct/>
        <w:bidi w:val="0"/>
        <w:spacing w:line="360" w:lineRule="auto"/>
        <w:rPr>
          <w:rFonts w:ascii="宋体" w:hAnsi="宋体"/>
          <w:b/>
          <w:color w:val="auto"/>
          <w:szCs w:val="21"/>
        </w:rPr>
      </w:pPr>
      <w:r>
        <w:rPr>
          <w:rFonts w:hint="eastAsia" w:ascii="宋体" w:hAnsi="宋体"/>
          <w:b/>
          <w:color w:val="auto"/>
          <w:szCs w:val="21"/>
          <w:lang w:val="en-US" w:eastAsia="zh-CN"/>
        </w:rPr>
        <w:t>八、</w:t>
      </w:r>
      <w:r>
        <w:rPr>
          <w:rFonts w:ascii="宋体" w:hAnsi="宋体"/>
          <w:b/>
          <w:color w:val="auto"/>
          <w:szCs w:val="21"/>
        </w:rPr>
        <w:t>对本次招标提出询问，请按以下方式联系</w:t>
      </w:r>
      <w:bookmarkEnd w:id="26"/>
      <w:bookmarkEnd w:id="27"/>
      <w:bookmarkEnd w:id="28"/>
      <w:bookmarkEnd w:id="29"/>
    </w:p>
    <w:p w14:paraId="4E17ACF0">
      <w:pPr>
        <w:pStyle w:val="13"/>
        <w:keepNext w:val="0"/>
        <w:keepLines w:val="0"/>
        <w:pageBreakBefore w:val="0"/>
        <w:kinsoku/>
        <w:overflowPunct/>
        <w:bidi w:val="0"/>
        <w:spacing w:line="360" w:lineRule="auto"/>
        <w:ind w:left="0" w:firstLine="420" w:firstLineChars="200"/>
        <w:rPr>
          <w:rFonts w:ascii="宋体" w:hAnsi="宋体"/>
          <w:bCs/>
          <w:color w:val="auto"/>
          <w:szCs w:val="21"/>
        </w:rPr>
      </w:pPr>
      <w:r>
        <w:rPr>
          <w:rFonts w:hint="eastAsia" w:ascii="宋体" w:hAnsi="宋体"/>
          <w:bCs/>
          <w:color w:val="auto"/>
          <w:szCs w:val="21"/>
        </w:rPr>
        <w:t>1、采购人信息：</w:t>
      </w:r>
    </w:p>
    <w:p w14:paraId="12F91A99">
      <w:pPr>
        <w:pStyle w:val="13"/>
        <w:keepNext w:val="0"/>
        <w:keepLines w:val="0"/>
        <w:pageBreakBefore w:val="0"/>
        <w:kinsoku/>
        <w:overflowPunct/>
        <w:bidi w:val="0"/>
        <w:spacing w:line="360" w:lineRule="auto"/>
        <w:ind w:left="0" w:firstLine="420" w:firstLineChars="200"/>
        <w:rPr>
          <w:rFonts w:ascii="宋体" w:hAnsi="宋体"/>
          <w:bCs/>
          <w:color w:val="auto"/>
          <w:szCs w:val="21"/>
        </w:rPr>
      </w:pPr>
      <w:r>
        <w:rPr>
          <w:rFonts w:hint="eastAsia" w:ascii="宋体" w:hAnsi="宋体"/>
          <w:bCs/>
          <w:color w:val="auto"/>
          <w:szCs w:val="21"/>
        </w:rPr>
        <w:t>名 称：广西壮族自治区高级人民法院</w:t>
      </w:r>
    </w:p>
    <w:p w14:paraId="48DC9292">
      <w:pPr>
        <w:pStyle w:val="13"/>
        <w:keepNext w:val="0"/>
        <w:keepLines w:val="0"/>
        <w:pageBreakBefore w:val="0"/>
        <w:kinsoku/>
        <w:overflowPunct/>
        <w:bidi w:val="0"/>
        <w:spacing w:line="360" w:lineRule="auto"/>
        <w:ind w:left="0" w:firstLine="420" w:firstLineChars="200"/>
        <w:rPr>
          <w:rFonts w:ascii="宋体" w:hAnsi="宋体"/>
          <w:bCs/>
          <w:color w:val="auto"/>
          <w:szCs w:val="21"/>
        </w:rPr>
      </w:pPr>
      <w:r>
        <w:rPr>
          <w:rFonts w:hint="eastAsia" w:ascii="宋体" w:hAnsi="宋体"/>
          <w:bCs/>
          <w:color w:val="auto"/>
          <w:szCs w:val="21"/>
        </w:rPr>
        <w:t>地 址：南宁市民族大道121号</w:t>
      </w:r>
    </w:p>
    <w:p w14:paraId="0D39E0B0">
      <w:pPr>
        <w:pStyle w:val="13"/>
        <w:keepNext w:val="0"/>
        <w:keepLines w:val="0"/>
        <w:pageBreakBefore w:val="0"/>
        <w:kinsoku/>
        <w:overflowPunct/>
        <w:bidi w:val="0"/>
        <w:spacing w:line="360" w:lineRule="auto"/>
        <w:ind w:left="0" w:firstLine="420" w:firstLineChars="200"/>
        <w:rPr>
          <w:rFonts w:ascii="宋体" w:hAnsi="宋体"/>
          <w:bCs/>
          <w:color w:val="auto"/>
          <w:szCs w:val="21"/>
        </w:rPr>
      </w:pPr>
      <w:r>
        <w:rPr>
          <w:rFonts w:hint="eastAsia" w:ascii="宋体" w:hAnsi="宋体"/>
          <w:bCs/>
          <w:color w:val="auto"/>
          <w:szCs w:val="21"/>
        </w:rPr>
        <w:t>联系人：周</w:t>
      </w:r>
      <w:r>
        <w:rPr>
          <w:rFonts w:hint="eastAsia" w:ascii="宋体" w:hAnsi="宋体"/>
          <w:bCs/>
          <w:color w:val="auto"/>
          <w:szCs w:val="21"/>
          <w:lang w:val="en-US" w:eastAsia="zh-CN"/>
        </w:rPr>
        <w:t>文健</w:t>
      </w:r>
      <w:r>
        <w:rPr>
          <w:rFonts w:hint="eastAsia" w:ascii="宋体" w:hAnsi="宋体"/>
          <w:bCs/>
          <w:color w:val="auto"/>
          <w:szCs w:val="21"/>
        </w:rPr>
        <w:t>，联系电话：0771-5788338</w:t>
      </w:r>
    </w:p>
    <w:p w14:paraId="6C58EB1E">
      <w:pPr>
        <w:pStyle w:val="13"/>
        <w:keepNext w:val="0"/>
        <w:keepLines w:val="0"/>
        <w:pageBreakBefore w:val="0"/>
        <w:kinsoku/>
        <w:overflowPunct/>
        <w:bidi w:val="0"/>
        <w:spacing w:line="360" w:lineRule="auto"/>
        <w:ind w:left="0" w:firstLine="420" w:firstLineChars="200"/>
        <w:rPr>
          <w:rFonts w:ascii="宋体" w:hAnsi="宋体"/>
          <w:bCs/>
          <w:color w:val="auto"/>
          <w:szCs w:val="21"/>
        </w:rPr>
      </w:pPr>
      <w:r>
        <w:rPr>
          <w:rFonts w:hint="eastAsia" w:ascii="宋体" w:hAnsi="宋体"/>
          <w:bCs/>
          <w:color w:val="auto"/>
          <w:szCs w:val="21"/>
        </w:rPr>
        <w:t>2、采购代理机构信息：</w:t>
      </w:r>
    </w:p>
    <w:p w14:paraId="0EDD8A49">
      <w:pPr>
        <w:pStyle w:val="13"/>
        <w:keepNext w:val="0"/>
        <w:keepLines w:val="0"/>
        <w:pageBreakBefore w:val="0"/>
        <w:kinsoku/>
        <w:overflowPunct/>
        <w:bidi w:val="0"/>
        <w:spacing w:line="360" w:lineRule="auto"/>
        <w:ind w:left="0" w:firstLine="420" w:firstLineChars="200"/>
        <w:rPr>
          <w:rFonts w:ascii="宋体" w:hAnsi="宋体"/>
          <w:bCs/>
          <w:color w:val="auto"/>
          <w:szCs w:val="21"/>
        </w:rPr>
      </w:pPr>
      <w:r>
        <w:rPr>
          <w:rFonts w:hint="eastAsia" w:ascii="宋体" w:hAnsi="宋体"/>
          <w:bCs/>
          <w:color w:val="auto"/>
          <w:szCs w:val="21"/>
        </w:rPr>
        <w:t>名 称：广西君安工程建设顾问有限公司</w:t>
      </w:r>
    </w:p>
    <w:p w14:paraId="7050FD99">
      <w:pPr>
        <w:pStyle w:val="13"/>
        <w:keepNext w:val="0"/>
        <w:keepLines w:val="0"/>
        <w:pageBreakBefore w:val="0"/>
        <w:kinsoku/>
        <w:overflowPunct/>
        <w:bidi w:val="0"/>
        <w:spacing w:line="360" w:lineRule="auto"/>
        <w:ind w:left="0" w:firstLine="420" w:firstLineChars="200"/>
        <w:rPr>
          <w:rFonts w:ascii="宋体" w:hAnsi="宋体"/>
          <w:bCs/>
          <w:color w:val="auto"/>
          <w:szCs w:val="21"/>
        </w:rPr>
      </w:pPr>
      <w:r>
        <w:rPr>
          <w:rFonts w:hint="eastAsia" w:ascii="宋体" w:hAnsi="宋体"/>
          <w:bCs/>
          <w:color w:val="auto"/>
          <w:szCs w:val="21"/>
        </w:rPr>
        <w:t>地 址：广西南宁市青秀区金浦路22号名都大厦1409号</w:t>
      </w:r>
    </w:p>
    <w:p w14:paraId="04CEA888">
      <w:pPr>
        <w:pStyle w:val="13"/>
        <w:keepNext w:val="0"/>
        <w:keepLines w:val="0"/>
        <w:pageBreakBefore w:val="0"/>
        <w:kinsoku/>
        <w:overflowPunct/>
        <w:bidi w:val="0"/>
        <w:spacing w:line="360" w:lineRule="auto"/>
        <w:ind w:left="0" w:firstLine="420" w:firstLineChars="200"/>
        <w:rPr>
          <w:rFonts w:ascii="宋体" w:hAnsi="宋体"/>
          <w:bCs/>
          <w:color w:val="auto"/>
          <w:szCs w:val="21"/>
        </w:rPr>
      </w:pPr>
      <w:r>
        <w:rPr>
          <w:rFonts w:hint="eastAsia" w:ascii="宋体" w:hAnsi="宋体"/>
          <w:bCs/>
          <w:color w:val="auto"/>
          <w:szCs w:val="21"/>
        </w:rPr>
        <w:t>联系人：</w:t>
      </w:r>
      <w:r>
        <w:rPr>
          <w:rFonts w:hint="eastAsia" w:ascii="宋体" w:hAnsi="宋体"/>
          <w:bCs/>
          <w:color w:val="auto"/>
          <w:szCs w:val="21"/>
          <w:lang w:val="en-US" w:eastAsia="zh-CN"/>
        </w:rPr>
        <w:t>谭俏雅、卢雪萍</w:t>
      </w:r>
      <w:r>
        <w:rPr>
          <w:rFonts w:hint="eastAsia" w:ascii="宋体" w:hAnsi="宋体"/>
          <w:bCs/>
          <w:color w:val="auto"/>
          <w:szCs w:val="21"/>
        </w:rPr>
        <w:t>，联系电话：0771-3800755</w:t>
      </w:r>
    </w:p>
    <w:p w14:paraId="5504A464">
      <w:pPr>
        <w:pStyle w:val="13"/>
        <w:keepNext w:val="0"/>
        <w:keepLines w:val="0"/>
        <w:pageBreakBefore w:val="0"/>
        <w:kinsoku/>
        <w:overflowPunct/>
        <w:bidi w:val="0"/>
        <w:spacing w:line="360" w:lineRule="auto"/>
        <w:ind w:left="0" w:firstLine="420" w:firstLineChars="200"/>
        <w:rPr>
          <w:rFonts w:ascii="宋体" w:hAnsi="宋体"/>
          <w:bCs/>
          <w:color w:val="auto"/>
          <w:szCs w:val="21"/>
        </w:rPr>
      </w:pPr>
      <w:r>
        <w:rPr>
          <w:rFonts w:hint="eastAsia" w:ascii="宋体" w:hAnsi="宋体"/>
          <w:bCs/>
          <w:color w:val="auto"/>
          <w:szCs w:val="21"/>
        </w:rPr>
        <w:t>邮箱：junan0771@163.com</w:t>
      </w:r>
    </w:p>
    <w:p w14:paraId="183B8A09">
      <w:pPr>
        <w:pStyle w:val="13"/>
        <w:keepNext w:val="0"/>
        <w:keepLines w:val="0"/>
        <w:pageBreakBefore w:val="0"/>
        <w:kinsoku/>
        <w:overflowPunct/>
        <w:bidi w:val="0"/>
        <w:spacing w:line="360" w:lineRule="auto"/>
        <w:ind w:left="0" w:firstLine="420" w:firstLineChars="200"/>
        <w:rPr>
          <w:rFonts w:ascii="宋体" w:hAnsi="宋体"/>
          <w:bCs/>
          <w:color w:val="auto"/>
          <w:szCs w:val="21"/>
        </w:rPr>
      </w:pPr>
      <w:r>
        <w:rPr>
          <w:rFonts w:hint="eastAsia" w:ascii="宋体" w:hAnsi="宋体"/>
          <w:bCs/>
          <w:color w:val="auto"/>
          <w:szCs w:val="21"/>
        </w:rPr>
        <w:t>3、项目联系方式：</w:t>
      </w:r>
    </w:p>
    <w:p w14:paraId="7283CA72">
      <w:pPr>
        <w:pStyle w:val="13"/>
        <w:keepNext w:val="0"/>
        <w:keepLines w:val="0"/>
        <w:pageBreakBefore w:val="0"/>
        <w:kinsoku/>
        <w:overflowPunct/>
        <w:bidi w:val="0"/>
        <w:spacing w:line="360" w:lineRule="auto"/>
        <w:ind w:left="0" w:firstLine="420" w:firstLineChars="200"/>
        <w:rPr>
          <w:rFonts w:ascii="宋体" w:hAnsi="宋体"/>
          <w:bCs/>
          <w:color w:val="auto"/>
          <w:szCs w:val="21"/>
        </w:rPr>
      </w:pPr>
      <w:r>
        <w:rPr>
          <w:rFonts w:hint="eastAsia" w:ascii="宋体" w:hAnsi="宋体"/>
          <w:bCs/>
          <w:color w:val="auto"/>
          <w:szCs w:val="21"/>
        </w:rPr>
        <w:t>项目联系人：</w:t>
      </w:r>
      <w:r>
        <w:rPr>
          <w:rFonts w:hint="eastAsia" w:ascii="宋体" w:hAnsi="宋体"/>
          <w:bCs/>
          <w:color w:val="auto"/>
          <w:szCs w:val="21"/>
          <w:lang w:val="en-US" w:eastAsia="zh-CN"/>
        </w:rPr>
        <w:t>谭俏雅、卢雪萍</w:t>
      </w:r>
    </w:p>
    <w:p w14:paraId="1CB20D14">
      <w:pPr>
        <w:pStyle w:val="13"/>
        <w:keepNext w:val="0"/>
        <w:keepLines w:val="0"/>
        <w:pageBreakBefore w:val="0"/>
        <w:kinsoku/>
        <w:overflowPunct/>
        <w:bidi w:val="0"/>
        <w:spacing w:line="360" w:lineRule="auto"/>
        <w:ind w:left="0" w:firstLine="420" w:firstLineChars="200"/>
        <w:rPr>
          <w:rFonts w:ascii="宋体" w:hAnsi="宋体"/>
          <w:bCs/>
          <w:color w:val="auto"/>
          <w:szCs w:val="21"/>
        </w:rPr>
      </w:pPr>
      <w:r>
        <w:rPr>
          <w:rFonts w:hint="eastAsia" w:ascii="宋体" w:hAnsi="宋体"/>
          <w:bCs/>
          <w:color w:val="auto"/>
          <w:szCs w:val="21"/>
        </w:rPr>
        <w:t>联系电话：0771-3800755</w:t>
      </w:r>
    </w:p>
    <w:p w14:paraId="6C567FF0">
      <w:pPr>
        <w:pStyle w:val="13"/>
        <w:keepNext w:val="0"/>
        <w:keepLines w:val="0"/>
        <w:pageBreakBefore w:val="0"/>
        <w:kinsoku/>
        <w:overflowPunct/>
        <w:bidi w:val="0"/>
        <w:spacing w:line="360" w:lineRule="auto"/>
        <w:ind w:left="0" w:firstLine="420" w:firstLineChars="200"/>
        <w:rPr>
          <w:rFonts w:ascii="宋体" w:hAnsi="宋体"/>
          <w:bCs/>
          <w:color w:val="auto"/>
          <w:szCs w:val="21"/>
        </w:rPr>
      </w:pPr>
    </w:p>
    <w:p w14:paraId="169D5C43">
      <w:pPr>
        <w:keepNext w:val="0"/>
        <w:keepLines w:val="0"/>
        <w:pageBreakBefore w:val="0"/>
        <w:kinsoku/>
        <w:wordWrap w:val="0"/>
        <w:overflowPunct/>
        <w:bidi w:val="0"/>
        <w:spacing w:line="360" w:lineRule="auto"/>
        <w:ind w:firstLine="420" w:firstLineChars="200"/>
        <w:jc w:val="right"/>
        <w:rPr>
          <w:rFonts w:ascii="宋体" w:hAnsi="宋体" w:cs="宋体"/>
          <w:color w:val="auto"/>
          <w:szCs w:val="21"/>
        </w:rPr>
      </w:pPr>
      <w:r>
        <w:rPr>
          <w:rFonts w:hint="eastAsia" w:ascii="宋体" w:hAnsi="宋体" w:cs="宋体"/>
          <w:color w:val="auto"/>
          <w:szCs w:val="21"/>
        </w:rPr>
        <w:t>广西君安工程建设顾问有限公司</w:t>
      </w:r>
    </w:p>
    <w:p w14:paraId="44A98DBC">
      <w:pPr>
        <w:keepNext w:val="0"/>
        <w:keepLines w:val="0"/>
        <w:pageBreakBefore w:val="0"/>
        <w:kinsoku/>
        <w:wordWrap w:val="0"/>
        <w:overflowPunct/>
        <w:bidi w:val="0"/>
        <w:spacing w:line="360" w:lineRule="auto"/>
        <w:ind w:firstLine="420" w:firstLineChars="200"/>
        <w:jc w:val="right"/>
        <w:rPr>
          <w:rFonts w:ascii="宋体" w:hAnsi="宋体" w:cs="宋体"/>
          <w:color w:val="auto"/>
          <w:szCs w:val="21"/>
        </w:rPr>
      </w:pPr>
      <w:r>
        <w:rPr>
          <w:rFonts w:hint="eastAsia" w:ascii="宋体" w:hAnsi="宋体" w:cs="宋体"/>
          <w:color w:val="auto"/>
          <w:szCs w:val="21"/>
        </w:rPr>
        <w:t>202</w:t>
      </w:r>
      <w:r>
        <w:rPr>
          <w:rFonts w:hint="eastAsia" w:ascii="宋体" w:hAnsi="宋体" w:cs="宋体"/>
          <w:color w:val="auto"/>
          <w:szCs w:val="21"/>
          <w:lang w:val="en-US" w:eastAsia="zh-CN"/>
        </w:rPr>
        <w:t>5</w:t>
      </w:r>
      <w:r>
        <w:rPr>
          <w:rFonts w:hint="eastAsia" w:ascii="宋体" w:hAnsi="宋体" w:cs="宋体"/>
          <w:color w:val="auto"/>
          <w:szCs w:val="21"/>
        </w:rPr>
        <w:t>年</w:t>
      </w:r>
      <w:r>
        <w:rPr>
          <w:rFonts w:hint="eastAsia" w:ascii="宋体" w:hAnsi="宋体" w:cs="宋体"/>
          <w:color w:val="auto"/>
          <w:szCs w:val="21"/>
          <w:lang w:val="en-US" w:eastAsia="zh-CN"/>
        </w:rPr>
        <w:t>12</w:t>
      </w:r>
      <w:r>
        <w:rPr>
          <w:rFonts w:hint="eastAsia" w:ascii="宋体" w:hAnsi="宋体" w:cs="宋体"/>
          <w:color w:val="auto"/>
          <w:szCs w:val="21"/>
        </w:rPr>
        <w:t>月</w:t>
      </w:r>
      <w:r>
        <w:rPr>
          <w:rFonts w:hint="eastAsia" w:ascii="宋体" w:hAnsi="宋体" w:cs="宋体"/>
          <w:color w:val="auto"/>
          <w:szCs w:val="21"/>
          <w:lang w:val="en-US" w:eastAsia="zh-CN"/>
        </w:rPr>
        <w:t>1</w:t>
      </w:r>
      <w:r>
        <w:rPr>
          <w:rFonts w:hint="eastAsia" w:ascii="宋体" w:hAnsi="宋体" w:cs="宋体"/>
          <w:color w:val="auto"/>
          <w:szCs w:val="21"/>
        </w:rPr>
        <w:t>日</w:t>
      </w:r>
    </w:p>
    <w:p w14:paraId="74F45CE4">
      <w:pPr>
        <w:keepNext w:val="0"/>
        <w:keepLines w:val="0"/>
        <w:pageBreakBefore w:val="0"/>
        <w:kinsoku/>
        <w:overflowPunct/>
        <w:bidi w:val="0"/>
        <w:spacing w:line="360" w:lineRule="auto"/>
        <w:rPr>
          <w:rFonts w:hint="eastAsia" w:ascii="宋体" w:hAnsi="宋体" w:cs="宋体"/>
          <w:b/>
          <w:bCs/>
          <w:color w:val="auto"/>
          <w:szCs w:val="21"/>
        </w:rPr>
      </w:pPr>
      <w:bookmarkStart w:id="30" w:name="_Toc5806"/>
      <w:r>
        <w:rPr>
          <w:rFonts w:hint="eastAsia" w:ascii="宋体" w:hAnsi="宋体" w:cs="宋体"/>
          <w:b/>
          <w:bCs/>
          <w:color w:val="auto"/>
          <w:szCs w:val="21"/>
        </w:rPr>
        <w:br w:type="page"/>
      </w:r>
    </w:p>
    <w:bookmarkEnd w:id="30"/>
    <w:p w14:paraId="23209C7B">
      <w:pPr>
        <w:keepNext w:val="0"/>
        <w:keepLines w:val="0"/>
        <w:pageBreakBefore w:val="0"/>
        <w:kinsoku/>
        <w:overflowPunct/>
        <w:bidi w:val="0"/>
        <w:spacing w:line="360" w:lineRule="auto"/>
        <w:jc w:val="center"/>
        <w:outlineLvl w:val="0"/>
        <w:rPr>
          <w:rFonts w:hint="default" w:ascii="宋体" w:hAnsi="宋体" w:eastAsia="宋体" w:cs="宋体"/>
          <w:b/>
          <w:bCs/>
          <w:color w:val="auto"/>
          <w:sz w:val="32"/>
          <w:szCs w:val="32"/>
          <w:lang w:val="en-US" w:eastAsia="zh-CN"/>
        </w:rPr>
      </w:pPr>
      <w:bookmarkStart w:id="31" w:name="_Toc9492"/>
      <w:r>
        <w:rPr>
          <w:rFonts w:hint="eastAsia" w:ascii="宋体" w:hAnsi="宋体" w:cs="宋体"/>
          <w:b/>
          <w:bCs/>
          <w:color w:val="auto"/>
          <w:sz w:val="32"/>
          <w:szCs w:val="32"/>
        </w:rPr>
        <w:t xml:space="preserve">第二章  </w:t>
      </w:r>
      <w:r>
        <w:rPr>
          <w:rFonts w:hint="eastAsia" w:ascii="宋体" w:hAnsi="宋体" w:cs="宋体"/>
          <w:b/>
          <w:bCs/>
          <w:color w:val="auto"/>
          <w:sz w:val="32"/>
          <w:szCs w:val="32"/>
          <w:lang w:val="en-US" w:eastAsia="zh-CN"/>
        </w:rPr>
        <w:t>采购需求</w:t>
      </w:r>
      <w:bookmarkEnd w:id="31"/>
    </w:p>
    <w:p w14:paraId="2CCFD93F">
      <w:pPr>
        <w:pStyle w:val="13"/>
        <w:keepNext w:val="0"/>
        <w:keepLines w:val="0"/>
        <w:pageBreakBefore w:val="0"/>
        <w:kinsoku/>
        <w:overflowPunct/>
        <w:bidi w:val="0"/>
        <w:spacing w:line="360" w:lineRule="auto"/>
        <w:ind w:left="0" w:firstLine="420" w:firstLineChars="200"/>
        <w:rPr>
          <w:rFonts w:hint="eastAsia" w:ascii="宋体" w:hAnsi="宋体" w:eastAsia="宋体" w:cs="Times New Roman"/>
          <w:bCs/>
          <w:color w:val="auto"/>
          <w:szCs w:val="21"/>
        </w:rPr>
      </w:pPr>
      <w:r>
        <w:rPr>
          <w:rFonts w:hint="eastAsia" w:ascii="宋体" w:hAnsi="宋体" w:eastAsia="宋体" w:cs="Times New Roman"/>
          <w:bCs/>
          <w:color w:val="auto"/>
          <w:szCs w:val="21"/>
        </w:rPr>
        <w:t>说明：</w:t>
      </w:r>
    </w:p>
    <w:p w14:paraId="53DCF0D5">
      <w:pPr>
        <w:pStyle w:val="13"/>
        <w:keepNext w:val="0"/>
        <w:keepLines w:val="0"/>
        <w:pageBreakBefore w:val="0"/>
        <w:kinsoku/>
        <w:overflowPunct/>
        <w:bidi w:val="0"/>
        <w:spacing w:line="360" w:lineRule="auto"/>
        <w:ind w:left="0" w:leftChars="0" w:firstLine="420" w:firstLineChars="200"/>
        <w:rPr>
          <w:rFonts w:hint="eastAsia" w:ascii="宋体" w:hAnsi="宋体" w:eastAsia="宋体" w:cs="Times New Roman"/>
          <w:bCs/>
          <w:color w:val="auto"/>
          <w:szCs w:val="21"/>
        </w:rPr>
      </w:pPr>
      <w:r>
        <w:rPr>
          <w:rFonts w:hint="eastAsia" w:ascii="宋体" w:hAnsi="宋体" w:eastAsia="宋体" w:cs="Times New Roman"/>
          <w:bCs/>
          <w:color w:val="auto"/>
          <w:szCs w:val="21"/>
        </w:rPr>
        <w:t>1.为落实政府采购政策需满足的要求本招标文件所称中小企业必须符合《政府采购促进中小企业发展管理办法》（财库〔2020〕46号）的规定。</w:t>
      </w:r>
    </w:p>
    <w:p w14:paraId="54970449">
      <w:pPr>
        <w:pStyle w:val="13"/>
        <w:keepNext w:val="0"/>
        <w:keepLines w:val="0"/>
        <w:pageBreakBefore w:val="0"/>
        <w:kinsoku/>
        <w:overflowPunct/>
        <w:bidi w:val="0"/>
        <w:spacing w:line="360" w:lineRule="auto"/>
        <w:ind w:left="0" w:leftChars="0" w:firstLine="420" w:firstLineChars="200"/>
        <w:rPr>
          <w:rFonts w:hint="eastAsia" w:ascii="宋体" w:hAnsi="宋体" w:cs="Times New Roman"/>
          <w:bCs/>
          <w:color w:val="auto"/>
          <w:szCs w:val="21"/>
          <w:lang w:val="en-US" w:eastAsia="zh-CN"/>
        </w:rPr>
      </w:pPr>
      <w:r>
        <w:rPr>
          <w:rFonts w:hint="eastAsia" w:ascii="宋体" w:hAnsi="宋体" w:cs="Times New Roman"/>
          <w:bCs/>
          <w:color w:val="auto"/>
          <w:szCs w:val="21"/>
          <w:lang w:val="en-US" w:eastAsia="zh-CN"/>
        </w:rPr>
        <w:t>2.“实质性要求”是指招标文件中已经指明不满足则投标无效的条款，或者不能负偏离的条款，或者采购需求中带“▲”的条款。</w:t>
      </w:r>
    </w:p>
    <w:p w14:paraId="7B39D752">
      <w:pPr>
        <w:pStyle w:val="13"/>
        <w:keepNext w:val="0"/>
        <w:keepLines w:val="0"/>
        <w:pageBreakBefore w:val="0"/>
        <w:kinsoku/>
        <w:overflowPunct/>
        <w:bidi w:val="0"/>
        <w:spacing w:line="360" w:lineRule="auto"/>
        <w:ind w:left="0" w:leftChars="0" w:firstLine="420" w:firstLineChars="200"/>
        <w:rPr>
          <w:rFonts w:hint="eastAsia" w:ascii="宋体" w:hAnsi="宋体" w:cs="Times New Roman"/>
          <w:bCs/>
          <w:color w:val="auto"/>
          <w:szCs w:val="21"/>
          <w:lang w:val="en-US" w:eastAsia="zh-CN"/>
        </w:rPr>
      </w:pPr>
      <w:r>
        <w:rPr>
          <w:rFonts w:hint="eastAsia" w:ascii="宋体" w:hAnsi="宋体" w:cs="Times New Roman"/>
          <w:bCs/>
          <w:color w:val="auto"/>
          <w:szCs w:val="21"/>
          <w:lang w:val="en-US" w:eastAsia="zh-CN"/>
        </w:rPr>
        <w:t>3.投标人应根据自身实际情况如实响应招标文件，对招标文件提出的要求和条件作出明确响应，否则将作无效响应处理。</w:t>
      </w:r>
    </w:p>
    <w:p w14:paraId="67374E08">
      <w:pPr>
        <w:pStyle w:val="13"/>
        <w:keepNext w:val="0"/>
        <w:keepLines w:val="0"/>
        <w:pageBreakBefore w:val="0"/>
        <w:kinsoku/>
        <w:overflowPunct/>
        <w:bidi w:val="0"/>
        <w:spacing w:line="360" w:lineRule="auto"/>
        <w:ind w:left="0" w:leftChars="0" w:firstLine="420" w:firstLineChars="200"/>
        <w:rPr>
          <w:rFonts w:hint="eastAsia" w:ascii="宋体" w:hAnsi="宋体" w:cs="Times New Roman"/>
          <w:bCs/>
          <w:color w:val="auto"/>
          <w:szCs w:val="21"/>
          <w:lang w:val="en-US" w:eastAsia="zh-CN"/>
        </w:rPr>
      </w:pPr>
      <w:r>
        <w:rPr>
          <w:rFonts w:hint="eastAsia" w:ascii="宋体" w:hAnsi="宋体" w:cs="Times New Roman"/>
          <w:bCs/>
          <w:color w:val="auto"/>
          <w:szCs w:val="21"/>
          <w:lang w:val="en-US" w:eastAsia="zh-CN"/>
        </w:rPr>
        <w:t>4.投标人必须自行为其投标产品侵犯他人的知识产权或者专利成果的行为承担相应法律责任。</w:t>
      </w:r>
    </w:p>
    <w:p w14:paraId="46B38058">
      <w:pPr>
        <w:pStyle w:val="13"/>
        <w:keepNext w:val="0"/>
        <w:keepLines w:val="0"/>
        <w:pageBreakBefore w:val="0"/>
        <w:kinsoku/>
        <w:overflowPunct/>
        <w:bidi w:val="0"/>
        <w:spacing w:line="360" w:lineRule="auto"/>
        <w:ind w:left="0" w:leftChars="0" w:firstLine="420" w:firstLineChars="200"/>
        <w:rPr>
          <w:rFonts w:hint="eastAsia" w:ascii="宋体" w:hAnsi="宋体" w:cs="Times New Roman"/>
          <w:bCs/>
          <w:color w:val="auto"/>
          <w:szCs w:val="21"/>
          <w:lang w:val="en-US" w:eastAsia="zh-CN"/>
        </w:rPr>
      </w:pPr>
      <w:r>
        <w:rPr>
          <w:rFonts w:hint="eastAsia" w:ascii="宋体" w:hAnsi="宋体" w:cs="Times New Roman"/>
          <w:bCs/>
          <w:color w:val="auto"/>
          <w:szCs w:val="21"/>
          <w:lang w:val="en-US" w:eastAsia="zh-CN"/>
        </w:rPr>
        <w:t>5.招标文件中所要求提供的证明材料，如为英文文本的请同时提供中文译本。</w:t>
      </w:r>
    </w:p>
    <w:p w14:paraId="17FA4DC7">
      <w:pPr>
        <w:pStyle w:val="13"/>
        <w:keepNext w:val="0"/>
        <w:keepLines w:val="0"/>
        <w:pageBreakBefore w:val="0"/>
        <w:kinsoku/>
        <w:overflowPunct/>
        <w:bidi w:val="0"/>
        <w:spacing w:line="360" w:lineRule="auto"/>
        <w:ind w:left="0" w:leftChars="0" w:firstLine="420" w:firstLineChars="200"/>
        <w:rPr>
          <w:rFonts w:hint="eastAsia" w:ascii="宋体" w:hAnsi="宋体" w:cs="Times New Roman"/>
          <w:bCs/>
          <w:color w:val="auto"/>
          <w:szCs w:val="21"/>
          <w:lang w:val="en-US" w:eastAsia="zh-CN"/>
        </w:rPr>
      </w:pPr>
      <w:r>
        <w:rPr>
          <w:rFonts w:hint="eastAsia" w:ascii="宋体" w:hAnsi="宋体" w:cs="Times New Roman"/>
          <w:bCs/>
          <w:color w:val="auto"/>
          <w:szCs w:val="21"/>
          <w:lang w:val="en-US" w:eastAsia="zh-CN"/>
        </w:rPr>
        <w:t>6.本项目为服务类项目，无核心产品，无进口产品。</w:t>
      </w:r>
    </w:p>
    <w:p w14:paraId="54D67A17">
      <w:pPr>
        <w:pStyle w:val="13"/>
        <w:keepNext w:val="0"/>
        <w:keepLines w:val="0"/>
        <w:pageBreakBefore w:val="0"/>
        <w:kinsoku/>
        <w:overflowPunct/>
        <w:bidi w:val="0"/>
        <w:spacing w:line="360" w:lineRule="auto"/>
        <w:ind w:left="0" w:leftChars="0" w:firstLine="420" w:firstLineChars="200"/>
        <w:rPr>
          <w:rFonts w:hint="eastAsia" w:ascii="宋体" w:hAnsi="宋体" w:cs="Times New Roman"/>
          <w:bCs/>
          <w:color w:val="auto"/>
          <w:szCs w:val="21"/>
          <w:lang w:val="en-US" w:eastAsia="zh-CN"/>
        </w:rPr>
      </w:pPr>
      <w:r>
        <w:rPr>
          <w:rFonts w:hint="eastAsia" w:ascii="宋体" w:hAnsi="宋体" w:cs="Times New Roman"/>
          <w:bCs/>
          <w:color w:val="auto"/>
          <w:szCs w:val="21"/>
          <w:lang w:val="en-US" w:eastAsia="zh-CN"/>
        </w:rPr>
        <w:t>7.本项目标的所属行业：</w:t>
      </w:r>
      <w:r>
        <w:rPr>
          <w:rFonts w:hint="eastAsia" w:ascii="宋体" w:hAnsi="宋体" w:cs="Times New Roman"/>
          <w:b/>
          <w:bCs w:val="0"/>
          <w:color w:val="auto"/>
          <w:szCs w:val="21"/>
          <w:lang w:val="en-US" w:eastAsia="zh-CN"/>
        </w:rPr>
        <w:t>软件和信息技术服务业。</w:t>
      </w:r>
    </w:p>
    <w:p w14:paraId="0458ABF6">
      <w:pPr>
        <w:pStyle w:val="13"/>
        <w:keepNext w:val="0"/>
        <w:keepLines w:val="0"/>
        <w:pageBreakBefore w:val="0"/>
        <w:kinsoku/>
        <w:overflowPunct/>
        <w:bidi w:val="0"/>
        <w:spacing w:line="360" w:lineRule="auto"/>
        <w:ind w:left="0" w:leftChars="0" w:firstLine="422" w:firstLineChars="200"/>
        <w:rPr>
          <w:rFonts w:hint="eastAsia" w:ascii="宋体" w:hAnsi="宋体" w:cs="Times New Roman"/>
          <w:b/>
          <w:bCs w:val="0"/>
          <w:color w:val="auto"/>
          <w:szCs w:val="21"/>
          <w:lang w:val="en-US" w:eastAsia="zh-CN"/>
        </w:rPr>
      </w:pPr>
      <w:r>
        <w:rPr>
          <w:rFonts w:hint="eastAsia" w:ascii="宋体" w:hAnsi="宋体" w:cs="Times New Roman"/>
          <w:b/>
          <w:bCs w:val="0"/>
          <w:color w:val="auto"/>
          <w:szCs w:val="21"/>
          <w:lang w:val="en-US" w:eastAsia="zh-CN"/>
        </w:rPr>
        <w:t>8.评标委员会认为投标人的报价明显低于其他通过符合性审查投标人的报价，有可能影响其服务或产品质量或者不能诚信履约的，应当要求其在评标现场合理的时间内提供书面说明，必要时提交相关证明材料；投标人不能证明其报价合理性的，评标委员会应当将其作为无效投标处理。</w:t>
      </w:r>
    </w:p>
    <w:tbl>
      <w:tblPr>
        <w:tblStyle w:val="25"/>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8"/>
        <w:gridCol w:w="2526"/>
        <w:gridCol w:w="638"/>
        <w:gridCol w:w="468"/>
        <w:gridCol w:w="5488"/>
      </w:tblGrid>
      <w:tr w14:paraId="0A481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AB18AB">
            <w:pPr>
              <w:keepNext w:val="0"/>
              <w:keepLines/>
              <w:pageBreakBefore w:val="0"/>
              <w:widowControl/>
              <w:suppressLineNumbers w:val="0"/>
              <w:kinsoku/>
              <w:wordWrap w:val="0"/>
              <w:overflowPunct/>
              <w:topLinePunct/>
              <w:autoSpaceDE/>
              <w:autoSpaceDN/>
              <w:bidi w:val="0"/>
              <w:adjustRightInd/>
              <w:snapToGrid/>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541B07">
            <w:pPr>
              <w:keepNext w:val="0"/>
              <w:keepLines/>
              <w:pageBreakBefore w:val="0"/>
              <w:widowControl/>
              <w:suppressLineNumbers w:val="0"/>
              <w:kinsoku/>
              <w:wordWrap w:val="0"/>
              <w:overflowPunct/>
              <w:topLinePunct/>
              <w:autoSpaceDE/>
              <w:autoSpaceDN/>
              <w:bidi w:val="0"/>
              <w:adjustRightInd/>
              <w:snapToGrid/>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标的名称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7A3A0">
            <w:pPr>
              <w:keepNext w:val="0"/>
              <w:keepLines/>
              <w:pageBreakBefore w:val="0"/>
              <w:widowControl/>
              <w:suppressLineNumbers w:val="0"/>
              <w:kinsoku/>
              <w:wordWrap w:val="0"/>
              <w:overflowPunct/>
              <w:topLinePunct/>
              <w:autoSpaceDE/>
              <w:autoSpaceDN/>
              <w:bidi w:val="0"/>
              <w:adjustRightInd/>
              <w:snapToGrid/>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数量</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B7008">
            <w:pPr>
              <w:keepNext w:val="0"/>
              <w:keepLines/>
              <w:pageBreakBefore w:val="0"/>
              <w:widowControl/>
              <w:suppressLineNumbers w:val="0"/>
              <w:kinsoku/>
              <w:wordWrap w:val="0"/>
              <w:overflowPunct/>
              <w:topLinePunct/>
              <w:autoSpaceDE/>
              <w:autoSpaceDN/>
              <w:bidi w:val="0"/>
              <w:adjustRightInd/>
              <w:snapToGrid/>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单位</w:t>
            </w:r>
          </w:p>
        </w:tc>
        <w:tc>
          <w:tcPr>
            <w:tcW w:w="5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9BD5D">
            <w:pPr>
              <w:keepNext w:val="0"/>
              <w:keepLines/>
              <w:pageBreakBefore w:val="0"/>
              <w:widowControl/>
              <w:suppressLineNumbers w:val="0"/>
              <w:kinsoku/>
              <w:wordWrap w:val="0"/>
              <w:overflowPunct/>
              <w:topLinePunct/>
              <w:autoSpaceDE/>
              <w:autoSpaceDN/>
              <w:bidi w:val="0"/>
              <w:adjustRightInd/>
              <w:snapToGrid/>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服务及技术需求</w:t>
            </w:r>
          </w:p>
        </w:tc>
      </w:tr>
      <w:tr w14:paraId="77B08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B2241">
            <w:pPr>
              <w:keepNext w:val="0"/>
              <w:keepLines/>
              <w:pageBreakBefore w:val="0"/>
              <w:widowControl/>
              <w:suppressLineNumbers w:val="0"/>
              <w:kinsoku/>
              <w:wordWrap w:val="0"/>
              <w:overflowPunct/>
              <w:topLinePunct/>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1DFB3E">
            <w:pPr>
              <w:keepNext w:val="0"/>
              <w:keepLines/>
              <w:pageBreakBefore w:val="0"/>
              <w:widowControl/>
              <w:suppressLineNumbers w:val="0"/>
              <w:kinsoku/>
              <w:wordWrap w:val="0"/>
              <w:overflowPunct/>
              <w:topLinePunct/>
              <w:autoSpaceDE/>
              <w:autoSpaceDN/>
              <w:bidi w:val="0"/>
              <w:adjustRightInd/>
              <w:snapToGri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运维管理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C3720">
            <w:pPr>
              <w:keepNext w:val="0"/>
              <w:keepLines/>
              <w:pageBreakBefore w:val="0"/>
              <w:widowControl/>
              <w:suppressLineNumbers w:val="0"/>
              <w:kinsoku/>
              <w:wordWrap w:val="0"/>
              <w:overflowPunct/>
              <w:topLinePunct/>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56E0F">
            <w:pPr>
              <w:keepNext w:val="0"/>
              <w:keepLines/>
              <w:pageBreakBefore w:val="0"/>
              <w:widowControl/>
              <w:suppressLineNumbers w:val="0"/>
              <w:kinsoku/>
              <w:wordWrap w:val="0"/>
              <w:overflowPunct/>
              <w:topLinePunct/>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5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722F4">
            <w:pPr>
              <w:keepNext w:val="0"/>
              <w:keepLines/>
              <w:pageBreakBefore w:val="0"/>
              <w:widowControl/>
              <w:numPr>
                <w:ilvl w:val="0"/>
                <w:numId w:val="2"/>
              </w:numPr>
              <w:suppressLineNumbers w:val="0"/>
              <w:kinsoku/>
              <w:wordWrap w:val="0"/>
              <w:overflowPunct/>
              <w:topLinePunct/>
              <w:autoSpaceDE/>
              <w:autoSpaceDN/>
              <w:bidi w:val="0"/>
              <w:adjustRightInd/>
              <w:snapToGrid/>
              <w:ind w:left="220" w:hanging="210" w:hangingChars="10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服务对象及范围</w:t>
            </w:r>
          </w:p>
          <w:p w14:paraId="314143D1">
            <w:pPr>
              <w:keepNext w:val="0"/>
              <w:keepLines/>
              <w:pageBreakBefore w:val="0"/>
              <w:widowControl/>
              <w:numPr>
                <w:ilvl w:val="0"/>
                <w:numId w:val="0"/>
              </w:numPr>
              <w:suppressLineNumbers w:val="0"/>
              <w:kinsoku/>
              <w:wordWrap w:val="0"/>
              <w:overflowPunct/>
              <w:topLinePunct/>
              <w:autoSpaceDE/>
              <w:autoSpaceDN/>
              <w:bidi w:val="0"/>
              <w:adjustRightInd/>
              <w:snapToGrid/>
              <w:ind w:firstLine="420" w:firstLineChars="20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数字法院运维管理服务的对象包括广西高院司法技术管理处、服务全区系统运维人员、中心机房及网络运维人员、高院机关运维人员、专项服务保障等。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服务范围是在广西高院技术主管部门的领导下，负责运维服务工作的总体安排，组织管理实施法院运维任务，就整体信息化运维工作对甲方直接负责。</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sz w:val="21"/>
                <w:szCs w:val="21"/>
                <w:highlight w:val="none"/>
              </w:rPr>
              <w:t>▲</w:t>
            </w:r>
            <w:r>
              <w:rPr>
                <w:rFonts w:hint="eastAsia" w:ascii="宋体" w:hAnsi="宋体" w:eastAsia="宋体" w:cs="宋体"/>
                <w:i w:val="0"/>
                <w:iCs w:val="0"/>
                <w:color w:val="000000"/>
                <w:kern w:val="0"/>
                <w:sz w:val="21"/>
                <w:szCs w:val="21"/>
                <w:highlight w:val="none"/>
                <w:u w:val="none"/>
                <w:lang w:val="en-US" w:eastAsia="zh-CN" w:bidi="ar"/>
              </w:rPr>
              <w:t>二、服务内容</w:t>
            </w:r>
          </w:p>
          <w:p w14:paraId="31FD5822">
            <w:pPr>
              <w:keepNext w:val="0"/>
              <w:keepLines/>
              <w:pageBreakBefore w:val="0"/>
              <w:widowControl/>
              <w:numPr>
                <w:ilvl w:val="0"/>
                <w:numId w:val="0"/>
              </w:numPr>
              <w:suppressLineNumbers w:val="0"/>
              <w:kinsoku/>
              <w:wordWrap w:val="0"/>
              <w:overflowPunct/>
              <w:topLinePunct/>
              <w:autoSpaceDE/>
              <w:autoSpaceDN/>
              <w:bidi w:val="0"/>
              <w:adjustRightInd/>
              <w:snapToGrid/>
              <w:ind w:firstLine="420" w:firstLineChars="20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驻场服务人数要求：不少于2人。</w:t>
            </w:r>
          </w:p>
          <w:p w14:paraId="539AF71E">
            <w:pPr>
              <w:keepNext w:val="0"/>
              <w:keepLines/>
              <w:pageBreakBefore w:val="0"/>
              <w:widowControl/>
              <w:numPr>
                <w:ilvl w:val="0"/>
                <w:numId w:val="0"/>
              </w:numPr>
              <w:suppressLineNumbers w:val="0"/>
              <w:kinsoku/>
              <w:wordWrap w:val="0"/>
              <w:overflowPunct/>
              <w:topLinePunct/>
              <w:autoSpaceDE/>
              <w:autoSpaceDN/>
              <w:bidi w:val="0"/>
              <w:adjustRightInd/>
              <w:snapToGrid/>
              <w:ind w:firstLine="420" w:firstLineChars="20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数字法院运维管理团队成员由广西高院相关领导和运维管理团队共同组成。</w:t>
            </w:r>
          </w:p>
          <w:p w14:paraId="29880C34">
            <w:pPr>
              <w:keepNext w:val="0"/>
              <w:keepLines/>
              <w:pageBreakBefore w:val="0"/>
              <w:widowControl/>
              <w:numPr>
                <w:ilvl w:val="0"/>
                <w:numId w:val="0"/>
              </w:numPr>
              <w:suppressLineNumbers w:val="0"/>
              <w:kinsoku/>
              <w:wordWrap w:val="0"/>
              <w:overflowPunct/>
              <w:topLinePunct/>
              <w:autoSpaceDE/>
              <w:autoSpaceDN/>
              <w:bidi w:val="0"/>
              <w:adjustRightInd/>
              <w:snapToGrid/>
              <w:ind w:firstLine="420" w:firstLineChars="20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数字法院运维管理职责：在广西高院技术主管部门的领导下，负责运维服务工作的总体安排，组织管理实施法院运维任务，就整体信息化运维工作对甲方直接负责。</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1．负责完善服务体系建设和管控、运维人员管理，就整体信息化运维工作对甲方负责；</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2．负责贯彻执行广西高级人民法院各项运维服务流程；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3．负责组织制定整体运维应急方案；</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4．负责对运维服务过程管理和监督；</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5．负责对法院运维服</w:t>
            </w:r>
            <w:r>
              <w:rPr>
                <w:rFonts w:hint="eastAsia" w:ascii="宋体" w:hAnsi="宋体" w:cs="宋体"/>
                <w:i w:val="0"/>
                <w:iCs w:val="0"/>
                <w:color w:val="000000"/>
                <w:kern w:val="0"/>
                <w:sz w:val="21"/>
                <w:szCs w:val="21"/>
                <w:highlight w:val="none"/>
                <w:u w:val="none"/>
                <w:lang w:val="en-US" w:eastAsia="zh-CN" w:bidi="ar"/>
              </w:rPr>
              <w:t>务平</w:t>
            </w:r>
            <w:r>
              <w:rPr>
                <w:rFonts w:hint="eastAsia" w:ascii="宋体" w:hAnsi="宋体" w:eastAsia="宋体" w:cs="宋体"/>
                <w:i w:val="0"/>
                <w:iCs w:val="0"/>
                <w:color w:val="000000"/>
                <w:kern w:val="0"/>
                <w:sz w:val="21"/>
                <w:szCs w:val="21"/>
                <w:highlight w:val="none"/>
                <w:u w:val="none"/>
                <w:lang w:val="en-US" w:eastAsia="zh-CN" w:bidi="ar"/>
              </w:rPr>
              <w:t>台的管理与使用维护工作；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6.对法院的运维全过程实施管理，结合法院业务的实际情况，负责整个运维管理体系流程的建立、更新、完善和优化；</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7.负责制定运维质效管理制度及考核指标，负责运维过程跟踪、运维结果评价、运维效率评估、运维团队的绩效考核。</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同时，针对前后端的运维服务受理，建立广西高院运维服务台。日常服务请求，由服务台人员按照统一接口、统一受理的原则，按照不同运维对象的服务级别和SLA，采用流程驱动的方式，加强对运维服务过程的管控，以满足SLA的要求。</w:t>
            </w:r>
          </w:p>
        </w:tc>
      </w:tr>
      <w:tr w14:paraId="230A8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210B7">
            <w:pPr>
              <w:keepNext w:val="0"/>
              <w:keepLines/>
              <w:pageBreakBefore w:val="0"/>
              <w:widowControl/>
              <w:suppressLineNumbers w:val="0"/>
              <w:kinsoku/>
              <w:wordWrap w:val="0"/>
              <w:overflowPunct/>
              <w:topLinePunct/>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38A2FC">
            <w:pPr>
              <w:keepNext w:val="0"/>
              <w:keepLines/>
              <w:pageBreakBefore w:val="0"/>
              <w:widowControl/>
              <w:suppressLineNumbers w:val="0"/>
              <w:kinsoku/>
              <w:wordWrap w:val="0"/>
              <w:overflowPunct/>
              <w:topLinePunct/>
              <w:autoSpaceDE/>
              <w:autoSpaceDN/>
              <w:bidi w:val="0"/>
              <w:adjustRightInd/>
              <w:snapToGri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一张网运维（高院驻点）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0B990">
            <w:pPr>
              <w:keepNext w:val="0"/>
              <w:keepLines/>
              <w:pageBreakBefore w:val="0"/>
              <w:widowControl/>
              <w:suppressLineNumbers w:val="0"/>
              <w:kinsoku/>
              <w:wordWrap w:val="0"/>
              <w:overflowPunct/>
              <w:topLinePunct/>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E21FC">
            <w:pPr>
              <w:keepNext w:val="0"/>
              <w:keepLines/>
              <w:pageBreakBefore w:val="0"/>
              <w:widowControl/>
              <w:suppressLineNumbers w:val="0"/>
              <w:kinsoku/>
              <w:wordWrap w:val="0"/>
              <w:overflowPunct/>
              <w:topLinePunct/>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5488" w:type="dxa"/>
            <w:tcBorders>
              <w:top w:val="single" w:color="000000" w:sz="4" w:space="0"/>
              <w:left w:val="single" w:color="000000" w:sz="4" w:space="0"/>
              <w:bottom w:val="single" w:color="000000" w:sz="4" w:space="0"/>
              <w:right w:val="single" w:color="000000" w:sz="4" w:space="0"/>
            </w:tcBorders>
            <w:shd w:val="clear" w:color="auto" w:fill="auto"/>
            <w:vAlign w:val="top"/>
          </w:tcPr>
          <w:p w14:paraId="70DE2332">
            <w:pPr>
              <w:keepNext w:val="0"/>
              <w:keepLines/>
              <w:pageBreakBefore w:val="0"/>
              <w:widowControl/>
              <w:suppressLineNumbers w:val="0"/>
              <w:kinsoku/>
              <w:wordWrap w:val="0"/>
              <w:overflowPunct/>
              <w:topLinePunct/>
              <w:autoSpaceDE/>
              <w:autoSpaceDN/>
              <w:bidi w:val="0"/>
              <w:adjustRightInd/>
              <w:snapToGrid/>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一、服务对象及范围</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服务对象是广西全区130家法院干警，服务范围包括一张网办案系统（审判业务）、办案系统（执行业务）、办公系统、全国信访系统广西分系统、数据运维。</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1、办案系统（审判业务）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  包含全国法院办案办公平台系统中27个应用功能模块的运维，具体包含审判办案模块、司法技术办案模块、减刑假释办案模块、立案模块、庭前准备、案件空间、刑事案件特有功能、行政案件特有功能、环资案件特有功能、知产案件特有功能、询价评估、委托鉴定评估、结案模块、判后处理、四级法院办案业务协同、案件信息查询统计、材料收转、智能编目、程序性文书模块、移动审判办案模块、流程节点监管、四类案件、数据决策、数据专窗、鉴定机构服务、全国档案远程在线调阅、总对总司法查控系统。</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2、办案系统（执行业务）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  包括全国法院办案办公平台建设的办案办公工作桌面、诉讼服务、立案、审判、执行、审判管理、行政办公、业务中心、数据中台和智能中台等共13个一级系统。</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3、办公系统</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对全国法院办案办公平台的办公类业务应用提供运维服务。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4、全国信访系统广西分系统</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5、数据运维</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（1）负责对最高法院下行数据本省端共享接口进行巡检、监控及故障处理，保障数据交换的及时性、完整性、一致性。</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（2）负责根据用户需求通过“一张网”提供的工具进行数据的查询、统计和分析；负责支持用户在数据工具使用中遇到的问题。</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（3）负责对下行业务数据进行质检，及时发现并推动数据质量问题的解决；负责配合对最高法院提出的数据质量问题进行排查、分析和处理。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（4）负责“一张网”数据中台功能在自治区内使用的支持，负责自治区内业务数据准确性核验协助和数据问题排查等内容。</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（5）对广西法院电子卷宗编目归目后的卷宗档案材料进行人工质量检测，检测卷宗档案是否满足规范要求，材料是否齐全、内容是否完善等。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二、服务内容</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 </w:t>
            </w:r>
            <w:r>
              <w:rPr>
                <w:rFonts w:hint="eastAsia" w:ascii="宋体" w:hAnsi="宋体" w:eastAsia="宋体" w:cs="宋体"/>
                <w:sz w:val="21"/>
                <w:szCs w:val="21"/>
                <w:highlight w:val="none"/>
              </w:rPr>
              <w:t>▲</w:t>
            </w:r>
            <w:r>
              <w:rPr>
                <w:rFonts w:hint="eastAsia" w:ascii="宋体" w:hAnsi="宋体" w:eastAsia="宋体" w:cs="宋体"/>
                <w:i w:val="0"/>
                <w:iCs w:val="0"/>
                <w:color w:val="000000"/>
                <w:kern w:val="0"/>
                <w:sz w:val="21"/>
                <w:szCs w:val="21"/>
                <w:highlight w:val="none"/>
                <w:u w:val="none"/>
                <w:lang w:val="en-US" w:eastAsia="zh-CN" w:bidi="ar"/>
              </w:rPr>
              <w:t>驻场服务人数要求：不少于</w:t>
            </w:r>
            <w:r>
              <w:rPr>
                <w:rFonts w:hint="eastAsia" w:ascii="宋体" w:hAnsi="宋体" w:cs="宋体"/>
                <w:i w:val="0"/>
                <w:iCs w:val="0"/>
                <w:color w:val="000000"/>
                <w:kern w:val="0"/>
                <w:sz w:val="21"/>
                <w:szCs w:val="21"/>
                <w:highlight w:val="none"/>
                <w:u w:val="none"/>
                <w:lang w:val="en-US" w:eastAsia="zh-CN" w:bidi="ar"/>
              </w:rPr>
              <w:t>22</w:t>
            </w:r>
            <w:r>
              <w:rPr>
                <w:rFonts w:hint="eastAsia" w:ascii="宋体" w:hAnsi="宋体" w:eastAsia="宋体" w:cs="宋体"/>
                <w:i w:val="0"/>
                <w:iCs w:val="0"/>
                <w:color w:val="000000"/>
                <w:kern w:val="0"/>
                <w:sz w:val="21"/>
                <w:szCs w:val="21"/>
                <w:highlight w:val="none"/>
                <w:u w:val="none"/>
                <w:lang w:val="en-US" w:eastAsia="zh-CN" w:bidi="ar"/>
              </w:rPr>
              <w:t>人，其中技术主管不少于1人，办案系统（审判业务）不少于</w:t>
            </w:r>
            <w:r>
              <w:rPr>
                <w:rFonts w:hint="eastAsia" w:ascii="宋体" w:hAnsi="宋体" w:cs="宋体"/>
                <w:i w:val="0"/>
                <w:iCs w:val="0"/>
                <w:color w:val="000000"/>
                <w:kern w:val="0"/>
                <w:sz w:val="21"/>
                <w:szCs w:val="21"/>
                <w:highlight w:val="none"/>
                <w:u w:val="none"/>
                <w:lang w:val="en-US" w:eastAsia="zh-CN" w:bidi="ar"/>
              </w:rPr>
              <w:t>5</w:t>
            </w:r>
            <w:r>
              <w:rPr>
                <w:rFonts w:hint="eastAsia" w:ascii="宋体" w:hAnsi="宋体" w:eastAsia="宋体" w:cs="宋体"/>
                <w:i w:val="0"/>
                <w:iCs w:val="0"/>
                <w:color w:val="000000"/>
                <w:kern w:val="0"/>
                <w:sz w:val="21"/>
                <w:szCs w:val="21"/>
                <w:highlight w:val="none"/>
                <w:u w:val="none"/>
                <w:lang w:val="en-US" w:eastAsia="zh-CN" w:bidi="ar"/>
              </w:rPr>
              <w:t>人，办案系统（执行业务）不少于5人，办公系统不少于5人，全国信访系统广西分系统不少于2人，数据运维不少于</w:t>
            </w:r>
            <w:r>
              <w:rPr>
                <w:rFonts w:hint="eastAsia" w:ascii="宋体" w:hAnsi="宋体" w:cs="宋体"/>
                <w:i w:val="0"/>
                <w:iCs w:val="0"/>
                <w:color w:val="000000"/>
                <w:kern w:val="0"/>
                <w:sz w:val="21"/>
                <w:szCs w:val="21"/>
                <w:highlight w:val="none"/>
                <w:u w:val="none"/>
                <w:lang w:val="en-US" w:eastAsia="zh-CN" w:bidi="ar"/>
              </w:rPr>
              <w:t>4</w:t>
            </w:r>
            <w:r>
              <w:rPr>
                <w:rFonts w:hint="eastAsia" w:ascii="宋体" w:hAnsi="宋体" w:eastAsia="宋体" w:cs="宋体"/>
                <w:i w:val="0"/>
                <w:iCs w:val="0"/>
                <w:color w:val="000000"/>
                <w:kern w:val="0"/>
                <w:sz w:val="21"/>
                <w:szCs w:val="21"/>
                <w:highlight w:val="none"/>
                <w:u w:val="none"/>
                <w:lang w:val="en-US" w:eastAsia="zh-CN" w:bidi="ar"/>
              </w:rPr>
              <w:t>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1、办案系统（审判业务）、办案系统（执行业务）、办公系统、全国信访系统广西分系统运维服务内容包含：</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（1）每日巡检</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每日至少两次对报修管理系统应用系统进行巡检，定时监控系统运行状态，常见类型业务的全流程测试等。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（2）应用系统使用支持，应用系统使用培训</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支持用户日常的应用系统使用，解决用户使用过程中遇到的问题，必要时</w:t>
            </w:r>
            <w:r>
              <w:rPr>
                <w:rFonts w:hint="eastAsia" w:ascii="宋体" w:hAnsi="宋体" w:cs="宋体"/>
                <w:i w:val="0"/>
                <w:iCs w:val="0"/>
                <w:color w:val="000000"/>
                <w:kern w:val="0"/>
                <w:sz w:val="21"/>
                <w:szCs w:val="21"/>
                <w:highlight w:val="none"/>
                <w:u w:val="none"/>
                <w:lang w:val="en-US" w:eastAsia="zh-CN" w:bidi="ar"/>
              </w:rPr>
              <w:t>提</w:t>
            </w:r>
            <w:r>
              <w:rPr>
                <w:rFonts w:hint="eastAsia" w:ascii="宋体" w:hAnsi="宋体" w:eastAsia="宋体" w:cs="宋体"/>
                <w:i w:val="0"/>
                <w:iCs w:val="0"/>
                <w:color w:val="000000"/>
                <w:kern w:val="0"/>
                <w:sz w:val="21"/>
                <w:szCs w:val="21"/>
                <w:highlight w:val="none"/>
                <w:u w:val="none"/>
                <w:lang w:val="en-US" w:eastAsia="zh-CN" w:bidi="ar"/>
              </w:rPr>
              <w:t>供上门指导；按需培训，配合高院组织的全区骨干培训要求做好培训和答疑工作；二是在系统升级变动较大的情况下，按需开展针对性的培训工作，可以以线上的方式开展培训；定期开展各业务部门主动上门服务，主动收集问题和需求、一对一培训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（3）热线电话服务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受理解答法院干警电话反馈的使用操作、业务咨询、问题处理、紧急工单催办等问题；对全区法院用户反馈的应用系统缺陷（Bug）进行确认、记录和上报等；收集需求并汇总为需求文档上报。</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（4）工单处理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受理解答工单问题；收集需求并汇总为需求文档上报；对全区法院用户反馈的应用系统缺陷（Bug）进行确认、记录和上报等；处理中院运维转交的疑难问题工单；将常见问题及解决办法汇总到知识库中；协调并配合“南中心”支持人员排查问题。</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（5）需求整理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汇总电话、工单、中院运维反馈等渠道收集到的需求和问题；初步判断紧急需求并及时提交公司处理；其他需求定期提交公司审查，并将审查结果形成文档，报告高院主管部门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（6）其他交办任务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包括但不限于以下运维内容：</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1）运维工作汇报；</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2）领导交办事项处理；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3）重要人员的技术服务；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4）协助广西自治区高级人民法院编写信息规划、总结等；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5）系统演示汇报及培训等。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2、数据运维服务内容包含：</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（1）一张网数据运维：</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1）负责“一张网”与高院自建系统、政法协同、共享交换服务对接的高级法院端接口的巡检、监控、配置和故障处理。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2）负责对最高法院下行数据高院端共享接口进行巡检、监控及故障处理，保障数据交换的及时性、完整性、一致性。</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3）负责根据用户需求通过“一张网”提供的工具进行数据的查询、统计和分析；负责支持用户在数据工具使用中遇到的问题。</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4）负责对下行业务数据进行质检，及时发现并推动数据质量问题的解决；负责配合对最高法院提出的数据质量问题进行排查、分析和处理。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（2）电子卷宗加工质量检测运维服务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1）广西法院电子卷宗编目归目后的卷宗档案材料进行人工质量检测，检测卷宗档案是否满足规范要求，材料是否齐全、内容是否完善等。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每周形成检测周报，周报内容包括但不限于质检数量汇总检测编目案号及材料问题清单列表、组卷归档检查情况、集约送达情况、质检工作情况（包括组卷装订问题、数据加工质检汇总、集约送达汇总、送达时效检查）、材料接收记录表问题汇总、邮政外出送达不成功汇总、外出送达超时统计等。</w:t>
            </w:r>
          </w:p>
        </w:tc>
      </w:tr>
      <w:tr w14:paraId="6167E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A486B">
            <w:pPr>
              <w:keepNext w:val="0"/>
              <w:keepLines/>
              <w:pageBreakBefore w:val="0"/>
              <w:widowControl/>
              <w:suppressLineNumbers w:val="0"/>
              <w:kinsoku/>
              <w:wordWrap w:val="0"/>
              <w:overflowPunct/>
              <w:topLinePunct/>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93D445">
            <w:pPr>
              <w:keepNext w:val="0"/>
              <w:keepLines/>
              <w:pageBreakBefore w:val="0"/>
              <w:widowControl/>
              <w:suppressLineNumbers w:val="0"/>
              <w:kinsoku/>
              <w:wordWrap w:val="0"/>
              <w:overflowPunct/>
              <w:topLinePunct/>
              <w:autoSpaceDE/>
              <w:autoSpaceDN/>
              <w:bidi w:val="0"/>
              <w:adjustRightInd/>
              <w:snapToGri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一张网运维（中院驻点）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5E447">
            <w:pPr>
              <w:keepNext w:val="0"/>
              <w:keepLines/>
              <w:pageBreakBefore w:val="0"/>
              <w:widowControl/>
              <w:suppressLineNumbers w:val="0"/>
              <w:kinsoku/>
              <w:wordWrap w:val="0"/>
              <w:overflowPunct/>
              <w:topLinePunct/>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A2E2E">
            <w:pPr>
              <w:keepNext w:val="0"/>
              <w:keepLines/>
              <w:pageBreakBefore w:val="0"/>
              <w:widowControl/>
              <w:suppressLineNumbers w:val="0"/>
              <w:kinsoku/>
              <w:wordWrap w:val="0"/>
              <w:overflowPunct/>
              <w:topLinePunct/>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5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DFBC2">
            <w:pPr>
              <w:keepNext w:val="0"/>
              <w:keepLines/>
              <w:pageBreakBefore w:val="0"/>
              <w:widowControl/>
              <w:suppressLineNumbers w:val="0"/>
              <w:kinsoku/>
              <w:wordWrap w:val="0"/>
              <w:overflowPunct/>
              <w:topLinePunct/>
              <w:autoSpaceDE/>
              <w:autoSpaceDN/>
              <w:bidi w:val="0"/>
              <w:adjustRightInd/>
              <w:snapToGri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一、服务对象及范围</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在南宁、百色、崇左、防城港、贵港、桂林、河池、贺州、来宾、柳州、铁路、钦州、梧州、玉林中院、北海及海事法院，各驻点1人负责中院一张网系统及高院自建系统运维工单的处理。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二、服务内容</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sz w:val="21"/>
                <w:szCs w:val="21"/>
                <w:highlight w:val="none"/>
              </w:rPr>
              <w:t>▲</w:t>
            </w:r>
            <w:r>
              <w:rPr>
                <w:rFonts w:hint="eastAsia" w:ascii="宋体" w:hAnsi="宋体" w:eastAsia="宋体" w:cs="宋体"/>
                <w:i w:val="0"/>
                <w:iCs w:val="0"/>
                <w:color w:val="000000"/>
                <w:kern w:val="0"/>
                <w:sz w:val="21"/>
                <w:szCs w:val="21"/>
                <w:highlight w:val="none"/>
                <w:u w:val="none"/>
                <w:lang w:val="en-US" w:eastAsia="zh-CN" w:bidi="ar"/>
              </w:rPr>
              <w:t>驻场服务人数要求：不少于15人。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1.系统维护范围：全国法院办案办公平台中的所有业务场景；广西高级人民法院自建系统运维工单的处理。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2.需求整理：及时整理本辖区提交用户需求，汇总上报运维总管，并定期反馈需求进度；</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3.应用咨询：对中院、机构、下级法院的关于各类应用系统提供应用咨询服务，按照事件管理的要求及时准确的对建设单位提出的问题提供咨询服务；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4.bug问题处理：对业务应用系统的Bug进行收集、确认、汇总上报、反馈等工作；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5.故障处理：对系统出现的故障、服务中断等问题进行及时处理；对于疑难问题反馈高院驻点运维排查；</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6.领导交办：完成中院各项领导交办任务，包括专项配合、上级指派工作等。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7.日常中院及下级法院工单问题、微信群问题、热线电话问题、邮件处理；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8.每日巡检：完成每日巡检工作，检查业务应用系统的运行情况，确认是否正常运行；</w:t>
            </w:r>
          </w:p>
        </w:tc>
      </w:tr>
      <w:tr w14:paraId="7935F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DA661">
            <w:pPr>
              <w:keepNext w:val="0"/>
              <w:keepLines/>
              <w:pageBreakBefore w:val="0"/>
              <w:widowControl/>
              <w:suppressLineNumbers w:val="0"/>
              <w:kinsoku/>
              <w:wordWrap w:val="0"/>
              <w:overflowPunct/>
              <w:topLinePunct/>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3783D3">
            <w:pPr>
              <w:keepNext w:val="0"/>
              <w:keepLines/>
              <w:pageBreakBefore w:val="0"/>
              <w:widowControl/>
              <w:suppressLineNumbers w:val="0"/>
              <w:kinsoku/>
              <w:wordWrap w:val="0"/>
              <w:overflowPunct/>
              <w:topLinePunct/>
              <w:autoSpaceDE/>
              <w:autoSpaceDN/>
              <w:bidi w:val="0"/>
              <w:adjustRightInd/>
              <w:snapToGri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本地保留系统运维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298E0">
            <w:pPr>
              <w:keepNext w:val="0"/>
              <w:keepLines/>
              <w:pageBreakBefore w:val="0"/>
              <w:widowControl/>
              <w:suppressLineNumbers w:val="0"/>
              <w:kinsoku/>
              <w:wordWrap w:val="0"/>
              <w:overflowPunct/>
              <w:topLinePunct/>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8A6E9">
            <w:pPr>
              <w:keepNext w:val="0"/>
              <w:keepLines/>
              <w:pageBreakBefore w:val="0"/>
              <w:widowControl/>
              <w:suppressLineNumbers w:val="0"/>
              <w:kinsoku/>
              <w:wordWrap w:val="0"/>
              <w:overflowPunct/>
              <w:topLinePunct/>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5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D217A">
            <w:pPr>
              <w:keepNext w:val="0"/>
              <w:keepLines/>
              <w:pageBreakBefore w:val="0"/>
              <w:widowControl/>
              <w:suppressLineNumbers w:val="0"/>
              <w:kinsoku/>
              <w:wordWrap w:val="0"/>
              <w:overflowPunct/>
              <w:topLinePunct/>
              <w:autoSpaceDE/>
              <w:autoSpaceDN/>
              <w:bidi w:val="0"/>
              <w:adjustRightInd/>
              <w:snapToGri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一、服务对象及范围</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服务对象是广西全区130家法院干警，范围包含：</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1、办案系统（旧审判系统），包含本地自建系统包含广西法院审判平台、数据共享交换平台、短信平台、执行案款系统、电子卷宗智能管理系统等15个系统。</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2、办案系统（旧执行系统），包含电子档案管理系统、点对点司法查控系统、人民法院执行案件流程信息管理系统、执行信息门户系统、文书平台系统、自助服务一体机等6个系统。</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本地OA办公系统，包含广西法院统一身份认证系统，综合应用门户系统，办文管理系统，办会管理系统，请休假管理系统，考勤管理系统，值班管理系统，报餐管理系统，内部邮件系统，内部论坛，业务系统意见反馈，手机短信平台，通知公告系统，通讯管理系统，法院集群网站，绩效考评网，内部信息网，绩效考核评价系统，项目管理系统，人民陪审员信息管理系统，人大代表来信管理系统，院长来信管理系统，时间</w:t>
            </w:r>
            <w:r>
              <w:rPr>
                <w:rFonts w:hint="eastAsia" w:ascii="宋体" w:hAnsi="宋体" w:cs="宋体"/>
                <w:i w:val="0"/>
                <w:iCs w:val="0"/>
                <w:color w:val="000000"/>
                <w:kern w:val="0"/>
                <w:sz w:val="21"/>
                <w:szCs w:val="21"/>
                <w:highlight w:val="none"/>
                <w:u w:val="none"/>
                <w:lang w:val="en-US" w:eastAsia="zh-CN" w:bidi="ar"/>
              </w:rPr>
              <w:t>智能</w:t>
            </w:r>
            <w:r>
              <w:rPr>
                <w:rFonts w:hint="eastAsia" w:ascii="宋体" w:hAnsi="宋体" w:eastAsia="宋体" w:cs="宋体"/>
                <w:i w:val="0"/>
                <w:iCs w:val="0"/>
                <w:color w:val="000000"/>
                <w:kern w:val="0"/>
                <w:sz w:val="21"/>
                <w:szCs w:val="21"/>
                <w:highlight w:val="none"/>
                <w:u w:val="none"/>
                <w:lang w:val="en-US" w:eastAsia="zh-CN" w:bidi="ar"/>
              </w:rPr>
              <w:t>助理系统，综合智能管控系统，设备管理系统，重要场所管理系统，工作流管理系统，调查问卷系统，跨网云盘，统一签章系统，普通签章系统，决策分析系统，移动办公平台，手机公文处理，手机消息中心，手机邮件，手机通知公告，手机工作</w:t>
            </w:r>
            <w:r>
              <w:rPr>
                <w:rFonts w:hint="eastAsia" w:ascii="宋体" w:hAnsi="宋体" w:cs="宋体"/>
                <w:i w:val="0"/>
                <w:iCs w:val="0"/>
                <w:color w:val="000000"/>
                <w:kern w:val="0"/>
                <w:sz w:val="21"/>
                <w:szCs w:val="21"/>
                <w:highlight w:val="none"/>
                <w:u w:val="none"/>
                <w:lang w:val="en-US" w:eastAsia="zh-CN" w:bidi="ar"/>
              </w:rPr>
              <w:t>流程</w:t>
            </w:r>
            <w:r>
              <w:rPr>
                <w:rFonts w:hint="eastAsia" w:ascii="宋体" w:hAnsi="宋体" w:eastAsia="宋体" w:cs="宋体"/>
                <w:i w:val="0"/>
                <w:iCs w:val="0"/>
                <w:color w:val="000000"/>
                <w:kern w:val="0"/>
                <w:sz w:val="21"/>
                <w:szCs w:val="21"/>
                <w:highlight w:val="none"/>
                <w:u w:val="none"/>
                <w:lang w:val="en-US" w:eastAsia="zh-CN" w:bidi="ar"/>
              </w:rPr>
              <w:t>，手机日程安排，手机报餐，手机签到，定位考勤，手机法院通讯录系统，手机集群网站，手机短信，规划管理系统，后台管理系统，最高法公文交换对接系统，最高法部署的应用系统等23个系统。</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能力平台-语音识别系统，包含庭审语音识别系统、统一庭审与语音识别融合法庭界面、互联网庭审与语音识别融合法庭界面、审委会语音识别系统、智慧合议语音系统，法官个人语音助手系统、语音识别统一管理服务平台等系统。</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5、能力平台-OCR系统，包含档案数据治理提取校对全文检索系统。</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6、司法辅助系统，包含人民法院司法文书纠错系统、人民法院文书直报系统广西法院司法警务管理系统、法警考试系统等系统。</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7、音视频系统，包含视频会议系统、科技法庭、执行指挥中心监控系统、音视频管理平台、诉讼服务中心监控系统、全区审务督察系统等。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8、执行指挥系统，包含法院执行指挥互联网应急调度值守系统、全区移动执行平台。</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9、法官学院网站，包含北大法宝V6、中国—东盟国家法律与司法信息中心网站、广西法官学院教育培训平台网站内网版、广西法官学院教育培训平台网站互联网版、广西法官学院官方网站。</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10、财务内控系统，包含广西高院内控管理系统。</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11、借贷及考试系统，包含法官助理及司法辅助人员智能化管理系统和民间借贷案件全流程计算系统。</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12、统一庭审系统（互联网端），包含全区法院统一庭审系统（互联网端）、广西法院互联网统一门户运维服务。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13、统一庭审系统（内网端），包含全区法院统一庭审系统（内网端）。</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14、统一电子签名系统</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15、资产管理运维，提供高院资产盘点、资产登记、资产平台维护等服务。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16、广西高院可视化运维平台。</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二、服务内容</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sz w:val="21"/>
                <w:szCs w:val="21"/>
                <w:highlight w:val="none"/>
              </w:rPr>
              <w:t>▲</w:t>
            </w:r>
            <w:r>
              <w:rPr>
                <w:rFonts w:hint="eastAsia" w:ascii="宋体" w:hAnsi="宋体" w:eastAsia="宋体" w:cs="宋体"/>
                <w:i w:val="0"/>
                <w:iCs w:val="0"/>
                <w:color w:val="000000"/>
                <w:kern w:val="0"/>
                <w:sz w:val="21"/>
                <w:szCs w:val="21"/>
                <w:highlight w:val="none"/>
                <w:u w:val="none"/>
                <w:lang w:val="en-US" w:eastAsia="zh-CN" w:bidi="ar"/>
              </w:rPr>
              <w:t>（一）驻场服务人数要求：不少于</w:t>
            </w:r>
            <w:r>
              <w:rPr>
                <w:rFonts w:hint="eastAsia" w:ascii="宋体" w:hAnsi="宋体" w:cs="宋体"/>
                <w:i w:val="0"/>
                <w:iCs w:val="0"/>
                <w:color w:val="000000"/>
                <w:kern w:val="0"/>
                <w:sz w:val="21"/>
                <w:szCs w:val="21"/>
                <w:highlight w:val="none"/>
                <w:u w:val="none"/>
                <w:lang w:val="en-US" w:eastAsia="zh-CN" w:bidi="ar"/>
              </w:rPr>
              <w:t>19</w:t>
            </w:r>
            <w:r>
              <w:rPr>
                <w:rFonts w:hint="eastAsia" w:ascii="宋体" w:hAnsi="宋体" w:eastAsia="宋体" w:cs="宋体"/>
                <w:i w:val="0"/>
                <w:iCs w:val="0"/>
                <w:color w:val="000000"/>
                <w:kern w:val="0"/>
                <w:sz w:val="21"/>
                <w:szCs w:val="21"/>
                <w:highlight w:val="none"/>
                <w:u w:val="none"/>
                <w:lang w:val="en-US" w:eastAsia="zh-CN" w:bidi="ar"/>
              </w:rPr>
              <w:t>人，远程运维不少于3人。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（二）系统运行检查及监控：</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1、系统运行每日保障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每日上班前检查系统运行情况，若发现异常情况及时处理，并跟踪监测，确保用户工作时间段正常使用系统。</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2、主机类监控，包括主机可用性，文件系统磁盘空间利用率，CPU内存利用率、磁盘IO监控，页面交换监控，网络监控等；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3、数据库监控，包括数据库可用性，表空间，后台任务等。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 中间件监控，包括可用性，线程工作状态，会话数，虚拟主机可用性及内存占用情况，缓存及日志等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 应用情况监控，包括应用可用性，数据交换接口服务检查，定时任务检查，备份等。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6、响应要求：7×24小时。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（三）系统升级</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1、获取升级版本、搭建测试环境，部署、维护、及新版本功能测试验证；</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2、正式环境的版本升级，包括常规版本升级及相应开发需求的版本升级；</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3、升级报告及相关通知发布；</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4、版本升级后软件运行状况及使用情况的跟踪，较大型升级提供培训服务。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5、响应要求：7×24小时。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（四）运维报修处理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面向全区各法院执行干警提供问题需求报送通道，并解决全区干警提出的问题，完成后再反馈。包括本地系统的数据修改、业务系统接口对接，业务咨询、操作问题；上级法院统建系统的操作问题、业务咨询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2、处理要求：当日问题当日处理完毕，涉及数据上报需要第二天处理反馈的，第二天内完成处理和反馈。</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3、响应要求：即时响应，5×8小时。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（五）系统应用培训</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1、面向全区用户开展对业务系统进行针对性的培训、答疑、操作手册编制、常见问题培训等，采用视频集中培训方式等。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2、高院现场可以提供庭室现场进行一对一培训解答、一对一讲解</w:t>
            </w:r>
            <w:r>
              <w:rPr>
                <w:rFonts w:hint="eastAsia" w:ascii="宋体" w:hAnsi="宋体" w:cs="宋体"/>
                <w:i w:val="0"/>
                <w:iCs w:val="0"/>
                <w:color w:val="000000"/>
                <w:kern w:val="0"/>
                <w:sz w:val="21"/>
                <w:szCs w:val="21"/>
                <w:highlight w:val="none"/>
                <w:u w:val="none"/>
                <w:lang w:val="en-US" w:eastAsia="zh-CN" w:bidi="ar"/>
              </w:rPr>
              <w:t>的</w:t>
            </w:r>
            <w:r>
              <w:rPr>
                <w:rFonts w:hint="eastAsia" w:ascii="宋体" w:hAnsi="宋体" w:eastAsia="宋体" w:cs="宋体"/>
                <w:i w:val="0"/>
                <w:iCs w:val="0"/>
                <w:color w:val="000000"/>
                <w:kern w:val="0"/>
                <w:sz w:val="21"/>
                <w:szCs w:val="21"/>
                <w:highlight w:val="none"/>
                <w:u w:val="none"/>
                <w:lang w:val="en-US" w:eastAsia="zh-CN" w:bidi="ar"/>
              </w:rPr>
              <w:t>培训服务；针对应用效能指标薄弱环节，点对点培训法官如何使用。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3、响应要求：即时响应，5×8小时。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（六）数据统计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1、根据全区法院管理要求，提供各级法院所需各种数据等。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2、响应要求：即时响应，7×8小时。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（七）需求响应分析</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1、对全区执行干警提出的需求，及时进行沟通、确认，并报送区法院相关部门审核等。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2、响应要求：即时响应，5×8小时。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（八）需求跟踪与联调</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1、对于区法院同意修改的需求，及时跟踪开发进度，完成升级更新后及时反馈用户。在产品研发阶段，需要配合研发进行需求的现场环境调试等工作，确保需求能够符合广西壮族自治区法院现场环境要求。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2、响应要求：即时响应，5×8小时。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（九）专项工作配合</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1、根据最高人民法院对工作的要求，配合开展专项整顿工作等特殊工作。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2、响应要求：即时响应，7×8小时。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（十）故障处理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1、因停电、数据库宕机、数据库迁移等需要保障或故障处理情况，进行故障排查并处理，确保系统特殊情况下保障并及时恢复使用。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2、响应要求：即时响应，7×24小时。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（十一）系统对接调试</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1、与最高人民法院系统、全区法院建设的系统等进行对接调试工作；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2、响应要求：即时响应，5×8小时。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（十二）对接数据通畅保障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1、对外提供数据接口维护，维护接口程序的稳定性、实时性。</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2、响应要求：即时响应，5×8小时。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（十三）数据标准上报维护</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根据最高人民法院或广西高级人民法院数据上报标准、要求，修正各法院数据上报程序的抽取标准和规范，确保按照要求及时完整上报。</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1、每天定时检查数据上报汇总情况检测，以及协助对抽取程序、打包发送程序及对应服务器进行管理和维护；</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2、协助上级法院对司法公开数据的内外网交互准确性配合检查；</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3、协助法院与外单位数据交换、交换数据完整性、准确性。</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4、协助对数据完整性和准确性校对；根据最高法院数据中心标准对应用系统功能进行相应修改调整、功能增加、软件修改升级等操作。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5、协助定期对数据进行存储备份，及时处理垃圾数据，巡检存储空间，故障响应和处理。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6、响应要求：即时响应，7×8小时。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（十四）重大事项保障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1、对出现重大系统问题后，无论是否属于法定节假日，均应当及时安排运维人员处理问题；</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2、根据高院工作要求，在重大事项保障期间，无论是否属于法定节假日，均应当及时安排运维人员全力保障。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3、响应要求：即时响应，7×8小时。</w:t>
            </w:r>
          </w:p>
        </w:tc>
      </w:tr>
      <w:tr w14:paraId="0DE96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883F1">
            <w:pPr>
              <w:keepNext w:val="0"/>
              <w:keepLines/>
              <w:pageBreakBefore w:val="0"/>
              <w:widowControl/>
              <w:suppressLineNumbers w:val="0"/>
              <w:kinsoku/>
              <w:wordWrap w:val="0"/>
              <w:overflowPunct/>
              <w:topLinePunct/>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19285B">
            <w:pPr>
              <w:keepNext w:val="0"/>
              <w:keepLines/>
              <w:pageBreakBefore w:val="0"/>
              <w:widowControl/>
              <w:suppressLineNumbers w:val="0"/>
              <w:kinsoku/>
              <w:wordWrap w:val="0"/>
              <w:overflowPunct/>
              <w:topLinePunct/>
              <w:autoSpaceDE/>
              <w:autoSpaceDN/>
              <w:bidi w:val="0"/>
              <w:adjustRightInd/>
              <w:snapToGri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中心机房及网络运维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A2D74">
            <w:pPr>
              <w:keepNext w:val="0"/>
              <w:keepLines/>
              <w:pageBreakBefore w:val="0"/>
              <w:widowControl/>
              <w:suppressLineNumbers w:val="0"/>
              <w:kinsoku/>
              <w:wordWrap w:val="0"/>
              <w:overflowPunct/>
              <w:topLinePunct/>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13B22">
            <w:pPr>
              <w:keepNext w:val="0"/>
              <w:keepLines/>
              <w:pageBreakBefore w:val="0"/>
              <w:widowControl/>
              <w:suppressLineNumbers w:val="0"/>
              <w:kinsoku/>
              <w:wordWrap w:val="0"/>
              <w:overflowPunct/>
              <w:topLinePunct/>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5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A811A">
            <w:pPr>
              <w:keepNext w:val="0"/>
              <w:keepLines/>
              <w:pageBreakBefore w:val="0"/>
              <w:widowControl/>
              <w:numPr>
                <w:ilvl w:val="0"/>
                <w:numId w:val="3"/>
              </w:numPr>
              <w:suppressLineNumbers w:val="0"/>
              <w:kinsoku/>
              <w:wordWrap w:val="0"/>
              <w:overflowPunct/>
              <w:topLinePunct/>
              <w:autoSpaceDE/>
              <w:autoSpaceDN/>
              <w:bidi w:val="0"/>
              <w:adjustRightInd/>
              <w:snapToGrid/>
              <w:ind w:left="440" w:hanging="420" w:hangingChars="20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运维对象及范围</w:t>
            </w:r>
          </w:p>
          <w:p w14:paraId="4BDD4FE4">
            <w:pPr>
              <w:keepNext w:val="0"/>
              <w:keepLines/>
              <w:pageBreakBefore w:val="0"/>
              <w:widowControl/>
              <w:numPr>
                <w:ilvl w:val="0"/>
                <w:numId w:val="0"/>
              </w:numPr>
              <w:suppressLineNumbers w:val="0"/>
              <w:kinsoku/>
              <w:wordWrap w:val="0"/>
              <w:overflowPunct/>
              <w:topLinePunct/>
              <w:autoSpaceDE/>
              <w:autoSpaceDN/>
              <w:bidi w:val="0"/>
              <w:adjustRightInd/>
              <w:snapToGrid/>
              <w:ind w:firstLine="420" w:firstLineChars="20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运维服务对象是高院综合审判大楼10楼数据机房及高院执行指挥中心4楼数据机房范围内的服务器、存储、路由器、交换机、防火墙及机房内所有的设施，包括机房环境类设备，UPS、精密空调、消防设备、机房监控设备等。主要工作为对上述设备的软、硬件进行维护，其中包括服务器操作系统（windows系统、linux系统等主流的企业级操作系统），vmware虚拟化平台，超融合平台，华为18800存储，爱数备份系统，机房环境监控系统。进行维护和故障的排查，运维的网络包括中心机房的网络设备和全区129家法院的核心网络设备。</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二、服务内容：</w:t>
            </w:r>
          </w:p>
          <w:p w14:paraId="6331DD22">
            <w:pPr>
              <w:keepNext w:val="0"/>
              <w:keepLines/>
              <w:pageBreakBefore w:val="0"/>
              <w:widowControl/>
              <w:numPr>
                <w:ilvl w:val="0"/>
                <w:numId w:val="0"/>
              </w:numPr>
              <w:suppressLineNumbers w:val="0"/>
              <w:kinsoku/>
              <w:wordWrap w:val="0"/>
              <w:overflowPunct/>
              <w:topLinePunct/>
              <w:autoSpaceDE/>
              <w:autoSpaceDN/>
              <w:bidi w:val="0"/>
              <w:adjustRightInd/>
              <w:snapToGrid/>
              <w:ind w:firstLine="420" w:firstLineChars="20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为了满足运行维护工作需要，现场派驻不少于6名运维人员。</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1、机房管理</w:t>
            </w:r>
          </w:p>
          <w:p w14:paraId="37A5432A">
            <w:pPr>
              <w:keepNext w:val="0"/>
              <w:keepLines/>
              <w:pageBreakBefore w:val="0"/>
              <w:widowControl/>
              <w:numPr>
                <w:ilvl w:val="0"/>
                <w:numId w:val="0"/>
              </w:numPr>
              <w:suppressLineNumbers w:val="0"/>
              <w:kinsoku/>
              <w:wordWrap w:val="0"/>
              <w:overflowPunct/>
              <w:topLinePunct/>
              <w:autoSpaceDE/>
              <w:autoSpaceDN/>
              <w:bidi w:val="0"/>
              <w:adjustRightInd/>
              <w:snapToGrid/>
              <w:ind w:firstLine="420" w:firstLineChars="20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高院数据中心机房日常管理需要对机房内服务器和网络设备进行日常的管理，对机房设备进出登记管理，对人员进出机房进行审批登记管理，对机房日常的电话故障进行技术支持，对机房内的电力系统进行维护监控，对消防监控系统日常的运维，对空调及温度报警系统的日常运维，UPS电力日常监控，突发事件的应急处理，服务器、网络设备、安全设备、存储设备等日常的巡检和维护。</w:t>
            </w:r>
          </w:p>
          <w:p w14:paraId="03AE79E0">
            <w:pPr>
              <w:keepNext w:val="0"/>
              <w:keepLines/>
              <w:pageBreakBefore w:val="0"/>
              <w:widowControl/>
              <w:numPr>
                <w:ilvl w:val="0"/>
                <w:numId w:val="0"/>
              </w:numPr>
              <w:suppressLineNumbers w:val="0"/>
              <w:kinsoku/>
              <w:wordWrap w:val="0"/>
              <w:overflowPunct/>
              <w:topLinePunct/>
              <w:autoSpaceDE/>
              <w:autoSpaceDN/>
              <w:bidi w:val="0"/>
              <w:adjustRightInd/>
              <w:snapToGrid/>
              <w:ind w:firstLine="420" w:firstLineChars="20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对各系统提出的需求进行资源调整和网络改造等，其中包括内外网虚拟化平台和各种服务器、存储资源、网络资源等，还要对所提出资源的申请进行审核评定是否有足够的资源和提出的申请是否合理。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2、系统巡检</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  在维护的过程中需要对高院中心机房的设备进行日常的巡检，巡检要求为：每天不得少于4次的日常巡检，每周不得少于1次的整体检查，巡检内容为现场检查机房内的软、硬件的运行状态，监控系统的运行指标并判断系统运行的健康状况，做好巡检记录并保存备案。需要对发现的问题及时向上汇报并及时的配合处理问题直到系统恢复正常，对于现场无法解决的问题需要做好相关的记录并逐级上报。</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  每天的日常巡检内容需要对各系统的CPU、内存、磁盘空间等硬件资源进行检查是否有异常，对全区网络连通情况进行监控，对全区网络进行流量的监控，对机房内的温湿度进行对比温湿度不得超过或低于标准机房的要求数值，对机房内的消防系统巡查，对机房监控系统进行查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  每周的日常运维中需要对系统资源使用情况进行分析和优化，对各大系统</w:t>
            </w:r>
            <w:r>
              <w:rPr>
                <w:rFonts w:hint="eastAsia" w:ascii="宋体" w:hAnsi="宋体" w:cs="宋体"/>
                <w:i w:val="0"/>
                <w:iCs w:val="0"/>
                <w:color w:val="000000"/>
                <w:kern w:val="0"/>
                <w:sz w:val="21"/>
                <w:szCs w:val="21"/>
                <w:highlight w:val="none"/>
                <w:u w:val="none"/>
                <w:lang w:val="en-US" w:eastAsia="zh-CN" w:bidi="ar"/>
              </w:rPr>
              <w:t>的</w:t>
            </w:r>
            <w:r>
              <w:rPr>
                <w:rFonts w:hint="eastAsia" w:ascii="宋体" w:hAnsi="宋体" w:eastAsia="宋体" w:cs="宋体"/>
                <w:i w:val="0"/>
                <w:iCs w:val="0"/>
                <w:color w:val="000000"/>
                <w:kern w:val="0"/>
                <w:sz w:val="21"/>
                <w:szCs w:val="21"/>
                <w:highlight w:val="none"/>
                <w:u w:val="none"/>
                <w:lang w:val="en-US" w:eastAsia="zh-CN" w:bidi="ar"/>
              </w:rPr>
              <w:t>日志进行查看和分析，对机房的空调和外机进行巡查，对各大备份系统进行查看备份是否正常备份如可以进行恢复测试需要进行恢复测试保障系统备份的完</w:t>
            </w:r>
            <w:r>
              <w:rPr>
                <w:rFonts w:hint="eastAsia" w:ascii="宋体" w:hAnsi="宋体" w:cs="宋体"/>
                <w:i w:val="0"/>
                <w:iCs w:val="0"/>
                <w:color w:val="000000"/>
                <w:kern w:val="0"/>
                <w:sz w:val="21"/>
                <w:szCs w:val="21"/>
                <w:highlight w:val="none"/>
                <w:u w:val="none"/>
                <w:lang w:val="en-US" w:eastAsia="zh-CN" w:bidi="ar"/>
              </w:rPr>
              <w:t>整性</w:t>
            </w:r>
            <w:r>
              <w:rPr>
                <w:rFonts w:hint="eastAsia" w:ascii="宋体" w:hAnsi="宋体" w:eastAsia="宋体" w:cs="宋体"/>
                <w:i w:val="0"/>
                <w:iCs w:val="0"/>
                <w:color w:val="000000"/>
                <w:kern w:val="0"/>
                <w:sz w:val="21"/>
                <w:szCs w:val="21"/>
                <w:highlight w:val="none"/>
                <w:u w:val="none"/>
                <w:lang w:val="en-US" w:eastAsia="zh-CN" w:bidi="ar"/>
              </w:rPr>
              <w:t>和可用性。对虚拟化平台进行性能分析查看各物理机上的负载是否正常，对虚拟机的性能进行分析并调整。</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每月需要对本月运维的事件进行统计并汇总成本月度运维报告，并发送到技术处的机房管理人员。</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3、故障处理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  本次运维的项目中涉及到的设备数量巨大随时可能出现各种问题。快速、优质的处理问题，避免问题的扩大，将损失降低到最小，保障系统应用的继续进行，也是维护工作的主要工作内容。在日常运维的过程中发现故障需要及时进行处理并做好相关的记录，对于一些疑难杂症无法短时间解决的故障需要及时向上级汇报，不得有所隐瞒。必须把故障的情况了解情况清楚并上报，在其他人员处理问题的过程中需要全程进行配合直至故障解决，在故障解决后需要对整个故障的原因，故障处理的经过和故障处理的方法进行汇总并总结成故障报告交于技术处的管理人员。如果业务系统受到影响需要及时的通知该业务系统运维人员，在处理故障的同时要对业务系统的影响降到最低。如果出现多个故障优先恢复业务系统，其次处理其他故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4、数据备份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  在运维过程中需要对一些重要的数据进行备份，对全区网络设备的配置进行备份，至少每月进行一次全区的网络配置备份。必须了解高院所有的备份系统，需要对重要系统进行每天的备份，必须对备份的完整性和可用性进行测试，以免在发生故障需要恢复的时候无法使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三、服务要求：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1、服务目标要求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  为保障全区法院系统的正常使用，确保全区法院办公及业务系统安全可靠性运行，本项目提出以下服务目标：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（1）数据中心机房的各硬件设备稳定运行；</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（2）数据中心机房的管理，对各设备信息收集；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（3）保证各种资源的可持续扩展能力；</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（4）建立标准</w:t>
            </w:r>
            <w:r>
              <w:rPr>
                <w:rFonts w:hint="eastAsia" w:ascii="宋体" w:hAnsi="宋体" w:cs="宋体"/>
                <w:i w:val="0"/>
                <w:iCs w:val="0"/>
                <w:color w:val="000000"/>
                <w:kern w:val="0"/>
                <w:sz w:val="21"/>
                <w:szCs w:val="21"/>
                <w:highlight w:val="none"/>
                <w:u w:val="none"/>
                <w:lang w:val="en-US" w:eastAsia="zh-CN" w:bidi="ar"/>
              </w:rPr>
              <w:t>的</w:t>
            </w:r>
            <w:r>
              <w:rPr>
                <w:rFonts w:hint="eastAsia" w:ascii="宋体" w:hAnsi="宋体" w:eastAsia="宋体" w:cs="宋体"/>
                <w:i w:val="0"/>
                <w:iCs w:val="0"/>
                <w:color w:val="000000"/>
                <w:kern w:val="0"/>
                <w:sz w:val="21"/>
                <w:szCs w:val="21"/>
                <w:highlight w:val="none"/>
                <w:u w:val="none"/>
                <w:lang w:val="en-US" w:eastAsia="zh-CN" w:bidi="ar"/>
              </w:rPr>
              <w:t>运维服务体系，及时提供问题解决方案，让运维服务价值体现在系统的使用中和客户体验中；</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（5）建立服务规范，实现规范化的服务，确保运维服务工作平稳有序开展；</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（6）在完整的服务生命周期内，通过对服务资源的有效整合，对包括问题的咨询、系统的规划、项目的实施、售后的维护、资源扩充等的各类服务行为，满足所需的服务要求。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2、驻场服务要求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（1）技术支持工作人员以广西自治区高级人民法院为核心，派驻6名专业技术支持人员驻点广西壮族自治区高级人民法院并提供5X8小时现场技术支持服务；7×24小时的电话应急响应及技术支持服务。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（2）国家法定节假日（如国庆、春节、元旦等），国家或法院的重要会议、重大活动以及突发安全事件期间等特殊时期，如果广西自治区人民法院有具体需要，将安排人员进行驻地值守或为特殊任务加班。</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工作汇报机制。与广西自治区人民法院之间的日常沟通、协调，按时向广西自治区高级人民法院交付各种维护文档和记录，包括日常巡检及维护记录、故障处理报告、培训和技术支持记录、服务月报、服务年报以及定期工作总结。</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技术支持服务内容。广西壮族自治区高级人民法院中心机房运维包含全区骨干网络的巡检、网络设备的配置修改、网络故障的处理、网络技术支持；中心机房的服务器巡检、服务器的故障处理、服务器系统的优化、系统的监控、系统资源的分配；中心机房动环系统的巡检、配合电力检修、电力线路切换测试；机房存储的巡检、存储的故障处理、存储的资源划分、存储的优化等；虚拟化平台的巡检、虚拟机的迁移、虚拟机的故障处理、虚拟机的资源调整、虚拟机的性能优化等，对全区提供近几十种技术支持。</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（5）服务方式。针对广西自治区人民法院为现场驻地技术支持；对广西自治区人民法院下辖中院、县(区)院根据技术支持工作内容提供以远程服务、电话支持为主包括现场服务等多种方式。</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（6）应急服务。将根据广西自治区人民法院数据中心机房实际情况建立应急响应机制，制定应急预案，并严格按照要求实施，定期组织实施应急演练，并向广西自治区人民法院提交应急演练报告。</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（7）服从广西自治区人民法院的各项管理规定和要求，对因工作疏失出现的信息安全责任事故，必须承担相应责任，接受惩处。</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（8）配备大量经验丰富的技术专家和业务专家，包括网络设备、服务器、存储等，可以随时为驻场人员提供资深技术支持。</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（9）结合广西自治区法院机关信息化的实际情况建立技术支持服务管理体系、设计服务流程、制定服务规范并及时对服务进行改进。</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3、其他服务内容</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（1）技术支持目标</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针对特殊时期的应用系统技术支持需求提供保障服务，确保数据中心机房的各设备的稳定运行。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包括国家法定节假日，国家或广西壮族自治区高级人民法院的重要会议、重大活动以及突发安全事件期间等特殊时期的技术支持服务。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（2）技术支持内容</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按照广西壮族自治区高级人民法院具体要求，完成特殊时期的驻地值守、系统监控等技术支持服务任务。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（3）其他项目配合</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配合其他信息化项目在数据中心机房</w:t>
            </w:r>
            <w:r>
              <w:rPr>
                <w:rFonts w:hint="eastAsia" w:ascii="宋体" w:hAnsi="宋体" w:cs="宋体"/>
                <w:i w:val="0"/>
                <w:iCs w:val="0"/>
                <w:color w:val="000000"/>
                <w:kern w:val="0"/>
                <w:sz w:val="21"/>
                <w:szCs w:val="21"/>
                <w:highlight w:val="none"/>
                <w:u w:val="none"/>
                <w:lang w:val="en-US" w:eastAsia="zh-CN" w:bidi="ar"/>
              </w:rPr>
              <w:t>的</w:t>
            </w:r>
            <w:r>
              <w:rPr>
                <w:rFonts w:hint="eastAsia" w:ascii="宋体" w:hAnsi="宋体" w:eastAsia="宋体" w:cs="宋体"/>
                <w:i w:val="0"/>
                <w:iCs w:val="0"/>
                <w:color w:val="000000"/>
                <w:kern w:val="0"/>
                <w:sz w:val="21"/>
                <w:szCs w:val="21"/>
                <w:highlight w:val="none"/>
                <w:u w:val="none"/>
                <w:lang w:val="en-US" w:eastAsia="zh-CN" w:bidi="ar"/>
              </w:rPr>
              <w:t>部署和调试，保障项目实施过程中提供优质的配合直到项目结束验收。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（4）技术支持范围</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包括对广西壮族自治区高级人民法院的其他信息化项目在数据中心机房的配合。</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（5）其他</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包括但不限于以下技术支持内容：</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1)新设备测试和安装；</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2)院内其他单位工作的技术支持；</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3)重要人员的技术服务；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4)协助广西壮族自治区高级人民法院技术处的日常办公；</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5)协助全区人民法院的电话技术支持，包括到内部楼层办公室的网络故障。</w:t>
            </w:r>
          </w:p>
        </w:tc>
      </w:tr>
      <w:tr w14:paraId="2B6F7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F8B8D">
            <w:pPr>
              <w:keepNext w:val="0"/>
              <w:keepLines/>
              <w:pageBreakBefore w:val="0"/>
              <w:widowControl/>
              <w:suppressLineNumbers w:val="0"/>
              <w:kinsoku/>
              <w:wordWrap w:val="0"/>
              <w:overflowPunct/>
              <w:topLinePunct/>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A12207">
            <w:pPr>
              <w:keepNext w:val="0"/>
              <w:keepLines/>
              <w:pageBreakBefore w:val="0"/>
              <w:widowControl/>
              <w:suppressLineNumbers w:val="0"/>
              <w:kinsoku/>
              <w:wordWrap w:val="0"/>
              <w:overflowPunct/>
              <w:topLinePunct/>
              <w:autoSpaceDE/>
              <w:autoSpaceDN/>
              <w:bidi w:val="0"/>
              <w:adjustRightInd/>
              <w:snapToGri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高院机关运维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C687C">
            <w:pPr>
              <w:keepNext w:val="0"/>
              <w:keepLines/>
              <w:pageBreakBefore w:val="0"/>
              <w:widowControl/>
              <w:suppressLineNumbers w:val="0"/>
              <w:kinsoku/>
              <w:wordWrap w:val="0"/>
              <w:overflowPunct/>
              <w:topLinePunct/>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38973">
            <w:pPr>
              <w:keepNext w:val="0"/>
              <w:keepLines/>
              <w:pageBreakBefore w:val="0"/>
              <w:widowControl/>
              <w:suppressLineNumbers w:val="0"/>
              <w:kinsoku/>
              <w:wordWrap w:val="0"/>
              <w:overflowPunct/>
              <w:topLinePunct/>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5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1CDF3">
            <w:pPr>
              <w:keepNext w:val="0"/>
              <w:keepLines/>
              <w:pageBreakBefore w:val="0"/>
              <w:widowControl/>
              <w:suppressLineNumbers w:val="0"/>
              <w:kinsoku/>
              <w:wordWrap w:val="0"/>
              <w:overflowPunct/>
              <w:topLinePunct/>
              <w:autoSpaceDE/>
              <w:autoSpaceDN/>
              <w:bidi w:val="0"/>
              <w:adjustRightInd/>
              <w:snapToGri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sz w:val="21"/>
                <w:szCs w:val="21"/>
                <w:highlight w:val="none"/>
              </w:rPr>
              <w:t>▲</w:t>
            </w:r>
            <w:r>
              <w:rPr>
                <w:rFonts w:hint="eastAsia" w:ascii="宋体" w:hAnsi="宋体" w:eastAsia="宋体" w:cs="宋体"/>
                <w:i w:val="0"/>
                <w:iCs w:val="0"/>
                <w:color w:val="000000"/>
                <w:kern w:val="0"/>
                <w:sz w:val="21"/>
                <w:szCs w:val="21"/>
                <w:highlight w:val="none"/>
                <w:u w:val="none"/>
                <w:lang w:val="en-US" w:eastAsia="zh-CN" w:bidi="ar"/>
              </w:rPr>
              <w:t>一、运行维护服务范围</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本项运行维护服务主要针对2个办公区域，分别为广西高院审判综合楼以及广西高院执行指挥中心，驻场服务人数要求：不少于16人。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1、广西壮族自治区高级人民法院审判综合楼</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   (1)综合布线</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广西高级人民法院审判大楼综合布线系统分为法院内网、互联网、专网电话、光纤线路等。共计有互联网信息节点337个、内网信息节点1281个、电话线路节点936个、其他专网口81个。</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主要设备分别有：光纤线架20个、耦合器206个、管线跳线151条、六类线架61个、超五类线架59个、六类模块1328个、超五类模块1273个、110线架32个、86面板2901个。</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立案大厅外网信息节点82个、内网信息节点78个、专网信息节点27个，电话信息节点54个。</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主要设备有配线架11个、模块241个、110线架4个、面板120个。</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(2)安防监控系统设备</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广西高级人民法院安防监控系统的设备分别有：室外高清网络红外球型摄像机6个、室内高清网络红外球型摄像机8个、高清网络红外宽动态半球摄像机40个、高清网络红外半球摄像机339个、高清网络红外枪式一体摄像机63个、高清网络红外宽动态枪式一体摄像机4个、电梯专用摄像机5个，高清特写</w:t>
            </w:r>
            <w:r>
              <w:rPr>
                <w:rFonts w:hint="eastAsia" w:ascii="宋体" w:hAnsi="宋体" w:cs="宋体"/>
                <w:i w:val="0"/>
                <w:iCs w:val="0"/>
                <w:color w:val="000000"/>
                <w:kern w:val="0"/>
                <w:sz w:val="21"/>
                <w:szCs w:val="21"/>
                <w:highlight w:val="none"/>
                <w:u w:val="none"/>
                <w:lang w:val="en-US" w:eastAsia="zh-CN" w:bidi="ar"/>
              </w:rPr>
              <w:t>枪</w:t>
            </w:r>
            <w:r>
              <w:rPr>
                <w:rFonts w:hint="eastAsia" w:ascii="宋体" w:hAnsi="宋体" w:eastAsia="宋体" w:cs="宋体"/>
                <w:i w:val="0"/>
                <w:iCs w:val="0"/>
                <w:color w:val="000000"/>
                <w:kern w:val="0"/>
                <w:sz w:val="21"/>
                <w:szCs w:val="21"/>
                <w:highlight w:val="none"/>
                <w:u w:val="none"/>
                <w:lang w:val="en-US" w:eastAsia="zh-CN" w:bidi="ar"/>
              </w:rPr>
              <w:t>型摄像机2个，共计摄像头467个。46寸LCD超窄边液晶拼接单元12个，平台服务器1台、拼接处理器1台。</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广西高级人民法院安防监控系统的设备2019年新增的有：室外高清网络红外球型摄像机3个、高清网络红外宽动态半球摄像机40个、高清网络红外半球摄像机57个、监控服务器一台。</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(3)桌面办公及周边设备</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全院共有办公电脑（在用）1092台，其中台式电脑616台，手提电脑509台；打印机382台；扫描仪95台；复印机28台；碎纸机85台；27寸触摸屏显示器15台。</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(4)公共广播系统设备</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审判大楼公共广播系统的设备分别有：主控设备一套、网控器1台、吸顶音响945个、音柱35个、功放38台、音量控制器561个。</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(5)公共显示系统设备</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高院审判大楼公共显示系统设备有：三块电子公告牌，5块时间小屏。</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(6)门禁系统设备</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审判大楼门禁系统的设备共涉及到93个出入口，186个读卡器，轨道电机93套，门禁交换机12台。</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(7)会议系统设备</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高院审判大楼大、中型会议场所共有8处及设备。</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(8)有线电视系统设备</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高院审判大楼有线电视安装位置分别在：二楼集控中心、四楼食堂、十楼会议室、六楼会议室。</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(9)弱电间设备</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高院审判大楼共设有8个弱电间。分布在一楼、四楼、六楼、十楼、十四楼、十七楼、二十楼、二十五楼，共有汇聚交换机80台、光模块45个、堆叠物理接口74个。</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(10)法庭庭审设备</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高院审判大楼在用的科技法庭有8个及其设备。</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(11)叫号系统</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高院审判大楼叫号系统，共计8台，取号机2台。</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(12)门牌发布系统</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高院审判大楼门牌系统，共计门牌显示器24个，系统服务器一台。</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(13)车辆管理系统硬件维护</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(14)四楼信息中心设备维护</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(15)合议室系统</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审判大楼新建合议室15套。</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(16)信息发布系统维护</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审判大楼一套信息发布系统。</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2、广西高院执行指挥中心暨信息管理中心</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广西法院执行指挥中心暨信息管理中心（简称 “两中心”）需要维护的设备系统可分为十一大类：分别是综合布线系统（内网、外网、专网、电话）、安防监控系统设备、便民服务大厅设备、公共广播系统设备、公共显示系统设备、门禁系统设备、会议系统设备、弱电间设备、法庭庭审设备、司法联拍系统设备、UPS设备。</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 (1)综合布线系统</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两中心综合布线系统设备共分别有：外网网络点469个、内网点465个、电话320个、专网65个。超五类跳线789条、六类跳线465条、超五类模块789个、六类模块465个、面板1319个。</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 安防监控系统设备</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监控系统设备</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两中心监控系统设备分别有：各类高清摄像头219个、46寸窄边拼接屏12块、工作站2台、网络视频存储系统2套。</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入侵报警系统设备</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两中心入侵报警系统分别有：防区扩展模块13块、控制软件1套、红外探测器12个、吸顶红外探测器8个、双防扩展模块5块、幕帘红外探测器58个。</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 公共广播系统设备</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两中心公共广播系统设备分别有：各类功率放大器6台、各类音箱223个、管理软件一套、呼叫站一套。</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 公共显示系统设备</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两中心公共显示系统设备分别有：显示器21台、对内对外支持软件各1套、播放器2台、查询系统及服务器1台、竖屏导览机2台、数字媒体播放器14台。 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 门禁系统设备</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两中心门禁系统分别有：出门按钮156个、发卡器2台、双门控制器102个、单门磁力锁107个、双门磁力锁102个、读卡器194个。</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 法庭庭审设备</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两中心科技法庭设有2个，分别为：科技法庭一，科技涉外法庭。</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 会议系统设备</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两中心会议场所分有8处，分别为：二楼执行指挥中心，四楼运维控制室，五楼信息管理中心，五楼</w:t>
            </w:r>
            <w:r>
              <w:rPr>
                <w:rFonts w:hint="eastAsia" w:ascii="宋体" w:hAnsi="宋体" w:cs="宋体"/>
                <w:i w:val="0"/>
                <w:iCs w:val="0"/>
                <w:color w:val="000000"/>
                <w:kern w:val="0"/>
                <w:sz w:val="21"/>
                <w:szCs w:val="21"/>
                <w:highlight w:val="none"/>
                <w:u w:val="none"/>
                <w:lang w:val="en-US" w:eastAsia="zh-CN" w:bidi="ar"/>
              </w:rPr>
              <w:t>案例</w:t>
            </w:r>
            <w:r>
              <w:rPr>
                <w:rFonts w:hint="eastAsia" w:ascii="宋体" w:hAnsi="宋体" w:eastAsia="宋体" w:cs="宋体"/>
                <w:i w:val="0"/>
                <w:iCs w:val="0"/>
                <w:color w:val="000000"/>
                <w:kern w:val="0"/>
                <w:sz w:val="21"/>
                <w:szCs w:val="21"/>
                <w:highlight w:val="none"/>
                <w:u w:val="none"/>
                <w:lang w:val="en-US" w:eastAsia="zh-CN" w:bidi="ar"/>
              </w:rPr>
              <w:t>教学室，五楼中指挥室，六楼案情研判室，六楼指挥长室，七楼电子会议室。</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 司法联拍系统设备</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两中心二楼设有2个司法联拍厅。</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(9) 便民服务大厅设备</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两中心便民服务大厅主要设备有：互动工作站6套、42寸商用电视机3台、信号采集设备3套、32寸触摸显示屏6套。</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(10)弱电间设备</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两中心弱电间共有10个，主要设备有：48口交换机26台、24口交换机26台。</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(11)UPS系统设备</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两中心UPS主要设备有：蓄电池120块、UPS监控软件1套、空调4台。</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二、运行维护服务内容</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1、运维服务目标</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通过专业的运维服务，进一步加强广西壮族自治区高级人民法院机关综合办公设备运行维护，对维护工作提供先进的管理理念与流程，通过专业及技术支持，满足广西壮族自治区高级人民法院大数据建设，业务流程全网上办理目标；满足系统及数据的高效、可靠、安全运行的要求；满足运行设备统一管理，及时的故障恢复要求，达到办公设备高效、安全、稳定运行的目标、为实现广西高院信息化建设的可持续性发展奠定集中统一的设施运维管理基础。</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2、运维服务内容</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针对本项目的运行维护服务内容有：例行检查、报障处理、设备安装及迁移、运维管理、安全隐患巡查、法庭开庭调试、会议调试及值守、服务报告等。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 例行检查</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对设备及相关线路进行定期维护检查和设备清洁，保证设备的可用性。例行检查主要包括以下内容：</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基础网络巡检（每周一次），巡检内容为：机房电源、设备状态、设备间整体状态、设备工作状态。</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监控系统设备巡检（每周一次），检查摄像头工作状态、服务器运行状态、大屏显示状态、整体运行状态、录像存储状态等。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门禁系统设备巡检（每周一次），检查门禁开关状态、各部件工作情况、用电情况等。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法庭设备巡检（每周一次），检查法庭音响设备工作情况、庭审主机、服务器运行状态等。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会议设备巡检（每周一次），检查会议系统设备的运行情况、备件可用状态。</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 报障处理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对申报故障进行及时处理，保障法院办公办案业务的连续性。主要工作有：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桌面办公设备软、硬件故障处理。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计算机系统重装及各类办公软件安装、升级、驱动下载、操作指导等。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其他公共设备故障处理，包括监控、门禁、广播等公共设施的故障处理。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 活动保障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对会议活动、远程提讯/提审、法庭庭审等提供现场技术保障。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信号调试，联动上下级对音视频信号传输进行提前调试检查，确保信号质量。</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设备检查，对相关设备（包括备用）进行功能性检查，确定保障方案及应急方案。</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现场保障，活动现场提供操作、值守、应急支持。</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会后按需求保存视频资料，协助刻盘。</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 设备安装及迁移</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按要求搭建网络环境，进行房间综合布线及相关设备安装。</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办公室调整产生的桌面办公设备迁移和安装等工作。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 服务台支撑服务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服务台客服通过电话、邮件、微信等形式接收运维事件单，客服使用综合服务支撑系统工具对事件进行记录并提供咨询回复及答疑服务，通过对讲机、手机等通讯工具及时调度运维工程师到达现场为客户解决事件问题，运维服务实施完成后运维工程师利用运维工具在运维工单上做诊断分析及处置记录，客服将通过电话、邮件、微信等形式对本次服务进行回访，及时了解服务完成质量和评价，对于未达成客户要求的事件将重新启动运维流程，对已实现客户要求的事件进行各环节诊断分析记录检查、事件归档，最后关闭本次服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 服务报告</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每月提供运维服务报告，供院方了解设备运行状况。</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按照院方要求对运维范围内设备进行技术分析提供优化解决方案。</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重大事项提交单独的专项报告。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每月提供质效报告，供甲方实时了解设备运行状况及使用状况。</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提供全年运维年报。</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 服务方式</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 × 8 小时现场驻点服务，周末及节假日安排现场值班服务。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提供7 × 24小时电话远程支持服务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 服务响应</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驻点报障受理后 5 分钟内响应，10 分钟到达现场进行故障处置。</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(9) 交付物</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运维事件记录单</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月度运维服务报告</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年度运维服务报告</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重大事项</w:t>
            </w:r>
            <w:r>
              <w:rPr>
                <w:rFonts w:hint="eastAsia" w:ascii="宋体" w:hAnsi="宋体" w:cs="宋体"/>
                <w:i w:val="0"/>
                <w:iCs w:val="0"/>
                <w:color w:val="000000"/>
                <w:kern w:val="0"/>
                <w:sz w:val="21"/>
                <w:szCs w:val="21"/>
                <w:highlight w:val="none"/>
                <w:u w:val="none"/>
                <w:lang w:val="en-US" w:eastAsia="zh-CN" w:bidi="ar"/>
              </w:rPr>
              <w:t>报告</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月度质效报告</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法庭开庭调试报告</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(10)服务方式</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5×8小时现场驻点服务，周末及节假日安排现场值班服务。</w:t>
            </w:r>
          </w:p>
        </w:tc>
      </w:tr>
      <w:tr w14:paraId="0F99A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40CA8">
            <w:pPr>
              <w:keepNext w:val="0"/>
              <w:keepLines/>
              <w:pageBreakBefore w:val="0"/>
              <w:widowControl/>
              <w:suppressLineNumbers w:val="0"/>
              <w:kinsoku/>
              <w:wordWrap w:val="0"/>
              <w:overflowPunct/>
              <w:topLinePunct/>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C12945">
            <w:pPr>
              <w:keepNext w:val="0"/>
              <w:keepLines/>
              <w:pageBreakBefore w:val="0"/>
              <w:widowControl/>
              <w:suppressLineNumbers w:val="0"/>
              <w:kinsoku/>
              <w:wordWrap w:val="0"/>
              <w:overflowPunct/>
              <w:topLinePunct/>
              <w:autoSpaceDE/>
              <w:autoSpaceDN/>
              <w:bidi w:val="0"/>
              <w:adjustRightInd/>
              <w:snapToGri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网络安全运维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0D6C1">
            <w:pPr>
              <w:keepNext w:val="0"/>
              <w:keepLines/>
              <w:pageBreakBefore w:val="0"/>
              <w:widowControl/>
              <w:suppressLineNumbers w:val="0"/>
              <w:kinsoku/>
              <w:wordWrap w:val="0"/>
              <w:overflowPunct/>
              <w:topLinePunct/>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1EAFD">
            <w:pPr>
              <w:keepNext w:val="0"/>
              <w:keepLines/>
              <w:pageBreakBefore w:val="0"/>
              <w:widowControl/>
              <w:suppressLineNumbers w:val="0"/>
              <w:kinsoku/>
              <w:wordWrap w:val="0"/>
              <w:overflowPunct/>
              <w:topLinePunct/>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5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3FBF0">
            <w:pPr>
              <w:keepNext w:val="0"/>
              <w:keepLines/>
              <w:pageBreakBefore w:val="0"/>
              <w:widowControl/>
              <w:suppressLineNumbers w:val="0"/>
              <w:kinsoku/>
              <w:wordWrap w:val="0"/>
              <w:overflowPunct/>
              <w:topLinePunct/>
              <w:autoSpaceDE/>
              <w:autoSpaceDN/>
              <w:bidi w:val="0"/>
              <w:adjustRightInd/>
              <w:snapToGri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一、运维对象及范围</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对高院法院专网现有Xsec虚拟平台、边界防火墙、日志审计系统、漏洞扫描系统、堡垒机、服务器安全加固系统、终端安全管理系统、上网行为管理系统、数据库审计系统、态势感知系统等安全设备提供运维服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sz w:val="21"/>
                <w:szCs w:val="21"/>
                <w:highlight w:val="none"/>
              </w:rPr>
              <w:t>▲</w:t>
            </w:r>
            <w:r>
              <w:rPr>
                <w:rFonts w:hint="eastAsia" w:ascii="宋体" w:hAnsi="宋体" w:eastAsia="宋体" w:cs="宋体"/>
                <w:i w:val="0"/>
                <w:iCs w:val="0"/>
                <w:color w:val="000000"/>
                <w:kern w:val="0"/>
                <w:sz w:val="21"/>
                <w:szCs w:val="21"/>
                <w:highlight w:val="none"/>
                <w:u w:val="none"/>
                <w:lang w:val="en-US" w:eastAsia="zh-CN" w:bidi="ar"/>
              </w:rPr>
              <w:t>二、服务内容</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驻场服务人数要求：不少于1人。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（一）维护运维服务内容</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1.提供日常检查监控、定期维保，提供有关技术支持服务等，保证服务对象安全稳定持续运行。</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每月完成一次全系统巡检工作。巡检内容包括系统硬件、软件运行情况，并根据运行情况提交系统详细报告，对系统存在的缺陷以及各类即将发生的故障有提前预判方案以及预防措施，对非硬件突发的故障能够提前做好各类挽救措施以及准备预防工作，发现异常状况，必须在2小时内予以解决。</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3.每季度定期对维保设备包括所有安全设备产品进行系统备份，在系统有所改动、升级、安装新应用前、后都须做好系统备份。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4.提供系统软、硬件故障诊断、性能调整、参数优化及现场维护服务；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5.协助用户制订日常维护方案，如系统备份及恢复方案等；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6.每次现场服务结束后，为用户提供详细的技术文档；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7.每月对设备及系统进行巡检、出具月度运行报告；</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8.提供日常检查监控、定期维保、坏件的及时更换、修复等；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9.回溯分析专家分析报告，检查流量监控数据是否正常、设备运行情况。分析监控到的流量数据、分析网络中是否存在安全、网络及应用等方面的问题；分析完成后并给出详细的分析报告；</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10.提供日常重大事件、特殊时期应急保障技术支持服务。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（二）资产与配置维护</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协助用户对资产信息进行梳理、维护、管理、统计，对相关配置信息进行维护及管理，满足设备与系统运行过程中配置管理的需要。</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（三）性能优化</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对安全设备、系统、平台等性能进行诊断分析、性能调优，确保设备在最佳状态下运行，同时对业主方提出的定制化功能需求进行技术分析及开发工作，升级优化后确保系统的兼容性。</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（四）培训及知识管理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为用户提供培训，协助知识库维护，确保用户的相关人员技能掌握和知识沉淀、传承。对平台用户在使用过程中出现的各种问题的进行答疑和远程指导。</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（五）资料维护</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提供系统相关的文档资料的整理和维护服务。</w:t>
            </w:r>
          </w:p>
        </w:tc>
      </w:tr>
      <w:tr w14:paraId="245B7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748B8">
            <w:pPr>
              <w:keepNext w:val="0"/>
              <w:keepLines/>
              <w:pageBreakBefore w:val="0"/>
              <w:widowControl/>
              <w:suppressLineNumbers w:val="0"/>
              <w:kinsoku/>
              <w:wordWrap w:val="0"/>
              <w:overflowPunct/>
              <w:topLinePunct/>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191D56">
            <w:pPr>
              <w:keepNext w:val="0"/>
              <w:keepLines/>
              <w:pageBreakBefore w:val="0"/>
              <w:widowControl/>
              <w:suppressLineNumbers w:val="0"/>
              <w:kinsoku/>
              <w:wordWrap w:val="0"/>
              <w:overflowPunct/>
              <w:topLinePunct/>
              <w:autoSpaceDE/>
              <w:autoSpaceDN/>
              <w:bidi w:val="0"/>
              <w:adjustRightInd/>
              <w:snapToGri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专项保障服务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BD07B">
            <w:pPr>
              <w:keepNext w:val="0"/>
              <w:keepLines/>
              <w:pageBreakBefore w:val="0"/>
              <w:widowControl/>
              <w:suppressLineNumbers w:val="0"/>
              <w:kinsoku/>
              <w:wordWrap w:val="0"/>
              <w:overflowPunct/>
              <w:topLinePunct/>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FC71B">
            <w:pPr>
              <w:keepNext w:val="0"/>
              <w:keepLines/>
              <w:pageBreakBefore w:val="0"/>
              <w:widowControl/>
              <w:suppressLineNumbers w:val="0"/>
              <w:kinsoku/>
              <w:wordWrap w:val="0"/>
              <w:overflowPunct/>
              <w:topLinePunct/>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5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A784">
            <w:pPr>
              <w:keepNext w:val="0"/>
              <w:keepLines/>
              <w:pageBreakBefore w:val="0"/>
              <w:widowControl/>
              <w:suppressLineNumbers w:val="0"/>
              <w:kinsoku/>
              <w:wordWrap w:val="0"/>
              <w:overflowPunct/>
              <w:topLinePunct/>
              <w:autoSpaceDE/>
              <w:autoSpaceDN/>
              <w:bidi w:val="0"/>
              <w:adjustRightInd/>
              <w:snapToGri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一、中院技术培训服务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培训范围包括南宁市中院、柳州市中院、桂林市中院、梧州市中院、北海市中院、崇左市中院、来宾市中院、贺州市中院、玉林市中院、百色市中院、河池市中院、钦州市中院、南宁铁路运输中院、防城港市中院、贵港市中院、北海海事法院审判、执行、办公类业务人员，技术人员及运维人员。</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2、通过讲解、实操培训、咨询答疑等方式对一张网审判业务，执行业务，办公业务系统进行培训。</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3、培训方式为现场或远程，不少于4次。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二、攻防演练服务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1、自治区高级人民法院内网攻防演练支撑服务，包括</w:t>
            </w:r>
            <w:r>
              <w:rPr>
                <w:rFonts w:hint="eastAsia" w:ascii="宋体" w:hAnsi="宋体" w:cs="宋体"/>
                <w:i w:val="0"/>
                <w:iCs w:val="0"/>
                <w:color w:val="000000"/>
                <w:kern w:val="0"/>
                <w:sz w:val="21"/>
                <w:szCs w:val="21"/>
                <w:highlight w:val="none"/>
                <w:u w:val="none"/>
                <w:lang w:val="en-US" w:eastAsia="zh-CN" w:bidi="ar"/>
              </w:rPr>
              <w:t>最高人民法院</w:t>
            </w:r>
            <w:r>
              <w:rPr>
                <w:rFonts w:hint="eastAsia" w:ascii="宋体" w:hAnsi="宋体" w:eastAsia="宋体" w:cs="宋体"/>
                <w:i w:val="0"/>
                <w:iCs w:val="0"/>
                <w:color w:val="000000"/>
                <w:kern w:val="0"/>
                <w:sz w:val="21"/>
                <w:szCs w:val="21"/>
                <w:highlight w:val="none"/>
                <w:u w:val="none"/>
                <w:lang w:val="en-US" w:eastAsia="zh-CN" w:bidi="ar"/>
              </w:rPr>
              <w:t>组织网络攻防演练，公安部组织的网络攻防演练，自治区公安厅组织的网络攻防演练，自治区大数据发展局组织的网络攻防演练，区域网络安全攻防演练网络攻防演练等。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2、对客户资产进行梳理，做设备风险与健康检查，提供性能分析、业务风险健康检查。</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3、关键时刻保障期，提供告警监控与应急处置。</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4、攻防演练期间，根据攻防演练时间提供加班服务。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5、保障完成后，提供总结汇报。</w:t>
            </w:r>
          </w:p>
        </w:tc>
      </w:tr>
      <w:tr w14:paraId="64CD2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975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9261C">
            <w:pPr>
              <w:keepNext w:val="0"/>
              <w:keepLines/>
              <w:pageBreakBefore w:val="0"/>
              <w:widowControl/>
              <w:suppressLineNumbers w:val="0"/>
              <w:kinsoku/>
              <w:wordWrap w:val="0"/>
              <w:overflowPunct/>
              <w:topLinePunct/>
              <w:autoSpaceDE/>
              <w:autoSpaceDN/>
              <w:bidi w:val="0"/>
              <w:adjustRightInd/>
              <w:snapToGrid/>
              <w:jc w:val="left"/>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商务条款</w:t>
            </w:r>
          </w:p>
        </w:tc>
      </w:tr>
      <w:tr w14:paraId="16854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31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30969">
            <w:pPr>
              <w:keepNext w:val="0"/>
              <w:keepLines/>
              <w:pageBreakBefore w:val="0"/>
              <w:widowControl/>
              <w:suppressLineNumbers w:val="0"/>
              <w:kinsoku/>
              <w:wordWrap w:val="0"/>
              <w:overflowPunct/>
              <w:topLinePunct/>
              <w:autoSpaceDE/>
              <w:autoSpaceDN/>
              <w:bidi w:val="0"/>
              <w:adjustRightInd/>
              <w:snapToGrid/>
              <w:jc w:val="left"/>
              <w:textAlignment w:val="center"/>
              <w:rPr>
                <w:rFonts w:hint="default"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合同签订期</w:t>
            </w:r>
          </w:p>
        </w:tc>
        <w:tc>
          <w:tcPr>
            <w:tcW w:w="659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63BE0">
            <w:pPr>
              <w:keepNext w:val="0"/>
              <w:keepLines/>
              <w:pageBreakBefore w:val="0"/>
              <w:widowControl/>
              <w:suppressLineNumbers w:val="0"/>
              <w:kinsoku/>
              <w:wordWrap w:val="0"/>
              <w:overflowPunct/>
              <w:topLinePunct/>
              <w:autoSpaceDE/>
              <w:autoSpaceDN/>
              <w:bidi w:val="0"/>
              <w:adjustRightInd/>
              <w:snapToGrid/>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自成交通知书发出之日起25日内。</w:t>
            </w:r>
          </w:p>
        </w:tc>
      </w:tr>
      <w:tr w14:paraId="17FA4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31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2FE25">
            <w:pPr>
              <w:keepNext w:val="0"/>
              <w:keepLines/>
              <w:pageBreakBefore w:val="0"/>
              <w:widowControl/>
              <w:suppressLineNumbers w:val="0"/>
              <w:kinsoku/>
              <w:wordWrap w:val="0"/>
              <w:overflowPunct/>
              <w:topLinePunct/>
              <w:autoSpaceDE/>
              <w:autoSpaceDN/>
              <w:bidi w:val="0"/>
              <w:adjustRightInd/>
              <w:snapToGrid/>
              <w:jc w:val="left"/>
              <w:textAlignment w:val="center"/>
              <w:rPr>
                <w:rFonts w:hint="default"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服务期限及地点</w:t>
            </w:r>
          </w:p>
        </w:tc>
        <w:tc>
          <w:tcPr>
            <w:tcW w:w="659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BB087">
            <w:pPr>
              <w:keepNext w:val="0"/>
              <w:keepLines/>
              <w:pageBreakBefore w:val="0"/>
              <w:widowControl/>
              <w:suppressLineNumbers w:val="0"/>
              <w:kinsoku/>
              <w:wordWrap w:val="0"/>
              <w:overflowPunct/>
              <w:topLinePunct/>
              <w:autoSpaceDE/>
              <w:autoSpaceDN/>
              <w:bidi w:val="0"/>
              <w:adjustRightInd/>
              <w:snapToGrid/>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1、服务期限：1年。</w:t>
            </w:r>
          </w:p>
          <w:p w14:paraId="69CEFB1D">
            <w:pPr>
              <w:keepNext w:val="0"/>
              <w:keepLines/>
              <w:pageBreakBefore w:val="0"/>
              <w:widowControl/>
              <w:suppressLineNumbers w:val="0"/>
              <w:kinsoku/>
              <w:wordWrap w:val="0"/>
              <w:overflowPunct/>
              <w:topLinePunct/>
              <w:autoSpaceDE/>
              <w:autoSpaceDN/>
              <w:bidi w:val="0"/>
              <w:adjustRightInd/>
              <w:snapToGrid/>
              <w:jc w:val="left"/>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2、服务地点：广西壮族自治区高级人民法院指定地点。</w:t>
            </w:r>
          </w:p>
        </w:tc>
      </w:tr>
      <w:tr w14:paraId="4AAB2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31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B7234">
            <w:pPr>
              <w:keepNext w:val="0"/>
              <w:keepLines/>
              <w:pageBreakBefore w:val="0"/>
              <w:widowControl/>
              <w:suppressLineNumbers w:val="0"/>
              <w:kinsoku/>
              <w:wordWrap w:val="0"/>
              <w:overflowPunct/>
              <w:topLinePunct/>
              <w:autoSpaceDE/>
              <w:autoSpaceDN/>
              <w:bidi w:val="0"/>
              <w:adjustRightInd/>
              <w:snapToGrid/>
              <w:jc w:val="left"/>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服务人员要求</w:t>
            </w:r>
          </w:p>
        </w:tc>
        <w:tc>
          <w:tcPr>
            <w:tcW w:w="659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3DCE1">
            <w:pPr>
              <w:keepNext w:val="0"/>
              <w:keepLines/>
              <w:pageBreakBefore w:val="0"/>
              <w:widowControl/>
              <w:suppressLineNumbers w:val="0"/>
              <w:kinsoku/>
              <w:wordWrap w:val="0"/>
              <w:overflowPunct/>
              <w:topLinePunct/>
              <w:autoSpaceDE/>
              <w:autoSpaceDN/>
              <w:bidi w:val="0"/>
              <w:adjustRightInd/>
              <w:snapToGrid/>
              <w:ind w:firstLine="420" w:firstLineChars="20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中标供应商必须向采购人保证驻场运维人员组织的稳定性，在运维服务期间，中标供应商不得抽调项目组成员。在本项目结束前，参加本项目的人员变动必须取得采购人同意，并立即安排拟订候补人员予以补充。采购人保留拒绝中标供应商人员变更要求的权利。</w:t>
            </w:r>
          </w:p>
          <w:p w14:paraId="6BBF9EC4">
            <w:pPr>
              <w:keepNext w:val="0"/>
              <w:keepLines/>
              <w:pageBreakBefore w:val="0"/>
              <w:widowControl/>
              <w:suppressLineNumbers w:val="0"/>
              <w:kinsoku/>
              <w:wordWrap w:val="0"/>
              <w:overflowPunct/>
              <w:topLinePunct/>
              <w:autoSpaceDE/>
              <w:autoSpaceDN/>
              <w:bidi w:val="0"/>
              <w:adjustRightInd/>
              <w:snapToGrid/>
              <w:ind w:firstLine="420" w:firstLineChars="200"/>
              <w:jc w:val="left"/>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2、驻场运维人员不能解决的问题，中标供应商应协调相应专业专家进行支撑解决。</w:t>
            </w:r>
          </w:p>
        </w:tc>
      </w:tr>
      <w:tr w14:paraId="739BF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31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68F75">
            <w:pPr>
              <w:keepNext w:val="0"/>
              <w:keepLines/>
              <w:pageBreakBefore w:val="0"/>
              <w:widowControl/>
              <w:suppressLineNumbers w:val="0"/>
              <w:kinsoku/>
              <w:wordWrap w:val="0"/>
              <w:overflowPunct/>
              <w:topLinePunct/>
              <w:autoSpaceDE/>
              <w:autoSpaceDN/>
              <w:bidi w:val="0"/>
              <w:adjustRightInd/>
              <w:snapToGrid/>
              <w:jc w:val="left"/>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服务响应要求</w:t>
            </w:r>
          </w:p>
        </w:tc>
        <w:tc>
          <w:tcPr>
            <w:tcW w:w="659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90475">
            <w:pPr>
              <w:keepNext w:val="0"/>
              <w:keepLines/>
              <w:pageBreakBefore w:val="0"/>
              <w:widowControl/>
              <w:suppressLineNumbers w:val="0"/>
              <w:kinsoku/>
              <w:wordWrap w:val="0"/>
              <w:overflowPunct/>
              <w:topLinePunct/>
              <w:autoSpaceDE/>
              <w:autoSpaceDN/>
              <w:bidi w:val="0"/>
              <w:adjustRightInd/>
              <w:snapToGrid/>
              <w:ind w:firstLine="420" w:firstLineChars="20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▲为保证采购人能够及时得到相应的技术支持服务，中标供应商在整个运维服务期间须及时响应和解决用户的服务请求。</w:t>
            </w:r>
          </w:p>
          <w:p w14:paraId="541A8AAC">
            <w:pPr>
              <w:keepNext w:val="0"/>
              <w:keepLines/>
              <w:pageBreakBefore w:val="0"/>
              <w:widowControl/>
              <w:suppressLineNumbers w:val="0"/>
              <w:kinsoku/>
              <w:wordWrap w:val="0"/>
              <w:overflowPunct/>
              <w:topLinePunct/>
              <w:autoSpaceDE/>
              <w:autoSpaceDN/>
              <w:bidi w:val="0"/>
              <w:adjustRightInd/>
              <w:snapToGrid/>
              <w:ind w:firstLine="420" w:firstLineChars="20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1、紧急事件单，中标供应商应在10分钟内响应，1小时之内解决。</w:t>
            </w:r>
          </w:p>
          <w:p w14:paraId="40F540E1">
            <w:pPr>
              <w:keepNext w:val="0"/>
              <w:keepLines/>
              <w:pageBreakBefore w:val="0"/>
              <w:widowControl/>
              <w:suppressLineNumbers w:val="0"/>
              <w:kinsoku/>
              <w:wordWrap w:val="0"/>
              <w:overflowPunct/>
              <w:topLinePunct/>
              <w:autoSpaceDE/>
              <w:autoSpaceDN/>
              <w:bidi w:val="0"/>
              <w:adjustRightInd/>
              <w:snapToGrid/>
              <w:ind w:firstLine="420" w:firstLineChars="20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2、高优先级事件单，中标供应商应在20分钟内响应，3小时之内解决。</w:t>
            </w:r>
          </w:p>
          <w:p w14:paraId="62EE70CD">
            <w:pPr>
              <w:keepNext w:val="0"/>
              <w:keepLines/>
              <w:pageBreakBefore w:val="0"/>
              <w:widowControl/>
              <w:suppressLineNumbers w:val="0"/>
              <w:kinsoku/>
              <w:wordWrap w:val="0"/>
              <w:overflowPunct/>
              <w:topLinePunct/>
              <w:autoSpaceDE/>
              <w:autoSpaceDN/>
              <w:bidi w:val="0"/>
              <w:adjustRightInd/>
              <w:snapToGrid/>
              <w:ind w:firstLine="420" w:firstLineChars="20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3、中优先级事件单，中标供应商应在40分钟内响应，12小时之内解决。</w:t>
            </w:r>
          </w:p>
          <w:p w14:paraId="46493717">
            <w:pPr>
              <w:keepNext w:val="0"/>
              <w:keepLines/>
              <w:pageBreakBefore w:val="0"/>
              <w:widowControl/>
              <w:suppressLineNumbers w:val="0"/>
              <w:kinsoku/>
              <w:wordWrap w:val="0"/>
              <w:overflowPunct/>
              <w:topLinePunct/>
              <w:autoSpaceDE/>
              <w:autoSpaceDN/>
              <w:bidi w:val="0"/>
              <w:adjustRightInd/>
              <w:snapToGrid/>
              <w:ind w:firstLine="420" w:firstLineChars="200"/>
              <w:jc w:val="left"/>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4、低优先级事件单，中标供应商应在60分钟内响应，24小时之内解决。</w:t>
            </w:r>
          </w:p>
        </w:tc>
      </w:tr>
      <w:tr w14:paraId="71EE7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31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C5FD4">
            <w:pPr>
              <w:keepNext w:val="0"/>
              <w:keepLines/>
              <w:pageBreakBefore w:val="0"/>
              <w:widowControl/>
              <w:suppressLineNumbers w:val="0"/>
              <w:kinsoku/>
              <w:wordWrap w:val="0"/>
              <w:overflowPunct/>
              <w:topLinePunct/>
              <w:autoSpaceDE/>
              <w:autoSpaceDN/>
              <w:bidi w:val="0"/>
              <w:adjustRightInd/>
              <w:snapToGrid/>
              <w:jc w:val="left"/>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付款方式</w:t>
            </w:r>
          </w:p>
        </w:tc>
        <w:tc>
          <w:tcPr>
            <w:tcW w:w="659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EAD3D">
            <w:pPr>
              <w:keepNext w:val="0"/>
              <w:keepLines/>
              <w:pageBreakBefore w:val="0"/>
              <w:widowControl/>
              <w:suppressLineNumbers w:val="0"/>
              <w:kinsoku/>
              <w:wordWrap w:val="0"/>
              <w:overflowPunct/>
              <w:topLinePunct/>
              <w:autoSpaceDE/>
              <w:autoSpaceDN/>
              <w:bidi w:val="0"/>
              <w:adjustRightInd/>
              <w:snapToGrid/>
              <w:ind w:firstLine="420" w:firstLineChars="200"/>
              <w:jc w:val="left"/>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合同签订后10个工作日内支付总结算价的50%，其余合同款按服务时间进度支付一定比例的运维服务费，服务期满后采购人在10个工作日内付清全部合同款的剩余部分。成交人须在每次支付前向采购人提供合法有效的增值税发票，采购人核对无误后在约定时间内完成支付。</w:t>
            </w:r>
          </w:p>
        </w:tc>
      </w:tr>
      <w:tr w14:paraId="03915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31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DAED4">
            <w:pPr>
              <w:keepNext w:val="0"/>
              <w:keepLines/>
              <w:pageBreakBefore w:val="0"/>
              <w:widowControl/>
              <w:suppressLineNumbers w:val="0"/>
              <w:kinsoku/>
              <w:wordWrap w:val="0"/>
              <w:overflowPunct/>
              <w:topLinePunct/>
              <w:autoSpaceDE/>
              <w:autoSpaceDN/>
              <w:bidi w:val="0"/>
              <w:adjustRightInd/>
              <w:snapToGrid/>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eastAsia="宋体" w:cs="宋体"/>
                <w:b/>
                <w:bCs/>
                <w:i w:val="0"/>
                <w:iCs w:val="0"/>
                <w:color w:val="000000"/>
                <w:kern w:val="0"/>
                <w:sz w:val="21"/>
                <w:szCs w:val="21"/>
                <w:highlight w:val="none"/>
                <w:u w:val="none"/>
                <w:lang w:val="en-US" w:eastAsia="zh-CN" w:bidi="ar"/>
              </w:rPr>
              <w:t>运维质效考核要求</w:t>
            </w:r>
          </w:p>
        </w:tc>
        <w:tc>
          <w:tcPr>
            <w:tcW w:w="659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AF490">
            <w:pPr>
              <w:keepNext w:val="0"/>
              <w:keepLines/>
              <w:pageBreakBefore w:val="0"/>
              <w:kinsoku/>
              <w:wordWrap w:val="0"/>
              <w:overflowPunct/>
              <w:topLinePunct/>
              <w:autoSpaceDE/>
              <w:autoSpaceDN/>
              <w:bidi w:val="0"/>
              <w:adjustRightInd/>
              <w:snapToGrid/>
              <w:spacing w:line="400" w:lineRule="exact"/>
              <w:ind w:firstLine="422" w:firstLineChars="200"/>
              <w:rPr>
                <w:rFonts w:hint="eastAsia" w:ascii="宋体" w:hAnsi="宋体" w:cs="宋体"/>
                <w:b/>
                <w:szCs w:val="21"/>
                <w:highlight w:val="none"/>
              </w:rPr>
            </w:pPr>
            <w:r>
              <w:rPr>
                <w:rFonts w:hint="eastAsia" w:ascii="宋体" w:hAnsi="宋体" w:cs="宋体"/>
                <w:b/>
                <w:szCs w:val="21"/>
                <w:highlight w:val="none"/>
              </w:rPr>
              <w:t>一、概述</w:t>
            </w:r>
          </w:p>
          <w:p w14:paraId="7A4B4C44">
            <w:pPr>
              <w:keepNext w:val="0"/>
              <w:keepLines/>
              <w:pageBreakBefore w:val="0"/>
              <w:kinsoku/>
              <w:wordWrap w:val="0"/>
              <w:overflowPunct/>
              <w:topLinePunct/>
              <w:autoSpaceDE/>
              <w:autoSpaceDN/>
              <w:bidi w:val="0"/>
              <w:adjustRightInd/>
              <w:snapToGrid/>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为进一步规范运行维护工作流程，通过建立量化考核指标加强对中标供应商日常工作管理，特制定本规范。司法技术管理处每月对中标供应商进行考核，作为技术处对中标供应商半年、全年考核的参考依据之一。</w:t>
            </w:r>
          </w:p>
          <w:p w14:paraId="41703A45">
            <w:pPr>
              <w:keepNext w:val="0"/>
              <w:keepLines/>
              <w:pageBreakBefore w:val="0"/>
              <w:kinsoku/>
              <w:wordWrap w:val="0"/>
              <w:overflowPunct/>
              <w:topLinePunct/>
              <w:autoSpaceDE/>
              <w:autoSpaceDN/>
              <w:bidi w:val="0"/>
              <w:adjustRightInd/>
              <w:snapToGrid/>
              <w:spacing w:line="400" w:lineRule="exact"/>
              <w:ind w:firstLine="422" w:firstLineChars="200"/>
              <w:rPr>
                <w:rFonts w:hint="eastAsia" w:ascii="宋体" w:hAnsi="宋体" w:cs="宋体"/>
                <w:b/>
                <w:szCs w:val="21"/>
                <w:highlight w:val="none"/>
              </w:rPr>
            </w:pPr>
            <w:r>
              <w:rPr>
                <w:rFonts w:hint="eastAsia" w:ascii="宋体" w:hAnsi="宋体" w:cs="宋体"/>
                <w:b/>
                <w:szCs w:val="21"/>
                <w:highlight w:val="none"/>
              </w:rPr>
              <w:t>二、量化考核指标</w:t>
            </w:r>
          </w:p>
          <w:p w14:paraId="7A24998F">
            <w:pPr>
              <w:keepNext w:val="0"/>
              <w:keepLines/>
              <w:pageBreakBefore w:val="0"/>
              <w:kinsoku/>
              <w:wordWrap w:val="0"/>
              <w:overflowPunct/>
              <w:topLinePunct/>
              <w:autoSpaceDE/>
              <w:autoSpaceDN/>
              <w:bidi w:val="0"/>
              <w:adjustRightInd/>
              <w:snapToGrid/>
              <w:spacing w:line="400" w:lineRule="exact"/>
              <w:ind w:firstLine="422" w:firstLineChars="200"/>
              <w:rPr>
                <w:rFonts w:hint="eastAsia" w:ascii="宋体" w:hAnsi="宋体" w:cs="宋体"/>
                <w:b/>
                <w:szCs w:val="21"/>
                <w:highlight w:val="none"/>
              </w:rPr>
            </w:pPr>
            <w:r>
              <w:rPr>
                <w:rFonts w:hint="eastAsia" w:ascii="宋体" w:hAnsi="宋体" w:cs="宋体"/>
                <w:b/>
                <w:szCs w:val="21"/>
                <w:highlight w:val="none"/>
              </w:rPr>
              <w:t>（一）指标定义</w:t>
            </w:r>
          </w:p>
          <w:p w14:paraId="060DD0B6">
            <w:pPr>
              <w:keepNext w:val="0"/>
              <w:keepLines/>
              <w:pageBreakBefore w:val="0"/>
              <w:kinsoku/>
              <w:wordWrap w:val="0"/>
              <w:overflowPunct/>
              <w:topLinePunct/>
              <w:autoSpaceDE/>
              <w:autoSpaceDN/>
              <w:bidi w:val="0"/>
              <w:adjustRightInd/>
              <w:snapToGrid/>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1、工单处理情况：指在日常运维过程中，中标供应商按照技术处要求处理完成工单的情况。</w:t>
            </w:r>
          </w:p>
          <w:p w14:paraId="5837062F">
            <w:pPr>
              <w:keepNext w:val="0"/>
              <w:keepLines/>
              <w:pageBreakBefore w:val="0"/>
              <w:kinsoku/>
              <w:wordWrap w:val="0"/>
              <w:overflowPunct/>
              <w:topLinePunct/>
              <w:autoSpaceDE/>
              <w:autoSpaceDN/>
              <w:bidi w:val="0"/>
              <w:adjustRightInd/>
              <w:snapToGrid/>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2、系统运行情况：指在日常运维过程中，信息系统非计划中断次数、时长及服务异常通报情况。</w:t>
            </w:r>
          </w:p>
          <w:p w14:paraId="71C0CA24">
            <w:pPr>
              <w:keepNext w:val="0"/>
              <w:keepLines/>
              <w:pageBreakBefore w:val="0"/>
              <w:kinsoku/>
              <w:wordWrap w:val="0"/>
              <w:overflowPunct/>
              <w:topLinePunct/>
              <w:autoSpaceDE/>
              <w:autoSpaceDN/>
              <w:bidi w:val="0"/>
              <w:adjustRightInd/>
              <w:snapToGrid/>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3、运维事故：指在日常运维过程中，未按照日常运维工作事项监控、检查或未经技术处允许对信息系统进行调整等人为因素造成信息系统服务中断或服务异常。</w:t>
            </w:r>
          </w:p>
          <w:p w14:paraId="7E476F89">
            <w:pPr>
              <w:keepNext w:val="0"/>
              <w:keepLines/>
              <w:pageBreakBefore w:val="0"/>
              <w:kinsoku/>
              <w:wordWrap w:val="0"/>
              <w:overflowPunct/>
              <w:topLinePunct/>
              <w:autoSpaceDE/>
              <w:autoSpaceDN/>
              <w:bidi w:val="0"/>
              <w:adjustRightInd/>
              <w:snapToGrid/>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4、运维岗位情况：指在日常运维过程中，中标供应商是否按照合同要求安排运维岗位及人员。</w:t>
            </w:r>
          </w:p>
          <w:p w14:paraId="2A224214">
            <w:pPr>
              <w:keepNext w:val="0"/>
              <w:keepLines/>
              <w:pageBreakBefore w:val="0"/>
              <w:kinsoku/>
              <w:wordWrap w:val="0"/>
              <w:overflowPunct/>
              <w:topLinePunct/>
              <w:autoSpaceDE/>
              <w:autoSpaceDN/>
              <w:bidi w:val="0"/>
              <w:adjustRightInd/>
              <w:snapToGrid/>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5、运维工作满意度：指在日常运维过程中，技术处对中标供应商本期配合软件组完成运维工作的满意程度。</w:t>
            </w:r>
          </w:p>
          <w:p w14:paraId="1C063B52">
            <w:pPr>
              <w:keepNext w:val="0"/>
              <w:keepLines/>
              <w:pageBreakBefore w:val="0"/>
              <w:kinsoku/>
              <w:wordWrap w:val="0"/>
              <w:overflowPunct/>
              <w:topLinePunct/>
              <w:autoSpaceDE/>
              <w:autoSpaceDN/>
              <w:bidi w:val="0"/>
              <w:adjustRightInd/>
              <w:snapToGrid/>
              <w:spacing w:line="400" w:lineRule="exact"/>
              <w:ind w:firstLine="422" w:firstLineChars="200"/>
              <w:rPr>
                <w:rFonts w:hint="eastAsia" w:ascii="宋体" w:hAnsi="宋体" w:cs="宋体"/>
                <w:b/>
                <w:szCs w:val="21"/>
                <w:highlight w:val="none"/>
              </w:rPr>
            </w:pPr>
            <w:r>
              <w:rPr>
                <w:rFonts w:hint="eastAsia" w:ascii="宋体" w:hAnsi="宋体" w:cs="宋体"/>
                <w:b/>
                <w:szCs w:val="21"/>
                <w:highlight w:val="none"/>
              </w:rPr>
              <w:t>（二）具体指标及评分标准</w:t>
            </w:r>
          </w:p>
          <w:tbl>
            <w:tblPr>
              <w:tblStyle w:val="25"/>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05"/>
              <w:gridCol w:w="487"/>
              <w:gridCol w:w="2536"/>
              <w:gridCol w:w="1587"/>
              <w:gridCol w:w="953"/>
            </w:tblGrid>
            <w:tr w14:paraId="09AB1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3" w:type="pct"/>
                  <w:vMerge w:val="restart"/>
                  <w:vAlign w:val="center"/>
                </w:tcPr>
                <w:p w14:paraId="00E9A5E9">
                  <w:pPr>
                    <w:keepNext w:val="0"/>
                    <w:keepLines/>
                    <w:pageBreakBefore w:val="0"/>
                    <w:kinsoku/>
                    <w:wordWrap w:val="0"/>
                    <w:overflowPunct/>
                    <w:topLinePunct/>
                    <w:autoSpaceDE/>
                    <w:autoSpaceDN/>
                    <w:bidi w:val="0"/>
                    <w:adjustRightInd/>
                    <w:snapToGrid/>
                    <w:spacing w:line="400" w:lineRule="exact"/>
                    <w:rPr>
                      <w:rFonts w:hint="eastAsia" w:ascii="宋体" w:hAnsi="宋体" w:cs="宋体"/>
                      <w:szCs w:val="21"/>
                      <w:highlight w:val="none"/>
                    </w:rPr>
                  </w:pPr>
                  <w:r>
                    <w:rPr>
                      <w:rFonts w:hint="eastAsia" w:ascii="宋体" w:hAnsi="宋体" w:cs="宋体"/>
                      <w:szCs w:val="21"/>
                      <w:highlight w:val="none"/>
                    </w:rPr>
                    <w:t>考核指标</w:t>
                  </w:r>
                </w:p>
              </w:tc>
              <w:tc>
                <w:tcPr>
                  <w:tcW w:w="2373" w:type="pct"/>
                  <w:gridSpan w:val="2"/>
                  <w:vAlign w:val="center"/>
                </w:tcPr>
                <w:p w14:paraId="4989E8CE">
                  <w:pPr>
                    <w:keepNext w:val="0"/>
                    <w:keepLines/>
                    <w:pageBreakBefore w:val="0"/>
                    <w:kinsoku/>
                    <w:wordWrap w:val="0"/>
                    <w:overflowPunct/>
                    <w:topLinePunct/>
                    <w:autoSpaceDE/>
                    <w:autoSpaceDN/>
                    <w:bidi w:val="0"/>
                    <w:adjustRightInd/>
                    <w:snapToGrid/>
                    <w:spacing w:line="400" w:lineRule="exact"/>
                    <w:rPr>
                      <w:rFonts w:hint="eastAsia" w:ascii="宋体" w:hAnsi="宋体" w:cs="宋体"/>
                      <w:szCs w:val="21"/>
                      <w:highlight w:val="none"/>
                    </w:rPr>
                  </w:pPr>
                  <w:r>
                    <w:rPr>
                      <w:rFonts w:hint="eastAsia" w:ascii="宋体" w:hAnsi="宋体" w:cs="宋体"/>
                      <w:szCs w:val="21"/>
                      <w:highlight w:val="none"/>
                    </w:rPr>
                    <w:t>量化标准</w:t>
                  </w:r>
                </w:p>
              </w:tc>
              <w:tc>
                <w:tcPr>
                  <w:tcW w:w="1246" w:type="pct"/>
                  <w:vMerge w:val="restart"/>
                  <w:vAlign w:val="center"/>
                </w:tcPr>
                <w:p w14:paraId="44ECF621">
                  <w:pPr>
                    <w:keepNext w:val="0"/>
                    <w:keepLines/>
                    <w:pageBreakBefore w:val="0"/>
                    <w:kinsoku/>
                    <w:wordWrap w:val="0"/>
                    <w:overflowPunct/>
                    <w:topLinePunct/>
                    <w:autoSpaceDE/>
                    <w:autoSpaceDN/>
                    <w:bidi w:val="0"/>
                    <w:adjustRightInd/>
                    <w:snapToGrid/>
                    <w:spacing w:line="400" w:lineRule="exact"/>
                    <w:rPr>
                      <w:rFonts w:hint="eastAsia" w:ascii="宋体" w:hAnsi="宋体" w:cs="宋体"/>
                      <w:szCs w:val="21"/>
                      <w:highlight w:val="none"/>
                    </w:rPr>
                  </w:pPr>
                  <w:r>
                    <w:rPr>
                      <w:rFonts w:hint="eastAsia" w:ascii="宋体" w:hAnsi="宋体" w:cs="宋体"/>
                      <w:szCs w:val="21"/>
                      <w:highlight w:val="none"/>
                    </w:rPr>
                    <w:t>单项扣分说明</w:t>
                  </w:r>
                </w:p>
              </w:tc>
              <w:tc>
                <w:tcPr>
                  <w:tcW w:w="748" w:type="pct"/>
                  <w:vMerge w:val="restart"/>
                  <w:vAlign w:val="center"/>
                </w:tcPr>
                <w:p w14:paraId="0174FCB3">
                  <w:pPr>
                    <w:keepNext w:val="0"/>
                    <w:keepLines/>
                    <w:pageBreakBefore w:val="0"/>
                    <w:kinsoku/>
                    <w:wordWrap w:val="0"/>
                    <w:overflowPunct/>
                    <w:topLinePunct/>
                    <w:autoSpaceDE/>
                    <w:autoSpaceDN/>
                    <w:bidi w:val="0"/>
                    <w:adjustRightInd/>
                    <w:snapToGrid/>
                    <w:spacing w:line="400" w:lineRule="exact"/>
                    <w:rPr>
                      <w:rFonts w:hint="eastAsia" w:ascii="宋体" w:hAnsi="宋体" w:cs="宋体"/>
                      <w:szCs w:val="21"/>
                      <w:highlight w:val="none"/>
                    </w:rPr>
                  </w:pPr>
                  <w:r>
                    <w:rPr>
                      <w:rFonts w:hint="eastAsia" w:ascii="宋体" w:hAnsi="宋体" w:cs="宋体"/>
                      <w:szCs w:val="21"/>
                      <w:highlight w:val="none"/>
                    </w:rPr>
                    <w:t>单项得分</w:t>
                  </w:r>
                </w:p>
              </w:tc>
            </w:tr>
            <w:tr w14:paraId="673FA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9" w:hRule="atLeast"/>
                <w:jc w:val="center"/>
              </w:trPr>
              <w:tc>
                <w:tcPr>
                  <w:tcW w:w="633" w:type="pct"/>
                  <w:vMerge w:val="continue"/>
                </w:tcPr>
                <w:p w14:paraId="7BA44A11">
                  <w:pPr>
                    <w:keepNext w:val="0"/>
                    <w:keepLines/>
                    <w:pageBreakBefore w:val="0"/>
                    <w:kinsoku/>
                    <w:wordWrap w:val="0"/>
                    <w:overflowPunct/>
                    <w:topLinePunct/>
                    <w:autoSpaceDE/>
                    <w:autoSpaceDN/>
                    <w:bidi w:val="0"/>
                    <w:adjustRightInd/>
                    <w:snapToGrid/>
                    <w:spacing w:line="400" w:lineRule="exact"/>
                    <w:rPr>
                      <w:rFonts w:hint="eastAsia" w:ascii="宋体" w:hAnsi="宋体" w:cs="宋体"/>
                      <w:szCs w:val="21"/>
                      <w:highlight w:val="none"/>
                    </w:rPr>
                  </w:pPr>
                </w:p>
              </w:tc>
              <w:tc>
                <w:tcPr>
                  <w:tcW w:w="382" w:type="pct"/>
                </w:tcPr>
                <w:p w14:paraId="18F7F390">
                  <w:pPr>
                    <w:keepNext w:val="0"/>
                    <w:keepLines/>
                    <w:pageBreakBefore w:val="0"/>
                    <w:kinsoku/>
                    <w:wordWrap w:val="0"/>
                    <w:overflowPunct/>
                    <w:topLinePunct/>
                    <w:autoSpaceDE/>
                    <w:autoSpaceDN/>
                    <w:bidi w:val="0"/>
                    <w:adjustRightInd/>
                    <w:snapToGrid/>
                    <w:spacing w:line="400" w:lineRule="exact"/>
                    <w:rPr>
                      <w:rFonts w:hint="eastAsia" w:ascii="宋体" w:hAnsi="宋体" w:cs="宋体"/>
                      <w:szCs w:val="21"/>
                      <w:highlight w:val="none"/>
                    </w:rPr>
                  </w:pPr>
                  <w:r>
                    <w:rPr>
                      <w:rFonts w:hint="eastAsia" w:ascii="宋体" w:hAnsi="宋体" w:cs="宋体"/>
                      <w:szCs w:val="21"/>
                      <w:highlight w:val="none"/>
                    </w:rPr>
                    <w:t>权重</w:t>
                  </w:r>
                </w:p>
              </w:tc>
              <w:tc>
                <w:tcPr>
                  <w:tcW w:w="1991" w:type="pct"/>
                </w:tcPr>
                <w:p w14:paraId="3F898273">
                  <w:pPr>
                    <w:keepNext w:val="0"/>
                    <w:keepLines/>
                    <w:pageBreakBefore w:val="0"/>
                    <w:kinsoku/>
                    <w:wordWrap w:val="0"/>
                    <w:overflowPunct/>
                    <w:topLinePunct/>
                    <w:autoSpaceDE/>
                    <w:autoSpaceDN/>
                    <w:bidi w:val="0"/>
                    <w:adjustRightInd/>
                    <w:snapToGrid/>
                    <w:spacing w:line="400" w:lineRule="exact"/>
                    <w:rPr>
                      <w:rFonts w:hint="eastAsia" w:ascii="宋体" w:hAnsi="宋体" w:cs="宋体"/>
                      <w:szCs w:val="21"/>
                      <w:highlight w:val="none"/>
                    </w:rPr>
                  </w:pPr>
                  <w:r>
                    <w:rPr>
                      <w:rFonts w:hint="eastAsia" w:ascii="宋体" w:hAnsi="宋体" w:cs="宋体"/>
                      <w:szCs w:val="21"/>
                      <w:highlight w:val="none"/>
                    </w:rPr>
                    <w:t>扣分标准（满分100，向下扣除）</w:t>
                  </w:r>
                </w:p>
              </w:tc>
              <w:tc>
                <w:tcPr>
                  <w:tcW w:w="1246" w:type="pct"/>
                  <w:vMerge w:val="continue"/>
                </w:tcPr>
                <w:p w14:paraId="77A61C87">
                  <w:pPr>
                    <w:keepNext w:val="0"/>
                    <w:keepLines/>
                    <w:pageBreakBefore w:val="0"/>
                    <w:kinsoku/>
                    <w:wordWrap w:val="0"/>
                    <w:overflowPunct/>
                    <w:topLinePunct/>
                    <w:autoSpaceDE/>
                    <w:autoSpaceDN/>
                    <w:bidi w:val="0"/>
                    <w:adjustRightInd/>
                    <w:snapToGrid/>
                    <w:spacing w:line="400" w:lineRule="exact"/>
                    <w:rPr>
                      <w:rFonts w:hint="eastAsia" w:ascii="宋体" w:hAnsi="宋体" w:cs="宋体"/>
                      <w:szCs w:val="21"/>
                      <w:highlight w:val="none"/>
                    </w:rPr>
                  </w:pPr>
                </w:p>
              </w:tc>
              <w:tc>
                <w:tcPr>
                  <w:tcW w:w="748" w:type="pct"/>
                  <w:vMerge w:val="continue"/>
                </w:tcPr>
                <w:p w14:paraId="4A803695">
                  <w:pPr>
                    <w:keepNext w:val="0"/>
                    <w:keepLines/>
                    <w:pageBreakBefore w:val="0"/>
                    <w:kinsoku/>
                    <w:wordWrap w:val="0"/>
                    <w:overflowPunct/>
                    <w:topLinePunct/>
                    <w:autoSpaceDE/>
                    <w:autoSpaceDN/>
                    <w:bidi w:val="0"/>
                    <w:adjustRightInd/>
                    <w:snapToGrid/>
                    <w:spacing w:line="400" w:lineRule="exact"/>
                    <w:rPr>
                      <w:rFonts w:hint="eastAsia" w:ascii="宋体" w:hAnsi="宋体" w:cs="宋体"/>
                      <w:szCs w:val="21"/>
                      <w:highlight w:val="none"/>
                    </w:rPr>
                  </w:pPr>
                </w:p>
              </w:tc>
            </w:tr>
            <w:tr w14:paraId="10ECC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3" w:type="pct"/>
                  <w:vAlign w:val="center"/>
                </w:tcPr>
                <w:p w14:paraId="75CF46EF">
                  <w:pPr>
                    <w:keepNext w:val="0"/>
                    <w:keepLines/>
                    <w:pageBreakBefore w:val="0"/>
                    <w:kinsoku/>
                    <w:wordWrap w:val="0"/>
                    <w:overflowPunct/>
                    <w:topLinePunct/>
                    <w:autoSpaceDE/>
                    <w:autoSpaceDN/>
                    <w:bidi w:val="0"/>
                    <w:adjustRightInd/>
                    <w:snapToGrid/>
                    <w:spacing w:line="400" w:lineRule="exact"/>
                    <w:rPr>
                      <w:rFonts w:hint="eastAsia" w:ascii="宋体" w:hAnsi="宋体" w:cs="宋体"/>
                      <w:szCs w:val="21"/>
                      <w:highlight w:val="none"/>
                    </w:rPr>
                  </w:pPr>
                  <w:r>
                    <w:rPr>
                      <w:rFonts w:hint="eastAsia" w:ascii="宋体" w:hAnsi="宋体" w:cs="宋体"/>
                      <w:szCs w:val="21"/>
                      <w:highlight w:val="none"/>
                    </w:rPr>
                    <w:t>工单处理情况</w:t>
                  </w:r>
                </w:p>
              </w:tc>
              <w:tc>
                <w:tcPr>
                  <w:tcW w:w="382" w:type="pct"/>
                  <w:vAlign w:val="center"/>
                </w:tcPr>
                <w:p w14:paraId="6FA82149">
                  <w:pPr>
                    <w:keepNext w:val="0"/>
                    <w:keepLines/>
                    <w:pageBreakBefore w:val="0"/>
                    <w:kinsoku/>
                    <w:wordWrap w:val="0"/>
                    <w:overflowPunct/>
                    <w:topLinePunct/>
                    <w:autoSpaceDE/>
                    <w:autoSpaceDN/>
                    <w:bidi w:val="0"/>
                    <w:adjustRightInd/>
                    <w:snapToGrid/>
                    <w:spacing w:line="400" w:lineRule="exact"/>
                    <w:jc w:val="center"/>
                    <w:rPr>
                      <w:rFonts w:hint="eastAsia" w:ascii="宋体" w:hAnsi="宋体" w:cs="宋体"/>
                      <w:szCs w:val="21"/>
                      <w:highlight w:val="none"/>
                    </w:rPr>
                  </w:pPr>
                  <w:r>
                    <w:rPr>
                      <w:rFonts w:hint="eastAsia" w:ascii="宋体" w:hAnsi="宋体" w:cs="宋体"/>
                      <w:szCs w:val="21"/>
                      <w:highlight w:val="none"/>
                    </w:rPr>
                    <w:t>30%</w:t>
                  </w:r>
                </w:p>
              </w:tc>
              <w:tc>
                <w:tcPr>
                  <w:tcW w:w="1991" w:type="pct"/>
                </w:tcPr>
                <w:p w14:paraId="6866D313">
                  <w:pPr>
                    <w:keepNext w:val="0"/>
                    <w:keepLines/>
                    <w:pageBreakBefore w:val="0"/>
                    <w:numPr>
                      <w:ilvl w:val="0"/>
                      <w:numId w:val="4"/>
                    </w:numPr>
                    <w:kinsoku/>
                    <w:wordWrap w:val="0"/>
                    <w:overflowPunct/>
                    <w:topLinePunct/>
                    <w:autoSpaceDE/>
                    <w:autoSpaceDN/>
                    <w:bidi w:val="0"/>
                    <w:adjustRightInd/>
                    <w:snapToGrid/>
                    <w:spacing w:line="400" w:lineRule="exact"/>
                    <w:ind w:left="0"/>
                    <w:rPr>
                      <w:rFonts w:hint="eastAsia" w:ascii="宋体" w:hAnsi="宋体" w:cs="宋体"/>
                      <w:szCs w:val="21"/>
                      <w:highlight w:val="none"/>
                    </w:rPr>
                  </w:pPr>
                  <w:r>
                    <w:rPr>
                      <w:rFonts w:hint="eastAsia" w:ascii="宋体" w:hAnsi="宋体" w:cs="宋体"/>
                      <w:szCs w:val="21"/>
                      <w:highlight w:val="none"/>
                    </w:rPr>
                    <w:t>未按照规定时间完成工单（-1/次）；</w:t>
                  </w:r>
                </w:p>
                <w:p w14:paraId="3F63DAB2">
                  <w:pPr>
                    <w:keepNext w:val="0"/>
                    <w:keepLines/>
                    <w:pageBreakBefore w:val="0"/>
                    <w:numPr>
                      <w:ilvl w:val="0"/>
                      <w:numId w:val="4"/>
                    </w:numPr>
                    <w:kinsoku/>
                    <w:wordWrap w:val="0"/>
                    <w:overflowPunct/>
                    <w:topLinePunct/>
                    <w:autoSpaceDE/>
                    <w:autoSpaceDN/>
                    <w:bidi w:val="0"/>
                    <w:adjustRightInd/>
                    <w:snapToGrid/>
                    <w:spacing w:line="400" w:lineRule="exact"/>
                    <w:ind w:left="0"/>
                    <w:rPr>
                      <w:rFonts w:hint="eastAsia" w:ascii="宋体" w:hAnsi="宋体" w:cs="宋体"/>
                      <w:szCs w:val="21"/>
                      <w:highlight w:val="none"/>
                    </w:rPr>
                  </w:pPr>
                  <w:r>
                    <w:rPr>
                      <w:rFonts w:hint="eastAsia" w:ascii="宋体" w:hAnsi="宋体" w:cs="宋体"/>
                      <w:szCs w:val="21"/>
                      <w:highlight w:val="none"/>
                    </w:rPr>
                    <w:t>工单完成质量未达到要求（-2/次）；</w:t>
                  </w:r>
                </w:p>
                <w:p w14:paraId="7298CA00">
                  <w:pPr>
                    <w:keepNext w:val="0"/>
                    <w:keepLines/>
                    <w:pageBreakBefore w:val="0"/>
                    <w:numPr>
                      <w:ilvl w:val="0"/>
                      <w:numId w:val="4"/>
                    </w:numPr>
                    <w:kinsoku/>
                    <w:wordWrap w:val="0"/>
                    <w:overflowPunct/>
                    <w:topLinePunct/>
                    <w:autoSpaceDE/>
                    <w:autoSpaceDN/>
                    <w:bidi w:val="0"/>
                    <w:adjustRightInd/>
                    <w:snapToGrid/>
                    <w:spacing w:line="400" w:lineRule="exact"/>
                    <w:ind w:left="0"/>
                    <w:rPr>
                      <w:rFonts w:hint="eastAsia" w:ascii="宋体" w:hAnsi="宋体" w:cs="宋体"/>
                      <w:szCs w:val="21"/>
                      <w:highlight w:val="none"/>
                    </w:rPr>
                  </w:pPr>
                  <w:r>
                    <w:rPr>
                      <w:rFonts w:hint="eastAsia" w:ascii="宋体" w:hAnsi="宋体" w:cs="宋体"/>
                      <w:szCs w:val="21"/>
                      <w:highlight w:val="none"/>
                    </w:rPr>
                    <w:t>工单遗失（-2/次）。</w:t>
                  </w:r>
                </w:p>
              </w:tc>
              <w:tc>
                <w:tcPr>
                  <w:tcW w:w="1246" w:type="pct"/>
                  <w:vAlign w:val="center"/>
                </w:tcPr>
                <w:p w14:paraId="127EDFD6">
                  <w:pPr>
                    <w:keepNext w:val="0"/>
                    <w:keepLines/>
                    <w:pageBreakBefore w:val="0"/>
                    <w:kinsoku/>
                    <w:wordWrap w:val="0"/>
                    <w:overflowPunct/>
                    <w:topLinePunct/>
                    <w:autoSpaceDE/>
                    <w:autoSpaceDN/>
                    <w:bidi w:val="0"/>
                    <w:adjustRightInd/>
                    <w:snapToGrid/>
                    <w:spacing w:line="400" w:lineRule="exact"/>
                    <w:rPr>
                      <w:rFonts w:hint="eastAsia" w:ascii="宋体" w:hAnsi="宋体" w:cs="宋体"/>
                      <w:szCs w:val="21"/>
                      <w:highlight w:val="none"/>
                    </w:rPr>
                  </w:pPr>
                  <w:r>
                    <w:rPr>
                      <w:rFonts w:hint="eastAsia" w:ascii="宋体" w:hAnsi="宋体" w:cs="宋体"/>
                      <w:szCs w:val="21"/>
                      <w:highlight w:val="none"/>
                    </w:rPr>
                    <w:t>（填报本期单项扣分具体情况）</w:t>
                  </w:r>
                </w:p>
              </w:tc>
              <w:tc>
                <w:tcPr>
                  <w:tcW w:w="748" w:type="pct"/>
                  <w:vAlign w:val="center"/>
                </w:tcPr>
                <w:p w14:paraId="3FFDECED">
                  <w:pPr>
                    <w:keepNext w:val="0"/>
                    <w:keepLines/>
                    <w:pageBreakBefore w:val="0"/>
                    <w:kinsoku/>
                    <w:wordWrap w:val="0"/>
                    <w:overflowPunct/>
                    <w:topLinePunct/>
                    <w:autoSpaceDE/>
                    <w:autoSpaceDN/>
                    <w:bidi w:val="0"/>
                    <w:adjustRightInd/>
                    <w:snapToGrid/>
                    <w:spacing w:line="400" w:lineRule="exact"/>
                    <w:rPr>
                      <w:rFonts w:hint="eastAsia" w:ascii="宋体" w:hAnsi="宋体" w:cs="宋体"/>
                      <w:szCs w:val="21"/>
                      <w:highlight w:val="none"/>
                    </w:rPr>
                  </w:pPr>
                  <w:r>
                    <w:rPr>
                      <w:rFonts w:hint="eastAsia" w:ascii="宋体" w:hAnsi="宋体" w:cs="宋体"/>
                      <w:szCs w:val="21"/>
                      <w:highlight w:val="none"/>
                    </w:rPr>
                    <w:t>（填报本期得分）</w:t>
                  </w:r>
                </w:p>
              </w:tc>
            </w:tr>
            <w:tr w14:paraId="0C857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4" w:hRule="atLeast"/>
                <w:jc w:val="center"/>
              </w:trPr>
              <w:tc>
                <w:tcPr>
                  <w:tcW w:w="633" w:type="pct"/>
                  <w:vAlign w:val="center"/>
                </w:tcPr>
                <w:p w14:paraId="7AFDF1B2">
                  <w:pPr>
                    <w:keepNext w:val="0"/>
                    <w:keepLines/>
                    <w:pageBreakBefore w:val="0"/>
                    <w:kinsoku/>
                    <w:wordWrap w:val="0"/>
                    <w:overflowPunct/>
                    <w:topLinePunct/>
                    <w:autoSpaceDE/>
                    <w:autoSpaceDN/>
                    <w:bidi w:val="0"/>
                    <w:adjustRightInd/>
                    <w:snapToGrid/>
                    <w:spacing w:line="400" w:lineRule="exact"/>
                    <w:rPr>
                      <w:rFonts w:hint="eastAsia" w:ascii="宋体" w:hAnsi="宋体" w:cs="宋体"/>
                      <w:szCs w:val="21"/>
                      <w:highlight w:val="none"/>
                    </w:rPr>
                  </w:pPr>
                  <w:r>
                    <w:rPr>
                      <w:rFonts w:hint="eastAsia" w:ascii="宋体" w:hAnsi="宋体" w:cs="宋体"/>
                      <w:szCs w:val="21"/>
                      <w:highlight w:val="none"/>
                    </w:rPr>
                    <w:t>系统运行情况</w:t>
                  </w:r>
                </w:p>
              </w:tc>
              <w:tc>
                <w:tcPr>
                  <w:tcW w:w="382" w:type="pct"/>
                  <w:vAlign w:val="center"/>
                </w:tcPr>
                <w:p w14:paraId="3D229F14">
                  <w:pPr>
                    <w:keepNext w:val="0"/>
                    <w:keepLines/>
                    <w:pageBreakBefore w:val="0"/>
                    <w:kinsoku/>
                    <w:wordWrap w:val="0"/>
                    <w:overflowPunct/>
                    <w:topLinePunct/>
                    <w:autoSpaceDE/>
                    <w:autoSpaceDN/>
                    <w:bidi w:val="0"/>
                    <w:adjustRightInd/>
                    <w:snapToGrid/>
                    <w:spacing w:line="400" w:lineRule="exact"/>
                    <w:jc w:val="center"/>
                    <w:rPr>
                      <w:rFonts w:hint="eastAsia" w:ascii="宋体" w:hAnsi="宋体" w:cs="宋体"/>
                      <w:szCs w:val="21"/>
                      <w:highlight w:val="none"/>
                    </w:rPr>
                  </w:pPr>
                  <w:r>
                    <w:rPr>
                      <w:rFonts w:hint="eastAsia" w:ascii="宋体" w:hAnsi="宋体" w:cs="宋体"/>
                      <w:szCs w:val="21"/>
                      <w:highlight w:val="none"/>
                    </w:rPr>
                    <w:t>20%</w:t>
                  </w:r>
                </w:p>
              </w:tc>
              <w:tc>
                <w:tcPr>
                  <w:tcW w:w="1991" w:type="pct"/>
                </w:tcPr>
                <w:p w14:paraId="5B4C8E65">
                  <w:pPr>
                    <w:keepNext w:val="0"/>
                    <w:keepLines/>
                    <w:pageBreakBefore w:val="0"/>
                    <w:numPr>
                      <w:ilvl w:val="0"/>
                      <w:numId w:val="5"/>
                    </w:numPr>
                    <w:kinsoku/>
                    <w:wordWrap w:val="0"/>
                    <w:overflowPunct/>
                    <w:topLinePunct/>
                    <w:autoSpaceDE/>
                    <w:autoSpaceDN/>
                    <w:bidi w:val="0"/>
                    <w:adjustRightInd/>
                    <w:snapToGrid/>
                    <w:spacing w:line="400" w:lineRule="exact"/>
                    <w:ind w:left="0"/>
                    <w:rPr>
                      <w:rFonts w:hint="eastAsia" w:ascii="宋体" w:hAnsi="宋体" w:cs="宋体"/>
                      <w:szCs w:val="21"/>
                      <w:highlight w:val="none"/>
                    </w:rPr>
                  </w:pPr>
                  <w:r>
                    <w:rPr>
                      <w:rFonts w:hint="eastAsia" w:ascii="宋体" w:hAnsi="宋体" w:cs="宋体"/>
                      <w:szCs w:val="21"/>
                      <w:highlight w:val="none"/>
                    </w:rPr>
                    <w:t>信息系统单次故障中断时间超过4小时（-1/超出4小时）；</w:t>
                  </w:r>
                </w:p>
                <w:p w14:paraId="03920EB5">
                  <w:pPr>
                    <w:keepNext w:val="0"/>
                    <w:keepLines/>
                    <w:pageBreakBefore w:val="0"/>
                    <w:numPr>
                      <w:ilvl w:val="0"/>
                      <w:numId w:val="5"/>
                    </w:numPr>
                    <w:kinsoku/>
                    <w:wordWrap w:val="0"/>
                    <w:overflowPunct/>
                    <w:topLinePunct/>
                    <w:autoSpaceDE/>
                    <w:autoSpaceDN/>
                    <w:bidi w:val="0"/>
                    <w:adjustRightInd/>
                    <w:snapToGrid/>
                    <w:spacing w:line="400" w:lineRule="exact"/>
                    <w:ind w:left="0"/>
                    <w:rPr>
                      <w:rFonts w:hint="eastAsia" w:ascii="宋体" w:hAnsi="宋体" w:cs="宋体"/>
                      <w:szCs w:val="21"/>
                      <w:highlight w:val="none"/>
                    </w:rPr>
                  </w:pPr>
                  <w:r>
                    <w:rPr>
                      <w:rFonts w:hint="eastAsia" w:ascii="宋体" w:hAnsi="宋体" w:cs="宋体"/>
                      <w:szCs w:val="21"/>
                      <w:highlight w:val="none"/>
                    </w:rPr>
                    <w:t>未及时通报系统异常（-5/次）；</w:t>
                  </w:r>
                </w:p>
                <w:p w14:paraId="466F703F">
                  <w:pPr>
                    <w:keepNext w:val="0"/>
                    <w:keepLines/>
                    <w:pageBreakBefore w:val="0"/>
                    <w:numPr>
                      <w:ilvl w:val="0"/>
                      <w:numId w:val="5"/>
                    </w:numPr>
                    <w:kinsoku/>
                    <w:wordWrap w:val="0"/>
                    <w:overflowPunct/>
                    <w:topLinePunct/>
                    <w:autoSpaceDE/>
                    <w:autoSpaceDN/>
                    <w:bidi w:val="0"/>
                    <w:adjustRightInd/>
                    <w:snapToGrid/>
                    <w:spacing w:line="400" w:lineRule="exact"/>
                    <w:ind w:left="0"/>
                    <w:rPr>
                      <w:rFonts w:hint="eastAsia" w:ascii="宋体" w:hAnsi="宋体" w:cs="宋体"/>
                      <w:szCs w:val="21"/>
                      <w:highlight w:val="none"/>
                    </w:rPr>
                  </w:pPr>
                  <w:r>
                    <w:rPr>
                      <w:rFonts w:hint="eastAsia" w:ascii="宋体" w:hAnsi="宋体" w:cs="宋体"/>
                      <w:szCs w:val="21"/>
                      <w:highlight w:val="none"/>
                    </w:rPr>
                    <w:t>未按照应急预案操作（-1/次）；</w:t>
                  </w:r>
                </w:p>
                <w:p w14:paraId="773B590F">
                  <w:pPr>
                    <w:keepNext w:val="0"/>
                    <w:keepLines/>
                    <w:pageBreakBefore w:val="0"/>
                    <w:numPr>
                      <w:ilvl w:val="0"/>
                      <w:numId w:val="5"/>
                    </w:numPr>
                    <w:kinsoku/>
                    <w:wordWrap w:val="0"/>
                    <w:overflowPunct/>
                    <w:topLinePunct/>
                    <w:autoSpaceDE/>
                    <w:autoSpaceDN/>
                    <w:bidi w:val="0"/>
                    <w:adjustRightInd/>
                    <w:snapToGrid/>
                    <w:spacing w:line="400" w:lineRule="exact"/>
                    <w:ind w:left="0"/>
                    <w:rPr>
                      <w:rFonts w:hint="eastAsia" w:ascii="宋体" w:hAnsi="宋体" w:cs="宋体"/>
                      <w:szCs w:val="21"/>
                      <w:highlight w:val="none"/>
                    </w:rPr>
                  </w:pPr>
                  <w:r>
                    <w:rPr>
                      <w:rFonts w:hint="eastAsia" w:ascii="宋体" w:hAnsi="宋体" w:cs="宋体"/>
                      <w:szCs w:val="21"/>
                      <w:highlight w:val="none"/>
                    </w:rPr>
                    <w:t>因软件故障造成非计划内信息系统中断（-1/次）。</w:t>
                  </w:r>
                </w:p>
              </w:tc>
              <w:tc>
                <w:tcPr>
                  <w:tcW w:w="1246" w:type="pct"/>
                  <w:vAlign w:val="center"/>
                </w:tcPr>
                <w:p w14:paraId="69B8C58B">
                  <w:pPr>
                    <w:keepNext w:val="0"/>
                    <w:keepLines/>
                    <w:pageBreakBefore w:val="0"/>
                    <w:kinsoku/>
                    <w:wordWrap w:val="0"/>
                    <w:overflowPunct/>
                    <w:topLinePunct/>
                    <w:autoSpaceDE/>
                    <w:autoSpaceDN/>
                    <w:bidi w:val="0"/>
                    <w:adjustRightInd/>
                    <w:snapToGrid/>
                    <w:spacing w:line="400" w:lineRule="exact"/>
                    <w:rPr>
                      <w:rFonts w:hint="eastAsia" w:ascii="宋体" w:hAnsi="宋体" w:cs="宋体"/>
                      <w:szCs w:val="21"/>
                      <w:highlight w:val="none"/>
                    </w:rPr>
                  </w:pPr>
                  <w:r>
                    <w:rPr>
                      <w:rFonts w:hint="eastAsia" w:ascii="宋体" w:hAnsi="宋体" w:cs="宋体"/>
                      <w:szCs w:val="21"/>
                      <w:highlight w:val="none"/>
                    </w:rPr>
                    <w:t>（填报本期单项扣分具体情况）</w:t>
                  </w:r>
                </w:p>
              </w:tc>
              <w:tc>
                <w:tcPr>
                  <w:tcW w:w="748" w:type="pct"/>
                  <w:vAlign w:val="center"/>
                </w:tcPr>
                <w:p w14:paraId="698D7901">
                  <w:pPr>
                    <w:keepNext w:val="0"/>
                    <w:keepLines/>
                    <w:pageBreakBefore w:val="0"/>
                    <w:kinsoku/>
                    <w:wordWrap w:val="0"/>
                    <w:overflowPunct/>
                    <w:topLinePunct/>
                    <w:autoSpaceDE/>
                    <w:autoSpaceDN/>
                    <w:bidi w:val="0"/>
                    <w:adjustRightInd/>
                    <w:snapToGrid/>
                    <w:spacing w:line="400" w:lineRule="exact"/>
                    <w:rPr>
                      <w:rFonts w:hint="eastAsia" w:ascii="宋体" w:hAnsi="宋体" w:cs="宋体"/>
                      <w:szCs w:val="21"/>
                      <w:highlight w:val="none"/>
                    </w:rPr>
                  </w:pPr>
                  <w:r>
                    <w:rPr>
                      <w:rFonts w:hint="eastAsia" w:ascii="宋体" w:hAnsi="宋体" w:cs="宋体"/>
                      <w:szCs w:val="21"/>
                      <w:highlight w:val="none"/>
                    </w:rPr>
                    <w:t>（填报本期得分）</w:t>
                  </w:r>
                </w:p>
              </w:tc>
            </w:tr>
            <w:tr w14:paraId="72398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3" w:type="pct"/>
                  <w:vAlign w:val="center"/>
                </w:tcPr>
                <w:p w14:paraId="36B7C780">
                  <w:pPr>
                    <w:keepNext w:val="0"/>
                    <w:keepLines/>
                    <w:pageBreakBefore w:val="0"/>
                    <w:kinsoku/>
                    <w:wordWrap w:val="0"/>
                    <w:overflowPunct/>
                    <w:topLinePunct/>
                    <w:autoSpaceDE/>
                    <w:autoSpaceDN/>
                    <w:bidi w:val="0"/>
                    <w:adjustRightInd/>
                    <w:snapToGrid/>
                    <w:spacing w:line="400" w:lineRule="exact"/>
                    <w:rPr>
                      <w:rFonts w:hint="eastAsia" w:ascii="宋体" w:hAnsi="宋体" w:cs="宋体"/>
                      <w:szCs w:val="21"/>
                      <w:highlight w:val="none"/>
                    </w:rPr>
                  </w:pPr>
                  <w:r>
                    <w:rPr>
                      <w:rFonts w:hint="eastAsia" w:ascii="宋体" w:hAnsi="宋体" w:cs="宋体"/>
                      <w:szCs w:val="21"/>
                      <w:highlight w:val="none"/>
                    </w:rPr>
                    <w:t>运维事故</w:t>
                  </w:r>
                </w:p>
              </w:tc>
              <w:tc>
                <w:tcPr>
                  <w:tcW w:w="382" w:type="pct"/>
                  <w:vAlign w:val="center"/>
                </w:tcPr>
                <w:p w14:paraId="7AD7BF7A">
                  <w:pPr>
                    <w:keepNext w:val="0"/>
                    <w:keepLines/>
                    <w:pageBreakBefore w:val="0"/>
                    <w:kinsoku/>
                    <w:wordWrap w:val="0"/>
                    <w:overflowPunct/>
                    <w:topLinePunct/>
                    <w:autoSpaceDE/>
                    <w:autoSpaceDN/>
                    <w:bidi w:val="0"/>
                    <w:adjustRightInd/>
                    <w:snapToGrid/>
                    <w:spacing w:line="400" w:lineRule="exact"/>
                    <w:jc w:val="center"/>
                    <w:rPr>
                      <w:rFonts w:hint="eastAsia" w:ascii="宋体" w:hAnsi="宋体" w:cs="宋体"/>
                      <w:szCs w:val="21"/>
                      <w:highlight w:val="none"/>
                    </w:rPr>
                  </w:pPr>
                  <w:r>
                    <w:rPr>
                      <w:rFonts w:hint="eastAsia" w:ascii="宋体" w:hAnsi="宋体" w:cs="宋体"/>
                      <w:szCs w:val="21"/>
                      <w:highlight w:val="none"/>
                    </w:rPr>
                    <w:t>10%</w:t>
                  </w:r>
                </w:p>
              </w:tc>
              <w:tc>
                <w:tcPr>
                  <w:tcW w:w="1991" w:type="pct"/>
                </w:tcPr>
                <w:p w14:paraId="09CA8356">
                  <w:pPr>
                    <w:keepNext w:val="0"/>
                    <w:keepLines/>
                    <w:pageBreakBefore w:val="0"/>
                    <w:numPr>
                      <w:ilvl w:val="0"/>
                      <w:numId w:val="6"/>
                    </w:numPr>
                    <w:kinsoku/>
                    <w:wordWrap w:val="0"/>
                    <w:overflowPunct/>
                    <w:topLinePunct/>
                    <w:autoSpaceDE/>
                    <w:autoSpaceDN/>
                    <w:bidi w:val="0"/>
                    <w:adjustRightInd/>
                    <w:snapToGrid/>
                    <w:spacing w:line="400" w:lineRule="exact"/>
                    <w:ind w:left="0"/>
                    <w:rPr>
                      <w:rFonts w:hint="eastAsia" w:ascii="宋体" w:hAnsi="宋体" w:cs="宋体"/>
                      <w:szCs w:val="21"/>
                      <w:highlight w:val="none"/>
                    </w:rPr>
                  </w:pPr>
                  <w:r>
                    <w:rPr>
                      <w:rFonts w:hint="eastAsia" w:ascii="宋体" w:hAnsi="宋体" w:cs="宋体"/>
                      <w:szCs w:val="21"/>
                      <w:highlight w:val="none"/>
                    </w:rPr>
                    <w:t>中标供应商人为因素导致信息系统服务异常（-2/次）；</w:t>
                  </w:r>
                </w:p>
                <w:p w14:paraId="68CADB56">
                  <w:pPr>
                    <w:keepNext w:val="0"/>
                    <w:keepLines/>
                    <w:pageBreakBefore w:val="0"/>
                    <w:numPr>
                      <w:ilvl w:val="0"/>
                      <w:numId w:val="6"/>
                    </w:numPr>
                    <w:kinsoku/>
                    <w:wordWrap w:val="0"/>
                    <w:overflowPunct/>
                    <w:topLinePunct/>
                    <w:autoSpaceDE/>
                    <w:autoSpaceDN/>
                    <w:bidi w:val="0"/>
                    <w:adjustRightInd/>
                    <w:snapToGrid/>
                    <w:spacing w:line="400" w:lineRule="exact"/>
                    <w:ind w:left="0"/>
                    <w:rPr>
                      <w:rFonts w:hint="eastAsia" w:ascii="宋体" w:hAnsi="宋体" w:cs="宋体"/>
                      <w:szCs w:val="21"/>
                      <w:highlight w:val="none"/>
                    </w:rPr>
                  </w:pPr>
                  <w:r>
                    <w:rPr>
                      <w:rFonts w:hint="eastAsia" w:ascii="宋体" w:hAnsi="宋体" w:cs="宋体"/>
                      <w:szCs w:val="21"/>
                      <w:highlight w:val="none"/>
                    </w:rPr>
                    <w:t>中标供应商人为因素导致信息系统服务中断（-3/次）。</w:t>
                  </w:r>
                </w:p>
              </w:tc>
              <w:tc>
                <w:tcPr>
                  <w:tcW w:w="1246" w:type="pct"/>
                  <w:vAlign w:val="center"/>
                </w:tcPr>
                <w:p w14:paraId="6221978E">
                  <w:pPr>
                    <w:keepNext w:val="0"/>
                    <w:keepLines/>
                    <w:pageBreakBefore w:val="0"/>
                    <w:kinsoku/>
                    <w:wordWrap w:val="0"/>
                    <w:overflowPunct/>
                    <w:topLinePunct/>
                    <w:autoSpaceDE/>
                    <w:autoSpaceDN/>
                    <w:bidi w:val="0"/>
                    <w:adjustRightInd/>
                    <w:snapToGrid/>
                    <w:spacing w:line="400" w:lineRule="exact"/>
                    <w:rPr>
                      <w:rFonts w:hint="eastAsia" w:ascii="宋体" w:hAnsi="宋体" w:cs="宋体"/>
                      <w:szCs w:val="21"/>
                      <w:highlight w:val="none"/>
                    </w:rPr>
                  </w:pPr>
                  <w:r>
                    <w:rPr>
                      <w:rFonts w:hint="eastAsia" w:ascii="宋体" w:hAnsi="宋体" w:cs="宋体"/>
                      <w:szCs w:val="21"/>
                      <w:highlight w:val="none"/>
                    </w:rPr>
                    <w:t>（填报本期单项扣分具体情况）</w:t>
                  </w:r>
                </w:p>
              </w:tc>
              <w:tc>
                <w:tcPr>
                  <w:tcW w:w="748" w:type="pct"/>
                  <w:vAlign w:val="center"/>
                </w:tcPr>
                <w:p w14:paraId="1D9ADDDA">
                  <w:pPr>
                    <w:keepNext w:val="0"/>
                    <w:keepLines/>
                    <w:pageBreakBefore w:val="0"/>
                    <w:kinsoku/>
                    <w:wordWrap w:val="0"/>
                    <w:overflowPunct/>
                    <w:topLinePunct/>
                    <w:autoSpaceDE/>
                    <w:autoSpaceDN/>
                    <w:bidi w:val="0"/>
                    <w:adjustRightInd/>
                    <w:snapToGrid/>
                    <w:spacing w:line="400" w:lineRule="exact"/>
                    <w:rPr>
                      <w:rFonts w:hint="eastAsia" w:ascii="宋体" w:hAnsi="宋体" w:cs="宋体"/>
                      <w:szCs w:val="21"/>
                      <w:highlight w:val="none"/>
                    </w:rPr>
                  </w:pPr>
                  <w:r>
                    <w:rPr>
                      <w:rFonts w:hint="eastAsia" w:ascii="宋体" w:hAnsi="宋体" w:cs="宋体"/>
                      <w:szCs w:val="21"/>
                      <w:highlight w:val="none"/>
                    </w:rPr>
                    <w:t>（填报本期得分）</w:t>
                  </w:r>
                </w:p>
              </w:tc>
            </w:tr>
            <w:tr w14:paraId="6922F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3" w:type="pct"/>
                  <w:vAlign w:val="center"/>
                </w:tcPr>
                <w:p w14:paraId="354F0C46">
                  <w:pPr>
                    <w:keepNext w:val="0"/>
                    <w:keepLines/>
                    <w:pageBreakBefore w:val="0"/>
                    <w:kinsoku/>
                    <w:wordWrap w:val="0"/>
                    <w:overflowPunct/>
                    <w:topLinePunct/>
                    <w:autoSpaceDE/>
                    <w:autoSpaceDN/>
                    <w:bidi w:val="0"/>
                    <w:adjustRightInd/>
                    <w:snapToGrid/>
                    <w:spacing w:line="400" w:lineRule="exact"/>
                    <w:rPr>
                      <w:rFonts w:hint="eastAsia" w:ascii="宋体" w:hAnsi="宋体" w:cs="宋体"/>
                      <w:szCs w:val="21"/>
                      <w:highlight w:val="none"/>
                    </w:rPr>
                  </w:pPr>
                  <w:r>
                    <w:rPr>
                      <w:rFonts w:hint="eastAsia" w:ascii="宋体" w:hAnsi="宋体" w:cs="宋体"/>
                      <w:szCs w:val="21"/>
                      <w:highlight w:val="none"/>
                    </w:rPr>
                    <w:t>运维岗位情况</w:t>
                  </w:r>
                </w:p>
              </w:tc>
              <w:tc>
                <w:tcPr>
                  <w:tcW w:w="382" w:type="pct"/>
                  <w:vAlign w:val="center"/>
                </w:tcPr>
                <w:p w14:paraId="2616C52E">
                  <w:pPr>
                    <w:keepNext w:val="0"/>
                    <w:keepLines/>
                    <w:pageBreakBefore w:val="0"/>
                    <w:kinsoku/>
                    <w:wordWrap w:val="0"/>
                    <w:overflowPunct/>
                    <w:topLinePunct/>
                    <w:autoSpaceDE/>
                    <w:autoSpaceDN/>
                    <w:bidi w:val="0"/>
                    <w:adjustRightInd/>
                    <w:snapToGrid/>
                    <w:spacing w:line="400" w:lineRule="exact"/>
                    <w:jc w:val="center"/>
                    <w:rPr>
                      <w:rFonts w:hint="eastAsia" w:ascii="宋体" w:hAnsi="宋体" w:cs="宋体"/>
                      <w:szCs w:val="21"/>
                      <w:highlight w:val="none"/>
                    </w:rPr>
                  </w:pPr>
                  <w:r>
                    <w:rPr>
                      <w:rFonts w:hint="eastAsia" w:ascii="宋体" w:hAnsi="宋体" w:cs="宋体"/>
                      <w:szCs w:val="21"/>
                      <w:highlight w:val="none"/>
                    </w:rPr>
                    <w:t>10%</w:t>
                  </w:r>
                </w:p>
              </w:tc>
              <w:tc>
                <w:tcPr>
                  <w:tcW w:w="1991" w:type="pct"/>
                </w:tcPr>
                <w:p w14:paraId="0F4AA010">
                  <w:pPr>
                    <w:keepNext w:val="0"/>
                    <w:keepLines/>
                    <w:pageBreakBefore w:val="0"/>
                    <w:numPr>
                      <w:ilvl w:val="0"/>
                      <w:numId w:val="7"/>
                    </w:numPr>
                    <w:kinsoku/>
                    <w:wordWrap w:val="0"/>
                    <w:overflowPunct/>
                    <w:topLinePunct/>
                    <w:autoSpaceDE/>
                    <w:autoSpaceDN/>
                    <w:bidi w:val="0"/>
                    <w:adjustRightInd/>
                    <w:snapToGrid/>
                    <w:spacing w:line="400" w:lineRule="exact"/>
                    <w:ind w:left="0"/>
                    <w:rPr>
                      <w:rFonts w:hint="eastAsia" w:ascii="宋体" w:hAnsi="宋体" w:cs="宋体"/>
                      <w:szCs w:val="21"/>
                      <w:highlight w:val="none"/>
                    </w:rPr>
                  </w:pPr>
                  <w:r>
                    <w:rPr>
                      <w:rFonts w:hint="eastAsia" w:ascii="宋体" w:hAnsi="宋体" w:cs="宋体"/>
                      <w:szCs w:val="21"/>
                      <w:highlight w:val="none"/>
                    </w:rPr>
                    <w:t>未按要求安排运维岗位（-2/次）；</w:t>
                  </w:r>
                </w:p>
                <w:p w14:paraId="03A4B147">
                  <w:pPr>
                    <w:keepNext w:val="0"/>
                    <w:keepLines/>
                    <w:pageBreakBefore w:val="0"/>
                    <w:numPr>
                      <w:ilvl w:val="0"/>
                      <w:numId w:val="7"/>
                    </w:numPr>
                    <w:kinsoku/>
                    <w:wordWrap w:val="0"/>
                    <w:overflowPunct/>
                    <w:topLinePunct/>
                    <w:autoSpaceDE/>
                    <w:autoSpaceDN/>
                    <w:bidi w:val="0"/>
                    <w:adjustRightInd/>
                    <w:snapToGrid/>
                    <w:spacing w:line="400" w:lineRule="exact"/>
                    <w:ind w:left="0"/>
                    <w:rPr>
                      <w:rFonts w:hint="eastAsia" w:ascii="宋体" w:hAnsi="宋体" w:cs="宋体"/>
                      <w:szCs w:val="21"/>
                      <w:highlight w:val="none"/>
                    </w:rPr>
                  </w:pPr>
                  <w:r>
                    <w:rPr>
                      <w:rFonts w:hint="eastAsia" w:ascii="宋体" w:hAnsi="宋体" w:cs="宋体"/>
                      <w:szCs w:val="21"/>
                      <w:highlight w:val="none"/>
                    </w:rPr>
                    <w:t>未按要求安排运维人员（-1/次）。</w:t>
                  </w:r>
                </w:p>
              </w:tc>
              <w:tc>
                <w:tcPr>
                  <w:tcW w:w="1246" w:type="pct"/>
                  <w:vAlign w:val="center"/>
                </w:tcPr>
                <w:p w14:paraId="22BDD028">
                  <w:pPr>
                    <w:keepNext w:val="0"/>
                    <w:keepLines/>
                    <w:pageBreakBefore w:val="0"/>
                    <w:kinsoku/>
                    <w:wordWrap w:val="0"/>
                    <w:overflowPunct/>
                    <w:topLinePunct/>
                    <w:autoSpaceDE/>
                    <w:autoSpaceDN/>
                    <w:bidi w:val="0"/>
                    <w:adjustRightInd/>
                    <w:snapToGrid/>
                    <w:spacing w:line="400" w:lineRule="exact"/>
                    <w:rPr>
                      <w:rFonts w:hint="eastAsia" w:ascii="宋体" w:hAnsi="宋体" w:cs="宋体"/>
                      <w:szCs w:val="21"/>
                      <w:highlight w:val="none"/>
                    </w:rPr>
                  </w:pPr>
                  <w:r>
                    <w:rPr>
                      <w:rFonts w:hint="eastAsia" w:ascii="宋体" w:hAnsi="宋体" w:cs="宋体"/>
                      <w:szCs w:val="21"/>
                      <w:highlight w:val="none"/>
                    </w:rPr>
                    <w:t>（填报本期单项扣分具体情况）</w:t>
                  </w:r>
                </w:p>
              </w:tc>
              <w:tc>
                <w:tcPr>
                  <w:tcW w:w="748" w:type="pct"/>
                  <w:vAlign w:val="center"/>
                </w:tcPr>
                <w:p w14:paraId="63D54B9E">
                  <w:pPr>
                    <w:keepNext w:val="0"/>
                    <w:keepLines/>
                    <w:pageBreakBefore w:val="0"/>
                    <w:kinsoku/>
                    <w:wordWrap w:val="0"/>
                    <w:overflowPunct/>
                    <w:topLinePunct/>
                    <w:autoSpaceDE/>
                    <w:autoSpaceDN/>
                    <w:bidi w:val="0"/>
                    <w:adjustRightInd/>
                    <w:snapToGrid/>
                    <w:spacing w:line="400" w:lineRule="exact"/>
                    <w:rPr>
                      <w:rFonts w:hint="eastAsia" w:ascii="宋体" w:hAnsi="宋体" w:cs="宋体"/>
                      <w:szCs w:val="21"/>
                      <w:highlight w:val="none"/>
                    </w:rPr>
                  </w:pPr>
                  <w:r>
                    <w:rPr>
                      <w:rFonts w:hint="eastAsia" w:ascii="宋体" w:hAnsi="宋体" w:cs="宋体"/>
                      <w:szCs w:val="21"/>
                      <w:highlight w:val="none"/>
                    </w:rPr>
                    <w:t>（填报本期得分）</w:t>
                  </w:r>
                </w:p>
              </w:tc>
            </w:tr>
            <w:tr w14:paraId="5FA91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3" w:type="pct"/>
                  <w:vAlign w:val="center"/>
                </w:tcPr>
                <w:p w14:paraId="6ED65D4D">
                  <w:pPr>
                    <w:keepNext w:val="0"/>
                    <w:keepLines/>
                    <w:pageBreakBefore w:val="0"/>
                    <w:kinsoku/>
                    <w:wordWrap w:val="0"/>
                    <w:overflowPunct/>
                    <w:topLinePunct/>
                    <w:autoSpaceDE/>
                    <w:autoSpaceDN/>
                    <w:bidi w:val="0"/>
                    <w:adjustRightInd/>
                    <w:snapToGrid/>
                    <w:spacing w:line="400" w:lineRule="exact"/>
                    <w:rPr>
                      <w:rFonts w:hint="eastAsia" w:ascii="宋体" w:hAnsi="宋体" w:cs="宋体"/>
                      <w:szCs w:val="21"/>
                      <w:highlight w:val="none"/>
                    </w:rPr>
                  </w:pPr>
                  <w:r>
                    <w:rPr>
                      <w:rFonts w:hint="eastAsia" w:ascii="宋体" w:hAnsi="宋体" w:cs="宋体"/>
                      <w:szCs w:val="21"/>
                      <w:highlight w:val="none"/>
                    </w:rPr>
                    <w:t>运维工作满意度</w:t>
                  </w:r>
                </w:p>
              </w:tc>
              <w:tc>
                <w:tcPr>
                  <w:tcW w:w="382" w:type="pct"/>
                  <w:vAlign w:val="center"/>
                </w:tcPr>
                <w:p w14:paraId="321FE3C5">
                  <w:pPr>
                    <w:keepNext w:val="0"/>
                    <w:keepLines/>
                    <w:pageBreakBefore w:val="0"/>
                    <w:kinsoku/>
                    <w:wordWrap w:val="0"/>
                    <w:overflowPunct/>
                    <w:topLinePunct/>
                    <w:autoSpaceDE/>
                    <w:autoSpaceDN/>
                    <w:bidi w:val="0"/>
                    <w:adjustRightInd/>
                    <w:snapToGrid/>
                    <w:spacing w:line="400" w:lineRule="exact"/>
                    <w:jc w:val="center"/>
                    <w:rPr>
                      <w:rFonts w:hint="eastAsia" w:ascii="宋体" w:hAnsi="宋体" w:cs="宋体"/>
                      <w:szCs w:val="21"/>
                      <w:highlight w:val="none"/>
                    </w:rPr>
                  </w:pPr>
                  <w:r>
                    <w:rPr>
                      <w:rFonts w:hint="eastAsia" w:ascii="宋体" w:hAnsi="宋体" w:cs="宋体"/>
                      <w:szCs w:val="21"/>
                      <w:highlight w:val="none"/>
                    </w:rPr>
                    <w:t>30%</w:t>
                  </w:r>
                </w:p>
              </w:tc>
              <w:tc>
                <w:tcPr>
                  <w:tcW w:w="1991" w:type="pct"/>
                </w:tcPr>
                <w:p w14:paraId="78A09C49">
                  <w:pPr>
                    <w:keepNext w:val="0"/>
                    <w:keepLines/>
                    <w:pageBreakBefore w:val="0"/>
                    <w:numPr>
                      <w:ilvl w:val="0"/>
                      <w:numId w:val="8"/>
                    </w:numPr>
                    <w:kinsoku/>
                    <w:wordWrap w:val="0"/>
                    <w:overflowPunct/>
                    <w:topLinePunct/>
                    <w:autoSpaceDE/>
                    <w:autoSpaceDN/>
                    <w:bidi w:val="0"/>
                    <w:adjustRightInd/>
                    <w:snapToGrid/>
                    <w:spacing w:line="400" w:lineRule="exact"/>
                    <w:ind w:left="0"/>
                    <w:rPr>
                      <w:rFonts w:hint="eastAsia" w:ascii="宋体" w:hAnsi="宋体" w:cs="宋体"/>
                      <w:szCs w:val="21"/>
                      <w:highlight w:val="none"/>
                    </w:rPr>
                  </w:pPr>
                  <w:r>
                    <w:rPr>
                      <w:rFonts w:hint="eastAsia" w:ascii="宋体" w:hAnsi="宋体" w:cs="宋体"/>
                      <w:szCs w:val="21"/>
                      <w:highlight w:val="none"/>
                    </w:rPr>
                    <w:t>未按照要求完成相关工作，或配合、响应不及时（-2/次）；</w:t>
                  </w:r>
                </w:p>
                <w:p w14:paraId="4EC542D1">
                  <w:pPr>
                    <w:keepNext w:val="0"/>
                    <w:keepLines/>
                    <w:pageBreakBefore w:val="0"/>
                    <w:numPr>
                      <w:ilvl w:val="0"/>
                      <w:numId w:val="8"/>
                    </w:numPr>
                    <w:kinsoku/>
                    <w:wordWrap w:val="0"/>
                    <w:overflowPunct/>
                    <w:topLinePunct/>
                    <w:autoSpaceDE/>
                    <w:autoSpaceDN/>
                    <w:bidi w:val="0"/>
                    <w:adjustRightInd/>
                    <w:snapToGrid/>
                    <w:spacing w:line="400" w:lineRule="exact"/>
                    <w:ind w:left="0"/>
                    <w:rPr>
                      <w:rFonts w:hint="eastAsia" w:ascii="宋体" w:hAnsi="宋体" w:cs="宋体"/>
                      <w:szCs w:val="21"/>
                      <w:highlight w:val="none"/>
                    </w:rPr>
                  </w:pPr>
                  <w:r>
                    <w:rPr>
                      <w:rFonts w:hint="eastAsia" w:ascii="宋体" w:hAnsi="宋体" w:cs="宋体"/>
                      <w:szCs w:val="21"/>
                      <w:highlight w:val="none"/>
                    </w:rPr>
                    <w:t>未按要求提交运维报告（-1/次）；</w:t>
                  </w:r>
                </w:p>
                <w:p w14:paraId="3EAF769A">
                  <w:pPr>
                    <w:keepNext w:val="0"/>
                    <w:keepLines/>
                    <w:pageBreakBefore w:val="0"/>
                    <w:numPr>
                      <w:ilvl w:val="0"/>
                      <w:numId w:val="8"/>
                    </w:numPr>
                    <w:kinsoku/>
                    <w:wordWrap w:val="0"/>
                    <w:overflowPunct/>
                    <w:topLinePunct/>
                    <w:autoSpaceDE/>
                    <w:autoSpaceDN/>
                    <w:bidi w:val="0"/>
                    <w:adjustRightInd/>
                    <w:snapToGrid/>
                    <w:spacing w:line="400" w:lineRule="exact"/>
                    <w:ind w:left="0"/>
                    <w:rPr>
                      <w:rFonts w:hint="eastAsia" w:ascii="宋体" w:hAnsi="宋体" w:cs="宋体"/>
                      <w:szCs w:val="21"/>
                      <w:highlight w:val="none"/>
                    </w:rPr>
                  </w:pPr>
                  <w:r>
                    <w:rPr>
                      <w:rFonts w:hint="eastAsia" w:ascii="宋体" w:hAnsi="宋体" w:cs="宋体"/>
                      <w:szCs w:val="21"/>
                      <w:highlight w:val="none"/>
                    </w:rPr>
                    <w:t>未按照要求提供信息系统培训（-1/次）；</w:t>
                  </w:r>
                </w:p>
                <w:p w14:paraId="6175AD06">
                  <w:pPr>
                    <w:keepNext w:val="0"/>
                    <w:keepLines/>
                    <w:pageBreakBefore w:val="0"/>
                    <w:numPr>
                      <w:ilvl w:val="0"/>
                      <w:numId w:val="8"/>
                    </w:numPr>
                    <w:kinsoku/>
                    <w:wordWrap w:val="0"/>
                    <w:overflowPunct/>
                    <w:topLinePunct/>
                    <w:autoSpaceDE/>
                    <w:autoSpaceDN/>
                    <w:bidi w:val="0"/>
                    <w:adjustRightInd/>
                    <w:snapToGrid/>
                    <w:spacing w:line="400" w:lineRule="exact"/>
                    <w:ind w:left="0"/>
                    <w:rPr>
                      <w:rFonts w:hint="eastAsia" w:ascii="宋体" w:hAnsi="宋体" w:cs="宋体"/>
                      <w:szCs w:val="21"/>
                      <w:highlight w:val="none"/>
                    </w:rPr>
                  </w:pPr>
                  <w:r>
                    <w:rPr>
                      <w:rFonts w:hint="eastAsia" w:ascii="宋体" w:hAnsi="宋体" w:cs="宋体"/>
                      <w:szCs w:val="21"/>
                      <w:highlight w:val="none"/>
                    </w:rPr>
                    <w:t>问题整改方案落实情况（依照整改情况加分）。</w:t>
                  </w:r>
                </w:p>
              </w:tc>
              <w:tc>
                <w:tcPr>
                  <w:tcW w:w="1246" w:type="pct"/>
                  <w:vAlign w:val="center"/>
                </w:tcPr>
                <w:p w14:paraId="1015FD11">
                  <w:pPr>
                    <w:keepNext w:val="0"/>
                    <w:keepLines/>
                    <w:pageBreakBefore w:val="0"/>
                    <w:kinsoku/>
                    <w:wordWrap w:val="0"/>
                    <w:overflowPunct/>
                    <w:topLinePunct/>
                    <w:autoSpaceDE/>
                    <w:autoSpaceDN/>
                    <w:bidi w:val="0"/>
                    <w:adjustRightInd/>
                    <w:snapToGrid/>
                    <w:spacing w:line="400" w:lineRule="exact"/>
                    <w:rPr>
                      <w:rFonts w:hint="eastAsia" w:ascii="宋体" w:hAnsi="宋体" w:cs="宋体"/>
                      <w:szCs w:val="21"/>
                      <w:highlight w:val="none"/>
                    </w:rPr>
                  </w:pPr>
                  <w:r>
                    <w:rPr>
                      <w:rFonts w:hint="eastAsia" w:ascii="宋体" w:hAnsi="宋体" w:cs="宋体"/>
                      <w:szCs w:val="21"/>
                      <w:highlight w:val="none"/>
                    </w:rPr>
                    <w:t>（填报本期单项扣分具体情况）</w:t>
                  </w:r>
                </w:p>
              </w:tc>
              <w:tc>
                <w:tcPr>
                  <w:tcW w:w="748" w:type="pct"/>
                  <w:vAlign w:val="center"/>
                </w:tcPr>
                <w:p w14:paraId="10BCC3DE">
                  <w:pPr>
                    <w:keepNext w:val="0"/>
                    <w:keepLines/>
                    <w:pageBreakBefore w:val="0"/>
                    <w:kinsoku/>
                    <w:wordWrap w:val="0"/>
                    <w:overflowPunct/>
                    <w:topLinePunct/>
                    <w:autoSpaceDE/>
                    <w:autoSpaceDN/>
                    <w:bidi w:val="0"/>
                    <w:adjustRightInd/>
                    <w:snapToGrid/>
                    <w:spacing w:line="400" w:lineRule="exact"/>
                    <w:rPr>
                      <w:rFonts w:hint="eastAsia" w:ascii="宋体" w:hAnsi="宋体" w:cs="宋体"/>
                      <w:szCs w:val="21"/>
                      <w:highlight w:val="none"/>
                    </w:rPr>
                  </w:pPr>
                  <w:r>
                    <w:rPr>
                      <w:rFonts w:hint="eastAsia" w:ascii="宋体" w:hAnsi="宋体" w:cs="宋体"/>
                      <w:szCs w:val="21"/>
                      <w:highlight w:val="none"/>
                    </w:rPr>
                    <w:t>（填报本期得分）</w:t>
                  </w:r>
                </w:p>
              </w:tc>
            </w:tr>
            <w:tr w14:paraId="4B874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52" w:type="pct"/>
                  <w:gridSpan w:val="4"/>
                  <w:vAlign w:val="center"/>
                </w:tcPr>
                <w:p w14:paraId="5EEF6B01">
                  <w:pPr>
                    <w:keepNext w:val="0"/>
                    <w:keepLines/>
                    <w:pageBreakBefore w:val="0"/>
                    <w:kinsoku/>
                    <w:wordWrap w:val="0"/>
                    <w:overflowPunct/>
                    <w:topLinePunct/>
                    <w:autoSpaceDE/>
                    <w:autoSpaceDN/>
                    <w:bidi w:val="0"/>
                    <w:adjustRightInd/>
                    <w:snapToGrid/>
                    <w:spacing w:line="400" w:lineRule="exact"/>
                    <w:rPr>
                      <w:rFonts w:hint="eastAsia" w:ascii="宋体" w:hAnsi="宋体" w:cs="宋体"/>
                      <w:b/>
                      <w:szCs w:val="21"/>
                      <w:highlight w:val="none"/>
                    </w:rPr>
                  </w:pPr>
                  <w:r>
                    <w:rPr>
                      <w:rFonts w:hint="eastAsia" w:ascii="宋体" w:hAnsi="宋体" w:cs="宋体"/>
                      <w:b/>
                      <w:szCs w:val="21"/>
                      <w:highlight w:val="none"/>
                    </w:rPr>
                    <w:t>本期得分</w:t>
                  </w:r>
                </w:p>
              </w:tc>
              <w:tc>
                <w:tcPr>
                  <w:tcW w:w="748" w:type="pct"/>
                </w:tcPr>
                <w:p w14:paraId="1B6D2A0D">
                  <w:pPr>
                    <w:keepNext w:val="0"/>
                    <w:keepLines/>
                    <w:pageBreakBefore w:val="0"/>
                    <w:kinsoku/>
                    <w:wordWrap w:val="0"/>
                    <w:overflowPunct/>
                    <w:topLinePunct/>
                    <w:autoSpaceDE/>
                    <w:autoSpaceDN/>
                    <w:bidi w:val="0"/>
                    <w:adjustRightInd/>
                    <w:snapToGrid/>
                    <w:spacing w:line="400" w:lineRule="exact"/>
                    <w:rPr>
                      <w:rFonts w:hint="eastAsia" w:ascii="宋体" w:hAnsi="宋体" w:cs="宋体"/>
                      <w:szCs w:val="21"/>
                      <w:highlight w:val="none"/>
                    </w:rPr>
                  </w:pPr>
                  <w:r>
                    <w:rPr>
                      <w:rFonts w:hint="eastAsia" w:ascii="宋体" w:hAnsi="宋体" w:cs="宋体"/>
                      <w:szCs w:val="21"/>
                      <w:highlight w:val="none"/>
                    </w:rPr>
                    <w:t>（填报本期得分）</w:t>
                  </w:r>
                </w:p>
              </w:tc>
            </w:tr>
            <w:tr w14:paraId="6C407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52" w:type="pct"/>
                  <w:gridSpan w:val="4"/>
                  <w:vAlign w:val="center"/>
                </w:tcPr>
                <w:p w14:paraId="4745AB89">
                  <w:pPr>
                    <w:keepNext w:val="0"/>
                    <w:keepLines/>
                    <w:pageBreakBefore w:val="0"/>
                    <w:kinsoku/>
                    <w:wordWrap w:val="0"/>
                    <w:overflowPunct/>
                    <w:topLinePunct/>
                    <w:autoSpaceDE/>
                    <w:autoSpaceDN/>
                    <w:bidi w:val="0"/>
                    <w:adjustRightInd/>
                    <w:snapToGrid/>
                    <w:spacing w:line="400" w:lineRule="exact"/>
                    <w:rPr>
                      <w:rFonts w:hint="eastAsia" w:ascii="宋体" w:hAnsi="宋体" w:cs="宋体"/>
                      <w:b/>
                      <w:szCs w:val="21"/>
                      <w:highlight w:val="none"/>
                    </w:rPr>
                  </w:pPr>
                  <w:r>
                    <w:rPr>
                      <w:rFonts w:hint="eastAsia" w:ascii="宋体" w:hAnsi="宋体" w:cs="宋体"/>
                      <w:b/>
                      <w:szCs w:val="21"/>
                      <w:highlight w:val="none"/>
                    </w:rPr>
                    <w:t>半/全年得分</w:t>
                  </w:r>
                </w:p>
              </w:tc>
              <w:tc>
                <w:tcPr>
                  <w:tcW w:w="748" w:type="pct"/>
                </w:tcPr>
                <w:p w14:paraId="26743EA6">
                  <w:pPr>
                    <w:keepNext w:val="0"/>
                    <w:keepLines/>
                    <w:pageBreakBefore w:val="0"/>
                    <w:kinsoku/>
                    <w:wordWrap w:val="0"/>
                    <w:overflowPunct/>
                    <w:topLinePunct/>
                    <w:autoSpaceDE/>
                    <w:autoSpaceDN/>
                    <w:bidi w:val="0"/>
                    <w:adjustRightInd/>
                    <w:snapToGrid/>
                    <w:spacing w:line="400" w:lineRule="exact"/>
                    <w:rPr>
                      <w:rFonts w:hint="eastAsia" w:ascii="宋体" w:hAnsi="宋体" w:cs="宋体"/>
                      <w:szCs w:val="21"/>
                      <w:highlight w:val="none"/>
                    </w:rPr>
                  </w:pPr>
                  <w:r>
                    <w:rPr>
                      <w:rFonts w:hint="eastAsia" w:ascii="宋体" w:hAnsi="宋体" w:cs="宋体"/>
                      <w:szCs w:val="21"/>
                      <w:highlight w:val="none"/>
                    </w:rPr>
                    <w:t>（填报本期得分）</w:t>
                  </w:r>
                </w:p>
              </w:tc>
            </w:tr>
          </w:tbl>
          <w:p w14:paraId="7EA20024">
            <w:pPr>
              <w:keepNext w:val="0"/>
              <w:keepLines/>
              <w:pageBreakBefore w:val="0"/>
              <w:kinsoku/>
              <w:wordWrap w:val="0"/>
              <w:overflowPunct/>
              <w:topLinePunct/>
              <w:autoSpaceDE/>
              <w:autoSpaceDN/>
              <w:bidi w:val="0"/>
              <w:adjustRightInd/>
              <w:snapToGrid/>
              <w:spacing w:line="400" w:lineRule="exact"/>
              <w:rPr>
                <w:rFonts w:hint="eastAsia" w:ascii="宋体" w:hAnsi="宋体" w:cs="宋体"/>
                <w:szCs w:val="21"/>
                <w:highlight w:val="none"/>
              </w:rPr>
            </w:pPr>
            <w:r>
              <w:rPr>
                <w:rFonts w:hint="eastAsia" w:ascii="宋体" w:hAnsi="宋体" w:cs="宋体"/>
                <w:b/>
                <w:szCs w:val="21"/>
                <w:highlight w:val="none"/>
              </w:rPr>
              <w:t>评分公式</w:t>
            </w:r>
            <w:r>
              <w:rPr>
                <w:rFonts w:hint="eastAsia" w:ascii="宋体" w:hAnsi="宋体" w:cs="宋体"/>
                <w:szCs w:val="21"/>
                <w:highlight w:val="none"/>
              </w:rPr>
              <w:t>：单项得分=（100-所扣除分数+运维工作满意度加分）×权重</w:t>
            </w:r>
          </w:p>
          <w:p w14:paraId="081C15E8">
            <w:pPr>
              <w:keepNext w:val="0"/>
              <w:keepLines/>
              <w:pageBreakBefore w:val="0"/>
              <w:kinsoku/>
              <w:wordWrap w:val="0"/>
              <w:overflowPunct/>
              <w:topLinePunct/>
              <w:autoSpaceDE/>
              <w:autoSpaceDN/>
              <w:bidi w:val="0"/>
              <w:adjustRightInd/>
              <w:snapToGrid/>
              <w:spacing w:line="400" w:lineRule="exact"/>
              <w:rPr>
                <w:rFonts w:hint="eastAsia" w:ascii="宋体" w:hAnsi="宋体" w:cs="宋体"/>
                <w:szCs w:val="21"/>
                <w:highlight w:val="none"/>
              </w:rPr>
            </w:pPr>
            <w:r>
              <w:rPr>
                <w:rFonts w:hint="eastAsia" w:ascii="宋体" w:hAnsi="宋体" w:cs="宋体"/>
                <w:szCs w:val="21"/>
                <w:highlight w:val="none"/>
              </w:rPr>
              <w:t>本期得分=Σ单项得分</w:t>
            </w:r>
          </w:p>
          <w:p w14:paraId="58EF6A53">
            <w:pPr>
              <w:keepNext w:val="0"/>
              <w:keepLines/>
              <w:pageBreakBefore w:val="0"/>
              <w:kinsoku/>
              <w:wordWrap w:val="0"/>
              <w:overflowPunct/>
              <w:topLinePunct/>
              <w:autoSpaceDE/>
              <w:autoSpaceDN/>
              <w:bidi w:val="0"/>
              <w:adjustRightInd/>
              <w:snapToGrid/>
              <w:spacing w:line="400" w:lineRule="exact"/>
              <w:rPr>
                <w:rFonts w:hint="eastAsia" w:ascii="宋体" w:hAnsi="宋体" w:cs="宋体"/>
                <w:szCs w:val="21"/>
                <w:highlight w:val="none"/>
              </w:rPr>
            </w:pPr>
            <w:r>
              <w:rPr>
                <w:rFonts w:hint="eastAsia" w:ascii="宋体" w:hAnsi="宋体" w:cs="宋体"/>
                <w:szCs w:val="21"/>
                <w:highlight w:val="none"/>
              </w:rPr>
              <w:t>半年得分=Σ本期得分/6</w:t>
            </w:r>
          </w:p>
          <w:p w14:paraId="595C3993">
            <w:pPr>
              <w:keepNext w:val="0"/>
              <w:keepLines/>
              <w:pageBreakBefore w:val="0"/>
              <w:kinsoku/>
              <w:wordWrap w:val="0"/>
              <w:overflowPunct/>
              <w:topLinePunct/>
              <w:autoSpaceDE/>
              <w:autoSpaceDN/>
              <w:bidi w:val="0"/>
              <w:adjustRightInd/>
              <w:snapToGrid/>
              <w:spacing w:line="400" w:lineRule="exact"/>
              <w:rPr>
                <w:rFonts w:hint="eastAsia" w:ascii="宋体" w:hAnsi="宋体" w:cs="宋体"/>
                <w:szCs w:val="21"/>
                <w:highlight w:val="none"/>
              </w:rPr>
            </w:pPr>
            <w:r>
              <w:rPr>
                <w:rFonts w:hint="eastAsia" w:ascii="宋体" w:hAnsi="宋体" w:cs="宋体"/>
                <w:szCs w:val="21"/>
                <w:highlight w:val="none"/>
              </w:rPr>
              <w:t>全年得分=Σ本期得分/12</w:t>
            </w:r>
          </w:p>
          <w:p w14:paraId="52C302C6">
            <w:pPr>
              <w:keepNext w:val="0"/>
              <w:keepLines/>
              <w:pageBreakBefore w:val="0"/>
              <w:kinsoku/>
              <w:wordWrap w:val="0"/>
              <w:overflowPunct/>
              <w:topLinePunct/>
              <w:autoSpaceDE/>
              <w:autoSpaceDN/>
              <w:bidi w:val="0"/>
              <w:adjustRightInd/>
              <w:snapToGrid/>
              <w:spacing w:line="400" w:lineRule="exact"/>
              <w:ind w:firstLine="422" w:firstLineChars="200"/>
              <w:rPr>
                <w:rFonts w:hint="eastAsia" w:ascii="宋体" w:hAnsi="宋体" w:cs="宋体"/>
                <w:b/>
                <w:szCs w:val="21"/>
                <w:highlight w:val="none"/>
              </w:rPr>
            </w:pPr>
            <w:r>
              <w:rPr>
                <w:rFonts w:hint="eastAsia" w:ascii="宋体" w:hAnsi="宋体" w:cs="宋体"/>
                <w:b/>
                <w:szCs w:val="21"/>
                <w:highlight w:val="none"/>
              </w:rPr>
              <w:t>三、实施细则</w:t>
            </w:r>
          </w:p>
          <w:p w14:paraId="0D197568">
            <w:pPr>
              <w:keepNext w:val="0"/>
              <w:keepLines/>
              <w:pageBreakBefore w:val="0"/>
              <w:kinsoku/>
              <w:wordWrap w:val="0"/>
              <w:overflowPunct/>
              <w:topLinePunct/>
              <w:autoSpaceDE/>
              <w:autoSpaceDN/>
              <w:bidi w:val="0"/>
              <w:adjustRightInd/>
              <w:snapToGrid/>
              <w:spacing w:line="400" w:lineRule="exact"/>
              <w:ind w:firstLine="422" w:firstLineChars="200"/>
              <w:rPr>
                <w:rFonts w:hint="eastAsia" w:ascii="宋体" w:hAnsi="宋体" w:cs="宋体"/>
                <w:b/>
                <w:szCs w:val="21"/>
                <w:highlight w:val="none"/>
              </w:rPr>
            </w:pPr>
            <w:r>
              <w:rPr>
                <w:rFonts w:hint="eastAsia" w:ascii="宋体" w:hAnsi="宋体" w:cs="宋体"/>
                <w:b/>
                <w:szCs w:val="21"/>
                <w:highlight w:val="none"/>
              </w:rPr>
              <w:t>（一）“工单处理情况”指标考核办法</w:t>
            </w:r>
          </w:p>
          <w:p w14:paraId="09E7A0AD">
            <w:pPr>
              <w:keepNext w:val="0"/>
              <w:keepLines/>
              <w:pageBreakBefore w:val="0"/>
              <w:kinsoku/>
              <w:wordWrap w:val="0"/>
              <w:overflowPunct/>
              <w:topLinePunct/>
              <w:autoSpaceDE/>
              <w:autoSpaceDN/>
              <w:bidi w:val="0"/>
              <w:adjustRightInd/>
              <w:snapToGrid/>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1、工单范围包括全院干警办公设备、基础设施硬件、网络、业务系统、数据资源、信息安全相关运维工作。</w:t>
            </w:r>
          </w:p>
          <w:p w14:paraId="5E2741FB">
            <w:pPr>
              <w:keepNext w:val="0"/>
              <w:keepLines/>
              <w:pageBreakBefore w:val="0"/>
              <w:kinsoku/>
              <w:wordWrap w:val="0"/>
              <w:overflowPunct/>
              <w:topLinePunct/>
              <w:autoSpaceDE/>
              <w:autoSpaceDN/>
              <w:bidi w:val="0"/>
              <w:adjustRightInd/>
              <w:snapToGrid/>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2、工单事项处理要求</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
              <w:gridCol w:w="3913"/>
              <w:gridCol w:w="1560"/>
            </w:tblGrid>
            <w:tr w14:paraId="0C47F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703" w:type="pct"/>
                  <w:vAlign w:val="center"/>
                </w:tcPr>
                <w:p w14:paraId="28349C45">
                  <w:pPr>
                    <w:keepNext w:val="0"/>
                    <w:keepLines/>
                    <w:pageBreakBefore w:val="0"/>
                    <w:kinsoku/>
                    <w:wordWrap w:val="0"/>
                    <w:overflowPunct/>
                    <w:topLinePunct/>
                    <w:autoSpaceDE/>
                    <w:autoSpaceDN/>
                    <w:bidi w:val="0"/>
                    <w:adjustRightInd/>
                    <w:snapToGrid/>
                    <w:spacing w:line="400" w:lineRule="exact"/>
                    <w:jc w:val="center"/>
                    <w:rPr>
                      <w:rFonts w:hint="eastAsia" w:ascii="宋体" w:hAnsi="宋体" w:cs="宋体"/>
                      <w:szCs w:val="21"/>
                      <w:highlight w:val="none"/>
                    </w:rPr>
                  </w:pPr>
                  <w:r>
                    <w:rPr>
                      <w:rFonts w:hint="eastAsia" w:ascii="宋体" w:hAnsi="宋体" w:cs="宋体"/>
                      <w:szCs w:val="21"/>
                      <w:highlight w:val="none"/>
                    </w:rPr>
                    <w:t>工单</w:t>
                  </w:r>
                </w:p>
                <w:p w14:paraId="610B4B93">
                  <w:pPr>
                    <w:keepNext w:val="0"/>
                    <w:keepLines/>
                    <w:pageBreakBefore w:val="0"/>
                    <w:kinsoku/>
                    <w:wordWrap w:val="0"/>
                    <w:overflowPunct/>
                    <w:topLinePunct/>
                    <w:autoSpaceDE/>
                    <w:autoSpaceDN/>
                    <w:bidi w:val="0"/>
                    <w:adjustRightInd/>
                    <w:snapToGrid/>
                    <w:spacing w:line="400" w:lineRule="exact"/>
                    <w:jc w:val="center"/>
                    <w:rPr>
                      <w:rFonts w:hint="eastAsia" w:ascii="宋体" w:hAnsi="宋体" w:cs="宋体"/>
                      <w:szCs w:val="21"/>
                      <w:highlight w:val="none"/>
                    </w:rPr>
                  </w:pPr>
                  <w:r>
                    <w:rPr>
                      <w:rFonts w:hint="eastAsia" w:ascii="宋体" w:hAnsi="宋体" w:cs="宋体"/>
                      <w:szCs w:val="21"/>
                      <w:highlight w:val="none"/>
                    </w:rPr>
                    <w:t>事项</w:t>
                  </w:r>
                </w:p>
              </w:tc>
              <w:tc>
                <w:tcPr>
                  <w:tcW w:w="3072" w:type="pct"/>
                  <w:vAlign w:val="center"/>
                </w:tcPr>
                <w:p w14:paraId="4DFDBB42">
                  <w:pPr>
                    <w:keepNext w:val="0"/>
                    <w:keepLines/>
                    <w:pageBreakBefore w:val="0"/>
                    <w:kinsoku/>
                    <w:wordWrap w:val="0"/>
                    <w:overflowPunct/>
                    <w:topLinePunct/>
                    <w:autoSpaceDE/>
                    <w:autoSpaceDN/>
                    <w:bidi w:val="0"/>
                    <w:adjustRightInd/>
                    <w:snapToGrid/>
                    <w:spacing w:line="400" w:lineRule="exact"/>
                    <w:jc w:val="center"/>
                    <w:rPr>
                      <w:rFonts w:hint="eastAsia" w:ascii="宋体" w:hAnsi="宋体" w:cs="宋体"/>
                      <w:szCs w:val="21"/>
                      <w:highlight w:val="none"/>
                    </w:rPr>
                  </w:pPr>
                  <w:r>
                    <w:rPr>
                      <w:rFonts w:hint="eastAsia" w:ascii="宋体" w:hAnsi="宋体" w:cs="宋体"/>
                      <w:szCs w:val="21"/>
                      <w:highlight w:val="none"/>
                    </w:rPr>
                    <w:t>处理要求</w:t>
                  </w:r>
                </w:p>
              </w:tc>
              <w:tc>
                <w:tcPr>
                  <w:tcW w:w="1224" w:type="pct"/>
                  <w:vAlign w:val="center"/>
                </w:tcPr>
                <w:p w14:paraId="7D8B05D9">
                  <w:pPr>
                    <w:keepNext w:val="0"/>
                    <w:keepLines/>
                    <w:pageBreakBefore w:val="0"/>
                    <w:kinsoku/>
                    <w:wordWrap w:val="0"/>
                    <w:overflowPunct/>
                    <w:topLinePunct/>
                    <w:autoSpaceDE/>
                    <w:autoSpaceDN/>
                    <w:bidi w:val="0"/>
                    <w:adjustRightInd/>
                    <w:snapToGrid/>
                    <w:spacing w:line="400" w:lineRule="exact"/>
                    <w:jc w:val="center"/>
                    <w:rPr>
                      <w:rFonts w:hint="eastAsia" w:ascii="宋体" w:hAnsi="宋体" w:cs="宋体"/>
                      <w:szCs w:val="21"/>
                      <w:highlight w:val="none"/>
                    </w:rPr>
                  </w:pPr>
                  <w:r>
                    <w:rPr>
                      <w:rFonts w:hint="eastAsia" w:ascii="宋体" w:hAnsi="宋体" w:cs="宋体"/>
                      <w:szCs w:val="21"/>
                      <w:highlight w:val="none"/>
                    </w:rPr>
                    <w:t>完成时限</w:t>
                  </w:r>
                </w:p>
              </w:tc>
            </w:tr>
            <w:tr w14:paraId="3329D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5" w:hRule="atLeast"/>
                <w:jc w:val="center"/>
              </w:trPr>
              <w:tc>
                <w:tcPr>
                  <w:tcW w:w="703" w:type="pct"/>
                  <w:tcBorders>
                    <w:top w:val="single" w:color="auto" w:sz="4" w:space="0"/>
                    <w:left w:val="single" w:color="auto" w:sz="4" w:space="0"/>
                    <w:bottom w:val="single" w:color="auto" w:sz="4" w:space="0"/>
                    <w:right w:val="single" w:color="auto" w:sz="4" w:space="0"/>
                  </w:tcBorders>
                  <w:vAlign w:val="center"/>
                </w:tcPr>
                <w:p w14:paraId="0C3472BD">
                  <w:pPr>
                    <w:keepNext w:val="0"/>
                    <w:keepLines/>
                    <w:pageBreakBefore w:val="0"/>
                    <w:kinsoku/>
                    <w:wordWrap w:val="0"/>
                    <w:overflowPunct/>
                    <w:topLinePunct/>
                    <w:autoSpaceDE/>
                    <w:autoSpaceDN/>
                    <w:bidi w:val="0"/>
                    <w:adjustRightInd/>
                    <w:snapToGrid/>
                    <w:spacing w:line="400" w:lineRule="exact"/>
                    <w:rPr>
                      <w:rFonts w:hint="eastAsia" w:ascii="宋体" w:hAnsi="宋体" w:cs="宋体"/>
                      <w:szCs w:val="21"/>
                      <w:highlight w:val="none"/>
                    </w:rPr>
                  </w:pPr>
                  <w:r>
                    <w:rPr>
                      <w:rFonts w:hint="eastAsia" w:ascii="宋体" w:hAnsi="宋体" w:cs="宋体"/>
                      <w:szCs w:val="21"/>
                      <w:highlight w:val="none"/>
                    </w:rPr>
                    <w:t>系统权限变更</w:t>
                  </w:r>
                </w:p>
              </w:tc>
              <w:tc>
                <w:tcPr>
                  <w:tcW w:w="3072" w:type="pct"/>
                  <w:tcBorders>
                    <w:top w:val="single" w:color="auto" w:sz="4" w:space="0"/>
                    <w:left w:val="nil"/>
                    <w:bottom w:val="single" w:color="auto" w:sz="4" w:space="0"/>
                    <w:right w:val="single" w:color="auto" w:sz="4" w:space="0"/>
                  </w:tcBorders>
                  <w:vAlign w:val="center"/>
                </w:tcPr>
                <w:p w14:paraId="2A2018B9">
                  <w:pPr>
                    <w:keepNext w:val="0"/>
                    <w:keepLines/>
                    <w:pageBreakBefore w:val="0"/>
                    <w:kinsoku/>
                    <w:wordWrap w:val="0"/>
                    <w:overflowPunct/>
                    <w:topLinePunct/>
                    <w:autoSpaceDE/>
                    <w:autoSpaceDN/>
                    <w:bidi w:val="0"/>
                    <w:adjustRightInd/>
                    <w:snapToGrid/>
                    <w:spacing w:line="400" w:lineRule="exact"/>
                    <w:rPr>
                      <w:rFonts w:hint="eastAsia" w:ascii="宋体" w:hAnsi="宋体" w:cs="宋体"/>
                      <w:szCs w:val="21"/>
                      <w:highlight w:val="none"/>
                    </w:rPr>
                  </w:pPr>
                  <w:r>
                    <w:rPr>
                      <w:rFonts w:hint="eastAsia" w:ascii="宋体" w:hAnsi="宋体" w:cs="宋体"/>
                      <w:szCs w:val="21"/>
                      <w:highlight w:val="none"/>
                    </w:rPr>
                    <w:t>中标供应商依照工单上申请内容授予相关账号系统权限，确保所授予权限符合申请内容。如遇下述情形请于1个工作日内反馈信息中心：1无法授予用户所申请权限。2工单内容描述不清，或提出人申请权限与工单内容不符。</w:t>
                  </w:r>
                </w:p>
              </w:tc>
              <w:tc>
                <w:tcPr>
                  <w:tcW w:w="1224" w:type="pct"/>
                  <w:tcBorders>
                    <w:top w:val="single" w:color="auto" w:sz="4" w:space="0"/>
                    <w:left w:val="nil"/>
                    <w:bottom w:val="single" w:color="auto" w:sz="4" w:space="0"/>
                    <w:right w:val="single" w:color="auto" w:sz="4" w:space="0"/>
                  </w:tcBorders>
                  <w:vAlign w:val="center"/>
                </w:tcPr>
                <w:p w14:paraId="35433182">
                  <w:pPr>
                    <w:keepNext w:val="0"/>
                    <w:keepLines/>
                    <w:pageBreakBefore w:val="0"/>
                    <w:kinsoku/>
                    <w:wordWrap w:val="0"/>
                    <w:overflowPunct/>
                    <w:topLinePunct/>
                    <w:autoSpaceDE/>
                    <w:autoSpaceDN/>
                    <w:bidi w:val="0"/>
                    <w:adjustRightInd/>
                    <w:snapToGrid/>
                    <w:spacing w:line="400" w:lineRule="exact"/>
                    <w:rPr>
                      <w:rFonts w:hint="eastAsia" w:ascii="宋体" w:hAnsi="宋体" w:cs="宋体"/>
                      <w:szCs w:val="21"/>
                      <w:highlight w:val="none"/>
                    </w:rPr>
                  </w:pPr>
                  <w:r>
                    <w:rPr>
                      <w:rFonts w:hint="eastAsia" w:ascii="宋体" w:hAnsi="宋体" w:cs="宋体"/>
                      <w:szCs w:val="21"/>
                      <w:highlight w:val="none"/>
                    </w:rPr>
                    <w:t>2个工作日内完成。</w:t>
                  </w:r>
                </w:p>
              </w:tc>
            </w:tr>
            <w:tr w14:paraId="23FD7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jc w:val="center"/>
              </w:trPr>
              <w:tc>
                <w:tcPr>
                  <w:tcW w:w="703" w:type="pct"/>
                  <w:tcBorders>
                    <w:top w:val="nil"/>
                    <w:left w:val="single" w:color="auto" w:sz="4" w:space="0"/>
                    <w:bottom w:val="single" w:color="auto" w:sz="4" w:space="0"/>
                    <w:right w:val="single" w:color="auto" w:sz="4" w:space="0"/>
                  </w:tcBorders>
                  <w:vAlign w:val="center"/>
                </w:tcPr>
                <w:p w14:paraId="5ED88A4A">
                  <w:pPr>
                    <w:keepNext w:val="0"/>
                    <w:keepLines/>
                    <w:pageBreakBefore w:val="0"/>
                    <w:kinsoku/>
                    <w:wordWrap w:val="0"/>
                    <w:overflowPunct/>
                    <w:topLinePunct/>
                    <w:autoSpaceDE/>
                    <w:autoSpaceDN/>
                    <w:bidi w:val="0"/>
                    <w:adjustRightInd/>
                    <w:snapToGrid/>
                    <w:spacing w:line="400" w:lineRule="exact"/>
                    <w:rPr>
                      <w:rFonts w:hint="eastAsia" w:ascii="宋体" w:hAnsi="宋体" w:cs="宋体"/>
                      <w:szCs w:val="21"/>
                      <w:highlight w:val="none"/>
                    </w:rPr>
                  </w:pPr>
                  <w:r>
                    <w:rPr>
                      <w:rFonts w:hint="eastAsia" w:ascii="宋体" w:hAnsi="宋体" w:cs="宋体"/>
                      <w:szCs w:val="21"/>
                      <w:highlight w:val="none"/>
                    </w:rPr>
                    <w:t>人员调整</w:t>
                  </w:r>
                </w:p>
              </w:tc>
              <w:tc>
                <w:tcPr>
                  <w:tcW w:w="3072" w:type="pct"/>
                  <w:tcBorders>
                    <w:top w:val="nil"/>
                    <w:left w:val="nil"/>
                    <w:bottom w:val="single" w:color="auto" w:sz="4" w:space="0"/>
                    <w:right w:val="single" w:color="auto" w:sz="4" w:space="0"/>
                  </w:tcBorders>
                  <w:vAlign w:val="center"/>
                </w:tcPr>
                <w:p w14:paraId="2F3E6855">
                  <w:pPr>
                    <w:keepNext w:val="0"/>
                    <w:keepLines/>
                    <w:pageBreakBefore w:val="0"/>
                    <w:kinsoku/>
                    <w:wordWrap w:val="0"/>
                    <w:overflowPunct/>
                    <w:topLinePunct/>
                    <w:autoSpaceDE/>
                    <w:autoSpaceDN/>
                    <w:bidi w:val="0"/>
                    <w:adjustRightInd/>
                    <w:snapToGrid/>
                    <w:spacing w:line="400" w:lineRule="exact"/>
                    <w:rPr>
                      <w:rFonts w:hint="eastAsia" w:ascii="宋体" w:hAnsi="宋体" w:cs="宋体"/>
                      <w:szCs w:val="21"/>
                      <w:highlight w:val="none"/>
                    </w:rPr>
                  </w:pPr>
                  <w:r>
                    <w:rPr>
                      <w:rFonts w:hint="eastAsia" w:ascii="宋体" w:hAnsi="宋体" w:cs="宋体"/>
                      <w:szCs w:val="21"/>
                      <w:highlight w:val="none"/>
                    </w:rPr>
                    <w:t>中标供应商依照工单中提供的用户信息进行权限清理，确保依照岗位变动调整用户在系统中的隶属关系及原有业务权限。</w:t>
                  </w:r>
                </w:p>
              </w:tc>
              <w:tc>
                <w:tcPr>
                  <w:tcW w:w="1224" w:type="pct"/>
                  <w:tcBorders>
                    <w:top w:val="nil"/>
                    <w:left w:val="nil"/>
                    <w:bottom w:val="single" w:color="auto" w:sz="4" w:space="0"/>
                    <w:right w:val="single" w:color="auto" w:sz="4" w:space="0"/>
                  </w:tcBorders>
                  <w:vAlign w:val="center"/>
                </w:tcPr>
                <w:p w14:paraId="35825134">
                  <w:pPr>
                    <w:keepNext w:val="0"/>
                    <w:keepLines/>
                    <w:pageBreakBefore w:val="0"/>
                    <w:kinsoku/>
                    <w:wordWrap w:val="0"/>
                    <w:overflowPunct/>
                    <w:topLinePunct/>
                    <w:autoSpaceDE/>
                    <w:autoSpaceDN/>
                    <w:bidi w:val="0"/>
                    <w:adjustRightInd/>
                    <w:snapToGrid/>
                    <w:spacing w:line="400" w:lineRule="exact"/>
                    <w:rPr>
                      <w:rFonts w:hint="eastAsia" w:ascii="宋体" w:hAnsi="宋体" w:cs="宋体"/>
                      <w:szCs w:val="21"/>
                      <w:highlight w:val="none"/>
                    </w:rPr>
                  </w:pPr>
                  <w:r>
                    <w:rPr>
                      <w:rFonts w:hint="eastAsia" w:ascii="宋体" w:hAnsi="宋体" w:cs="宋体"/>
                      <w:szCs w:val="21"/>
                      <w:highlight w:val="none"/>
                    </w:rPr>
                    <w:t>4个工作日内完成。</w:t>
                  </w:r>
                </w:p>
              </w:tc>
            </w:tr>
            <w:tr w14:paraId="175C0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03" w:type="pct"/>
                  <w:tcBorders>
                    <w:top w:val="nil"/>
                    <w:left w:val="single" w:color="auto" w:sz="4" w:space="0"/>
                    <w:bottom w:val="single" w:color="auto" w:sz="4" w:space="0"/>
                    <w:right w:val="single" w:color="auto" w:sz="4" w:space="0"/>
                  </w:tcBorders>
                  <w:vAlign w:val="center"/>
                </w:tcPr>
                <w:p w14:paraId="601BE7F0">
                  <w:pPr>
                    <w:keepNext w:val="0"/>
                    <w:keepLines/>
                    <w:pageBreakBefore w:val="0"/>
                    <w:kinsoku/>
                    <w:wordWrap w:val="0"/>
                    <w:overflowPunct/>
                    <w:topLinePunct/>
                    <w:autoSpaceDE/>
                    <w:autoSpaceDN/>
                    <w:bidi w:val="0"/>
                    <w:adjustRightInd/>
                    <w:snapToGrid/>
                    <w:spacing w:line="400" w:lineRule="exact"/>
                    <w:rPr>
                      <w:rFonts w:hint="eastAsia" w:ascii="宋体" w:hAnsi="宋体" w:cs="宋体"/>
                      <w:szCs w:val="21"/>
                      <w:highlight w:val="none"/>
                    </w:rPr>
                  </w:pPr>
                  <w:r>
                    <w:rPr>
                      <w:rFonts w:hint="eastAsia" w:ascii="宋体" w:hAnsi="宋体" w:cs="宋体"/>
                      <w:szCs w:val="21"/>
                      <w:highlight w:val="none"/>
                    </w:rPr>
                    <w:t>信息系统问题反馈单</w:t>
                  </w:r>
                </w:p>
              </w:tc>
              <w:tc>
                <w:tcPr>
                  <w:tcW w:w="3072" w:type="pct"/>
                  <w:tcBorders>
                    <w:top w:val="nil"/>
                    <w:left w:val="nil"/>
                    <w:bottom w:val="single" w:color="auto" w:sz="4" w:space="0"/>
                    <w:right w:val="single" w:color="auto" w:sz="4" w:space="0"/>
                  </w:tcBorders>
                  <w:vAlign w:val="center"/>
                </w:tcPr>
                <w:p w14:paraId="2F571628">
                  <w:pPr>
                    <w:keepNext w:val="0"/>
                    <w:keepLines/>
                    <w:pageBreakBefore w:val="0"/>
                    <w:kinsoku/>
                    <w:wordWrap w:val="0"/>
                    <w:overflowPunct/>
                    <w:topLinePunct/>
                    <w:autoSpaceDE/>
                    <w:autoSpaceDN/>
                    <w:bidi w:val="0"/>
                    <w:adjustRightInd/>
                    <w:snapToGrid/>
                    <w:spacing w:line="400" w:lineRule="exact"/>
                    <w:rPr>
                      <w:rFonts w:hint="eastAsia" w:ascii="宋体" w:hAnsi="宋体" w:cs="宋体"/>
                      <w:szCs w:val="21"/>
                      <w:highlight w:val="none"/>
                    </w:rPr>
                  </w:pPr>
                  <w:r>
                    <w:rPr>
                      <w:rFonts w:hint="eastAsia" w:ascii="宋体" w:hAnsi="宋体" w:cs="宋体"/>
                      <w:szCs w:val="21"/>
                      <w:highlight w:val="none"/>
                    </w:rPr>
                    <w:t>中标供应商在收到工单后与提出人联系，确认用户申请调整内容后处理。</w:t>
                  </w:r>
                </w:p>
              </w:tc>
              <w:tc>
                <w:tcPr>
                  <w:tcW w:w="1224" w:type="pct"/>
                  <w:tcBorders>
                    <w:top w:val="nil"/>
                    <w:left w:val="nil"/>
                    <w:bottom w:val="single" w:color="auto" w:sz="4" w:space="0"/>
                    <w:right w:val="single" w:color="auto" w:sz="4" w:space="0"/>
                  </w:tcBorders>
                  <w:vAlign w:val="center"/>
                </w:tcPr>
                <w:p w14:paraId="51C8FF0C">
                  <w:pPr>
                    <w:keepNext w:val="0"/>
                    <w:keepLines/>
                    <w:pageBreakBefore w:val="0"/>
                    <w:kinsoku/>
                    <w:wordWrap w:val="0"/>
                    <w:overflowPunct/>
                    <w:topLinePunct/>
                    <w:autoSpaceDE/>
                    <w:autoSpaceDN/>
                    <w:bidi w:val="0"/>
                    <w:adjustRightInd/>
                    <w:snapToGrid/>
                    <w:spacing w:line="400" w:lineRule="exact"/>
                    <w:rPr>
                      <w:rFonts w:hint="eastAsia" w:ascii="宋体" w:hAnsi="宋体" w:cs="宋体"/>
                      <w:szCs w:val="21"/>
                      <w:highlight w:val="none"/>
                    </w:rPr>
                  </w:pPr>
                  <w:r>
                    <w:rPr>
                      <w:rFonts w:hint="eastAsia" w:ascii="宋体" w:hAnsi="宋体" w:cs="宋体"/>
                      <w:szCs w:val="21"/>
                      <w:highlight w:val="none"/>
                    </w:rPr>
                    <w:t>事项完成时间不得超过2个工作日。</w:t>
                  </w:r>
                </w:p>
              </w:tc>
            </w:tr>
            <w:tr w14:paraId="2F41B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jc w:val="center"/>
              </w:trPr>
              <w:tc>
                <w:tcPr>
                  <w:tcW w:w="703" w:type="pct"/>
                  <w:tcBorders>
                    <w:top w:val="nil"/>
                    <w:left w:val="single" w:color="auto" w:sz="4" w:space="0"/>
                    <w:bottom w:val="single" w:color="auto" w:sz="4" w:space="0"/>
                    <w:right w:val="single" w:color="auto" w:sz="4" w:space="0"/>
                  </w:tcBorders>
                  <w:vAlign w:val="center"/>
                </w:tcPr>
                <w:p w14:paraId="0883390F">
                  <w:pPr>
                    <w:keepNext w:val="0"/>
                    <w:keepLines/>
                    <w:pageBreakBefore w:val="0"/>
                    <w:kinsoku/>
                    <w:wordWrap w:val="0"/>
                    <w:overflowPunct/>
                    <w:topLinePunct/>
                    <w:autoSpaceDE/>
                    <w:autoSpaceDN/>
                    <w:bidi w:val="0"/>
                    <w:adjustRightInd/>
                    <w:snapToGrid/>
                    <w:spacing w:line="400" w:lineRule="exact"/>
                    <w:rPr>
                      <w:rFonts w:hint="eastAsia" w:ascii="宋体" w:hAnsi="宋体" w:cs="宋体"/>
                      <w:szCs w:val="21"/>
                      <w:highlight w:val="none"/>
                    </w:rPr>
                  </w:pPr>
                  <w:r>
                    <w:rPr>
                      <w:rFonts w:hint="eastAsia" w:ascii="宋体" w:hAnsi="宋体" w:cs="宋体"/>
                      <w:szCs w:val="21"/>
                      <w:highlight w:val="none"/>
                    </w:rPr>
                    <w:t>内网后台数据调整</w:t>
                  </w:r>
                </w:p>
              </w:tc>
              <w:tc>
                <w:tcPr>
                  <w:tcW w:w="3072" w:type="pct"/>
                  <w:tcBorders>
                    <w:top w:val="nil"/>
                    <w:left w:val="nil"/>
                    <w:bottom w:val="single" w:color="auto" w:sz="4" w:space="0"/>
                    <w:right w:val="single" w:color="auto" w:sz="4" w:space="0"/>
                  </w:tcBorders>
                  <w:vAlign w:val="center"/>
                </w:tcPr>
                <w:p w14:paraId="7C73BB3F">
                  <w:pPr>
                    <w:keepNext w:val="0"/>
                    <w:keepLines/>
                    <w:pageBreakBefore w:val="0"/>
                    <w:kinsoku/>
                    <w:wordWrap w:val="0"/>
                    <w:overflowPunct/>
                    <w:topLinePunct/>
                    <w:autoSpaceDE/>
                    <w:autoSpaceDN/>
                    <w:bidi w:val="0"/>
                    <w:adjustRightInd/>
                    <w:snapToGrid/>
                    <w:spacing w:line="400" w:lineRule="exact"/>
                    <w:rPr>
                      <w:rFonts w:hint="eastAsia" w:ascii="宋体" w:hAnsi="宋体" w:cs="宋体"/>
                      <w:szCs w:val="21"/>
                      <w:highlight w:val="none"/>
                    </w:rPr>
                  </w:pPr>
                  <w:r>
                    <w:rPr>
                      <w:rFonts w:hint="eastAsia" w:ascii="宋体" w:hAnsi="宋体" w:cs="宋体"/>
                      <w:szCs w:val="21"/>
                      <w:highlight w:val="none"/>
                    </w:rPr>
                    <w:t>中标供应商收到工单后在内网中变更内网栏目信息，发布考察公示、任前公示。确保依照提出人请求内容发布公示或调整栏目。</w:t>
                  </w:r>
                </w:p>
              </w:tc>
              <w:tc>
                <w:tcPr>
                  <w:tcW w:w="1224" w:type="pct"/>
                  <w:tcBorders>
                    <w:top w:val="nil"/>
                    <w:left w:val="nil"/>
                    <w:bottom w:val="single" w:color="auto" w:sz="4" w:space="0"/>
                    <w:right w:val="single" w:color="auto" w:sz="4" w:space="0"/>
                  </w:tcBorders>
                  <w:vAlign w:val="center"/>
                </w:tcPr>
                <w:p w14:paraId="4B4DF5E8">
                  <w:pPr>
                    <w:keepNext w:val="0"/>
                    <w:keepLines/>
                    <w:pageBreakBefore w:val="0"/>
                    <w:kinsoku/>
                    <w:wordWrap w:val="0"/>
                    <w:overflowPunct/>
                    <w:topLinePunct/>
                    <w:autoSpaceDE/>
                    <w:autoSpaceDN/>
                    <w:bidi w:val="0"/>
                    <w:adjustRightInd/>
                    <w:snapToGrid/>
                    <w:spacing w:line="400" w:lineRule="exact"/>
                    <w:rPr>
                      <w:rFonts w:hint="eastAsia" w:ascii="宋体" w:hAnsi="宋体" w:cs="宋体"/>
                      <w:szCs w:val="21"/>
                      <w:highlight w:val="none"/>
                    </w:rPr>
                  </w:pPr>
                  <w:r>
                    <w:rPr>
                      <w:rFonts w:hint="eastAsia" w:ascii="宋体" w:hAnsi="宋体" w:cs="宋体"/>
                      <w:szCs w:val="21"/>
                      <w:highlight w:val="none"/>
                    </w:rPr>
                    <w:t>发布公示操作要求收到工单后1小时内完成，公示期满即刻撤下。栏目信息调整于1个工作日内完成。</w:t>
                  </w:r>
                </w:p>
              </w:tc>
            </w:tr>
            <w:tr w14:paraId="3FF55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703" w:type="pct"/>
                  <w:tcBorders>
                    <w:top w:val="nil"/>
                    <w:left w:val="single" w:color="auto" w:sz="4" w:space="0"/>
                    <w:bottom w:val="single" w:color="auto" w:sz="4" w:space="0"/>
                    <w:right w:val="single" w:color="auto" w:sz="4" w:space="0"/>
                  </w:tcBorders>
                  <w:vAlign w:val="center"/>
                </w:tcPr>
                <w:p w14:paraId="4B85B472">
                  <w:pPr>
                    <w:keepNext w:val="0"/>
                    <w:keepLines/>
                    <w:pageBreakBefore w:val="0"/>
                    <w:kinsoku/>
                    <w:wordWrap w:val="0"/>
                    <w:overflowPunct/>
                    <w:topLinePunct/>
                    <w:autoSpaceDE/>
                    <w:autoSpaceDN/>
                    <w:bidi w:val="0"/>
                    <w:adjustRightInd/>
                    <w:snapToGrid/>
                    <w:spacing w:line="400" w:lineRule="exact"/>
                    <w:rPr>
                      <w:rFonts w:hint="eastAsia" w:ascii="宋体" w:hAnsi="宋体" w:cs="宋体"/>
                      <w:szCs w:val="21"/>
                      <w:highlight w:val="none"/>
                    </w:rPr>
                  </w:pPr>
                  <w:r>
                    <w:rPr>
                      <w:rFonts w:hint="eastAsia" w:ascii="宋体" w:hAnsi="宋体" w:cs="宋体"/>
                      <w:szCs w:val="21"/>
                      <w:highlight w:val="none"/>
                    </w:rPr>
                    <w:t>单点登录系统密码重置</w:t>
                  </w:r>
                </w:p>
              </w:tc>
              <w:tc>
                <w:tcPr>
                  <w:tcW w:w="3072" w:type="pct"/>
                  <w:tcBorders>
                    <w:top w:val="nil"/>
                    <w:left w:val="nil"/>
                    <w:bottom w:val="single" w:color="auto" w:sz="4" w:space="0"/>
                    <w:right w:val="single" w:color="auto" w:sz="4" w:space="0"/>
                  </w:tcBorders>
                  <w:vAlign w:val="center"/>
                </w:tcPr>
                <w:p w14:paraId="07AC58F2">
                  <w:pPr>
                    <w:keepNext w:val="0"/>
                    <w:keepLines/>
                    <w:pageBreakBefore w:val="0"/>
                    <w:kinsoku/>
                    <w:wordWrap w:val="0"/>
                    <w:overflowPunct/>
                    <w:topLinePunct/>
                    <w:autoSpaceDE/>
                    <w:autoSpaceDN/>
                    <w:bidi w:val="0"/>
                    <w:adjustRightInd/>
                    <w:snapToGrid/>
                    <w:spacing w:line="400" w:lineRule="exact"/>
                    <w:rPr>
                      <w:rFonts w:hint="eastAsia" w:ascii="宋体" w:hAnsi="宋体" w:cs="宋体"/>
                      <w:szCs w:val="21"/>
                      <w:highlight w:val="none"/>
                    </w:rPr>
                  </w:pPr>
                  <w:r>
                    <w:rPr>
                      <w:rFonts w:hint="eastAsia" w:ascii="宋体" w:hAnsi="宋体" w:cs="宋体"/>
                      <w:szCs w:val="21"/>
                      <w:highlight w:val="none"/>
                    </w:rPr>
                    <w:t>中标供应商须在运维支撑平台上对工单进行登记，并在接收工单后1小时内与提出人联系，完成密码重置。</w:t>
                  </w:r>
                </w:p>
              </w:tc>
              <w:tc>
                <w:tcPr>
                  <w:tcW w:w="1224" w:type="pct"/>
                  <w:tcBorders>
                    <w:top w:val="nil"/>
                    <w:left w:val="nil"/>
                    <w:bottom w:val="single" w:color="auto" w:sz="4" w:space="0"/>
                    <w:right w:val="single" w:color="auto" w:sz="4" w:space="0"/>
                  </w:tcBorders>
                  <w:vAlign w:val="center"/>
                </w:tcPr>
                <w:p w14:paraId="3BE78FB3">
                  <w:pPr>
                    <w:keepNext w:val="0"/>
                    <w:keepLines/>
                    <w:pageBreakBefore w:val="0"/>
                    <w:kinsoku/>
                    <w:wordWrap w:val="0"/>
                    <w:overflowPunct/>
                    <w:topLinePunct/>
                    <w:autoSpaceDE/>
                    <w:autoSpaceDN/>
                    <w:bidi w:val="0"/>
                    <w:adjustRightInd/>
                    <w:snapToGrid/>
                    <w:spacing w:line="400" w:lineRule="exact"/>
                    <w:rPr>
                      <w:rFonts w:hint="eastAsia" w:ascii="宋体" w:hAnsi="宋体" w:cs="宋体"/>
                      <w:szCs w:val="21"/>
                      <w:highlight w:val="none"/>
                    </w:rPr>
                  </w:pPr>
                  <w:r>
                    <w:rPr>
                      <w:rFonts w:hint="eastAsia" w:ascii="宋体" w:hAnsi="宋体" w:cs="宋体"/>
                      <w:szCs w:val="21"/>
                      <w:highlight w:val="none"/>
                    </w:rPr>
                    <w:t>1小时内完成。</w:t>
                  </w:r>
                </w:p>
              </w:tc>
            </w:tr>
            <w:tr w14:paraId="0D0C9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703" w:type="pct"/>
                  <w:tcBorders>
                    <w:top w:val="nil"/>
                    <w:left w:val="single" w:color="auto" w:sz="4" w:space="0"/>
                    <w:bottom w:val="single" w:color="auto" w:sz="4" w:space="0"/>
                    <w:right w:val="single" w:color="auto" w:sz="4" w:space="0"/>
                  </w:tcBorders>
                  <w:vAlign w:val="center"/>
                </w:tcPr>
                <w:p w14:paraId="546909DD">
                  <w:pPr>
                    <w:keepNext w:val="0"/>
                    <w:keepLines/>
                    <w:pageBreakBefore w:val="0"/>
                    <w:kinsoku/>
                    <w:wordWrap w:val="0"/>
                    <w:overflowPunct/>
                    <w:topLinePunct/>
                    <w:autoSpaceDE/>
                    <w:autoSpaceDN/>
                    <w:bidi w:val="0"/>
                    <w:adjustRightInd/>
                    <w:snapToGrid/>
                    <w:spacing w:line="400" w:lineRule="exact"/>
                    <w:rPr>
                      <w:rFonts w:hint="eastAsia" w:ascii="宋体" w:hAnsi="宋体" w:cs="宋体"/>
                      <w:szCs w:val="21"/>
                      <w:highlight w:val="none"/>
                    </w:rPr>
                  </w:pPr>
                  <w:r>
                    <w:rPr>
                      <w:rFonts w:hint="eastAsia" w:ascii="宋体" w:hAnsi="宋体" w:cs="宋体"/>
                      <w:szCs w:val="21"/>
                      <w:highlight w:val="none"/>
                    </w:rPr>
                    <w:t>领导批办的专项工作内容</w:t>
                  </w:r>
                </w:p>
              </w:tc>
              <w:tc>
                <w:tcPr>
                  <w:tcW w:w="3072" w:type="pct"/>
                  <w:tcBorders>
                    <w:top w:val="nil"/>
                    <w:left w:val="nil"/>
                    <w:bottom w:val="single" w:color="auto" w:sz="4" w:space="0"/>
                    <w:right w:val="single" w:color="auto" w:sz="4" w:space="0"/>
                  </w:tcBorders>
                  <w:vAlign w:val="center"/>
                </w:tcPr>
                <w:p w14:paraId="0DE2FC26">
                  <w:pPr>
                    <w:keepNext w:val="0"/>
                    <w:keepLines/>
                    <w:pageBreakBefore w:val="0"/>
                    <w:kinsoku/>
                    <w:wordWrap w:val="0"/>
                    <w:overflowPunct/>
                    <w:topLinePunct/>
                    <w:autoSpaceDE/>
                    <w:autoSpaceDN/>
                    <w:bidi w:val="0"/>
                    <w:adjustRightInd/>
                    <w:snapToGrid/>
                    <w:spacing w:line="400" w:lineRule="exact"/>
                    <w:rPr>
                      <w:rFonts w:hint="eastAsia" w:ascii="宋体" w:hAnsi="宋体" w:cs="宋体"/>
                      <w:szCs w:val="21"/>
                      <w:highlight w:val="none"/>
                    </w:rPr>
                  </w:pPr>
                  <w:r>
                    <w:rPr>
                      <w:rFonts w:hint="eastAsia" w:ascii="宋体" w:hAnsi="宋体" w:cs="宋体"/>
                      <w:szCs w:val="21"/>
                      <w:highlight w:val="none"/>
                    </w:rPr>
                    <w:t>中标供应商依照广西高院办公工作</w:t>
                  </w:r>
                  <w:r>
                    <w:rPr>
                      <w:rFonts w:hint="eastAsia" w:ascii="宋体" w:hAnsi="宋体" w:cs="宋体"/>
                      <w:szCs w:val="21"/>
                      <w:highlight w:val="none"/>
                      <w:lang w:eastAsia="zh-CN"/>
                    </w:rPr>
                    <w:t>流程</w:t>
                  </w:r>
                  <w:r>
                    <w:rPr>
                      <w:rFonts w:hint="eastAsia" w:ascii="宋体" w:hAnsi="宋体" w:cs="宋体"/>
                      <w:szCs w:val="21"/>
                      <w:highlight w:val="none"/>
                    </w:rPr>
                    <w:t>工作要求，配合完成专项工作。</w:t>
                  </w:r>
                </w:p>
              </w:tc>
              <w:tc>
                <w:tcPr>
                  <w:tcW w:w="1224" w:type="pct"/>
                  <w:tcBorders>
                    <w:top w:val="nil"/>
                    <w:left w:val="nil"/>
                    <w:bottom w:val="single" w:color="auto" w:sz="4" w:space="0"/>
                    <w:right w:val="single" w:color="auto" w:sz="4" w:space="0"/>
                  </w:tcBorders>
                  <w:vAlign w:val="center"/>
                </w:tcPr>
                <w:p w14:paraId="3EA842CE">
                  <w:pPr>
                    <w:keepNext w:val="0"/>
                    <w:keepLines/>
                    <w:pageBreakBefore w:val="0"/>
                    <w:kinsoku/>
                    <w:wordWrap w:val="0"/>
                    <w:overflowPunct/>
                    <w:topLinePunct/>
                    <w:autoSpaceDE/>
                    <w:autoSpaceDN/>
                    <w:bidi w:val="0"/>
                    <w:adjustRightInd/>
                    <w:snapToGrid/>
                    <w:spacing w:line="400" w:lineRule="exact"/>
                    <w:rPr>
                      <w:rFonts w:hint="eastAsia" w:ascii="宋体" w:hAnsi="宋体" w:cs="宋体"/>
                      <w:szCs w:val="21"/>
                      <w:highlight w:val="none"/>
                    </w:rPr>
                  </w:pPr>
                  <w:r>
                    <w:rPr>
                      <w:rFonts w:hint="eastAsia" w:ascii="宋体" w:hAnsi="宋体" w:cs="宋体"/>
                      <w:szCs w:val="21"/>
                      <w:highlight w:val="none"/>
                    </w:rPr>
                    <w:t>完成时限不得超过规定时间，反馈时间不得超过五个工作日。</w:t>
                  </w:r>
                </w:p>
              </w:tc>
            </w:tr>
          </w:tbl>
          <w:p w14:paraId="61F72524">
            <w:pPr>
              <w:keepNext w:val="0"/>
              <w:keepLines/>
              <w:pageBreakBefore w:val="0"/>
              <w:kinsoku/>
              <w:wordWrap w:val="0"/>
              <w:overflowPunct/>
              <w:topLinePunct/>
              <w:autoSpaceDE/>
              <w:autoSpaceDN/>
              <w:bidi w:val="0"/>
              <w:adjustRightInd/>
              <w:snapToGrid/>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3、中标供应商应在规定时间内完成工单，如不能按时完成，须在承接任务后1个工作日内向司法技术管理处反馈，并上报完成时间。如工作任务完成时间超过一周，中标供应商应每周汇报进展情况。</w:t>
            </w:r>
          </w:p>
          <w:p w14:paraId="52EFD816">
            <w:pPr>
              <w:keepNext w:val="0"/>
              <w:keepLines/>
              <w:pageBreakBefore w:val="0"/>
              <w:kinsoku/>
              <w:wordWrap w:val="0"/>
              <w:overflowPunct/>
              <w:topLinePunct/>
              <w:autoSpaceDE/>
              <w:autoSpaceDN/>
              <w:bidi w:val="0"/>
              <w:adjustRightInd/>
              <w:snapToGrid/>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4、中标供应商在工单处理完成后2个工作日内将工单原件返还软件组，不得损毁或遗失。</w:t>
            </w:r>
          </w:p>
          <w:p w14:paraId="70363B33">
            <w:pPr>
              <w:keepNext w:val="0"/>
              <w:keepLines/>
              <w:pageBreakBefore w:val="0"/>
              <w:kinsoku/>
              <w:wordWrap w:val="0"/>
              <w:overflowPunct/>
              <w:topLinePunct/>
              <w:autoSpaceDE/>
              <w:autoSpaceDN/>
              <w:bidi w:val="0"/>
              <w:adjustRightInd/>
              <w:snapToGrid/>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5、中标供应商未按照上述要求提供服务，技术处将在“工单处理情况”一项中扣除其相应的分数。</w:t>
            </w:r>
          </w:p>
          <w:p w14:paraId="5E0DFBC3">
            <w:pPr>
              <w:keepNext w:val="0"/>
              <w:keepLines/>
              <w:pageBreakBefore w:val="0"/>
              <w:kinsoku/>
              <w:wordWrap w:val="0"/>
              <w:overflowPunct/>
              <w:topLinePunct/>
              <w:autoSpaceDE/>
              <w:autoSpaceDN/>
              <w:bidi w:val="0"/>
              <w:adjustRightInd/>
              <w:snapToGrid/>
              <w:spacing w:line="400" w:lineRule="exact"/>
              <w:ind w:firstLine="422" w:firstLineChars="200"/>
              <w:rPr>
                <w:rFonts w:hint="eastAsia" w:ascii="宋体" w:hAnsi="宋体" w:cs="宋体"/>
                <w:b/>
                <w:szCs w:val="21"/>
                <w:highlight w:val="none"/>
              </w:rPr>
            </w:pPr>
            <w:r>
              <w:rPr>
                <w:rFonts w:hint="eastAsia" w:ascii="宋体" w:hAnsi="宋体" w:cs="宋体"/>
                <w:b/>
                <w:szCs w:val="21"/>
                <w:highlight w:val="none"/>
              </w:rPr>
              <w:t>（二）“系统运行情况”指标考核办法</w:t>
            </w:r>
          </w:p>
          <w:p w14:paraId="736C9BE6">
            <w:pPr>
              <w:keepNext w:val="0"/>
              <w:keepLines/>
              <w:pageBreakBefore w:val="0"/>
              <w:kinsoku/>
              <w:wordWrap w:val="0"/>
              <w:overflowPunct/>
              <w:topLinePunct/>
              <w:autoSpaceDE/>
              <w:autoSpaceDN/>
              <w:bidi w:val="0"/>
              <w:adjustRightInd/>
              <w:snapToGrid/>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1、中标供应商在日常运维、巡检过程中发现信息系统应用服务异常或故障（例如宕机等无法第一时间准确定位是硬件、网络或安全问题时）应在10分钟之内报告司法技术管理处，不得瞒报、迟报。并立即开展故障排查、维修工作，当日反馈故障排查情况。</w:t>
            </w:r>
          </w:p>
          <w:p w14:paraId="6B4CA015">
            <w:pPr>
              <w:keepNext w:val="0"/>
              <w:keepLines/>
              <w:pageBreakBefore w:val="0"/>
              <w:kinsoku/>
              <w:wordWrap w:val="0"/>
              <w:overflowPunct/>
              <w:topLinePunct/>
              <w:autoSpaceDE/>
              <w:autoSpaceDN/>
              <w:bidi w:val="0"/>
              <w:adjustRightInd/>
              <w:snapToGrid/>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2、因应用软件原因导致的非计划内信息系统中断，单次中断时间不得超过30分钟，单次故障处理时间不得超过4小时。</w:t>
            </w:r>
          </w:p>
          <w:p w14:paraId="0146B7E1">
            <w:pPr>
              <w:keepNext w:val="0"/>
              <w:keepLines/>
              <w:pageBreakBefore w:val="0"/>
              <w:kinsoku/>
              <w:wordWrap w:val="0"/>
              <w:overflowPunct/>
              <w:topLinePunct/>
              <w:autoSpaceDE/>
              <w:autoSpaceDN/>
              <w:bidi w:val="0"/>
              <w:adjustRightInd/>
              <w:snapToGrid/>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3、中标供应商未按照上述要求提供服务，技术处将在“系统运行情况”一项中扣除其相应的分数。</w:t>
            </w:r>
          </w:p>
          <w:p w14:paraId="14F0BE65">
            <w:pPr>
              <w:keepNext w:val="0"/>
              <w:keepLines/>
              <w:pageBreakBefore w:val="0"/>
              <w:kinsoku/>
              <w:wordWrap w:val="0"/>
              <w:overflowPunct/>
              <w:topLinePunct/>
              <w:autoSpaceDE/>
              <w:autoSpaceDN/>
              <w:bidi w:val="0"/>
              <w:adjustRightInd/>
              <w:snapToGrid/>
              <w:spacing w:line="400" w:lineRule="exact"/>
              <w:ind w:firstLine="422" w:firstLineChars="200"/>
              <w:rPr>
                <w:rFonts w:hint="eastAsia" w:ascii="宋体" w:hAnsi="宋体" w:cs="宋体"/>
                <w:b/>
                <w:szCs w:val="21"/>
                <w:highlight w:val="none"/>
              </w:rPr>
            </w:pPr>
            <w:r>
              <w:rPr>
                <w:rFonts w:hint="eastAsia" w:ascii="宋体" w:hAnsi="宋体" w:cs="宋体"/>
                <w:b/>
                <w:szCs w:val="21"/>
                <w:highlight w:val="none"/>
              </w:rPr>
              <w:t>（三）“运维事故”指标考核办法</w:t>
            </w:r>
          </w:p>
          <w:p w14:paraId="63A634B2">
            <w:pPr>
              <w:keepNext w:val="0"/>
              <w:keepLines/>
              <w:pageBreakBefore w:val="0"/>
              <w:kinsoku/>
              <w:wordWrap w:val="0"/>
              <w:overflowPunct/>
              <w:topLinePunct/>
              <w:autoSpaceDE/>
              <w:autoSpaceDN/>
              <w:bidi w:val="0"/>
              <w:adjustRightInd/>
              <w:snapToGrid/>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1、中标供应商应根据日常运维工作制定运维手册，并严格按照运维手册要求进行操作。</w:t>
            </w:r>
          </w:p>
          <w:p w14:paraId="03AD4AEA">
            <w:pPr>
              <w:keepNext w:val="0"/>
              <w:keepLines/>
              <w:pageBreakBefore w:val="0"/>
              <w:kinsoku/>
              <w:wordWrap w:val="0"/>
              <w:overflowPunct/>
              <w:topLinePunct/>
              <w:autoSpaceDE/>
              <w:autoSpaceDN/>
              <w:bidi w:val="0"/>
              <w:adjustRightInd/>
              <w:snapToGrid/>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2、中标供应商应当按照日常运维工作要求进行系统监控、维护，杜绝因中标供应商人为因素导致信息系统服务中断或异常等运维事故发生。</w:t>
            </w:r>
          </w:p>
          <w:p w14:paraId="6AF39D43">
            <w:pPr>
              <w:keepNext w:val="0"/>
              <w:keepLines/>
              <w:pageBreakBefore w:val="0"/>
              <w:kinsoku/>
              <w:wordWrap w:val="0"/>
              <w:overflowPunct/>
              <w:topLinePunct/>
              <w:autoSpaceDE/>
              <w:autoSpaceDN/>
              <w:bidi w:val="0"/>
              <w:adjustRightInd/>
              <w:snapToGrid/>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3、中标供应商未按照上述要求提供服务，软件组将在“运维事故”一项中扣除其相应的分数。</w:t>
            </w:r>
          </w:p>
          <w:p w14:paraId="454BD50E">
            <w:pPr>
              <w:keepNext w:val="0"/>
              <w:keepLines/>
              <w:pageBreakBefore w:val="0"/>
              <w:kinsoku/>
              <w:wordWrap w:val="0"/>
              <w:overflowPunct/>
              <w:topLinePunct/>
              <w:autoSpaceDE/>
              <w:autoSpaceDN/>
              <w:bidi w:val="0"/>
              <w:adjustRightInd/>
              <w:snapToGrid/>
              <w:spacing w:line="400" w:lineRule="exact"/>
              <w:ind w:firstLine="422" w:firstLineChars="200"/>
              <w:rPr>
                <w:rFonts w:hint="eastAsia" w:ascii="宋体" w:hAnsi="宋体" w:cs="宋体"/>
                <w:szCs w:val="21"/>
                <w:highlight w:val="none"/>
              </w:rPr>
            </w:pPr>
            <w:r>
              <w:rPr>
                <w:rFonts w:hint="eastAsia" w:ascii="宋体" w:hAnsi="宋体" w:cs="宋体"/>
                <w:b/>
                <w:szCs w:val="21"/>
                <w:highlight w:val="none"/>
              </w:rPr>
              <w:t>（四）“运维岗位情况”指标考核办法</w:t>
            </w:r>
          </w:p>
          <w:p w14:paraId="5550CDF7">
            <w:pPr>
              <w:keepNext w:val="0"/>
              <w:keepLines/>
              <w:pageBreakBefore w:val="0"/>
              <w:kinsoku/>
              <w:wordWrap w:val="0"/>
              <w:overflowPunct/>
              <w:topLinePunct/>
              <w:autoSpaceDE/>
              <w:autoSpaceDN/>
              <w:bidi w:val="0"/>
              <w:adjustRightInd/>
              <w:snapToGrid/>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1、中标供应商应确保专业现场运维团队人数不低于合同规定标准，团队成员应熟悉法院业务，掌握相关系统运行维护服务项目的工作内容。</w:t>
            </w:r>
          </w:p>
          <w:p w14:paraId="4897B83D">
            <w:pPr>
              <w:keepNext w:val="0"/>
              <w:keepLines/>
              <w:pageBreakBefore w:val="0"/>
              <w:kinsoku/>
              <w:wordWrap w:val="0"/>
              <w:overflowPunct/>
              <w:topLinePunct/>
              <w:autoSpaceDE/>
              <w:autoSpaceDN/>
              <w:bidi w:val="0"/>
              <w:adjustRightInd/>
              <w:snapToGrid/>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2、中标供应商应组建一定数量的二线运维团队，能够解决现场运维团队无法解决的问题；二线支持人员须在接到命令后2小时之内到达现场。</w:t>
            </w:r>
          </w:p>
          <w:p w14:paraId="1B21B06A">
            <w:pPr>
              <w:keepNext w:val="0"/>
              <w:keepLines/>
              <w:pageBreakBefore w:val="0"/>
              <w:kinsoku/>
              <w:wordWrap w:val="0"/>
              <w:overflowPunct/>
              <w:topLinePunct/>
              <w:autoSpaceDE/>
              <w:autoSpaceDN/>
              <w:bidi w:val="0"/>
              <w:adjustRightInd/>
              <w:snapToGrid/>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3、中标供应商应保证运维团队人员的稳定，且至少有一名运维经理管理人员驻场，负责本项目的运维管理工作。</w:t>
            </w:r>
          </w:p>
          <w:p w14:paraId="23BE35CB">
            <w:pPr>
              <w:keepNext w:val="0"/>
              <w:keepLines/>
              <w:pageBreakBefore w:val="0"/>
              <w:kinsoku/>
              <w:wordWrap w:val="0"/>
              <w:overflowPunct/>
              <w:topLinePunct/>
              <w:autoSpaceDE/>
              <w:autoSpaceDN/>
              <w:bidi w:val="0"/>
              <w:adjustRightInd/>
              <w:snapToGrid/>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4、中标供应商应提供5x8小时的现场值守；必要时须提供7x24小时的现场值守。</w:t>
            </w:r>
          </w:p>
          <w:p w14:paraId="787752AB">
            <w:pPr>
              <w:keepNext w:val="0"/>
              <w:keepLines/>
              <w:pageBreakBefore w:val="0"/>
              <w:kinsoku/>
              <w:wordWrap w:val="0"/>
              <w:overflowPunct/>
              <w:topLinePunct/>
              <w:autoSpaceDE/>
              <w:autoSpaceDN/>
              <w:bidi w:val="0"/>
              <w:adjustRightInd/>
              <w:snapToGrid/>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5、中标供应商未按照上述要求提供服务，司法技术管理处将在“运维岗位情况”一项中扣除其相应的分数。</w:t>
            </w:r>
          </w:p>
          <w:p w14:paraId="17239EC5">
            <w:pPr>
              <w:keepNext w:val="0"/>
              <w:keepLines/>
              <w:pageBreakBefore w:val="0"/>
              <w:kinsoku/>
              <w:wordWrap w:val="0"/>
              <w:overflowPunct/>
              <w:topLinePunct/>
              <w:autoSpaceDE/>
              <w:autoSpaceDN/>
              <w:bidi w:val="0"/>
              <w:adjustRightInd/>
              <w:snapToGrid/>
              <w:spacing w:line="400" w:lineRule="exact"/>
              <w:ind w:firstLine="422" w:firstLineChars="200"/>
              <w:rPr>
                <w:rFonts w:hint="eastAsia" w:ascii="宋体" w:hAnsi="宋体" w:cs="宋体"/>
                <w:b/>
                <w:szCs w:val="21"/>
                <w:highlight w:val="none"/>
              </w:rPr>
            </w:pPr>
            <w:r>
              <w:rPr>
                <w:rFonts w:hint="eastAsia" w:ascii="宋体" w:hAnsi="宋体" w:cs="宋体"/>
                <w:b/>
                <w:szCs w:val="21"/>
                <w:highlight w:val="none"/>
              </w:rPr>
              <w:t>（五）“运维工作满意度”指标考核办法</w:t>
            </w:r>
          </w:p>
          <w:p w14:paraId="0DF61CC2">
            <w:pPr>
              <w:keepNext w:val="0"/>
              <w:keepLines/>
              <w:pageBreakBefore w:val="0"/>
              <w:kinsoku/>
              <w:wordWrap w:val="0"/>
              <w:overflowPunct/>
              <w:topLinePunct/>
              <w:autoSpaceDE/>
              <w:autoSpaceDN/>
              <w:bidi w:val="0"/>
              <w:adjustRightInd/>
              <w:snapToGrid/>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司法技术管理处对中标供应商在完成日常工作过程中的工作态度及完成质量进行考核，考评中标供应商是否按照软件组要求及时有效的进行配合。</w:t>
            </w:r>
          </w:p>
          <w:p w14:paraId="4C5DE7EB">
            <w:pPr>
              <w:keepNext w:val="0"/>
              <w:keepLines/>
              <w:pageBreakBefore w:val="0"/>
              <w:kinsoku/>
              <w:wordWrap w:val="0"/>
              <w:overflowPunct/>
              <w:topLinePunct/>
              <w:autoSpaceDE/>
              <w:autoSpaceDN/>
              <w:bidi w:val="0"/>
              <w:adjustRightInd/>
              <w:snapToGrid/>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中标供应商未按照上述要求提供服务，司法技术管理处将在 “运维工作满意度”一项中扣除其相应的分数。</w:t>
            </w:r>
          </w:p>
          <w:p w14:paraId="14B00D4F">
            <w:pPr>
              <w:keepNext w:val="0"/>
              <w:keepLines/>
              <w:pageBreakBefore w:val="0"/>
              <w:kinsoku/>
              <w:wordWrap w:val="0"/>
              <w:overflowPunct/>
              <w:topLinePunct/>
              <w:autoSpaceDE/>
              <w:autoSpaceDN/>
              <w:bidi w:val="0"/>
              <w:adjustRightInd/>
              <w:snapToGrid/>
              <w:spacing w:line="400" w:lineRule="exact"/>
              <w:ind w:firstLine="422" w:firstLineChars="200"/>
              <w:rPr>
                <w:rFonts w:hint="eastAsia" w:ascii="宋体" w:hAnsi="宋体" w:cs="宋体"/>
                <w:b/>
                <w:szCs w:val="21"/>
                <w:highlight w:val="none"/>
              </w:rPr>
            </w:pPr>
            <w:r>
              <w:rPr>
                <w:rFonts w:hint="eastAsia" w:ascii="宋体" w:hAnsi="宋体" w:cs="宋体"/>
                <w:b/>
                <w:szCs w:val="21"/>
                <w:highlight w:val="none"/>
              </w:rPr>
              <w:t>（六）整改情况考核办法</w:t>
            </w:r>
          </w:p>
          <w:p w14:paraId="422D2FC8">
            <w:pPr>
              <w:keepNext w:val="0"/>
              <w:keepLines/>
              <w:pageBreakBefore w:val="0"/>
              <w:kinsoku/>
              <w:wordWrap w:val="0"/>
              <w:overflowPunct/>
              <w:topLinePunct/>
              <w:autoSpaceDE/>
              <w:autoSpaceDN/>
              <w:bidi w:val="0"/>
              <w:adjustRightInd/>
              <w:snapToGrid/>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对于上述量化考核中出现的问题，中标供应商应当及时采取有效的弥补措施并制定相应的整改方案。软件组可依据整改方案落实情况在“运维工作满意度”一项中酌情进行加分。</w:t>
            </w:r>
          </w:p>
          <w:p w14:paraId="41EE956C">
            <w:pPr>
              <w:keepNext w:val="0"/>
              <w:keepLines/>
              <w:pageBreakBefore w:val="0"/>
              <w:kinsoku/>
              <w:wordWrap w:val="0"/>
              <w:overflowPunct/>
              <w:topLinePunct/>
              <w:autoSpaceDE/>
              <w:autoSpaceDN/>
              <w:bidi w:val="0"/>
              <w:adjustRightInd/>
              <w:snapToGrid/>
              <w:spacing w:line="400" w:lineRule="exact"/>
              <w:ind w:firstLine="422" w:firstLineChars="200"/>
              <w:rPr>
                <w:rFonts w:hint="eastAsia" w:ascii="宋体" w:hAnsi="宋体" w:cs="宋体"/>
                <w:b/>
                <w:szCs w:val="21"/>
                <w:highlight w:val="none"/>
              </w:rPr>
            </w:pPr>
            <w:r>
              <w:rPr>
                <w:rFonts w:hint="eastAsia" w:ascii="宋体" w:hAnsi="宋体" w:cs="宋体"/>
                <w:b/>
                <w:szCs w:val="21"/>
                <w:highlight w:val="none"/>
              </w:rPr>
              <w:t>（</w:t>
            </w:r>
            <w:r>
              <w:rPr>
                <w:rFonts w:hint="eastAsia" w:ascii="宋体" w:hAnsi="宋体" w:cs="宋体"/>
                <w:b/>
                <w:szCs w:val="21"/>
                <w:highlight w:val="none"/>
                <w:lang w:val="en-US" w:eastAsia="zh-CN"/>
              </w:rPr>
              <w:t>七</w:t>
            </w:r>
            <w:r>
              <w:rPr>
                <w:rFonts w:hint="eastAsia" w:ascii="宋体" w:hAnsi="宋体" w:cs="宋体"/>
                <w:b/>
                <w:szCs w:val="21"/>
                <w:highlight w:val="none"/>
              </w:rPr>
              <w:t>）考核奖惩办法</w:t>
            </w:r>
          </w:p>
          <w:p w14:paraId="74D9B7B4">
            <w:pPr>
              <w:keepNext w:val="0"/>
              <w:keepLines/>
              <w:pageBreakBefore w:val="0"/>
              <w:kinsoku/>
              <w:wordWrap w:val="0"/>
              <w:overflowPunct/>
              <w:topLinePunct/>
              <w:autoSpaceDE/>
              <w:autoSpaceDN/>
              <w:bidi w:val="0"/>
              <w:adjustRightInd/>
              <w:snapToGrid/>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1、月度考核低于80分，</w:t>
            </w:r>
            <w:r>
              <w:rPr>
                <w:rFonts w:hint="eastAsia" w:ascii="宋体" w:hAnsi="宋体" w:cs="宋体"/>
                <w:szCs w:val="21"/>
                <w:highlight w:val="none"/>
                <w:lang w:eastAsia="zh-CN"/>
              </w:rPr>
              <w:t>给予</w:t>
            </w:r>
            <w:r>
              <w:rPr>
                <w:rFonts w:hint="eastAsia" w:ascii="宋体" w:hAnsi="宋体" w:cs="宋体"/>
                <w:szCs w:val="21"/>
                <w:highlight w:val="none"/>
              </w:rPr>
              <w:t>中标供应商警告处分；</w:t>
            </w:r>
          </w:p>
          <w:p w14:paraId="621B6230">
            <w:pPr>
              <w:keepNext w:val="0"/>
              <w:keepLines/>
              <w:pageBreakBefore w:val="0"/>
              <w:kinsoku/>
              <w:wordWrap w:val="0"/>
              <w:overflowPunct/>
              <w:topLinePunct/>
              <w:autoSpaceDE/>
              <w:autoSpaceDN/>
              <w:bidi w:val="0"/>
              <w:adjustRightInd/>
              <w:snapToGrid/>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2、连续</w:t>
            </w:r>
            <w:r>
              <w:rPr>
                <w:rFonts w:hint="eastAsia" w:ascii="宋体" w:hAnsi="宋体" w:cs="宋体"/>
                <w:szCs w:val="21"/>
                <w:highlight w:val="none"/>
                <w:lang w:eastAsia="zh-CN"/>
              </w:rPr>
              <w:t>两个</w:t>
            </w:r>
            <w:r>
              <w:rPr>
                <w:rFonts w:hint="eastAsia" w:ascii="宋体" w:hAnsi="宋体" w:cs="宋体"/>
                <w:szCs w:val="21"/>
                <w:highlight w:val="none"/>
              </w:rPr>
              <w:t>月考核低于80分，</w:t>
            </w:r>
            <w:r>
              <w:rPr>
                <w:rFonts w:hint="eastAsia" w:ascii="宋体" w:hAnsi="宋体" w:cs="宋体"/>
                <w:szCs w:val="21"/>
                <w:highlight w:val="none"/>
                <w:lang w:eastAsia="zh-CN"/>
              </w:rPr>
              <w:t>给予</w:t>
            </w:r>
            <w:r>
              <w:rPr>
                <w:rFonts w:hint="eastAsia" w:ascii="宋体" w:hAnsi="宋体" w:cs="宋体"/>
                <w:szCs w:val="21"/>
                <w:highlight w:val="none"/>
              </w:rPr>
              <w:t>中标供应商严重警告；</w:t>
            </w:r>
          </w:p>
          <w:p w14:paraId="6CF38DEC">
            <w:pPr>
              <w:keepNext w:val="0"/>
              <w:keepLines/>
              <w:pageBreakBefore w:val="0"/>
              <w:kinsoku/>
              <w:wordWrap w:val="0"/>
              <w:overflowPunct/>
              <w:topLinePunct/>
              <w:autoSpaceDE/>
              <w:autoSpaceDN/>
              <w:bidi w:val="0"/>
              <w:adjustRightInd/>
              <w:snapToGrid/>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3、半年期得分80分及以上，全额支付本半年期运维款项；70-79分，本期运维款支付95%；60-69分，支付本期运维款80%；60分以下可解除合同，不予支付费用并追究损失补偿。</w:t>
            </w:r>
          </w:p>
          <w:p w14:paraId="0D500C1D">
            <w:pPr>
              <w:keepNext w:val="0"/>
              <w:keepLines/>
              <w:pageBreakBefore w:val="0"/>
              <w:widowControl/>
              <w:suppressLineNumbers w:val="0"/>
              <w:kinsoku/>
              <w:wordWrap w:val="0"/>
              <w:overflowPunct/>
              <w:topLinePunct/>
              <w:autoSpaceDE/>
              <w:autoSpaceDN/>
              <w:bidi w:val="0"/>
              <w:adjustRightInd/>
              <w:snapToGrid/>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szCs w:val="21"/>
                <w:highlight w:val="none"/>
              </w:rPr>
              <w:t>4、上半年运维期如有扣款，在下半年运维期考核在85分及以上，可将上半年扣款补上。</w:t>
            </w:r>
          </w:p>
        </w:tc>
      </w:tr>
      <w:tr w14:paraId="52D73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31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CAD64">
            <w:pPr>
              <w:keepNext w:val="0"/>
              <w:keepLines/>
              <w:pageBreakBefore w:val="0"/>
              <w:widowControl/>
              <w:suppressLineNumbers w:val="0"/>
              <w:kinsoku/>
              <w:wordWrap w:val="0"/>
              <w:overflowPunct/>
              <w:topLinePunct/>
              <w:autoSpaceDE/>
              <w:autoSpaceDN/>
              <w:bidi w:val="0"/>
              <w:adjustRightInd/>
              <w:snapToGrid/>
              <w:jc w:val="left"/>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其他要求</w:t>
            </w:r>
          </w:p>
        </w:tc>
        <w:tc>
          <w:tcPr>
            <w:tcW w:w="659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09824">
            <w:pPr>
              <w:keepNext w:val="0"/>
              <w:keepLines/>
              <w:pageBreakBefore w:val="0"/>
              <w:kinsoku/>
              <w:wordWrap w:val="0"/>
              <w:overflowPunct/>
              <w:topLinePunct/>
              <w:autoSpaceDE/>
              <w:autoSpaceDN/>
              <w:bidi w:val="0"/>
              <w:adjustRightInd/>
              <w:snapToGrid/>
              <w:spacing w:line="400" w:lineRule="exact"/>
              <w:ind w:firstLine="420" w:firstLineChars="200"/>
              <w:rPr>
                <w:rFonts w:hint="eastAsia" w:ascii="宋体" w:hAnsi="宋体" w:eastAsia="宋体" w:cs="宋体"/>
                <w:highlight w:val="none"/>
              </w:rPr>
            </w:pPr>
            <w:r>
              <w:rPr>
                <w:rFonts w:hint="eastAsia" w:ascii="宋体" w:hAnsi="宋体" w:eastAsia="宋体" w:cs="宋体"/>
                <w:highlight w:val="none"/>
              </w:rPr>
              <w:t>1、中标供应商需按采购人要求，签订相关保密协议。</w:t>
            </w:r>
          </w:p>
          <w:p w14:paraId="77C242D0">
            <w:pPr>
              <w:keepNext w:val="0"/>
              <w:keepLines/>
              <w:pageBreakBefore w:val="0"/>
              <w:kinsoku/>
              <w:wordWrap w:val="0"/>
              <w:overflowPunct/>
              <w:topLinePunct/>
              <w:autoSpaceDE/>
              <w:autoSpaceDN/>
              <w:bidi w:val="0"/>
              <w:adjustRightInd/>
              <w:snapToGrid/>
              <w:spacing w:line="400" w:lineRule="exact"/>
              <w:ind w:firstLine="420" w:firstLineChars="200"/>
              <w:rPr>
                <w:rFonts w:hint="eastAsia" w:ascii="宋体" w:hAnsi="宋体" w:eastAsia="宋体" w:cs="宋体"/>
                <w:highlight w:val="none"/>
              </w:rPr>
            </w:pPr>
            <w:r>
              <w:rPr>
                <w:rFonts w:hint="eastAsia" w:ascii="宋体" w:hAnsi="宋体" w:eastAsia="宋体" w:cs="宋体"/>
                <w:highlight w:val="none"/>
              </w:rPr>
              <w:t>2、报价必须含以下部分，包括：</w:t>
            </w:r>
          </w:p>
          <w:p w14:paraId="5D2D80DE">
            <w:pPr>
              <w:keepNext w:val="0"/>
              <w:keepLines/>
              <w:pageBreakBefore w:val="0"/>
              <w:kinsoku/>
              <w:wordWrap w:val="0"/>
              <w:overflowPunct/>
              <w:topLinePunct/>
              <w:autoSpaceDE/>
              <w:autoSpaceDN/>
              <w:bidi w:val="0"/>
              <w:adjustRightInd/>
              <w:snapToGrid/>
              <w:spacing w:line="400" w:lineRule="exact"/>
              <w:ind w:firstLine="420" w:firstLineChars="200"/>
              <w:rPr>
                <w:rFonts w:hint="eastAsia" w:ascii="宋体" w:hAnsi="宋体" w:eastAsia="宋体" w:cs="宋体"/>
                <w:highlight w:val="none"/>
              </w:rPr>
            </w:pPr>
            <w:r>
              <w:rPr>
                <w:rFonts w:hint="eastAsia" w:ascii="宋体" w:hAnsi="宋体" w:eastAsia="宋体" w:cs="宋体"/>
                <w:highlight w:val="none"/>
              </w:rPr>
              <w:t>（1）服务的价格；</w:t>
            </w:r>
          </w:p>
          <w:p w14:paraId="198186FC">
            <w:pPr>
              <w:keepNext w:val="0"/>
              <w:keepLines/>
              <w:pageBreakBefore w:val="0"/>
              <w:kinsoku/>
              <w:wordWrap w:val="0"/>
              <w:overflowPunct/>
              <w:topLinePunct/>
              <w:autoSpaceDE/>
              <w:autoSpaceDN/>
              <w:bidi w:val="0"/>
              <w:adjustRightInd/>
              <w:snapToGrid/>
              <w:spacing w:line="400" w:lineRule="exact"/>
              <w:ind w:firstLine="420" w:firstLineChars="200"/>
              <w:rPr>
                <w:rFonts w:hint="eastAsia" w:ascii="宋体" w:hAnsi="宋体" w:eastAsia="宋体" w:cs="宋体"/>
                <w:highlight w:val="none"/>
              </w:rPr>
            </w:pPr>
            <w:r>
              <w:rPr>
                <w:rFonts w:hint="eastAsia" w:ascii="宋体" w:hAnsi="宋体" w:eastAsia="宋体" w:cs="宋体"/>
                <w:highlight w:val="none"/>
              </w:rPr>
              <w:t>（2）必要的保险费用和各项税金；</w:t>
            </w:r>
          </w:p>
          <w:p w14:paraId="1FEC44F5">
            <w:pPr>
              <w:keepNext w:val="0"/>
              <w:keepLines/>
              <w:pageBreakBefore w:val="0"/>
              <w:kinsoku/>
              <w:wordWrap w:val="0"/>
              <w:overflowPunct/>
              <w:topLinePunct/>
              <w:autoSpaceDE/>
              <w:autoSpaceDN/>
              <w:bidi w:val="0"/>
              <w:adjustRightInd/>
              <w:snapToGrid/>
              <w:spacing w:line="400" w:lineRule="exact"/>
              <w:ind w:firstLine="420" w:firstLineChars="200"/>
              <w:rPr>
                <w:rFonts w:hint="eastAsia" w:ascii="宋体" w:hAnsi="宋体" w:eastAsia="宋体" w:cs="宋体"/>
                <w:highlight w:val="none"/>
              </w:rPr>
            </w:pPr>
            <w:r>
              <w:rPr>
                <w:rFonts w:hint="eastAsia" w:ascii="宋体" w:hAnsi="宋体" w:eastAsia="宋体" w:cs="宋体"/>
                <w:highlight w:val="none"/>
              </w:rPr>
              <w:t>（3）其他如运输、装卸、安装、调试、培训、技术支持、售后服务、更新升级等费用。</w:t>
            </w:r>
          </w:p>
          <w:p w14:paraId="513E58EF">
            <w:pPr>
              <w:keepNext w:val="0"/>
              <w:keepLines/>
              <w:pageBreakBefore w:val="0"/>
              <w:kinsoku/>
              <w:wordWrap w:val="0"/>
              <w:overflowPunct/>
              <w:topLinePunct/>
              <w:autoSpaceDE/>
              <w:autoSpaceDN/>
              <w:bidi w:val="0"/>
              <w:adjustRightInd/>
              <w:snapToGrid/>
              <w:spacing w:line="400" w:lineRule="exact"/>
              <w:ind w:firstLine="420" w:firstLineChars="200"/>
              <w:rPr>
                <w:rFonts w:hint="eastAsia" w:ascii="宋体" w:hAnsi="宋体" w:eastAsia="宋体" w:cs="宋体"/>
                <w:highlight w:val="none"/>
              </w:rPr>
            </w:pPr>
            <w:r>
              <w:rPr>
                <w:rFonts w:hint="eastAsia" w:ascii="宋体" w:hAnsi="宋体" w:eastAsia="宋体" w:cs="宋体"/>
                <w:highlight w:val="none"/>
              </w:rPr>
              <w:t>3、供应商应严格遵守《廉洁告知书》的内容，具体内容详见附件</w:t>
            </w:r>
            <w:r>
              <w:rPr>
                <w:rFonts w:hint="eastAsia" w:ascii="宋体" w:hAnsi="宋体" w:eastAsia="宋体" w:cs="宋体"/>
                <w:highlight w:val="none"/>
                <w:lang w:val="en-US" w:eastAsia="zh-CN"/>
              </w:rPr>
              <w:t>1</w:t>
            </w:r>
            <w:r>
              <w:rPr>
                <w:rFonts w:hint="eastAsia" w:ascii="宋体" w:hAnsi="宋体" w:eastAsia="宋体" w:cs="宋体"/>
                <w:highlight w:val="none"/>
              </w:rPr>
              <w:t>。</w:t>
            </w:r>
          </w:p>
          <w:p w14:paraId="41F3E2F7">
            <w:pPr>
              <w:keepNext w:val="0"/>
              <w:keepLines/>
              <w:pageBreakBefore w:val="0"/>
              <w:widowControl/>
              <w:suppressLineNumbers w:val="0"/>
              <w:kinsoku/>
              <w:wordWrap w:val="0"/>
              <w:overflowPunct/>
              <w:topLinePunct/>
              <w:autoSpaceDE/>
              <w:autoSpaceDN/>
              <w:bidi w:val="0"/>
              <w:adjustRightInd/>
              <w:snapToGrid/>
              <w:ind w:firstLine="420" w:firstLineChars="20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highlight w:val="none"/>
              </w:rPr>
              <w:t>▲4、中标供应商应在采购合同签订后30个日历日内按照最高法院下发明传的标准将资源数据、告警数据、应用数据等上报至最高法院平台。供应商须在投标文件中提供数据对接平台建设的承诺函（若签订合同后无法履行承诺函，视为虚假应标）。</w:t>
            </w:r>
          </w:p>
        </w:tc>
      </w:tr>
      <w:tr w14:paraId="2D358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31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C506B">
            <w:pPr>
              <w:keepNext w:val="0"/>
              <w:keepLines/>
              <w:pageBreakBefore w:val="0"/>
              <w:widowControl/>
              <w:suppressLineNumbers w:val="0"/>
              <w:kinsoku/>
              <w:wordWrap w:val="0"/>
              <w:overflowPunct/>
              <w:topLinePunct/>
              <w:autoSpaceDE/>
              <w:autoSpaceDN/>
              <w:bidi w:val="0"/>
              <w:adjustRightInd/>
              <w:snapToGrid/>
              <w:jc w:val="left"/>
              <w:textAlignment w:val="center"/>
              <w:rPr>
                <w:rFonts w:hint="default"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验收要求</w:t>
            </w:r>
          </w:p>
        </w:tc>
        <w:tc>
          <w:tcPr>
            <w:tcW w:w="659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62EF0">
            <w:pPr>
              <w:pStyle w:val="5"/>
              <w:keepNext w:val="0"/>
              <w:keepLines/>
              <w:pageBreakBefore w:val="0"/>
              <w:widowControl/>
              <w:tabs>
                <w:tab w:val="left" w:pos="2155"/>
              </w:tabs>
              <w:kinsoku/>
              <w:wordWrap w:val="0"/>
              <w:overflowPunct/>
              <w:topLinePunct/>
              <w:autoSpaceDE/>
              <w:autoSpaceDN/>
              <w:bidi w:val="0"/>
              <w:adjustRightInd/>
              <w:snapToGrid/>
              <w:spacing w:before="0" w:line="400" w:lineRule="exact"/>
              <w:ind w:left="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1、根据采购需求的要求进行验收。</w:t>
            </w:r>
          </w:p>
          <w:p w14:paraId="511E505B">
            <w:pPr>
              <w:pStyle w:val="5"/>
              <w:keepNext w:val="0"/>
              <w:keepLines/>
              <w:pageBreakBefore w:val="0"/>
              <w:widowControl/>
              <w:tabs>
                <w:tab w:val="left" w:pos="2155"/>
              </w:tabs>
              <w:kinsoku/>
              <w:wordWrap w:val="0"/>
              <w:overflowPunct/>
              <w:topLinePunct/>
              <w:autoSpaceDE/>
              <w:autoSpaceDN/>
              <w:bidi w:val="0"/>
              <w:adjustRightInd/>
              <w:snapToGrid/>
              <w:spacing w:before="0" w:line="400" w:lineRule="exact"/>
              <w:ind w:left="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2、在完成招标要求的维护工作后，维护商可申请项目验收，经采购人同意后，进行运行验收。</w:t>
            </w:r>
          </w:p>
          <w:p w14:paraId="0635DF27">
            <w:pPr>
              <w:pStyle w:val="5"/>
              <w:keepNext w:val="0"/>
              <w:keepLines/>
              <w:pageBreakBefore w:val="0"/>
              <w:widowControl/>
              <w:tabs>
                <w:tab w:val="left" w:pos="2155"/>
              </w:tabs>
              <w:kinsoku/>
              <w:wordWrap w:val="0"/>
              <w:overflowPunct/>
              <w:topLinePunct/>
              <w:autoSpaceDE/>
              <w:autoSpaceDN/>
              <w:bidi w:val="0"/>
              <w:adjustRightInd/>
              <w:snapToGrid/>
              <w:spacing w:before="0" w:line="400" w:lineRule="exact"/>
              <w:ind w:left="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3、在验收前，中标供应商应做好以下工作：</w:t>
            </w:r>
          </w:p>
          <w:p w14:paraId="08236EC2">
            <w:pPr>
              <w:keepNext w:val="0"/>
              <w:keepLines/>
              <w:pageBreakBefore w:val="0"/>
              <w:widowControl/>
              <w:suppressLineNumbers w:val="0"/>
              <w:kinsoku/>
              <w:wordWrap w:val="0"/>
              <w:overflowPunct/>
              <w:topLinePunct/>
              <w:autoSpaceDE/>
              <w:autoSpaceDN/>
              <w:bidi w:val="0"/>
              <w:adjustRightInd/>
              <w:snapToGrid/>
              <w:ind w:firstLine="420" w:firstLineChars="200"/>
              <w:jc w:val="left"/>
              <w:textAlignment w:val="center"/>
              <w:rPr>
                <w:rFonts w:hint="eastAsia" w:ascii="宋体" w:hAnsi="宋体" w:eastAsia="宋体" w:cs="宋体"/>
                <w:highlight w:val="none"/>
              </w:rPr>
            </w:pPr>
            <w:r>
              <w:rPr>
                <w:rFonts w:hint="eastAsia" w:ascii="宋体" w:hAnsi="宋体" w:eastAsia="宋体" w:cs="宋体"/>
                <w:sz w:val="21"/>
                <w:szCs w:val="21"/>
                <w:highlight w:val="none"/>
              </w:rPr>
              <w:t>提供相关运维报告文档，故障处理文档，月度质效报告文档等。所有文档应以书面或电子形式提交采购人。</w:t>
            </w:r>
          </w:p>
        </w:tc>
      </w:tr>
    </w:tbl>
    <w:p w14:paraId="40E875FA">
      <w:pPr>
        <w:pStyle w:val="13"/>
        <w:keepNext w:val="0"/>
        <w:keepLines w:val="0"/>
        <w:pageBreakBefore w:val="0"/>
        <w:kinsoku/>
        <w:overflowPunct/>
        <w:bidi w:val="0"/>
        <w:spacing w:line="360" w:lineRule="auto"/>
        <w:ind w:left="0" w:leftChars="0" w:firstLine="0" w:firstLineChars="0"/>
        <w:rPr>
          <w:rFonts w:hint="default" w:ascii="宋体" w:hAnsi="宋体" w:eastAsia="宋体" w:cs="Times New Roman"/>
          <w:bCs/>
          <w:color w:val="auto"/>
          <w:szCs w:val="21"/>
          <w:lang w:val="en-US" w:eastAsia="zh-CN"/>
        </w:rPr>
      </w:pPr>
    </w:p>
    <w:p w14:paraId="187280C0">
      <w:pPr>
        <w:rPr>
          <w:rFonts w:hint="eastAsia" w:ascii="宋体" w:hAnsi="宋体" w:cs="宋体"/>
          <w:b/>
          <w:bCs/>
          <w:color w:val="auto"/>
          <w:szCs w:val="21"/>
        </w:rPr>
      </w:pPr>
      <w:r>
        <w:rPr>
          <w:rFonts w:hint="eastAsia" w:ascii="宋体" w:hAnsi="宋体" w:cs="宋体"/>
          <w:b/>
          <w:bCs/>
          <w:color w:val="auto"/>
          <w:szCs w:val="21"/>
        </w:rPr>
        <w:br w:type="page"/>
      </w:r>
    </w:p>
    <w:p w14:paraId="00B9C1EC">
      <w:pPr>
        <w:keepNext w:val="0"/>
        <w:keepLines w:val="0"/>
        <w:pageBreakBefore w:val="0"/>
        <w:kinsoku/>
        <w:wordWrap w:val="0"/>
        <w:overflowPunct/>
        <w:bidi w:val="0"/>
        <w:spacing w:line="360" w:lineRule="auto"/>
        <w:outlineLvl w:val="9"/>
        <w:rPr>
          <w:rFonts w:ascii="宋体" w:hAnsi="宋体" w:cs="宋体"/>
          <w:b/>
          <w:bCs/>
          <w:color w:val="auto"/>
          <w:szCs w:val="21"/>
        </w:rPr>
      </w:pPr>
      <w:r>
        <w:rPr>
          <w:rFonts w:hint="eastAsia" w:ascii="宋体" w:hAnsi="宋体" w:cs="宋体"/>
          <w:b/>
          <w:bCs/>
          <w:color w:val="auto"/>
          <w:szCs w:val="21"/>
        </w:rPr>
        <w:t>附件</w:t>
      </w:r>
      <w:r>
        <w:rPr>
          <w:rFonts w:hint="eastAsia" w:ascii="宋体" w:hAnsi="宋体" w:cs="宋体"/>
          <w:b/>
          <w:bCs/>
          <w:color w:val="auto"/>
          <w:szCs w:val="21"/>
          <w:lang w:val="en-US" w:eastAsia="zh-CN"/>
        </w:rPr>
        <w:t>1</w:t>
      </w:r>
      <w:r>
        <w:rPr>
          <w:rFonts w:hint="eastAsia" w:ascii="宋体" w:hAnsi="宋体" w:cs="宋体"/>
          <w:b/>
          <w:bCs/>
          <w:color w:val="auto"/>
          <w:szCs w:val="21"/>
        </w:rPr>
        <w:t>：</w:t>
      </w:r>
    </w:p>
    <w:p w14:paraId="03A60452">
      <w:pPr>
        <w:keepNext w:val="0"/>
        <w:keepLines w:val="0"/>
        <w:pageBreakBefore w:val="0"/>
        <w:kinsoku/>
        <w:overflowPunct/>
        <w:bidi w:val="0"/>
        <w:spacing w:line="360" w:lineRule="auto"/>
        <w:ind w:firstLine="420" w:firstLineChars="200"/>
        <w:rPr>
          <w:rFonts w:ascii="宋体" w:hAnsi="宋体" w:cs="宋体"/>
          <w:b/>
          <w:bCs/>
          <w:color w:val="auto"/>
          <w:szCs w:val="21"/>
        </w:rPr>
      </w:pPr>
      <w:r>
        <w:rPr>
          <w:rFonts w:hint="eastAsia" w:ascii="宋体" w:hAnsi="宋体" w:cs="宋体"/>
          <w:color w:val="auto"/>
          <w:szCs w:val="21"/>
        </w:rPr>
        <w:t>廉洁告知书</w:t>
      </w:r>
      <w:bookmarkStart w:id="32" w:name="_Toc5280"/>
    </w:p>
    <w:p w14:paraId="20933212">
      <w:pPr>
        <w:keepNext w:val="0"/>
        <w:keepLines w:val="0"/>
        <w:pageBreakBefore w:val="0"/>
        <w:kinsoku/>
        <w:overflowPunct/>
        <w:bidi w:val="0"/>
        <w:snapToGrid w:val="0"/>
        <w:spacing w:before="120" w:beforeLines="50" w:after="50" w:line="360" w:lineRule="auto"/>
        <w:ind w:left="420"/>
        <w:jc w:val="center"/>
        <w:outlineLvl w:val="9"/>
        <w:rPr>
          <w:rFonts w:ascii="宋体" w:hAnsi="宋体" w:cs="宋体"/>
          <w:color w:val="auto"/>
          <w:szCs w:val="21"/>
        </w:rPr>
      </w:pPr>
      <w:r>
        <w:rPr>
          <w:rFonts w:hint="eastAsia" w:ascii="宋体" w:hAnsi="宋体" w:cs="宋体"/>
          <w:b/>
          <w:bCs/>
          <w:color w:val="auto"/>
          <w:szCs w:val="21"/>
        </w:rPr>
        <w:t>廉洁告知书</w:t>
      </w:r>
      <w:bookmarkEnd w:id="32"/>
    </w:p>
    <w:p w14:paraId="754273E2">
      <w:pPr>
        <w:keepNext w:val="0"/>
        <w:keepLines w:val="0"/>
        <w:pageBreakBefore w:val="0"/>
        <w:kinsoku/>
        <w:overflowPunct/>
        <w:bidi w:val="0"/>
        <w:spacing w:line="360" w:lineRule="auto"/>
        <w:ind w:firstLine="420" w:firstLineChars="200"/>
        <w:rPr>
          <w:rFonts w:ascii="宋体" w:hAnsi="宋体" w:cs="宋体"/>
          <w:color w:val="auto"/>
          <w:szCs w:val="21"/>
          <w:u w:val="single"/>
        </w:rPr>
      </w:pPr>
      <w:r>
        <w:rPr>
          <w:rFonts w:hint="eastAsia" w:ascii="宋体" w:hAnsi="宋体" w:cs="宋体"/>
          <w:color w:val="auto"/>
          <w:szCs w:val="21"/>
        </w:rPr>
        <w:t>为营造“反对贿赂，公平竞争”的政府采购环境，贵公司在广西壮族自治区高级人民法院</w:t>
      </w:r>
      <w:r>
        <w:rPr>
          <w:rFonts w:hint="eastAsia" w:ascii="宋体" w:hAnsi="宋体" w:cs="宋体"/>
          <w:bCs/>
          <w:color w:val="000000" w:themeColor="text1"/>
          <w:szCs w:val="21"/>
          <w:u w:val="single"/>
          <w:lang w:eastAsia="zh-CN"/>
          <w14:textFill>
            <w14:solidFill>
              <w14:schemeClr w14:val="tx1"/>
            </w14:solidFill>
          </w14:textFill>
        </w:rPr>
        <w:t>2025年度广西数字法院运维服务项目</w:t>
      </w:r>
      <w:r>
        <w:rPr>
          <w:rFonts w:hint="eastAsia" w:ascii="宋体" w:hAnsi="宋体" w:cs="宋体"/>
          <w:color w:val="auto"/>
          <w:szCs w:val="21"/>
        </w:rPr>
        <w:t>的政府采购活动中，要遵守政府采购相关法律法规，做到廉洁自律、诚实守信。现将有关事项告知如下：</w:t>
      </w:r>
    </w:p>
    <w:p w14:paraId="66F3C9B7">
      <w:pPr>
        <w:keepNext w:val="0"/>
        <w:keepLines w:val="0"/>
        <w:pageBreakBefore w:val="0"/>
        <w:kinsoku/>
        <w:overflowPunct/>
        <w:bidi w:val="0"/>
        <w:spacing w:line="360" w:lineRule="auto"/>
        <w:ind w:firstLine="420" w:firstLineChars="200"/>
        <w:rPr>
          <w:rFonts w:ascii="宋体" w:hAnsi="宋体" w:cs="宋体"/>
          <w:color w:val="auto"/>
          <w:szCs w:val="21"/>
        </w:rPr>
      </w:pPr>
      <w:r>
        <w:rPr>
          <w:rFonts w:hint="eastAsia" w:ascii="宋体" w:hAnsi="宋体" w:cs="宋体"/>
          <w:color w:val="auto"/>
          <w:szCs w:val="21"/>
        </w:rPr>
        <w:t>一、严格遵守《中华人民共和国政府采购法》以及相关法律法规，对可能影响政府采购活动公平、公正的情况应当及时向有关部门反映。</w:t>
      </w:r>
    </w:p>
    <w:p w14:paraId="57B29B38">
      <w:pPr>
        <w:keepNext w:val="0"/>
        <w:keepLines w:val="0"/>
        <w:pageBreakBefore w:val="0"/>
        <w:kinsoku/>
        <w:overflowPunct/>
        <w:bidi w:val="0"/>
        <w:spacing w:line="360" w:lineRule="auto"/>
        <w:ind w:firstLine="420" w:firstLineChars="200"/>
        <w:rPr>
          <w:rFonts w:ascii="宋体" w:hAnsi="宋体" w:cs="宋体"/>
          <w:color w:val="auto"/>
          <w:szCs w:val="21"/>
        </w:rPr>
      </w:pPr>
      <w:r>
        <w:rPr>
          <w:rFonts w:hint="eastAsia" w:ascii="宋体" w:hAnsi="宋体" w:cs="宋体"/>
          <w:color w:val="auto"/>
          <w:szCs w:val="21"/>
        </w:rPr>
        <w:t>二、不得与项目相关工作人员单独会谈或者见面，不得邀请项目相关工作人员参加私自安排的宴请或活动。</w:t>
      </w:r>
    </w:p>
    <w:p w14:paraId="27C33A3C">
      <w:pPr>
        <w:keepNext w:val="0"/>
        <w:keepLines w:val="0"/>
        <w:pageBreakBefore w:val="0"/>
        <w:kinsoku/>
        <w:overflowPunct/>
        <w:bidi w:val="0"/>
        <w:spacing w:line="360" w:lineRule="auto"/>
        <w:ind w:firstLine="420" w:firstLineChars="200"/>
        <w:rPr>
          <w:rFonts w:ascii="宋体" w:hAnsi="宋体" w:cs="宋体"/>
          <w:color w:val="auto"/>
          <w:szCs w:val="21"/>
        </w:rPr>
      </w:pPr>
      <w:r>
        <w:rPr>
          <w:rFonts w:hint="eastAsia" w:ascii="宋体" w:hAnsi="宋体" w:cs="宋体"/>
          <w:color w:val="auto"/>
          <w:szCs w:val="21"/>
        </w:rPr>
        <w:t>三、不准向项目相关工作人员就项目的投资评审、采购文件等有关问题进行私下商谈或者达成默契。</w:t>
      </w:r>
    </w:p>
    <w:p w14:paraId="367C5905">
      <w:pPr>
        <w:keepNext w:val="0"/>
        <w:keepLines w:val="0"/>
        <w:pageBreakBefore w:val="0"/>
        <w:kinsoku/>
        <w:overflowPunct/>
        <w:bidi w:val="0"/>
        <w:spacing w:line="360" w:lineRule="auto"/>
        <w:ind w:firstLine="420" w:firstLineChars="200"/>
        <w:rPr>
          <w:rFonts w:ascii="宋体" w:hAnsi="宋体" w:cs="宋体"/>
          <w:color w:val="auto"/>
          <w:szCs w:val="21"/>
        </w:rPr>
      </w:pPr>
      <w:r>
        <w:rPr>
          <w:rFonts w:hint="eastAsia" w:ascii="宋体" w:hAnsi="宋体" w:cs="宋体"/>
          <w:color w:val="auto"/>
          <w:szCs w:val="21"/>
        </w:rPr>
        <w:t>四、不准向项目相关工作人员提供现金、礼券、物品等其他任何好处，不准向项目相关工作人员进行诱贿、威逼利诱、敲诈勒索等行为。</w:t>
      </w:r>
    </w:p>
    <w:p w14:paraId="13BC221A">
      <w:pPr>
        <w:keepNext w:val="0"/>
        <w:keepLines w:val="0"/>
        <w:pageBreakBefore w:val="0"/>
        <w:kinsoku/>
        <w:overflowPunct/>
        <w:bidi w:val="0"/>
        <w:spacing w:line="360" w:lineRule="auto"/>
        <w:ind w:firstLine="420" w:firstLineChars="200"/>
        <w:rPr>
          <w:rFonts w:ascii="宋体" w:hAnsi="宋体" w:cs="宋体"/>
          <w:color w:val="auto"/>
          <w:szCs w:val="21"/>
        </w:rPr>
      </w:pPr>
      <w:r>
        <w:rPr>
          <w:rFonts w:hint="eastAsia" w:ascii="宋体" w:hAnsi="宋体" w:cs="宋体"/>
          <w:color w:val="auto"/>
          <w:szCs w:val="21"/>
        </w:rPr>
        <w:t>五、在参与政府采购活动过程中，应当遵循自愿、平等、公平、诚信原则，不得与项目相关工作人员、其他</w:t>
      </w:r>
      <w:r>
        <w:rPr>
          <w:rFonts w:hint="eastAsia" w:ascii="宋体" w:hAnsi="宋体" w:cs="宋体"/>
          <w:color w:val="auto"/>
          <w:szCs w:val="21"/>
          <w:lang w:eastAsia="zh-CN"/>
        </w:rPr>
        <w:t>投标人</w:t>
      </w:r>
      <w:r>
        <w:rPr>
          <w:rFonts w:hint="eastAsia" w:ascii="宋体" w:hAnsi="宋体" w:cs="宋体"/>
          <w:color w:val="auto"/>
          <w:szCs w:val="21"/>
        </w:rPr>
        <w:t>或者采购代理机构串通，弄虚作假骗取中标（成交）。</w:t>
      </w:r>
    </w:p>
    <w:p w14:paraId="7F3B6833">
      <w:pPr>
        <w:keepNext w:val="0"/>
        <w:keepLines w:val="0"/>
        <w:pageBreakBefore w:val="0"/>
        <w:kinsoku/>
        <w:overflowPunct/>
        <w:bidi w:val="0"/>
        <w:spacing w:line="360" w:lineRule="auto"/>
        <w:ind w:firstLine="420" w:firstLineChars="200"/>
        <w:rPr>
          <w:rFonts w:ascii="宋体" w:hAnsi="宋体" w:cs="宋体"/>
          <w:color w:val="auto"/>
          <w:szCs w:val="21"/>
        </w:rPr>
      </w:pPr>
      <w:r>
        <w:rPr>
          <w:rFonts w:hint="eastAsia" w:ascii="宋体" w:hAnsi="宋体" w:cs="宋体"/>
          <w:color w:val="auto"/>
          <w:szCs w:val="21"/>
        </w:rPr>
        <w:t>六、参与政府采购活动所提供的一切材料真实、准确、完整、合法、有效，并具备独立完成项目的能力，不得以他人名义参与政府采购活动。</w:t>
      </w:r>
    </w:p>
    <w:p w14:paraId="47B23168">
      <w:pPr>
        <w:keepNext w:val="0"/>
        <w:keepLines w:val="0"/>
        <w:pageBreakBefore w:val="0"/>
        <w:kinsoku/>
        <w:overflowPunct/>
        <w:bidi w:val="0"/>
        <w:spacing w:line="360" w:lineRule="auto"/>
        <w:ind w:firstLine="420" w:firstLineChars="200"/>
        <w:rPr>
          <w:rFonts w:ascii="宋体" w:hAnsi="宋体" w:cs="宋体"/>
          <w:color w:val="auto"/>
          <w:szCs w:val="21"/>
        </w:rPr>
      </w:pPr>
      <w:r>
        <w:rPr>
          <w:rFonts w:hint="eastAsia" w:ascii="宋体" w:hAnsi="宋体" w:cs="宋体"/>
          <w:color w:val="auto"/>
          <w:szCs w:val="21"/>
        </w:rPr>
        <w:t>七、严格执行政府采购合同管理规定，不将中标（成交）项目转包分包，从中谋取利益，不得以明示或者暗示的方式承诺给予项目相关工作人员回扣或其他利益。</w:t>
      </w:r>
    </w:p>
    <w:p w14:paraId="7A6311A4">
      <w:pPr>
        <w:keepNext w:val="0"/>
        <w:keepLines w:val="0"/>
        <w:pageBreakBefore w:val="0"/>
        <w:kinsoku/>
        <w:overflowPunct/>
        <w:bidi w:val="0"/>
        <w:spacing w:line="360" w:lineRule="auto"/>
        <w:ind w:firstLine="420" w:firstLineChars="200"/>
        <w:rPr>
          <w:rFonts w:ascii="宋体" w:hAnsi="宋体" w:cs="宋体"/>
          <w:color w:val="auto"/>
          <w:szCs w:val="21"/>
        </w:rPr>
      </w:pPr>
      <w:r>
        <w:rPr>
          <w:rFonts w:hint="eastAsia" w:ascii="宋体" w:hAnsi="宋体" w:cs="宋体"/>
          <w:color w:val="auto"/>
          <w:szCs w:val="21"/>
        </w:rPr>
        <w:t>八、在政府采购活动中不得以低于成本价中标，不准恶意质疑和投诉。</w:t>
      </w:r>
    </w:p>
    <w:p w14:paraId="34AA00B8">
      <w:pPr>
        <w:keepNext w:val="0"/>
        <w:keepLines w:val="0"/>
        <w:pageBreakBefore w:val="0"/>
        <w:kinsoku/>
        <w:overflowPunct/>
        <w:bidi w:val="0"/>
        <w:spacing w:line="360" w:lineRule="auto"/>
        <w:ind w:firstLine="420" w:firstLineChars="200"/>
        <w:rPr>
          <w:rFonts w:ascii="宋体" w:hAnsi="宋体" w:cs="宋体"/>
          <w:color w:val="auto"/>
          <w:szCs w:val="21"/>
        </w:rPr>
      </w:pPr>
      <w:r>
        <w:rPr>
          <w:rFonts w:hint="eastAsia" w:ascii="宋体" w:hAnsi="宋体" w:cs="宋体"/>
          <w:color w:val="auto"/>
          <w:szCs w:val="21"/>
        </w:rPr>
        <w:t>请严格遵守以上告知事项，如在政府采购过程中发现有违反上述情况的行为时，应坚决抵制，坚决同不正之风作斗争。</w:t>
      </w:r>
    </w:p>
    <w:p w14:paraId="299ED208">
      <w:pPr>
        <w:pStyle w:val="13"/>
        <w:keepNext w:val="0"/>
        <w:keepLines w:val="0"/>
        <w:pageBreakBefore w:val="0"/>
        <w:kinsoku/>
        <w:overflowPunct/>
        <w:bidi w:val="0"/>
        <w:spacing w:line="360" w:lineRule="auto"/>
        <w:rPr>
          <w:rFonts w:ascii="宋体" w:hAnsi="宋体" w:cs="宋体"/>
          <w:color w:val="auto"/>
          <w:szCs w:val="21"/>
        </w:rPr>
      </w:pPr>
    </w:p>
    <w:p w14:paraId="55D6EF81">
      <w:pPr>
        <w:keepNext w:val="0"/>
        <w:keepLines w:val="0"/>
        <w:pageBreakBefore w:val="0"/>
        <w:kinsoku/>
        <w:overflowPunct/>
        <w:bidi w:val="0"/>
        <w:spacing w:line="360" w:lineRule="auto"/>
        <w:ind w:firstLine="3360" w:firstLineChars="1600"/>
        <w:jc w:val="right"/>
        <w:rPr>
          <w:rFonts w:ascii="宋体" w:hAnsi="宋体" w:cs="宋体"/>
          <w:color w:val="auto"/>
          <w:szCs w:val="21"/>
        </w:rPr>
      </w:pPr>
      <w:r>
        <w:rPr>
          <w:rFonts w:hint="eastAsia" w:ascii="宋体" w:hAnsi="宋体" w:cs="宋体"/>
          <w:color w:val="auto"/>
          <w:szCs w:val="21"/>
        </w:rPr>
        <w:t>联系单位：广西壮族自治区高级人民法院</w:t>
      </w:r>
    </w:p>
    <w:p w14:paraId="19FF3EA7">
      <w:pPr>
        <w:keepNext w:val="0"/>
        <w:keepLines w:val="0"/>
        <w:pageBreakBefore w:val="0"/>
        <w:kinsoku/>
        <w:overflowPunct/>
        <w:bidi w:val="0"/>
        <w:spacing w:line="360" w:lineRule="auto"/>
        <w:ind w:firstLine="3360" w:firstLineChars="1600"/>
        <w:jc w:val="right"/>
        <w:rPr>
          <w:rFonts w:ascii="宋体" w:hAnsi="宋体" w:cs="宋体"/>
          <w:color w:val="auto"/>
          <w:szCs w:val="21"/>
        </w:rPr>
      </w:pPr>
      <w:r>
        <w:rPr>
          <w:rFonts w:hint="eastAsia" w:ascii="宋体" w:hAnsi="宋体" w:cs="宋体"/>
          <w:color w:val="auto"/>
          <w:szCs w:val="21"/>
        </w:rPr>
        <w:t>联系电话：0771-5788133</w:t>
      </w:r>
    </w:p>
    <w:p w14:paraId="40681CA9">
      <w:pPr>
        <w:pStyle w:val="13"/>
        <w:keepNext w:val="0"/>
        <w:keepLines w:val="0"/>
        <w:pageBreakBefore w:val="0"/>
        <w:kinsoku/>
        <w:overflowPunct/>
        <w:bidi w:val="0"/>
        <w:spacing w:line="360" w:lineRule="auto"/>
        <w:ind w:left="0" w:leftChars="0" w:firstLine="0" w:firstLineChars="0"/>
        <w:jc w:val="right"/>
        <w:rPr>
          <w:rFonts w:hint="eastAsia" w:ascii="宋体" w:hAnsi="宋体" w:cs="宋体"/>
          <w:b/>
          <w:bCs/>
          <w:color w:val="auto"/>
          <w:sz w:val="32"/>
          <w:szCs w:val="32"/>
        </w:rPr>
      </w:pPr>
      <w:r>
        <w:rPr>
          <w:rFonts w:hint="eastAsia" w:ascii="宋体" w:hAnsi="宋体" w:cs="宋体"/>
          <w:color w:val="auto"/>
          <w:szCs w:val="21"/>
        </w:rPr>
        <w:t>联系地址：南宁市青秀区民族大道121号</w:t>
      </w:r>
    </w:p>
    <w:p w14:paraId="20F9E9FD">
      <w:pPr>
        <w:keepNext w:val="0"/>
        <w:keepLines w:val="0"/>
        <w:pageBreakBefore w:val="0"/>
        <w:kinsoku/>
        <w:overflowPunct/>
        <w:bidi w:val="0"/>
        <w:spacing w:line="360" w:lineRule="auto"/>
        <w:rPr>
          <w:rFonts w:hint="eastAsia" w:ascii="宋体" w:hAnsi="宋体" w:cs="宋体"/>
          <w:b/>
          <w:bCs/>
          <w:color w:val="auto"/>
          <w:sz w:val="32"/>
          <w:szCs w:val="32"/>
        </w:rPr>
      </w:pPr>
      <w:r>
        <w:rPr>
          <w:rFonts w:hint="eastAsia" w:ascii="宋体" w:hAnsi="宋体" w:cs="宋体"/>
          <w:b/>
          <w:bCs/>
          <w:color w:val="auto"/>
          <w:sz w:val="32"/>
          <w:szCs w:val="32"/>
        </w:rPr>
        <w:br w:type="page"/>
      </w:r>
    </w:p>
    <w:p w14:paraId="18D7EE45">
      <w:pPr>
        <w:keepNext w:val="0"/>
        <w:keepLines w:val="0"/>
        <w:pageBreakBefore w:val="0"/>
        <w:shd w:val="clear" w:color="auto" w:fill="auto"/>
        <w:kinsoku/>
        <w:overflowPunct/>
        <w:bidi w:val="0"/>
        <w:spacing w:line="360" w:lineRule="auto"/>
        <w:rPr>
          <w:rFonts w:hint="eastAsia" w:ascii="宋体" w:hAnsi="宋体" w:eastAsia="宋体" w:cs="宋体"/>
          <w:color w:val="auto"/>
          <w:sz w:val="32"/>
          <w:szCs w:val="32"/>
          <w:highlight w:val="none"/>
          <w:shd w:val="clear" w:color="auto" w:fill="auto"/>
        </w:rPr>
      </w:pPr>
      <w:r>
        <w:rPr>
          <w:rFonts w:hint="eastAsia" w:ascii="宋体" w:hAnsi="宋体" w:eastAsia="宋体" w:cs="宋体"/>
          <w:color w:val="auto"/>
          <w:sz w:val="32"/>
          <w:szCs w:val="32"/>
          <w:highlight w:val="none"/>
          <w:shd w:val="clear" w:color="auto" w:fill="auto"/>
        </w:rPr>
        <w:t>附件</w:t>
      </w:r>
      <w:r>
        <w:rPr>
          <w:rFonts w:hint="eastAsia" w:ascii="宋体" w:hAnsi="宋体" w:cs="宋体"/>
          <w:color w:val="auto"/>
          <w:sz w:val="32"/>
          <w:szCs w:val="32"/>
          <w:highlight w:val="none"/>
          <w:shd w:val="clear" w:color="auto" w:fill="auto"/>
          <w:lang w:val="en-US" w:eastAsia="zh-CN"/>
        </w:rPr>
        <w:t>2</w:t>
      </w:r>
      <w:r>
        <w:rPr>
          <w:rFonts w:hint="eastAsia" w:ascii="宋体" w:hAnsi="宋体" w:eastAsia="宋体" w:cs="宋体"/>
          <w:color w:val="auto"/>
          <w:sz w:val="32"/>
          <w:szCs w:val="32"/>
          <w:highlight w:val="none"/>
          <w:shd w:val="clear" w:color="auto" w:fill="auto"/>
        </w:rPr>
        <w:t>：</w:t>
      </w:r>
    </w:p>
    <w:p w14:paraId="08AF1733">
      <w:pPr>
        <w:keepNext w:val="0"/>
        <w:keepLines w:val="0"/>
        <w:pageBreakBefore w:val="0"/>
        <w:shd w:val="clear" w:color="auto" w:fill="auto"/>
        <w:kinsoku/>
        <w:overflowPunct/>
        <w:bidi w:val="0"/>
        <w:spacing w:before="7" w:line="360" w:lineRule="auto"/>
        <w:rPr>
          <w:rFonts w:hint="eastAsia" w:ascii="宋体" w:hAnsi="宋体" w:eastAsia="宋体" w:cs="宋体"/>
          <w:color w:val="auto"/>
          <w:sz w:val="32"/>
          <w:szCs w:val="32"/>
          <w:highlight w:val="none"/>
          <w:shd w:val="clear" w:color="auto" w:fill="auto"/>
        </w:rPr>
      </w:pPr>
    </w:p>
    <w:p w14:paraId="277D8590">
      <w:pPr>
        <w:keepNext w:val="0"/>
        <w:keepLines w:val="0"/>
        <w:pageBreakBefore w:val="0"/>
        <w:shd w:val="clear" w:color="auto" w:fill="auto"/>
        <w:kinsoku/>
        <w:overflowPunct/>
        <w:bidi w:val="0"/>
        <w:spacing w:line="360" w:lineRule="auto"/>
        <w:ind w:left="1871"/>
        <w:rPr>
          <w:rFonts w:hint="eastAsia" w:ascii="宋体" w:hAnsi="宋体" w:eastAsia="宋体" w:cs="宋体"/>
          <w:color w:val="auto"/>
          <w:sz w:val="32"/>
          <w:szCs w:val="32"/>
          <w:highlight w:val="none"/>
          <w:shd w:val="clear" w:color="auto" w:fill="auto"/>
        </w:rPr>
      </w:pPr>
      <w:r>
        <w:rPr>
          <w:rFonts w:hint="eastAsia" w:ascii="宋体" w:hAnsi="宋体" w:eastAsia="宋体" w:cs="宋体"/>
          <w:color w:val="auto"/>
          <w:sz w:val="32"/>
          <w:szCs w:val="32"/>
          <w:highlight w:val="none"/>
          <w:shd w:val="clear" w:color="auto" w:fill="auto"/>
        </w:rPr>
        <w:t>节能产品政府采购品目清单</w:t>
      </w:r>
    </w:p>
    <w:tbl>
      <w:tblPr>
        <w:tblStyle w:val="25"/>
        <w:tblpPr w:leftFromText="180" w:rightFromText="180" w:vertAnchor="text" w:horzAnchor="page" w:tblpX="962" w:tblpY="1721"/>
        <w:tblOverlap w:val="never"/>
        <w:tblW w:w="9852" w:type="dxa"/>
        <w:tblInd w:w="0" w:type="dxa"/>
        <w:tblLayout w:type="fixed"/>
        <w:tblCellMar>
          <w:top w:w="0" w:type="dxa"/>
          <w:left w:w="108" w:type="dxa"/>
          <w:bottom w:w="0" w:type="dxa"/>
          <w:right w:w="108" w:type="dxa"/>
        </w:tblCellMar>
      </w:tblPr>
      <w:tblGrid>
        <w:gridCol w:w="715"/>
        <w:gridCol w:w="1352"/>
        <w:gridCol w:w="1632"/>
        <w:gridCol w:w="1607"/>
        <w:gridCol w:w="4546"/>
      </w:tblGrid>
      <w:tr w14:paraId="64576291">
        <w:tblPrEx>
          <w:tblCellMar>
            <w:top w:w="0" w:type="dxa"/>
            <w:left w:w="108" w:type="dxa"/>
            <w:bottom w:w="0" w:type="dxa"/>
            <w:right w:w="108" w:type="dxa"/>
          </w:tblCellMar>
        </w:tblPrEx>
        <w:trPr>
          <w:trHeight w:val="555" w:hRule="atLeast"/>
        </w:trPr>
        <w:tc>
          <w:tcPr>
            <w:tcW w:w="715" w:type="dxa"/>
            <w:tcBorders>
              <w:top w:val="single" w:color="000000" w:sz="8" w:space="0"/>
              <w:left w:val="single" w:color="000000" w:sz="8" w:space="0"/>
              <w:bottom w:val="single" w:color="000000" w:sz="8" w:space="0"/>
              <w:right w:val="single" w:color="000000" w:sz="8" w:space="0"/>
            </w:tcBorders>
            <w:vAlign w:val="top"/>
          </w:tcPr>
          <w:p w14:paraId="1A487EF2">
            <w:pPr>
              <w:keepNext w:val="0"/>
              <w:keepLines w:val="0"/>
              <w:pageBreakBefore w:val="0"/>
              <w:widowControl/>
              <w:shd w:val="clear" w:color="auto" w:fill="auto"/>
              <w:kinsoku/>
              <w:overflowPunct/>
              <w:bidi w:val="0"/>
              <w:spacing w:line="360" w:lineRule="auto"/>
              <w:jc w:val="center"/>
              <w:rPr>
                <w:rFonts w:hint="eastAsia" w:ascii="宋体" w:hAnsi="宋体" w:eastAsia="宋体" w:cs="宋体"/>
                <w:b/>
                <w:bCs/>
                <w:color w:val="auto"/>
                <w:kern w:val="0"/>
                <w:sz w:val="21"/>
                <w:szCs w:val="21"/>
                <w:highlight w:val="none"/>
                <w:shd w:val="clear" w:color="auto" w:fill="auto"/>
              </w:rPr>
            </w:pPr>
            <w:r>
              <w:rPr>
                <w:rFonts w:hint="eastAsia" w:ascii="宋体" w:hAnsi="宋体" w:eastAsia="宋体" w:cs="宋体"/>
                <w:b/>
                <w:bCs/>
                <w:color w:val="auto"/>
                <w:kern w:val="0"/>
                <w:sz w:val="21"/>
                <w:szCs w:val="21"/>
                <w:highlight w:val="none"/>
                <w:shd w:val="clear" w:color="auto" w:fill="auto"/>
              </w:rPr>
              <w:t>品目序号</w:t>
            </w:r>
          </w:p>
        </w:tc>
        <w:tc>
          <w:tcPr>
            <w:tcW w:w="4591" w:type="dxa"/>
            <w:gridSpan w:val="3"/>
            <w:tcBorders>
              <w:top w:val="single" w:color="000000" w:sz="8" w:space="0"/>
              <w:left w:val="nil"/>
              <w:bottom w:val="single" w:color="000000" w:sz="8" w:space="0"/>
              <w:right w:val="single" w:color="000000" w:sz="8" w:space="0"/>
            </w:tcBorders>
            <w:vAlign w:val="center"/>
          </w:tcPr>
          <w:p w14:paraId="378D1139">
            <w:pPr>
              <w:keepNext w:val="0"/>
              <w:keepLines w:val="0"/>
              <w:pageBreakBefore w:val="0"/>
              <w:widowControl/>
              <w:shd w:val="clear" w:color="auto" w:fill="auto"/>
              <w:kinsoku/>
              <w:overflowPunct/>
              <w:bidi w:val="0"/>
              <w:spacing w:line="360" w:lineRule="auto"/>
              <w:jc w:val="center"/>
              <w:rPr>
                <w:rFonts w:hint="eastAsia" w:ascii="宋体" w:hAnsi="宋体" w:eastAsia="宋体" w:cs="宋体"/>
                <w:b/>
                <w:bCs/>
                <w:color w:val="auto"/>
                <w:kern w:val="0"/>
                <w:sz w:val="21"/>
                <w:szCs w:val="21"/>
                <w:highlight w:val="none"/>
                <w:shd w:val="clear" w:color="auto" w:fill="auto"/>
              </w:rPr>
            </w:pPr>
            <w:r>
              <w:rPr>
                <w:rFonts w:hint="eastAsia" w:ascii="宋体" w:hAnsi="宋体" w:eastAsia="宋体" w:cs="宋体"/>
                <w:b/>
                <w:bCs/>
                <w:color w:val="auto"/>
                <w:kern w:val="0"/>
                <w:sz w:val="21"/>
                <w:szCs w:val="21"/>
                <w:highlight w:val="none"/>
                <w:shd w:val="clear" w:color="auto" w:fill="auto"/>
              </w:rPr>
              <w:t>名称</w:t>
            </w:r>
          </w:p>
        </w:tc>
        <w:tc>
          <w:tcPr>
            <w:tcW w:w="4546" w:type="dxa"/>
            <w:tcBorders>
              <w:top w:val="single" w:color="000000" w:sz="8" w:space="0"/>
              <w:left w:val="nil"/>
              <w:bottom w:val="single" w:color="000000" w:sz="8" w:space="0"/>
              <w:right w:val="single" w:color="000000" w:sz="8" w:space="0"/>
            </w:tcBorders>
            <w:vAlign w:val="center"/>
          </w:tcPr>
          <w:p w14:paraId="63F0A437">
            <w:pPr>
              <w:keepNext w:val="0"/>
              <w:keepLines w:val="0"/>
              <w:pageBreakBefore w:val="0"/>
              <w:widowControl/>
              <w:shd w:val="clear" w:color="auto" w:fill="auto"/>
              <w:kinsoku/>
              <w:overflowPunct/>
              <w:bidi w:val="0"/>
              <w:spacing w:line="360" w:lineRule="auto"/>
              <w:jc w:val="center"/>
              <w:rPr>
                <w:rFonts w:hint="eastAsia" w:ascii="宋体" w:hAnsi="宋体" w:eastAsia="宋体" w:cs="宋体"/>
                <w:b/>
                <w:bCs/>
                <w:color w:val="auto"/>
                <w:kern w:val="0"/>
                <w:sz w:val="21"/>
                <w:szCs w:val="21"/>
                <w:highlight w:val="none"/>
                <w:shd w:val="clear" w:color="auto" w:fill="auto"/>
              </w:rPr>
            </w:pPr>
            <w:r>
              <w:rPr>
                <w:rFonts w:hint="eastAsia" w:ascii="宋体" w:hAnsi="宋体" w:eastAsia="宋体" w:cs="宋体"/>
                <w:b/>
                <w:bCs/>
                <w:color w:val="auto"/>
                <w:kern w:val="0"/>
                <w:sz w:val="21"/>
                <w:szCs w:val="21"/>
                <w:highlight w:val="none"/>
                <w:shd w:val="clear" w:color="auto" w:fill="auto"/>
              </w:rPr>
              <w:t>依据的标准</w:t>
            </w:r>
          </w:p>
        </w:tc>
      </w:tr>
      <w:tr w14:paraId="0A450FCC">
        <w:tblPrEx>
          <w:tblCellMar>
            <w:top w:w="0" w:type="dxa"/>
            <w:left w:w="108" w:type="dxa"/>
            <w:bottom w:w="0" w:type="dxa"/>
            <w:right w:w="108" w:type="dxa"/>
          </w:tblCellMar>
        </w:tblPrEx>
        <w:trPr>
          <w:trHeight w:val="495" w:hRule="atLeast"/>
        </w:trPr>
        <w:tc>
          <w:tcPr>
            <w:tcW w:w="715" w:type="dxa"/>
            <w:vMerge w:val="restart"/>
            <w:tcBorders>
              <w:top w:val="nil"/>
              <w:left w:val="single" w:color="000000" w:sz="8" w:space="0"/>
              <w:bottom w:val="single" w:color="000000" w:sz="8" w:space="0"/>
              <w:right w:val="single" w:color="000000" w:sz="8" w:space="0"/>
            </w:tcBorders>
            <w:vAlign w:val="center"/>
          </w:tcPr>
          <w:p w14:paraId="06CF1756">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w:t>
            </w:r>
          </w:p>
        </w:tc>
        <w:tc>
          <w:tcPr>
            <w:tcW w:w="1352" w:type="dxa"/>
            <w:vMerge w:val="restart"/>
            <w:tcBorders>
              <w:top w:val="nil"/>
              <w:left w:val="single" w:color="000000" w:sz="8" w:space="0"/>
              <w:bottom w:val="single" w:color="000000" w:sz="8" w:space="0"/>
              <w:right w:val="single" w:color="000000" w:sz="8" w:space="0"/>
            </w:tcBorders>
            <w:vAlign w:val="center"/>
          </w:tcPr>
          <w:p w14:paraId="5799905D">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A020101计算机设备</w:t>
            </w:r>
          </w:p>
        </w:tc>
        <w:tc>
          <w:tcPr>
            <w:tcW w:w="1632" w:type="dxa"/>
            <w:tcBorders>
              <w:top w:val="nil"/>
              <w:left w:val="nil"/>
              <w:bottom w:val="single" w:color="000000" w:sz="8" w:space="0"/>
              <w:right w:val="single" w:color="000000" w:sz="8" w:space="0"/>
            </w:tcBorders>
            <w:vAlign w:val="center"/>
          </w:tcPr>
          <w:p w14:paraId="68A381D2">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★A02010104台式计算机</w:t>
            </w:r>
          </w:p>
        </w:tc>
        <w:tc>
          <w:tcPr>
            <w:tcW w:w="1607" w:type="dxa"/>
            <w:tcBorders>
              <w:top w:val="nil"/>
              <w:left w:val="nil"/>
              <w:bottom w:val="single" w:color="000000" w:sz="8" w:space="0"/>
              <w:right w:val="single" w:color="000000" w:sz="8" w:space="0"/>
            </w:tcBorders>
            <w:vAlign w:val="center"/>
          </w:tcPr>
          <w:p w14:paraId="356BB0E2">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　</w:t>
            </w:r>
          </w:p>
        </w:tc>
        <w:tc>
          <w:tcPr>
            <w:tcW w:w="4546" w:type="dxa"/>
            <w:tcBorders>
              <w:top w:val="nil"/>
              <w:left w:val="nil"/>
              <w:bottom w:val="single" w:color="000000" w:sz="8" w:space="0"/>
              <w:right w:val="single" w:color="000000" w:sz="8" w:space="0"/>
            </w:tcBorders>
            <w:vAlign w:val="center"/>
          </w:tcPr>
          <w:p w14:paraId="65B5F25A">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《微型计算机能效限定值及能效等级》（GB28380）</w:t>
            </w:r>
          </w:p>
        </w:tc>
      </w:tr>
      <w:tr w14:paraId="1B8E2900">
        <w:tblPrEx>
          <w:tblCellMar>
            <w:top w:w="0" w:type="dxa"/>
            <w:left w:w="108" w:type="dxa"/>
            <w:bottom w:w="0" w:type="dxa"/>
            <w:right w:w="108" w:type="dxa"/>
          </w:tblCellMar>
        </w:tblPrEx>
        <w:trPr>
          <w:trHeight w:val="495" w:hRule="atLeast"/>
        </w:trPr>
        <w:tc>
          <w:tcPr>
            <w:tcW w:w="715" w:type="dxa"/>
            <w:vMerge w:val="continue"/>
            <w:tcBorders>
              <w:top w:val="nil"/>
              <w:left w:val="single" w:color="000000" w:sz="8" w:space="0"/>
              <w:bottom w:val="single" w:color="000000" w:sz="8" w:space="0"/>
              <w:right w:val="single" w:color="000000" w:sz="8" w:space="0"/>
            </w:tcBorders>
            <w:vAlign w:val="center"/>
          </w:tcPr>
          <w:p w14:paraId="527A5ECA">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p>
        </w:tc>
        <w:tc>
          <w:tcPr>
            <w:tcW w:w="1352" w:type="dxa"/>
            <w:vMerge w:val="continue"/>
            <w:tcBorders>
              <w:top w:val="nil"/>
              <w:left w:val="single" w:color="000000" w:sz="8" w:space="0"/>
              <w:bottom w:val="single" w:color="000000" w:sz="8" w:space="0"/>
              <w:right w:val="single" w:color="000000" w:sz="8" w:space="0"/>
            </w:tcBorders>
            <w:vAlign w:val="center"/>
          </w:tcPr>
          <w:p w14:paraId="05B88D26">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p>
        </w:tc>
        <w:tc>
          <w:tcPr>
            <w:tcW w:w="1632" w:type="dxa"/>
            <w:tcBorders>
              <w:top w:val="nil"/>
              <w:left w:val="nil"/>
              <w:bottom w:val="single" w:color="000000" w:sz="8" w:space="0"/>
              <w:right w:val="single" w:color="000000" w:sz="8" w:space="0"/>
            </w:tcBorders>
            <w:vAlign w:val="center"/>
          </w:tcPr>
          <w:p w14:paraId="13A07A69">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★A02010105便携式计算机</w:t>
            </w:r>
          </w:p>
        </w:tc>
        <w:tc>
          <w:tcPr>
            <w:tcW w:w="1607" w:type="dxa"/>
            <w:tcBorders>
              <w:top w:val="nil"/>
              <w:left w:val="nil"/>
              <w:bottom w:val="single" w:color="000000" w:sz="8" w:space="0"/>
              <w:right w:val="single" w:color="000000" w:sz="8" w:space="0"/>
            </w:tcBorders>
            <w:vAlign w:val="center"/>
          </w:tcPr>
          <w:p w14:paraId="3AFE1292">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　</w:t>
            </w:r>
          </w:p>
        </w:tc>
        <w:tc>
          <w:tcPr>
            <w:tcW w:w="4546" w:type="dxa"/>
            <w:tcBorders>
              <w:top w:val="nil"/>
              <w:left w:val="nil"/>
              <w:bottom w:val="single" w:color="000000" w:sz="8" w:space="0"/>
              <w:right w:val="single" w:color="000000" w:sz="8" w:space="0"/>
            </w:tcBorders>
            <w:vAlign w:val="center"/>
          </w:tcPr>
          <w:p w14:paraId="2BCC6DA7">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《微型计算机能效限定值及能效等级》（GB28380）</w:t>
            </w:r>
          </w:p>
        </w:tc>
      </w:tr>
      <w:tr w14:paraId="2CD21302">
        <w:tblPrEx>
          <w:tblCellMar>
            <w:top w:w="0" w:type="dxa"/>
            <w:left w:w="108" w:type="dxa"/>
            <w:bottom w:w="0" w:type="dxa"/>
            <w:right w:w="108" w:type="dxa"/>
          </w:tblCellMar>
        </w:tblPrEx>
        <w:trPr>
          <w:trHeight w:val="735" w:hRule="atLeast"/>
        </w:trPr>
        <w:tc>
          <w:tcPr>
            <w:tcW w:w="715" w:type="dxa"/>
            <w:vMerge w:val="continue"/>
            <w:tcBorders>
              <w:top w:val="nil"/>
              <w:left w:val="single" w:color="000000" w:sz="8" w:space="0"/>
              <w:bottom w:val="single" w:color="000000" w:sz="8" w:space="0"/>
              <w:right w:val="single" w:color="000000" w:sz="8" w:space="0"/>
            </w:tcBorders>
            <w:vAlign w:val="center"/>
          </w:tcPr>
          <w:p w14:paraId="216D001F">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p>
        </w:tc>
        <w:tc>
          <w:tcPr>
            <w:tcW w:w="1352" w:type="dxa"/>
            <w:vMerge w:val="continue"/>
            <w:tcBorders>
              <w:top w:val="nil"/>
              <w:left w:val="single" w:color="000000" w:sz="8" w:space="0"/>
              <w:bottom w:val="single" w:color="000000" w:sz="8" w:space="0"/>
              <w:right w:val="single" w:color="000000" w:sz="8" w:space="0"/>
            </w:tcBorders>
            <w:vAlign w:val="center"/>
          </w:tcPr>
          <w:p w14:paraId="70D0F151">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p>
        </w:tc>
        <w:tc>
          <w:tcPr>
            <w:tcW w:w="1632" w:type="dxa"/>
            <w:tcBorders>
              <w:top w:val="nil"/>
              <w:left w:val="nil"/>
              <w:bottom w:val="single" w:color="000000" w:sz="8" w:space="0"/>
              <w:right w:val="single" w:color="000000" w:sz="8" w:space="0"/>
            </w:tcBorders>
            <w:vAlign w:val="center"/>
          </w:tcPr>
          <w:p w14:paraId="7FDB6DDA">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★A02010107平板式微型计算机</w:t>
            </w:r>
          </w:p>
        </w:tc>
        <w:tc>
          <w:tcPr>
            <w:tcW w:w="1607" w:type="dxa"/>
            <w:tcBorders>
              <w:top w:val="nil"/>
              <w:left w:val="nil"/>
              <w:bottom w:val="single" w:color="000000" w:sz="8" w:space="0"/>
              <w:right w:val="single" w:color="000000" w:sz="8" w:space="0"/>
            </w:tcBorders>
            <w:vAlign w:val="center"/>
          </w:tcPr>
          <w:p w14:paraId="75C829E0">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　</w:t>
            </w:r>
          </w:p>
        </w:tc>
        <w:tc>
          <w:tcPr>
            <w:tcW w:w="4546" w:type="dxa"/>
            <w:tcBorders>
              <w:top w:val="nil"/>
              <w:left w:val="nil"/>
              <w:bottom w:val="single" w:color="000000" w:sz="8" w:space="0"/>
              <w:right w:val="single" w:color="000000" w:sz="8" w:space="0"/>
            </w:tcBorders>
            <w:vAlign w:val="center"/>
          </w:tcPr>
          <w:p w14:paraId="1B206717">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《微型计算机能效限定值及能效等级》（GB28380）</w:t>
            </w:r>
          </w:p>
        </w:tc>
      </w:tr>
      <w:tr w14:paraId="2B21ECF6">
        <w:tblPrEx>
          <w:tblCellMar>
            <w:top w:w="0" w:type="dxa"/>
            <w:left w:w="108" w:type="dxa"/>
            <w:bottom w:w="0" w:type="dxa"/>
            <w:right w:w="108" w:type="dxa"/>
          </w:tblCellMar>
        </w:tblPrEx>
        <w:trPr>
          <w:trHeight w:val="495" w:hRule="atLeast"/>
        </w:trPr>
        <w:tc>
          <w:tcPr>
            <w:tcW w:w="715" w:type="dxa"/>
            <w:vMerge w:val="restart"/>
            <w:tcBorders>
              <w:top w:val="nil"/>
              <w:left w:val="single" w:color="000000" w:sz="8" w:space="0"/>
              <w:bottom w:val="single" w:color="000000" w:sz="8" w:space="0"/>
              <w:right w:val="single" w:color="000000" w:sz="8" w:space="0"/>
            </w:tcBorders>
            <w:vAlign w:val="center"/>
          </w:tcPr>
          <w:p w14:paraId="44ABFC9B">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w:t>
            </w:r>
          </w:p>
        </w:tc>
        <w:tc>
          <w:tcPr>
            <w:tcW w:w="1352" w:type="dxa"/>
            <w:vMerge w:val="restart"/>
            <w:tcBorders>
              <w:top w:val="nil"/>
              <w:left w:val="single" w:color="000000" w:sz="8" w:space="0"/>
              <w:bottom w:val="single" w:color="000000" w:sz="8" w:space="0"/>
              <w:right w:val="single" w:color="000000" w:sz="8" w:space="0"/>
            </w:tcBorders>
            <w:vAlign w:val="center"/>
          </w:tcPr>
          <w:p w14:paraId="2FE75841">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A020106输入输出设备</w:t>
            </w:r>
          </w:p>
        </w:tc>
        <w:tc>
          <w:tcPr>
            <w:tcW w:w="1632" w:type="dxa"/>
            <w:vMerge w:val="restart"/>
            <w:tcBorders>
              <w:top w:val="nil"/>
              <w:left w:val="single" w:color="000000" w:sz="8" w:space="0"/>
              <w:bottom w:val="single" w:color="000000" w:sz="8" w:space="0"/>
              <w:right w:val="single" w:color="000000" w:sz="8" w:space="0"/>
            </w:tcBorders>
            <w:vAlign w:val="center"/>
          </w:tcPr>
          <w:p w14:paraId="717A9841">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A02010601打印设备</w:t>
            </w:r>
          </w:p>
        </w:tc>
        <w:tc>
          <w:tcPr>
            <w:tcW w:w="1607" w:type="dxa"/>
            <w:tcBorders>
              <w:top w:val="nil"/>
              <w:left w:val="nil"/>
              <w:bottom w:val="single" w:color="000000" w:sz="8" w:space="0"/>
              <w:right w:val="single" w:color="000000" w:sz="8" w:space="0"/>
            </w:tcBorders>
            <w:vAlign w:val="center"/>
          </w:tcPr>
          <w:p w14:paraId="3E63A9B5">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A0201060101喷墨打印机</w:t>
            </w:r>
          </w:p>
        </w:tc>
        <w:tc>
          <w:tcPr>
            <w:tcW w:w="4546" w:type="dxa"/>
            <w:tcBorders>
              <w:top w:val="nil"/>
              <w:left w:val="nil"/>
              <w:bottom w:val="single" w:color="000000" w:sz="8" w:space="0"/>
              <w:right w:val="single" w:color="000000" w:sz="8" w:space="0"/>
            </w:tcBorders>
            <w:vAlign w:val="center"/>
          </w:tcPr>
          <w:p w14:paraId="197E7F24">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《复印机、打印机和传真机能效限定值及能效等级》（GB21521）</w:t>
            </w:r>
          </w:p>
        </w:tc>
      </w:tr>
      <w:tr w14:paraId="03123B45">
        <w:tblPrEx>
          <w:tblCellMar>
            <w:top w:w="0" w:type="dxa"/>
            <w:left w:w="108" w:type="dxa"/>
            <w:bottom w:w="0" w:type="dxa"/>
            <w:right w:w="108" w:type="dxa"/>
          </w:tblCellMar>
        </w:tblPrEx>
        <w:trPr>
          <w:trHeight w:val="495" w:hRule="atLeast"/>
        </w:trPr>
        <w:tc>
          <w:tcPr>
            <w:tcW w:w="715" w:type="dxa"/>
            <w:vMerge w:val="continue"/>
            <w:tcBorders>
              <w:top w:val="nil"/>
              <w:left w:val="single" w:color="000000" w:sz="8" w:space="0"/>
              <w:bottom w:val="single" w:color="000000" w:sz="8" w:space="0"/>
              <w:right w:val="single" w:color="000000" w:sz="8" w:space="0"/>
            </w:tcBorders>
            <w:vAlign w:val="center"/>
          </w:tcPr>
          <w:p w14:paraId="7169A4D4">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p>
        </w:tc>
        <w:tc>
          <w:tcPr>
            <w:tcW w:w="1352" w:type="dxa"/>
            <w:vMerge w:val="continue"/>
            <w:tcBorders>
              <w:top w:val="nil"/>
              <w:left w:val="single" w:color="000000" w:sz="8" w:space="0"/>
              <w:bottom w:val="single" w:color="000000" w:sz="8" w:space="0"/>
              <w:right w:val="single" w:color="000000" w:sz="8" w:space="0"/>
            </w:tcBorders>
            <w:vAlign w:val="center"/>
          </w:tcPr>
          <w:p w14:paraId="41A77014">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p>
        </w:tc>
        <w:tc>
          <w:tcPr>
            <w:tcW w:w="1632" w:type="dxa"/>
            <w:vMerge w:val="continue"/>
            <w:tcBorders>
              <w:top w:val="nil"/>
              <w:left w:val="single" w:color="000000" w:sz="8" w:space="0"/>
              <w:bottom w:val="single" w:color="000000" w:sz="8" w:space="0"/>
              <w:right w:val="single" w:color="000000" w:sz="8" w:space="0"/>
            </w:tcBorders>
            <w:vAlign w:val="center"/>
          </w:tcPr>
          <w:p w14:paraId="22B1C14E">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p>
        </w:tc>
        <w:tc>
          <w:tcPr>
            <w:tcW w:w="1607" w:type="dxa"/>
            <w:tcBorders>
              <w:top w:val="nil"/>
              <w:left w:val="nil"/>
              <w:bottom w:val="single" w:color="000000" w:sz="8" w:space="0"/>
              <w:right w:val="single" w:color="000000" w:sz="8" w:space="0"/>
            </w:tcBorders>
            <w:vAlign w:val="center"/>
          </w:tcPr>
          <w:p w14:paraId="51E3D726">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★A0201060102激光打印机</w:t>
            </w:r>
          </w:p>
        </w:tc>
        <w:tc>
          <w:tcPr>
            <w:tcW w:w="4546" w:type="dxa"/>
            <w:tcBorders>
              <w:top w:val="nil"/>
              <w:left w:val="nil"/>
              <w:bottom w:val="single" w:color="000000" w:sz="8" w:space="0"/>
              <w:right w:val="single" w:color="000000" w:sz="8" w:space="0"/>
            </w:tcBorders>
            <w:vAlign w:val="center"/>
          </w:tcPr>
          <w:p w14:paraId="0B5B30D7">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《复印机、打印机和传真机能效限定值及能效等级》（GB21521）</w:t>
            </w:r>
          </w:p>
        </w:tc>
      </w:tr>
      <w:tr w14:paraId="24D8EA81">
        <w:tblPrEx>
          <w:tblCellMar>
            <w:top w:w="0" w:type="dxa"/>
            <w:left w:w="108" w:type="dxa"/>
            <w:bottom w:w="0" w:type="dxa"/>
            <w:right w:w="108" w:type="dxa"/>
          </w:tblCellMar>
        </w:tblPrEx>
        <w:trPr>
          <w:trHeight w:val="495" w:hRule="atLeast"/>
        </w:trPr>
        <w:tc>
          <w:tcPr>
            <w:tcW w:w="715" w:type="dxa"/>
            <w:vMerge w:val="continue"/>
            <w:tcBorders>
              <w:top w:val="nil"/>
              <w:left w:val="single" w:color="000000" w:sz="8" w:space="0"/>
              <w:bottom w:val="single" w:color="000000" w:sz="8" w:space="0"/>
              <w:right w:val="single" w:color="000000" w:sz="8" w:space="0"/>
            </w:tcBorders>
            <w:vAlign w:val="center"/>
          </w:tcPr>
          <w:p w14:paraId="52E5434C">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p>
        </w:tc>
        <w:tc>
          <w:tcPr>
            <w:tcW w:w="1352" w:type="dxa"/>
            <w:vMerge w:val="continue"/>
            <w:tcBorders>
              <w:top w:val="nil"/>
              <w:left w:val="single" w:color="000000" w:sz="8" w:space="0"/>
              <w:bottom w:val="single" w:color="000000" w:sz="8" w:space="0"/>
              <w:right w:val="single" w:color="000000" w:sz="8" w:space="0"/>
            </w:tcBorders>
            <w:vAlign w:val="center"/>
          </w:tcPr>
          <w:p w14:paraId="2276528E">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p>
        </w:tc>
        <w:tc>
          <w:tcPr>
            <w:tcW w:w="1632" w:type="dxa"/>
            <w:vMerge w:val="continue"/>
            <w:tcBorders>
              <w:top w:val="nil"/>
              <w:left w:val="single" w:color="000000" w:sz="8" w:space="0"/>
              <w:bottom w:val="single" w:color="000000" w:sz="8" w:space="0"/>
              <w:right w:val="single" w:color="000000" w:sz="8" w:space="0"/>
            </w:tcBorders>
            <w:vAlign w:val="center"/>
          </w:tcPr>
          <w:p w14:paraId="330BD902">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p>
        </w:tc>
        <w:tc>
          <w:tcPr>
            <w:tcW w:w="1607" w:type="dxa"/>
            <w:tcBorders>
              <w:top w:val="nil"/>
              <w:left w:val="nil"/>
              <w:bottom w:val="single" w:color="000000" w:sz="8" w:space="0"/>
              <w:right w:val="single" w:color="000000" w:sz="8" w:space="0"/>
            </w:tcBorders>
            <w:vAlign w:val="center"/>
          </w:tcPr>
          <w:p w14:paraId="03C0D1E7">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★A0201060104针式打印机</w:t>
            </w:r>
          </w:p>
        </w:tc>
        <w:tc>
          <w:tcPr>
            <w:tcW w:w="4546" w:type="dxa"/>
            <w:tcBorders>
              <w:top w:val="nil"/>
              <w:left w:val="nil"/>
              <w:bottom w:val="single" w:color="000000" w:sz="8" w:space="0"/>
              <w:right w:val="single" w:color="000000" w:sz="8" w:space="0"/>
            </w:tcBorders>
            <w:vAlign w:val="center"/>
          </w:tcPr>
          <w:p w14:paraId="1C3C717E">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《复印机、打印机和传真机能效限定值及能效等级》（GB21521）</w:t>
            </w:r>
          </w:p>
        </w:tc>
      </w:tr>
      <w:tr w14:paraId="58DAE312">
        <w:tblPrEx>
          <w:tblCellMar>
            <w:top w:w="0" w:type="dxa"/>
            <w:left w:w="108" w:type="dxa"/>
            <w:bottom w:w="0" w:type="dxa"/>
            <w:right w:w="108" w:type="dxa"/>
          </w:tblCellMar>
        </w:tblPrEx>
        <w:trPr>
          <w:trHeight w:val="495" w:hRule="atLeast"/>
        </w:trPr>
        <w:tc>
          <w:tcPr>
            <w:tcW w:w="715" w:type="dxa"/>
            <w:vMerge w:val="continue"/>
            <w:tcBorders>
              <w:top w:val="nil"/>
              <w:left w:val="single" w:color="000000" w:sz="8" w:space="0"/>
              <w:bottom w:val="single" w:color="000000" w:sz="8" w:space="0"/>
              <w:right w:val="single" w:color="000000" w:sz="8" w:space="0"/>
            </w:tcBorders>
            <w:vAlign w:val="center"/>
          </w:tcPr>
          <w:p w14:paraId="62EFE364">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p>
        </w:tc>
        <w:tc>
          <w:tcPr>
            <w:tcW w:w="1352" w:type="dxa"/>
            <w:vMerge w:val="continue"/>
            <w:tcBorders>
              <w:top w:val="nil"/>
              <w:left w:val="single" w:color="000000" w:sz="8" w:space="0"/>
              <w:bottom w:val="single" w:color="000000" w:sz="8" w:space="0"/>
              <w:right w:val="single" w:color="000000" w:sz="8" w:space="0"/>
            </w:tcBorders>
            <w:vAlign w:val="center"/>
          </w:tcPr>
          <w:p w14:paraId="404F49F3">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p>
        </w:tc>
        <w:tc>
          <w:tcPr>
            <w:tcW w:w="1632" w:type="dxa"/>
            <w:tcBorders>
              <w:top w:val="nil"/>
              <w:left w:val="nil"/>
              <w:bottom w:val="single" w:color="000000" w:sz="8" w:space="0"/>
              <w:right w:val="single" w:color="000000" w:sz="8" w:space="0"/>
            </w:tcBorders>
            <w:vAlign w:val="center"/>
          </w:tcPr>
          <w:p w14:paraId="0017C8D7">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A02010604显示设备</w:t>
            </w:r>
          </w:p>
        </w:tc>
        <w:tc>
          <w:tcPr>
            <w:tcW w:w="1607" w:type="dxa"/>
            <w:tcBorders>
              <w:top w:val="nil"/>
              <w:left w:val="nil"/>
              <w:bottom w:val="single" w:color="000000" w:sz="8" w:space="0"/>
              <w:right w:val="single" w:color="000000" w:sz="8" w:space="0"/>
            </w:tcBorders>
            <w:vAlign w:val="center"/>
          </w:tcPr>
          <w:p w14:paraId="12911490">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★A0201060401液晶显示器</w:t>
            </w:r>
          </w:p>
        </w:tc>
        <w:tc>
          <w:tcPr>
            <w:tcW w:w="4546" w:type="dxa"/>
            <w:tcBorders>
              <w:top w:val="nil"/>
              <w:left w:val="nil"/>
              <w:bottom w:val="single" w:color="000000" w:sz="8" w:space="0"/>
              <w:right w:val="single" w:color="000000" w:sz="8" w:space="0"/>
            </w:tcBorders>
            <w:vAlign w:val="center"/>
          </w:tcPr>
          <w:p w14:paraId="6E07DA42">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《计算机显示器能效限定值及能效等级》（GB21520）</w:t>
            </w:r>
          </w:p>
        </w:tc>
      </w:tr>
      <w:tr w14:paraId="438F9C10">
        <w:tblPrEx>
          <w:tblCellMar>
            <w:top w:w="0" w:type="dxa"/>
            <w:left w:w="108" w:type="dxa"/>
            <w:bottom w:w="0" w:type="dxa"/>
            <w:right w:w="108" w:type="dxa"/>
          </w:tblCellMar>
        </w:tblPrEx>
        <w:trPr>
          <w:trHeight w:val="975" w:hRule="atLeast"/>
        </w:trPr>
        <w:tc>
          <w:tcPr>
            <w:tcW w:w="715" w:type="dxa"/>
            <w:vMerge w:val="continue"/>
            <w:tcBorders>
              <w:top w:val="nil"/>
              <w:left w:val="single" w:color="000000" w:sz="8" w:space="0"/>
              <w:bottom w:val="single" w:color="000000" w:sz="8" w:space="0"/>
              <w:right w:val="single" w:color="000000" w:sz="8" w:space="0"/>
            </w:tcBorders>
            <w:vAlign w:val="center"/>
          </w:tcPr>
          <w:p w14:paraId="19D296F5">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p>
        </w:tc>
        <w:tc>
          <w:tcPr>
            <w:tcW w:w="1352" w:type="dxa"/>
            <w:vMerge w:val="continue"/>
            <w:tcBorders>
              <w:top w:val="nil"/>
              <w:left w:val="single" w:color="000000" w:sz="8" w:space="0"/>
              <w:bottom w:val="single" w:color="000000" w:sz="8" w:space="0"/>
              <w:right w:val="single" w:color="000000" w:sz="8" w:space="0"/>
            </w:tcBorders>
            <w:vAlign w:val="center"/>
          </w:tcPr>
          <w:p w14:paraId="0E2A8D70">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p>
        </w:tc>
        <w:tc>
          <w:tcPr>
            <w:tcW w:w="1632" w:type="dxa"/>
            <w:tcBorders>
              <w:top w:val="nil"/>
              <w:left w:val="nil"/>
              <w:bottom w:val="single" w:color="000000" w:sz="8" w:space="0"/>
              <w:right w:val="single" w:color="000000" w:sz="8" w:space="0"/>
            </w:tcBorders>
            <w:vAlign w:val="center"/>
          </w:tcPr>
          <w:p w14:paraId="44F0ADBA">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A02010609图形图像输入设备</w:t>
            </w:r>
          </w:p>
        </w:tc>
        <w:tc>
          <w:tcPr>
            <w:tcW w:w="1607" w:type="dxa"/>
            <w:tcBorders>
              <w:top w:val="nil"/>
              <w:left w:val="nil"/>
              <w:bottom w:val="single" w:color="000000" w:sz="8" w:space="0"/>
              <w:right w:val="single" w:color="000000" w:sz="8" w:space="0"/>
            </w:tcBorders>
            <w:vAlign w:val="center"/>
          </w:tcPr>
          <w:p w14:paraId="5D23EA4B">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A0201060901扫描仪</w:t>
            </w:r>
          </w:p>
        </w:tc>
        <w:tc>
          <w:tcPr>
            <w:tcW w:w="4546" w:type="dxa"/>
            <w:tcBorders>
              <w:top w:val="nil"/>
              <w:left w:val="nil"/>
              <w:bottom w:val="single" w:color="000000" w:sz="8" w:space="0"/>
              <w:right w:val="single" w:color="000000" w:sz="8" w:space="0"/>
            </w:tcBorders>
            <w:vAlign w:val="center"/>
          </w:tcPr>
          <w:p w14:paraId="17DFA514">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参照《复印机、打印机和传真机能效限定值及能效等级》（GB21521中打印速度为15页/分的针式打印机相关要求中打印速度为15页/分的针式打印机相关要求</w:t>
            </w:r>
          </w:p>
        </w:tc>
      </w:tr>
      <w:tr w14:paraId="6B98F0D0">
        <w:tblPrEx>
          <w:tblCellMar>
            <w:top w:w="0" w:type="dxa"/>
            <w:left w:w="108" w:type="dxa"/>
            <w:bottom w:w="0" w:type="dxa"/>
            <w:right w:w="108" w:type="dxa"/>
          </w:tblCellMar>
        </w:tblPrEx>
        <w:trPr>
          <w:trHeight w:val="495" w:hRule="atLeast"/>
        </w:trPr>
        <w:tc>
          <w:tcPr>
            <w:tcW w:w="715" w:type="dxa"/>
            <w:tcBorders>
              <w:top w:val="nil"/>
              <w:left w:val="single" w:color="000000" w:sz="8" w:space="0"/>
              <w:bottom w:val="single" w:color="000000" w:sz="8" w:space="0"/>
              <w:right w:val="single" w:color="000000" w:sz="8" w:space="0"/>
            </w:tcBorders>
            <w:vAlign w:val="center"/>
          </w:tcPr>
          <w:p w14:paraId="36E18229">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3</w:t>
            </w:r>
          </w:p>
        </w:tc>
        <w:tc>
          <w:tcPr>
            <w:tcW w:w="1352" w:type="dxa"/>
            <w:tcBorders>
              <w:top w:val="nil"/>
              <w:left w:val="nil"/>
              <w:bottom w:val="single" w:color="000000" w:sz="8" w:space="0"/>
              <w:right w:val="single" w:color="000000" w:sz="8" w:space="0"/>
            </w:tcBorders>
            <w:vAlign w:val="center"/>
          </w:tcPr>
          <w:p w14:paraId="5EDD82BD">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A020202投影仪</w:t>
            </w:r>
          </w:p>
        </w:tc>
        <w:tc>
          <w:tcPr>
            <w:tcW w:w="1632" w:type="dxa"/>
            <w:tcBorders>
              <w:top w:val="nil"/>
              <w:left w:val="nil"/>
              <w:bottom w:val="single" w:color="000000" w:sz="8" w:space="0"/>
              <w:right w:val="single" w:color="000000" w:sz="8" w:space="0"/>
            </w:tcBorders>
            <w:vAlign w:val="center"/>
          </w:tcPr>
          <w:p w14:paraId="37B7FCE4">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　</w:t>
            </w:r>
          </w:p>
        </w:tc>
        <w:tc>
          <w:tcPr>
            <w:tcW w:w="1607" w:type="dxa"/>
            <w:tcBorders>
              <w:top w:val="nil"/>
              <w:left w:val="nil"/>
              <w:bottom w:val="single" w:color="000000" w:sz="8" w:space="0"/>
              <w:right w:val="single" w:color="000000" w:sz="8" w:space="0"/>
            </w:tcBorders>
            <w:vAlign w:val="center"/>
          </w:tcPr>
          <w:p w14:paraId="36238DB3">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　</w:t>
            </w:r>
          </w:p>
        </w:tc>
        <w:tc>
          <w:tcPr>
            <w:tcW w:w="4546" w:type="dxa"/>
            <w:tcBorders>
              <w:top w:val="nil"/>
              <w:left w:val="nil"/>
              <w:bottom w:val="single" w:color="000000" w:sz="8" w:space="0"/>
              <w:right w:val="single" w:color="000000" w:sz="8" w:space="0"/>
            </w:tcBorders>
            <w:vAlign w:val="center"/>
          </w:tcPr>
          <w:p w14:paraId="5ED64E0D">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《投影机能效限定值及能效等级》（GB32028）</w:t>
            </w:r>
          </w:p>
        </w:tc>
      </w:tr>
      <w:tr w14:paraId="776AE8A3">
        <w:tblPrEx>
          <w:tblCellMar>
            <w:top w:w="0" w:type="dxa"/>
            <w:left w:w="108" w:type="dxa"/>
            <w:bottom w:w="0" w:type="dxa"/>
            <w:right w:w="108" w:type="dxa"/>
          </w:tblCellMar>
        </w:tblPrEx>
        <w:trPr>
          <w:trHeight w:val="495" w:hRule="atLeast"/>
        </w:trPr>
        <w:tc>
          <w:tcPr>
            <w:tcW w:w="715" w:type="dxa"/>
            <w:tcBorders>
              <w:top w:val="nil"/>
              <w:left w:val="single" w:color="000000" w:sz="8" w:space="0"/>
              <w:bottom w:val="single" w:color="000000" w:sz="8" w:space="0"/>
              <w:right w:val="single" w:color="000000" w:sz="8" w:space="0"/>
            </w:tcBorders>
            <w:vAlign w:val="center"/>
          </w:tcPr>
          <w:p w14:paraId="0EBE9E08">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4</w:t>
            </w:r>
          </w:p>
        </w:tc>
        <w:tc>
          <w:tcPr>
            <w:tcW w:w="1352" w:type="dxa"/>
            <w:tcBorders>
              <w:top w:val="nil"/>
              <w:left w:val="nil"/>
              <w:bottom w:val="single" w:color="000000" w:sz="8" w:space="0"/>
              <w:right w:val="single" w:color="000000" w:sz="8" w:space="0"/>
            </w:tcBorders>
            <w:vAlign w:val="center"/>
          </w:tcPr>
          <w:p w14:paraId="26636F95">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A020204多功能一体机</w:t>
            </w:r>
          </w:p>
        </w:tc>
        <w:tc>
          <w:tcPr>
            <w:tcW w:w="1632" w:type="dxa"/>
            <w:tcBorders>
              <w:top w:val="nil"/>
              <w:left w:val="nil"/>
              <w:bottom w:val="single" w:color="000000" w:sz="8" w:space="0"/>
              <w:right w:val="single" w:color="000000" w:sz="8" w:space="0"/>
            </w:tcBorders>
            <w:vAlign w:val="center"/>
          </w:tcPr>
          <w:p w14:paraId="2852C05F">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　</w:t>
            </w:r>
          </w:p>
        </w:tc>
        <w:tc>
          <w:tcPr>
            <w:tcW w:w="1607" w:type="dxa"/>
            <w:tcBorders>
              <w:top w:val="nil"/>
              <w:left w:val="nil"/>
              <w:bottom w:val="single" w:color="000000" w:sz="8" w:space="0"/>
              <w:right w:val="single" w:color="000000" w:sz="8" w:space="0"/>
            </w:tcBorders>
            <w:vAlign w:val="center"/>
          </w:tcPr>
          <w:p w14:paraId="6B93411B">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　</w:t>
            </w:r>
          </w:p>
        </w:tc>
        <w:tc>
          <w:tcPr>
            <w:tcW w:w="4546" w:type="dxa"/>
            <w:tcBorders>
              <w:top w:val="nil"/>
              <w:left w:val="nil"/>
              <w:bottom w:val="single" w:color="000000" w:sz="8" w:space="0"/>
              <w:right w:val="single" w:color="000000" w:sz="8" w:space="0"/>
            </w:tcBorders>
            <w:vAlign w:val="center"/>
          </w:tcPr>
          <w:p w14:paraId="0D073D2D">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《复印机、打印机和传真机能效限定值及能效等级》（GB21521）</w:t>
            </w:r>
          </w:p>
        </w:tc>
      </w:tr>
      <w:tr w14:paraId="728E1551">
        <w:tblPrEx>
          <w:tblCellMar>
            <w:top w:w="0" w:type="dxa"/>
            <w:left w:w="108" w:type="dxa"/>
            <w:bottom w:w="0" w:type="dxa"/>
            <w:right w:w="108" w:type="dxa"/>
          </w:tblCellMar>
        </w:tblPrEx>
        <w:trPr>
          <w:trHeight w:val="495" w:hRule="atLeast"/>
        </w:trPr>
        <w:tc>
          <w:tcPr>
            <w:tcW w:w="715" w:type="dxa"/>
            <w:tcBorders>
              <w:top w:val="nil"/>
              <w:left w:val="single" w:color="000000" w:sz="8" w:space="0"/>
              <w:bottom w:val="single" w:color="auto" w:sz="4" w:space="0"/>
              <w:right w:val="single" w:color="000000" w:sz="8" w:space="0"/>
            </w:tcBorders>
            <w:vAlign w:val="center"/>
          </w:tcPr>
          <w:p w14:paraId="5CC6A10C">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5</w:t>
            </w:r>
          </w:p>
        </w:tc>
        <w:tc>
          <w:tcPr>
            <w:tcW w:w="1352" w:type="dxa"/>
            <w:tcBorders>
              <w:top w:val="nil"/>
              <w:left w:val="nil"/>
              <w:bottom w:val="single" w:color="auto" w:sz="4" w:space="0"/>
              <w:right w:val="single" w:color="000000" w:sz="8" w:space="0"/>
            </w:tcBorders>
            <w:vAlign w:val="center"/>
          </w:tcPr>
          <w:p w14:paraId="37C93818">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A020519泵</w:t>
            </w:r>
          </w:p>
        </w:tc>
        <w:tc>
          <w:tcPr>
            <w:tcW w:w="1632" w:type="dxa"/>
            <w:tcBorders>
              <w:top w:val="nil"/>
              <w:left w:val="nil"/>
              <w:bottom w:val="single" w:color="auto" w:sz="4" w:space="0"/>
              <w:right w:val="single" w:color="000000" w:sz="8" w:space="0"/>
            </w:tcBorders>
            <w:vAlign w:val="center"/>
          </w:tcPr>
          <w:p w14:paraId="0E70BD38">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A02051901离心泵</w:t>
            </w:r>
          </w:p>
        </w:tc>
        <w:tc>
          <w:tcPr>
            <w:tcW w:w="1607" w:type="dxa"/>
            <w:tcBorders>
              <w:top w:val="nil"/>
              <w:left w:val="nil"/>
              <w:bottom w:val="single" w:color="auto" w:sz="4" w:space="0"/>
              <w:right w:val="single" w:color="000000" w:sz="8" w:space="0"/>
            </w:tcBorders>
            <w:vAlign w:val="center"/>
          </w:tcPr>
          <w:p w14:paraId="1976C6E8">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　</w:t>
            </w:r>
          </w:p>
        </w:tc>
        <w:tc>
          <w:tcPr>
            <w:tcW w:w="4546" w:type="dxa"/>
            <w:tcBorders>
              <w:top w:val="nil"/>
              <w:left w:val="nil"/>
              <w:bottom w:val="single" w:color="auto" w:sz="4" w:space="0"/>
              <w:right w:val="single" w:color="000000" w:sz="8" w:space="0"/>
            </w:tcBorders>
            <w:vAlign w:val="center"/>
          </w:tcPr>
          <w:p w14:paraId="2046829E">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《清水离心泵能效限定值及节能评价值》（GB19762）</w:t>
            </w:r>
          </w:p>
        </w:tc>
      </w:tr>
      <w:tr w14:paraId="6C92AD11">
        <w:tblPrEx>
          <w:tblCellMar>
            <w:top w:w="0" w:type="dxa"/>
            <w:left w:w="108" w:type="dxa"/>
            <w:bottom w:w="0" w:type="dxa"/>
            <w:right w:w="108" w:type="dxa"/>
          </w:tblCellMar>
        </w:tblPrEx>
        <w:trPr>
          <w:trHeight w:val="735" w:hRule="atLeast"/>
        </w:trPr>
        <w:tc>
          <w:tcPr>
            <w:tcW w:w="715" w:type="dxa"/>
            <w:vMerge w:val="restart"/>
            <w:tcBorders>
              <w:top w:val="single" w:color="auto" w:sz="4" w:space="0"/>
              <w:left w:val="single" w:color="auto" w:sz="4" w:space="0"/>
              <w:bottom w:val="single" w:color="auto" w:sz="4" w:space="0"/>
              <w:right w:val="single" w:color="auto" w:sz="4" w:space="0"/>
            </w:tcBorders>
            <w:vAlign w:val="center"/>
          </w:tcPr>
          <w:p w14:paraId="5F99BA79">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6</w:t>
            </w:r>
          </w:p>
        </w:tc>
        <w:tc>
          <w:tcPr>
            <w:tcW w:w="1352" w:type="dxa"/>
            <w:vMerge w:val="restart"/>
            <w:tcBorders>
              <w:top w:val="single" w:color="auto" w:sz="4" w:space="0"/>
              <w:left w:val="single" w:color="auto" w:sz="4" w:space="0"/>
              <w:bottom w:val="single" w:color="auto" w:sz="4" w:space="0"/>
              <w:right w:val="single" w:color="auto" w:sz="4" w:space="0"/>
            </w:tcBorders>
            <w:vAlign w:val="center"/>
          </w:tcPr>
          <w:p w14:paraId="22CE1B56">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A020523制冷空调设备</w:t>
            </w:r>
          </w:p>
        </w:tc>
        <w:tc>
          <w:tcPr>
            <w:tcW w:w="1632" w:type="dxa"/>
            <w:vMerge w:val="restart"/>
            <w:tcBorders>
              <w:top w:val="single" w:color="auto" w:sz="4" w:space="0"/>
              <w:left w:val="single" w:color="auto" w:sz="4" w:space="0"/>
              <w:bottom w:val="single" w:color="auto" w:sz="4" w:space="0"/>
              <w:right w:val="single" w:color="auto" w:sz="4" w:space="0"/>
            </w:tcBorders>
            <w:vAlign w:val="center"/>
          </w:tcPr>
          <w:p w14:paraId="24AF4825">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★A02052301制冷压缩机</w:t>
            </w:r>
          </w:p>
        </w:tc>
        <w:tc>
          <w:tcPr>
            <w:tcW w:w="1607" w:type="dxa"/>
            <w:tcBorders>
              <w:top w:val="single" w:color="auto" w:sz="4" w:space="0"/>
              <w:left w:val="single" w:color="auto" w:sz="4" w:space="0"/>
              <w:bottom w:val="single" w:color="auto" w:sz="4" w:space="0"/>
              <w:right w:val="single" w:color="auto" w:sz="4" w:space="0"/>
            </w:tcBorders>
            <w:vAlign w:val="center"/>
          </w:tcPr>
          <w:p w14:paraId="4C9EFD01">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冷水机组</w:t>
            </w:r>
          </w:p>
        </w:tc>
        <w:tc>
          <w:tcPr>
            <w:tcW w:w="4546" w:type="dxa"/>
            <w:tcBorders>
              <w:top w:val="single" w:color="auto" w:sz="4" w:space="0"/>
              <w:left w:val="single" w:color="auto" w:sz="4" w:space="0"/>
              <w:bottom w:val="single" w:color="auto" w:sz="4" w:space="0"/>
              <w:right w:val="single" w:color="auto" w:sz="4" w:space="0"/>
            </w:tcBorders>
            <w:vAlign w:val="center"/>
          </w:tcPr>
          <w:p w14:paraId="7FE19A0C">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《冷水机组能效限定值及能效等级》（GB19577），《低环境温度空气源热泵（冷水）机组能效限定值及能效等级》（GB37480）</w:t>
            </w:r>
          </w:p>
        </w:tc>
      </w:tr>
      <w:tr w14:paraId="0F6197CA">
        <w:tblPrEx>
          <w:tblCellMar>
            <w:top w:w="0" w:type="dxa"/>
            <w:left w:w="108" w:type="dxa"/>
            <w:bottom w:w="0" w:type="dxa"/>
            <w:right w:w="108" w:type="dxa"/>
          </w:tblCellMar>
        </w:tblPrEx>
        <w:trPr>
          <w:trHeight w:val="495" w:hRule="atLeast"/>
        </w:trPr>
        <w:tc>
          <w:tcPr>
            <w:tcW w:w="715" w:type="dxa"/>
            <w:vMerge w:val="continue"/>
            <w:tcBorders>
              <w:top w:val="single" w:color="auto" w:sz="4" w:space="0"/>
              <w:left w:val="single" w:color="auto" w:sz="4" w:space="0"/>
              <w:bottom w:val="single" w:color="auto" w:sz="4" w:space="0"/>
              <w:right w:val="single" w:color="auto" w:sz="4" w:space="0"/>
            </w:tcBorders>
            <w:vAlign w:val="center"/>
          </w:tcPr>
          <w:p w14:paraId="561E73FE">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p>
        </w:tc>
        <w:tc>
          <w:tcPr>
            <w:tcW w:w="1352" w:type="dxa"/>
            <w:vMerge w:val="continue"/>
            <w:tcBorders>
              <w:top w:val="single" w:color="auto" w:sz="4" w:space="0"/>
              <w:left w:val="single" w:color="auto" w:sz="4" w:space="0"/>
              <w:bottom w:val="single" w:color="auto" w:sz="4" w:space="0"/>
              <w:right w:val="single" w:color="auto" w:sz="4" w:space="0"/>
            </w:tcBorders>
            <w:vAlign w:val="center"/>
          </w:tcPr>
          <w:p w14:paraId="5F0AB607">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p>
        </w:tc>
        <w:tc>
          <w:tcPr>
            <w:tcW w:w="1632" w:type="dxa"/>
            <w:vMerge w:val="continue"/>
            <w:tcBorders>
              <w:top w:val="single" w:color="auto" w:sz="4" w:space="0"/>
              <w:left w:val="single" w:color="auto" w:sz="4" w:space="0"/>
              <w:bottom w:val="single" w:color="auto" w:sz="4" w:space="0"/>
              <w:right w:val="single" w:color="auto" w:sz="4" w:space="0"/>
            </w:tcBorders>
            <w:vAlign w:val="center"/>
          </w:tcPr>
          <w:p w14:paraId="521C511A">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p>
        </w:tc>
        <w:tc>
          <w:tcPr>
            <w:tcW w:w="1607" w:type="dxa"/>
            <w:tcBorders>
              <w:top w:val="single" w:color="auto" w:sz="4" w:space="0"/>
              <w:left w:val="single" w:color="auto" w:sz="4" w:space="0"/>
              <w:bottom w:val="single" w:color="auto" w:sz="4" w:space="0"/>
              <w:right w:val="single" w:color="auto" w:sz="4" w:space="0"/>
            </w:tcBorders>
            <w:vAlign w:val="center"/>
          </w:tcPr>
          <w:p w14:paraId="1B1D505A">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水源热泵机组</w:t>
            </w:r>
          </w:p>
        </w:tc>
        <w:tc>
          <w:tcPr>
            <w:tcW w:w="4546" w:type="dxa"/>
            <w:tcBorders>
              <w:top w:val="single" w:color="auto" w:sz="4" w:space="0"/>
              <w:left w:val="single" w:color="auto" w:sz="4" w:space="0"/>
              <w:bottom w:val="single" w:color="auto" w:sz="4" w:space="0"/>
              <w:right w:val="single" w:color="auto" w:sz="4" w:space="0"/>
            </w:tcBorders>
            <w:vAlign w:val="center"/>
          </w:tcPr>
          <w:p w14:paraId="70EBAA32">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《水（地）源热泵机组能效限定值及能效等级》（GB30721）</w:t>
            </w:r>
          </w:p>
        </w:tc>
      </w:tr>
      <w:tr w14:paraId="5FCEA15F">
        <w:tblPrEx>
          <w:tblCellMar>
            <w:top w:w="0" w:type="dxa"/>
            <w:left w:w="108" w:type="dxa"/>
            <w:bottom w:w="0" w:type="dxa"/>
            <w:right w:w="108" w:type="dxa"/>
          </w:tblCellMar>
        </w:tblPrEx>
        <w:trPr>
          <w:trHeight w:val="495" w:hRule="atLeast"/>
        </w:trPr>
        <w:tc>
          <w:tcPr>
            <w:tcW w:w="715" w:type="dxa"/>
            <w:vMerge w:val="continue"/>
            <w:tcBorders>
              <w:top w:val="single" w:color="auto" w:sz="4" w:space="0"/>
              <w:left w:val="single" w:color="auto" w:sz="4" w:space="0"/>
              <w:bottom w:val="single" w:color="auto" w:sz="4" w:space="0"/>
              <w:right w:val="single" w:color="auto" w:sz="4" w:space="0"/>
            </w:tcBorders>
            <w:vAlign w:val="center"/>
          </w:tcPr>
          <w:p w14:paraId="36845727">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p>
        </w:tc>
        <w:tc>
          <w:tcPr>
            <w:tcW w:w="1352" w:type="dxa"/>
            <w:vMerge w:val="continue"/>
            <w:tcBorders>
              <w:top w:val="single" w:color="auto" w:sz="4" w:space="0"/>
              <w:left w:val="single" w:color="auto" w:sz="4" w:space="0"/>
              <w:bottom w:val="single" w:color="auto" w:sz="4" w:space="0"/>
              <w:right w:val="single" w:color="auto" w:sz="4" w:space="0"/>
            </w:tcBorders>
            <w:vAlign w:val="center"/>
          </w:tcPr>
          <w:p w14:paraId="522EA9CB">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p>
        </w:tc>
        <w:tc>
          <w:tcPr>
            <w:tcW w:w="1632" w:type="dxa"/>
            <w:vMerge w:val="continue"/>
            <w:tcBorders>
              <w:top w:val="single" w:color="auto" w:sz="4" w:space="0"/>
              <w:left w:val="single" w:color="auto" w:sz="4" w:space="0"/>
              <w:bottom w:val="single" w:color="auto" w:sz="4" w:space="0"/>
              <w:right w:val="single" w:color="auto" w:sz="4" w:space="0"/>
            </w:tcBorders>
            <w:vAlign w:val="center"/>
          </w:tcPr>
          <w:p w14:paraId="7F121687">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p>
        </w:tc>
        <w:tc>
          <w:tcPr>
            <w:tcW w:w="1607" w:type="dxa"/>
            <w:tcBorders>
              <w:top w:val="single" w:color="auto" w:sz="4" w:space="0"/>
              <w:left w:val="single" w:color="auto" w:sz="4" w:space="0"/>
              <w:bottom w:val="single" w:color="auto" w:sz="4" w:space="0"/>
              <w:right w:val="single" w:color="auto" w:sz="4" w:space="0"/>
            </w:tcBorders>
            <w:vAlign w:val="center"/>
          </w:tcPr>
          <w:p w14:paraId="2C11BFA9">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溴化锂吸收式冷水机组</w:t>
            </w:r>
          </w:p>
        </w:tc>
        <w:tc>
          <w:tcPr>
            <w:tcW w:w="4546" w:type="dxa"/>
            <w:tcBorders>
              <w:top w:val="single" w:color="auto" w:sz="4" w:space="0"/>
              <w:left w:val="single" w:color="auto" w:sz="4" w:space="0"/>
              <w:bottom w:val="single" w:color="auto" w:sz="4" w:space="0"/>
              <w:right w:val="single" w:color="auto" w:sz="4" w:space="0"/>
            </w:tcBorders>
            <w:vAlign w:val="center"/>
          </w:tcPr>
          <w:p w14:paraId="0E99AC39">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《溴化锂吸收式冷水机组能效限定值及能效等级》（GB29540）</w:t>
            </w:r>
          </w:p>
        </w:tc>
      </w:tr>
      <w:tr w14:paraId="6FFB8136">
        <w:tblPrEx>
          <w:tblCellMar>
            <w:top w:w="0" w:type="dxa"/>
            <w:left w:w="108" w:type="dxa"/>
            <w:bottom w:w="0" w:type="dxa"/>
            <w:right w:w="108" w:type="dxa"/>
          </w:tblCellMar>
        </w:tblPrEx>
        <w:trPr>
          <w:trHeight w:val="735" w:hRule="atLeast"/>
        </w:trPr>
        <w:tc>
          <w:tcPr>
            <w:tcW w:w="715" w:type="dxa"/>
            <w:vMerge w:val="continue"/>
            <w:tcBorders>
              <w:top w:val="single" w:color="auto" w:sz="4" w:space="0"/>
              <w:left w:val="single" w:color="auto" w:sz="4" w:space="0"/>
              <w:bottom w:val="single" w:color="auto" w:sz="4" w:space="0"/>
              <w:right w:val="single" w:color="auto" w:sz="4" w:space="0"/>
            </w:tcBorders>
            <w:vAlign w:val="center"/>
          </w:tcPr>
          <w:p w14:paraId="0FF42C0A">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p>
        </w:tc>
        <w:tc>
          <w:tcPr>
            <w:tcW w:w="1352" w:type="dxa"/>
            <w:vMerge w:val="continue"/>
            <w:tcBorders>
              <w:top w:val="single" w:color="auto" w:sz="4" w:space="0"/>
              <w:left w:val="single" w:color="auto" w:sz="4" w:space="0"/>
              <w:bottom w:val="single" w:color="auto" w:sz="4" w:space="0"/>
              <w:right w:val="single" w:color="auto" w:sz="4" w:space="0"/>
            </w:tcBorders>
            <w:vAlign w:val="center"/>
          </w:tcPr>
          <w:p w14:paraId="5AC060ED">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p>
        </w:tc>
        <w:tc>
          <w:tcPr>
            <w:tcW w:w="1632" w:type="dxa"/>
            <w:vMerge w:val="restart"/>
            <w:tcBorders>
              <w:top w:val="single" w:color="auto" w:sz="4" w:space="0"/>
              <w:left w:val="single" w:color="auto" w:sz="4" w:space="0"/>
              <w:bottom w:val="single" w:color="auto" w:sz="4" w:space="0"/>
              <w:right w:val="single" w:color="auto" w:sz="4" w:space="0"/>
            </w:tcBorders>
            <w:vAlign w:val="center"/>
          </w:tcPr>
          <w:p w14:paraId="10B39CD7">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★A02052305空调机组</w:t>
            </w:r>
          </w:p>
        </w:tc>
        <w:tc>
          <w:tcPr>
            <w:tcW w:w="1607" w:type="dxa"/>
            <w:tcBorders>
              <w:top w:val="single" w:color="auto" w:sz="4" w:space="0"/>
              <w:left w:val="single" w:color="auto" w:sz="4" w:space="0"/>
              <w:bottom w:val="single" w:color="auto" w:sz="4" w:space="0"/>
              <w:right w:val="single" w:color="auto" w:sz="4" w:space="0"/>
            </w:tcBorders>
            <w:vAlign w:val="center"/>
          </w:tcPr>
          <w:p w14:paraId="039EF0DA">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多联式空调（热泵）机组(制冷量&gt;14000W)</w:t>
            </w:r>
          </w:p>
        </w:tc>
        <w:tc>
          <w:tcPr>
            <w:tcW w:w="4546" w:type="dxa"/>
            <w:tcBorders>
              <w:top w:val="single" w:color="auto" w:sz="4" w:space="0"/>
              <w:left w:val="single" w:color="auto" w:sz="4" w:space="0"/>
              <w:bottom w:val="single" w:color="auto" w:sz="4" w:space="0"/>
              <w:right w:val="single" w:color="auto" w:sz="4" w:space="0"/>
            </w:tcBorders>
            <w:vAlign w:val="center"/>
          </w:tcPr>
          <w:p w14:paraId="0F751C97">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《多联式空调（热泵）机组能效限定值及能源效率等级》（GB21454）</w:t>
            </w:r>
          </w:p>
        </w:tc>
      </w:tr>
      <w:tr w14:paraId="7968FFD5">
        <w:tblPrEx>
          <w:tblCellMar>
            <w:top w:w="0" w:type="dxa"/>
            <w:left w:w="108" w:type="dxa"/>
            <w:bottom w:w="0" w:type="dxa"/>
            <w:right w:w="108" w:type="dxa"/>
          </w:tblCellMar>
        </w:tblPrEx>
        <w:trPr>
          <w:trHeight w:val="735" w:hRule="atLeast"/>
        </w:trPr>
        <w:tc>
          <w:tcPr>
            <w:tcW w:w="715" w:type="dxa"/>
            <w:vMerge w:val="continue"/>
            <w:tcBorders>
              <w:top w:val="single" w:color="auto" w:sz="4" w:space="0"/>
              <w:left w:val="single" w:color="auto" w:sz="4" w:space="0"/>
              <w:bottom w:val="single" w:color="auto" w:sz="4" w:space="0"/>
              <w:right w:val="single" w:color="auto" w:sz="4" w:space="0"/>
            </w:tcBorders>
            <w:vAlign w:val="center"/>
          </w:tcPr>
          <w:p w14:paraId="0298AD61">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p>
        </w:tc>
        <w:tc>
          <w:tcPr>
            <w:tcW w:w="1352" w:type="dxa"/>
            <w:vMerge w:val="continue"/>
            <w:tcBorders>
              <w:top w:val="single" w:color="auto" w:sz="4" w:space="0"/>
              <w:left w:val="single" w:color="auto" w:sz="4" w:space="0"/>
              <w:bottom w:val="single" w:color="auto" w:sz="4" w:space="0"/>
              <w:right w:val="single" w:color="auto" w:sz="4" w:space="0"/>
            </w:tcBorders>
            <w:vAlign w:val="center"/>
          </w:tcPr>
          <w:p w14:paraId="0EF99120">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p>
        </w:tc>
        <w:tc>
          <w:tcPr>
            <w:tcW w:w="1632" w:type="dxa"/>
            <w:vMerge w:val="continue"/>
            <w:tcBorders>
              <w:top w:val="single" w:color="auto" w:sz="4" w:space="0"/>
              <w:left w:val="single" w:color="auto" w:sz="4" w:space="0"/>
              <w:bottom w:val="single" w:color="auto" w:sz="4" w:space="0"/>
              <w:right w:val="single" w:color="auto" w:sz="4" w:space="0"/>
            </w:tcBorders>
            <w:vAlign w:val="center"/>
          </w:tcPr>
          <w:p w14:paraId="5D73A28B">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p>
        </w:tc>
        <w:tc>
          <w:tcPr>
            <w:tcW w:w="1607" w:type="dxa"/>
            <w:tcBorders>
              <w:top w:val="single" w:color="auto" w:sz="4" w:space="0"/>
              <w:left w:val="single" w:color="auto" w:sz="4" w:space="0"/>
              <w:bottom w:val="single" w:color="auto" w:sz="4" w:space="0"/>
              <w:right w:val="single" w:color="auto" w:sz="4" w:space="0"/>
            </w:tcBorders>
            <w:vAlign w:val="center"/>
          </w:tcPr>
          <w:p w14:paraId="3E3573ED">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单元式空气调节机(制冷量&gt;14000W</w:t>
            </w:r>
          </w:p>
        </w:tc>
        <w:tc>
          <w:tcPr>
            <w:tcW w:w="4546" w:type="dxa"/>
            <w:tcBorders>
              <w:top w:val="single" w:color="auto" w:sz="4" w:space="0"/>
              <w:left w:val="single" w:color="auto" w:sz="4" w:space="0"/>
              <w:bottom w:val="single" w:color="auto" w:sz="4" w:space="0"/>
              <w:right w:val="single" w:color="auto" w:sz="4" w:space="0"/>
            </w:tcBorders>
            <w:vAlign w:val="center"/>
          </w:tcPr>
          <w:p w14:paraId="6AF1E32F">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《单元式空气调节机能效限定值及能效等级》（GB19576）《风管送风式空调机组能效限定值及能效等级》（GB37479）</w:t>
            </w:r>
          </w:p>
        </w:tc>
      </w:tr>
      <w:tr w14:paraId="06D946F8">
        <w:tblPrEx>
          <w:tblCellMar>
            <w:top w:w="0" w:type="dxa"/>
            <w:left w:w="108" w:type="dxa"/>
            <w:bottom w:w="0" w:type="dxa"/>
            <w:right w:w="108" w:type="dxa"/>
          </w:tblCellMar>
        </w:tblPrEx>
        <w:trPr>
          <w:trHeight w:val="764" w:hRule="atLeast"/>
        </w:trPr>
        <w:tc>
          <w:tcPr>
            <w:tcW w:w="715" w:type="dxa"/>
            <w:vMerge w:val="continue"/>
            <w:tcBorders>
              <w:top w:val="single" w:color="auto" w:sz="4" w:space="0"/>
              <w:left w:val="single" w:color="auto" w:sz="4" w:space="0"/>
              <w:bottom w:val="single" w:color="auto" w:sz="4" w:space="0"/>
              <w:right w:val="single" w:color="auto" w:sz="4" w:space="0"/>
            </w:tcBorders>
            <w:vAlign w:val="center"/>
          </w:tcPr>
          <w:p w14:paraId="3D719383">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p>
        </w:tc>
        <w:tc>
          <w:tcPr>
            <w:tcW w:w="1352" w:type="dxa"/>
            <w:vMerge w:val="continue"/>
            <w:tcBorders>
              <w:top w:val="single" w:color="auto" w:sz="4" w:space="0"/>
              <w:left w:val="single" w:color="auto" w:sz="4" w:space="0"/>
              <w:bottom w:val="single" w:color="auto" w:sz="4" w:space="0"/>
              <w:right w:val="single" w:color="auto" w:sz="4" w:space="0"/>
            </w:tcBorders>
            <w:vAlign w:val="center"/>
          </w:tcPr>
          <w:p w14:paraId="2B71EA25">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p>
        </w:tc>
        <w:tc>
          <w:tcPr>
            <w:tcW w:w="1632" w:type="dxa"/>
            <w:tcBorders>
              <w:top w:val="single" w:color="auto" w:sz="4" w:space="0"/>
              <w:left w:val="single" w:color="auto" w:sz="4" w:space="0"/>
              <w:bottom w:val="single" w:color="auto" w:sz="4" w:space="0"/>
              <w:right w:val="single" w:color="auto" w:sz="4" w:space="0"/>
            </w:tcBorders>
            <w:vAlign w:val="center"/>
          </w:tcPr>
          <w:p w14:paraId="2951D12F">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★A02052309专用制冷、空调设备</w:t>
            </w:r>
          </w:p>
        </w:tc>
        <w:tc>
          <w:tcPr>
            <w:tcW w:w="1607" w:type="dxa"/>
            <w:tcBorders>
              <w:top w:val="single" w:color="auto" w:sz="4" w:space="0"/>
              <w:left w:val="single" w:color="auto" w:sz="4" w:space="0"/>
              <w:bottom w:val="single" w:color="auto" w:sz="4" w:space="0"/>
              <w:right w:val="single" w:color="auto" w:sz="4" w:space="0"/>
            </w:tcBorders>
            <w:vAlign w:val="center"/>
          </w:tcPr>
          <w:p w14:paraId="0A4CE856">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机房空调</w:t>
            </w:r>
          </w:p>
        </w:tc>
        <w:tc>
          <w:tcPr>
            <w:tcW w:w="4546" w:type="dxa"/>
            <w:tcBorders>
              <w:top w:val="single" w:color="auto" w:sz="4" w:space="0"/>
              <w:left w:val="single" w:color="auto" w:sz="4" w:space="0"/>
              <w:bottom w:val="single" w:color="auto" w:sz="4" w:space="0"/>
              <w:right w:val="single" w:color="auto" w:sz="4" w:space="0"/>
            </w:tcBorders>
            <w:vAlign w:val="center"/>
          </w:tcPr>
          <w:p w14:paraId="3CFFC0B4">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《单元式空气调节机能效限定值及能效等级》（GB19576）</w:t>
            </w:r>
          </w:p>
        </w:tc>
      </w:tr>
      <w:tr w14:paraId="21C82943">
        <w:tblPrEx>
          <w:tblCellMar>
            <w:top w:w="0" w:type="dxa"/>
            <w:left w:w="108" w:type="dxa"/>
            <w:bottom w:w="0" w:type="dxa"/>
            <w:right w:w="108" w:type="dxa"/>
          </w:tblCellMar>
        </w:tblPrEx>
        <w:trPr>
          <w:trHeight w:val="735" w:hRule="atLeast"/>
        </w:trPr>
        <w:tc>
          <w:tcPr>
            <w:tcW w:w="715" w:type="dxa"/>
            <w:vMerge w:val="continue"/>
            <w:tcBorders>
              <w:top w:val="single" w:color="auto" w:sz="4" w:space="0"/>
              <w:left w:val="single" w:color="auto" w:sz="4" w:space="0"/>
              <w:bottom w:val="single" w:color="auto" w:sz="4" w:space="0"/>
              <w:right w:val="single" w:color="auto" w:sz="4" w:space="0"/>
            </w:tcBorders>
            <w:vAlign w:val="center"/>
          </w:tcPr>
          <w:p w14:paraId="16027EEF">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p>
        </w:tc>
        <w:tc>
          <w:tcPr>
            <w:tcW w:w="1352" w:type="dxa"/>
            <w:vMerge w:val="continue"/>
            <w:tcBorders>
              <w:top w:val="single" w:color="auto" w:sz="4" w:space="0"/>
              <w:left w:val="single" w:color="auto" w:sz="4" w:space="0"/>
              <w:bottom w:val="single" w:color="auto" w:sz="4" w:space="0"/>
              <w:right w:val="single" w:color="auto" w:sz="4" w:space="0"/>
            </w:tcBorders>
            <w:vAlign w:val="center"/>
          </w:tcPr>
          <w:p w14:paraId="40ADD45B">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p>
        </w:tc>
        <w:tc>
          <w:tcPr>
            <w:tcW w:w="1632" w:type="dxa"/>
            <w:tcBorders>
              <w:top w:val="single" w:color="auto" w:sz="4" w:space="0"/>
              <w:left w:val="single" w:color="auto" w:sz="4" w:space="0"/>
              <w:bottom w:val="single" w:color="auto" w:sz="4" w:space="0"/>
              <w:right w:val="single" w:color="auto" w:sz="4" w:space="0"/>
            </w:tcBorders>
            <w:vAlign w:val="center"/>
          </w:tcPr>
          <w:p w14:paraId="3C865B19">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A02052399其他制冷空调设备</w:t>
            </w:r>
          </w:p>
        </w:tc>
        <w:tc>
          <w:tcPr>
            <w:tcW w:w="1607" w:type="dxa"/>
            <w:tcBorders>
              <w:top w:val="single" w:color="auto" w:sz="4" w:space="0"/>
              <w:left w:val="single" w:color="auto" w:sz="4" w:space="0"/>
              <w:bottom w:val="single" w:color="auto" w:sz="4" w:space="0"/>
              <w:right w:val="single" w:color="auto" w:sz="4" w:space="0"/>
            </w:tcBorders>
            <w:vAlign w:val="center"/>
          </w:tcPr>
          <w:p w14:paraId="49CB0D8B">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冷却塔</w:t>
            </w:r>
          </w:p>
        </w:tc>
        <w:tc>
          <w:tcPr>
            <w:tcW w:w="4546" w:type="dxa"/>
            <w:tcBorders>
              <w:top w:val="single" w:color="auto" w:sz="4" w:space="0"/>
              <w:left w:val="single" w:color="auto" w:sz="4" w:space="0"/>
              <w:bottom w:val="single" w:color="auto" w:sz="4" w:space="0"/>
              <w:right w:val="single" w:color="auto" w:sz="4" w:space="0"/>
            </w:tcBorders>
            <w:vAlign w:val="center"/>
          </w:tcPr>
          <w:p w14:paraId="2789E8EE">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《机械通风冷却塔第1部分：中小型开式冷却塔》（GB/T7190.1）；《机械通风冷却塔第2部分：大型开式冷却塔》（GB/T7190.2）</w:t>
            </w:r>
          </w:p>
        </w:tc>
      </w:tr>
      <w:tr w14:paraId="47FB0683">
        <w:tblPrEx>
          <w:tblCellMar>
            <w:top w:w="0" w:type="dxa"/>
            <w:left w:w="108" w:type="dxa"/>
            <w:bottom w:w="0" w:type="dxa"/>
            <w:right w:w="108" w:type="dxa"/>
          </w:tblCellMar>
        </w:tblPrEx>
        <w:trPr>
          <w:trHeight w:val="495" w:hRule="atLeast"/>
        </w:trPr>
        <w:tc>
          <w:tcPr>
            <w:tcW w:w="715" w:type="dxa"/>
            <w:tcBorders>
              <w:top w:val="single" w:color="auto" w:sz="4" w:space="0"/>
              <w:left w:val="single" w:color="000000" w:sz="8" w:space="0"/>
              <w:bottom w:val="single" w:color="000000" w:sz="8" w:space="0"/>
              <w:right w:val="single" w:color="000000" w:sz="8" w:space="0"/>
            </w:tcBorders>
            <w:vAlign w:val="center"/>
          </w:tcPr>
          <w:p w14:paraId="6895CFB7">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7</w:t>
            </w:r>
          </w:p>
        </w:tc>
        <w:tc>
          <w:tcPr>
            <w:tcW w:w="1352" w:type="dxa"/>
            <w:tcBorders>
              <w:top w:val="single" w:color="auto" w:sz="4" w:space="0"/>
              <w:left w:val="nil"/>
              <w:bottom w:val="single" w:color="000000" w:sz="8" w:space="0"/>
              <w:right w:val="single" w:color="000000" w:sz="8" w:space="0"/>
            </w:tcBorders>
            <w:vAlign w:val="center"/>
          </w:tcPr>
          <w:p w14:paraId="3140732B">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A020601电机</w:t>
            </w:r>
          </w:p>
        </w:tc>
        <w:tc>
          <w:tcPr>
            <w:tcW w:w="1632" w:type="dxa"/>
            <w:tcBorders>
              <w:top w:val="single" w:color="auto" w:sz="4" w:space="0"/>
              <w:left w:val="nil"/>
              <w:bottom w:val="single" w:color="000000" w:sz="8" w:space="0"/>
              <w:right w:val="single" w:color="000000" w:sz="8" w:space="0"/>
            </w:tcBorders>
            <w:vAlign w:val="center"/>
          </w:tcPr>
          <w:p w14:paraId="7CA01A67">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　</w:t>
            </w:r>
          </w:p>
        </w:tc>
        <w:tc>
          <w:tcPr>
            <w:tcW w:w="1607" w:type="dxa"/>
            <w:tcBorders>
              <w:top w:val="single" w:color="auto" w:sz="4" w:space="0"/>
              <w:left w:val="nil"/>
              <w:bottom w:val="single" w:color="000000" w:sz="8" w:space="0"/>
              <w:right w:val="single" w:color="000000" w:sz="8" w:space="0"/>
            </w:tcBorders>
            <w:vAlign w:val="center"/>
          </w:tcPr>
          <w:p w14:paraId="46386FBD">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　</w:t>
            </w:r>
          </w:p>
        </w:tc>
        <w:tc>
          <w:tcPr>
            <w:tcW w:w="4546" w:type="dxa"/>
            <w:tcBorders>
              <w:top w:val="single" w:color="auto" w:sz="4" w:space="0"/>
              <w:left w:val="nil"/>
              <w:bottom w:val="single" w:color="000000" w:sz="8" w:space="0"/>
              <w:right w:val="single" w:color="000000" w:sz="8" w:space="0"/>
            </w:tcBorders>
            <w:vAlign w:val="center"/>
          </w:tcPr>
          <w:p w14:paraId="04461458">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《中小型三相异步电动机能效限定值及能效等级》（GB18613）</w:t>
            </w:r>
          </w:p>
        </w:tc>
      </w:tr>
      <w:tr w14:paraId="56B41424">
        <w:tblPrEx>
          <w:tblCellMar>
            <w:top w:w="0" w:type="dxa"/>
            <w:left w:w="108" w:type="dxa"/>
            <w:bottom w:w="0" w:type="dxa"/>
            <w:right w:w="108" w:type="dxa"/>
          </w:tblCellMar>
        </w:tblPrEx>
        <w:trPr>
          <w:trHeight w:val="495" w:hRule="atLeast"/>
        </w:trPr>
        <w:tc>
          <w:tcPr>
            <w:tcW w:w="715" w:type="dxa"/>
            <w:tcBorders>
              <w:top w:val="nil"/>
              <w:left w:val="single" w:color="000000" w:sz="8" w:space="0"/>
              <w:bottom w:val="single" w:color="000000" w:sz="8" w:space="0"/>
              <w:right w:val="single" w:color="000000" w:sz="8" w:space="0"/>
            </w:tcBorders>
            <w:vAlign w:val="center"/>
          </w:tcPr>
          <w:p w14:paraId="3027CD87">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8</w:t>
            </w:r>
          </w:p>
        </w:tc>
        <w:tc>
          <w:tcPr>
            <w:tcW w:w="1352" w:type="dxa"/>
            <w:tcBorders>
              <w:top w:val="nil"/>
              <w:left w:val="nil"/>
              <w:bottom w:val="single" w:color="000000" w:sz="8" w:space="0"/>
              <w:right w:val="single" w:color="000000" w:sz="8" w:space="0"/>
            </w:tcBorders>
            <w:vAlign w:val="center"/>
          </w:tcPr>
          <w:p w14:paraId="30AF9498">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A020602变压器</w:t>
            </w:r>
          </w:p>
        </w:tc>
        <w:tc>
          <w:tcPr>
            <w:tcW w:w="1632" w:type="dxa"/>
            <w:tcBorders>
              <w:top w:val="nil"/>
              <w:left w:val="nil"/>
              <w:bottom w:val="single" w:color="000000" w:sz="8" w:space="0"/>
              <w:right w:val="single" w:color="000000" w:sz="8" w:space="0"/>
            </w:tcBorders>
            <w:vAlign w:val="center"/>
          </w:tcPr>
          <w:p w14:paraId="2ED1C4E5">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配电变压器</w:t>
            </w:r>
          </w:p>
        </w:tc>
        <w:tc>
          <w:tcPr>
            <w:tcW w:w="1607" w:type="dxa"/>
            <w:tcBorders>
              <w:top w:val="nil"/>
              <w:left w:val="nil"/>
              <w:bottom w:val="single" w:color="000000" w:sz="8" w:space="0"/>
              <w:right w:val="single" w:color="000000" w:sz="8" w:space="0"/>
            </w:tcBorders>
            <w:vAlign w:val="center"/>
          </w:tcPr>
          <w:p w14:paraId="237CEC31">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　</w:t>
            </w:r>
          </w:p>
        </w:tc>
        <w:tc>
          <w:tcPr>
            <w:tcW w:w="4546" w:type="dxa"/>
            <w:tcBorders>
              <w:top w:val="nil"/>
              <w:left w:val="nil"/>
              <w:bottom w:val="single" w:color="000000" w:sz="8" w:space="0"/>
              <w:right w:val="single" w:color="000000" w:sz="8" w:space="0"/>
            </w:tcBorders>
            <w:vAlign w:val="center"/>
          </w:tcPr>
          <w:p w14:paraId="64481F29">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《三相配电变压器能效限定值及能效等级》（GB20052）</w:t>
            </w:r>
          </w:p>
        </w:tc>
      </w:tr>
      <w:tr w14:paraId="51D18C1E">
        <w:tblPrEx>
          <w:tblCellMar>
            <w:top w:w="0" w:type="dxa"/>
            <w:left w:w="108" w:type="dxa"/>
            <w:bottom w:w="0" w:type="dxa"/>
            <w:right w:w="108" w:type="dxa"/>
          </w:tblCellMar>
        </w:tblPrEx>
        <w:trPr>
          <w:trHeight w:val="495" w:hRule="atLeast"/>
        </w:trPr>
        <w:tc>
          <w:tcPr>
            <w:tcW w:w="715" w:type="dxa"/>
            <w:tcBorders>
              <w:top w:val="nil"/>
              <w:left w:val="single" w:color="000000" w:sz="8" w:space="0"/>
              <w:bottom w:val="single" w:color="000000" w:sz="8" w:space="0"/>
              <w:right w:val="single" w:color="000000" w:sz="8" w:space="0"/>
            </w:tcBorders>
            <w:vAlign w:val="center"/>
          </w:tcPr>
          <w:p w14:paraId="7FD0A1B5">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9</w:t>
            </w:r>
          </w:p>
        </w:tc>
        <w:tc>
          <w:tcPr>
            <w:tcW w:w="1352" w:type="dxa"/>
            <w:tcBorders>
              <w:top w:val="nil"/>
              <w:left w:val="nil"/>
              <w:bottom w:val="single" w:color="000000" w:sz="8" w:space="0"/>
              <w:right w:val="single" w:color="000000" w:sz="8" w:space="0"/>
            </w:tcBorders>
            <w:vAlign w:val="center"/>
          </w:tcPr>
          <w:p w14:paraId="30233D7E">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★A020609镇流器</w:t>
            </w:r>
          </w:p>
        </w:tc>
        <w:tc>
          <w:tcPr>
            <w:tcW w:w="1632" w:type="dxa"/>
            <w:tcBorders>
              <w:top w:val="nil"/>
              <w:left w:val="nil"/>
              <w:bottom w:val="single" w:color="000000" w:sz="8" w:space="0"/>
              <w:right w:val="single" w:color="000000" w:sz="8" w:space="0"/>
            </w:tcBorders>
            <w:vAlign w:val="center"/>
          </w:tcPr>
          <w:p w14:paraId="4D40FDF1">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管型荧光灯镇流器</w:t>
            </w:r>
          </w:p>
        </w:tc>
        <w:tc>
          <w:tcPr>
            <w:tcW w:w="1607" w:type="dxa"/>
            <w:tcBorders>
              <w:top w:val="nil"/>
              <w:left w:val="nil"/>
              <w:bottom w:val="single" w:color="000000" w:sz="8" w:space="0"/>
              <w:right w:val="single" w:color="000000" w:sz="8" w:space="0"/>
            </w:tcBorders>
            <w:vAlign w:val="center"/>
          </w:tcPr>
          <w:p w14:paraId="1BBEF7AB">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　</w:t>
            </w:r>
          </w:p>
        </w:tc>
        <w:tc>
          <w:tcPr>
            <w:tcW w:w="4546" w:type="dxa"/>
            <w:tcBorders>
              <w:top w:val="nil"/>
              <w:left w:val="nil"/>
              <w:bottom w:val="single" w:color="000000" w:sz="8" w:space="0"/>
              <w:right w:val="single" w:color="000000" w:sz="8" w:space="0"/>
            </w:tcBorders>
            <w:vAlign w:val="center"/>
          </w:tcPr>
          <w:p w14:paraId="0184239D">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《管形荧光灯镇流器能效限定值及能效等级》（GB17896）</w:t>
            </w:r>
          </w:p>
        </w:tc>
      </w:tr>
      <w:tr w14:paraId="058C1249">
        <w:tblPrEx>
          <w:tblCellMar>
            <w:top w:w="0" w:type="dxa"/>
            <w:left w:w="108" w:type="dxa"/>
            <w:bottom w:w="0" w:type="dxa"/>
            <w:right w:w="108" w:type="dxa"/>
          </w:tblCellMar>
        </w:tblPrEx>
        <w:trPr>
          <w:trHeight w:val="495" w:hRule="atLeast"/>
        </w:trPr>
        <w:tc>
          <w:tcPr>
            <w:tcW w:w="715" w:type="dxa"/>
            <w:vMerge w:val="restart"/>
            <w:tcBorders>
              <w:top w:val="nil"/>
              <w:left w:val="single" w:color="000000" w:sz="8" w:space="0"/>
              <w:bottom w:val="single" w:color="000000" w:sz="8" w:space="0"/>
              <w:right w:val="single" w:color="000000" w:sz="8" w:space="0"/>
            </w:tcBorders>
            <w:vAlign w:val="center"/>
          </w:tcPr>
          <w:p w14:paraId="37BC2D22">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w:t>
            </w:r>
          </w:p>
        </w:tc>
        <w:tc>
          <w:tcPr>
            <w:tcW w:w="1352" w:type="dxa"/>
            <w:vMerge w:val="restart"/>
            <w:tcBorders>
              <w:top w:val="nil"/>
              <w:left w:val="single" w:color="000000" w:sz="8" w:space="0"/>
              <w:bottom w:val="single" w:color="000000" w:sz="8" w:space="0"/>
              <w:right w:val="single" w:color="000000" w:sz="8" w:space="0"/>
            </w:tcBorders>
            <w:vAlign w:val="center"/>
          </w:tcPr>
          <w:p w14:paraId="3BC15497">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A020618生活用电器</w:t>
            </w:r>
          </w:p>
        </w:tc>
        <w:tc>
          <w:tcPr>
            <w:tcW w:w="1632" w:type="dxa"/>
            <w:tcBorders>
              <w:top w:val="nil"/>
              <w:left w:val="nil"/>
              <w:bottom w:val="single" w:color="000000" w:sz="8" w:space="0"/>
              <w:right w:val="single" w:color="000000" w:sz="8" w:space="0"/>
            </w:tcBorders>
            <w:vAlign w:val="center"/>
          </w:tcPr>
          <w:p w14:paraId="0A817F67">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A0206180101电冰箱</w:t>
            </w:r>
          </w:p>
        </w:tc>
        <w:tc>
          <w:tcPr>
            <w:tcW w:w="1607" w:type="dxa"/>
            <w:tcBorders>
              <w:top w:val="nil"/>
              <w:left w:val="nil"/>
              <w:bottom w:val="single" w:color="000000" w:sz="8" w:space="0"/>
              <w:right w:val="single" w:color="000000" w:sz="8" w:space="0"/>
            </w:tcBorders>
            <w:vAlign w:val="center"/>
          </w:tcPr>
          <w:p w14:paraId="7621AA14">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　</w:t>
            </w:r>
          </w:p>
        </w:tc>
        <w:tc>
          <w:tcPr>
            <w:tcW w:w="4546" w:type="dxa"/>
            <w:tcBorders>
              <w:top w:val="nil"/>
              <w:left w:val="nil"/>
              <w:bottom w:val="single" w:color="000000" w:sz="8" w:space="0"/>
              <w:right w:val="single" w:color="000000" w:sz="8" w:space="0"/>
            </w:tcBorders>
            <w:vAlign w:val="center"/>
          </w:tcPr>
          <w:p w14:paraId="68F9F12E">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《家用电冰箱耗电量限定值及能效等级》（GB 12021.2）</w:t>
            </w:r>
          </w:p>
        </w:tc>
      </w:tr>
      <w:tr w14:paraId="6502CA38">
        <w:tblPrEx>
          <w:tblCellMar>
            <w:top w:w="0" w:type="dxa"/>
            <w:left w:w="108" w:type="dxa"/>
            <w:bottom w:w="0" w:type="dxa"/>
            <w:right w:w="108" w:type="dxa"/>
          </w:tblCellMar>
        </w:tblPrEx>
        <w:trPr>
          <w:trHeight w:val="975" w:hRule="atLeast"/>
        </w:trPr>
        <w:tc>
          <w:tcPr>
            <w:tcW w:w="715" w:type="dxa"/>
            <w:vMerge w:val="continue"/>
            <w:tcBorders>
              <w:top w:val="nil"/>
              <w:left w:val="single" w:color="000000" w:sz="8" w:space="0"/>
              <w:bottom w:val="single" w:color="000000" w:sz="8" w:space="0"/>
              <w:right w:val="single" w:color="000000" w:sz="8" w:space="0"/>
            </w:tcBorders>
            <w:vAlign w:val="center"/>
          </w:tcPr>
          <w:p w14:paraId="06D30E51">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p>
        </w:tc>
        <w:tc>
          <w:tcPr>
            <w:tcW w:w="1352" w:type="dxa"/>
            <w:vMerge w:val="continue"/>
            <w:tcBorders>
              <w:top w:val="nil"/>
              <w:left w:val="single" w:color="000000" w:sz="8" w:space="0"/>
              <w:bottom w:val="single" w:color="000000" w:sz="8" w:space="0"/>
              <w:right w:val="single" w:color="000000" w:sz="8" w:space="0"/>
            </w:tcBorders>
            <w:vAlign w:val="center"/>
          </w:tcPr>
          <w:p w14:paraId="6BBC12AC">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p>
        </w:tc>
        <w:tc>
          <w:tcPr>
            <w:tcW w:w="1632" w:type="dxa"/>
            <w:vMerge w:val="restart"/>
            <w:tcBorders>
              <w:top w:val="nil"/>
              <w:left w:val="single" w:color="000000" w:sz="8" w:space="0"/>
              <w:bottom w:val="single" w:color="000000" w:sz="8" w:space="0"/>
              <w:right w:val="single" w:color="000000" w:sz="8" w:space="0"/>
            </w:tcBorders>
            <w:vAlign w:val="center"/>
          </w:tcPr>
          <w:p w14:paraId="0DE5DB11">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★A0206180203空调机</w:t>
            </w:r>
          </w:p>
        </w:tc>
        <w:tc>
          <w:tcPr>
            <w:tcW w:w="1607" w:type="dxa"/>
            <w:tcBorders>
              <w:top w:val="nil"/>
              <w:left w:val="nil"/>
              <w:bottom w:val="single" w:color="000000" w:sz="8" w:space="0"/>
              <w:right w:val="single" w:color="000000" w:sz="8" w:space="0"/>
            </w:tcBorders>
            <w:vAlign w:val="center"/>
          </w:tcPr>
          <w:p w14:paraId="664AA7CB">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房间空气调节器</w:t>
            </w:r>
          </w:p>
        </w:tc>
        <w:tc>
          <w:tcPr>
            <w:tcW w:w="4546" w:type="dxa"/>
            <w:tcBorders>
              <w:top w:val="nil"/>
              <w:left w:val="nil"/>
              <w:bottom w:val="single" w:color="000000" w:sz="8" w:space="0"/>
              <w:right w:val="single" w:color="000000" w:sz="8" w:space="0"/>
            </w:tcBorders>
            <w:vAlign w:val="center"/>
          </w:tcPr>
          <w:p w14:paraId="657C2762">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《转速可控型房间空气调节器能效限定值及能效等级》（GB21455-2013），待2019年修订发布后，按《房间空气调节器能效限定值及能效等级》（GB21455-2019实施。</w:t>
            </w:r>
          </w:p>
        </w:tc>
      </w:tr>
      <w:tr w14:paraId="5779BE0F">
        <w:tblPrEx>
          <w:tblCellMar>
            <w:top w:w="0" w:type="dxa"/>
            <w:left w:w="108" w:type="dxa"/>
            <w:bottom w:w="0" w:type="dxa"/>
            <w:right w:w="108" w:type="dxa"/>
          </w:tblCellMar>
        </w:tblPrEx>
        <w:trPr>
          <w:trHeight w:val="735" w:hRule="atLeast"/>
        </w:trPr>
        <w:tc>
          <w:tcPr>
            <w:tcW w:w="715" w:type="dxa"/>
            <w:vMerge w:val="continue"/>
            <w:tcBorders>
              <w:top w:val="nil"/>
              <w:left w:val="single" w:color="000000" w:sz="8" w:space="0"/>
              <w:bottom w:val="single" w:color="000000" w:sz="8" w:space="0"/>
              <w:right w:val="single" w:color="000000" w:sz="8" w:space="0"/>
            </w:tcBorders>
            <w:vAlign w:val="center"/>
          </w:tcPr>
          <w:p w14:paraId="660DE8DD">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p>
        </w:tc>
        <w:tc>
          <w:tcPr>
            <w:tcW w:w="1352" w:type="dxa"/>
            <w:vMerge w:val="continue"/>
            <w:tcBorders>
              <w:top w:val="nil"/>
              <w:left w:val="single" w:color="000000" w:sz="8" w:space="0"/>
              <w:bottom w:val="single" w:color="000000" w:sz="8" w:space="0"/>
              <w:right w:val="single" w:color="000000" w:sz="8" w:space="0"/>
            </w:tcBorders>
            <w:vAlign w:val="center"/>
          </w:tcPr>
          <w:p w14:paraId="2FC15FD8">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p>
        </w:tc>
        <w:tc>
          <w:tcPr>
            <w:tcW w:w="1632" w:type="dxa"/>
            <w:vMerge w:val="continue"/>
            <w:tcBorders>
              <w:top w:val="nil"/>
              <w:left w:val="single" w:color="000000" w:sz="8" w:space="0"/>
              <w:bottom w:val="single" w:color="000000" w:sz="8" w:space="0"/>
              <w:right w:val="single" w:color="000000" w:sz="8" w:space="0"/>
            </w:tcBorders>
            <w:vAlign w:val="center"/>
          </w:tcPr>
          <w:p w14:paraId="69C5E1DD">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p>
        </w:tc>
        <w:tc>
          <w:tcPr>
            <w:tcW w:w="1607" w:type="dxa"/>
            <w:tcBorders>
              <w:top w:val="nil"/>
              <w:left w:val="nil"/>
              <w:bottom w:val="single" w:color="000000" w:sz="8" w:space="0"/>
              <w:right w:val="single" w:color="000000" w:sz="8" w:space="0"/>
            </w:tcBorders>
            <w:vAlign w:val="center"/>
          </w:tcPr>
          <w:p w14:paraId="63B4D029">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多联式空调（热泵）机组（制冷量≤ 14000W）</w:t>
            </w:r>
          </w:p>
        </w:tc>
        <w:tc>
          <w:tcPr>
            <w:tcW w:w="4546" w:type="dxa"/>
            <w:tcBorders>
              <w:top w:val="nil"/>
              <w:left w:val="nil"/>
              <w:bottom w:val="single" w:color="000000" w:sz="8" w:space="0"/>
              <w:right w:val="single" w:color="000000" w:sz="8" w:space="0"/>
            </w:tcBorders>
            <w:vAlign w:val="center"/>
          </w:tcPr>
          <w:p w14:paraId="0DB5BE4A">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《多联式空调（热泵）机组能效限定值及能源效率等级》（GB21454）</w:t>
            </w:r>
          </w:p>
        </w:tc>
      </w:tr>
      <w:tr w14:paraId="516C17DE">
        <w:tblPrEx>
          <w:tblCellMar>
            <w:top w:w="0" w:type="dxa"/>
            <w:left w:w="108" w:type="dxa"/>
            <w:bottom w:w="0" w:type="dxa"/>
            <w:right w:w="108" w:type="dxa"/>
          </w:tblCellMar>
        </w:tblPrEx>
        <w:trPr>
          <w:trHeight w:val="735" w:hRule="atLeast"/>
        </w:trPr>
        <w:tc>
          <w:tcPr>
            <w:tcW w:w="715" w:type="dxa"/>
            <w:vMerge w:val="continue"/>
            <w:tcBorders>
              <w:top w:val="nil"/>
              <w:left w:val="single" w:color="000000" w:sz="8" w:space="0"/>
              <w:bottom w:val="single" w:color="000000" w:sz="8" w:space="0"/>
              <w:right w:val="single" w:color="000000" w:sz="8" w:space="0"/>
            </w:tcBorders>
            <w:vAlign w:val="center"/>
          </w:tcPr>
          <w:p w14:paraId="48438681">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p>
        </w:tc>
        <w:tc>
          <w:tcPr>
            <w:tcW w:w="1352" w:type="dxa"/>
            <w:vMerge w:val="continue"/>
            <w:tcBorders>
              <w:top w:val="nil"/>
              <w:left w:val="single" w:color="000000" w:sz="8" w:space="0"/>
              <w:bottom w:val="single" w:color="000000" w:sz="8" w:space="0"/>
              <w:right w:val="single" w:color="000000" w:sz="8" w:space="0"/>
            </w:tcBorders>
            <w:vAlign w:val="center"/>
          </w:tcPr>
          <w:p w14:paraId="62580047">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p>
        </w:tc>
        <w:tc>
          <w:tcPr>
            <w:tcW w:w="1632" w:type="dxa"/>
            <w:vMerge w:val="continue"/>
            <w:tcBorders>
              <w:top w:val="nil"/>
              <w:left w:val="single" w:color="000000" w:sz="8" w:space="0"/>
              <w:bottom w:val="single" w:color="000000" w:sz="8" w:space="0"/>
              <w:right w:val="single" w:color="000000" w:sz="8" w:space="0"/>
            </w:tcBorders>
            <w:vAlign w:val="center"/>
          </w:tcPr>
          <w:p w14:paraId="342A9041">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p>
        </w:tc>
        <w:tc>
          <w:tcPr>
            <w:tcW w:w="1607" w:type="dxa"/>
            <w:tcBorders>
              <w:top w:val="nil"/>
              <w:left w:val="nil"/>
              <w:bottom w:val="single" w:color="000000" w:sz="8" w:space="0"/>
              <w:right w:val="single" w:color="000000" w:sz="8" w:space="0"/>
            </w:tcBorders>
            <w:vAlign w:val="center"/>
          </w:tcPr>
          <w:p w14:paraId="418CC303">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单元式空气调节机(制冷量≤14000W)</w:t>
            </w:r>
          </w:p>
        </w:tc>
        <w:tc>
          <w:tcPr>
            <w:tcW w:w="4546" w:type="dxa"/>
            <w:tcBorders>
              <w:top w:val="nil"/>
              <w:left w:val="nil"/>
              <w:bottom w:val="single" w:color="000000" w:sz="8" w:space="0"/>
              <w:right w:val="single" w:color="000000" w:sz="8" w:space="0"/>
            </w:tcBorders>
            <w:vAlign w:val="center"/>
          </w:tcPr>
          <w:p w14:paraId="369D8A11">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《单元式空气调节机能效限定值及能源效率等级》（GB19576）《风管送风式空调机组能效限定值及能效等级》（GB37479）</w:t>
            </w:r>
          </w:p>
        </w:tc>
      </w:tr>
      <w:tr w14:paraId="394B0BDD">
        <w:tblPrEx>
          <w:tblCellMar>
            <w:top w:w="0" w:type="dxa"/>
            <w:left w:w="108" w:type="dxa"/>
            <w:bottom w:w="0" w:type="dxa"/>
            <w:right w:w="108" w:type="dxa"/>
          </w:tblCellMar>
        </w:tblPrEx>
        <w:trPr>
          <w:trHeight w:val="495" w:hRule="atLeast"/>
        </w:trPr>
        <w:tc>
          <w:tcPr>
            <w:tcW w:w="715" w:type="dxa"/>
            <w:vMerge w:val="continue"/>
            <w:tcBorders>
              <w:top w:val="nil"/>
              <w:left w:val="single" w:color="000000" w:sz="8" w:space="0"/>
              <w:bottom w:val="single" w:color="000000" w:sz="8" w:space="0"/>
              <w:right w:val="single" w:color="000000" w:sz="8" w:space="0"/>
            </w:tcBorders>
            <w:vAlign w:val="center"/>
          </w:tcPr>
          <w:p w14:paraId="3254B432">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p>
        </w:tc>
        <w:tc>
          <w:tcPr>
            <w:tcW w:w="1352" w:type="dxa"/>
            <w:vMerge w:val="continue"/>
            <w:tcBorders>
              <w:top w:val="nil"/>
              <w:left w:val="single" w:color="000000" w:sz="8" w:space="0"/>
              <w:bottom w:val="single" w:color="000000" w:sz="8" w:space="0"/>
              <w:right w:val="single" w:color="000000" w:sz="8" w:space="0"/>
            </w:tcBorders>
            <w:vAlign w:val="center"/>
          </w:tcPr>
          <w:p w14:paraId="2F695D00">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p>
        </w:tc>
        <w:tc>
          <w:tcPr>
            <w:tcW w:w="1632" w:type="dxa"/>
            <w:tcBorders>
              <w:top w:val="nil"/>
              <w:left w:val="nil"/>
              <w:bottom w:val="single" w:color="000000" w:sz="8" w:space="0"/>
              <w:right w:val="single" w:color="000000" w:sz="8" w:space="0"/>
            </w:tcBorders>
            <w:vAlign w:val="center"/>
          </w:tcPr>
          <w:p w14:paraId="0E9F96B3">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A0206180301洗衣机</w:t>
            </w:r>
          </w:p>
        </w:tc>
        <w:tc>
          <w:tcPr>
            <w:tcW w:w="1607" w:type="dxa"/>
            <w:tcBorders>
              <w:top w:val="nil"/>
              <w:left w:val="nil"/>
              <w:bottom w:val="single" w:color="000000" w:sz="8" w:space="0"/>
              <w:right w:val="single" w:color="000000" w:sz="8" w:space="0"/>
            </w:tcBorders>
            <w:vAlign w:val="center"/>
          </w:tcPr>
          <w:p w14:paraId="3E56DDED">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　</w:t>
            </w:r>
          </w:p>
        </w:tc>
        <w:tc>
          <w:tcPr>
            <w:tcW w:w="4546" w:type="dxa"/>
            <w:tcBorders>
              <w:top w:val="nil"/>
              <w:left w:val="nil"/>
              <w:bottom w:val="single" w:color="000000" w:sz="8" w:space="0"/>
              <w:right w:val="single" w:color="000000" w:sz="8" w:space="0"/>
            </w:tcBorders>
            <w:vAlign w:val="center"/>
          </w:tcPr>
          <w:p w14:paraId="28426267">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《电动洗衣机能效水效限定值及等级》（GB12021.4）</w:t>
            </w:r>
          </w:p>
        </w:tc>
      </w:tr>
      <w:tr w14:paraId="736A7947">
        <w:tblPrEx>
          <w:tblCellMar>
            <w:top w:w="0" w:type="dxa"/>
            <w:left w:w="108" w:type="dxa"/>
            <w:bottom w:w="0" w:type="dxa"/>
            <w:right w:w="108" w:type="dxa"/>
          </w:tblCellMar>
        </w:tblPrEx>
        <w:trPr>
          <w:trHeight w:val="495" w:hRule="atLeast"/>
        </w:trPr>
        <w:tc>
          <w:tcPr>
            <w:tcW w:w="715" w:type="dxa"/>
            <w:vMerge w:val="continue"/>
            <w:tcBorders>
              <w:top w:val="nil"/>
              <w:left w:val="single" w:color="000000" w:sz="8" w:space="0"/>
              <w:bottom w:val="single" w:color="000000" w:sz="8" w:space="0"/>
              <w:right w:val="single" w:color="000000" w:sz="8" w:space="0"/>
            </w:tcBorders>
            <w:vAlign w:val="center"/>
          </w:tcPr>
          <w:p w14:paraId="2A645733">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p>
        </w:tc>
        <w:tc>
          <w:tcPr>
            <w:tcW w:w="1352" w:type="dxa"/>
            <w:vMerge w:val="continue"/>
            <w:tcBorders>
              <w:top w:val="nil"/>
              <w:left w:val="single" w:color="000000" w:sz="8" w:space="0"/>
              <w:bottom w:val="single" w:color="000000" w:sz="8" w:space="0"/>
              <w:right w:val="single" w:color="000000" w:sz="8" w:space="0"/>
            </w:tcBorders>
            <w:vAlign w:val="center"/>
          </w:tcPr>
          <w:p w14:paraId="34EEE04E">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p>
        </w:tc>
        <w:tc>
          <w:tcPr>
            <w:tcW w:w="1632" w:type="dxa"/>
            <w:vMerge w:val="restart"/>
            <w:tcBorders>
              <w:top w:val="nil"/>
              <w:left w:val="single" w:color="000000" w:sz="8" w:space="0"/>
              <w:bottom w:val="single" w:color="000000" w:sz="8" w:space="0"/>
              <w:right w:val="single" w:color="000000" w:sz="8" w:space="0"/>
            </w:tcBorders>
            <w:vAlign w:val="center"/>
          </w:tcPr>
          <w:p w14:paraId="7A133E87">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A02061808热水器</w:t>
            </w:r>
          </w:p>
        </w:tc>
        <w:tc>
          <w:tcPr>
            <w:tcW w:w="1607" w:type="dxa"/>
            <w:tcBorders>
              <w:top w:val="nil"/>
              <w:left w:val="nil"/>
              <w:bottom w:val="single" w:color="000000" w:sz="8" w:space="0"/>
              <w:right w:val="single" w:color="000000" w:sz="8" w:space="0"/>
            </w:tcBorders>
            <w:vAlign w:val="center"/>
          </w:tcPr>
          <w:p w14:paraId="4D8396A5">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★电热水器</w:t>
            </w:r>
          </w:p>
        </w:tc>
        <w:tc>
          <w:tcPr>
            <w:tcW w:w="4546" w:type="dxa"/>
            <w:tcBorders>
              <w:top w:val="nil"/>
              <w:left w:val="nil"/>
              <w:bottom w:val="single" w:color="000000" w:sz="8" w:space="0"/>
              <w:right w:val="single" w:color="000000" w:sz="8" w:space="0"/>
            </w:tcBorders>
            <w:vAlign w:val="center"/>
          </w:tcPr>
          <w:p w14:paraId="779B7C0C">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《储水式电热水器能效限定值及能效等级》（GB21519）</w:t>
            </w:r>
          </w:p>
        </w:tc>
      </w:tr>
      <w:tr w14:paraId="6C322444">
        <w:tblPrEx>
          <w:tblCellMar>
            <w:top w:w="0" w:type="dxa"/>
            <w:left w:w="108" w:type="dxa"/>
            <w:bottom w:w="0" w:type="dxa"/>
            <w:right w:w="108" w:type="dxa"/>
          </w:tblCellMar>
        </w:tblPrEx>
        <w:trPr>
          <w:trHeight w:val="495" w:hRule="atLeast"/>
        </w:trPr>
        <w:tc>
          <w:tcPr>
            <w:tcW w:w="715" w:type="dxa"/>
            <w:vMerge w:val="continue"/>
            <w:tcBorders>
              <w:top w:val="nil"/>
              <w:left w:val="single" w:color="000000" w:sz="8" w:space="0"/>
              <w:bottom w:val="single" w:color="000000" w:sz="8" w:space="0"/>
              <w:right w:val="single" w:color="000000" w:sz="8" w:space="0"/>
            </w:tcBorders>
            <w:vAlign w:val="center"/>
          </w:tcPr>
          <w:p w14:paraId="409137EE">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p>
        </w:tc>
        <w:tc>
          <w:tcPr>
            <w:tcW w:w="1352" w:type="dxa"/>
            <w:vMerge w:val="continue"/>
            <w:tcBorders>
              <w:top w:val="nil"/>
              <w:left w:val="single" w:color="000000" w:sz="8" w:space="0"/>
              <w:bottom w:val="single" w:color="000000" w:sz="8" w:space="0"/>
              <w:right w:val="single" w:color="000000" w:sz="8" w:space="0"/>
            </w:tcBorders>
            <w:vAlign w:val="center"/>
          </w:tcPr>
          <w:p w14:paraId="3E6C6702">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p>
        </w:tc>
        <w:tc>
          <w:tcPr>
            <w:tcW w:w="1632" w:type="dxa"/>
            <w:vMerge w:val="continue"/>
            <w:tcBorders>
              <w:top w:val="nil"/>
              <w:left w:val="single" w:color="000000" w:sz="8" w:space="0"/>
              <w:bottom w:val="single" w:color="000000" w:sz="8" w:space="0"/>
              <w:right w:val="single" w:color="000000" w:sz="8" w:space="0"/>
            </w:tcBorders>
            <w:vAlign w:val="center"/>
          </w:tcPr>
          <w:p w14:paraId="542D8ECD">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p>
        </w:tc>
        <w:tc>
          <w:tcPr>
            <w:tcW w:w="1607" w:type="dxa"/>
            <w:tcBorders>
              <w:top w:val="nil"/>
              <w:left w:val="nil"/>
              <w:bottom w:val="single" w:color="000000" w:sz="8" w:space="0"/>
              <w:right w:val="single" w:color="000000" w:sz="8" w:space="0"/>
            </w:tcBorders>
            <w:vAlign w:val="center"/>
          </w:tcPr>
          <w:p w14:paraId="47C9D45E">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燃气热水器</w:t>
            </w:r>
          </w:p>
        </w:tc>
        <w:tc>
          <w:tcPr>
            <w:tcW w:w="4546" w:type="dxa"/>
            <w:tcBorders>
              <w:top w:val="nil"/>
              <w:left w:val="nil"/>
              <w:bottom w:val="single" w:color="000000" w:sz="8" w:space="0"/>
              <w:right w:val="single" w:color="000000" w:sz="8" w:space="0"/>
            </w:tcBorders>
            <w:vAlign w:val="center"/>
          </w:tcPr>
          <w:p w14:paraId="58702874">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《家用燃气快速热水器和燃气采暖热水炉能效限定值及能效等级》（GB20665）</w:t>
            </w:r>
          </w:p>
        </w:tc>
      </w:tr>
      <w:tr w14:paraId="263D7BFD">
        <w:tblPrEx>
          <w:tblCellMar>
            <w:top w:w="0" w:type="dxa"/>
            <w:left w:w="108" w:type="dxa"/>
            <w:bottom w:w="0" w:type="dxa"/>
            <w:right w:w="108" w:type="dxa"/>
          </w:tblCellMar>
        </w:tblPrEx>
        <w:trPr>
          <w:trHeight w:val="495" w:hRule="atLeast"/>
        </w:trPr>
        <w:tc>
          <w:tcPr>
            <w:tcW w:w="715" w:type="dxa"/>
            <w:vMerge w:val="continue"/>
            <w:tcBorders>
              <w:top w:val="nil"/>
              <w:left w:val="single" w:color="000000" w:sz="8" w:space="0"/>
              <w:bottom w:val="single" w:color="000000" w:sz="8" w:space="0"/>
              <w:right w:val="single" w:color="000000" w:sz="8" w:space="0"/>
            </w:tcBorders>
            <w:vAlign w:val="center"/>
          </w:tcPr>
          <w:p w14:paraId="2936A99C">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p>
        </w:tc>
        <w:tc>
          <w:tcPr>
            <w:tcW w:w="1352" w:type="dxa"/>
            <w:vMerge w:val="continue"/>
            <w:tcBorders>
              <w:top w:val="nil"/>
              <w:left w:val="single" w:color="000000" w:sz="8" w:space="0"/>
              <w:bottom w:val="single" w:color="000000" w:sz="8" w:space="0"/>
              <w:right w:val="single" w:color="000000" w:sz="8" w:space="0"/>
            </w:tcBorders>
            <w:vAlign w:val="center"/>
          </w:tcPr>
          <w:p w14:paraId="0A6D26A4">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p>
        </w:tc>
        <w:tc>
          <w:tcPr>
            <w:tcW w:w="1632" w:type="dxa"/>
            <w:vMerge w:val="continue"/>
            <w:tcBorders>
              <w:top w:val="nil"/>
              <w:left w:val="single" w:color="000000" w:sz="8" w:space="0"/>
              <w:bottom w:val="single" w:color="000000" w:sz="8" w:space="0"/>
              <w:right w:val="single" w:color="000000" w:sz="8" w:space="0"/>
            </w:tcBorders>
            <w:vAlign w:val="center"/>
          </w:tcPr>
          <w:p w14:paraId="6DC496D9">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p>
        </w:tc>
        <w:tc>
          <w:tcPr>
            <w:tcW w:w="1607" w:type="dxa"/>
            <w:tcBorders>
              <w:top w:val="nil"/>
              <w:left w:val="nil"/>
              <w:bottom w:val="single" w:color="000000" w:sz="8" w:space="0"/>
              <w:right w:val="single" w:color="000000" w:sz="8" w:space="0"/>
            </w:tcBorders>
            <w:vAlign w:val="center"/>
          </w:tcPr>
          <w:p w14:paraId="6D442E72">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热泵热水器</w:t>
            </w:r>
          </w:p>
        </w:tc>
        <w:tc>
          <w:tcPr>
            <w:tcW w:w="4546" w:type="dxa"/>
            <w:tcBorders>
              <w:top w:val="nil"/>
              <w:left w:val="nil"/>
              <w:bottom w:val="single" w:color="000000" w:sz="8" w:space="0"/>
              <w:right w:val="single" w:color="000000" w:sz="8" w:space="0"/>
            </w:tcBorders>
            <w:vAlign w:val="center"/>
          </w:tcPr>
          <w:p w14:paraId="77953725">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《热泵热水机（器）能效限定值及能效等级》（GB29541）</w:t>
            </w:r>
          </w:p>
        </w:tc>
      </w:tr>
      <w:tr w14:paraId="78EE429E">
        <w:tblPrEx>
          <w:tblCellMar>
            <w:top w:w="0" w:type="dxa"/>
            <w:left w:w="108" w:type="dxa"/>
            <w:bottom w:w="0" w:type="dxa"/>
            <w:right w:w="108" w:type="dxa"/>
          </w:tblCellMar>
        </w:tblPrEx>
        <w:trPr>
          <w:trHeight w:val="495" w:hRule="atLeast"/>
        </w:trPr>
        <w:tc>
          <w:tcPr>
            <w:tcW w:w="715" w:type="dxa"/>
            <w:vMerge w:val="continue"/>
            <w:tcBorders>
              <w:top w:val="nil"/>
              <w:left w:val="single" w:color="000000" w:sz="8" w:space="0"/>
              <w:bottom w:val="single" w:color="auto" w:sz="4" w:space="0"/>
              <w:right w:val="single" w:color="000000" w:sz="8" w:space="0"/>
            </w:tcBorders>
            <w:vAlign w:val="center"/>
          </w:tcPr>
          <w:p w14:paraId="2D539AB2">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p>
        </w:tc>
        <w:tc>
          <w:tcPr>
            <w:tcW w:w="1352" w:type="dxa"/>
            <w:vMerge w:val="continue"/>
            <w:tcBorders>
              <w:top w:val="nil"/>
              <w:left w:val="single" w:color="000000" w:sz="8" w:space="0"/>
              <w:bottom w:val="single" w:color="auto" w:sz="4" w:space="0"/>
              <w:right w:val="single" w:color="000000" w:sz="8" w:space="0"/>
            </w:tcBorders>
            <w:vAlign w:val="center"/>
          </w:tcPr>
          <w:p w14:paraId="4CBBFC5B">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p>
        </w:tc>
        <w:tc>
          <w:tcPr>
            <w:tcW w:w="1632" w:type="dxa"/>
            <w:vMerge w:val="continue"/>
            <w:tcBorders>
              <w:top w:val="nil"/>
              <w:left w:val="single" w:color="000000" w:sz="8" w:space="0"/>
              <w:bottom w:val="single" w:color="auto" w:sz="4" w:space="0"/>
              <w:right w:val="single" w:color="000000" w:sz="8" w:space="0"/>
            </w:tcBorders>
            <w:vAlign w:val="center"/>
          </w:tcPr>
          <w:p w14:paraId="6CEA45FF">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p>
        </w:tc>
        <w:tc>
          <w:tcPr>
            <w:tcW w:w="1607" w:type="dxa"/>
            <w:tcBorders>
              <w:top w:val="nil"/>
              <w:left w:val="nil"/>
              <w:bottom w:val="single" w:color="auto" w:sz="4" w:space="0"/>
              <w:right w:val="single" w:color="000000" w:sz="8" w:space="0"/>
            </w:tcBorders>
            <w:vAlign w:val="center"/>
          </w:tcPr>
          <w:p w14:paraId="0475DA05">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太阳能热水系统</w:t>
            </w:r>
          </w:p>
        </w:tc>
        <w:tc>
          <w:tcPr>
            <w:tcW w:w="4546" w:type="dxa"/>
            <w:tcBorders>
              <w:top w:val="nil"/>
              <w:left w:val="nil"/>
              <w:bottom w:val="single" w:color="auto" w:sz="4" w:space="0"/>
              <w:right w:val="single" w:color="000000" w:sz="8" w:space="0"/>
            </w:tcBorders>
            <w:vAlign w:val="center"/>
          </w:tcPr>
          <w:p w14:paraId="0400CE6E">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《家用太阳能热水系统能效限定值及能效等级》（GB26969）</w:t>
            </w:r>
          </w:p>
        </w:tc>
      </w:tr>
      <w:tr w14:paraId="176FCA16">
        <w:tblPrEx>
          <w:tblCellMar>
            <w:top w:w="0" w:type="dxa"/>
            <w:left w:w="108" w:type="dxa"/>
            <w:bottom w:w="0" w:type="dxa"/>
            <w:right w:w="108" w:type="dxa"/>
          </w:tblCellMar>
        </w:tblPrEx>
        <w:trPr>
          <w:trHeight w:val="812" w:hRule="atLeast"/>
        </w:trPr>
        <w:tc>
          <w:tcPr>
            <w:tcW w:w="715" w:type="dxa"/>
            <w:vMerge w:val="restart"/>
            <w:tcBorders>
              <w:top w:val="single" w:color="auto" w:sz="4" w:space="0"/>
              <w:left w:val="single" w:color="auto" w:sz="4" w:space="0"/>
              <w:bottom w:val="single" w:color="auto" w:sz="4" w:space="0"/>
              <w:right w:val="single" w:color="auto" w:sz="4" w:space="0"/>
            </w:tcBorders>
            <w:vAlign w:val="center"/>
          </w:tcPr>
          <w:p w14:paraId="65230F05">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11</w:t>
            </w:r>
          </w:p>
        </w:tc>
        <w:tc>
          <w:tcPr>
            <w:tcW w:w="1352" w:type="dxa"/>
            <w:vMerge w:val="restart"/>
            <w:tcBorders>
              <w:top w:val="single" w:color="auto" w:sz="4" w:space="0"/>
              <w:left w:val="single" w:color="auto" w:sz="4" w:space="0"/>
              <w:bottom w:val="single" w:color="auto" w:sz="4" w:space="0"/>
              <w:right w:val="single" w:color="auto" w:sz="4" w:space="0"/>
            </w:tcBorders>
            <w:vAlign w:val="center"/>
          </w:tcPr>
          <w:p w14:paraId="49C8900B">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A020619照明设备</w:t>
            </w:r>
          </w:p>
        </w:tc>
        <w:tc>
          <w:tcPr>
            <w:tcW w:w="1632" w:type="dxa"/>
            <w:tcBorders>
              <w:top w:val="single" w:color="auto" w:sz="4" w:space="0"/>
              <w:left w:val="single" w:color="auto" w:sz="4" w:space="0"/>
              <w:bottom w:val="single" w:color="auto" w:sz="4" w:space="0"/>
              <w:right w:val="single" w:color="auto" w:sz="4" w:space="0"/>
            </w:tcBorders>
            <w:vAlign w:val="center"/>
          </w:tcPr>
          <w:p w14:paraId="494AA135">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★普通照明用双端荧光灯</w:t>
            </w:r>
          </w:p>
        </w:tc>
        <w:tc>
          <w:tcPr>
            <w:tcW w:w="1607" w:type="dxa"/>
            <w:tcBorders>
              <w:top w:val="single" w:color="auto" w:sz="4" w:space="0"/>
              <w:left w:val="single" w:color="auto" w:sz="4" w:space="0"/>
              <w:bottom w:val="single" w:color="auto" w:sz="4" w:space="0"/>
              <w:right w:val="single" w:color="auto" w:sz="4" w:space="0"/>
            </w:tcBorders>
            <w:vAlign w:val="center"/>
          </w:tcPr>
          <w:p w14:paraId="7A51F7F6">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　</w:t>
            </w:r>
          </w:p>
        </w:tc>
        <w:tc>
          <w:tcPr>
            <w:tcW w:w="4546" w:type="dxa"/>
            <w:tcBorders>
              <w:top w:val="single" w:color="auto" w:sz="4" w:space="0"/>
              <w:left w:val="single" w:color="auto" w:sz="4" w:space="0"/>
              <w:bottom w:val="single" w:color="auto" w:sz="4" w:space="0"/>
              <w:right w:val="single" w:color="auto" w:sz="4" w:space="0"/>
            </w:tcBorders>
            <w:vAlign w:val="center"/>
          </w:tcPr>
          <w:p w14:paraId="256F6C98">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《普通照明用双端荧光灯能效限定值及能效等级》（GB19043）</w:t>
            </w:r>
          </w:p>
        </w:tc>
      </w:tr>
      <w:tr w14:paraId="6307D951">
        <w:tblPrEx>
          <w:tblCellMar>
            <w:top w:w="0" w:type="dxa"/>
            <w:left w:w="108" w:type="dxa"/>
            <w:bottom w:w="0" w:type="dxa"/>
            <w:right w:w="108" w:type="dxa"/>
          </w:tblCellMar>
        </w:tblPrEx>
        <w:trPr>
          <w:trHeight w:val="812" w:hRule="atLeast"/>
        </w:trPr>
        <w:tc>
          <w:tcPr>
            <w:tcW w:w="715" w:type="dxa"/>
            <w:vMerge w:val="continue"/>
            <w:tcBorders>
              <w:top w:val="single" w:color="auto" w:sz="4" w:space="0"/>
              <w:left w:val="single" w:color="auto" w:sz="4" w:space="0"/>
              <w:bottom w:val="single" w:color="auto" w:sz="4" w:space="0"/>
              <w:right w:val="single" w:color="auto" w:sz="4" w:space="0"/>
            </w:tcBorders>
            <w:vAlign w:val="center"/>
          </w:tcPr>
          <w:p w14:paraId="7B75F1BE">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p>
        </w:tc>
        <w:tc>
          <w:tcPr>
            <w:tcW w:w="1352" w:type="dxa"/>
            <w:vMerge w:val="continue"/>
            <w:tcBorders>
              <w:top w:val="single" w:color="auto" w:sz="4" w:space="0"/>
              <w:left w:val="single" w:color="auto" w:sz="4" w:space="0"/>
              <w:bottom w:val="single" w:color="auto" w:sz="4" w:space="0"/>
              <w:right w:val="single" w:color="auto" w:sz="4" w:space="0"/>
            </w:tcBorders>
            <w:vAlign w:val="center"/>
          </w:tcPr>
          <w:p w14:paraId="37BD4A50">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p>
        </w:tc>
        <w:tc>
          <w:tcPr>
            <w:tcW w:w="1632" w:type="dxa"/>
            <w:tcBorders>
              <w:top w:val="single" w:color="auto" w:sz="4" w:space="0"/>
              <w:left w:val="single" w:color="auto" w:sz="4" w:space="0"/>
              <w:bottom w:val="single" w:color="auto" w:sz="4" w:space="0"/>
              <w:right w:val="single" w:color="auto" w:sz="4" w:space="0"/>
            </w:tcBorders>
            <w:vAlign w:val="center"/>
          </w:tcPr>
          <w:p w14:paraId="01F921E8">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LED道路/隧道照明产品</w:t>
            </w:r>
          </w:p>
        </w:tc>
        <w:tc>
          <w:tcPr>
            <w:tcW w:w="1607" w:type="dxa"/>
            <w:tcBorders>
              <w:top w:val="single" w:color="auto" w:sz="4" w:space="0"/>
              <w:left w:val="single" w:color="auto" w:sz="4" w:space="0"/>
              <w:bottom w:val="single" w:color="auto" w:sz="4" w:space="0"/>
              <w:right w:val="single" w:color="auto" w:sz="4" w:space="0"/>
            </w:tcBorders>
            <w:vAlign w:val="center"/>
          </w:tcPr>
          <w:p w14:paraId="0ACCF862">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　</w:t>
            </w:r>
          </w:p>
        </w:tc>
        <w:tc>
          <w:tcPr>
            <w:tcW w:w="4546" w:type="dxa"/>
            <w:tcBorders>
              <w:top w:val="single" w:color="auto" w:sz="4" w:space="0"/>
              <w:left w:val="single" w:color="auto" w:sz="4" w:space="0"/>
              <w:bottom w:val="single" w:color="auto" w:sz="4" w:space="0"/>
              <w:right w:val="single" w:color="auto" w:sz="4" w:space="0"/>
            </w:tcBorders>
            <w:vAlign w:val="center"/>
          </w:tcPr>
          <w:p w14:paraId="468AF542">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《道路和隧道照明用LED灯具能效限定值及能效等级》（GB37478）</w:t>
            </w:r>
          </w:p>
        </w:tc>
      </w:tr>
      <w:tr w14:paraId="358343B8">
        <w:tblPrEx>
          <w:tblCellMar>
            <w:top w:w="0" w:type="dxa"/>
            <w:left w:w="108" w:type="dxa"/>
            <w:bottom w:w="0" w:type="dxa"/>
            <w:right w:w="108" w:type="dxa"/>
          </w:tblCellMar>
        </w:tblPrEx>
        <w:trPr>
          <w:trHeight w:val="495" w:hRule="atLeast"/>
        </w:trPr>
        <w:tc>
          <w:tcPr>
            <w:tcW w:w="715" w:type="dxa"/>
            <w:vMerge w:val="continue"/>
            <w:tcBorders>
              <w:top w:val="single" w:color="auto" w:sz="4" w:space="0"/>
              <w:left w:val="single" w:color="auto" w:sz="4" w:space="0"/>
              <w:bottom w:val="single" w:color="auto" w:sz="4" w:space="0"/>
              <w:right w:val="single" w:color="auto" w:sz="4" w:space="0"/>
            </w:tcBorders>
            <w:vAlign w:val="center"/>
          </w:tcPr>
          <w:p w14:paraId="1904E308">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p>
        </w:tc>
        <w:tc>
          <w:tcPr>
            <w:tcW w:w="1352" w:type="dxa"/>
            <w:vMerge w:val="continue"/>
            <w:tcBorders>
              <w:top w:val="single" w:color="auto" w:sz="4" w:space="0"/>
              <w:left w:val="single" w:color="auto" w:sz="4" w:space="0"/>
              <w:bottom w:val="single" w:color="auto" w:sz="4" w:space="0"/>
              <w:right w:val="single" w:color="auto" w:sz="4" w:space="0"/>
            </w:tcBorders>
            <w:vAlign w:val="center"/>
          </w:tcPr>
          <w:p w14:paraId="5C07A0A6">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p>
        </w:tc>
        <w:tc>
          <w:tcPr>
            <w:tcW w:w="1632" w:type="dxa"/>
            <w:tcBorders>
              <w:top w:val="single" w:color="auto" w:sz="4" w:space="0"/>
              <w:left w:val="single" w:color="auto" w:sz="4" w:space="0"/>
              <w:bottom w:val="single" w:color="auto" w:sz="4" w:space="0"/>
              <w:right w:val="single" w:color="auto" w:sz="4" w:space="0"/>
            </w:tcBorders>
            <w:vAlign w:val="center"/>
          </w:tcPr>
          <w:p w14:paraId="3AC169F7">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LED筒灯</w:t>
            </w:r>
          </w:p>
        </w:tc>
        <w:tc>
          <w:tcPr>
            <w:tcW w:w="1607" w:type="dxa"/>
            <w:tcBorders>
              <w:top w:val="single" w:color="auto" w:sz="4" w:space="0"/>
              <w:left w:val="single" w:color="auto" w:sz="4" w:space="0"/>
              <w:bottom w:val="single" w:color="auto" w:sz="4" w:space="0"/>
              <w:right w:val="single" w:color="auto" w:sz="4" w:space="0"/>
            </w:tcBorders>
            <w:vAlign w:val="center"/>
          </w:tcPr>
          <w:p w14:paraId="04512162">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　</w:t>
            </w:r>
          </w:p>
        </w:tc>
        <w:tc>
          <w:tcPr>
            <w:tcW w:w="4546" w:type="dxa"/>
            <w:tcBorders>
              <w:top w:val="single" w:color="auto" w:sz="4" w:space="0"/>
              <w:left w:val="single" w:color="auto" w:sz="4" w:space="0"/>
              <w:bottom w:val="single" w:color="auto" w:sz="4" w:space="0"/>
              <w:right w:val="single" w:color="auto" w:sz="4" w:space="0"/>
            </w:tcBorders>
            <w:vAlign w:val="center"/>
          </w:tcPr>
          <w:p w14:paraId="1BFA530A">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《室内照明用LED产品能效限定值及能效等级》（GB30255）</w:t>
            </w:r>
          </w:p>
        </w:tc>
      </w:tr>
      <w:tr w14:paraId="5303FF3C">
        <w:tblPrEx>
          <w:tblCellMar>
            <w:top w:w="0" w:type="dxa"/>
            <w:left w:w="108" w:type="dxa"/>
            <w:bottom w:w="0" w:type="dxa"/>
            <w:right w:w="108" w:type="dxa"/>
          </w:tblCellMar>
        </w:tblPrEx>
        <w:trPr>
          <w:trHeight w:val="385" w:hRule="atLeast"/>
        </w:trPr>
        <w:tc>
          <w:tcPr>
            <w:tcW w:w="715" w:type="dxa"/>
            <w:vMerge w:val="continue"/>
            <w:tcBorders>
              <w:top w:val="single" w:color="auto" w:sz="4" w:space="0"/>
              <w:left w:val="single" w:color="auto" w:sz="4" w:space="0"/>
              <w:bottom w:val="single" w:color="auto" w:sz="4" w:space="0"/>
              <w:right w:val="single" w:color="auto" w:sz="4" w:space="0"/>
            </w:tcBorders>
            <w:vAlign w:val="center"/>
          </w:tcPr>
          <w:p w14:paraId="75DA5B2A">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p>
        </w:tc>
        <w:tc>
          <w:tcPr>
            <w:tcW w:w="1352" w:type="dxa"/>
            <w:vMerge w:val="continue"/>
            <w:tcBorders>
              <w:top w:val="single" w:color="auto" w:sz="4" w:space="0"/>
              <w:left w:val="single" w:color="auto" w:sz="4" w:space="0"/>
              <w:bottom w:val="single" w:color="auto" w:sz="4" w:space="0"/>
              <w:right w:val="single" w:color="auto" w:sz="4" w:space="0"/>
            </w:tcBorders>
            <w:vAlign w:val="center"/>
          </w:tcPr>
          <w:p w14:paraId="662A8113">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p>
        </w:tc>
        <w:tc>
          <w:tcPr>
            <w:tcW w:w="1632" w:type="dxa"/>
            <w:tcBorders>
              <w:top w:val="single" w:color="auto" w:sz="4" w:space="0"/>
              <w:left w:val="single" w:color="auto" w:sz="4" w:space="0"/>
              <w:bottom w:val="single" w:color="auto" w:sz="4" w:space="0"/>
              <w:right w:val="single" w:color="auto" w:sz="4" w:space="0"/>
            </w:tcBorders>
            <w:vAlign w:val="center"/>
          </w:tcPr>
          <w:p w14:paraId="329C210B">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普通照明用非定向自镇流LED灯</w:t>
            </w:r>
          </w:p>
        </w:tc>
        <w:tc>
          <w:tcPr>
            <w:tcW w:w="1607" w:type="dxa"/>
            <w:tcBorders>
              <w:top w:val="single" w:color="auto" w:sz="4" w:space="0"/>
              <w:left w:val="single" w:color="auto" w:sz="4" w:space="0"/>
              <w:bottom w:val="single" w:color="auto" w:sz="4" w:space="0"/>
              <w:right w:val="single" w:color="auto" w:sz="4" w:space="0"/>
            </w:tcBorders>
            <w:vAlign w:val="center"/>
          </w:tcPr>
          <w:p w14:paraId="2B82831B">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　</w:t>
            </w:r>
          </w:p>
        </w:tc>
        <w:tc>
          <w:tcPr>
            <w:tcW w:w="4546" w:type="dxa"/>
            <w:tcBorders>
              <w:top w:val="single" w:color="auto" w:sz="4" w:space="0"/>
              <w:left w:val="single" w:color="auto" w:sz="4" w:space="0"/>
              <w:bottom w:val="single" w:color="auto" w:sz="4" w:space="0"/>
              <w:right w:val="single" w:color="auto" w:sz="4" w:space="0"/>
            </w:tcBorders>
            <w:vAlign w:val="center"/>
          </w:tcPr>
          <w:p w14:paraId="684076CA">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《室内照明用LED产品能效限定值及能效等级》（GB30255）</w:t>
            </w:r>
          </w:p>
        </w:tc>
      </w:tr>
      <w:tr w14:paraId="18273585">
        <w:tblPrEx>
          <w:tblCellMar>
            <w:top w:w="0" w:type="dxa"/>
            <w:left w:w="108" w:type="dxa"/>
            <w:bottom w:w="0" w:type="dxa"/>
            <w:right w:w="108" w:type="dxa"/>
          </w:tblCellMar>
        </w:tblPrEx>
        <w:trPr>
          <w:trHeight w:val="735" w:hRule="atLeast"/>
        </w:trPr>
        <w:tc>
          <w:tcPr>
            <w:tcW w:w="715" w:type="dxa"/>
            <w:tcBorders>
              <w:top w:val="single" w:color="auto" w:sz="4" w:space="0"/>
              <w:left w:val="single" w:color="auto" w:sz="4" w:space="0"/>
              <w:bottom w:val="single" w:color="auto" w:sz="4" w:space="0"/>
              <w:right w:val="single" w:color="auto" w:sz="4" w:space="0"/>
            </w:tcBorders>
            <w:vAlign w:val="center"/>
          </w:tcPr>
          <w:p w14:paraId="48ACDC49">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12</w:t>
            </w:r>
          </w:p>
        </w:tc>
        <w:tc>
          <w:tcPr>
            <w:tcW w:w="1352" w:type="dxa"/>
            <w:tcBorders>
              <w:top w:val="single" w:color="auto" w:sz="4" w:space="0"/>
              <w:left w:val="single" w:color="auto" w:sz="4" w:space="0"/>
              <w:bottom w:val="single" w:color="auto" w:sz="4" w:space="0"/>
              <w:right w:val="single" w:color="auto" w:sz="4" w:space="0"/>
            </w:tcBorders>
            <w:vAlign w:val="center"/>
          </w:tcPr>
          <w:p w14:paraId="1F82547F">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★A020910电视设备</w:t>
            </w:r>
          </w:p>
        </w:tc>
        <w:tc>
          <w:tcPr>
            <w:tcW w:w="1632" w:type="dxa"/>
            <w:tcBorders>
              <w:top w:val="single" w:color="auto" w:sz="4" w:space="0"/>
              <w:left w:val="single" w:color="auto" w:sz="4" w:space="0"/>
              <w:bottom w:val="single" w:color="auto" w:sz="4" w:space="0"/>
              <w:right w:val="single" w:color="auto" w:sz="4" w:space="0"/>
            </w:tcBorders>
            <w:vAlign w:val="center"/>
          </w:tcPr>
          <w:p w14:paraId="099FE7B7">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A02091001普通电视设备（电视机）</w:t>
            </w:r>
          </w:p>
        </w:tc>
        <w:tc>
          <w:tcPr>
            <w:tcW w:w="1607" w:type="dxa"/>
            <w:tcBorders>
              <w:top w:val="single" w:color="auto" w:sz="4" w:space="0"/>
              <w:left w:val="single" w:color="auto" w:sz="4" w:space="0"/>
              <w:bottom w:val="single" w:color="auto" w:sz="4" w:space="0"/>
              <w:right w:val="single" w:color="auto" w:sz="4" w:space="0"/>
            </w:tcBorders>
            <w:vAlign w:val="center"/>
          </w:tcPr>
          <w:p w14:paraId="4A4F0F03">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　</w:t>
            </w:r>
          </w:p>
        </w:tc>
        <w:tc>
          <w:tcPr>
            <w:tcW w:w="4546" w:type="dxa"/>
            <w:tcBorders>
              <w:top w:val="single" w:color="auto" w:sz="4" w:space="0"/>
              <w:left w:val="single" w:color="auto" w:sz="4" w:space="0"/>
              <w:bottom w:val="single" w:color="auto" w:sz="4" w:space="0"/>
              <w:right w:val="single" w:color="auto" w:sz="4" w:space="0"/>
            </w:tcBorders>
            <w:vAlign w:val="center"/>
          </w:tcPr>
          <w:p w14:paraId="646F7245">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《平板电视能效限定值及能效等级》（GB24850）</w:t>
            </w:r>
          </w:p>
        </w:tc>
      </w:tr>
      <w:tr w14:paraId="62C0BEB1">
        <w:tblPrEx>
          <w:tblCellMar>
            <w:top w:w="0" w:type="dxa"/>
            <w:left w:w="108" w:type="dxa"/>
            <w:bottom w:w="0" w:type="dxa"/>
            <w:right w:w="108" w:type="dxa"/>
          </w:tblCellMar>
        </w:tblPrEx>
        <w:trPr>
          <w:trHeight w:val="975" w:hRule="atLeast"/>
        </w:trPr>
        <w:tc>
          <w:tcPr>
            <w:tcW w:w="715" w:type="dxa"/>
            <w:tcBorders>
              <w:top w:val="single" w:color="auto" w:sz="4" w:space="0"/>
              <w:left w:val="single" w:color="000000" w:sz="8" w:space="0"/>
              <w:bottom w:val="single" w:color="000000" w:sz="8" w:space="0"/>
              <w:right w:val="single" w:color="000000" w:sz="8" w:space="0"/>
            </w:tcBorders>
            <w:vAlign w:val="center"/>
          </w:tcPr>
          <w:p w14:paraId="58E5B947">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13</w:t>
            </w:r>
          </w:p>
        </w:tc>
        <w:tc>
          <w:tcPr>
            <w:tcW w:w="1352" w:type="dxa"/>
            <w:tcBorders>
              <w:top w:val="single" w:color="auto" w:sz="4" w:space="0"/>
              <w:left w:val="nil"/>
              <w:bottom w:val="single" w:color="000000" w:sz="8" w:space="0"/>
              <w:right w:val="single" w:color="000000" w:sz="8" w:space="0"/>
            </w:tcBorders>
            <w:vAlign w:val="center"/>
          </w:tcPr>
          <w:p w14:paraId="265DD4FC">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★A020911视频设备</w:t>
            </w:r>
          </w:p>
        </w:tc>
        <w:tc>
          <w:tcPr>
            <w:tcW w:w="1632" w:type="dxa"/>
            <w:tcBorders>
              <w:top w:val="single" w:color="auto" w:sz="4" w:space="0"/>
              <w:left w:val="nil"/>
              <w:bottom w:val="single" w:color="000000" w:sz="8" w:space="0"/>
              <w:right w:val="single" w:color="000000" w:sz="8" w:space="0"/>
            </w:tcBorders>
            <w:vAlign w:val="center"/>
          </w:tcPr>
          <w:p w14:paraId="56CC7784">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A02091107视频监控设备</w:t>
            </w:r>
          </w:p>
        </w:tc>
        <w:tc>
          <w:tcPr>
            <w:tcW w:w="1607" w:type="dxa"/>
            <w:tcBorders>
              <w:top w:val="single" w:color="auto" w:sz="4" w:space="0"/>
              <w:left w:val="nil"/>
              <w:bottom w:val="single" w:color="000000" w:sz="8" w:space="0"/>
              <w:right w:val="single" w:color="000000" w:sz="8" w:space="0"/>
            </w:tcBorders>
            <w:vAlign w:val="center"/>
          </w:tcPr>
          <w:p w14:paraId="590B6ED9">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监视器</w:t>
            </w:r>
          </w:p>
        </w:tc>
        <w:tc>
          <w:tcPr>
            <w:tcW w:w="4546" w:type="dxa"/>
            <w:tcBorders>
              <w:top w:val="single" w:color="auto" w:sz="4" w:space="0"/>
              <w:left w:val="nil"/>
              <w:bottom w:val="single" w:color="000000" w:sz="8" w:space="0"/>
              <w:right w:val="single" w:color="000000" w:sz="8" w:space="0"/>
            </w:tcBorders>
            <w:vAlign w:val="center"/>
          </w:tcPr>
          <w:p w14:paraId="4033D6F2">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以射频信号为主要信号输入的监视器应符合《平板电视能效限定值及能效等级》（GB24850），以数字信号为主要信号输入的监视器应符合《计算机显示器能效限定值及能效等级》（GB21520）</w:t>
            </w:r>
          </w:p>
        </w:tc>
      </w:tr>
      <w:tr w14:paraId="5AB01505">
        <w:tblPrEx>
          <w:tblCellMar>
            <w:top w:w="0" w:type="dxa"/>
            <w:left w:w="108" w:type="dxa"/>
            <w:bottom w:w="0" w:type="dxa"/>
            <w:right w:w="108" w:type="dxa"/>
          </w:tblCellMar>
        </w:tblPrEx>
        <w:trPr>
          <w:trHeight w:val="495" w:hRule="atLeast"/>
        </w:trPr>
        <w:tc>
          <w:tcPr>
            <w:tcW w:w="715" w:type="dxa"/>
            <w:tcBorders>
              <w:top w:val="nil"/>
              <w:left w:val="single" w:color="000000" w:sz="8" w:space="0"/>
              <w:bottom w:val="single" w:color="000000" w:sz="8" w:space="0"/>
              <w:right w:val="single" w:color="000000" w:sz="8" w:space="0"/>
            </w:tcBorders>
            <w:vAlign w:val="center"/>
          </w:tcPr>
          <w:p w14:paraId="794C45D6">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14</w:t>
            </w:r>
          </w:p>
        </w:tc>
        <w:tc>
          <w:tcPr>
            <w:tcW w:w="1352" w:type="dxa"/>
            <w:tcBorders>
              <w:top w:val="nil"/>
              <w:left w:val="nil"/>
              <w:bottom w:val="single" w:color="000000" w:sz="8" w:space="0"/>
              <w:right w:val="single" w:color="000000" w:sz="8" w:space="0"/>
            </w:tcBorders>
            <w:vAlign w:val="center"/>
          </w:tcPr>
          <w:p w14:paraId="5312A8B2">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A031210饮食炊事机械</w:t>
            </w:r>
          </w:p>
        </w:tc>
        <w:tc>
          <w:tcPr>
            <w:tcW w:w="1632" w:type="dxa"/>
            <w:tcBorders>
              <w:top w:val="nil"/>
              <w:left w:val="nil"/>
              <w:bottom w:val="single" w:color="000000" w:sz="8" w:space="0"/>
              <w:right w:val="single" w:color="000000" w:sz="8" w:space="0"/>
            </w:tcBorders>
            <w:vAlign w:val="center"/>
          </w:tcPr>
          <w:p w14:paraId="29B77319">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商用燃气灶具</w:t>
            </w:r>
          </w:p>
        </w:tc>
        <w:tc>
          <w:tcPr>
            <w:tcW w:w="1607" w:type="dxa"/>
            <w:tcBorders>
              <w:top w:val="nil"/>
              <w:left w:val="nil"/>
              <w:bottom w:val="single" w:color="000000" w:sz="8" w:space="0"/>
              <w:right w:val="single" w:color="000000" w:sz="8" w:space="0"/>
            </w:tcBorders>
            <w:vAlign w:val="center"/>
          </w:tcPr>
          <w:p w14:paraId="220BD587">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　</w:t>
            </w:r>
          </w:p>
        </w:tc>
        <w:tc>
          <w:tcPr>
            <w:tcW w:w="4546" w:type="dxa"/>
            <w:tcBorders>
              <w:top w:val="nil"/>
              <w:left w:val="nil"/>
              <w:bottom w:val="single" w:color="000000" w:sz="8" w:space="0"/>
              <w:right w:val="single" w:color="000000" w:sz="8" w:space="0"/>
            </w:tcBorders>
            <w:vAlign w:val="center"/>
          </w:tcPr>
          <w:p w14:paraId="4E037024">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《商用燃气灶具能效限定值及能效等级》（GB30531）</w:t>
            </w:r>
          </w:p>
        </w:tc>
      </w:tr>
      <w:tr w14:paraId="61F1DB66">
        <w:tblPrEx>
          <w:tblCellMar>
            <w:top w:w="0" w:type="dxa"/>
            <w:left w:w="108" w:type="dxa"/>
            <w:bottom w:w="0" w:type="dxa"/>
            <w:right w:w="108" w:type="dxa"/>
          </w:tblCellMar>
        </w:tblPrEx>
        <w:trPr>
          <w:trHeight w:val="466" w:hRule="atLeast"/>
        </w:trPr>
        <w:tc>
          <w:tcPr>
            <w:tcW w:w="715" w:type="dxa"/>
            <w:vMerge w:val="restart"/>
            <w:tcBorders>
              <w:top w:val="nil"/>
              <w:left w:val="single" w:color="000000" w:sz="8" w:space="0"/>
              <w:bottom w:val="single" w:color="000000" w:sz="8" w:space="0"/>
              <w:right w:val="single" w:color="000000" w:sz="8" w:space="0"/>
            </w:tcBorders>
            <w:vAlign w:val="center"/>
          </w:tcPr>
          <w:p w14:paraId="310C682D">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15</w:t>
            </w:r>
          </w:p>
        </w:tc>
        <w:tc>
          <w:tcPr>
            <w:tcW w:w="1352" w:type="dxa"/>
            <w:vMerge w:val="restart"/>
            <w:tcBorders>
              <w:top w:val="nil"/>
              <w:left w:val="single" w:color="000000" w:sz="8" w:space="0"/>
              <w:bottom w:val="single" w:color="000000" w:sz="8" w:space="0"/>
              <w:right w:val="single" w:color="000000" w:sz="8" w:space="0"/>
            </w:tcBorders>
            <w:vAlign w:val="center"/>
          </w:tcPr>
          <w:p w14:paraId="346EBD1E">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★A060805便器</w:t>
            </w:r>
          </w:p>
        </w:tc>
        <w:tc>
          <w:tcPr>
            <w:tcW w:w="1632" w:type="dxa"/>
            <w:tcBorders>
              <w:top w:val="nil"/>
              <w:left w:val="nil"/>
              <w:bottom w:val="single" w:color="000000" w:sz="8" w:space="0"/>
              <w:right w:val="single" w:color="000000" w:sz="8" w:space="0"/>
            </w:tcBorders>
            <w:vAlign w:val="center"/>
          </w:tcPr>
          <w:p w14:paraId="4B18CC92">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坐便器</w:t>
            </w:r>
          </w:p>
        </w:tc>
        <w:tc>
          <w:tcPr>
            <w:tcW w:w="1607" w:type="dxa"/>
            <w:tcBorders>
              <w:top w:val="nil"/>
              <w:left w:val="nil"/>
              <w:bottom w:val="single" w:color="000000" w:sz="8" w:space="0"/>
              <w:right w:val="single" w:color="000000" w:sz="8" w:space="0"/>
            </w:tcBorders>
            <w:vAlign w:val="center"/>
          </w:tcPr>
          <w:p w14:paraId="1CA5BF91">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　</w:t>
            </w:r>
          </w:p>
        </w:tc>
        <w:tc>
          <w:tcPr>
            <w:tcW w:w="4546" w:type="dxa"/>
            <w:tcBorders>
              <w:top w:val="nil"/>
              <w:left w:val="nil"/>
              <w:bottom w:val="single" w:color="000000" w:sz="8" w:space="0"/>
              <w:right w:val="single" w:color="000000" w:sz="8" w:space="0"/>
            </w:tcBorders>
            <w:vAlign w:val="center"/>
          </w:tcPr>
          <w:p w14:paraId="5EBBA4E8">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《坐便器水效限定值及水效等级》（GB25502）</w:t>
            </w:r>
          </w:p>
        </w:tc>
      </w:tr>
      <w:tr w14:paraId="041FABE6">
        <w:tblPrEx>
          <w:tblCellMar>
            <w:top w:w="0" w:type="dxa"/>
            <w:left w:w="108" w:type="dxa"/>
            <w:bottom w:w="0" w:type="dxa"/>
            <w:right w:w="108" w:type="dxa"/>
          </w:tblCellMar>
        </w:tblPrEx>
        <w:trPr>
          <w:trHeight w:val="495" w:hRule="atLeast"/>
        </w:trPr>
        <w:tc>
          <w:tcPr>
            <w:tcW w:w="715" w:type="dxa"/>
            <w:vMerge w:val="continue"/>
            <w:tcBorders>
              <w:top w:val="nil"/>
              <w:left w:val="single" w:color="000000" w:sz="8" w:space="0"/>
              <w:bottom w:val="single" w:color="000000" w:sz="8" w:space="0"/>
              <w:right w:val="single" w:color="000000" w:sz="8" w:space="0"/>
            </w:tcBorders>
            <w:vAlign w:val="center"/>
          </w:tcPr>
          <w:p w14:paraId="6A6DC79F">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p>
        </w:tc>
        <w:tc>
          <w:tcPr>
            <w:tcW w:w="1352" w:type="dxa"/>
            <w:vMerge w:val="continue"/>
            <w:tcBorders>
              <w:top w:val="nil"/>
              <w:left w:val="single" w:color="000000" w:sz="8" w:space="0"/>
              <w:bottom w:val="single" w:color="000000" w:sz="8" w:space="0"/>
              <w:right w:val="single" w:color="000000" w:sz="8" w:space="0"/>
            </w:tcBorders>
            <w:vAlign w:val="center"/>
          </w:tcPr>
          <w:p w14:paraId="695EBC37">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p>
        </w:tc>
        <w:tc>
          <w:tcPr>
            <w:tcW w:w="1632" w:type="dxa"/>
            <w:tcBorders>
              <w:top w:val="nil"/>
              <w:left w:val="nil"/>
              <w:bottom w:val="single" w:color="000000" w:sz="8" w:space="0"/>
              <w:right w:val="single" w:color="000000" w:sz="8" w:space="0"/>
            </w:tcBorders>
            <w:vAlign w:val="center"/>
          </w:tcPr>
          <w:p w14:paraId="424D7C63">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蹲便器</w:t>
            </w:r>
          </w:p>
        </w:tc>
        <w:tc>
          <w:tcPr>
            <w:tcW w:w="1607" w:type="dxa"/>
            <w:tcBorders>
              <w:top w:val="nil"/>
              <w:left w:val="nil"/>
              <w:bottom w:val="single" w:color="000000" w:sz="8" w:space="0"/>
              <w:right w:val="single" w:color="000000" w:sz="8" w:space="0"/>
            </w:tcBorders>
            <w:vAlign w:val="center"/>
          </w:tcPr>
          <w:p w14:paraId="03437650">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　</w:t>
            </w:r>
          </w:p>
        </w:tc>
        <w:tc>
          <w:tcPr>
            <w:tcW w:w="4546" w:type="dxa"/>
            <w:tcBorders>
              <w:top w:val="nil"/>
              <w:left w:val="nil"/>
              <w:bottom w:val="single" w:color="000000" w:sz="8" w:space="0"/>
              <w:right w:val="single" w:color="000000" w:sz="8" w:space="0"/>
            </w:tcBorders>
            <w:vAlign w:val="center"/>
          </w:tcPr>
          <w:p w14:paraId="285744DD">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《蹲便器用水效率限定值及用水效率等级》（GB30717）</w:t>
            </w:r>
          </w:p>
        </w:tc>
      </w:tr>
      <w:tr w14:paraId="4D3C6618">
        <w:tblPrEx>
          <w:tblCellMar>
            <w:top w:w="0" w:type="dxa"/>
            <w:left w:w="108" w:type="dxa"/>
            <w:bottom w:w="0" w:type="dxa"/>
            <w:right w:w="108" w:type="dxa"/>
          </w:tblCellMar>
        </w:tblPrEx>
        <w:trPr>
          <w:trHeight w:val="495" w:hRule="atLeast"/>
        </w:trPr>
        <w:tc>
          <w:tcPr>
            <w:tcW w:w="715" w:type="dxa"/>
            <w:vMerge w:val="continue"/>
            <w:tcBorders>
              <w:top w:val="nil"/>
              <w:left w:val="single" w:color="000000" w:sz="8" w:space="0"/>
              <w:bottom w:val="single" w:color="000000" w:sz="8" w:space="0"/>
              <w:right w:val="single" w:color="000000" w:sz="8" w:space="0"/>
            </w:tcBorders>
            <w:vAlign w:val="center"/>
          </w:tcPr>
          <w:p w14:paraId="4327A375">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p>
        </w:tc>
        <w:tc>
          <w:tcPr>
            <w:tcW w:w="1352" w:type="dxa"/>
            <w:vMerge w:val="continue"/>
            <w:tcBorders>
              <w:top w:val="nil"/>
              <w:left w:val="single" w:color="000000" w:sz="8" w:space="0"/>
              <w:bottom w:val="single" w:color="000000" w:sz="8" w:space="0"/>
              <w:right w:val="single" w:color="000000" w:sz="8" w:space="0"/>
            </w:tcBorders>
            <w:vAlign w:val="center"/>
          </w:tcPr>
          <w:p w14:paraId="466B0041">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p>
        </w:tc>
        <w:tc>
          <w:tcPr>
            <w:tcW w:w="1632" w:type="dxa"/>
            <w:tcBorders>
              <w:top w:val="nil"/>
              <w:left w:val="nil"/>
              <w:bottom w:val="single" w:color="000000" w:sz="8" w:space="0"/>
              <w:right w:val="single" w:color="000000" w:sz="8" w:space="0"/>
            </w:tcBorders>
            <w:vAlign w:val="center"/>
          </w:tcPr>
          <w:p w14:paraId="45C269A7">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小便器</w:t>
            </w:r>
          </w:p>
        </w:tc>
        <w:tc>
          <w:tcPr>
            <w:tcW w:w="1607" w:type="dxa"/>
            <w:tcBorders>
              <w:top w:val="nil"/>
              <w:left w:val="nil"/>
              <w:bottom w:val="single" w:color="000000" w:sz="8" w:space="0"/>
              <w:right w:val="single" w:color="000000" w:sz="8" w:space="0"/>
            </w:tcBorders>
            <w:vAlign w:val="center"/>
          </w:tcPr>
          <w:p w14:paraId="67332ED7">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　</w:t>
            </w:r>
          </w:p>
        </w:tc>
        <w:tc>
          <w:tcPr>
            <w:tcW w:w="4546" w:type="dxa"/>
            <w:tcBorders>
              <w:top w:val="nil"/>
              <w:left w:val="nil"/>
              <w:bottom w:val="single" w:color="000000" w:sz="8" w:space="0"/>
              <w:right w:val="single" w:color="000000" w:sz="8" w:space="0"/>
            </w:tcBorders>
            <w:vAlign w:val="center"/>
          </w:tcPr>
          <w:p w14:paraId="07184F94">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《小便器用水效率限定值及用水效率等级》（GB28377）</w:t>
            </w:r>
          </w:p>
        </w:tc>
      </w:tr>
      <w:tr w14:paraId="7F03DEAC">
        <w:tblPrEx>
          <w:tblCellMar>
            <w:top w:w="0" w:type="dxa"/>
            <w:left w:w="108" w:type="dxa"/>
            <w:bottom w:w="0" w:type="dxa"/>
            <w:right w:w="108" w:type="dxa"/>
          </w:tblCellMar>
        </w:tblPrEx>
        <w:trPr>
          <w:trHeight w:val="495" w:hRule="atLeast"/>
        </w:trPr>
        <w:tc>
          <w:tcPr>
            <w:tcW w:w="715" w:type="dxa"/>
            <w:tcBorders>
              <w:top w:val="nil"/>
              <w:left w:val="single" w:color="000000" w:sz="8" w:space="0"/>
              <w:bottom w:val="single" w:color="000000" w:sz="8" w:space="0"/>
              <w:right w:val="single" w:color="000000" w:sz="8" w:space="0"/>
            </w:tcBorders>
            <w:vAlign w:val="center"/>
          </w:tcPr>
          <w:p w14:paraId="5F7842AE">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16</w:t>
            </w:r>
          </w:p>
        </w:tc>
        <w:tc>
          <w:tcPr>
            <w:tcW w:w="1352" w:type="dxa"/>
            <w:tcBorders>
              <w:top w:val="nil"/>
              <w:left w:val="nil"/>
              <w:bottom w:val="single" w:color="000000" w:sz="8" w:space="0"/>
              <w:right w:val="single" w:color="000000" w:sz="8" w:space="0"/>
            </w:tcBorders>
            <w:vAlign w:val="center"/>
          </w:tcPr>
          <w:p w14:paraId="2F5310C5">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★A060806水嘴</w:t>
            </w:r>
          </w:p>
        </w:tc>
        <w:tc>
          <w:tcPr>
            <w:tcW w:w="1632" w:type="dxa"/>
            <w:tcBorders>
              <w:top w:val="nil"/>
              <w:left w:val="nil"/>
              <w:bottom w:val="single" w:color="000000" w:sz="8" w:space="0"/>
              <w:right w:val="single" w:color="000000" w:sz="8" w:space="0"/>
            </w:tcBorders>
            <w:vAlign w:val="center"/>
          </w:tcPr>
          <w:p w14:paraId="64A76E2B">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　</w:t>
            </w:r>
          </w:p>
        </w:tc>
        <w:tc>
          <w:tcPr>
            <w:tcW w:w="1607" w:type="dxa"/>
            <w:tcBorders>
              <w:top w:val="nil"/>
              <w:left w:val="nil"/>
              <w:bottom w:val="single" w:color="000000" w:sz="8" w:space="0"/>
              <w:right w:val="single" w:color="000000" w:sz="8" w:space="0"/>
            </w:tcBorders>
            <w:vAlign w:val="center"/>
          </w:tcPr>
          <w:p w14:paraId="2E489CAC">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　</w:t>
            </w:r>
          </w:p>
        </w:tc>
        <w:tc>
          <w:tcPr>
            <w:tcW w:w="4546" w:type="dxa"/>
            <w:tcBorders>
              <w:top w:val="nil"/>
              <w:left w:val="nil"/>
              <w:bottom w:val="single" w:color="000000" w:sz="8" w:space="0"/>
              <w:right w:val="single" w:color="000000" w:sz="8" w:space="0"/>
            </w:tcBorders>
            <w:vAlign w:val="center"/>
          </w:tcPr>
          <w:p w14:paraId="163EE5DF">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《水嘴用水效率限定值及用水效率等级》（GB 25501）</w:t>
            </w:r>
          </w:p>
        </w:tc>
      </w:tr>
      <w:tr w14:paraId="31E6F9BF">
        <w:tblPrEx>
          <w:tblCellMar>
            <w:top w:w="0" w:type="dxa"/>
            <w:left w:w="108" w:type="dxa"/>
            <w:bottom w:w="0" w:type="dxa"/>
            <w:right w:w="108" w:type="dxa"/>
          </w:tblCellMar>
        </w:tblPrEx>
        <w:trPr>
          <w:trHeight w:val="495" w:hRule="atLeast"/>
        </w:trPr>
        <w:tc>
          <w:tcPr>
            <w:tcW w:w="715" w:type="dxa"/>
            <w:tcBorders>
              <w:top w:val="nil"/>
              <w:left w:val="single" w:color="000000" w:sz="8" w:space="0"/>
              <w:bottom w:val="single" w:color="000000" w:sz="8" w:space="0"/>
              <w:right w:val="single" w:color="000000" w:sz="8" w:space="0"/>
            </w:tcBorders>
            <w:vAlign w:val="center"/>
          </w:tcPr>
          <w:p w14:paraId="55ADF24D">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17</w:t>
            </w:r>
          </w:p>
        </w:tc>
        <w:tc>
          <w:tcPr>
            <w:tcW w:w="1352" w:type="dxa"/>
            <w:tcBorders>
              <w:top w:val="nil"/>
              <w:left w:val="nil"/>
              <w:bottom w:val="single" w:color="000000" w:sz="8" w:space="0"/>
              <w:right w:val="single" w:color="000000" w:sz="8" w:space="0"/>
            </w:tcBorders>
            <w:vAlign w:val="center"/>
          </w:tcPr>
          <w:p w14:paraId="160F8D5E">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A060807便器冲洗阀</w:t>
            </w:r>
          </w:p>
        </w:tc>
        <w:tc>
          <w:tcPr>
            <w:tcW w:w="1632" w:type="dxa"/>
            <w:tcBorders>
              <w:top w:val="nil"/>
              <w:left w:val="nil"/>
              <w:bottom w:val="single" w:color="000000" w:sz="8" w:space="0"/>
              <w:right w:val="single" w:color="000000" w:sz="8" w:space="0"/>
            </w:tcBorders>
            <w:vAlign w:val="center"/>
          </w:tcPr>
          <w:p w14:paraId="3A360B9B">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　</w:t>
            </w:r>
          </w:p>
        </w:tc>
        <w:tc>
          <w:tcPr>
            <w:tcW w:w="1607" w:type="dxa"/>
            <w:tcBorders>
              <w:top w:val="nil"/>
              <w:left w:val="nil"/>
              <w:bottom w:val="single" w:color="000000" w:sz="8" w:space="0"/>
              <w:right w:val="single" w:color="000000" w:sz="8" w:space="0"/>
            </w:tcBorders>
            <w:vAlign w:val="center"/>
          </w:tcPr>
          <w:p w14:paraId="3B1E99FA">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　</w:t>
            </w:r>
          </w:p>
        </w:tc>
        <w:tc>
          <w:tcPr>
            <w:tcW w:w="4546" w:type="dxa"/>
            <w:tcBorders>
              <w:top w:val="nil"/>
              <w:left w:val="nil"/>
              <w:bottom w:val="single" w:color="000000" w:sz="8" w:space="0"/>
              <w:right w:val="single" w:color="000000" w:sz="8" w:space="0"/>
            </w:tcBorders>
            <w:vAlign w:val="center"/>
          </w:tcPr>
          <w:p w14:paraId="2E0BA0DE">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《便器冲洗阀用水效率限定值及用水效率等级》（GB28379）</w:t>
            </w:r>
          </w:p>
        </w:tc>
      </w:tr>
      <w:tr w14:paraId="6514286F">
        <w:tblPrEx>
          <w:tblCellMar>
            <w:top w:w="0" w:type="dxa"/>
            <w:left w:w="108" w:type="dxa"/>
            <w:bottom w:w="0" w:type="dxa"/>
            <w:right w:w="108" w:type="dxa"/>
          </w:tblCellMar>
        </w:tblPrEx>
        <w:trPr>
          <w:trHeight w:val="495" w:hRule="atLeast"/>
        </w:trPr>
        <w:tc>
          <w:tcPr>
            <w:tcW w:w="715" w:type="dxa"/>
            <w:tcBorders>
              <w:top w:val="nil"/>
              <w:left w:val="single" w:color="000000" w:sz="8" w:space="0"/>
              <w:bottom w:val="single" w:color="000000" w:sz="8" w:space="0"/>
              <w:right w:val="single" w:color="000000" w:sz="8" w:space="0"/>
            </w:tcBorders>
            <w:vAlign w:val="center"/>
          </w:tcPr>
          <w:p w14:paraId="7AE7DED5">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18</w:t>
            </w:r>
          </w:p>
        </w:tc>
        <w:tc>
          <w:tcPr>
            <w:tcW w:w="1352" w:type="dxa"/>
            <w:tcBorders>
              <w:top w:val="nil"/>
              <w:left w:val="nil"/>
              <w:bottom w:val="single" w:color="000000" w:sz="8" w:space="0"/>
              <w:right w:val="single" w:color="000000" w:sz="8" w:space="0"/>
            </w:tcBorders>
            <w:vAlign w:val="center"/>
          </w:tcPr>
          <w:p w14:paraId="3B614DDE">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A060810淋浴器</w:t>
            </w:r>
          </w:p>
        </w:tc>
        <w:tc>
          <w:tcPr>
            <w:tcW w:w="1632" w:type="dxa"/>
            <w:tcBorders>
              <w:top w:val="nil"/>
              <w:left w:val="nil"/>
              <w:bottom w:val="single" w:color="000000" w:sz="8" w:space="0"/>
              <w:right w:val="single" w:color="000000" w:sz="8" w:space="0"/>
            </w:tcBorders>
            <w:vAlign w:val="center"/>
          </w:tcPr>
          <w:p w14:paraId="39339572">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　</w:t>
            </w:r>
          </w:p>
        </w:tc>
        <w:tc>
          <w:tcPr>
            <w:tcW w:w="1607" w:type="dxa"/>
            <w:tcBorders>
              <w:top w:val="nil"/>
              <w:left w:val="nil"/>
              <w:bottom w:val="single" w:color="000000" w:sz="8" w:space="0"/>
              <w:right w:val="single" w:color="000000" w:sz="8" w:space="0"/>
            </w:tcBorders>
            <w:vAlign w:val="center"/>
          </w:tcPr>
          <w:p w14:paraId="04A14061">
            <w:pPr>
              <w:keepNext w:val="0"/>
              <w:keepLines w:val="0"/>
              <w:pageBreakBefore w:val="0"/>
              <w:widowControl/>
              <w:shd w:val="clear" w:color="auto" w:fill="auto"/>
              <w:kinsoku/>
              <w:overflowPunct/>
              <w:bidi w:val="0"/>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　</w:t>
            </w:r>
          </w:p>
        </w:tc>
        <w:tc>
          <w:tcPr>
            <w:tcW w:w="4546" w:type="dxa"/>
            <w:tcBorders>
              <w:top w:val="nil"/>
              <w:left w:val="nil"/>
              <w:bottom w:val="single" w:color="000000" w:sz="8" w:space="0"/>
              <w:right w:val="single" w:color="000000" w:sz="8" w:space="0"/>
            </w:tcBorders>
            <w:vAlign w:val="center"/>
          </w:tcPr>
          <w:p w14:paraId="4A5BE8F7">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《淋浴器用水效率限定值及用水效率等级》（GB28378）</w:t>
            </w:r>
          </w:p>
        </w:tc>
      </w:tr>
    </w:tbl>
    <w:p w14:paraId="13549588">
      <w:pPr>
        <w:pStyle w:val="12"/>
        <w:keepNext w:val="0"/>
        <w:keepLines w:val="0"/>
        <w:pageBreakBefore w:val="0"/>
        <w:shd w:val="clear" w:color="auto" w:fill="auto"/>
        <w:kinsoku/>
        <w:overflowPunct/>
        <w:bidi w:val="0"/>
        <w:spacing w:line="360" w:lineRule="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3"/>
          <w:sz w:val="21"/>
          <w:szCs w:val="21"/>
          <w:highlight w:val="none"/>
          <w:shd w:val="clear" w:color="auto" w:fill="auto"/>
        </w:rPr>
        <w:t>注：1.节能产品认证应依据相关国家标准的最新版本，依据国家标准中二级能效（水效）</w:t>
      </w:r>
      <w:r>
        <w:rPr>
          <w:rFonts w:hint="eastAsia" w:ascii="宋体" w:hAnsi="宋体" w:eastAsia="宋体" w:cs="宋体"/>
          <w:color w:val="auto"/>
          <w:sz w:val="21"/>
          <w:szCs w:val="21"/>
          <w:highlight w:val="none"/>
          <w:shd w:val="clear" w:color="auto" w:fill="auto"/>
        </w:rPr>
        <w:t>指标。</w:t>
      </w:r>
    </w:p>
    <w:p w14:paraId="0D66EA95">
      <w:pPr>
        <w:keepNext w:val="0"/>
        <w:keepLines w:val="0"/>
        <w:pageBreakBefore w:val="0"/>
        <w:shd w:val="clear" w:color="auto" w:fill="auto"/>
        <w:kinsoku/>
        <w:overflowPunct/>
        <w:bidi w:val="0"/>
        <w:spacing w:line="36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   </w:t>
      </w:r>
      <w:r>
        <w:rPr>
          <w:rFonts w:hint="eastAsia" w:ascii="宋体" w:hAnsi="宋体" w:eastAsia="宋体" w:cs="宋体"/>
          <w:color w:val="auto"/>
          <w:spacing w:val="-3"/>
          <w:kern w:val="0"/>
          <w:sz w:val="21"/>
          <w:szCs w:val="21"/>
          <w:highlight w:val="none"/>
          <w:shd w:val="clear" w:color="auto" w:fill="auto"/>
        </w:rPr>
        <w:t xml:space="preserve"> 2.以“★”标注的为政府强制采购产品。</w:t>
      </w:r>
    </w:p>
    <w:p w14:paraId="6D78D10D">
      <w:pPr>
        <w:keepNext w:val="0"/>
        <w:keepLines w:val="0"/>
        <w:pageBreakBefore w:val="0"/>
        <w:kinsoku/>
        <w:overflowPunct/>
        <w:bidi w:val="0"/>
        <w:spacing w:line="360" w:lineRule="auto"/>
        <w:rPr>
          <w:rFonts w:hint="eastAsia" w:ascii="Arial Unicode MS" w:hAnsi="Arial Unicode MS" w:eastAsia="Arial Unicode MS" w:cs="Arial Unicode MS"/>
          <w:color w:val="auto"/>
          <w:sz w:val="28"/>
          <w:szCs w:val="28"/>
          <w:highlight w:val="none"/>
          <w:shd w:val="clear" w:color="auto" w:fill="auto"/>
        </w:rPr>
      </w:pPr>
      <w:r>
        <w:rPr>
          <w:rFonts w:hint="eastAsia" w:ascii="Arial Unicode MS" w:hAnsi="Arial Unicode MS" w:eastAsia="Arial Unicode MS" w:cs="Arial Unicode MS"/>
          <w:color w:val="auto"/>
          <w:sz w:val="28"/>
          <w:szCs w:val="28"/>
          <w:highlight w:val="none"/>
          <w:shd w:val="clear" w:color="auto" w:fill="auto"/>
        </w:rPr>
        <w:br w:type="page"/>
      </w:r>
    </w:p>
    <w:p w14:paraId="656A5454">
      <w:pPr>
        <w:keepNext w:val="0"/>
        <w:keepLines w:val="0"/>
        <w:pageBreakBefore w:val="0"/>
        <w:shd w:val="clear" w:color="auto" w:fill="auto"/>
        <w:kinsoku/>
        <w:overflowPunct/>
        <w:bidi w:val="0"/>
        <w:spacing w:line="360" w:lineRule="auto"/>
        <w:jc w:val="left"/>
        <w:rPr>
          <w:rFonts w:hint="eastAsia" w:ascii="Arial Unicode MS" w:hAnsi="Arial Unicode MS" w:eastAsia="Arial Unicode MS" w:cs="Arial Unicode MS"/>
          <w:color w:val="auto"/>
          <w:sz w:val="28"/>
          <w:szCs w:val="28"/>
          <w:highlight w:val="none"/>
          <w:shd w:val="clear" w:color="auto" w:fill="auto"/>
        </w:rPr>
      </w:pPr>
      <w:r>
        <w:rPr>
          <w:rFonts w:hint="eastAsia" w:ascii="Arial Unicode MS" w:hAnsi="Arial Unicode MS" w:eastAsia="Arial Unicode MS" w:cs="Arial Unicode MS"/>
          <w:color w:val="auto"/>
          <w:sz w:val="28"/>
          <w:szCs w:val="28"/>
          <w:highlight w:val="none"/>
          <w:shd w:val="clear" w:color="auto" w:fill="auto"/>
        </w:rPr>
        <w:t>附件</w:t>
      </w:r>
      <w:r>
        <w:rPr>
          <w:rFonts w:hint="eastAsia" w:ascii="Arial Unicode MS" w:hAnsi="Arial Unicode MS" w:eastAsia="Arial Unicode MS" w:cs="Arial Unicode MS"/>
          <w:color w:val="auto"/>
          <w:sz w:val="28"/>
          <w:szCs w:val="28"/>
          <w:highlight w:val="none"/>
          <w:shd w:val="clear" w:color="auto" w:fill="auto"/>
          <w:lang w:val="en-US" w:eastAsia="zh-CN"/>
        </w:rPr>
        <w:t>3</w:t>
      </w:r>
      <w:r>
        <w:rPr>
          <w:rFonts w:hint="eastAsia" w:ascii="Arial Unicode MS" w:hAnsi="Arial Unicode MS" w:eastAsia="Arial Unicode MS" w:cs="Arial Unicode MS"/>
          <w:color w:val="auto"/>
          <w:sz w:val="28"/>
          <w:szCs w:val="28"/>
          <w:highlight w:val="none"/>
          <w:shd w:val="clear" w:color="auto" w:fill="auto"/>
        </w:rPr>
        <w:t>：</w:t>
      </w:r>
    </w:p>
    <w:p w14:paraId="13F65240">
      <w:pPr>
        <w:keepNext w:val="0"/>
        <w:keepLines w:val="0"/>
        <w:pageBreakBefore w:val="0"/>
        <w:shd w:val="clear" w:color="auto" w:fill="auto"/>
        <w:kinsoku/>
        <w:overflowPunct/>
        <w:bidi w:val="0"/>
        <w:spacing w:line="360" w:lineRule="auto"/>
        <w:jc w:val="center"/>
        <w:rPr>
          <w:rFonts w:hint="eastAsia" w:ascii="Arial Unicode MS" w:hAnsi="Arial Unicode MS" w:eastAsia="Arial Unicode MS" w:cs="Arial Unicode MS"/>
          <w:color w:val="auto"/>
          <w:sz w:val="40"/>
          <w:szCs w:val="40"/>
          <w:highlight w:val="none"/>
          <w:shd w:val="clear" w:color="auto" w:fill="auto"/>
        </w:rPr>
      </w:pPr>
      <w:r>
        <w:rPr>
          <w:rFonts w:hint="eastAsia" w:ascii="宋体" w:hAnsi="宋体" w:eastAsia="宋体" w:cs="宋体"/>
          <w:color w:val="auto"/>
          <w:sz w:val="32"/>
          <w:szCs w:val="32"/>
          <w:highlight w:val="none"/>
          <w:shd w:val="clear" w:color="auto" w:fill="auto"/>
        </w:rPr>
        <w:t>中小微企业划型标准</w:t>
      </w:r>
    </w:p>
    <w:tbl>
      <w:tblPr>
        <w:tblStyle w:val="25"/>
        <w:tblW w:w="9497" w:type="dxa"/>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5AF3011E">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vAlign w:val="center"/>
          </w:tcPr>
          <w:p w14:paraId="29F11DC9">
            <w:pPr>
              <w:keepNext w:val="0"/>
              <w:keepLines w:val="0"/>
              <w:pageBreakBefore w:val="0"/>
              <w:widowControl/>
              <w:shd w:val="clear" w:color="auto" w:fill="auto"/>
              <w:kinsoku/>
              <w:overflowPunct/>
              <w:bidi w:val="0"/>
              <w:spacing w:line="360" w:lineRule="auto"/>
              <w:jc w:val="center"/>
              <w:rPr>
                <w:rFonts w:hint="eastAsia" w:ascii="宋体" w:hAnsi="宋体" w:eastAsia="宋体" w:cs="宋体"/>
                <w:b/>
                <w:color w:val="auto"/>
                <w:kern w:val="0"/>
                <w:sz w:val="21"/>
                <w:szCs w:val="21"/>
                <w:highlight w:val="none"/>
                <w:shd w:val="clear" w:color="auto" w:fill="auto"/>
              </w:rPr>
            </w:pPr>
            <w:r>
              <w:rPr>
                <w:rFonts w:hint="eastAsia" w:ascii="宋体" w:hAnsi="宋体" w:eastAsia="宋体" w:cs="宋体"/>
                <w:b/>
                <w:color w:val="auto"/>
                <w:kern w:val="0"/>
                <w:sz w:val="21"/>
                <w:szCs w:val="21"/>
                <w:highlight w:val="none"/>
                <w:shd w:val="clear" w:color="auto" w:fill="auto"/>
              </w:rPr>
              <w:t>行业名称</w:t>
            </w:r>
          </w:p>
        </w:tc>
        <w:tc>
          <w:tcPr>
            <w:tcW w:w="1984" w:type="dxa"/>
            <w:tcBorders>
              <w:top w:val="single" w:color="auto" w:sz="4" w:space="0"/>
              <w:left w:val="nil"/>
              <w:bottom w:val="single" w:color="auto" w:sz="4" w:space="0"/>
              <w:right w:val="single" w:color="auto" w:sz="4" w:space="0"/>
            </w:tcBorders>
            <w:vAlign w:val="center"/>
          </w:tcPr>
          <w:p w14:paraId="7A04B2C1">
            <w:pPr>
              <w:keepNext w:val="0"/>
              <w:keepLines w:val="0"/>
              <w:pageBreakBefore w:val="0"/>
              <w:widowControl/>
              <w:shd w:val="clear" w:color="auto" w:fill="auto"/>
              <w:kinsoku/>
              <w:overflowPunct/>
              <w:bidi w:val="0"/>
              <w:spacing w:line="360" w:lineRule="auto"/>
              <w:jc w:val="center"/>
              <w:rPr>
                <w:rFonts w:hint="eastAsia" w:ascii="宋体" w:hAnsi="宋体" w:eastAsia="宋体" w:cs="宋体"/>
                <w:b/>
                <w:color w:val="auto"/>
                <w:kern w:val="0"/>
                <w:sz w:val="21"/>
                <w:szCs w:val="21"/>
                <w:highlight w:val="none"/>
                <w:shd w:val="clear" w:color="auto" w:fill="auto"/>
              </w:rPr>
            </w:pPr>
            <w:r>
              <w:rPr>
                <w:rFonts w:hint="eastAsia" w:ascii="宋体" w:hAnsi="宋体" w:eastAsia="宋体" w:cs="宋体"/>
                <w:b/>
                <w:color w:val="auto"/>
                <w:kern w:val="0"/>
                <w:sz w:val="21"/>
                <w:szCs w:val="21"/>
                <w:highlight w:val="none"/>
                <w:shd w:val="clear" w:color="auto" w:fill="auto"/>
              </w:rPr>
              <w:t>指标名称</w:t>
            </w:r>
          </w:p>
        </w:tc>
        <w:tc>
          <w:tcPr>
            <w:tcW w:w="851" w:type="dxa"/>
            <w:tcBorders>
              <w:top w:val="single" w:color="auto" w:sz="4" w:space="0"/>
              <w:left w:val="nil"/>
              <w:bottom w:val="single" w:color="auto" w:sz="4" w:space="0"/>
              <w:right w:val="single" w:color="auto" w:sz="4" w:space="0"/>
            </w:tcBorders>
            <w:vAlign w:val="center"/>
          </w:tcPr>
          <w:p w14:paraId="46BCD690">
            <w:pPr>
              <w:keepNext w:val="0"/>
              <w:keepLines w:val="0"/>
              <w:pageBreakBefore w:val="0"/>
              <w:widowControl/>
              <w:shd w:val="clear" w:color="auto" w:fill="auto"/>
              <w:kinsoku/>
              <w:overflowPunct/>
              <w:bidi w:val="0"/>
              <w:spacing w:line="360" w:lineRule="auto"/>
              <w:jc w:val="center"/>
              <w:rPr>
                <w:rFonts w:hint="eastAsia" w:ascii="宋体" w:hAnsi="宋体" w:eastAsia="宋体" w:cs="宋体"/>
                <w:b/>
                <w:color w:val="auto"/>
                <w:kern w:val="0"/>
                <w:sz w:val="21"/>
                <w:szCs w:val="21"/>
                <w:highlight w:val="none"/>
                <w:shd w:val="clear" w:color="auto" w:fill="auto"/>
              </w:rPr>
            </w:pPr>
            <w:r>
              <w:rPr>
                <w:rFonts w:hint="eastAsia" w:ascii="宋体" w:hAnsi="宋体" w:eastAsia="宋体" w:cs="宋体"/>
                <w:b/>
                <w:color w:val="auto"/>
                <w:kern w:val="0"/>
                <w:sz w:val="21"/>
                <w:szCs w:val="21"/>
                <w:highlight w:val="none"/>
                <w:shd w:val="clear" w:color="auto" w:fill="auto"/>
              </w:rPr>
              <w:t>计量单位</w:t>
            </w:r>
          </w:p>
        </w:tc>
        <w:tc>
          <w:tcPr>
            <w:tcW w:w="1842" w:type="dxa"/>
            <w:tcBorders>
              <w:top w:val="single" w:color="auto" w:sz="4" w:space="0"/>
              <w:left w:val="nil"/>
              <w:bottom w:val="single" w:color="auto" w:sz="4" w:space="0"/>
              <w:right w:val="single" w:color="auto" w:sz="4" w:space="0"/>
            </w:tcBorders>
            <w:vAlign w:val="center"/>
          </w:tcPr>
          <w:p w14:paraId="48BCC38D">
            <w:pPr>
              <w:keepNext w:val="0"/>
              <w:keepLines w:val="0"/>
              <w:pageBreakBefore w:val="0"/>
              <w:widowControl/>
              <w:shd w:val="clear" w:color="auto" w:fill="auto"/>
              <w:kinsoku/>
              <w:overflowPunct/>
              <w:bidi w:val="0"/>
              <w:spacing w:line="360" w:lineRule="auto"/>
              <w:jc w:val="center"/>
              <w:rPr>
                <w:rFonts w:hint="eastAsia" w:ascii="宋体" w:hAnsi="宋体" w:eastAsia="宋体" w:cs="宋体"/>
                <w:b/>
                <w:color w:val="auto"/>
                <w:kern w:val="0"/>
                <w:sz w:val="21"/>
                <w:szCs w:val="21"/>
                <w:highlight w:val="none"/>
                <w:shd w:val="clear" w:color="auto" w:fill="auto"/>
              </w:rPr>
            </w:pPr>
            <w:r>
              <w:rPr>
                <w:rFonts w:hint="eastAsia" w:ascii="宋体" w:hAnsi="宋体" w:eastAsia="宋体" w:cs="宋体"/>
                <w:b/>
                <w:color w:val="auto"/>
                <w:kern w:val="0"/>
                <w:sz w:val="21"/>
                <w:szCs w:val="21"/>
                <w:highlight w:val="none"/>
                <w:shd w:val="clear" w:color="auto" w:fill="auto"/>
              </w:rPr>
              <w:t>中型</w:t>
            </w:r>
          </w:p>
        </w:tc>
        <w:tc>
          <w:tcPr>
            <w:tcW w:w="1701" w:type="dxa"/>
            <w:tcBorders>
              <w:top w:val="single" w:color="auto" w:sz="4" w:space="0"/>
              <w:left w:val="nil"/>
              <w:bottom w:val="single" w:color="auto" w:sz="4" w:space="0"/>
              <w:right w:val="single" w:color="auto" w:sz="4" w:space="0"/>
            </w:tcBorders>
            <w:vAlign w:val="center"/>
          </w:tcPr>
          <w:p w14:paraId="5413E2BF">
            <w:pPr>
              <w:keepNext w:val="0"/>
              <w:keepLines w:val="0"/>
              <w:pageBreakBefore w:val="0"/>
              <w:widowControl/>
              <w:shd w:val="clear" w:color="auto" w:fill="auto"/>
              <w:kinsoku/>
              <w:overflowPunct/>
              <w:bidi w:val="0"/>
              <w:spacing w:line="360" w:lineRule="auto"/>
              <w:jc w:val="center"/>
              <w:rPr>
                <w:rFonts w:hint="eastAsia" w:ascii="宋体" w:hAnsi="宋体" w:eastAsia="宋体" w:cs="宋体"/>
                <w:b/>
                <w:color w:val="auto"/>
                <w:kern w:val="0"/>
                <w:sz w:val="21"/>
                <w:szCs w:val="21"/>
                <w:highlight w:val="none"/>
                <w:shd w:val="clear" w:color="auto" w:fill="auto"/>
              </w:rPr>
            </w:pPr>
            <w:r>
              <w:rPr>
                <w:rFonts w:hint="eastAsia" w:ascii="宋体" w:hAnsi="宋体" w:eastAsia="宋体" w:cs="宋体"/>
                <w:b/>
                <w:color w:val="auto"/>
                <w:kern w:val="0"/>
                <w:sz w:val="21"/>
                <w:szCs w:val="21"/>
                <w:highlight w:val="none"/>
                <w:shd w:val="clear" w:color="auto" w:fill="auto"/>
              </w:rPr>
              <w:t>小型</w:t>
            </w:r>
          </w:p>
        </w:tc>
        <w:tc>
          <w:tcPr>
            <w:tcW w:w="1134" w:type="dxa"/>
            <w:tcBorders>
              <w:top w:val="single" w:color="auto" w:sz="4" w:space="0"/>
              <w:left w:val="nil"/>
              <w:bottom w:val="single" w:color="auto" w:sz="4" w:space="0"/>
              <w:right w:val="single" w:color="auto" w:sz="4" w:space="0"/>
            </w:tcBorders>
            <w:vAlign w:val="center"/>
          </w:tcPr>
          <w:p w14:paraId="4B71FAF4">
            <w:pPr>
              <w:keepNext w:val="0"/>
              <w:keepLines w:val="0"/>
              <w:pageBreakBefore w:val="0"/>
              <w:widowControl/>
              <w:shd w:val="clear" w:color="auto" w:fill="auto"/>
              <w:kinsoku/>
              <w:overflowPunct/>
              <w:bidi w:val="0"/>
              <w:spacing w:line="360" w:lineRule="auto"/>
              <w:jc w:val="center"/>
              <w:rPr>
                <w:rFonts w:hint="eastAsia" w:ascii="宋体" w:hAnsi="宋体" w:eastAsia="宋体" w:cs="宋体"/>
                <w:b/>
                <w:color w:val="auto"/>
                <w:kern w:val="0"/>
                <w:sz w:val="21"/>
                <w:szCs w:val="21"/>
                <w:highlight w:val="none"/>
                <w:shd w:val="clear" w:color="auto" w:fill="auto"/>
              </w:rPr>
            </w:pPr>
            <w:r>
              <w:rPr>
                <w:rFonts w:hint="eastAsia" w:ascii="宋体" w:hAnsi="宋体" w:eastAsia="宋体" w:cs="宋体"/>
                <w:b/>
                <w:color w:val="auto"/>
                <w:kern w:val="0"/>
                <w:sz w:val="21"/>
                <w:szCs w:val="21"/>
                <w:highlight w:val="none"/>
                <w:shd w:val="clear" w:color="auto" w:fill="auto"/>
              </w:rPr>
              <w:t>微型</w:t>
            </w:r>
          </w:p>
        </w:tc>
      </w:tr>
      <w:tr w14:paraId="76DC1C64">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05153E37">
            <w:pPr>
              <w:keepNext w:val="0"/>
              <w:keepLines w:val="0"/>
              <w:pageBreakBefore w:val="0"/>
              <w:widowControl/>
              <w:shd w:val="clear" w:color="auto" w:fill="auto"/>
              <w:kinsoku/>
              <w:overflowPunct/>
              <w:bidi w:val="0"/>
              <w:spacing w:line="360" w:lineRule="auto"/>
              <w:jc w:val="center"/>
              <w:rPr>
                <w:rFonts w:hint="eastAsia" w:ascii="宋体" w:hAnsi="宋体" w:eastAsia="宋体" w:cs="宋体"/>
                <w:b/>
                <w:bCs/>
                <w:color w:val="auto"/>
                <w:kern w:val="0"/>
                <w:sz w:val="21"/>
                <w:szCs w:val="21"/>
                <w:highlight w:val="none"/>
                <w:shd w:val="clear" w:color="auto" w:fill="auto"/>
              </w:rPr>
            </w:pPr>
            <w:r>
              <w:rPr>
                <w:rFonts w:hint="eastAsia" w:ascii="宋体" w:hAnsi="宋体" w:eastAsia="宋体" w:cs="宋体"/>
                <w:b/>
                <w:bCs/>
                <w:color w:val="auto"/>
                <w:kern w:val="0"/>
                <w:sz w:val="21"/>
                <w:szCs w:val="21"/>
                <w:highlight w:val="none"/>
                <w:shd w:val="clear" w:color="auto" w:fill="auto"/>
              </w:rPr>
              <w:t>农、林、牧、渔</w:t>
            </w:r>
          </w:p>
        </w:tc>
        <w:tc>
          <w:tcPr>
            <w:tcW w:w="1984" w:type="dxa"/>
            <w:tcBorders>
              <w:top w:val="nil"/>
              <w:left w:val="nil"/>
              <w:bottom w:val="single" w:color="auto" w:sz="4" w:space="0"/>
              <w:right w:val="single" w:color="auto" w:sz="4" w:space="0"/>
            </w:tcBorders>
            <w:vAlign w:val="center"/>
          </w:tcPr>
          <w:p w14:paraId="47BF0C80">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营业收入（Y）</w:t>
            </w:r>
          </w:p>
        </w:tc>
        <w:tc>
          <w:tcPr>
            <w:tcW w:w="851" w:type="dxa"/>
            <w:tcBorders>
              <w:top w:val="nil"/>
              <w:left w:val="nil"/>
              <w:bottom w:val="single" w:color="auto" w:sz="4" w:space="0"/>
              <w:right w:val="single" w:color="auto" w:sz="4" w:space="0"/>
            </w:tcBorders>
            <w:vAlign w:val="center"/>
          </w:tcPr>
          <w:p w14:paraId="33852D62">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万元</w:t>
            </w:r>
          </w:p>
        </w:tc>
        <w:tc>
          <w:tcPr>
            <w:tcW w:w="1842" w:type="dxa"/>
            <w:tcBorders>
              <w:top w:val="nil"/>
              <w:left w:val="nil"/>
              <w:bottom w:val="single" w:color="auto" w:sz="4" w:space="0"/>
              <w:right w:val="single" w:color="auto" w:sz="4" w:space="0"/>
            </w:tcBorders>
            <w:vAlign w:val="center"/>
          </w:tcPr>
          <w:p w14:paraId="0838AB84">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500≤Y＜20000</w:t>
            </w:r>
          </w:p>
        </w:tc>
        <w:tc>
          <w:tcPr>
            <w:tcW w:w="1701" w:type="dxa"/>
            <w:tcBorders>
              <w:top w:val="nil"/>
              <w:left w:val="nil"/>
              <w:bottom w:val="single" w:color="auto" w:sz="4" w:space="0"/>
              <w:right w:val="single" w:color="auto" w:sz="4" w:space="0"/>
            </w:tcBorders>
            <w:vAlign w:val="center"/>
          </w:tcPr>
          <w:p w14:paraId="48A49883">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50≤Y＜500</w:t>
            </w:r>
          </w:p>
        </w:tc>
        <w:tc>
          <w:tcPr>
            <w:tcW w:w="1134" w:type="dxa"/>
            <w:tcBorders>
              <w:top w:val="nil"/>
              <w:left w:val="nil"/>
              <w:bottom w:val="single" w:color="auto" w:sz="4" w:space="0"/>
              <w:right w:val="single" w:color="auto" w:sz="4" w:space="0"/>
            </w:tcBorders>
            <w:vAlign w:val="center"/>
          </w:tcPr>
          <w:p w14:paraId="4214DE61">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Y＜50</w:t>
            </w:r>
          </w:p>
        </w:tc>
      </w:tr>
      <w:tr w14:paraId="215DFD2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745ADE9">
            <w:pPr>
              <w:keepNext w:val="0"/>
              <w:keepLines w:val="0"/>
              <w:pageBreakBefore w:val="0"/>
              <w:widowControl/>
              <w:shd w:val="clear" w:color="auto" w:fill="auto"/>
              <w:kinsoku/>
              <w:overflowPunct/>
              <w:bidi w:val="0"/>
              <w:spacing w:line="360" w:lineRule="auto"/>
              <w:jc w:val="center"/>
              <w:rPr>
                <w:rFonts w:hint="eastAsia" w:ascii="宋体" w:hAnsi="宋体" w:eastAsia="宋体" w:cs="宋体"/>
                <w:b/>
                <w:bCs/>
                <w:color w:val="auto"/>
                <w:kern w:val="0"/>
                <w:sz w:val="21"/>
                <w:szCs w:val="21"/>
                <w:highlight w:val="none"/>
                <w:shd w:val="clear" w:color="auto" w:fill="auto"/>
              </w:rPr>
            </w:pPr>
            <w:r>
              <w:rPr>
                <w:rFonts w:hint="eastAsia" w:ascii="宋体" w:hAnsi="宋体" w:eastAsia="宋体" w:cs="宋体"/>
                <w:b/>
                <w:bCs/>
                <w:color w:val="auto"/>
                <w:kern w:val="0"/>
                <w:sz w:val="21"/>
                <w:szCs w:val="21"/>
                <w:highlight w:val="none"/>
                <w:shd w:val="clear" w:color="auto" w:fill="auto"/>
              </w:rPr>
              <w:t>工业</w:t>
            </w:r>
          </w:p>
        </w:tc>
        <w:tc>
          <w:tcPr>
            <w:tcW w:w="1984" w:type="dxa"/>
            <w:tcBorders>
              <w:top w:val="nil"/>
              <w:left w:val="nil"/>
              <w:bottom w:val="single" w:color="auto" w:sz="4" w:space="0"/>
              <w:right w:val="single" w:color="auto" w:sz="4" w:space="0"/>
            </w:tcBorders>
            <w:vAlign w:val="center"/>
          </w:tcPr>
          <w:p w14:paraId="1BA39416">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从业人员（X）</w:t>
            </w:r>
          </w:p>
        </w:tc>
        <w:tc>
          <w:tcPr>
            <w:tcW w:w="851" w:type="dxa"/>
            <w:tcBorders>
              <w:top w:val="nil"/>
              <w:left w:val="nil"/>
              <w:bottom w:val="single" w:color="auto" w:sz="4" w:space="0"/>
              <w:right w:val="single" w:color="auto" w:sz="4" w:space="0"/>
            </w:tcBorders>
            <w:vAlign w:val="center"/>
          </w:tcPr>
          <w:p w14:paraId="20E2916C">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人</w:t>
            </w:r>
          </w:p>
        </w:tc>
        <w:tc>
          <w:tcPr>
            <w:tcW w:w="1842" w:type="dxa"/>
            <w:tcBorders>
              <w:top w:val="nil"/>
              <w:left w:val="nil"/>
              <w:bottom w:val="single" w:color="auto" w:sz="4" w:space="0"/>
              <w:right w:val="single" w:color="auto" w:sz="4" w:space="0"/>
            </w:tcBorders>
            <w:vAlign w:val="center"/>
          </w:tcPr>
          <w:p w14:paraId="4FB65AC5">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300≤X＜1000</w:t>
            </w:r>
          </w:p>
        </w:tc>
        <w:tc>
          <w:tcPr>
            <w:tcW w:w="1701" w:type="dxa"/>
            <w:tcBorders>
              <w:top w:val="nil"/>
              <w:left w:val="nil"/>
              <w:bottom w:val="single" w:color="auto" w:sz="4" w:space="0"/>
              <w:right w:val="single" w:color="auto" w:sz="4" w:space="0"/>
            </w:tcBorders>
            <w:vAlign w:val="center"/>
          </w:tcPr>
          <w:p w14:paraId="72D2456E">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20≤X＜300</w:t>
            </w:r>
          </w:p>
        </w:tc>
        <w:tc>
          <w:tcPr>
            <w:tcW w:w="1134" w:type="dxa"/>
            <w:tcBorders>
              <w:top w:val="nil"/>
              <w:left w:val="nil"/>
              <w:bottom w:val="single" w:color="auto" w:sz="4" w:space="0"/>
              <w:right w:val="single" w:color="auto" w:sz="4" w:space="0"/>
            </w:tcBorders>
            <w:vAlign w:val="center"/>
          </w:tcPr>
          <w:p w14:paraId="143D5660">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X＜20</w:t>
            </w:r>
          </w:p>
        </w:tc>
      </w:tr>
      <w:tr w14:paraId="09751EF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F4C33B2">
            <w:pPr>
              <w:keepNext w:val="0"/>
              <w:keepLines w:val="0"/>
              <w:pageBreakBefore w:val="0"/>
              <w:widowControl/>
              <w:shd w:val="clear" w:color="auto" w:fill="auto"/>
              <w:kinsoku/>
              <w:overflowPunct/>
              <w:bidi w:val="0"/>
              <w:spacing w:line="360" w:lineRule="auto"/>
              <w:jc w:val="left"/>
              <w:rPr>
                <w:rFonts w:hint="eastAsia" w:ascii="宋体" w:hAnsi="宋体" w:eastAsia="宋体" w:cs="宋体"/>
                <w:b/>
                <w:bCs/>
                <w:color w:val="auto"/>
                <w:kern w:val="0"/>
                <w:sz w:val="21"/>
                <w:szCs w:val="21"/>
                <w:highlight w:val="none"/>
                <w:shd w:val="clear" w:color="auto" w:fill="auto"/>
              </w:rPr>
            </w:pPr>
          </w:p>
        </w:tc>
        <w:tc>
          <w:tcPr>
            <w:tcW w:w="1984" w:type="dxa"/>
            <w:tcBorders>
              <w:top w:val="nil"/>
              <w:left w:val="nil"/>
              <w:bottom w:val="single" w:color="auto" w:sz="4" w:space="0"/>
              <w:right w:val="single" w:color="auto" w:sz="4" w:space="0"/>
            </w:tcBorders>
            <w:vAlign w:val="center"/>
          </w:tcPr>
          <w:p w14:paraId="1333640D">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营业收入（Y）</w:t>
            </w:r>
          </w:p>
        </w:tc>
        <w:tc>
          <w:tcPr>
            <w:tcW w:w="851" w:type="dxa"/>
            <w:tcBorders>
              <w:top w:val="nil"/>
              <w:left w:val="nil"/>
              <w:bottom w:val="single" w:color="auto" w:sz="4" w:space="0"/>
              <w:right w:val="single" w:color="auto" w:sz="4" w:space="0"/>
            </w:tcBorders>
            <w:vAlign w:val="center"/>
          </w:tcPr>
          <w:p w14:paraId="63A45E80">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万元</w:t>
            </w:r>
          </w:p>
        </w:tc>
        <w:tc>
          <w:tcPr>
            <w:tcW w:w="1842" w:type="dxa"/>
            <w:tcBorders>
              <w:top w:val="nil"/>
              <w:left w:val="nil"/>
              <w:bottom w:val="single" w:color="auto" w:sz="4" w:space="0"/>
              <w:right w:val="single" w:color="auto" w:sz="4" w:space="0"/>
            </w:tcBorders>
            <w:vAlign w:val="center"/>
          </w:tcPr>
          <w:p w14:paraId="3F45195E">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2000≤Y＜40000</w:t>
            </w:r>
          </w:p>
        </w:tc>
        <w:tc>
          <w:tcPr>
            <w:tcW w:w="1701" w:type="dxa"/>
            <w:tcBorders>
              <w:top w:val="nil"/>
              <w:left w:val="nil"/>
              <w:bottom w:val="single" w:color="auto" w:sz="4" w:space="0"/>
              <w:right w:val="single" w:color="auto" w:sz="4" w:space="0"/>
            </w:tcBorders>
            <w:vAlign w:val="center"/>
          </w:tcPr>
          <w:p w14:paraId="5D0E0B99">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300≤Y＜2000</w:t>
            </w:r>
          </w:p>
        </w:tc>
        <w:tc>
          <w:tcPr>
            <w:tcW w:w="1134" w:type="dxa"/>
            <w:tcBorders>
              <w:top w:val="nil"/>
              <w:left w:val="nil"/>
              <w:bottom w:val="single" w:color="auto" w:sz="4" w:space="0"/>
              <w:right w:val="single" w:color="auto" w:sz="4" w:space="0"/>
            </w:tcBorders>
            <w:vAlign w:val="center"/>
          </w:tcPr>
          <w:p w14:paraId="1D5ADFB9">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Y＜300</w:t>
            </w:r>
          </w:p>
        </w:tc>
      </w:tr>
      <w:tr w14:paraId="217BFAC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17D528E">
            <w:pPr>
              <w:keepNext w:val="0"/>
              <w:keepLines w:val="0"/>
              <w:pageBreakBefore w:val="0"/>
              <w:widowControl/>
              <w:shd w:val="clear" w:color="auto" w:fill="auto"/>
              <w:kinsoku/>
              <w:overflowPunct/>
              <w:bidi w:val="0"/>
              <w:spacing w:line="360" w:lineRule="auto"/>
              <w:jc w:val="center"/>
              <w:rPr>
                <w:rFonts w:hint="eastAsia" w:ascii="宋体" w:hAnsi="宋体" w:eastAsia="宋体" w:cs="宋体"/>
                <w:b/>
                <w:bCs/>
                <w:color w:val="auto"/>
                <w:kern w:val="0"/>
                <w:sz w:val="21"/>
                <w:szCs w:val="21"/>
                <w:highlight w:val="none"/>
                <w:shd w:val="clear" w:color="auto" w:fill="auto"/>
              </w:rPr>
            </w:pPr>
            <w:r>
              <w:rPr>
                <w:rFonts w:hint="eastAsia" w:ascii="宋体" w:hAnsi="宋体" w:eastAsia="宋体" w:cs="宋体"/>
                <w:b/>
                <w:bCs/>
                <w:color w:val="auto"/>
                <w:kern w:val="0"/>
                <w:sz w:val="21"/>
                <w:szCs w:val="21"/>
                <w:highlight w:val="none"/>
                <w:shd w:val="clear" w:color="auto" w:fill="auto"/>
              </w:rPr>
              <w:t>建筑业</w:t>
            </w:r>
          </w:p>
        </w:tc>
        <w:tc>
          <w:tcPr>
            <w:tcW w:w="1984" w:type="dxa"/>
            <w:tcBorders>
              <w:top w:val="nil"/>
              <w:left w:val="nil"/>
              <w:bottom w:val="single" w:color="auto" w:sz="4" w:space="0"/>
              <w:right w:val="single" w:color="auto" w:sz="4" w:space="0"/>
            </w:tcBorders>
            <w:vAlign w:val="center"/>
          </w:tcPr>
          <w:p w14:paraId="39575281">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营业收入（Y）</w:t>
            </w:r>
          </w:p>
        </w:tc>
        <w:tc>
          <w:tcPr>
            <w:tcW w:w="851" w:type="dxa"/>
            <w:tcBorders>
              <w:top w:val="nil"/>
              <w:left w:val="nil"/>
              <w:bottom w:val="single" w:color="auto" w:sz="4" w:space="0"/>
              <w:right w:val="single" w:color="auto" w:sz="4" w:space="0"/>
            </w:tcBorders>
            <w:vAlign w:val="center"/>
          </w:tcPr>
          <w:p w14:paraId="23DE0850">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万元</w:t>
            </w:r>
          </w:p>
        </w:tc>
        <w:tc>
          <w:tcPr>
            <w:tcW w:w="1842" w:type="dxa"/>
            <w:tcBorders>
              <w:top w:val="nil"/>
              <w:left w:val="nil"/>
              <w:bottom w:val="single" w:color="auto" w:sz="4" w:space="0"/>
              <w:right w:val="single" w:color="auto" w:sz="4" w:space="0"/>
            </w:tcBorders>
            <w:vAlign w:val="center"/>
          </w:tcPr>
          <w:p w14:paraId="0E062CD0">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6000≤Y＜80000</w:t>
            </w:r>
          </w:p>
        </w:tc>
        <w:tc>
          <w:tcPr>
            <w:tcW w:w="1701" w:type="dxa"/>
            <w:tcBorders>
              <w:top w:val="nil"/>
              <w:left w:val="nil"/>
              <w:bottom w:val="single" w:color="auto" w:sz="4" w:space="0"/>
              <w:right w:val="single" w:color="auto" w:sz="4" w:space="0"/>
            </w:tcBorders>
            <w:vAlign w:val="center"/>
          </w:tcPr>
          <w:p w14:paraId="48399ABE">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300≤Y＜6000</w:t>
            </w:r>
          </w:p>
        </w:tc>
        <w:tc>
          <w:tcPr>
            <w:tcW w:w="1134" w:type="dxa"/>
            <w:tcBorders>
              <w:top w:val="nil"/>
              <w:left w:val="nil"/>
              <w:bottom w:val="single" w:color="auto" w:sz="4" w:space="0"/>
              <w:right w:val="single" w:color="auto" w:sz="4" w:space="0"/>
            </w:tcBorders>
            <w:vAlign w:val="center"/>
          </w:tcPr>
          <w:p w14:paraId="3547BC96">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Y＜300</w:t>
            </w:r>
          </w:p>
        </w:tc>
      </w:tr>
      <w:tr w14:paraId="4AA9EBD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143F0D1">
            <w:pPr>
              <w:keepNext w:val="0"/>
              <w:keepLines w:val="0"/>
              <w:pageBreakBefore w:val="0"/>
              <w:widowControl/>
              <w:shd w:val="clear" w:color="auto" w:fill="auto"/>
              <w:kinsoku/>
              <w:overflowPunct/>
              <w:bidi w:val="0"/>
              <w:spacing w:line="360" w:lineRule="auto"/>
              <w:jc w:val="left"/>
              <w:rPr>
                <w:rFonts w:hint="eastAsia" w:ascii="宋体" w:hAnsi="宋体" w:eastAsia="宋体" w:cs="宋体"/>
                <w:b/>
                <w:bCs/>
                <w:color w:val="auto"/>
                <w:kern w:val="0"/>
                <w:sz w:val="21"/>
                <w:szCs w:val="21"/>
                <w:highlight w:val="none"/>
                <w:shd w:val="clear" w:color="auto" w:fill="auto"/>
              </w:rPr>
            </w:pPr>
          </w:p>
        </w:tc>
        <w:tc>
          <w:tcPr>
            <w:tcW w:w="1984" w:type="dxa"/>
            <w:tcBorders>
              <w:top w:val="nil"/>
              <w:left w:val="nil"/>
              <w:bottom w:val="single" w:color="auto" w:sz="4" w:space="0"/>
              <w:right w:val="single" w:color="auto" w:sz="4" w:space="0"/>
            </w:tcBorders>
            <w:vAlign w:val="center"/>
          </w:tcPr>
          <w:p w14:paraId="0D10E4B9">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资产总额（Z）</w:t>
            </w:r>
          </w:p>
        </w:tc>
        <w:tc>
          <w:tcPr>
            <w:tcW w:w="851" w:type="dxa"/>
            <w:tcBorders>
              <w:top w:val="nil"/>
              <w:left w:val="nil"/>
              <w:bottom w:val="single" w:color="auto" w:sz="4" w:space="0"/>
              <w:right w:val="single" w:color="auto" w:sz="4" w:space="0"/>
            </w:tcBorders>
            <w:vAlign w:val="center"/>
          </w:tcPr>
          <w:p w14:paraId="37407B21">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万元</w:t>
            </w:r>
          </w:p>
        </w:tc>
        <w:tc>
          <w:tcPr>
            <w:tcW w:w="1842" w:type="dxa"/>
            <w:tcBorders>
              <w:top w:val="nil"/>
              <w:left w:val="nil"/>
              <w:bottom w:val="single" w:color="auto" w:sz="4" w:space="0"/>
              <w:right w:val="single" w:color="auto" w:sz="4" w:space="0"/>
            </w:tcBorders>
            <w:vAlign w:val="center"/>
          </w:tcPr>
          <w:p w14:paraId="74162443">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5000≤Z＜80000</w:t>
            </w:r>
          </w:p>
        </w:tc>
        <w:tc>
          <w:tcPr>
            <w:tcW w:w="1701" w:type="dxa"/>
            <w:tcBorders>
              <w:top w:val="nil"/>
              <w:left w:val="nil"/>
              <w:bottom w:val="single" w:color="auto" w:sz="4" w:space="0"/>
              <w:right w:val="single" w:color="auto" w:sz="4" w:space="0"/>
            </w:tcBorders>
            <w:vAlign w:val="center"/>
          </w:tcPr>
          <w:p w14:paraId="52802F97">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300≤Z＜5000</w:t>
            </w:r>
          </w:p>
        </w:tc>
        <w:tc>
          <w:tcPr>
            <w:tcW w:w="1134" w:type="dxa"/>
            <w:tcBorders>
              <w:top w:val="nil"/>
              <w:left w:val="nil"/>
              <w:bottom w:val="single" w:color="auto" w:sz="4" w:space="0"/>
              <w:right w:val="single" w:color="auto" w:sz="4" w:space="0"/>
            </w:tcBorders>
            <w:vAlign w:val="center"/>
          </w:tcPr>
          <w:p w14:paraId="44190A0F">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Z＜300</w:t>
            </w:r>
          </w:p>
        </w:tc>
      </w:tr>
      <w:tr w14:paraId="69BA607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3777F7F">
            <w:pPr>
              <w:keepNext w:val="0"/>
              <w:keepLines w:val="0"/>
              <w:pageBreakBefore w:val="0"/>
              <w:widowControl/>
              <w:shd w:val="clear" w:color="auto" w:fill="auto"/>
              <w:kinsoku/>
              <w:overflowPunct/>
              <w:bidi w:val="0"/>
              <w:spacing w:line="360" w:lineRule="auto"/>
              <w:jc w:val="center"/>
              <w:rPr>
                <w:rFonts w:hint="eastAsia" w:ascii="宋体" w:hAnsi="宋体" w:eastAsia="宋体" w:cs="宋体"/>
                <w:b/>
                <w:bCs/>
                <w:color w:val="auto"/>
                <w:kern w:val="0"/>
                <w:sz w:val="21"/>
                <w:szCs w:val="21"/>
                <w:highlight w:val="none"/>
                <w:shd w:val="clear" w:color="auto" w:fill="auto"/>
              </w:rPr>
            </w:pPr>
            <w:r>
              <w:rPr>
                <w:rFonts w:hint="eastAsia" w:ascii="宋体" w:hAnsi="宋体" w:eastAsia="宋体" w:cs="宋体"/>
                <w:b/>
                <w:bCs/>
                <w:color w:val="auto"/>
                <w:kern w:val="0"/>
                <w:sz w:val="21"/>
                <w:szCs w:val="21"/>
                <w:highlight w:val="none"/>
                <w:shd w:val="clear" w:color="auto" w:fill="auto"/>
              </w:rPr>
              <w:t>批发业</w:t>
            </w:r>
          </w:p>
        </w:tc>
        <w:tc>
          <w:tcPr>
            <w:tcW w:w="1984" w:type="dxa"/>
            <w:tcBorders>
              <w:top w:val="nil"/>
              <w:left w:val="nil"/>
              <w:bottom w:val="single" w:color="auto" w:sz="4" w:space="0"/>
              <w:right w:val="single" w:color="auto" w:sz="4" w:space="0"/>
            </w:tcBorders>
            <w:vAlign w:val="center"/>
          </w:tcPr>
          <w:p w14:paraId="085F7EED">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从业人员（X）</w:t>
            </w:r>
          </w:p>
        </w:tc>
        <w:tc>
          <w:tcPr>
            <w:tcW w:w="851" w:type="dxa"/>
            <w:tcBorders>
              <w:top w:val="nil"/>
              <w:left w:val="nil"/>
              <w:bottom w:val="single" w:color="auto" w:sz="4" w:space="0"/>
              <w:right w:val="single" w:color="auto" w:sz="4" w:space="0"/>
            </w:tcBorders>
            <w:vAlign w:val="center"/>
          </w:tcPr>
          <w:p w14:paraId="5110A0CF">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人</w:t>
            </w:r>
          </w:p>
        </w:tc>
        <w:tc>
          <w:tcPr>
            <w:tcW w:w="1842" w:type="dxa"/>
            <w:tcBorders>
              <w:top w:val="nil"/>
              <w:left w:val="nil"/>
              <w:bottom w:val="single" w:color="auto" w:sz="4" w:space="0"/>
              <w:right w:val="single" w:color="auto" w:sz="4" w:space="0"/>
            </w:tcBorders>
            <w:vAlign w:val="center"/>
          </w:tcPr>
          <w:p w14:paraId="6A41C7C9">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20≤X＜200</w:t>
            </w:r>
          </w:p>
        </w:tc>
        <w:tc>
          <w:tcPr>
            <w:tcW w:w="1701" w:type="dxa"/>
            <w:tcBorders>
              <w:top w:val="nil"/>
              <w:left w:val="nil"/>
              <w:bottom w:val="single" w:color="auto" w:sz="4" w:space="0"/>
              <w:right w:val="single" w:color="auto" w:sz="4" w:space="0"/>
            </w:tcBorders>
            <w:vAlign w:val="center"/>
          </w:tcPr>
          <w:p w14:paraId="104385C6">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5≤X＜20</w:t>
            </w:r>
          </w:p>
        </w:tc>
        <w:tc>
          <w:tcPr>
            <w:tcW w:w="1134" w:type="dxa"/>
            <w:tcBorders>
              <w:top w:val="nil"/>
              <w:left w:val="nil"/>
              <w:bottom w:val="single" w:color="auto" w:sz="4" w:space="0"/>
              <w:right w:val="single" w:color="auto" w:sz="4" w:space="0"/>
            </w:tcBorders>
            <w:vAlign w:val="center"/>
          </w:tcPr>
          <w:p w14:paraId="35CD9603">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X＜5</w:t>
            </w:r>
          </w:p>
        </w:tc>
      </w:tr>
      <w:tr w14:paraId="2FC425A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447A8364">
            <w:pPr>
              <w:keepNext w:val="0"/>
              <w:keepLines w:val="0"/>
              <w:pageBreakBefore w:val="0"/>
              <w:widowControl/>
              <w:shd w:val="clear" w:color="auto" w:fill="auto"/>
              <w:kinsoku/>
              <w:overflowPunct/>
              <w:bidi w:val="0"/>
              <w:spacing w:line="360" w:lineRule="auto"/>
              <w:jc w:val="left"/>
              <w:rPr>
                <w:rFonts w:hint="eastAsia" w:ascii="宋体" w:hAnsi="宋体" w:eastAsia="宋体" w:cs="宋体"/>
                <w:b/>
                <w:bCs/>
                <w:color w:val="auto"/>
                <w:kern w:val="0"/>
                <w:sz w:val="21"/>
                <w:szCs w:val="21"/>
                <w:highlight w:val="none"/>
                <w:shd w:val="clear" w:color="auto" w:fill="auto"/>
              </w:rPr>
            </w:pPr>
          </w:p>
        </w:tc>
        <w:tc>
          <w:tcPr>
            <w:tcW w:w="1984" w:type="dxa"/>
            <w:tcBorders>
              <w:top w:val="nil"/>
              <w:left w:val="nil"/>
              <w:bottom w:val="single" w:color="auto" w:sz="4" w:space="0"/>
              <w:right w:val="single" w:color="auto" w:sz="4" w:space="0"/>
            </w:tcBorders>
            <w:vAlign w:val="center"/>
          </w:tcPr>
          <w:p w14:paraId="244F0903">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营业收入（Y）</w:t>
            </w:r>
          </w:p>
        </w:tc>
        <w:tc>
          <w:tcPr>
            <w:tcW w:w="851" w:type="dxa"/>
            <w:tcBorders>
              <w:top w:val="nil"/>
              <w:left w:val="nil"/>
              <w:bottom w:val="single" w:color="auto" w:sz="4" w:space="0"/>
              <w:right w:val="single" w:color="auto" w:sz="4" w:space="0"/>
            </w:tcBorders>
            <w:vAlign w:val="center"/>
          </w:tcPr>
          <w:p w14:paraId="48C675F6">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万元</w:t>
            </w:r>
          </w:p>
        </w:tc>
        <w:tc>
          <w:tcPr>
            <w:tcW w:w="1842" w:type="dxa"/>
            <w:tcBorders>
              <w:top w:val="nil"/>
              <w:left w:val="nil"/>
              <w:bottom w:val="single" w:color="auto" w:sz="4" w:space="0"/>
              <w:right w:val="single" w:color="auto" w:sz="4" w:space="0"/>
            </w:tcBorders>
            <w:vAlign w:val="center"/>
          </w:tcPr>
          <w:p w14:paraId="04B7CE65">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5000≤Y＜40000</w:t>
            </w:r>
          </w:p>
        </w:tc>
        <w:tc>
          <w:tcPr>
            <w:tcW w:w="1701" w:type="dxa"/>
            <w:tcBorders>
              <w:top w:val="nil"/>
              <w:left w:val="nil"/>
              <w:bottom w:val="single" w:color="auto" w:sz="4" w:space="0"/>
              <w:right w:val="single" w:color="auto" w:sz="4" w:space="0"/>
            </w:tcBorders>
            <w:vAlign w:val="center"/>
          </w:tcPr>
          <w:p w14:paraId="1C1E3AF6">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1000≤Y＜5000</w:t>
            </w:r>
          </w:p>
        </w:tc>
        <w:tc>
          <w:tcPr>
            <w:tcW w:w="1134" w:type="dxa"/>
            <w:tcBorders>
              <w:top w:val="nil"/>
              <w:left w:val="nil"/>
              <w:bottom w:val="single" w:color="auto" w:sz="4" w:space="0"/>
              <w:right w:val="single" w:color="auto" w:sz="4" w:space="0"/>
            </w:tcBorders>
            <w:vAlign w:val="center"/>
          </w:tcPr>
          <w:p w14:paraId="31C6A383">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Y＜1000</w:t>
            </w:r>
          </w:p>
        </w:tc>
      </w:tr>
      <w:tr w14:paraId="0EE9C8F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12DD514">
            <w:pPr>
              <w:keepNext w:val="0"/>
              <w:keepLines w:val="0"/>
              <w:pageBreakBefore w:val="0"/>
              <w:widowControl/>
              <w:shd w:val="clear" w:color="auto" w:fill="auto"/>
              <w:kinsoku/>
              <w:overflowPunct/>
              <w:bidi w:val="0"/>
              <w:spacing w:line="360" w:lineRule="auto"/>
              <w:jc w:val="center"/>
              <w:rPr>
                <w:rFonts w:hint="eastAsia" w:ascii="宋体" w:hAnsi="宋体" w:eastAsia="宋体" w:cs="宋体"/>
                <w:b/>
                <w:bCs/>
                <w:color w:val="auto"/>
                <w:kern w:val="0"/>
                <w:sz w:val="21"/>
                <w:szCs w:val="21"/>
                <w:highlight w:val="none"/>
                <w:shd w:val="clear" w:color="auto" w:fill="auto"/>
              </w:rPr>
            </w:pPr>
            <w:r>
              <w:rPr>
                <w:rFonts w:hint="eastAsia" w:ascii="宋体" w:hAnsi="宋体" w:eastAsia="宋体" w:cs="宋体"/>
                <w:b/>
                <w:bCs/>
                <w:color w:val="auto"/>
                <w:kern w:val="0"/>
                <w:sz w:val="21"/>
                <w:szCs w:val="21"/>
                <w:highlight w:val="none"/>
                <w:shd w:val="clear" w:color="auto" w:fill="auto"/>
              </w:rPr>
              <w:t>零售业</w:t>
            </w:r>
          </w:p>
        </w:tc>
        <w:tc>
          <w:tcPr>
            <w:tcW w:w="1984" w:type="dxa"/>
            <w:tcBorders>
              <w:top w:val="nil"/>
              <w:left w:val="nil"/>
              <w:bottom w:val="single" w:color="auto" w:sz="4" w:space="0"/>
              <w:right w:val="single" w:color="auto" w:sz="4" w:space="0"/>
            </w:tcBorders>
            <w:vAlign w:val="center"/>
          </w:tcPr>
          <w:p w14:paraId="4E4FFFEA">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从业人员（X）</w:t>
            </w:r>
          </w:p>
        </w:tc>
        <w:tc>
          <w:tcPr>
            <w:tcW w:w="851" w:type="dxa"/>
            <w:tcBorders>
              <w:top w:val="nil"/>
              <w:left w:val="nil"/>
              <w:bottom w:val="single" w:color="auto" w:sz="4" w:space="0"/>
              <w:right w:val="single" w:color="auto" w:sz="4" w:space="0"/>
            </w:tcBorders>
            <w:vAlign w:val="center"/>
          </w:tcPr>
          <w:p w14:paraId="317C6CF3">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人</w:t>
            </w:r>
          </w:p>
        </w:tc>
        <w:tc>
          <w:tcPr>
            <w:tcW w:w="1842" w:type="dxa"/>
            <w:tcBorders>
              <w:top w:val="nil"/>
              <w:left w:val="nil"/>
              <w:bottom w:val="single" w:color="auto" w:sz="4" w:space="0"/>
              <w:right w:val="single" w:color="auto" w:sz="4" w:space="0"/>
            </w:tcBorders>
            <w:vAlign w:val="center"/>
          </w:tcPr>
          <w:p w14:paraId="169913CF">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50≤X＜300</w:t>
            </w:r>
          </w:p>
        </w:tc>
        <w:tc>
          <w:tcPr>
            <w:tcW w:w="1701" w:type="dxa"/>
            <w:tcBorders>
              <w:top w:val="nil"/>
              <w:left w:val="nil"/>
              <w:bottom w:val="single" w:color="auto" w:sz="4" w:space="0"/>
              <w:right w:val="single" w:color="auto" w:sz="4" w:space="0"/>
            </w:tcBorders>
            <w:vAlign w:val="center"/>
          </w:tcPr>
          <w:p w14:paraId="5EDCB59B">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10≤X＜50</w:t>
            </w:r>
          </w:p>
        </w:tc>
        <w:tc>
          <w:tcPr>
            <w:tcW w:w="1134" w:type="dxa"/>
            <w:tcBorders>
              <w:top w:val="nil"/>
              <w:left w:val="nil"/>
              <w:bottom w:val="single" w:color="auto" w:sz="4" w:space="0"/>
              <w:right w:val="single" w:color="auto" w:sz="4" w:space="0"/>
            </w:tcBorders>
            <w:vAlign w:val="center"/>
          </w:tcPr>
          <w:p w14:paraId="2AAB097B">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X＜10</w:t>
            </w:r>
          </w:p>
        </w:tc>
      </w:tr>
      <w:tr w14:paraId="4A65F00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267FC91">
            <w:pPr>
              <w:keepNext w:val="0"/>
              <w:keepLines w:val="0"/>
              <w:pageBreakBefore w:val="0"/>
              <w:widowControl/>
              <w:shd w:val="clear" w:color="auto" w:fill="auto"/>
              <w:kinsoku/>
              <w:overflowPunct/>
              <w:bidi w:val="0"/>
              <w:spacing w:line="360" w:lineRule="auto"/>
              <w:jc w:val="left"/>
              <w:rPr>
                <w:rFonts w:hint="eastAsia" w:ascii="宋体" w:hAnsi="宋体" w:eastAsia="宋体" w:cs="宋体"/>
                <w:b/>
                <w:bCs/>
                <w:color w:val="auto"/>
                <w:kern w:val="0"/>
                <w:sz w:val="21"/>
                <w:szCs w:val="21"/>
                <w:highlight w:val="none"/>
                <w:shd w:val="clear" w:color="auto" w:fill="auto"/>
              </w:rPr>
            </w:pPr>
          </w:p>
        </w:tc>
        <w:tc>
          <w:tcPr>
            <w:tcW w:w="1984" w:type="dxa"/>
            <w:tcBorders>
              <w:top w:val="nil"/>
              <w:left w:val="nil"/>
              <w:bottom w:val="single" w:color="auto" w:sz="4" w:space="0"/>
              <w:right w:val="single" w:color="auto" w:sz="4" w:space="0"/>
            </w:tcBorders>
            <w:vAlign w:val="center"/>
          </w:tcPr>
          <w:p w14:paraId="15EEC473">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营业收入（Y）</w:t>
            </w:r>
          </w:p>
        </w:tc>
        <w:tc>
          <w:tcPr>
            <w:tcW w:w="851" w:type="dxa"/>
            <w:tcBorders>
              <w:top w:val="nil"/>
              <w:left w:val="nil"/>
              <w:bottom w:val="single" w:color="auto" w:sz="4" w:space="0"/>
              <w:right w:val="single" w:color="auto" w:sz="4" w:space="0"/>
            </w:tcBorders>
            <w:vAlign w:val="center"/>
          </w:tcPr>
          <w:p w14:paraId="3185DDF5">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万元</w:t>
            </w:r>
          </w:p>
        </w:tc>
        <w:tc>
          <w:tcPr>
            <w:tcW w:w="1842" w:type="dxa"/>
            <w:tcBorders>
              <w:top w:val="nil"/>
              <w:left w:val="nil"/>
              <w:bottom w:val="single" w:color="auto" w:sz="4" w:space="0"/>
              <w:right w:val="single" w:color="auto" w:sz="4" w:space="0"/>
            </w:tcBorders>
            <w:vAlign w:val="center"/>
          </w:tcPr>
          <w:p w14:paraId="69B328F5">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500≤Y＜20000</w:t>
            </w:r>
          </w:p>
        </w:tc>
        <w:tc>
          <w:tcPr>
            <w:tcW w:w="1701" w:type="dxa"/>
            <w:tcBorders>
              <w:top w:val="nil"/>
              <w:left w:val="nil"/>
              <w:bottom w:val="single" w:color="auto" w:sz="4" w:space="0"/>
              <w:right w:val="single" w:color="auto" w:sz="4" w:space="0"/>
            </w:tcBorders>
            <w:vAlign w:val="center"/>
          </w:tcPr>
          <w:p w14:paraId="7F30064C">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100≤Y＜500</w:t>
            </w:r>
          </w:p>
        </w:tc>
        <w:tc>
          <w:tcPr>
            <w:tcW w:w="1134" w:type="dxa"/>
            <w:tcBorders>
              <w:top w:val="nil"/>
              <w:left w:val="nil"/>
              <w:bottom w:val="single" w:color="auto" w:sz="4" w:space="0"/>
              <w:right w:val="single" w:color="auto" w:sz="4" w:space="0"/>
            </w:tcBorders>
            <w:vAlign w:val="center"/>
          </w:tcPr>
          <w:p w14:paraId="2B18D46B">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Y＜100</w:t>
            </w:r>
          </w:p>
        </w:tc>
      </w:tr>
      <w:tr w14:paraId="5E8A117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877C9E7">
            <w:pPr>
              <w:keepNext w:val="0"/>
              <w:keepLines w:val="0"/>
              <w:pageBreakBefore w:val="0"/>
              <w:widowControl/>
              <w:shd w:val="clear" w:color="auto" w:fill="auto"/>
              <w:kinsoku/>
              <w:overflowPunct/>
              <w:bidi w:val="0"/>
              <w:spacing w:line="360" w:lineRule="auto"/>
              <w:jc w:val="center"/>
              <w:rPr>
                <w:rFonts w:hint="eastAsia" w:ascii="宋体" w:hAnsi="宋体" w:eastAsia="宋体" w:cs="宋体"/>
                <w:b/>
                <w:bCs/>
                <w:color w:val="auto"/>
                <w:kern w:val="0"/>
                <w:sz w:val="21"/>
                <w:szCs w:val="21"/>
                <w:highlight w:val="none"/>
                <w:shd w:val="clear" w:color="auto" w:fill="auto"/>
              </w:rPr>
            </w:pPr>
            <w:r>
              <w:rPr>
                <w:rFonts w:hint="eastAsia" w:ascii="宋体" w:hAnsi="宋体" w:eastAsia="宋体" w:cs="宋体"/>
                <w:b/>
                <w:bCs/>
                <w:color w:val="auto"/>
                <w:kern w:val="0"/>
                <w:sz w:val="21"/>
                <w:szCs w:val="21"/>
                <w:highlight w:val="none"/>
                <w:shd w:val="clear" w:color="auto" w:fill="auto"/>
              </w:rPr>
              <w:t>交通运输业</w:t>
            </w:r>
          </w:p>
        </w:tc>
        <w:tc>
          <w:tcPr>
            <w:tcW w:w="1984" w:type="dxa"/>
            <w:tcBorders>
              <w:top w:val="nil"/>
              <w:left w:val="nil"/>
              <w:bottom w:val="single" w:color="auto" w:sz="4" w:space="0"/>
              <w:right w:val="single" w:color="auto" w:sz="4" w:space="0"/>
            </w:tcBorders>
            <w:vAlign w:val="center"/>
          </w:tcPr>
          <w:p w14:paraId="6043F6A9">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从业人员（X）</w:t>
            </w:r>
          </w:p>
        </w:tc>
        <w:tc>
          <w:tcPr>
            <w:tcW w:w="851" w:type="dxa"/>
            <w:tcBorders>
              <w:top w:val="nil"/>
              <w:left w:val="nil"/>
              <w:bottom w:val="single" w:color="auto" w:sz="4" w:space="0"/>
              <w:right w:val="single" w:color="auto" w:sz="4" w:space="0"/>
            </w:tcBorders>
            <w:vAlign w:val="center"/>
          </w:tcPr>
          <w:p w14:paraId="32CFB9A7">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人</w:t>
            </w:r>
          </w:p>
        </w:tc>
        <w:tc>
          <w:tcPr>
            <w:tcW w:w="1842" w:type="dxa"/>
            <w:tcBorders>
              <w:top w:val="nil"/>
              <w:left w:val="nil"/>
              <w:bottom w:val="single" w:color="auto" w:sz="4" w:space="0"/>
              <w:right w:val="single" w:color="auto" w:sz="4" w:space="0"/>
            </w:tcBorders>
            <w:vAlign w:val="center"/>
          </w:tcPr>
          <w:p w14:paraId="05C0A7B3">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300≤X＜1000</w:t>
            </w:r>
          </w:p>
        </w:tc>
        <w:tc>
          <w:tcPr>
            <w:tcW w:w="1701" w:type="dxa"/>
            <w:tcBorders>
              <w:top w:val="nil"/>
              <w:left w:val="nil"/>
              <w:bottom w:val="single" w:color="auto" w:sz="4" w:space="0"/>
              <w:right w:val="single" w:color="auto" w:sz="4" w:space="0"/>
            </w:tcBorders>
            <w:vAlign w:val="center"/>
          </w:tcPr>
          <w:p w14:paraId="5A9DC594">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20≤X＜300</w:t>
            </w:r>
          </w:p>
        </w:tc>
        <w:tc>
          <w:tcPr>
            <w:tcW w:w="1134" w:type="dxa"/>
            <w:tcBorders>
              <w:top w:val="nil"/>
              <w:left w:val="nil"/>
              <w:bottom w:val="single" w:color="auto" w:sz="4" w:space="0"/>
              <w:right w:val="single" w:color="auto" w:sz="4" w:space="0"/>
            </w:tcBorders>
            <w:vAlign w:val="center"/>
          </w:tcPr>
          <w:p w14:paraId="068B3F03">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X＜20</w:t>
            </w:r>
          </w:p>
        </w:tc>
      </w:tr>
      <w:tr w14:paraId="75BC4E0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DEE044A">
            <w:pPr>
              <w:keepNext w:val="0"/>
              <w:keepLines w:val="0"/>
              <w:pageBreakBefore w:val="0"/>
              <w:widowControl/>
              <w:shd w:val="clear" w:color="auto" w:fill="auto"/>
              <w:kinsoku/>
              <w:overflowPunct/>
              <w:bidi w:val="0"/>
              <w:spacing w:line="360" w:lineRule="auto"/>
              <w:jc w:val="left"/>
              <w:rPr>
                <w:rFonts w:hint="eastAsia" w:ascii="宋体" w:hAnsi="宋体" w:eastAsia="宋体" w:cs="宋体"/>
                <w:b/>
                <w:bCs/>
                <w:color w:val="auto"/>
                <w:kern w:val="0"/>
                <w:sz w:val="21"/>
                <w:szCs w:val="21"/>
                <w:highlight w:val="none"/>
                <w:shd w:val="clear" w:color="auto" w:fill="auto"/>
              </w:rPr>
            </w:pPr>
          </w:p>
        </w:tc>
        <w:tc>
          <w:tcPr>
            <w:tcW w:w="1984" w:type="dxa"/>
            <w:tcBorders>
              <w:top w:val="nil"/>
              <w:left w:val="nil"/>
              <w:bottom w:val="single" w:color="auto" w:sz="4" w:space="0"/>
              <w:right w:val="single" w:color="auto" w:sz="4" w:space="0"/>
            </w:tcBorders>
            <w:vAlign w:val="center"/>
          </w:tcPr>
          <w:p w14:paraId="7863CFD1">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营业收入（Y）</w:t>
            </w:r>
          </w:p>
        </w:tc>
        <w:tc>
          <w:tcPr>
            <w:tcW w:w="851" w:type="dxa"/>
            <w:tcBorders>
              <w:top w:val="nil"/>
              <w:left w:val="nil"/>
              <w:bottom w:val="single" w:color="auto" w:sz="4" w:space="0"/>
              <w:right w:val="single" w:color="auto" w:sz="4" w:space="0"/>
            </w:tcBorders>
            <w:vAlign w:val="center"/>
          </w:tcPr>
          <w:p w14:paraId="46C7D24E">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万元</w:t>
            </w:r>
          </w:p>
        </w:tc>
        <w:tc>
          <w:tcPr>
            <w:tcW w:w="1842" w:type="dxa"/>
            <w:tcBorders>
              <w:top w:val="nil"/>
              <w:left w:val="nil"/>
              <w:bottom w:val="single" w:color="auto" w:sz="4" w:space="0"/>
              <w:right w:val="single" w:color="auto" w:sz="4" w:space="0"/>
            </w:tcBorders>
            <w:vAlign w:val="center"/>
          </w:tcPr>
          <w:p w14:paraId="1A48C542">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3000≤Y＜30000</w:t>
            </w:r>
          </w:p>
        </w:tc>
        <w:tc>
          <w:tcPr>
            <w:tcW w:w="1701" w:type="dxa"/>
            <w:tcBorders>
              <w:top w:val="nil"/>
              <w:left w:val="nil"/>
              <w:bottom w:val="single" w:color="auto" w:sz="4" w:space="0"/>
              <w:right w:val="single" w:color="auto" w:sz="4" w:space="0"/>
            </w:tcBorders>
            <w:vAlign w:val="center"/>
          </w:tcPr>
          <w:p w14:paraId="4D815459">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200≤Y＜3000</w:t>
            </w:r>
          </w:p>
        </w:tc>
        <w:tc>
          <w:tcPr>
            <w:tcW w:w="1134" w:type="dxa"/>
            <w:tcBorders>
              <w:top w:val="nil"/>
              <w:left w:val="nil"/>
              <w:bottom w:val="single" w:color="auto" w:sz="4" w:space="0"/>
              <w:right w:val="single" w:color="auto" w:sz="4" w:space="0"/>
            </w:tcBorders>
            <w:vAlign w:val="center"/>
          </w:tcPr>
          <w:p w14:paraId="749810C3">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Y＜200</w:t>
            </w:r>
          </w:p>
        </w:tc>
      </w:tr>
      <w:tr w14:paraId="7CBE725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DAF2CDB">
            <w:pPr>
              <w:keepNext w:val="0"/>
              <w:keepLines w:val="0"/>
              <w:pageBreakBefore w:val="0"/>
              <w:widowControl/>
              <w:shd w:val="clear" w:color="auto" w:fill="auto"/>
              <w:kinsoku/>
              <w:overflowPunct/>
              <w:bidi w:val="0"/>
              <w:spacing w:line="360" w:lineRule="auto"/>
              <w:jc w:val="center"/>
              <w:rPr>
                <w:rFonts w:hint="eastAsia" w:ascii="宋体" w:hAnsi="宋体" w:eastAsia="宋体" w:cs="宋体"/>
                <w:b/>
                <w:bCs/>
                <w:color w:val="auto"/>
                <w:kern w:val="0"/>
                <w:sz w:val="21"/>
                <w:szCs w:val="21"/>
                <w:highlight w:val="none"/>
                <w:shd w:val="clear" w:color="auto" w:fill="auto"/>
              </w:rPr>
            </w:pPr>
            <w:r>
              <w:rPr>
                <w:rFonts w:hint="eastAsia" w:ascii="宋体" w:hAnsi="宋体" w:eastAsia="宋体" w:cs="宋体"/>
                <w:b/>
                <w:bCs/>
                <w:color w:val="auto"/>
                <w:kern w:val="0"/>
                <w:sz w:val="21"/>
                <w:szCs w:val="21"/>
                <w:highlight w:val="none"/>
                <w:shd w:val="clear" w:color="auto" w:fill="auto"/>
              </w:rPr>
              <w:t>仓储业</w:t>
            </w:r>
          </w:p>
        </w:tc>
        <w:tc>
          <w:tcPr>
            <w:tcW w:w="1984" w:type="dxa"/>
            <w:tcBorders>
              <w:top w:val="nil"/>
              <w:left w:val="nil"/>
              <w:bottom w:val="single" w:color="auto" w:sz="4" w:space="0"/>
              <w:right w:val="single" w:color="auto" w:sz="4" w:space="0"/>
            </w:tcBorders>
            <w:vAlign w:val="center"/>
          </w:tcPr>
          <w:p w14:paraId="1F1A1375">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从业人员（X）</w:t>
            </w:r>
          </w:p>
        </w:tc>
        <w:tc>
          <w:tcPr>
            <w:tcW w:w="851" w:type="dxa"/>
            <w:tcBorders>
              <w:top w:val="nil"/>
              <w:left w:val="nil"/>
              <w:bottom w:val="single" w:color="auto" w:sz="4" w:space="0"/>
              <w:right w:val="single" w:color="auto" w:sz="4" w:space="0"/>
            </w:tcBorders>
            <w:vAlign w:val="center"/>
          </w:tcPr>
          <w:p w14:paraId="0D8A2184">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人</w:t>
            </w:r>
          </w:p>
        </w:tc>
        <w:tc>
          <w:tcPr>
            <w:tcW w:w="1842" w:type="dxa"/>
            <w:tcBorders>
              <w:top w:val="nil"/>
              <w:left w:val="nil"/>
              <w:bottom w:val="single" w:color="auto" w:sz="4" w:space="0"/>
              <w:right w:val="single" w:color="auto" w:sz="4" w:space="0"/>
            </w:tcBorders>
            <w:vAlign w:val="center"/>
          </w:tcPr>
          <w:p w14:paraId="530CD53F">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100≤X＜200</w:t>
            </w:r>
          </w:p>
        </w:tc>
        <w:tc>
          <w:tcPr>
            <w:tcW w:w="1701" w:type="dxa"/>
            <w:tcBorders>
              <w:top w:val="nil"/>
              <w:left w:val="nil"/>
              <w:bottom w:val="single" w:color="auto" w:sz="4" w:space="0"/>
              <w:right w:val="single" w:color="auto" w:sz="4" w:space="0"/>
            </w:tcBorders>
            <w:vAlign w:val="center"/>
          </w:tcPr>
          <w:p w14:paraId="3F53FB53">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20≤X＜100</w:t>
            </w:r>
          </w:p>
        </w:tc>
        <w:tc>
          <w:tcPr>
            <w:tcW w:w="1134" w:type="dxa"/>
            <w:tcBorders>
              <w:top w:val="nil"/>
              <w:left w:val="nil"/>
              <w:bottom w:val="single" w:color="auto" w:sz="4" w:space="0"/>
              <w:right w:val="single" w:color="auto" w:sz="4" w:space="0"/>
            </w:tcBorders>
            <w:vAlign w:val="center"/>
          </w:tcPr>
          <w:p w14:paraId="39BCE048">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X＜20</w:t>
            </w:r>
          </w:p>
        </w:tc>
      </w:tr>
      <w:tr w14:paraId="606E3E3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7B3C427">
            <w:pPr>
              <w:keepNext w:val="0"/>
              <w:keepLines w:val="0"/>
              <w:pageBreakBefore w:val="0"/>
              <w:widowControl/>
              <w:shd w:val="clear" w:color="auto" w:fill="auto"/>
              <w:kinsoku/>
              <w:overflowPunct/>
              <w:bidi w:val="0"/>
              <w:spacing w:line="360" w:lineRule="auto"/>
              <w:jc w:val="left"/>
              <w:rPr>
                <w:rFonts w:hint="eastAsia" w:ascii="宋体" w:hAnsi="宋体" w:eastAsia="宋体" w:cs="宋体"/>
                <w:b/>
                <w:bCs/>
                <w:color w:val="auto"/>
                <w:kern w:val="0"/>
                <w:sz w:val="21"/>
                <w:szCs w:val="21"/>
                <w:highlight w:val="none"/>
                <w:shd w:val="clear" w:color="auto" w:fill="auto"/>
              </w:rPr>
            </w:pPr>
          </w:p>
        </w:tc>
        <w:tc>
          <w:tcPr>
            <w:tcW w:w="1984" w:type="dxa"/>
            <w:tcBorders>
              <w:top w:val="nil"/>
              <w:left w:val="nil"/>
              <w:bottom w:val="single" w:color="auto" w:sz="4" w:space="0"/>
              <w:right w:val="single" w:color="auto" w:sz="4" w:space="0"/>
            </w:tcBorders>
            <w:vAlign w:val="center"/>
          </w:tcPr>
          <w:p w14:paraId="549019C1">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营业收入（Y）</w:t>
            </w:r>
          </w:p>
        </w:tc>
        <w:tc>
          <w:tcPr>
            <w:tcW w:w="851" w:type="dxa"/>
            <w:tcBorders>
              <w:top w:val="nil"/>
              <w:left w:val="nil"/>
              <w:bottom w:val="single" w:color="auto" w:sz="4" w:space="0"/>
              <w:right w:val="single" w:color="auto" w:sz="4" w:space="0"/>
            </w:tcBorders>
            <w:vAlign w:val="center"/>
          </w:tcPr>
          <w:p w14:paraId="042C1BBC">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万元</w:t>
            </w:r>
          </w:p>
        </w:tc>
        <w:tc>
          <w:tcPr>
            <w:tcW w:w="1842" w:type="dxa"/>
            <w:tcBorders>
              <w:top w:val="nil"/>
              <w:left w:val="nil"/>
              <w:bottom w:val="single" w:color="auto" w:sz="4" w:space="0"/>
              <w:right w:val="single" w:color="auto" w:sz="4" w:space="0"/>
            </w:tcBorders>
            <w:vAlign w:val="center"/>
          </w:tcPr>
          <w:p w14:paraId="64DF22AA">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1000≤Y＜30000</w:t>
            </w:r>
          </w:p>
        </w:tc>
        <w:tc>
          <w:tcPr>
            <w:tcW w:w="1701" w:type="dxa"/>
            <w:tcBorders>
              <w:top w:val="nil"/>
              <w:left w:val="nil"/>
              <w:bottom w:val="single" w:color="auto" w:sz="4" w:space="0"/>
              <w:right w:val="single" w:color="auto" w:sz="4" w:space="0"/>
            </w:tcBorders>
            <w:vAlign w:val="center"/>
          </w:tcPr>
          <w:p w14:paraId="3B4F12DC">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100≤Y＜1000</w:t>
            </w:r>
          </w:p>
        </w:tc>
        <w:tc>
          <w:tcPr>
            <w:tcW w:w="1134" w:type="dxa"/>
            <w:tcBorders>
              <w:top w:val="nil"/>
              <w:left w:val="nil"/>
              <w:bottom w:val="single" w:color="auto" w:sz="4" w:space="0"/>
              <w:right w:val="single" w:color="auto" w:sz="4" w:space="0"/>
            </w:tcBorders>
            <w:vAlign w:val="center"/>
          </w:tcPr>
          <w:p w14:paraId="6D70FFC2">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Y＜100</w:t>
            </w:r>
          </w:p>
        </w:tc>
      </w:tr>
      <w:tr w14:paraId="05F8F30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3F32309">
            <w:pPr>
              <w:keepNext w:val="0"/>
              <w:keepLines w:val="0"/>
              <w:pageBreakBefore w:val="0"/>
              <w:widowControl/>
              <w:shd w:val="clear" w:color="auto" w:fill="auto"/>
              <w:kinsoku/>
              <w:overflowPunct/>
              <w:bidi w:val="0"/>
              <w:spacing w:line="360" w:lineRule="auto"/>
              <w:jc w:val="center"/>
              <w:rPr>
                <w:rFonts w:hint="eastAsia" w:ascii="宋体" w:hAnsi="宋体" w:eastAsia="宋体" w:cs="宋体"/>
                <w:b/>
                <w:bCs/>
                <w:color w:val="auto"/>
                <w:kern w:val="0"/>
                <w:sz w:val="21"/>
                <w:szCs w:val="21"/>
                <w:highlight w:val="none"/>
                <w:shd w:val="clear" w:color="auto" w:fill="auto"/>
              </w:rPr>
            </w:pPr>
            <w:r>
              <w:rPr>
                <w:rFonts w:hint="eastAsia" w:ascii="宋体" w:hAnsi="宋体" w:eastAsia="宋体" w:cs="宋体"/>
                <w:b/>
                <w:bCs/>
                <w:color w:val="auto"/>
                <w:kern w:val="0"/>
                <w:sz w:val="21"/>
                <w:szCs w:val="21"/>
                <w:highlight w:val="none"/>
                <w:shd w:val="clear" w:color="auto" w:fill="auto"/>
              </w:rPr>
              <w:t>邮政业</w:t>
            </w:r>
          </w:p>
        </w:tc>
        <w:tc>
          <w:tcPr>
            <w:tcW w:w="1984" w:type="dxa"/>
            <w:tcBorders>
              <w:top w:val="nil"/>
              <w:left w:val="nil"/>
              <w:bottom w:val="single" w:color="auto" w:sz="4" w:space="0"/>
              <w:right w:val="single" w:color="auto" w:sz="4" w:space="0"/>
            </w:tcBorders>
            <w:vAlign w:val="center"/>
          </w:tcPr>
          <w:p w14:paraId="02A797A2">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从业人员（X）</w:t>
            </w:r>
          </w:p>
        </w:tc>
        <w:tc>
          <w:tcPr>
            <w:tcW w:w="851" w:type="dxa"/>
            <w:tcBorders>
              <w:top w:val="nil"/>
              <w:left w:val="nil"/>
              <w:bottom w:val="single" w:color="auto" w:sz="4" w:space="0"/>
              <w:right w:val="single" w:color="auto" w:sz="4" w:space="0"/>
            </w:tcBorders>
            <w:vAlign w:val="center"/>
          </w:tcPr>
          <w:p w14:paraId="14F80325">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人</w:t>
            </w:r>
          </w:p>
        </w:tc>
        <w:tc>
          <w:tcPr>
            <w:tcW w:w="1842" w:type="dxa"/>
            <w:tcBorders>
              <w:top w:val="nil"/>
              <w:left w:val="nil"/>
              <w:bottom w:val="single" w:color="auto" w:sz="4" w:space="0"/>
              <w:right w:val="single" w:color="auto" w:sz="4" w:space="0"/>
            </w:tcBorders>
            <w:vAlign w:val="center"/>
          </w:tcPr>
          <w:p w14:paraId="5B3CD3B8">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300≤X＜1000</w:t>
            </w:r>
          </w:p>
        </w:tc>
        <w:tc>
          <w:tcPr>
            <w:tcW w:w="1701" w:type="dxa"/>
            <w:tcBorders>
              <w:top w:val="nil"/>
              <w:left w:val="nil"/>
              <w:bottom w:val="single" w:color="auto" w:sz="4" w:space="0"/>
              <w:right w:val="single" w:color="auto" w:sz="4" w:space="0"/>
            </w:tcBorders>
            <w:vAlign w:val="center"/>
          </w:tcPr>
          <w:p w14:paraId="5EFF9A84">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20≤X＜300</w:t>
            </w:r>
          </w:p>
        </w:tc>
        <w:tc>
          <w:tcPr>
            <w:tcW w:w="1134" w:type="dxa"/>
            <w:tcBorders>
              <w:top w:val="nil"/>
              <w:left w:val="nil"/>
              <w:bottom w:val="single" w:color="auto" w:sz="4" w:space="0"/>
              <w:right w:val="single" w:color="auto" w:sz="4" w:space="0"/>
            </w:tcBorders>
            <w:vAlign w:val="center"/>
          </w:tcPr>
          <w:p w14:paraId="18A5306F">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X＜20</w:t>
            </w:r>
          </w:p>
        </w:tc>
      </w:tr>
      <w:tr w14:paraId="36D7D01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33EA258">
            <w:pPr>
              <w:keepNext w:val="0"/>
              <w:keepLines w:val="0"/>
              <w:pageBreakBefore w:val="0"/>
              <w:widowControl/>
              <w:shd w:val="clear" w:color="auto" w:fill="auto"/>
              <w:kinsoku/>
              <w:overflowPunct/>
              <w:bidi w:val="0"/>
              <w:spacing w:line="360" w:lineRule="auto"/>
              <w:jc w:val="left"/>
              <w:rPr>
                <w:rFonts w:hint="eastAsia" w:ascii="宋体" w:hAnsi="宋体" w:eastAsia="宋体" w:cs="宋体"/>
                <w:b/>
                <w:bCs/>
                <w:color w:val="auto"/>
                <w:kern w:val="0"/>
                <w:sz w:val="21"/>
                <w:szCs w:val="21"/>
                <w:highlight w:val="none"/>
                <w:shd w:val="clear" w:color="auto" w:fill="auto"/>
              </w:rPr>
            </w:pPr>
          </w:p>
        </w:tc>
        <w:tc>
          <w:tcPr>
            <w:tcW w:w="1984" w:type="dxa"/>
            <w:tcBorders>
              <w:top w:val="nil"/>
              <w:left w:val="nil"/>
              <w:bottom w:val="single" w:color="auto" w:sz="4" w:space="0"/>
              <w:right w:val="single" w:color="auto" w:sz="4" w:space="0"/>
            </w:tcBorders>
            <w:vAlign w:val="center"/>
          </w:tcPr>
          <w:p w14:paraId="0BD8061F">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营业收入（Y）</w:t>
            </w:r>
          </w:p>
        </w:tc>
        <w:tc>
          <w:tcPr>
            <w:tcW w:w="851" w:type="dxa"/>
            <w:tcBorders>
              <w:top w:val="nil"/>
              <w:left w:val="nil"/>
              <w:bottom w:val="single" w:color="auto" w:sz="4" w:space="0"/>
              <w:right w:val="single" w:color="auto" w:sz="4" w:space="0"/>
            </w:tcBorders>
            <w:vAlign w:val="center"/>
          </w:tcPr>
          <w:p w14:paraId="3A556E9D">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万元</w:t>
            </w:r>
          </w:p>
        </w:tc>
        <w:tc>
          <w:tcPr>
            <w:tcW w:w="1842" w:type="dxa"/>
            <w:tcBorders>
              <w:top w:val="nil"/>
              <w:left w:val="nil"/>
              <w:bottom w:val="single" w:color="auto" w:sz="4" w:space="0"/>
              <w:right w:val="single" w:color="auto" w:sz="4" w:space="0"/>
            </w:tcBorders>
            <w:vAlign w:val="center"/>
          </w:tcPr>
          <w:p w14:paraId="2FA6DE08">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2000≤Y＜30000</w:t>
            </w:r>
          </w:p>
        </w:tc>
        <w:tc>
          <w:tcPr>
            <w:tcW w:w="1701" w:type="dxa"/>
            <w:tcBorders>
              <w:top w:val="nil"/>
              <w:left w:val="nil"/>
              <w:bottom w:val="single" w:color="auto" w:sz="4" w:space="0"/>
              <w:right w:val="single" w:color="auto" w:sz="4" w:space="0"/>
            </w:tcBorders>
            <w:vAlign w:val="center"/>
          </w:tcPr>
          <w:p w14:paraId="0C3797B5">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100≤Y＜2000</w:t>
            </w:r>
          </w:p>
        </w:tc>
        <w:tc>
          <w:tcPr>
            <w:tcW w:w="1134" w:type="dxa"/>
            <w:tcBorders>
              <w:top w:val="nil"/>
              <w:left w:val="nil"/>
              <w:bottom w:val="single" w:color="auto" w:sz="4" w:space="0"/>
              <w:right w:val="single" w:color="auto" w:sz="4" w:space="0"/>
            </w:tcBorders>
            <w:vAlign w:val="center"/>
          </w:tcPr>
          <w:p w14:paraId="13098866">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Y＜100</w:t>
            </w:r>
          </w:p>
        </w:tc>
      </w:tr>
      <w:tr w14:paraId="23B1225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D841F70">
            <w:pPr>
              <w:keepNext w:val="0"/>
              <w:keepLines w:val="0"/>
              <w:pageBreakBefore w:val="0"/>
              <w:widowControl/>
              <w:shd w:val="clear" w:color="auto" w:fill="auto"/>
              <w:kinsoku/>
              <w:overflowPunct/>
              <w:bidi w:val="0"/>
              <w:spacing w:line="360" w:lineRule="auto"/>
              <w:jc w:val="center"/>
              <w:rPr>
                <w:rFonts w:hint="eastAsia" w:ascii="宋体" w:hAnsi="宋体" w:eastAsia="宋体" w:cs="宋体"/>
                <w:b/>
                <w:bCs/>
                <w:color w:val="auto"/>
                <w:kern w:val="0"/>
                <w:sz w:val="21"/>
                <w:szCs w:val="21"/>
                <w:highlight w:val="none"/>
                <w:shd w:val="clear" w:color="auto" w:fill="auto"/>
              </w:rPr>
            </w:pPr>
            <w:r>
              <w:rPr>
                <w:rFonts w:hint="eastAsia" w:ascii="宋体" w:hAnsi="宋体" w:eastAsia="宋体" w:cs="宋体"/>
                <w:b/>
                <w:bCs/>
                <w:color w:val="auto"/>
                <w:kern w:val="0"/>
                <w:sz w:val="21"/>
                <w:szCs w:val="21"/>
                <w:highlight w:val="none"/>
                <w:shd w:val="clear" w:color="auto" w:fill="auto"/>
              </w:rPr>
              <w:t>住宿业</w:t>
            </w:r>
          </w:p>
        </w:tc>
        <w:tc>
          <w:tcPr>
            <w:tcW w:w="1984" w:type="dxa"/>
            <w:tcBorders>
              <w:top w:val="nil"/>
              <w:left w:val="nil"/>
              <w:bottom w:val="single" w:color="auto" w:sz="4" w:space="0"/>
              <w:right w:val="single" w:color="auto" w:sz="4" w:space="0"/>
            </w:tcBorders>
            <w:vAlign w:val="center"/>
          </w:tcPr>
          <w:p w14:paraId="2DA69805">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从业人员（X）</w:t>
            </w:r>
          </w:p>
        </w:tc>
        <w:tc>
          <w:tcPr>
            <w:tcW w:w="851" w:type="dxa"/>
            <w:tcBorders>
              <w:top w:val="nil"/>
              <w:left w:val="nil"/>
              <w:bottom w:val="single" w:color="auto" w:sz="4" w:space="0"/>
              <w:right w:val="single" w:color="auto" w:sz="4" w:space="0"/>
            </w:tcBorders>
            <w:vAlign w:val="center"/>
          </w:tcPr>
          <w:p w14:paraId="1EF5D2DA">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人</w:t>
            </w:r>
          </w:p>
        </w:tc>
        <w:tc>
          <w:tcPr>
            <w:tcW w:w="1842" w:type="dxa"/>
            <w:tcBorders>
              <w:top w:val="nil"/>
              <w:left w:val="nil"/>
              <w:bottom w:val="single" w:color="auto" w:sz="4" w:space="0"/>
              <w:right w:val="single" w:color="auto" w:sz="4" w:space="0"/>
            </w:tcBorders>
            <w:vAlign w:val="center"/>
          </w:tcPr>
          <w:p w14:paraId="31D2D611">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100≤X＜300</w:t>
            </w:r>
          </w:p>
        </w:tc>
        <w:tc>
          <w:tcPr>
            <w:tcW w:w="1701" w:type="dxa"/>
            <w:tcBorders>
              <w:top w:val="nil"/>
              <w:left w:val="nil"/>
              <w:bottom w:val="single" w:color="auto" w:sz="4" w:space="0"/>
              <w:right w:val="single" w:color="auto" w:sz="4" w:space="0"/>
            </w:tcBorders>
            <w:vAlign w:val="center"/>
          </w:tcPr>
          <w:p w14:paraId="436522DE">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10≤X＜100</w:t>
            </w:r>
          </w:p>
        </w:tc>
        <w:tc>
          <w:tcPr>
            <w:tcW w:w="1134" w:type="dxa"/>
            <w:tcBorders>
              <w:top w:val="nil"/>
              <w:left w:val="nil"/>
              <w:bottom w:val="single" w:color="auto" w:sz="4" w:space="0"/>
              <w:right w:val="single" w:color="auto" w:sz="4" w:space="0"/>
            </w:tcBorders>
            <w:vAlign w:val="center"/>
          </w:tcPr>
          <w:p w14:paraId="5A0C3EFA">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X＜10</w:t>
            </w:r>
          </w:p>
        </w:tc>
      </w:tr>
      <w:tr w14:paraId="2BB291C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4BD4188B">
            <w:pPr>
              <w:keepNext w:val="0"/>
              <w:keepLines w:val="0"/>
              <w:pageBreakBefore w:val="0"/>
              <w:widowControl/>
              <w:shd w:val="clear" w:color="auto" w:fill="auto"/>
              <w:kinsoku/>
              <w:overflowPunct/>
              <w:bidi w:val="0"/>
              <w:spacing w:line="360" w:lineRule="auto"/>
              <w:jc w:val="left"/>
              <w:rPr>
                <w:rFonts w:hint="eastAsia" w:ascii="宋体" w:hAnsi="宋体" w:eastAsia="宋体" w:cs="宋体"/>
                <w:b/>
                <w:bCs/>
                <w:color w:val="auto"/>
                <w:kern w:val="0"/>
                <w:sz w:val="21"/>
                <w:szCs w:val="21"/>
                <w:highlight w:val="none"/>
                <w:shd w:val="clear" w:color="auto" w:fill="auto"/>
              </w:rPr>
            </w:pPr>
          </w:p>
        </w:tc>
        <w:tc>
          <w:tcPr>
            <w:tcW w:w="1984" w:type="dxa"/>
            <w:tcBorders>
              <w:top w:val="nil"/>
              <w:left w:val="nil"/>
              <w:bottom w:val="single" w:color="auto" w:sz="4" w:space="0"/>
              <w:right w:val="single" w:color="auto" w:sz="4" w:space="0"/>
            </w:tcBorders>
            <w:vAlign w:val="center"/>
          </w:tcPr>
          <w:p w14:paraId="680C05A2">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营业收入（Y）</w:t>
            </w:r>
          </w:p>
        </w:tc>
        <w:tc>
          <w:tcPr>
            <w:tcW w:w="851" w:type="dxa"/>
            <w:tcBorders>
              <w:top w:val="nil"/>
              <w:left w:val="nil"/>
              <w:bottom w:val="single" w:color="auto" w:sz="4" w:space="0"/>
              <w:right w:val="single" w:color="auto" w:sz="4" w:space="0"/>
            </w:tcBorders>
            <w:vAlign w:val="center"/>
          </w:tcPr>
          <w:p w14:paraId="02AE4D12">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万元</w:t>
            </w:r>
          </w:p>
        </w:tc>
        <w:tc>
          <w:tcPr>
            <w:tcW w:w="1842" w:type="dxa"/>
            <w:tcBorders>
              <w:top w:val="nil"/>
              <w:left w:val="nil"/>
              <w:bottom w:val="single" w:color="auto" w:sz="4" w:space="0"/>
              <w:right w:val="single" w:color="auto" w:sz="4" w:space="0"/>
            </w:tcBorders>
            <w:vAlign w:val="center"/>
          </w:tcPr>
          <w:p w14:paraId="2265F5EA">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2000≤Y＜10000</w:t>
            </w:r>
          </w:p>
        </w:tc>
        <w:tc>
          <w:tcPr>
            <w:tcW w:w="1701" w:type="dxa"/>
            <w:tcBorders>
              <w:top w:val="nil"/>
              <w:left w:val="nil"/>
              <w:bottom w:val="single" w:color="auto" w:sz="4" w:space="0"/>
              <w:right w:val="single" w:color="auto" w:sz="4" w:space="0"/>
            </w:tcBorders>
            <w:vAlign w:val="center"/>
          </w:tcPr>
          <w:p w14:paraId="3CC26F8F">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100≤Y＜2000</w:t>
            </w:r>
          </w:p>
        </w:tc>
        <w:tc>
          <w:tcPr>
            <w:tcW w:w="1134" w:type="dxa"/>
            <w:tcBorders>
              <w:top w:val="nil"/>
              <w:left w:val="nil"/>
              <w:bottom w:val="single" w:color="auto" w:sz="4" w:space="0"/>
              <w:right w:val="single" w:color="auto" w:sz="4" w:space="0"/>
            </w:tcBorders>
            <w:vAlign w:val="center"/>
          </w:tcPr>
          <w:p w14:paraId="46B04097">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Y＜100</w:t>
            </w:r>
          </w:p>
        </w:tc>
      </w:tr>
      <w:tr w14:paraId="00A9C88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B5E7817">
            <w:pPr>
              <w:keepNext w:val="0"/>
              <w:keepLines w:val="0"/>
              <w:pageBreakBefore w:val="0"/>
              <w:widowControl/>
              <w:shd w:val="clear" w:color="auto" w:fill="auto"/>
              <w:kinsoku/>
              <w:overflowPunct/>
              <w:bidi w:val="0"/>
              <w:spacing w:line="360" w:lineRule="auto"/>
              <w:jc w:val="center"/>
              <w:rPr>
                <w:rFonts w:hint="eastAsia" w:ascii="宋体" w:hAnsi="宋体" w:eastAsia="宋体" w:cs="宋体"/>
                <w:b/>
                <w:bCs/>
                <w:color w:val="auto"/>
                <w:kern w:val="0"/>
                <w:sz w:val="21"/>
                <w:szCs w:val="21"/>
                <w:highlight w:val="none"/>
                <w:shd w:val="clear" w:color="auto" w:fill="auto"/>
              </w:rPr>
            </w:pPr>
            <w:r>
              <w:rPr>
                <w:rFonts w:hint="eastAsia" w:ascii="宋体" w:hAnsi="宋体" w:eastAsia="宋体" w:cs="宋体"/>
                <w:b/>
                <w:bCs/>
                <w:color w:val="auto"/>
                <w:kern w:val="0"/>
                <w:sz w:val="21"/>
                <w:szCs w:val="21"/>
                <w:highlight w:val="none"/>
                <w:shd w:val="clear" w:color="auto" w:fill="auto"/>
              </w:rPr>
              <w:t>餐饮业</w:t>
            </w:r>
          </w:p>
        </w:tc>
        <w:tc>
          <w:tcPr>
            <w:tcW w:w="1984" w:type="dxa"/>
            <w:tcBorders>
              <w:top w:val="nil"/>
              <w:left w:val="nil"/>
              <w:bottom w:val="single" w:color="auto" w:sz="4" w:space="0"/>
              <w:right w:val="single" w:color="auto" w:sz="4" w:space="0"/>
            </w:tcBorders>
            <w:vAlign w:val="center"/>
          </w:tcPr>
          <w:p w14:paraId="4E803618">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从业人员（X）</w:t>
            </w:r>
          </w:p>
        </w:tc>
        <w:tc>
          <w:tcPr>
            <w:tcW w:w="851" w:type="dxa"/>
            <w:tcBorders>
              <w:top w:val="nil"/>
              <w:left w:val="nil"/>
              <w:bottom w:val="single" w:color="auto" w:sz="4" w:space="0"/>
              <w:right w:val="single" w:color="auto" w:sz="4" w:space="0"/>
            </w:tcBorders>
            <w:vAlign w:val="center"/>
          </w:tcPr>
          <w:p w14:paraId="2CB4DBC0">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人</w:t>
            </w:r>
          </w:p>
        </w:tc>
        <w:tc>
          <w:tcPr>
            <w:tcW w:w="1842" w:type="dxa"/>
            <w:tcBorders>
              <w:top w:val="nil"/>
              <w:left w:val="nil"/>
              <w:bottom w:val="single" w:color="auto" w:sz="4" w:space="0"/>
              <w:right w:val="single" w:color="auto" w:sz="4" w:space="0"/>
            </w:tcBorders>
            <w:vAlign w:val="center"/>
          </w:tcPr>
          <w:p w14:paraId="5153A7CF">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100≤X＜300</w:t>
            </w:r>
          </w:p>
        </w:tc>
        <w:tc>
          <w:tcPr>
            <w:tcW w:w="1701" w:type="dxa"/>
            <w:tcBorders>
              <w:top w:val="nil"/>
              <w:left w:val="nil"/>
              <w:bottom w:val="single" w:color="auto" w:sz="4" w:space="0"/>
              <w:right w:val="single" w:color="auto" w:sz="4" w:space="0"/>
            </w:tcBorders>
            <w:vAlign w:val="center"/>
          </w:tcPr>
          <w:p w14:paraId="2F39E436">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10≤X＜100</w:t>
            </w:r>
          </w:p>
        </w:tc>
        <w:tc>
          <w:tcPr>
            <w:tcW w:w="1134" w:type="dxa"/>
            <w:tcBorders>
              <w:top w:val="nil"/>
              <w:left w:val="nil"/>
              <w:bottom w:val="single" w:color="auto" w:sz="4" w:space="0"/>
              <w:right w:val="single" w:color="auto" w:sz="4" w:space="0"/>
            </w:tcBorders>
            <w:vAlign w:val="center"/>
          </w:tcPr>
          <w:p w14:paraId="093A2469">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X＜10</w:t>
            </w:r>
          </w:p>
        </w:tc>
      </w:tr>
      <w:tr w14:paraId="3E4D758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5822E1D">
            <w:pPr>
              <w:keepNext w:val="0"/>
              <w:keepLines w:val="0"/>
              <w:pageBreakBefore w:val="0"/>
              <w:widowControl/>
              <w:shd w:val="clear" w:color="auto" w:fill="auto"/>
              <w:kinsoku/>
              <w:overflowPunct/>
              <w:bidi w:val="0"/>
              <w:spacing w:line="360" w:lineRule="auto"/>
              <w:jc w:val="left"/>
              <w:rPr>
                <w:rFonts w:hint="eastAsia" w:ascii="宋体" w:hAnsi="宋体" w:eastAsia="宋体" w:cs="宋体"/>
                <w:b/>
                <w:bCs/>
                <w:color w:val="auto"/>
                <w:kern w:val="0"/>
                <w:sz w:val="21"/>
                <w:szCs w:val="21"/>
                <w:highlight w:val="none"/>
                <w:shd w:val="clear" w:color="auto" w:fill="auto"/>
              </w:rPr>
            </w:pPr>
          </w:p>
        </w:tc>
        <w:tc>
          <w:tcPr>
            <w:tcW w:w="1984" w:type="dxa"/>
            <w:tcBorders>
              <w:top w:val="nil"/>
              <w:left w:val="nil"/>
              <w:bottom w:val="single" w:color="auto" w:sz="4" w:space="0"/>
              <w:right w:val="single" w:color="auto" w:sz="4" w:space="0"/>
            </w:tcBorders>
            <w:vAlign w:val="center"/>
          </w:tcPr>
          <w:p w14:paraId="04C60749">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营业收入（Y）</w:t>
            </w:r>
          </w:p>
        </w:tc>
        <w:tc>
          <w:tcPr>
            <w:tcW w:w="851" w:type="dxa"/>
            <w:tcBorders>
              <w:top w:val="nil"/>
              <w:left w:val="nil"/>
              <w:bottom w:val="single" w:color="auto" w:sz="4" w:space="0"/>
              <w:right w:val="single" w:color="auto" w:sz="4" w:space="0"/>
            </w:tcBorders>
            <w:vAlign w:val="center"/>
          </w:tcPr>
          <w:p w14:paraId="5B621339">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万元</w:t>
            </w:r>
          </w:p>
        </w:tc>
        <w:tc>
          <w:tcPr>
            <w:tcW w:w="1842" w:type="dxa"/>
            <w:tcBorders>
              <w:top w:val="nil"/>
              <w:left w:val="nil"/>
              <w:bottom w:val="single" w:color="auto" w:sz="4" w:space="0"/>
              <w:right w:val="single" w:color="auto" w:sz="4" w:space="0"/>
            </w:tcBorders>
            <w:vAlign w:val="center"/>
          </w:tcPr>
          <w:p w14:paraId="04743539">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2000≤Y＜10000</w:t>
            </w:r>
          </w:p>
        </w:tc>
        <w:tc>
          <w:tcPr>
            <w:tcW w:w="1701" w:type="dxa"/>
            <w:tcBorders>
              <w:top w:val="nil"/>
              <w:left w:val="nil"/>
              <w:bottom w:val="single" w:color="auto" w:sz="4" w:space="0"/>
              <w:right w:val="single" w:color="auto" w:sz="4" w:space="0"/>
            </w:tcBorders>
            <w:vAlign w:val="center"/>
          </w:tcPr>
          <w:p w14:paraId="4B91862E">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100≤Y＜2000</w:t>
            </w:r>
          </w:p>
        </w:tc>
        <w:tc>
          <w:tcPr>
            <w:tcW w:w="1134" w:type="dxa"/>
            <w:tcBorders>
              <w:top w:val="nil"/>
              <w:left w:val="nil"/>
              <w:bottom w:val="single" w:color="auto" w:sz="4" w:space="0"/>
              <w:right w:val="single" w:color="auto" w:sz="4" w:space="0"/>
            </w:tcBorders>
            <w:vAlign w:val="center"/>
          </w:tcPr>
          <w:p w14:paraId="23148AEB">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Y＜100</w:t>
            </w:r>
          </w:p>
        </w:tc>
      </w:tr>
      <w:tr w14:paraId="1C11D93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E0DDD25">
            <w:pPr>
              <w:keepNext w:val="0"/>
              <w:keepLines w:val="0"/>
              <w:pageBreakBefore w:val="0"/>
              <w:widowControl/>
              <w:shd w:val="clear" w:color="auto" w:fill="auto"/>
              <w:kinsoku/>
              <w:overflowPunct/>
              <w:bidi w:val="0"/>
              <w:spacing w:line="360" w:lineRule="auto"/>
              <w:jc w:val="center"/>
              <w:rPr>
                <w:rFonts w:hint="eastAsia" w:ascii="宋体" w:hAnsi="宋体" w:eastAsia="宋体" w:cs="宋体"/>
                <w:b/>
                <w:bCs/>
                <w:color w:val="auto"/>
                <w:kern w:val="0"/>
                <w:sz w:val="21"/>
                <w:szCs w:val="21"/>
                <w:highlight w:val="none"/>
                <w:shd w:val="clear" w:color="auto" w:fill="auto"/>
              </w:rPr>
            </w:pPr>
            <w:r>
              <w:rPr>
                <w:rFonts w:hint="eastAsia" w:ascii="宋体" w:hAnsi="宋体" w:eastAsia="宋体" w:cs="宋体"/>
                <w:b/>
                <w:bCs/>
                <w:color w:val="auto"/>
                <w:kern w:val="0"/>
                <w:sz w:val="21"/>
                <w:szCs w:val="21"/>
                <w:highlight w:val="none"/>
                <w:shd w:val="clear" w:color="auto" w:fill="auto"/>
              </w:rPr>
              <w:t>信息传输业</w:t>
            </w:r>
          </w:p>
        </w:tc>
        <w:tc>
          <w:tcPr>
            <w:tcW w:w="1984" w:type="dxa"/>
            <w:tcBorders>
              <w:top w:val="nil"/>
              <w:left w:val="nil"/>
              <w:bottom w:val="single" w:color="auto" w:sz="4" w:space="0"/>
              <w:right w:val="single" w:color="auto" w:sz="4" w:space="0"/>
            </w:tcBorders>
            <w:vAlign w:val="center"/>
          </w:tcPr>
          <w:p w14:paraId="5D018327">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从业人员（X）</w:t>
            </w:r>
          </w:p>
        </w:tc>
        <w:tc>
          <w:tcPr>
            <w:tcW w:w="851" w:type="dxa"/>
            <w:tcBorders>
              <w:top w:val="nil"/>
              <w:left w:val="nil"/>
              <w:bottom w:val="single" w:color="auto" w:sz="4" w:space="0"/>
              <w:right w:val="single" w:color="auto" w:sz="4" w:space="0"/>
            </w:tcBorders>
            <w:vAlign w:val="center"/>
          </w:tcPr>
          <w:p w14:paraId="7B00C1D5">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人</w:t>
            </w:r>
          </w:p>
        </w:tc>
        <w:tc>
          <w:tcPr>
            <w:tcW w:w="1842" w:type="dxa"/>
            <w:tcBorders>
              <w:top w:val="nil"/>
              <w:left w:val="nil"/>
              <w:bottom w:val="single" w:color="auto" w:sz="4" w:space="0"/>
              <w:right w:val="single" w:color="auto" w:sz="4" w:space="0"/>
            </w:tcBorders>
            <w:vAlign w:val="center"/>
          </w:tcPr>
          <w:p w14:paraId="7436E6BB">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100≤X＜2000</w:t>
            </w:r>
          </w:p>
        </w:tc>
        <w:tc>
          <w:tcPr>
            <w:tcW w:w="1701" w:type="dxa"/>
            <w:tcBorders>
              <w:top w:val="nil"/>
              <w:left w:val="nil"/>
              <w:bottom w:val="single" w:color="auto" w:sz="4" w:space="0"/>
              <w:right w:val="single" w:color="auto" w:sz="4" w:space="0"/>
            </w:tcBorders>
            <w:vAlign w:val="center"/>
          </w:tcPr>
          <w:p w14:paraId="3950B15B">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10≤X＜100</w:t>
            </w:r>
          </w:p>
        </w:tc>
        <w:tc>
          <w:tcPr>
            <w:tcW w:w="1134" w:type="dxa"/>
            <w:tcBorders>
              <w:top w:val="nil"/>
              <w:left w:val="nil"/>
              <w:bottom w:val="single" w:color="auto" w:sz="4" w:space="0"/>
              <w:right w:val="single" w:color="auto" w:sz="4" w:space="0"/>
            </w:tcBorders>
            <w:vAlign w:val="center"/>
          </w:tcPr>
          <w:p w14:paraId="591650CD">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X＜10</w:t>
            </w:r>
          </w:p>
        </w:tc>
      </w:tr>
      <w:tr w14:paraId="3E7910F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4637BC3B">
            <w:pPr>
              <w:keepNext w:val="0"/>
              <w:keepLines w:val="0"/>
              <w:pageBreakBefore w:val="0"/>
              <w:widowControl/>
              <w:shd w:val="clear" w:color="auto" w:fill="auto"/>
              <w:kinsoku/>
              <w:overflowPunct/>
              <w:bidi w:val="0"/>
              <w:spacing w:line="360" w:lineRule="auto"/>
              <w:jc w:val="left"/>
              <w:rPr>
                <w:rFonts w:hint="eastAsia" w:ascii="宋体" w:hAnsi="宋体" w:eastAsia="宋体" w:cs="宋体"/>
                <w:b/>
                <w:bCs/>
                <w:color w:val="auto"/>
                <w:kern w:val="0"/>
                <w:sz w:val="21"/>
                <w:szCs w:val="21"/>
                <w:highlight w:val="none"/>
                <w:shd w:val="clear" w:color="auto" w:fill="auto"/>
              </w:rPr>
            </w:pPr>
          </w:p>
        </w:tc>
        <w:tc>
          <w:tcPr>
            <w:tcW w:w="1984" w:type="dxa"/>
            <w:tcBorders>
              <w:top w:val="nil"/>
              <w:left w:val="nil"/>
              <w:bottom w:val="single" w:color="auto" w:sz="4" w:space="0"/>
              <w:right w:val="single" w:color="auto" w:sz="4" w:space="0"/>
            </w:tcBorders>
            <w:vAlign w:val="center"/>
          </w:tcPr>
          <w:p w14:paraId="3BD03934">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营业收入（Y）</w:t>
            </w:r>
          </w:p>
        </w:tc>
        <w:tc>
          <w:tcPr>
            <w:tcW w:w="851" w:type="dxa"/>
            <w:tcBorders>
              <w:top w:val="nil"/>
              <w:left w:val="nil"/>
              <w:bottom w:val="single" w:color="auto" w:sz="4" w:space="0"/>
              <w:right w:val="single" w:color="auto" w:sz="4" w:space="0"/>
            </w:tcBorders>
            <w:vAlign w:val="center"/>
          </w:tcPr>
          <w:p w14:paraId="5EE4602B">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万元</w:t>
            </w:r>
          </w:p>
        </w:tc>
        <w:tc>
          <w:tcPr>
            <w:tcW w:w="1842" w:type="dxa"/>
            <w:tcBorders>
              <w:top w:val="nil"/>
              <w:left w:val="nil"/>
              <w:bottom w:val="single" w:color="auto" w:sz="4" w:space="0"/>
              <w:right w:val="single" w:color="auto" w:sz="4" w:space="0"/>
            </w:tcBorders>
            <w:vAlign w:val="center"/>
          </w:tcPr>
          <w:p w14:paraId="073AF311">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1000≤Y＜100000</w:t>
            </w:r>
          </w:p>
        </w:tc>
        <w:tc>
          <w:tcPr>
            <w:tcW w:w="1701" w:type="dxa"/>
            <w:tcBorders>
              <w:top w:val="nil"/>
              <w:left w:val="nil"/>
              <w:bottom w:val="single" w:color="auto" w:sz="4" w:space="0"/>
              <w:right w:val="single" w:color="auto" w:sz="4" w:space="0"/>
            </w:tcBorders>
            <w:vAlign w:val="center"/>
          </w:tcPr>
          <w:p w14:paraId="7C4E3214">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100≤Y＜1000</w:t>
            </w:r>
          </w:p>
        </w:tc>
        <w:tc>
          <w:tcPr>
            <w:tcW w:w="1134" w:type="dxa"/>
            <w:tcBorders>
              <w:top w:val="nil"/>
              <w:left w:val="nil"/>
              <w:bottom w:val="single" w:color="auto" w:sz="4" w:space="0"/>
              <w:right w:val="single" w:color="auto" w:sz="4" w:space="0"/>
            </w:tcBorders>
            <w:vAlign w:val="center"/>
          </w:tcPr>
          <w:p w14:paraId="5C8BF22D">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Y＜100</w:t>
            </w:r>
          </w:p>
        </w:tc>
      </w:tr>
      <w:tr w14:paraId="13445CD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F143CF0">
            <w:pPr>
              <w:keepNext w:val="0"/>
              <w:keepLines w:val="0"/>
              <w:pageBreakBefore w:val="0"/>
              <w:widowControl/>
              <w:shd w:val="clear" w:color="auto" w:fill="auto"/>
              <w:kinsoku/>
              <w:overflowPunct/>
              <w:bidi w:val="0"/>
              <w:spacing w:line="360" w:lineRule="auto"/>
              <w:jc w:val="center"/>
              <w:rPr>
                <w:rFonts w:hint="eastAsia" w:ascii="宋体" w:hAnsi="宋体" w:eastAsia="宋体" w:cs="宋体"/>
                <w:b/>
                <w:bCs/>
                <w:color w:val="auto"/>
                <w:kern w:val="0"/>
                <w:sz w:val="21"/>
                <w:szCs w:val="21"/>
                <w:highlight w:val="none"/>
                <w:shd w:val="clear" w:color="auto" w:fill="auto"/>
              </w:rPr>
            </w:pPr>
            <w:r>
              <w:rPr>
                <w:rFonts w:hint="eastAsia" w:ascii="宋体" w:hAnsi="宋体" w:eastAsia="宋体" w:cs="宋体"/>
                <w:b/>
                <w:bCs/>
                <w:color w:val="auto"/>
                <w:kern w:val="0"/>
                <w:sz w:val="21"/>
                <w:szCs w:val="21"/>
                <w:highlight w:val="none"/>
                <w:shd w:val="clear" w:color="auto" w:fill="auto"/>
              </w:rPr>
              <w:t>软件和信息技术服务业</w:t>
            </w:r>
          </w:p>
        </w:tc>
        <w:tc>
          <w:tcPr>
            <w:tcW w:w="1984" w:type="dxa"/>
            <w:tcBorders>
              <w:top w:val="nil"/>
              <w:left w:val="nil"/>
              <w:bottom w:val="single" w:color="auto" w:sz="4" w:space="0"/>
              <w:right w:val="single" w:color="auto" w:sz="4" w:space="0"/>
            </w:tcBorders>
            <w:vAlign w:val="center"/>
          </w:tcPr>
          <w:p w14:paraId="7D0EED1E">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从业人员（X）</w:t>
            </w:r>
          </w:p>
        </w:tc>
        <w:tc>
          <w:tcPr>
            <w:tcW w:w="851" w:type="dxa"/>
            <w:tcBorders>
              <w:top w:val="nil"/>
              <w:left w:val="nil"/>
              <w:bottom w:val="single" w:color="auto" w:sz="4" w:space="0"/>
              <w:right w:val="single" w:color="auto" w:sz="4" w:space="0"/>
            </w:tcBorders>
            <w:vAlign w:val="center"/>
          </w:tcPr>
          <w:p w14:paraId="31B2548E">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人</w:t>
            </w:r>
          </w:p>
        </w:tc>
        <w:tc>
          <w:tcPr>
            <w:tcW w:w="1842" w:type="dxa"/>
            <w:tcBorders>
              <w:top w:val="nil"/>
              <w:left w:val="nil"/>
              <w:bottom w:val="single" w:color="auto" w:sz="4" w:space="0"/>
              <w:right w:val="single" w:color="auto" w:sz="4" w:space="0"/>
            </w:tcBorders>
            <w:vAlign w:val="center"/>
          </w:tcPr>
          <w:p w14:paraId="1C05D7B0">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100≤X＜300</w:t>
            </w:r>
          </w:p>
        </w:tc>
        <w:tc>
          <w:tcPr>
            <w:tcW w:w="1701" w:type="dxa"/>
            <w:tcBorders>
              <w:top w:val="nil"/>
              <w:left w:val="nil"/>
              <w:bottom w:val="single" w:color="auto" w:sz="4" w:space="0"/>
              <w:right w:val="single" w:color="auto" w:sz="4" w:space="0"/>
            </w:tcBorders>
            <w:vAlign w:val="center"/>
          </w:tcPr>
          <w:p w14:paraId="3FF2BF5E">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10≤X＜100</w:t>
            </w:r>
          </w:p>
        </w:tc>
        <w:tc>
          <w:tcPr>
            <w:tcW w:w="1134" w:type="dxa"/>
            <w:tcBorders>
              <w:top w:val="nil"/>
              <w:left w:val="nil"/>
              <w:bottom w:val="single" w:color="auto" w:sz="4" w:space="0"/>
              <w:right w:val="single" w:color="auto" w:sz="4" w:space="0"/>
            </w:tcBorders>
            <w:vAlign w:val="center"/>
          </w:tcPr>
          <w:p w14:paraId="6FA964E0">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X＜10</w:t>
            </w:r>
          </w:p>
        </w:tc>
      </w:tr>
      <w:tr w14:paraId="1C82EC9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DB22D8E">
            <w:pPr>
              <w:keepNext w:val="0"/>
              <w:keepLines w:val="0"/>
              <w:pageBreakBefore w:val="0"/>
              <w:widowControl/>
              <w:shd w:val="clear" w:color="auto" w:fill="auto"/>
              <w:kinsoku/>
              <w:overflowPunct/>
              <w:bidi w:val="0"/>
              <w:spacing w:line="360" w:lineRule="auto"/>
              <w:jc w:val="left"/>
              <w:rPr>
                <w:rFonts w:hint="eastAsia" w:ascii="宋体" w:hAnsi="宋体" w:eastAsia="宋体" w:cs="宋体"/>
                <w:b/>
                <w:bCs/>
                <w:color w:val="auto"/>
                <w:kern w:val="0"/>
                <w:sz w:val="21"/>
                <w:szCs w:val="21"/>
                <w:highlight w:val="none"/>
                <w:shd w:val="clear" w:color="auto" w:fill="auto"/>
              </w:rPr>
            </w:pPr>
          </w:p>
        </w:tc>
        <w:tc>
          <w:tcPr>
            <w:tcW w:w="1984" w:type="dxa"/>
            <w:tcBorders>
              <w:top w:val="nil"/>
              <w:left w:val="nil"/>
              <w:bottom w:val="single" w:color="auto" w:sz="4" w:space="0"/>
              <w:right w:val="single" w:color="auto" w:sz="4" w:space="0"/>
            </w:tcBorders>
            <w:vAlign w:val="center"/>
          </w:tcPr>
          <w:p w14:paraId="660A45C5">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营业收入（Y）</w:t>
            </w:r>
          </w:p>
        </w:tc>
        <w:tc>
          <w:tcPr>
            <w:tcW w:w="851" w:type="dxa"/>
            <w:tcBorders>
              <w:top w:val="nil"/>
              <w:left w:val="nil"/>
              <w:bottom w:val="single" w:color="auto" w:sz="4" w:space="0"/>
              <w:right w:val="single" w:color="auto" w:sz="4" w:space="0"/>
            </w:tcBorders>
            <w:vAlign w:val="center"/>
          </w:tcPr>
          <w:p w14:paraId="156A338C">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万元</w:t>
            </w:r>
          </w:p>
        </w:tc>
        <w:tc>
          <w:tcPr>
            <w:tcW w:w="1842" w:type="dxa"/>
            <w:tcBorders>
              <w:top w:val="nil"/>
              <w:left w:val="nil"/>
              <w:bottom w:val="single" w:color="auto" w:sz="4" w:space="0"/>
              <w:right w:val="single" w:color="auto" w:sz="4" w:space="0"/>
            </w:tcBorders>
            <w:vAlign w:val="center"/>
          </w:tcPr>
          <w:p w14:paraId="3189C234">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1000≤Y＜10000</w:t>
            </w:r>
          </w:p>
        </w:tc>
        <w:tc>
          <w:tcPr>
            <w:tcW w:w="1701" w:type="dxa"/>
            <w:tcBorders>
              <w:top w:val="nil"/>
              <w:left w:val="nil"/>
              <w:bottom w:val="single" w:color="auto" w:sz="4" w:space="0"/>
              <w:right w:val="single" w:color="auto" w:sz="4" w:space="0"/>
            </w:tcBorders>
            <w:vAlign w:val="center"/>
          </w:tcPr>
          <w:p w14:paraId="2D51EB6D">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50≤Y＜1000</w:t>
            </w:r>
          </w:p>
        </w:tc>
        <w:tc>
          <w:tcPr>
            <w:tcW w:w="1134" w:type="dxa"/>
            <w:tcBorders>
              <w:top w:val="nil"/>
              <w:left w:val="nil"/>
              <w:bottom w:val="single" w:color="auto" w:sz="4" w:space="0"/>
              <w:right w:val="single" w:color="auto" w:sz="4" w:space="0"/>
            </w:tcBorders>
            <w:vAlign w:val="center"/>
          </w:tcPr>
          <w:p w14:paraId="4BD7B232">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Y＜50</w:t>
            </w:r>
          </w:p>
        </w:tc>
      </w:tr>
      <w:tr w14:paraId="2AF8ADE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34FE3560">
            <w:pPr>
              <w:keepNext w:val="0"/>
              <w:keepLines w:val="0"/>
              <w:pageBreakBefore w:val="0"/>
              <w:widowControl/>
              <w:shd w:val="clear" w:color="auto" w:fill="auto"/>
              <w:kinsoku/>
              <w:overflowPunct/>
              <w:bidi w:val="0"/>
              <w:spacing w:line="360" w:lineRule="auto"/>
              <w:jc w:val="center"/>
              <w:rPr>
                <w:rFonts w:hint="eastAsia" w:ascii="宋体" w:hAnsi="宋体" w:eastAsia="宋体" w:cs="宋体"/>
                <w:b/>
                <w:bCs/>
                <w:color w:val="auto"/>
                <w:kern w:val="0"/>
                <w:sz w:val="21"/>
                <w:szCs w:val="21"/>
                <w:highlight w:val="none"/>
                <w:shd w:val="clear" w:color="auto" w:fill="auto"/>
              </w:rPr>
            </w:pPr>
            <w:r>
              <w:rPr>
                <w:rFonts w:hint="eastAsia" w:ascii="宋体" w:hAnsi="宋体" w:eastAsia="宋体" w:cs="宋体"/>
                <w:b/>
                <w:bCs/>
                <w:color w:val="auto"/>
                <w:kern w:val="0"/>
                <w:sz w:val="21"/>
                <w:szCs w:val="21"/>
                <w:highlight w:val="none"/>
                <w:shd w:val="clear" w:color="auto" w:fill="auto"/>
              </w:rPr>
              <w:t>房地产开发经营</w:t>
            </w:r>
          </w:p>
        </w:tc>
        <w:tc>
          <w:tcPr>
            <w:tcW w:w="1984" w:type="dxa"/>
            <w:tcBorders>
              <w:top w:val="nil"/>
              <w:left w:val="nil"/>
              <w:bottom w:val="single" w:color="auto" w:sz="4" w:space="0"/>
              <w:right w:val="single" w:color="auto" w:sz="4" w:space="0"/>
            </w:tcBorders>
            <w:vAlign w:val="center"/>
          </w:tcPr>
          <w:p w14:paraId="646449F7">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营业收入（Y）</w:t>
            </w:r>
          </w:p>
        </w:tc>
        <w:tc>
          <w:tcPr>
            <w:tcW w:w="851" w:type="dxa"/>
            <w:tcBorders>
              <w:top w:val="nil"/>
              <w:left w:val="nil"/>
              <w:bottom w:val="single" w:color="auto" w:sz="4" w:space="0"/>
              <w:right w:val="single" w:color="auto" w:sz="4" w:space="0"/>
            </w:tcBorders>
            <w:vAlign w:val="center"/>
          </w:tcPr>
          <w:p w14:paraId="4511CCB5">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万元</w:t>
            </w:r>
          </w:p>
        </w:tc>
        <w:tc>
          <w:tcPr>
            <w:tcW w:w="1842" w:type="dxa"/>
            <w:tcBorders>
              <w:top w:val="nil"/>
              <w:left w:val="nil"/>
              <w:bottom w:val="single" w:color="auto" w:sz="4" w:space="0"/>
              <w:right w:val="single" w:color="auto" w:sz="4" w:space="0"/>
            </w:tcBorders>
            <w:vAlign w:val="center"/>
          </w:tcPr>
          <w:p w14:paraId="51C628F4">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1000≤Y＜200000</w:t>
            </w:r>
          </w:p>
        </w:tc>
        <w:tc>
          <w:tcPr>
            <w:tcW w:w="1701" w:type="dxa"/>
            <w:tcBorders>
              <w:top w:val="nil"/>
              <w:left w:val="nil"/>
              <w:bottom w:val="single" w:color="auto" w:sz="4" w:space="0"/>
              <w:right w:val="single" w:color="auto" w:sz="4" w:space="0"/>
            </w:tcBorders>
            <w:vAlign w:val="center"/>
          </w:tcPr>
          <w:p w14:paraId="2B62174F">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100≤X＜1000</w:t>
            </w:r>
          </w:p>
        </w:tc>
        <w:tc>
          <w:tcPr>
            <w:tcW w:w="1134" w:type="dxa"/>
            <w:tcBorders>
              <w:top w:val="nil"/>
              <w:left w:val="nil"/>
              <w:bottom w:val="single" w:color="auto" w:sz="4" w:space="0"/>
              <w:right w:val="single" w:color="auto" w:sz="4" w:space="0"/>
            </w:tcBorders>
            <w:vAlign w:val="center"/>
          </w:tcPr>
          <w:p w14:paraId="309B69FD">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X＜100</w:t>
            </w:r>
          </w:p>
        </w:tc>
      </w:tr>
      <w:tr w14:paraId="286980D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5B02B82A">
            <w:pPr>
              <w:keepNext w:val="0"/>
              <w:keepLines w:val="0"/>
              <w:pageBreakBefore w:val="0"/>
              <w:widowControl/>
              <w:shd w:val="clear" w:color="auto" w:fill="auto"/>
              <w:kinsoku/>
              <w:overflowPunct/>
              <w:bidi w:val="0"/>
              <w:spacing w:line="360" w:lineRule="auto"/>
              <w:jc w:val="left"/>
              <w:rPr>
                <w:rFonts w:hint="eastAsia" w:ascii="宋体" w:hAnsi="宋体" w:eastAsia="宋体" w:cs="宋体"/>
                <w:b/>
                <w:bCs/>
                <w:color w:val="auto"/>
                <w:kern w:val="0"/>
                <w:sz w:val="21"/>
                <w:szCs w:val="21"/>
                <w:highlight w:val="none"/>
                <w:shd w:val="clear" w:color="auto" w:fill="auto"/>
              </w:rPr>
            </w:pPr>
          </w:p>
        </w:tc>
        <w:tc>
          <w:tcPr>
            <w:tcW w:w="1984" w:type="dxa"/>
            <w:tcBorders>
              <w:top w:val="nil"/>
              <w:left w:val="nil"/>
              <w:bottom w:val="single" w:color="auto" w:sz="4" w:space="0"/>
              <w:right w:val="single" w:color="auto" w:sz="4" w:space="0"/>
            </w:tcBorders>
            <w:vAlign w:val="center"/>
          </w:tcPr>
          <w:p w14:paraId="6EB4BD66">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资产总额（Z）</w:t>
            </w:r>
          </w:p>
        </w:tc>
        <w:tc>
          <w:tcPr>
            <w:tcW w:w="851" w:type="dxa"/>
            <w:tcBorders>
              <w:top w:val="nil"/>
              <w:left w:val="nil"/>
              <w:bottom w:val="single" w:color="auto" w:sz="4" w:space="0"/>
              <w:right w:val="single" w:color="auto" w:sz="4" w:space="0"/>
            </w:tcBorders>
            <w:vAlign w:val="center"/>
          </w:tcPr>
          <w:p w14:paraId="068BEA26">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万元</w:t>
            </w:r>
          </w:p>
        </w:tc>
        <w:tc>
          <w:tcPr>
            <w:tcW w:w="1842" w:type="dxa"/>
            <w:tcBorders>
              <w:top w:val="nil"/>
              <w:left w:val="nil"/>
              <w:bottom w:val="single" w:color="auto" w:sz="4" w:space="0"/>
              <w:right w:val="single" w:color="auto" w:sz="4" w:space="0"/>
            </w:tcBorders>
            <w:vAlign w:val="center"/>
          </w:tcPr>
          <w:p w14:paraId="19B5AB22">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5000≤Z＜10000</w:t>
            </w:r>
          </w:p>
        </w:tc>
        <w:tc>
          <w:tcPr>
            <w:tcW w:w="1701" w:type="dxa"/>
            <w:tcBorders>
              <w:top w:val="nil"/>
              <w:left w:val="nil"/>
              <w:bottom w:val="single" w:color="auto" w:sz="4" w:space="0"/>
              <w:right w:val="single" w:color="auto" w:sz="4" w:space="0"/>
            </w:tcBorders>
            <w:vAlign w:val="center"/>
          </w:tcPr>
          <w:p w14:paraId="2529814C">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2000≤Y＜5000</w:t>
            </w:r>
          </w:p>
        </w:tc>
        <w:tc>
          <w:tcPr>
            <w:tcW w:w="1134" w:type="dxa"/>
            <w:tcBorders>
              <w:top w:val="nil"/>
              <w:left w:val="nil"/>
              <w:bottom w:val="single" w:color="auto" w:sz="4" w:space="0"/>
              <w:right w:val="single" w:color="auto" w:sz="4" w:space="0"/>
            </w:tcBorders>
            <w:vAlign w:val="center"/>
          </w:tcPr>
          <w:p w14:paraId="0248FF54">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Y＜2000</w:t>
            </w:r>
          </w:p>
        </w:tc>
      </w:tr>
      <w:tr w14:paraId="715A88C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E182D27">
            <w:pPr>
              <w:keepNext w:val="0"/>
              <w:keepLines w:val="0"/>
              <w:pageBreakBefore w:val="0"/>
              <w:widowControl/>
              <w:shd w:val="clear" w:color="auto" w:fill="auto"/>
              <w:kinsoku/>
              <w:overflowPunct/>
              <w:bidi w:val="0"/>
              <w:spacing w:line="360" w:lineRule="auto"/>
              <w:jc w:val="center"/>
              <w:rPr>
                <w:rFonts w:hint="eastAsia" w:ascii="宋体" w:hAnsi="宋体" w:eastAsia="宋体" w:cs="宋体"/>
                <w:b/>
                <w:bCs/>
                <w:color w:val="auto"/>
                <w:kern w:val="0"/>
                <w:sz w:val="21"/>
                <w:szCs w:val="21"/>
                <w:highlight w:val="none"/>
                <w:shd w:val="clear" w:color="auto" w:fill="auto"/>
              </w:rPr>
            </w:pPr>
            <w:r>
              <w:rPr>
                <w:rFonts w:hint="eastAsia" w:ascii="宋体" w:hAnsi="宋体" w:eastAsia="宋体" w:cs="宋体"/>
                <w:b/>
                <w:bCs/>
                <w:color w:val="auto"/>
                <w:kern w:val="0"/>
                <w:sz w:val="21"/>
                <w:szCs w:val="21"/>
                <w:highlight w:val="none"/>
                <w:shd w:val="clear" w:color="auto" w:fill="auto"/>
              </w:rPr>
              <w:t>物业管理</w:t>
            </w:r>
          </w:p>
        </w:tc>
        <w:tc>
          <w:tcPr>
            <w:tcW w:w="1984" w:type="dxa"/>
            <w:tcBorders>
              <w:top w:val="nil"/>
              <w:left w:val="nil"/>
              <w:bottom w:val="single" w:color="auto" w:sz="4" w:space="0"/>
              <w:right w:val="single" w:color="auto" w:sz="4" w:space="0"/>
            </w:tcBorders>
            <w:vAlign w:val="center"/>
          </w:tcPr>
          <w:p w14:paraId="5583241B">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从业人员（X）</w:t>
            </w:r>
          </w:p>
        </w:tc>
        <w:tc>
          <w:tcPr>
            <w:tcW w:w="851" w:type="dxa"/>
            <w:tcBorders>
              <w:top w:val="nil"/>
              <w:left w:val="nil"/>
              <w:bottom w:val="single" w:color="auto" w:sz="4" w:space="0"/>
              <w:right w:val="single" w:color="auto" w:sz="4" w:space="0"/>
            </w:tcBorders>
            <w:vAlign w:val="center"/>
          </w:tcPr>
          <w:p w14:paraId="7B915B9E">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人</w:t>
            </w:r>
          </w:p>
        </w:tc>
        <w:tc>
          <w:tcPr>
            <w:tcW w:w="1842" w:type="dxa"/>
            <w:tcBorders>
              <w:top w:val="nil"/>
              <w:left w:val="nil"/>
              <w:bottom w:val="single" w:color="auto" w:sz="4" w:space="0"/>
              <w:right w:val="single" w:color="auto" w:sz="4" w:space="0"/>
            </w:tcBorders>
            <w:vAlign w:val="center"/>
          </w:tcPr>
          <w:p w14:paraId="26B2E884">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300≤X＜1000</w:t>
            </w:r>
          </w:p>
        </w:tc>
        <w:tc>
          <w:tcPr>
            <w:tcW w:w="1701" w:type="dxa"/>
            <w:tcBorders>
              <w:top w:val="nil"/>
              <w:left w:val="nil"/>
              <w:bottom w:val="single" w:color="auto" w:sz="4" w:space="0"/>
              <w:right w:val="single" w:color="auto" w:sz="4" w:space="0"/>
            </w:tcBorders>
            <w:vAlign w:val="center"/>
          </w:tcPr>
          <w:p w14:paraId="477C4129">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100≤X＜300</w:t>
            </w:r>
          </w:p>
        </w:tc>
        <w:tc>
          <w:tcPr>
            <w:tcW w:w="1134" w:type="dxa"/>
            <w:tcBorders>
              <w:top w:val="nil"/>
              <w:left w:val="nil"/>
              <w:bottom w:val="single" w:color="auto" w:sz="4" w:space="0"/>
              <w:right w:val="single" w:color="auto" w:sz="4" w:space="0"/>
            </w:tcBorders>
            <w:vAlign w:val="center"/>
          </w:tcPr>
          <w:p w14:paraId="7227D644">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X＜100</w:t>
            </w:r>
          </w:p>
        </w:tc>
      </w:tr>
      <w:tr w14:paraId="6414083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4780E322">
            <w:pPr>
              <w:keepNext w:val="0"/>
              <w:keepLines w:val="0"/>
              <w:pageBreakBefore w:val="0"/>
              <w:widowControl/>
              <w:shd w:val="clear" w:color="auto" w:fill="auto"/>
              <w:kinsoku/>
              <w:overflowPunct/>
              <w:bidi w:val="0"/>
              <w:spacing w:line="360" w:lineRule="auto"/>
              <w:jc w:val="left"/>
              <w:rPr>
                <w:rFonts w:hint="eastAsia" w:ascii="宋体" w:hAnsi="宋体" w:eastAsia="宋体" w:cs="宋体"/>
                <w:b/>
                <w:bCs/>
                <w:color w:val="auto"/>
                <w:kern w:val="0"/>
                <w:sz w:val="21"/>
                <w:szCs w:val="21"/>
                <w:highlight w:val="none"/>
                <w:shd w:val="clear" w:color="auto" w:fill="auto"/>
              </w:rPr>
            </w:pPr>
          </w:p>
        </w:tc>
        <w:tc>
          <w:tcPr>
            <w:tcW w:w="1984" w:type="dxa"/>
            <w:tcBorders>
              <w:top w:val="nil"/>
              <w:left w:val="nil"/>
              <w:bottom w:val="single" w:color="auto" w:sz="4" w:space="0"/>
              <w:right w:val="single" w:color="auto" w:sz="4" w:space="0"/>
            </w:tcBorders>
            <w:vAlign w:val="center"/>
          </w:tcPr>
          <w:p w14:paraId="70D31D7F">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营业收入（Y）</w:t>
            </w:r>
          </w:p>
        </w:tc>
        <w:tc>
          <w:tcPr>
            <w:tcW w:w="851" w:type="dxa"/>
            <w:tcBorders>
              <w:top w:val="nil"/>
              <w:left w:val="nil"/>
              <w:bottom w:val="single" w:color="auto" w:sz="4" w:space="0"/>
              <w:right w:val="single" w:color="auto" w:sz="4" w:space="0"/>
            </w:tcBorders>
            <w:vAlign w:val="center"/>
          </w:tcPr>
          <w:p w14:paraId="332F32CE">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万元</w:t>
            </w:r>
          </w:p>
        </w:tc>
        <w:tc>
          <w:tcPr>
            <w:tcW w:w="1842" w:type="dxa"/>
            <w:tcBorders>
              <w:top w:val="nil"/>
              <w:left w:val="nil"/>
              <w:bottom w:val="single" w:color="auto" w:sz="4" w:space="0"/>
              <w:right w:val="single" w:color="auto" w:sz="4" w:space="0"/>
            </w:tcBorders>
            <w:vAlign w:val="center"/>
          </w:tcPr>
          <w:p w14:paraId="0598CB1A">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1000≤Y＜5000</w:t>
            </w:r>
          </w:p>
        </w:tc>
        <w:tc>
          <w:tcPr>
            <w:tcW w:w="1701" w:type="dxa"/>
            <w:tcBorders>
              <w:top w:val="nil"/>
              <w:left w:val="nil"/>
              <w:bottom w:val="single" w:color="auto" w:sz="4" w:space="0"/>
              <w:right w:val="single" w:color="auto" w:sz="4" w:space="0"/>
            </w:tcBorders>
            <w:vAlign w:val="center"/>
          </w:tcPr>
          <w:p w14:paraId="0B8F01D6">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500≤Y＜1000</w:t>
            </w:r>
          </w:p>
        </w:tc>
        <w:tc>
          <w:tcPr>
            <w:tcW w:w="1134" w:type="dxa"/>
            <w:tcBorders>
              <w:top w:val="nil"/>
              <w:left w:val="nil"/>
              <w:bottom w:val="single" w:color="auto" w:sz="4" w:space="0"/>
              <w:right w:val="single" w:color="auto" w:sz="4" w:space="0"/>
            </w:tcBorders>
            <w:vAlign w:val="center"/>
          </w:tcPr>
          <w:p w14:paraId="743E942F">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Y＜500</w:t>
            </w:r>
          </w:p>
        </w:tc>
      </w:tr>
      <w:tr w14:paraId="0DC8DBC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7DE212A">
            <w:pPr>
              <w:keepNext w:val="0"/>
              <w:keepLines w:val="0"/>
              <w:pageBreakBefore w:val="0"/>
              <w:widowControl/>
              <w:shd w:val="clear" w:color="auto" w:fill="auto"/>
              <w:kinsoku/>
              <w:overflowPunct/>
              <w:bidi w:val="0"/>
              <w:spacing w:line="360" w:lineRule="auto"/>
              <w:jc w:val="center"/>
              <w:rPr>
                <w:rFonts w:hint="eastAsia" w:ascii="宋体" w:hAnsi="宋体" w:eastAsia="宋体" w:cs="宋体"/>
                <w:b/>
                <w:bCs/>
                <w:color w:val="auto"/>
                <w:kern w:val="0"/>
                <w:sz w:val="21"/>
                <w:szCs w:val="21"/>
                <w:highlight w:val="none"/>
                <w:shd w:val="clear" w:color="auto" w:fill="auto"/>
              </w:rPr>
            </w:pPr>
            <w:r>
              <w:rPr>
                <w:rFonts w:hint="eastAsia" w:ascii="宋体" w:hAnsi="宋体" w:eastAsia="宋体" w:cs="宋体"/>
                <w:b/>
                <w:bCs/>
                <w:color w:val="auto"/>
                <w:kern w:val="0"/>
                <w:sz w:val="21"/>
                <w:szCs w:val="21"/>
                <w:highlight w:val="none"/>
                <w:shd w:val="clear" w:color="auto" w:fill="auto"/>
              </w:rPr>
              <w:t>租赁和商务服务业</w:t>
            </w:r>
          </w:p>
        </w:tc>
        <w:tc>
          <w:tcPr>
            <w:tcW w:w="1984" w:type="dxa"/>
            <w:tcBorders>
              <w:top w:val="nil"/>
              <w:left w:val="nil"/>
              <w:bottom w:val="single" w:color="auto" w:sz="4" w:space="0"/>
              <w:right w:val="single" w:color="auto" w:sz="4" w:space="0"/>
            </w:tcBorders>
            <w:vAlign w:val="center"/>
          </w:tcPr>
          <w:p w14:paraId="5DE78259">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从业人员（X）</w:t>
            </w:r>
          </w:p>
        </w:tc>
        <w:tc>
          <w:tcPr>
            <w:tcW w:w="851" w:type="dxa"/>
            <w:tcBorders>
              <w:top w:val="nil"/>
              <w:left w:val="nil"/>
              <w:bottom w:val="single" w:color="auto" w:sz="4" w:space="0"/>
              <w:right w:val="single" w:color="auto" w:sz="4" w:space="0"/>
            </w:tcBorders>
            <w:vAlign w:val="center"/>
          </w:tcPr>
          <w:p w14:paraId="4BFF5602">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人</w:t>
            </w:r>
          </w:p>
        </w:tc>
        <w:tc>
          <w:tcPr>
            <w:tcW w:w="1842" w:type="dxa"/>
            <w:tcBorders>
              <w:top w:val="nil"/>
              <w:left w:val="nil"/>
              <w:bottom w:val="single" w:color="auto" w:sz="4" w:space="0"/>
              <w:right w:val="single" w:color="auto" w:sz="4" w:space="0"/>
            </w:tcBorders>
            <w:vAlign w:val="center"/>
          </w:tcPr>
          <w:p w14:paraId="53E3CCA7">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100≤X＜300</w:t>
            </w:r>
          </w:p>
        </w:tc>
        <w:tc>
          <w:tcPr>
            <w:tcW w:w="1701" w:type="dxa"/>
            <w:tcBorders>
              <w:top w:val="nil"/>
              <w:left w:val="nil"/>
              <w:bottom w:val="single" w:color="auto" w:sz="4" w:space="0"/>
              <w:right w:val="single" w:color="auto" w:sz="4" w:space="0"/>
            </w:tcBorders>
            <w:vAlign w:val="center"/>
          </w:tcPr>
          <w:p w14:paraId="4D53FE0D">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10≤X＜100</w:t>
            </w:r>
          </w:p>
        </w:tc>
        <w:tc>
          <w:tcPr>
            <w:tcW w:w="1134" w:type="dxa"/>
            <w:tcBorders>
              <w:top w:val="nil"/>
              <w:left w:val="nil"/>
              <w:bottom w:val="single" w:color="auto" w:sz="4" w:space="0"/>
              <w:right w:val="single" w:color="auto" w:sz="4" w:space="0"/>
            </w:tcBorders>
            <w:vAlign w:val="center"/>
          </w:tcPr>
          <w:p w14:paraId="3AC7039A">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X＜10</w:t>
            </w:r>
          </w:p>
        </w:tc>
      </w:tr>
      <w:tr w14:paraId="4C7F018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1337FBB">
            <w:pPr>
              <w:keepNext w:val="0"/>
              <w:keepLines w:val="0"/>
              <w:pageBreakBefore w:val="0"/>
              <w:widowControl/>
              <w:shd w:val="clear" w:color="auto" w:fill="auto"/>
              <w:kinsoku/>
              <w:overflowPunct/>
              <w:bidi w:val="0"/>
              <w:spacing w:line="360" w:lineRule="auto"/>
              <w:jc w:val="left"/>
              <w:rPr>
                <w:rFonts w:hint="eastAsia" w:ascii="宋体" w:hAnsi="宋体" w:eastAsia="宋体" w:cs="宋体"/>
                <w:b/>
                <w:bCs/>
                <w:color w:val="auto"/>
                <w:kern w:val="0"/>
                <w:sz w:val="21"/>
                <w:szCs w:val="21"/>
                <w:highlight w:val="none"/>
                <w:shd w:val="clear" w:color="auto" w:fill="auto"/>
              </w:rPr>
            </w:pPr>
          </w:p>
        </w:tc>
        <w:tc>
          <w:tcPr>
            <w:tcW w:w="1984" w:type="dxa"/>
            <w:tcBorders>
              <w:top w:val="nil"/>
              <w:left w:val="nil"/>
              <w:bottom w:val="single" w:color="auto" w:sz="4" w:space="0"/>
              <w:right w:val="single" w:color="auto" w:sz="4" w:space="0"/>
            </w:tcBorders>
            <w:vAlign w:val="center"/>
          </w:tcPr>
          <w:p w14:paraId="59994E89">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资产总额（Z）</w:t>
            </w:r>
          </w:p>
        </w:tc>
        <w:tc>
          <w:tcPr>
            <w:tcW w:w="851" w:type="dxa"/>
            <w:tcBorders>
              <w:top w:val="nil"/>
              <w:left w:val="nil"/>
              <w:bottom w:val="single" w:color="auto" w:sz="4" w:space="0"/>
              <w:right w:val="single" w:color="auto" w:sz="4" w:space="0"/>
            </w:tcBorders>
            <w:vAlign w:val="center"/>
          </w:tcPr>
          <w:p w14:paraId="14CFCD30">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万元</w:t>
            </w:r>
          </w:p>
        </w:tc>
        <w:tc>
          <w:tcPr>
            <w:tcW w:w="1842" w:type="dxa"/>
            <w:tcBorders>
              <w:top w:val="nil"/>
              <w:left w:val="nil"/>
              <w:bottom w:val="single" w:color="auto" w:sz="4" w:space="0"/>
              <w:right w:val="single" w:color="auto" w:sz="4" w:space="0"/>
            </w:tcBorders>
            <w:vAlign w:val="center"/>
          </w:tcPr>
          <w:p w14:paraId="01F1B463">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8000≤Z＜120000</w:t>
            </w:r>
          </w:p>
        </w:tc>
        <w:tc>
          <w:tcPr>
            <w:tcW w:w="1701" w:type="dxa"/>
            <w:tcBorders>
              <w:top w:val="nil"/>
              <w:left w:val="nil"/>
              <w:bottom w:val="single" w:color="auto" w:sz="4" w:space="0"/>
              <w:right w:val="single" w:color="auto" w:sz="4" w:space="0"/>
            </w:tcBorders>
            <w:vAlign w:val="center"/>
          </w:tcPr>
          <w:p w14:paraId="3B2BAD44">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100≤Z＜8000</w:t>
            </w:r>
          </w:p>
        </w:tc>
        <w:tc>
          <w:tcPr>
            <w:tcW w:w="1134" w:type="dxa"/>
            <w:tcBorders>
              <w:top w:val="nil"/>
              <w:left w:val="nil"/>
              <w:bottom w:val="single" w:color="auto" w:sz="4" w:space="0"/>
              <w:right w:val="single" w:color="auto" w:sz="4" w:space="0"/>
            </w:tcBorders>
            <w:vAlign w:val="center"/>
          </w:tcPr>
          <w:p w14:paraId="412FE3AA">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Y＜100</w:t>
            </w:r>
          </w:p>
        </w:tc>
      </w:tr>
      <w:tr w14:paraId="0D7AAFDA">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20B5E2A3">
            <w:pPr>
              <w:keepNext w:val="0"/>
              <w:keepLines w:val="0"/>
              <w:pageBreakBefore w:val="0"/>
              <w:widowControl/>
              <w:shd w:val="clear" w:color="auto" w:fill="auto"/>
              <w:kinsoku/>
              <w:overflowPunct/>
              <w:bidi w:val="0"/>
              <w:spacing w:line="360" w:lineRule="auto"/>
              <w:jc w:val="center"/>
              <w:rPr>
                <w:rFonts w:hint="eastAsia" w:ascii="宋体" w:hAnsi="宋体" w:eastAsia="宋体" w:cs="宋体"/>
                <w:b/>
                <w:bCs/>
                <w:color w:val="auto"/>
                <w:kern w:val="0"/>
                <w:sz w:val="21"/>
                <w:szCs w:val="21"/>
                <w:highlight w:val="none"/>
                <w:shd w:val="clear" w:color="auto" w:fill="auto"/>
              </w:rPr>
            </w:pPr>
            <w:r>
              <w:rPr>
                <w:rFonts w:hint="eastAsia" w:ascii="宋体" w:hAnsi="宋体" w:eastAsia="宋体" w:cs="宋体"/>
                <w:b/>
                <w:bCs/>
                <w:color w:val="auto"/>
                <w:kern w:val="0"/>
                <w:sz w:val="21"/>
                <w:szCs w:val="21"/>
                <w:highlight w:val="none"/>
                <w:shd w:val="clear" w:color="auto" w:fill="auto"/>
              </w:rPr>
              <w:t>其他未列明行业</w:t>
            </w:r>
          </w:p>
        </w:tc>
        <w:tc>
          <w:tcPr>
            <w:tcW w:w="1984" w:type="dxa"/>
            <w:tcBorders>
              <w:top w:val="nil"/>
              <w:left w:val="nil"/>
              <w:bottom w:val="single" w:color="auto" w:sz="4" w:space="0"/>
              <w:right w:val="single" w:color="auto" w:sz="4" w:space="0"/>
            </w:tcBorders>
            <w:vAlign w:val="center"/>
          </w:tcPr>
          <w:p w14:paraId="6F5AD74F">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从业人员（X）</w:t>
            </w:r>
          </w:p>
        </w:tc>
        <w:tc>
          <w:tcPr>
            <w:tcW w:w="851" w:type="dxa"/>
            <w:tcBorders>
              <w:top w:val="nil"/>
              <w:left w:val="nil"/>
              <w:bottom w:val="single" w:color="auto" w:sz="4" w:space="0"/>
              <w:right w:val="single" w:color="auto" w:sz="4" w:space="0"/>
            </w:tcBorders>
            <w:vAlign w:val="center"/>
          </w:tcPr>
          <w:p w14:paraId="3DFEC49C">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人</w:t>
            </w:r>
          </w:p>
        </w:tc>
        <w:tc>
          <w:tcPr>
            <w:tcW w:w="1842" w:type="dxa"/>
            <w:tcBorders>
              <w:top w:val="nil"/>
              <w:left w:val="nil"/>
              <w:bottom w:val="single" w:color="auto" w:sz="4" w:space="0"/>
              <w:right w:val="single" w:color="auto" w:sz="4" w:space="0"/>
            </w:tcBorders>
            <w:vAlign w:val="center"/>
          </w:tcPr>
          <w:p w14:paraId="7EF67136">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100≤X＜300</w:t>
            </w:r>
          </w:p>
        </w:tc>
        <w:tc>
          <w:tcPr>
            <w:tcW w:w="1701" w:type="dxa"/>
            <w:tcBorders>
              <w:top w:val="nil"/>
              <w:left w:val="nil"/>
              <w:bottom w:val="single" w:color="auto" w:sz="4" w:space="0"/>
              <w:right w:val="single" w:color="auto" w:sz="4" w:space="0"/>
            </w:tcBorders>
            <w:vAlign w:val="center"/>
          </w:tcPr>
          <w:p w14:paraId="7BE2CF6B">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10≤X＜100</w:t>
            </w:r>
          </w:p>
        </w:tc>
        <w:tc>
          <w:tcPr>
            <w:tcW w:w="1134" w:type="dxa"/>
            <w:tcBorders>
              <w:top w:val="nil"/>
              <w:left w:val="nil"/>
              <w:bottom w:val="single" w:color="auto" w:sz="4" w:space="0"/>
              <w:right w:val="single" w:color="auto" w:sz="4" w:space="0"/>
            </w:tcBorders>
            <w:vAlign w:val="center"/>
          </w:tcPr>
          <w:p w14:paraId="43DD8706">
            <w:pPr>
              <w:keepNext w:val="0"/>
              <w:keepLines w:val="0"/>
              <w:pageBreakBefore w:val="0"/>
              <w:widowControl/>
              <w:shd w:val="clear" w:color="auto" w:fill="auto"/>
              <w:kinsoku/>
              <w:overflowPunct/>
              <w:bidi w:val="0"/>
              <w:spacing w:line="360" w:lineRule="auto"/>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X＜10</w:t>
            </w:r>
          </w:p>
        </w:tc>
      </w:tr>
    </w:tbl>
    <w:p w14:paraId="228A8E6F">
      <w:pPr>
        <w:keepNext w:val="0"/>
        <w:keepLines w:val="0"/>
        <w:pageBreakBefore w:val="0"/>
        <w:shd w:val="clear" w:color="auto" w:fill="auto"/>
        <w:kinsoku/>
        <w:overflowPunct/>
        <w:bidi w:val="0"/>
        <w:spacing w:line="360" w:lineRule="auto"/>
        <w:ind w:firstLine="525" w:firstLineChars="250"/>
        <w:rPr>
          <w:rFonts w:hint="eastAsia" w:ascii="宋体" w:hAnsi="宋体" w:eastAsia="宋体" w:cs="宋体"/>
          <w:color w:val="auto"/>
          <w:highlight w:val="none"/>
          <w:shd w:val="clear" w:color="auto" w:fill="auto"/>
          <w:lang w:val="en-US" w:eastAsia="zh-CN"/>
        </w:rPr>
        <w:sectPr>
          <w:footerReference r:id="rId9" w:type="default"/>
          <w:pgSz w:w="11906" w:h="16838"/>
          <w:pgMar w:top="1134" w:right="1134" w:bottom="1134" w:left="1134" w:header="720" w:footer="720" w:gutter="0"/>
          <w:pgNumType w:fmt="decimal" w:start="1"/>
          <w:cols w:space="720" w:num="1"/>
          <w:docGrid w:type="lines" w:linePitch="331" w:charSpace="0"/>
        </w:sectPr>
      </w:pPr>
      <w:r>
        <w:rPr>
          <w:rFonts w:hint="eastAsia" w:ascii="宋体" w:hAnsi="宋体" w:eastAsia="宋体" w:cs="宋体"/>
          <w:color w:val="auto"/>
          <w:szCs w:val="21"/>
          <w:highlight w:val="none"/>
          <w:shd w:val="clear" w:color="auto" w:fill="auto"/>
        </w:rPr>
        <w:t>说明：上述标准参照《关于印发中小企业划型标准规定的通知》（工信部联企业[2011]300号），大型、中型和小型企业须同时满足所列指标的下限，否则下划一档；微型企业</w:t>
      </w:r>
      <w:r>
        <w:rPr>
          <w:rFonts w:hint="eastAsia" w:ascii="宋体" w:hAnsi="宋体" w:cs="宋体"/>
          <w:color w:val="auto"/>
          <w:szCs w:val="21"/>
          <w:highlight w:val="none"/>
          <w:shd w:val="clear" w:color="auto" w:fill="auto"/>
          <w:lang w:eastAsia="zh-CN"/>
        </w:rPr>
        <w:t>只需</w:t>
      </w:r>
      <w:r>
        <w:rPr>
          <w:rFonts w:hint="eastAsia" w:ascii="宋体" w:hAnsi="宋体" w:eastAsia="宋体" w:cs="宋体"/>
          <w:color w:val="auto"/>
          <w:szCs w:val="21"/>
          <w:highlight w:val="none"/>
          <w:shd w:val="clear" w:color="auto" w:fill="auto"/>
        </w:rPr>
        <w:t>满足所列指标中的一项即</w:t>
      </w:r>
      <w:r>
        <w:rPr>
          <w:rFonts w:hint="eastAsia" w:ascii="宋体" w:hAnsi="宋体" w:eastAsia="宋体" w:cs="宋体"/>
          <w:color w:val="auto"/>
          <w:szCs w:val="21"/>
          <w:highlight w:val="none"/>
          <w:shd w:val="clear" w:color="auto" w:fill="auto"/>
          <w:lang w:val="en-US" w:eastAsia="zh-CN"/>
        </w:rPr>
        <w:t>可。</w:t>
      </w:r>
    </w:p>
    <w:p w14:paraId="223FD97C">
      <w:pPr>
        <w:pStyle w:val="13"/>
        <w:keepNext w:val="0"/>
        <w:keepLines w:val="0"/>
        <w:pageBreakBefore w:val="0"/>
        <w:kinsoku/>
        <w:overflowPunct/>
        <w:bidi w:val="0"/>
        <w:spacing w:line="360" w:lineRule="auto"/>
        <w:ind w:left="0" w:leftChars="0" w:firstLine="0" w:firstLineChars="0"/>
        <w:jc w:val="center"/>
        <w:outlineLvl w:val="0"/>
        <w:rPr>
          <w:rFonts w:ascii="宋体" w:hAnsi="宋体" w:cs="宋体"/>
          <w:b/>
          <w:bCs/>
          <w:color w:val="auto"/>
          <w:sz w:val="32"/>
          <w:szCs w:val="32"/>
        </w:rPr>
      </w:pPr>
      <w:bookmarkStart w:id="33" w:name="_八、其他事项"/>
      <w:bookmarkEnd w:id="33"/>
      <w:bookmarkStart w:id="34" w:name="_Toc8796"/>
      <w:bookmarkStart w:id="35" w:name="_Toc11952"/>
      <w:bookmarkStart w:id="36" w:name="_Toc29918"/>
      <w:bookmarkStart w:id="37" w:name="_Toc22631"/>
      <w:r>
        <w:rPr>
          <w:rFonts w:hint="eastAsia" w:ascii="宋体" w:hAnsi="宋体" w:cs="宋体"/>
          <w:b/>
          <w:bCs/>
          <w:color w:val="auto"/>
          <w:sz w:val="32"/>
          <w:szCs w:val="32"/>
        </w:rPr>
        <w:t>第</w:t>
      </w:r>
      <w:r>
        <w:rPr>
          <w:rFonts w:hint="eastAsia" w:ascii="宋体" w:hAnsi="宋体" w:cs="宋体"/>
          <w:b/>
          <w:bCs/>
          <w:color w:val="auto"/>
          <w:sz w:val="32"/>
          <w:szCs w:val="32"/>
          <w:lang w:val="en-US" w:eastAsia="zh-CN"/>
        </w:rPr>
        <w:t>三</w:t>
      </w:r>
      <w:r>
        <w:rPr>
          <w:rFonts w:hint="eastAsia" w:ascii="宋体" w:hAnsi="宋体" w:cs="宋体"/>
          <w:b/>
          <w:bCs/>
          <w:color w:val="auto"/>
          <w:sz w:val="32"/>
          <w:szCs w:val="32"/>
        </w:rPr>
        <w:t>章  投标人须知</w:t>
      </w:r>
      <w:bookmarkEnd w:id="34"/>
    </w:p>
    <w:tbl>
      <w:tblPr>
        <w:tblStyle w:val="25"/>
        <w:tblW w:w="962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17"/>
        <w:gridCol w:w="8409"/>
      </w:tblGrid>
      <w:tr w14:paraId="0239E0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17" w:type="dxa"/>
            <w:tcBorders>
              <w:top w:val="single" w:color="auto" w:sz="4" w:space="0"/>
              <w:left w:val="single" w:color="auto" w:sz="4" w:space="0"/>
              <w:bottom w:val="single" w:color="auto" w:sz="4" w:space="0"/>
              <w:right w:val="single" w:color="auto" w:sz="4" w:space="0"/>
            </w:tcBorders>
            <w:vAlign w:val="center"/>
          </w:tcPr>
          <w:p w14:paraId="13053DE0">
            <w:pPr>
              <w:keepNext w:val="0"/>
              <w:keepLines w:val="0"/>
              <w:pageBreakBefore w:val="0"/>
              <w:shd w:val="clear" w:color="auto" w:fill="auto"/>
              <w:kinsoku/>
              <w:overflowPunct/>
              <w:bidi w:val="0"/>
              <w:snapToGrid w:val="0"/>
              <w:spacing w:line="360" w:lineRule="auto"/>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条款号</w:t>
            </w:r>
          </w:p>
        </w:tc>
        <w:tc>
          <w:tcPr>
            <w:tcW w:w="8409" w:type="dxa"/>
            <w:tcBorders>
              <w:top w:val="single" w:color="auto" w:sz="4" w:space="0"/>
              <w:left w:val="single" w:color="auto" w:sz="4" w:space="0"/>
              <w:bottom w:val="single" w:color="auto" w:sz="4" w:space="0"/>
              <w:right w:val="single" w:color="auto" w:sz="4" w:space="0"/>
            </w:tcBorders>
            <w:vAlign w:val="center"/>
          </w:tcPr>
          <w:p w14:paraId="0E4682A1">
            <w:pPr>
              <w:keepNext w:val="0"/>
              <w:keepLines w:val="0"/>
              <w:pageBreakBefore w:val="0"/>
              <w:shd w:val="clear" w:color="auto" w:fill="auto"/>
              <w:kinsoku/>
              <w:overflowPunct/>
              <w:bidi w:val="0"/>
              <w:snapToGrid w:val="0"/>
              <w:spacing w:line="360" w:lineRule="auto"/>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编列内容</w:t>
            </w:r>
          </w:p>
        </w:tc>
      </w:tr>
      <w:tr w14:paraId="0301C2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17" w:type="dxa"/>
            <w:tcBorders>
              <w:top w:val="single" w:color="auto" w:sz="4" w:space="0"/>
              <w:left w:val="single" w:color="auto" w:sz="4" w:space="0"/>
              <w:bottom w:val="single" w:color="auto" w:sz="4" w:space="0"/>
              <w:right w:val="single" w:color="auto" w:sz="4" w:space="0"/>
            </w:tcBorders>
            <w:vAlign w:val="center"/>
          </w:tcPr>
          <w:p w14:paraId="3CFF853B">
            <w:pPr>
              <w:keepNext w:val="0"/>
              <w:keepLines w:val="0"/>
              <w:pageBreakBefore w:val="0"/>
              <w:shd w:val="clear" w:color="auto" w:fill="auto"/>
              <w:kinsoku/>
              <w:overflowPunct/>
              <w:bidi w:val="0"/>
              <w:spacing w:line="360" w:lineRule="auto"/>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3</w:t>
            </w:r>
          </w:p>
        </w:tc>
        <w:tc>
          <w:tcPr>
            <w:tcW w:w="8409" w:type="dxa"/>
            <w:tcBorders>
              <w:top w:val="single" w:color="auto" w:sz="4" w:space="0"/>
              <w:left w:val="single" w:color="auto" w:sz="4" w:space="0"/>
              <w:bottom w:val="single" w:color="auto" w:sz="4" w:space="0"/>
              <w:right w:val="single" w:color="auto" w:sz="4" w:space="0"/>
            </w:tcBorders>
            <w:vAlign w:val="center"/>
          </w:tcPr>
          <w:p w14:paraId="3B89BD67">
            <w:pPr>
              <w:keepNext w:val="0"/>
              <w:keepLines w:val="0"/>
              <w:pageBreakBefore w:val="0"/>
              <w:shd w:val="clear" w:color="auto" w:fill="auto"/>
              <w:kinsoku/>
              <w:overflowPunct/>
              <w:bidi w:val="0"/>
              <w:snapToGrid w:val="0"/>
              <w:spacing w:line="360" w:lineRule="auto"/>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1.投标人的资格要求详见招标公告。</w:t>
            </w:r>
          </w:p>
          <w:p w14:paraId="5E33FEB2">
            <w:pPr>
              <w:keepNext w:val="0"/>
              <w:keepLines w:val="0"/>
              <w:pageBreakBefore w:val="0"/>
              <w:shd w:val="clear" w:color="auto" w:fill="auto"/>
              <w:kinsoku/>
              <w:overflowPunct/>
              <w:bidi w:val="0"/>
              <w:snapToGrid w:val="0"/>
              <w:spacing w:line="360" w:lineRule="auto"/>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2.投标人出现下列情形之一的，不得参加政府采购活动：</w:t>
            </w:r>
          </w:p>
          <w:p w14:paraId="6D38B282">
            <w:pPr>
              <w:keepNext w:val="0"/>
              <w:keepLines w:val="0"/>
              <w:pageBreakBefore w:val="0"/>
              <w:shd w:val="clear" w:color="auto" w:fill="auto"/>
              <w:kinsoku/>
              <w:overflowPunct/>
              <w:bidi w:val="0"/>
              <w:snapToGrid w:val="0"/>
              <w:spacing w:line="360" w:lineRule="auto"/>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2F3DF7F">
            <w:pPr>
              <w:keepNext w:val="0"/>
              <w:keepLines w:val="0"/>
              <w:pageBreakBefore w:val="0"/>
              <w:shd w:val="clear" w:color="auto" w:fill="auto"/>
              <w:kinsoku/>
              <w:overflowPunct/>
              <w:bidi w:val="0"/>
              <w:snapToGrid w:val="0"/>
              <w:spacing w:line="360" w:lineRule="auto"/>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2.2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tc>
      </w:tr>
      <w:tr w14:paraId="33DCFA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17" w:type="dxa"/>
            <w:tcBorders>
              <w:top w:val="single" w:color="auto" w:sz="4" w:space="0"/>
              <w:left w:val="single" w:color="auto" w:sz="4" w:space="0"/>
              <w:bottom w:val="single" w:color="auto" w:sz="4" w:space="0"/>
              <w:right w:val="single" w:color="auto" w:sz="4" w:space="0"/>
            </w:tcBorders>
            <w:vAlign w:val="center"/>
          </w:tcPr>
          <w:p w14:paraId="24E77F1E">
            <w:pPr>
              <w:keepNext w:val="0"/>
              <w:keepLines w:val="0"/>
              <w:pageBreakBefore w:val="0"/>
              <w:shd w:val="clear" w:color="auto" w:fill="auto"/>
              <w:kinsoku/>
              <w:overflowPunct/>
              <w:bidi w:val="0"/>
              <w:spacing w:line="360" w:lineRule="auto"/>
              <w:jc w:val="center"/>
              <w:rPr>
                <w:rFonts w:hint="eastAsia" w:ascii="宋体" w:hAnsi="宋体" w:eastAsia="宋体" w:cs="宋体"/>
                <w:color w:val="auto"/>
                <w:szCs w:val="21"/>
                <w:highlight w:val="none"/>
                <w:shd w:val="clear" w:color="auto" w:fill="auto"/>
              </w:rPr>
            </w:pPr>
            <w:bookmarkStart w:id="38" w:name="_8.1"/>
            <w:bookmarkEnd w:id="38"/>
            <w:bookmarkStart w:id="39" w:name="_5"/>
            <w:bookmarkEnd w:id="39"/>
            <w:bookmarkStart w:id="40" w:name="_9.2"/>
            <w:bookmarkEnd w:id="40"/>
            <w:r>
              <w:rPr>
                <w:rFonts w:hint="eastAsia" w:ascii="宋体" w:hAnsi="宋体" w:eastAsia="宋体" w:cs="宋体"/>
                <w:color w:val="auto"/>
                <w:szCs w:val="21"/>
                <w:highlight w:val="none"/>
                <w:shd w:val="clear" w:color="auto" w:fill="auto"/>
              </w:rPr>
              <w:t>6.1</w:t>
            </w:r>
          </w:p>
        </w:tc>
        <w:tc>
          <w:tcPr>
            <w:tcW w:w="8409" w:type="dxa"/>
            <w:tcBorders>
              <w:top w:val="single" w:color="auto" w:sz="4" w:space="0"/>
              <w:left w:val="single" w:color="auto" w:sz="4" w:space="0"/>
              <w:bottom w:val="single" w:color="auto" w:sz="4" w:space="0"/>
              <w:right w:val="single" w:color="auto" w:sz="4" w:space="0"/>
            </w:tcBorders>
            <w:vAlign w:val="center"/>
          </w:tcPr>
          <w:p w14:paraId="2ACE1708">
            <w:pPr>
              <w:pStyle w:val="10"/>
              <w:keepNext w:val="0"/>
              <w:keepLines w:val="0"/>
              <w:pageBreakBefore w:val="0"/>
              <w:shd w:val="clear" w:color="auto" w:fill="auto"/>
              <w:kinsoku/>
              <w:overflowPunct/>
              <w:bidi w:val="0"/>
              <w:spacing w:line="360" w:lineRule="auto"/>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本项目是否接受联合体投标：详见招标公告。</w:t>
            </w:r>
          </w:p>
        </w:tc>
      </w:tr>
      <w:tr w14:paraId="68C827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1" w:hRule="atLeast"/>
        </w:trPr>
        <w:tc>
          <w:tcPr>
            <w:tcW w:w="1217" w:type="dxa"/>
            <w:tcBorders>
              <w:top w:val="single" w:color="auto" w:sz="4" w:space="0"/>
              <w:left w:val="single" w:color="auto" w:sz="4" w:space="0"/>
              <w:bottom w:val="single" w:color="auto" w:sz="4" w:space="0"/>
              <w:right w:val="single" w:color="auto" w:sz="4" w:space="0"/>
            </w:tcBorders>
            <w:vAlign w:val="center"/>
          </w:tcPr>
          <w:p w14:paraId="0DD33B39">
            <w:pPr>
              <w:keepNext w:val="0"/>
              <w:keepLines w:val="0"/>
              <w:pageBreakBefore w:val="0"/>
              <w:shd w:val="clear" w:color="auto" w:fill="auto"/>
              <w:kinsoku/>
              <w:overflowPunct/>
              <w:bidi w:val="0"/>
              <w:spacing w:line="360" w:lineRule="auto"/>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6.2</w:t>
            </w:r>
          </w:p>
        </w:tc>
        <w:tc>
          <w:tcPr>
            <w:tcW w:w="8409" w:type="dxa"/>
            <w:tcBorders>
              <w:top w:val="single" w:color="auto" w:sz="4" w:space="0"/>
              <w:left w:val="single" w:color="auto" w:sz="4" w:space="0"/>
              <w:bottom w:val="single" w:color="auto" w:sz="4" w:space="0"/>
              <w:right w:val="single" w:color="auto" w:sz="4" w:space="0"/>
            </w:tcBorders>
            <w:vAlign w:val="center"/>
          </w:tcPr>
          <w:p w14:paraId="4B2CBB45">
            <w:pPr>
              <w:pStyle w:val="10"/>
              <w:keepNext w:val="0"/>
              <w:keepLines w:val="0"/>
              <w:pageBreakBefore w:val="0"/>
              <w:shd w:val="clear" w:color="auto" w:fill="auto"/>
              <w:kinsoku/>
              <w:overflowPunct/>
              <w:bidi w:val="0"/>
              <w:spacing w:line="360" w:lineRule="auto"/>
              <w:rPr>
                <w:rFonts w:hint="eastAsia" w:ascii="宋体" w:hAnsi="宋体" w:eastAsia="宋体" w:cs="宋体"/>
                <w:color w:val="auto"/>
                <w:szCs w:val="21"/>
                <w:highlight w:val="none"/>
                <w:shd w:val="clear" w:color="auto" w:fill="auto"/>
                <w:lang w:val="en-US" w:eastAsia="zh-CN"/>
              </w:rPr>
            </w:pPr>
            <w:bookmarkStart w:id="41" w:name="_Hlk54105293"/>
            <w:r>
              <w:rPr>
                <w:rFonts w:hint="eastAsia" w:ascii="宋体" w:hAnsi="宋体" w:eastAsia="宋体" w:cs="宋体"/>
                <w:color w:val="auto"/>
                <w:szCs w:val="21"/>
                <w:highlight w:val="none"/>
                <w:shd w:val="clear" w:color="auto" w:fill="auto"/>
                <w:lang w:val="en-US" w:eastAsia="zh-CN"/>
              </w:rPr>
              <w:t>如接受联合体投标，</w:t>
            </w:r>
            <w:bookmarkEnd w:id="41"/>
            <w:r>
              <w:rPr>
                <w:rFonts w:hint="eastAsia" w:ascii="宋体" w:hAnsi="宋体" w:eastAsia="宋体" w:cs="宋体"/>
                <w:color w:val="auto"/>
                <w:szCs w:val="21"/>
                <w:highlight w:val="none"/>
                <w:shd w:val="clear" w:color="auto" w:fill="auto"/>
                <w:lang w:val="en-US" w:eastAsia="zh-CN"/>
              </w:rPr>
              <w:t>联合体投标要求如下：</w:t>
            </w:r>
          </w:p>
          <w:p w14:paraId="511133AC">
            <w:pPr>
              <w:pStyle w:val="10"/>
              <w:keepNext w:val="0"/>
              <w:keepLines w:val="0"/>
              <w:pageBreakBefore w:val="0"/>
              <w:shd w:val="clear" w:color="auto" w:fill="auto"/>
              <w:kinsoku/>
              <w:overflowPunct/>
              <w:bidi w:val="0"/>
              <w:spacing w:line="360" w:lineRule="auto"/>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1.两个以上投标人可以组成一个投标联合体，以一个投标人的身份共同参加投标。联合体投标的，须提供《联合体投标协议书》（格式后附）。</w:t>
            </w:r>
          </w:p>
          <w:p w14:paraId="258268A9">
            <w:pPr>
              <w:pStyle w:val="10"/>
              <w:keepNext w:val="0"/>
              <w:keepLines w:val="0"/>
              <w:pageBreakBefore w:val="0"/>
              <w:shd w:val="clear" w:color="auto" w:fill="auto"/>
              <w:kinsoku/>
              <w:overflowPunct/>
              <w:bidi w:val="0"/>
              <w:spacing w:line="360" w:lineRule="auto"/>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14:paraId="7F707187">
            <w:pPr>
              <w:pStyle w:val="10"/>
              <w:keepNext w:val="0"/>
              <w:keepLines w:val="0"/>
              <w:pageBreakBefore w:val="0"/>
              <w:shd w:val="clear" w:color="auto" w:fill="auto"/>
              <w:kinsoku/>
              <w:overflowPunct/>
              <w:bidi w:val="0"/>
              <w:spacing w:line="360" w:lineRule="auto"/>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3.联合体各方之间必须签订联合投标协议，协议书必须明确主体方（或者牵头方）并明确约定联合体各方承担的工作和相应的责任（各方承担责任与义务的分工必须符合采购需求，否则，</w:t>
            </w:r>
            <w:r>
              <w:rPr>
                <w:rFonts w:hint="eastAsia" w:ascii="宋体" w:hAnsi="宋体" w:eastAsia="宋体" w:cs="宋体"/>
                <w:b/>
                <w:bCs/>
                <w:color w:val="auto"/>
                <w:szCs w:val="21"/>
                <w:highlight w:val="none"/>
                <w:shd w:val="clear" w:color="auto" w:fill="auto"/>
                <w:lang w:val="en-US" w:eastAsia="zh-CN"/>
              </w:rPr>
              <w:t>联合体投标无效</w:t>
            </w:r>
            <w:r>
              <w:rPr>
                <w:rFonts w:hint="eastAsia" w:ascii="宋体" w:hAnsi="宋体" w:eastAsia="宋体" w:cs="宋体"/>
                <w:color w:val="auto"/>
                <w:szCs w:val="21"/>
                <w:highlight w:val="none"/>
                <w:shd w:val="clear" w:color="auto" w:fill="auto"/>
                <w:lang w:val="en-US" w:eastAsia="zh-CN"/>
              </w:rPr>
              <w:t>），并将联合投标协议放入投标文件。联合体各方必须共同与采购人签订采购合同，就采购合同约定的事项对采购人承担连带责任。</w:t>
            </w:r>
          </w:p>
          <w:p w14:paraId="0A2830B3">
            <w:pPr>
              <w:pStyle w:val="10"/>
              <w:keepNext w:val="0"/>
              <w:keepLines w:val="0"/>
              <w:pageBreakBefore w:val="0"/>
              <w:shd w:val="clear" w:color="auto" w:fill="auto"/>
              <w:kinsoku/>
              <w:overflowPunct/>
              <w:bidi w:val="0"/>
              <w:spacing w:line="360" w:lineRule="auto"/>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4.以联合体形式参加政府采购活动的，联合体各方不得再单独参加或者与其他投标人另外组成联合体参加同一合同项下的政府采购活动。</w:t>
            </w:r>
          </w:p>
          <w:p w14:paraId="4276C64A">
            <w:pPr>
              <w:pStyle w:val="10"/>
              <w:keepNext w:val="0"/>
              <w:keepLines w:val="0"/>
              <w:pageBreakBefore w:val="0"/>
              <w:shd w:val="clear" w:color="auto" w:fill="auto"/>
              <w:kinsoku/>
              <w:overflowPunct/>
              <w:bidi w:val="0"/>
              <w:spacing w:line="360" w:lineRule="auto"/>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5.联合体中有同类资质的投标人按照联合体分工承担相同工作的，应当按照资质等级较低的投标人确定资质等级。</w:t>
            </w:r>
          </w:p>
          <w:p w14:paraId="62CDF002">
            <w:pPr>
              <w:pStyle w:val="10"/>
              <w:keepNext w:val="0"/>
              <w:keepLines w:val="0"/>
              <w:pageBreakBefore w:val="0"/>
              <w:shd w:val="clear" w:color="auto" w:fill="auto"/>
              <w:kinsoku/>
              <w:overflowPunct/>
              <w:bidi w:val="0"/>
              <w:spacing w:line="360" w:lineRule="auto"/>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6.联合体投标业绩、履约能力按照联合体各方其中较高的一方认定并计算（招标文件另有规定的除外）。</w:t>
            </w:r>
          </w:p>
          <w:p w14:paraId="51F555B2">
            <w:pPr>
              <w:pStyle w:val="10"/>
              <w:keepNext w:val="0"/>
              <w:keepLines w:val="0"/>
              <w:pageBreakBefore w:val="0"/>
              <w:shd w:val="clear" w:color="auto" w:fill="auto"/>
              <w:kinsoku/>
              <w:overflowPunct/>
              <w:bidi w:val="0"/>
              <w:spacing w:line="360" w:lineRule="auto"/>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7.投标人为联合体的，可以由联合体中的一方或者多方共同交纳投标保证金，其交纳的保证金对联合体各方均具有约束力。</w:t>
            </w:r>
          </w:p>
          <w:p w14:paraId="0359F254">
            <w:pPr>
              <w:pStyle w:val="10"/>
              <w:keepNext w:val="0"/>
              <w:keepLines w:val="0"/>
              <w:pageBreakBefore w:val="0"/>
              <w:shd w:val="clear" w:color="auto" w:fill="auto"/>
              <w:kinsoku/>
              <w:overflowPunct/>
              <w:bidi w:val="0"/>
              <w:spacing w:line="360" w:lineRule="auto"/>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8.联合体各方均应按照招标文件的规定提交资格证明文件。</w:t>
            </w:r>
          </w:p>
        </w:tc>
      </w:tr>
      <w:tr w14:paraId="1A7E37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90" w:hRule="atLeast"/>
        </w:trPr>
        <w:tc>
          <w:tcPr>
            <w:tcW w:w="1217" w:type="dxa"/>
            <w:tcBorders>
              <w:top w:val="single" w:color="auto" w:sz="4" w:space="0"/>
              <w:left w:val="single" w:color="auto" w:sz="4" w:space="0"/>
              <w:bottom w:val="single" w:color="auto" w:sz="4" w:space="0"/>
              <w:right w:val="single" w:color="auto" w:sz="4" w:space="0"/>
            </w:tcBorders>
            <w:vAlign w:val="center"/>
          </w:tcPr>
          <w:p w14:paraId="638C77A5">
            <w:pPr>
              <w:keepNext w:val="0"/>
              <w:keepLines w:val="0"/>
              <w:pageBreakBefore w:val="0"/>
              <w:shd w:val="clear" w:color="auto" w:fill="auto"/>
              <w:kinsoku/>
              <w:overflowPunct/>
              <w:bidi w:val="0"/>
              <w:spacing w:line="360" w:lineRule="auto"/>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7.2</w:t>
            </w:r>
          </w:p>
        </w:tc>
        <w:tc>
          <w:tcPr>
            <w:tcW w:w="8409" w:type="dxa"/>
            <w:tcBorders>
              <w:top w:val="single" w:color="auto" w:sz="4" w:space="0"/>
              <w:left w:val="single" w:color="auto" w:sz="4" w:space="0"/>
              <w:bottom w:val="single" w:color="auto" w:sz="4" w:space="0"/>
              <w:right w:val="single" w:color="auto" w:sz="4" w:space="0"/>
            </w:tcBorders>
            <w:vAlign w:val="center"/>
          </w:tcPr>
          <w:p w14:paraId="62804281">
            <w:pPr>
              <w:pStyle w:val="10"/>
              <w:keepNext w:val="0"/>
              <w:keepLines w:val="0"/>
              <w:pageBreakBefore w:val="0"/>
              <w:shd w:val="clear" w:color="auto" w:fill="auto"/>
              <w:kinsoku/>
              <w:overflowPunct/>
              <w:bidi w:val="0"/>
              <w:spacing w:line="360" w:lineRule="auto"/>
              <w:rPr>
                <w:rFonts w:hint="eastAsia"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w:t>
            </w:r>
            <w:r>
              <w:rPr>
                <w:rFonts w:hint="eastAsia" w:ascii="宋体" w:hAnsi="宋体" w:eastAsia="宋体" w:cs="宋体"/>
                <w:color w:val="auto"/>
                <w:szCs w:val="21"/>
                <w:highlight w:val="none"/>
                <w:shd w:val="clear" w:color="auto" w:fill="auto"/>
                <w:lang w:val="en-US" w:eastAsia="zh-CN"/>
              </w:rPr>
              <w:t>不允许分包</w:t>
            </w:r>
          </w:p>
          <w:p w14:paraId="1002D2E6">
            <w:pPr>
              <w:pStyle w:val="10"/>
              <w:keepNext w:val="0"/>
              <w:keepLines w:val="0"/>
              <w:pageBreakBefore w:val="0"/>
              <w:shd w:val="clear" w:color="auto" w:fill="auto"/>
              <w:kinsoku/>
              <w:overflowPunct/>
              <w:bidi w:val="0"/>
              <w:spacing w:line="360" w:lineRule="auto"/>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w:t>
            </w:r>
            <w:r>
              <w:rPr>
                <w:rFonts w:hint="eastAsia" w:ascii="宋体" w:hAnsi="宋体" w:eastAsia="宋体" w:cs="宋体"/>
                <w:color w:val="auto"/>
                <w:szCs w:val="21"/>
                <w:highlight w:val="none"/>
                <w:shd w:val="clear" w:color="auto" w:fill="auto"/>
                <w:lang w:val="en-US" w:eastAsia="zh-CN"/>
              </w:rPr>
              <w:t>允许分包</w:t>
            </w:r>
            <w:r>
              <w:rPr>
                <w:rFonts w:hint="eastAsia" w:ascii="宋体" w:hAnsi="宋体" w:cs="宋体"/>
                <w:color w:val="auto"/>
                <w:szCs w:val="21"/>
                <w:highlight w:val="none"/>
                <w:shd w:val="clear" w:color="auto" w:fill="auto"/>
                <w:lang w:val="en-US" w:eastAsia="zh-CN"/>
              </w:rPr>
              <w:t>，但不允许转包。</w:t>
            </w:r>
          </w:p>
          <w:p w14:paraId="0834D560">
            <w:pPr>
              <w:pStyle w:val="10"/>
              <w:keepNext w:val="0"/>
              <w:keepLines w:val="0"/>
              <w:pageBreakBefore w:val="0"/>
              <w:shd w:val="clear" w:color="auto" w:fill="auto"/>
              <w:kinsoku/>
              <w:overflowPunct/>
              <w:bidi w:val="0"/>
              <w:spacing w:line="360" w:lineRule="auto"/>
              <w:rPr>
                <w:rFonts w:hint="eastAsia" w:ascii="宋体" w:hAnsi="宋体" w:eastAsia="宋体" w:cs="宋体"/>
                <w:color w:val="auto"/>
                <w:szCs w:val="21"/>
                <w:highlight w:val="none"/>
                <w:u w:val="singl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分包内容：</w:t>
            </w:r>
            <w:r>
              <w:rPr>
                <w:rFonts w:hint="eastAsia" w:ascii="宋体" w:hAnsi="宋体" w:eastAsia="宋体" w:cs="宋体"/>
                <w:color w:val="auto"/>
                <w:szCs w:val="21"/>
                <w:highlight w:val="none"/>
                <w:u w:val="single"/>
                <w:shd w:val="clear" w:color="auto" w:fill="auto"/>
                <w:lang w:val="en-US" w:eastAsia="zh-CN"/>
              </w:rPr>
              <w:t>投标人</w:t>
            </w:r>
            <w:r>
              <w:rPr>
                <w:rFonts w:hint="eastAsia" w:ascii="宋体" w:hAnsi="宋体" w:cs="宋体"/>
                <w:color w:val="auto"/>
                <w:szCs w:val="21"/>
                <w:highlight w:val="none"/>
                <w:u w:val="single"/>
                <w:shd w:val="clear" w:color="auto" w:fill="auto"/>
                <w:lang w:val="en-US" w:eastAsia="zh-CN"/>
              </w:rPr>
              <w:t>根据招标文件的规定和采购项目的实际情况，拟在中标后</w:t>
            </w:r>
            <w:r>
              <w:rPr>
                <w:rFonts w:hint="eastAsia" w:ascii="宋体" w:hAnsi="宋体" w:eastAsia="宋体" w:cs="宋体"/>
                <w:color w:val="auto"/>
                <w:szCs w:val="21"/>
                <w:highlight w:val="none"/>
                <w:u w:val="single"/>
                <w:shd w:val="clear" w:color="auto" w:fill="auto"/>
                <w:lang w:val="en-US" w:eastAsia="zh-CN"/>
              </w:rPr>
              <w:t>将中标项目的非主体、非关键性工作分包的，应当在投标文件中载明分包承担主体，分包承担主体应当具备相应资质条件且不得再次分包</w:t>
            </w:r>
            <w:r>
              <w:rPr>
                <w:rFonts w:hint="eastAsia" w:ascii="宋体" w:hAnsi="宋体" w:cs="宋体"/>
                <w:color w:val="auto"/>
                <w:szCs w:val="21"/>
                <w:highlight w:val="none"/>
                <w:u w:val="single"/>
                <w:shd w:val="clear" w:color="auto" w:fill="auto"/>
                <w:lang w:val="en-US" w:eastAsia="zh-CN"/>
              </w:rPr>
              <w:t>。</w:t>
            </w:r>
          </w:p>
          <w:p w14:paraId="450C549C">
            <w:pPr>
              <w:pStyle w:val="10"/>
              <w:keepNext w:val="0"/>
              <w:keepLines w:val="0"/>
              <w:pageBreakBefore w:val="0"/>
              <w:shd w:val="clear" w:color="auto" w:fill="auto"/>
              <w:kinsoku/>
              <w:overflowPunct/>
              <w:bidi w:val="0"/>
              <w:spacing w:line="360" w:lineRule="auto"/>
              <w:jc w:val="both"/>
              <w:rPr>
                <w:rFonts w:hint="eastAsia" w:ascii="宋体" w:hAnsi="宋体" w:eastAsia="宋体" w:cs="宋体"/>
                <w:color w:val="auto"/>
                <w:szCs w:val="21"/>
                <w:highlight w:val="none"/>
                <w:u w:val="singl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分包金额或者比例：</w:t>
            </w:r>
            <w:r>
              <w:rPr>
                <w:rFonts w:hint="eastAsia" w:ascii="宋体" w:hAnsi="宋体" w:eastAsia="宋体" w:cs="宋体"/>
                <w:color w:val="auto"/>
                <w:szCs w:val="21"/>
                <w:highlight w:val="none"/>
                <w:u w:val="single"/>
                <w:shd w:val="clear" w:color="auto" w:fill="auto"/>
                <w:lang w:val="en-US" w:eastAsia="zh-CN"/>
              </w:rPr>
              <w:t xml:space="preserve"> </w:t>
            </w:r>
            <w:r>
              <w:rPr>
                <w:rFonts w:hint="eastAsia" w:ascii="宋体" w:hAnsi="宋体" w:cs="宋体"/>
                <w:color w:val="auto"/>
                <w:szCs w:val="21"/>
                <w:highlight w:val="none"/>
                <w:u w:val="single"/>
                <w:shd w:val="clear" w:color="auto" w:fill="auto"/>
                <w:lang w:val="en-US" w:eastAsia="zh-CN"/>
              </w:rPr>
              <w:t>不得少于项目金额的40%</w:t>
            </w:r>
            <w:r>
              <w:rPr>
                <w:rFonts w:hint="eastAsia" w:ascii="宋体" w:hAnsi="宋体" w:eastAsia="宋体" w:cs="宋体"/>
                <w:color w:val="auto"/>
                <w:szCs w:val="21"/>
                <w:highlight w:val="none"/>
                <w:u w:val="single"/>
                <w:shd w:val="clear" w:color="auto" w:fill="auto"/>
                <w:lang w:val="en-US" w:eastAsia="zh-CN"/>
              </w:rPr>
              <w:t>。</w:t>
            </w:r>
          </w:p>
        </w:tc>
      </w:tr>
      <w:tr w14:paraId="42A0FF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1" w:hRule="atLeast"/>
        </w:trPr>
        <w:tc>
          <w:tcPr>
            <w:tcW w:w="1217" w:type="dxa"/>
            <w:vMerge w:val="restart"/>
            <w:tcBorders>
              <w:top w:val="single" w:color="auto" w:sz="4" w:space="0"/>
              <w:left w:val="single" w:color="auto" w:sz="4" w:space="0"/>
              <w:right w:val="single" w:color="auto" w:sz="4" w:space="0"/>
            </w:tcBorders>
            <w:vAlign w:val="center"/>
          </w:tcPr>
          <w:p w14:paraId="1F71AE46">
            <w:pPr>
              <w:keepNext w:val="0"/>
              <w:keepLines w:val="0"/>
              <w:pageBreakBefore w:val="0"/>
              <w:shd w:val="clear" w:color="auto" w:fill="auto"/>
              <w:kinsoku/>
              <w:overflowPunct/>
              <w:bidi w:val="0"/>
              <w:spacing w:line="360" w:lineRule="auto"/>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11.2</w:t>
            </w:r>
          </w:p>
        </w:tc>
        <w:tc>
          <w:tcPr>
            <w:tcW w:w="8409" w:type="dxa"/>
            <w:tcBorders>
              <w:top w:val="single" w:color="auto" w:sz="4" w:space="0"/>
              <w:left w:val="single" w:color="auto" w:sz="4" w:space="0"/>
              <w:bottom w:val="single" w:color="auto" w:sz="4" w:space="0"/>
              <w:right w:val="single" w:color="auto" w:sz="4" w:space="0"/>
            </w:tcBorders>
            <w:vAlign w:val="center"/>
          </w:tcPr>
          <w:p w14:paraId="092F7EDC">
            <w:pPr>
              <w:keepNext w:val="0"/>
              <w:keepLines w:val="0"/>
              <w:pageBreakBefore w:val="0"/>
              <w:shd w:val="clear" w:color="auto" w:fill="auto"/>
              <w:kinsoku/>
              <w:overflowPunct/>
              <w:bidi w:val="0"/>
              <w:snapToGrid w:val="0"/>
              <w:spacing w:line="360" w:lineRule="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rPr>
              <w:t>不组织现场考察</w:t>
            </w:r>
          </w:p>
          <w:p w14:paraId="202B8F01">
            <w:pPr>
              <w:keepNext w:val="0"/>
              <w:keepLines w:val="0"/>
              <w:pageBreakBefore w:val="0"/>
              <w:shd w:val="clear" w:color="auto" w:fill="auto"/>
              <w:kinsoku/>
              <w:overflowPunct/>
              <w:bidi w:val="0"/>
              <w:snapToGrid w:val="0"/>
              <w:spacing w:line="360" w:lineRule="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rPr>
              <w:t>组织现场考察</w:t>
            </w:r>
          </w:p>
          <w:p w14:paraId="4ACAAB33">
            <w:pPr>
              <w:snapToGrid w:val="0"/>
              <w:spacing w:line="360" w:lineRule="auto"/>
              <w:rPr>
                <w:rFonts w:hint="eastAsia" w:ascii="宋体" w:hAnsi="宋体" w:eastAsia="宋体" w:cs="宋体"/>
                <w:szCs w:val="21"/>
                <w:u w:val="single"/>
              </w:rPr>
            </w:pPr>
            <w:r>
              <w:rPr>
                <w:rFonts w:hint="eastAsia" w:ascii="宋体" w:hAnsi="宋体" w:eastAsia="宋体" w:cs="宋体"/>
                <w:szCs w:val="21"/>
              </w:rPr>
              <w:t>集中时间：</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 xml:space="preserve">日 </w:t>
            </w:r>
            <w:r>
              <w:rPr>
                <w:rFonts w:hint="eastAsia" w:ascii="宋体" w:hAnsi="宋体" w:eastAsia="宋体" w:cs="宋体"/>
                <w:szCs w:val="21"/>
                <w:u w:val="single"/>
              </w:rPr>
              <w:t xml:space="preserve">  </w:t>
            </w:r>
            <w:r>
              <w:rPr>
                <w:rFonts w:hint="eastAsia" w:ascii="宋体" w:hAnsi="宋体" w:eastAsia="宋体" w:cs="宋体"/>
                <w:szCs w:val="21"/>
              </w:rPr>
              <w:t>时</w:t>
            </w:r>
            <w:r>
              <w:rPr>
                <w:rFonts w:hint="eastAsia" w:ascii="宋体" w:hAnsi="宋体" w:eastAsia="宋体" w:cs="宋体"/>
                <w:szCs w:val="21"/>
                <w:u w:val="single"/>
              </w:rPr>
              <w:t xml:space="preserve">  分</w:t>
            </w:r>
            <w:r>
              <w:rPr>
                <w:rFonts w:hint="eastAsia" w:ascii="宋体" w:hAnsi="宋体" w:eastAsia="宋体" w:cs="宋体"/>
                <w:szCs w:val="21"/>
              </w:rPr>
              <w:t>，逾期后果自负。集中地点：</w:t>
            </w:r>
            <w:r>
              <w:rPr>
                <w:rFonts w:hint="eastAsia" w:ascii="宋体" w:hAnsi="宋体" w:eastAsia="宋体" w:cs="宋体"/>
                <w:szCs w:val="21"/>
                <w:u w:val="single"/>
              </w:rPr>
              <w:t xml:space="preserve">              </w:t>
            </w:r>
          </w:p>
          <w:p w14:paraId="01933FDC">
            <w:pPr>
              <w:keepNext w:val="0"/>
              <w:keepLines w:val="0"/>
              <w:pageBreakBefore w:val="0"/>
              <w:shd w:val="clear" w:color="auto" w:fill="auto"/>
              <w:kinsoku/>
              <w:overflowPunct/>
              <w:bidi w:val="0"/>
              <w:snapToGrid w:val="0"/>
              <w:spacing w:line="360" w:lineRule="auto"/>
              <w:rPr>
                <w:rFonts w:hint="eastAsia" w:ascii="宋体" w:hAnsi="宋体" w:eastAsia="宋体" w:cs="宋体"/>
                <w:color w:val="auto"/>
                <w:highlight w:val="none"/>
                <w:shd w:val="clear" w:color="auto" w:fill="auto"/>
                <w:lang w:val="en-US" w:eastAsia="zh-CN"/>
              </w:rPr>
            </w:pPr>
            <w:r>
              <w:rPr>
                <w:rFonts w:hint="eastAsia" w:ascii="宋体" w:hAnsi="宋体" w:eastAsia="宋体" w:cs="宋体"/>
                <w:szCs w:val="21"/>
              </w:rPr>
              <w:t>联系人：</w:t>
            </w:r>
            <w:r>
              <w:rPr>
                <w:rFonts w:hint="eastAsia" w:ascii="宋体" w:hAnsi="宋体" w:eastAsia="宋体" w:cs="宋体"/>
                <w:szCs w:val="21"/>
                <w:u w:val="single"/>
              </w:rPr>
              <w:t xml:space="preserve">               </w:t>
            </w:r>
            <w:r>
              <w:rPr>
                <w:rFonts w:hint="eastAsia" w:ascii="宋体" w:hAnsi="宋体" w:eastAsia="宋体" w:cs="宋体"/>
                <w:szCs w:val="21"/>
              </w:rPr>
              <w:t>；联系电话：</w:t>
            </w:r>
            <w:r>
              <w:rPr>
                <w:rFonts w:hint="eastAsia" w:ascii="宋体" w:hAnsi="宋体" w:eastAsia="宋体" w:cs="宋体"/>
                <w:szCs w:val="21"/>
                <w:u w:val="single"/>
              </w:rPr>
              <w:t xml:space="preserve">                </w:t>
            </w:r>
          </w:p>
        </w:tc>
      </w:tr>
      <w:tr w14:paraId="795E32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8" w:hRule="atLeast"/>
        </w:trPr>
        <w:tc>
          <w:tcPr>
            <w:tcW w:w="1217" w:type="dxa"/>
            <w:vMerge w:val="continue"/>
            <w:tcBorders>
              <w:left w:val="single" w:color="auto" w:sz="4" w:space="0"/>
              <w:bottom w:val="single" w:color="auto" w:sz="4" w:space="0"/>
              <w:right w:val="single" w:color="auto" w:sz="4" w:space="0"/>
            </w:tcBorders>
            <w:vAlign w:val="center"/>
          </w:tcPr>
          <w:p w14:paraId="68B6DCDE">
            <w:pPr>
              <w:keepNext w:val="0"/>
              <w:keepLines w:val="0"/>
              <w:pageBreakBefore w:val="0"/>
              <w:shd w:val="clear" w:color="auto" w:fill="auto"/>
              <w:kinsoku/>
              <w:overflowPunct/>
              <w:bidi w:val="0"/>
              <w:spacing w:line="360" w:lineRule="auto"/>
              <w:jc w:val="center"/>
              <w:rPr>
                <w:rFonts w:hint="eastAsia" w:ascii="宋体" w:hAnsi="宋体" w:eastAsia="宋体" w:cs="宋体"/>
                <w:color w:val="auto"/>
                <w:szCs w:val="21"/>
                <w:highlight w:val="none"/>
                <w:shd w:val="clear" w:color="auto" w:fill="auto"/>
              </w:rPr>
            </w:pPr>
          </w:p>
        </w:tc>
        <w:tc>
          <w:tcPr>
            <w:tcW w:w="8409" w:type="dxa"/>
            <w:tcBorders>
              <w:top w:val="single" w:color="auto" w:sz="4" w:space="0"/>
              <w:left w:val="single" w:color="auto" w:sz="4" w:space="0"/>
              <w:bottom w:val="single" w:color="auto" w:sz="4" w:space="0"/>
              <w:right w:val="single" w:color="auto" w:sz="4" w:space="0"/>
            </w:tcBorders>
            <w:vAlign w:val="center"/>
          </w:tcPr>
          <w:p w14:paraId="1438B3F6">
            <w:pPr>
              <w:keepNext w:val="0"/>
              <w:keepLines w:val="0"/>
              <w:pageBreakBefore w:val="0"/>
              <w:shd w:val="clear" w:color="auto" w:fill="auto"/>
              <w:kinsoku/>
              <w:overflowPunct/>
              <w:bidi w:val="0"/>
              <w:snapToGrid w:val="0"/>
              <w:spacing w:line="360" w:lineRule="auto"/>
              <w:rPr>
                <w:rFonts w:hint="eastAsia" w:ascii="宋体" w:hAnsi="宋体" w:eastAsia="宋体" w:cs="宋体"/>
                <w:color w:val="auto"/>
                <w:szCs w:val="21"/>
                <w:highlight w:val="none"/>
                <w:shd w:val="clear" w:color="auto" w:fill="auto"/>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szCs w:val="21"/>
                <w:highlight w:val="none"/>
                <w:shd w:val="clear" w:color="auto" w:fill="auto"/>
              </w:rPr>
              <w:t>不组织召开开标前答疑会</w:t>
            </w:r>
          </w:p>
          <w:p w14:paraId="407D0857">
            <w:pPr>
              <w:keepNext w:val="0"/>
              <w:keepLines w:val="0"/>
              <w:pageBreakBefore w:val="0"/>
              <w:shd w:val="clear" w:color="auto" w:fill="auto"/>
              <w:kinsoku/>
              <w:overflowPunct/>
              <w:bidi w:val="0"/>
              <w:snapToGrid w:val="0"/>
              <w:spacing w:line="360" w:lineRule="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□组织召开开标前答疑会</w:t>
            </w:r>
          </w:p>
          <w:p w14:paraId="5600147A">
            <w:pPr>
              <w:keepNext w:val="0"/>
              <w:keepLines w:val="0"/>
              <w:pageBreakBefore w:val="0"/>
              <w:shd w:val="clear" w:color="auto" w:fill="auto"/>
              <w:kinsoku/>
              <w:overflowPunct/>
              <w:bidi w:val="0"/>
              <w:snapToGrid w:val="0"/>
              <w:spacing w:line="360" w:lineRule="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会议开始时间：</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年</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月</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 xml:space="preserve">日 </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时</w:t>
            </w:r>
            <w:r>
              <w:rPr>
                <w:rFonts w:hint="eastAsia" w:ascii="宋体" w:hAnsi="宋体" w:eastAsia="宋体" w:cs="宋体"/>
                <w:color w:val="auto"/>
                <w:szCs w:val="21"/>
                <w:highlight w:val="none"/>
                <w:u w:val="single"/>
                <w:shd w:val="clear" w:color="auto" w:fill="auto"/>
              </w:rPr>
              <w:t xml:space="preserve">  分</w:t>
            </w:r>
            <w:r>
              <w:rPr>
                <w:rFonts w:hint="eastAsia" w:ascii="宋体" w:hAnsi="宋体" w:eastAsia="宋体" w:cs="宋体"/>
                <w:color w:val="auto"/>
                <w:szCs w:val="21"/>
                <w:highlight w:val="none"/>
                <w:shd w:val="clear" w:color="auto" w:fill="auto"/>
              </w:rPr>
              <w:t>，逾期后果自负。会议地点：</w:t>
            </w:r>
            <w:r>
              <w:rPr>
                <w:rFonts w:hint="eastAsia" w:ascii="宋体" w:hAnsi="宋体" w:eastAsia="宋体" w:cs="宋体"/>
                <w:color w:val="auto"/>
                <w:szCs w:val="21"/>
                <w:highlight w:val="none"/>
                <w:u w:val="single"/>
                <w:shd w:val="clear" w:color="auto" w:fill="auto"/>
              </w:rPr>
              <w:t xml:space="preserve">              </w:t>
            </w:r>
          </w:p>
        </w:tc>
      </w:tr>
      <w:tr w14:paraId="5472FB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17" w:type="dxa"/>
            <w:vMerge w:val="restart"/>
            <w:tcBorders>
              <w:top w:val="single" w:color="auto" w:sz="4" w:space="0"/>
              <w:left w:val="single" w:color="auto" w:sz="4" w:space="0"/>
              <w:right w:val="single" w:color="auto" w:sz="4" w:space="0"/>
            </w:tcBorders>
            <w:vAlign w:val="center"/>
          </w:tcPr>
          <w:p w14:paraId="0D40D1A0">
            <w:pPr>
              <w:keepNext w:val="0"/>
              <w:keepLines w:val="0"/>
              <w:pageBreakBefore w:val="0"/>
              <w:shd w:val="clear" w:color="auto" w:fill="auto"/>
              <w:kinsoku/>
              <w:overflowPunct/>
              <w:bidi w:val="0"/>
              <w:spacing w:line="360" w:lineRule="auto"/>
              <w:jc w:val="center"/>
              <w:rPr>
                <w:rFonts w:hint="eastAsia" w:ascii="宋体" w:hAnsi="宋体" w:eastAsia="宋体" w:cs="宋体"/>
                <w:color w:val="auto"/>
                <w:szCs w:val="21"/>
                <w:highlight w:val="none"/>
                <w:shd w:val="clear" w:color="auto" w:fill="auto"/>
              </w:rPr>
            </w:pPr>
            <w:bookmarkStart w:id="42" w:name="_13.1"/>
            <w:bookmarkEnd w:id="42"/>
            <w:r>
              <w:rPr>
                <w:rFonts w:hint="eastAsia" w:ascii="宋体" w:hAnsi="宋体" w:eastAsia="宋体" w:cs="宋体"/>
                <w:color w:val="auto"/>
                <w:szCs w:val="21"/>
                <w:highlight w:val="none"/>
                <w:shd w:val="clear" w:color="auto" w:fill="auto"/>
              </w:rPr>
              <w:t>13</w:t>
            </w:r>
          </w:p>
        </w:tc>
        <w:tc>
          <w:tcPr>
            <w:tcW w:w="8409" w:type="dxa"/>
            <w:tcBorders>
              <w:top w:val="single" w:color="auto" w:sz="4" w:space="0"/>
              <w:left w:val="single" w:color="auto" w:sz="4" w:space="0"/>
              <w:bottom w:val="single" w:color="auto" w:sz="4" w:space="0"/>
              <w:right w:val="single" w:color="auto" w:sz="4" w:space="0"/>
            </w:tcBorders>
            <w:vAlign w:val="center"/>
          </w:tcPr>
          <w:p w14:paraId="0CE3CBDD">
            <w:pPr>
              <w:keepNext w:val="0"/>
              <w:keepLines w:val="0"/>
              <w:pageBreakBefore w:val="0"/>
              <w:shd w:val="clear" w:color="auto" w:fill="auto"/>
              <w:kinsoku/>
              <w:overflowPunct/>
              <w:bidi w:val="0"/>
              <w:snapToGrid w:val="0"/>
              <w:spacing w:line="360" w:lineRule="auto"/>
              <w:jc w:val="left"/>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报价文件：</w:t>
            </w:r>
          </w:p>
          <w:p w14:paraId="02201531">
            <w:pPr>
              <w:keepNext w:val="0"/>
              <w:keepLines w:val="0"/>
              <w:pageBreakBefore w:val="0"/>
              <w:shd w:val="clear" w:color="auto" w:fill="auto"/>
              <w:tabs>
                <w:tab w:val="left" w:pos="459"/>
              </w:tabs>
              <w:kinsoku/>
              <w:overflowPunct/>
              <w:bidi w:val="0"/>
              <w:snapToGrid w:val="0"/>
              <w:spacing w:line="360" w:lineRule="auto"/>
              <w:ind w:left="42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1.投标函（格式后附）；</w:t>
            </w:r>
            <w:r>
              <w:rPr>
                <w:rFonts w:hint="eastAsia" w:ascii="宋体" w:hAnsi="宋体" w:eastAsia="宋体" w:cs="宋体"/>
                <w:b/>
                <w:color w:val="auto"/>
                <w:szCs w:val="21"/>
                <w:highlight w:val="none"/>
                <w:shd w:val="clear" w:color="auto" w:fill="auto"/>
              </w:rPr>
              <w:t>（必须提供，否则按无效投标处理）</w:t>
            </w:r>
          </w:p>
          <w:p w14:paraId="569F1107">
            <w:pPr>
              <w:keepNext w:val="0"/>
              <w:keepLines w:val="0"/>
              <w:pageBreakBefore w:val="0"/>
              <w:shd w:val="clear" w:color="auto" w:fill="auto"/>
              <w:tabs>
                <w:tab w:val="left" w:pos="459"/>
              </w:tabs>
              <w:kinsoku/>
              <w:overflowPunct/>
              <w:bidi w:val="0"/>
              <w:snapToGrid w:val="0"/>
              <w:spacing w:line="360" w:lineRule="auto"/>
              <w:ind w:left="420"/>
              <w:jc w:val="left"/>
              <w:rPr>
                <w:rFonts w:hint="eastAsia" w:ascii="宋体" w:hAnsi="宋体" w:eastAsia="宋体" w:cs="宋体"/>
                <w:color w:val="auto"/>
                <w:szCs w:val="21"/>
                <w:highlight w:val="none"/>
                <w:shd w:val="clear" w:color="auto" w:fill="auto"/>
              </w:rPr>
            </w:pPr>
            <w:bookmarkStart w:id="43" w:name="_Hlk71299233"/>
            <w:r>
              <w:rPr>
                <w:rFonts w:hint="eastAsia" w:ascii="宋体" w:hAnsi="宋体" w:eastAsia="宋体" w:cs="宋体"/>
                <w:color w:val="auto"/>
                <w:szCs w:val="21"/>
                <w:highlight w:val="none"/>
                <w:shd w:val="clear" w:color="auto" w:fill="auto"/>
              </w:rPr>
              <w:t>2.开标一览表</w:t>
            </w:r>
            <w:bookmarkEnd w:id="43"/>
            <w:r>
              <w:rPr>
                <w:rFonts w:hint="eastAsia" w:ascii="宋体" w:hAnsi="宋体" w:eastAsia="宋体" w:cs="宋体"/>
                <w:color w:val="auto"/>
                <w:szCs w:val="21"/>
                <w:highlight w:val="none"/>
                <w:shd w:val="clear" w:color="auto" w:fill="auto"/>
              </w:rPr>
              <w:t>（格式后附）；（</w:t>
            </w:r>
            <w:r>
              <w:rPr>
                <w:rFonts w:hint="eastAsia" w:ascii="宋体" w:hAnsi="宋体" w:eastAsia="宋体" w:cs="宋体"/>
                <w:b/>
                <w:color w:val="auto"/>
                <w:szCs w:val="21"/>
                <w:highlight w:val="none"/>
                <w:shd w:val="clear" w:color="auto" w:fill="auto"/>
              </w:rPr>
              <w:t>必须提供，否则按无效投标处理</w:t>
            </w:r>
            <w:r>
              <w:rPr>
                <w:rFonts w:hint="eastAsia" w:ascii="宋体" w:hAnsi="宋体" w:eastAsia="宋体" w:cs="宋体"/>
                <w:color w:val="auto"/>
                <w:szCs w:val="21"/>
                <w:highlight w:val="none"/>
                <w:shd w:val="clear" w:color="auto" w:fill="auto"/>
              </w:rPr>
              <w:t>）</w:t>
            </w:r>
          </w:p>
          <w:p w14:paraId="6AB9C89E">
            <w:pPr>
              <w:keepNext w:val="0"/>
              <w:keepLines w:val="0"/>
              <w:pageBreakBefore w:val="0"/>
              <w:shd w:val="clear" w:color="auto" w:fill="auto"/>
              <w:tabs>
                <w:tab w:val="left" w:pos="459"/>
              </w:tabs>
              <w:kinsoku/>
              <w:overflowPunct/>
              <w:bidi w:val="0"/>
              <w:snapToGrid w:val="0"/>
              <w:spacing w:line="360" w:lineRule="auto"/>
              <w:ind w:left="420"/>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rPr>
              <w:t>3.</w:t>
            </w:r>
            <w:r>
              <w:rPr>
                <w:rFonts w:hint="eastAsia" w:ascii="宋体" w:hAnsi="宋体" w:eastAsia="宋体" w:cs="宋体"/>
                <w:color w:val="auto"/>
                <w:szCs w:val="21"/>
                <w:highlight w:val="none"/>
                <w:shd w:val="clear" w:color="auto" w:fill="auto"/>
                <w:lang w:val="en-US" w:eastAsia="zh-CN"/>
              </w:rPr>
              <w:t>投标报价明细表</w:t>
            </w:r>
            <w:r>
              <w:rPr>
                <w:rFonts w:hint="eastAsia" w:ascii="宋体" w:hAnsi="宋体" w:eastAsia="宋体" w:cs="宋体"/>
                <w:color w:val="auto"/>
                <w:szCs w:val="21"/>
                <w:highlight w:val="none"/>
                <w:shd w:val="clear" w:color="auto" w:fill="auto"/>
              </w:rPr>
              <w:t>（格式后附）；（</w:t>
            </w:r>
            <w:r>
              <w:rPr>
                <w:rFonts w:hint="eastAsia" w:ascii="宋体" w:hAnsi="宋体" w:eastAsia="宋体" w:cs="宋体"/>
                <w:b/>
                <w:color w:val="auto"/>
                <w:szCs w:val="21"/>
                <w:highlight w:val="none"/>
                <w:shd w:val="clear" w:color="auto" w:fill="auto"/>
              </w:rPr>
              <w:t>必须提供，否则按无效投标处理</w:t>
            </w:r>
            <w:r>
              <w:rPr>
                <w:rFonts w:hint="eastAsia" w:ascii="宋体" w:hAnsi="宋体" w:eastAsia="宋体" w:cs="宋体"/>
                <w:color w:val="auto"/>
                <w:szCs w:val="21"/>
                <w:highlight w:val="none"/>
                <w:shd w:val="clear" w:color="auto" w:fill="auto"/>
              </w:rPr>
              <w:t>）</w:t>
            </w:r>
          </w:p>
          <w:p w14:paraId="7CC9A8DE">
            <w:pPr>
              <w:keepNext w:val="0"/>
              <w:keepLines w:val="0"/>
              <w:pageBreakBefore w:val="0"/>
              <w:shd w:val="clear" w:color="auto" w:fill="auto"/>
              <w:tabs>
                <w:tab w:val="left" w:pos="459"/>
              </w:tabs>
              <w:kinsoku/>
              <w:overflowPunct/>
              <w:bidi w:val="0"/>
              <w:snapToGrid w:val="0"/>
              <w:spacing w:line="360" w:lineRule="auto"/>
              <w:ind w:left="42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lang w:val="en-US" w:eastAsia="zh-CN"/>
              </w:rPr>
              <w:t>4.</w:t>
            </w:r>
            <w:r>
              <w:rPr>
                <w:rFonts w:hint="eastAsia" w:ascii="宋体" w:hAnsi="宋体" w:eastAsia="宋体" w:cs="宋体"/>
                <w:color w:val="auto"/>
                <w:szCs w:val="21"/>
                <w:highlight w:val="none"/>
                <w:shd w:val="clear" w:color="auto" w:fill="auto"/>
              </w:rPr>
              <w:t>投标人针对报价需要说明的其他文件和说明（格式自拟）</w:t>
            </w:r>
            <w:r>
              <w:rPr>
                <w:rFonts w:hint="eastAsia" w:ascii="宋体" w:hAnsi="宋体" w:eastAsia="宋体" w:cs="宋体"/>
                <w:color w:val="auto"/>
                <w:szCs w:val="21"/>
                <w:highlight w:val="none"/>
                <w:shd w:val="clear" w:color="auto" w:fill="auto"/>
                <w:lang w:eastAsia="zh-CN"/>
              </w:rPr>
              <w:t>，</w:t>
            </w:r>
            <w:r>
              <w:rPr>
                <w:rFonts w:hint="eastAsia" w:ascii="宋体" w:hAnsi="宋体" w:eastAsia="宋体" w:cs="宋体"/>
                <w:szCs w:val="21"/>
              </w:rPr>
              <w:t>如《中小企业声明函》</w:t>
            </w:r>
            <w:r>
              <w:rPr>
                <w:rFonts w:hint="eastAsia" w:ascii="宋体" w:hAnsi="宋体" w:eastAsia="宋体" w:cs="宋体"/>
                <w:color w:val="auto"/>
                <w:szCs w:val="21"/>
                <w:highlight w:val="none"/>
                <w:shd w:val="clear" w:color="auto" w:fill="auto"/>
              </w:rPr>
              <w:t>。</w:t>
            </w:r>
          </w:p>
          <w:p w14:paraId="08FB5798">
            <w:pPr>
              <w:keepNext w:val="0"/>
              <w:keepLines w:val="0"/>
              <w:pageBreakBefore w:val="0"/>
              <w:shd w:val="clear" w:color="auto" w:fill="auto"/>
              <w:kinsoku/>
              <w:overflowPunct/>
              <w:bidi w:val="0"/>
              <w:snapToGrid w:val="0"/>
              <w:spacing w:line="360" w:lineRule="auto"/>
              <w:ind w:firstLine="420"/>
              <w:jc w:val="left"/>
              <w:rPr>
                <w:rFonts w:hint="eastAsia" w:ascii="宋体" w:hAnsi="宋体" w:eastAsia="宋体" w:cs="宋体"/>
                <w:color w:val="auto"/>
                <w:szCs w:val="21"/>
                <w:highlight w:val="none"/>
                <w:shd w:val="clear" w:color="auto" w:fill="auto"/>
              </w:rPr>
            </w:pPr>
            <w:r>
              <w:rPr>
                <w:rFonts w:hint="eastAsia" w:ascii="宋体" w:hAnsi="宋体" w:eastAsia="宋体" w:cs="宋体"/>
                <w:b/>
                <w:bCs/>
                <w:color w:val="auto"/>
                <w:szCs w:val="21"/>
                <w:highlight w:val="none"/>
                <w:shd w:val="clear" w:color="auto" w:fill="auto"/>
              </w:rPr>
              <w:t>注：</w:t>
            </w:r>
            <w:r>
              <w:rPr>
                <w:rFonts w:hint="eastAsia" w:ascii="宋体" w:hAnsi="宋体" w:eastAsia="宋体" w:cs="宋体"/>
                <w:b/>
                <w:bCs/>
                <w:szCs w:val="21"/>
              </w:rPr>
              <w:t>以上标明“必须提供”的材料，格式</w:t>
            </w:r>
            <w:r>
              <w:rPr>
                <w:rFonts w:hint="eastAsia" w:ascii="宋体" w:hAnsi="宋体" w:eastAsia="宋体" w:cs="宋体"/>
                <w:b/>
                <w:szCs w:val="21"/>
              </w:rPr>
              <w:t>中有要求法定代表人或者委托代理人签字的，必须按要求签字并加盖投标人电子签章</w:t>
            </w:r>
            <w:r>
              <w:rPr>
                <w:rFonts w:hint="eastAsia" w:ascii="宋体" w:hAnsi="宋体" w:eastAsia="宋体" w:cs="宋体"/>
                <w:b/>
                <w:bCs/>
                <w:szCs w:val="21"/>
              </w:rPr>
              <w:t>，否则按无效投标</w:t>
            </w:r>
            <w:r>
              <w:rPr>
                <w:rFonts w:hint="eastAsia" w:ascii="宋体" w:hAnsi="宋体" w:eastAsia="宋体" w:cs="宋体"/>
                <w:b/>
                <w:szCs w:val="21"/>
              </w:rPr>
              <w:t>处理。</w:t>
            </w:r>
          </w:p>
        </w:tc>
      </w:tr>
      <w:tr w14:paraId="3D10CA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17" w:type="dxa"/>
            <w:vMerge w:val="continue"/>
            <w:tcBorders>
              <w:left w:val="single" w:color="auto" w:sz="4" w:space="0"/>
              <w:right w:val="single" w:color="auto" w:sz="4" w:space="0"/>
            </w:tcBorders>
            <w:vAlign w:val="center"/>
          </w:tcPr>
          <w:p w14:paraId="3C93986E">
            <w:pPr>
              <w:keepNext w:val="0"/>
              <w:keepLines w:val="0"/>
              <w:pageBreakBefore w:val="0"/>
              <w:shd w:val="clear" w:color="auto" w:fill="auto"/>
              <w:kinsoku/>
              <w:overflowPunct/>
              <w:bidi w:val="0"/>
              <w:spacing w:line="360" w:lineRule="auto"/>
              <w:rPr>
                <w:rFonts w:hint="eastAsia" w:ascii="宋体" w:hAnsi="宋体" w:eastAsia="宋体" w:cs="宋体"/>
                <w:color w:val="auto"/>
                <w:szCs w:val="21"/>
                <w:highlight w:val="none"/>
                <w:shd w:val="clear" w:color="auto" w:fill="auto"/>
              </w:rPr>
            </w:pPr>
            <w:bookmarkStart w:id="44" w:name="_13.2"/>
            <w:bookmarkEnd w:id="44"/>
          </w:p>
        </w:tc>
        <w:tc>
          <w:tcPr>
            <w:tcW w:w="8409" w:type="dxa"/>
            <w:tcBorders>
              <w:top w:val="single" w:color="auto" w:sz="4" w:space="0"/>
              <w:left w:val="single" w:color="auto" w:sz="4" w:space="0"/>
              <w:bottom w:val="single" w:color="auto" w:sz="4" w:space="0"/>
              <w:right w:val="single" w:color="auto" w:sz="4" w:space="0"/>
            </w:tcBorders>
            <w:vAlign w:val="center"/>
          </w:tcPr>
          <w:p w14:paraId="17D0A5C1">
            <w:pPr>
              <w:keepNext w:val="0"/>
              <w:keepLines w:val="0"/>
              <w:pageBreakBefore w:val="0"/>
              <w:shd w:val="clear" w:color="auto" w:fill="auto"/>
              <w:kinsoku/>
              <w:overflowPunct/>
              <w:bidi w:val="0"/>
              <w:snapToGrid w:val="0"/>
              <w:spacing w:line="360" w:lineRule="auto"/>
              <w:jc w:val="left"/>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资格证明文件</w:t>
            </w:r>
          </w:p>
          <w:p w14:paraId="71204C56">
            <w:pPr>
              <w:keepNext w:val="0"/>
              <w:keepLines w:val="0"/>
              <w:pageBreakBefore w:val="0"/>
              <w:shd w:val="clear" w:color="auto" w:fill="auto"/>
              <w:kinsoku/>
              <w:overflowPunct/>
              <w:bidi w:val="0"/>
              <w:snapToGrid w:val="0"/>
              <w:spacing w:line="360" w:lineRule="auto"/>
              <w:ind w:firstLine="420" w:firstLineChars="200"/>
              <w:jc w:val="left"/>
              <w:rPr>
                <w:rFonts w:hint="eastAsia" w:ascii="宋体" w:hAnsi="宋体" w:eastAsia="宋体" w:cs="宋体"/>
                <w:b/>
                <w:color w:val="auto"/>
                <w:szCs w:val="21"/>
                <w:highlight w:val="none"/>
                <w:shd w:val="clear" w:color="auto" w:fill="auto"/>
              </w:rPr>
            </w:pPr>
            <w:r>
              <w:rPr>
                <w:rFonts w:hint="eastAsia" w:ascii="宋体" w:hAnsi="宋体" w:eastAsia="宋体" w:cs="宋体"/>
                <w:color w:val="auto"/>
                <w:szCs w:val="21"/>
                <w:highlight w:val="none"/>
                <w:shd w:val="clear" w:color="auto" w:fill="auto"/>
              </w:rPr>
              <w:t>1.投标人为法人或者其他组织的，提供营业执照等证明文件（如营业执照或者事业单位法人证书或者</w:t>
            </w:r>
            <w:r>
              <w:rPr>
                <w:rStyle w:val="37"/>
                <w:rFonts w:hint="eastAsia" w:ascii="宋体" w:hAnsi="宋体" w:eastAsia="宋体" w:cs="宋体"/>
                <w:color w:val="auto"/>
                <w:sz w:val="21"/>
                <w:szCs w:val="21"/>
                <w:highlight w:val="none"/>
                <w:shd w:val="clear" w:color="auto" w:fill="auto"/>
              </w:rPr>
              <w:t>执业许可证</w:t>
            </w:r>
            <w:r>
              <w:rPr>
                <w:rFonts w:hint="eastAsia" w:ascii="宋体" w:hAnsi="宋体" w:eastAsia="宋体" w:cs="宋体"/>
                <w:color w:val="auto"/>
                <w:szCs w:val="21"/>
                <w:highlight w:val="none"/>
                <w:shd w:val="clear" w:color="auto" w:fill="auto"/>
              </w:rPr>
              <w:t>或者登记证书等），投标人为自然人的，提供身份证复印件；（</w:t>
            </w:r>
            <w:r>
              <w:rPr>
                <w:rFonts w:hint="eastAsia" w:ascii="宋体" w:hAnsi="宋体" w:eastAsia="宋体" w:cs="宋体"/>
                <w:b/>
                <w:color w:val="auto"/>
                <w:szCs w:val="21"/>
                <w:highlight w:val="none"/>
                <w:shd w:val="clear" w:color="auto" w:fill="auto"/>
              </w:rPr>
              <w:t>必须提供，否则按无效投标处理</w:t>
            </w:r>
            <w:r>
              <w:rPr>
                <w:rFonts w:hint="eastAsia" w:ascii="宋体" w:hAnsi="宋体" w:eastAsia="宋体" w:cs="宋体"/>
                <w:color w:val="auto"/>
                <w:szCs w:val="21"/>
                <w:highlight w:val="none"/>
                <w:shd w:val="clear" w:color="auto" w:fill="auto"/>
              </w:rPr>
              <w:t>）</w:t>
            </w:r>
          </w:p>
          <w:p w14:paraId="7779A755">
            <w:pPr>
              <w:keepNext w:val="0"/>
              <w:keepLines w:val="0"/>
              <w:pageBreakBefore w:val="0"/>
              <w:shd w:val="clear" w:color="auto" w:fill="auto"/>
              <w:kinsoku/>
              <w:overflowPunct/>
              <w:bidi w:val="0"/>
              <w:snapToGrid w:val="0"/>
              <w:spacing w:line="360" w:lineRule="auto"/>
              <w:ind w:firstLine="420" w:firstLineChars="200"/>
              <w:jc w:val="left"/>
              <w:rPr>
                <w:rFonts w:hint="eastAsia" w:ascii="宋体" w:hAnsi="宋体" w:eastAsia="宋体" w:cs="宋体"/>
                <w:b/>
                <w:color w:val="auto"/>
                <w:szCs w:val="21"/>
                <w:highlight w:val="none"/>
                <w:shd w:val="clear" w:color="auto" w:fill="auto"/>
              </w:rPr>
            </w:pPr>
            <w:r>
              <w:rPr>
                <w:rFonts w:hint="eastAsia" w:ascii="宋体" w:hAnsi="宋体" w:eastAsia="宋体" w:cs="宋体"/>
                <w:color w:val="auto"/>
                <w:szCs w:val="21"/>
                <w:highlight w:val="none"/>
                <w:shd w:val="clear" w:color="auto" w:fill="auto"/>
              </w:rPr>
              <w:t>2.投标人依法缴纳税收的相关材料（</w:t>
            </w:r>
            <w:r>
              <w:rPr>
                <w:rFonts w:hint="eastAsia" w:ascii="宋体" w:hAnsi="宋体" w:eastAsia="宋体" w:cs="宋体"/>
                <w:color w:val="auto"/>
                <w:szCs w:val="21"/>
                <w:highlight w:val="none"/>
                <w:shd w:val="clear" w:color="auto" w:fill="auto"/>
                <w:lang w:val="en-US" w:eastAsia="zh-CN"/>
              </w:rPr>
              <w:t>自2025年5月至2025年11月</w:t>
            </w:r>
            <w:r>
              <w:rPr>
                <w:rFonts w:hint="eastAsia" w:ascii="宋体" w:hAnsi="宋体" w:eastAsia="宋体" w:cs="宋体"/>
                <w:color w:val="auto"/>
                <w:szCs w:val="21"/>
                <w:highlight w:val="none"/>
                <w:shd w:val="clear" w:color="auto" w:fill="auto"/>
              </w:rPr>
              <w:t>任意连续</w:t>
            </w:r>
            <w:r>
              <w:rPr>
                <w:rFonts w:hint="eastAsia" w:ascii="宋体" w:hAnsi="宋体" w:eastAsia="宋体" w:cs="宋体"/>
                <w:color w:val="auto"/>
                <w:szCs w:val="21"/>
                <w:highlight w:val="none"/>
                <w:u w:val="single"/>
                <w:shd w:val="clear" w:color="auto" w:fill="auto"/>
              </w:rPr>
              <w:t>3</w:t>
            </w:r>
            <w:r>
              <w:rPr>
                <w:rFonts w:hint="eastAsia" w:ascii="宋体" w:hAnsi="宋体" w:eastAsia="宋体" w:cs="宋体"/>
                <w:color w:val="auto"/>
                <w:szCs w:val="21"/>
                <w:highlight w:val="none"/>
                <w:shd w:val="clear" w:color="auto" w:fill="auto"/>
              </w:rPr>
              <w:t>个月的依法缴纳税收的凭据复印件；依法免税的供应商，必须提供相应文件证明其依法免税。从成立之日起到投标文件提交截止时间止不足要求月数的，只需提供从成立之日起的依法缴纳税收相应证明文件）；（</w:t>
            </w:r>
            <w:r>
              <w:rPr>
                <w:rFonts w:hint="eastAsia" w:ascii="宋体" w:hAnsi="宋体" w:eastAsia="宋体" w:cs="宋体"/>
                <w:b/>
                <w:color w:val="auto"/>
                <w:szCs w:val="21"/>
                <w:highlight w:val="none"/>
                <w:shd w:val="clear" w:color="auto" w:fill="auto"/>
              </w:rPr>
              <w:t>必须提供，否则按无效投标处理</w:t>
            </w:r>
            <w:r>
              <w:rPr>
                <w:rFonts w:hint="eastAsia" w:ascii="宋体" w:hAnsi="宋体" w:eastAsia="宋体" w:cs="宋体"/>
                <w:color w:val="auto"/>
                <w:szCs w:val="21"/>
                <w:highlight w:val="none"/>
                <w:shd w:val="clear" w:color="auto" w:fill="auto"/>
              </w:rPr>
              <w:t>）</w:t>
            </w:r>
          </w:p>
          <w:p w14:paraId="1E02E01F">
            <w:pPr>
              <w:keepNext w:val="0"/>
              <w:keepLines w:val="0"/>
              <w:pageBreakBefore w:val="0"/>
              <w:shd w:val="clear" w:color="auto" w:fill="auto"/>
              <w:kinsoku/>
              <w:overflowPunct/>
              <w:bidi w:val="0"/>
              <w:snapToGrid w:val="0"/>
              <w:spacing w:line="360" w:lineRule="auto"/>
              <w:ind w:firstLine="420" w:firstLineChars="200"/>
              <w:jc w:val="left"/>
              <w:rPr>
                <w:rFonts w:hint="eastAsia" w:ascii="宋体" w:hAnsi="宋体" w:eastAsia="宋体" w:cs="宋体"/>
                <w:b/>
                <w:color w:val="auto"/>
                <w:szCs w:val="21"/>
                <w:highlight w:val="none"/>
                <w:shd w:val="clear" w:color="auto" w:fill="auto"/>
              </w:rPr>
            </w:pPr>
            <w:r>
              <w:rPr>
                <w:rFonts w:hint="eastAsia" w:ascii="宋体" w:hAnsi="宋体" w:eastAsia="宋体" w:cs="宋体"/>
                <w:color w:val="auto"/>
                <w:szCs w:val="21"/>
                <w:highlight w:val="none"/>
                <w:shd w:val="clear" w:color="auto" w:fill="auto"/>
              </w:rPr>
              <w:t>3.投标人依法缴纳社会保障资金的相关材料[</w:t>
            </w:r>
            <w:r>
              <w:rPr>
                <w:rFonts w:hint="eastAsia" w:ascii="宋体" w:hAnsi="宋体" w:eastAsia="宋体" w:cs="宋体"/>
                <w:color w:val="auto"/>
                <w:szCs w:val="21"/>
                <w:highlight w:val="none"/>
                <w:shd w:val="clear" w:color="auto" w:fill="auto"/>
                <w:lang w:val="en-US" w:eastAsia="zh-CN"/>
              </w:rPr>
              <w:t>自2025年5月至2025年11月</w:t>
            </w:r>
            <w:r>
              <w:rPr>
                <w:rFonts w:hint="eastAsia" w:ascii="宋体" w:hAnsi="宋体" w:eastAsia="宋体" w:cs="宋体"/>
                <w:color w:val="auto"/>
                <w:szCs w:val="21"/>
                <w:highlight w:val="none"/>
                <w:shd w:val="clear" w:color="auto" w:fill="auto"/>
              </w:rPr>
              <w:t>内任意连续</w:t>
            </w:r>
            <w:r>
              <w:rPr>
                <w:rFonts w:hint="eastAsia" w:ascii="宋体" w:hAnsi="宋体" w:eastAsia="宋体" w:cs="宋体"/>
                <w:color w:val="auto"/>
                <w:szCs w:val="21"/>
                <w:highlight w:val="none"/>
                <w:u w:val="single"/>
                <w:shd w:val="clear" w:color="auto" w:fill="auto"/>
              </w:rPr>
              <w:t>3</w:t>
            </w:r>
            <w:r>
              <w:rPr>
                <w:rFonts w:hint="eastAsia" w:ascii="宋体" w:hAnsi="宋体" w:eastAsia="宋体" w:cs="宋体"/>
                <w:color w:val="auto"/>
                <w:szCs w:val="21"/>
                <w:highlight w:val="none"/>
                <w:shd w:val="clear" w:color="auto" w:fill="auto"/>
              </w:rPr>
              <w:t>个月的依法缴纳社会保障资金的缴费凭证（专用收据或者社会保险缴纳清单）复印件；依法不需要缴纳社会保障资金的供应商，必须提供相应文件证明不需要缴纳社会保障资金。从成立之日起到投标文件提交截止时间止不足要求月数的只需提供从成立之日起的依法缴纳社会保障资金的相应证明文件]；（</w:t>
            </w:r>
            <w:r>
              <w:rPr>
                <w:rFonts w:hint="eastAsia" w:ascii="宋体" w:hAnsi="宋体" w:eastAsia="宋体" w:cs="宋体"/>
                <w:b/>
                <w:color w:val="auto"/>
                <w:szCs w:val="21"/>
                <w:highlight w:val="none"/>
                <w:shd w:val="clear" w:color="auto" w:fill="auto"/>
              </w:rPr>
              <w:t>必须提供，否则按无效投标处理</w:t>
            </w:r>
            <w:r>
              <w:rPr>
                <w:rFonts w:hint="eastAsia" w:ascii="宋体" w:hAnsi="宋体" w:eastAsia="宋体" w:cs="宋体"/>
                <w:color w:val="auto"/>
                <w:szCs w:val="21"/>
                <w:highlight w:val="none"/>
                <w:shd w:val="clear" w:color="auto" w:fill="auto"/>
              </w:rPr>
              <w:t>）</w:t>
            </w:r>
          </w:p>
          <w:p w14:paraId="4BB4BB1F">
            <w:pPr>
              <w:keepNext w:val="0"/>
              <w:keepLines w:val="0"/>
              <w:pageBreakBefore w:val="0"/>
              <w:shd w:val="clear" w:color="auto" w:fill="auto"/>
              <w:kinsoku/>
              <w:overflowPunct/>
              <w:bidi w:val="0"/>
              <w:snapToGrid w:val="0"/>
              <w:spacing w:line="360" w:lineRule="auto"/>
              <w:ind w:firstLine="420" w:firstLineChars="200"/>
              <w:jc w:val="left"/>
              <w:rPr>
                <w:rFonts w:hint="eastAsia" w:ascii="宋体" w:hAnsi="宋体" w:eastAsia="宋体" w:cs="宋体"/>
                <w:b/>
                <w:color w:val="auto"/>
                <w:szCs w:val="21"/>
                <w:highlight w:val="none"/>
                <w:shd w:val="clear" w:color="auto" w:fill="auto"/>
              </w:rPr>
            </w:pPr>
            <w:r>
              <w:rPr>
                <w:rFonts w:hint="eastAsia" w:ascii="宋体" w:hAnsi="宋体" w:eastAsia="宋体" w:cs="宋体"/>
                <w:color w:val="auto"/>
                <w:szCs w:val="21"/>
                <w:highlight w:val="none"/>
                <w:shd w:val="clear" w:color="auto" w:fill="auto"/>
              </w:rPr>
              <w:t>4.投标人财务状况报告（202</w:t>
            </w:r>
            <w:r>
              <w:rPr>
                <w:rFonts w:hint="eastAsia" w:ascii="宋体" w:hAnsi="宋体" w:eastAsia="宋体" w:cs="宋体"/>
                <w:color w:val="auto"/>
                <w:szCs w:val="21"/>
                <w:highlight w:val="none"/>
                <w:shd w:val="clear" w:color="auto" w:fill="auto"/>
                <w:lang w:val="en-US" w:eastAsia="zh-CN"/>
              </w:rPr>
              <w:t>4</w:t>
            </w:r>
            <w:r>
              <w:rPr>
                <w:rFonts w:hint="eastAsia" w:ascii="宋体" w:hAnsi="宋体" w:eastAsia="宋体" w:cs="宋体"/>
                <w:color w:val="auto"/>
                <w:szCs w:val="21"/>
                <w:highlight w:val="none"/>
                <w:shd w:val="clear" w:color="auto" w:fill="auto"/>
              </w:rPr>
              <w:t>年度财务报表复印件</w:t>
            </w:r>
            <w:r>
              <w:rPr>
                <w:rFonts w:hint="eastAsia" w:ascii="宋体" w:hAnsi="宋体" w:eastAsia="宋体" w:cs="宋体"/>
                <w:color w:val="auto"/>
                <w:szCs w:val="21"/>
                <w:highlight w:val="none"/>
                <w:shd w:val="clear" w:color="auto" w:fill="auto"/>
                <w:lang w:eastAsia="zh-CN"/>
              </w:rPr>
              <w:t>，</w:t>
            </w:r>
            <w:r>
              <w:rPr>
                <w:rFonts w:hint="eastAsia" w:ascii="宋体" w:hAnsi="宋体" w:eastAsia="宋体" w:cs="宋体"/>
                <w:color w:val="auto"/>
                <w:szCs w:val="21"/>
                <w:highlight w:val="none"/>
                <w:shd w:val="clear" w:color="auto" w:fill="auto"/>
              </w:rPr>
              <w:t>或者银行出具的资信证明，或者中国人民银行征信中心出具的信用报告（企业投标的提供企业信用报告，自然人投标的提供个人信用报告，投标人属于成立时间在规定年度之后的法人或其他组织，需提供成立之日起至投标截止时间前的月报表或银行出具的资信证明或者中国人民银行征信中心出具的企业信用报告；资信证明应在有效期内，未注明有效期的，银行出具时间至投标截止时间不超过一年）；（</w:t>
            </w:r>
            <w:r>
              <w:rPr>
                <w:rFonts w:hint="eastAsia" w:ascii="宋体" w:hAnsi="宋体" w:eastAsia="宋体" w:cs="宋体"/>
                <w:b/>
                <w:color w:val="auto"/>
                <w:szCs w:val="21"/>
                <w:highlight w:val="none"/>
                <w:shd w:val="clear" w:color="auto" w:fill="auto"/>
              </w:rPr>
              <w:t>必须提供，否则按无效投标处理</w:t>
            </w:r>
            <w:r>
              <w:rPr>
                <w:rFonts w:hint="eastAsia" w:ascii="宋体" w:hAnsi="宋体" w:eastAsia="宋体" w:cs="宋体"/>
                <w:color w:val="auto"/>
                <w:szCs w:val="21"/>
                <w:highlight w:val="none"/>
                <w:shd w:val="clear" w:color="auto" w:fill="auto"/>
              </w:rPr>
              <w:t>）</w:t>
            </w:r>
          </w:p>
          <w:p w14:paraId="1251A61A">
            <w:pPr>
              <w:keepNext w:val="0"/>
              <w:keepLines w:val="0"/>
              <w:pageBreakBefore w:val="0"/>
              <w:shd w:val="clear" w:color="auto" w:fill="auto"/>
              <w:kinsoku/>
              <w:overflowPunct/>
              <w:bidi w:val="0"/>
              <w:snapToGrid w:val="0"/>
              <w:spacing w:line="360" w:lineRule="auto"/>
              <w:ind w:firstLine="420" w:firstLineChars="20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5.投标人直接控股、管理关系信息表（格式后附）；（</w:t>
            </w:r>
            <w:r>
              <w:rPr>
                <w:rFonts w:hint="eastAsia" w:ascii="宋体" w:hAnsi="宋体" w:eastAsia="宋体" w:cs="宋体"/>
                <w:b/>
                <w:color w:val="auto"/>
                <w:szCs w:val="21"/>
                <w:highlight w:val="none"/>
                <w:shd w:val="clear" w:color="auto" w:fill="auto"/>
              </w:rPr>
              <w:t>必须提供，否则按无效投标处理</w:t>
            </w:r>
            <w:r>
              <w:rPr>
                <w:rFonts w:hint="eastAsia" w:ascii="宋体" w:hAnsi="宋体" w:eastAsia="宋体" w:cs="宋体"/>
                <w:color w:val="auto"/>
                <w:szCs w:val="21"/>
                <w:highlight w:val="none"/>
                <w:shd w:val="clear" w:color="auto" w:fill="auto"/>
              </w:rPr>
              <w:t>）</w:t>
            </w:r>
          </w:p>
          <w:p w14:paraId="6FD24E2E">
            <w:pPr>
              <w:keepNext w:val="0"/>
              <w:keepLines w:val="0"/>
              <w:pageBreakBefore w:val="0"/>
              <w:shd w:val="clear" w:color="auto" w:fill="auto"/>
              <w:kinsoku/>
              <w:overflowPunct/>
              <w:bidi w:val="0"/>
              <w:snapToGrid w:val="0"/>
              <w:spacing w:line="360" w:lineRule="auto"/>
              <w:ind w:firstLine="420" w:firstLineChars="20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6.投标声明（格式后附）；（</w:t>
            </w:r>
            <w:r>
              <w:rPr>
                <w:rFonts w:hint="eastAsia" w:ascii="宋体" w:hAnsi="宋体" w:eastAsia="宋体" w:cs="宋体"/>
                <w:b/>
                <w:color w:val="auto"/>
                <w:szCs w:val="21"/>
                <w:highlight w:val="none"/>
                <w:shd w:val="clear" w:color="auto" w:fill="auto"/>
              </w:rPr>
              <w:t>必须提供，否则按无效投标处理</w:t>
            </w:r>
            <w:r>
              <w:rPr>
                <w:rFonts w:hint="eastAsia" w:ascii="宋体" w:hAnsi="宋体" w:eastAsia="宋体" w:cs="宋体"/>
                <w:color w:val="auto"/>
                <w:szCs w:val="21"/>
                <w:highlight w:val="none"/>
                <w:shd w:val="clear" w:color="auto" w:fill="auto"/>
              </w:rPr>
              <w:t>）</w:t>
            </w:r>
          </w:p>
          <w:p w14:paraId="24029961">
            <w:pPr>
              <w:keepNext w:val="0"/>
              <w:keepLines w:val="0"/>
              <w:pageBreakBefore w:val="0"/>
              <w:shd w:val="clear" w:color="auto" w:fill="auto"/>
              <w:kinsoku/>
              <w:overflowPunct/>
              <w:bidi w:val="0"/>
              <w:snapToGrid w:val="0"/>
              <w:spacing w:line="360" w:lineRule="auto"/>
              <w:ind w:firstLine="420" w:firstLineChars="200"/>
              <w:jc w:val="left"/>
              <w:rPr>
                <w:rFonts w:hint="default" w:ascii="宋体" w:hAnsi="宋体" w:eastAsia="宋体" w:cs="宋体"/>
                <w:color w:val="FF0000"/>
                <w:szCs w:val="21"/>
                <w:highlight w:val="yellow"/>
                <w:shd w:val="clear" w:color="auto" w:fill="auto"/>
                <w:lang w:val="en-US" w:eastAsia="zh-CN"/>
              </w:rPr>
            </w:pPr>
            <w:r>
              <w:rPr>
                <w:rFonts w:hint="eastAsia" w:ascii="宋体" w:hAnsi="宋体" w:cs="宋体"/>
                <w:color w:val="auto"/>
                <w:szCs w:val="21"/>
                <w:highlight w:val="none"/>
                <w:shd w:val="clear" w:color="auto" w:fill="auto"/>
                <w:lang w:val="en-US" w:eastAsia="zh-CN"/>
              </w:rPr>
              <w:t>7</w:t>
            </w:r>
            <w:r>
              <w:rPr>
                <w:rFonts w:hint="eastAsia" w:ascii="宋体" w:hAnsi="宋体" w:eastAsia="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lang w:val="en-US" w:eastAsia="zh-CN"/>
              </w:rPr>
              <w:t>中小企业声明函或者分包意向协议及分包承诺书</w:t>
            </w:r>
            <w:r>
              <w:rPr>
                <w:rFonts w:hint="eastAsia" w:ascii="宋体" w:hAnsi="宋体" w:eastAsia="宋体" w:cs="宋体"/>
                <w:color w:val="auto"/>
                <w:szCs w:val="21"/>
                <w:highlight w:val="none"/>
                <w:shd w:val="clear" w:color="auto"/>
                <w:lang w:val="en-US" w:eastAsia="zh-CN"/>
              </w:rPr>
              <w:t>[</w:t>
            </w:r>
            <w:r>
              <w:rPr>
                <w:rFonts w:hint="eastAsia" w:ascii="宋体" w:hAnsi="宋体" w:cs="宋体"/>
                <w:color w:val="auto"/>
                <w:szCs w:val="21"/>
                <w:highlight w:val="none"/>
                <w:shd w:val="clear" w:color="auto"/>
                <w:lang w:val="en-US" w:eastAsia="zh-CN"/>
              </w:rPr>
              <w:t>投标人若为中小微企业（监狱企业或者残疾人福利性单位依据规定视为小型、微型企业），则提供《中小企业声明函》即可；投标人以合同分包形式参加政府采购活动的，请在分包意向协议中明确中小微企业合同金额达到的比例，要求中小微企业获得的合同金额不低于合同总金额的40%，分包给一家或者多家中小企业，同时提供《中小企业声明函》及分包意向协议。须在《中小企业声明函》中填写签订分包意向协议的中小企业相关信息，投标人不以合同分包形式参加政府采购活动的，则不需要提供分包意向协议及分包承诺书。</w:t>
            </w:r>
            <w:r>
              <w:rPr>
                <w:rFonts w:hint="eastAsia" w:ascii="宋体" w:hAnsi="宋体" w:eastAsia="宋体" w:cs="宋体"/>
                <w:color w:val="auto"/>
                <w:sz w:val="21"/>
                <w:szCs w:val="21"/>
                <w:highlight w:val="none"/>
                <w:shd w:val="clear"/>
              </w:rPr>
              <w:t>（</w:t>
            </w:r>
            <w:r>
              <w:rPr>
                <w:rFonts w:hint="eastAsia" w:ascii="宋体" w:hAnsi="宋体" w:eastAsia="宋体" w:cs="宋体"/>
                <w:color w:val="auto"/>
                <w:sz w:val="21"/>
                <w:szCs w:val="21"/>
                <w:highlight w:val="none"/>
                <w:shd w:val="clear"/>
                <w:lang w:val="en-US" w:eastAsia="zh-CN"/>
              </w:rPr>
              <w:t>格式后附</w:t>
            </w:r>
            <w:r>
              <w:rPr>
                <w:rFonts w:hint="eastAsia" w:ascii="宋体" w:hAnsi="宋体" w:eastAsia="宋体" w:cs="宋体"/>
                <w:color w:val="auto"/>
                <w:sz w:val="21"/>
                <w:szCs w:val="21"/>
                <w:highlight w:val="none"/>
                <w:shd w:val="clear"/>
              </w:rPr>
              <w:t>）</w:t>
            </w:r>
            <w:r>
              <w:rPr>
                <w:rFonts w:hint="eastAsia" w:ascii="宋体" w:hAnsi="宋体" w:cs="宋体"/>
                <w:color w:val="auto"/>
                <w:szCs w:val="21"/>
                <w:highlight w:val="none"/>
                <w:shd w:val="clear" w:color="auto"/>
                <w:lang w:val="en-US" w:eastAsia="zh-CN"/>
              </w:rPr>
              <w:t>（如是，请提供）</w:t>
            </w:r>
          </w:p>
          <w:p w14:paraId="7B093379">
            <w:pPr>
              <w:keepNext w:val="0"/>
              <w:keepLines w:val="0"/>
              <w:pageBreakBefore w:val="0"/>
              <w:shd w:val="clear" w:color="auto" w:fill="auto"/>
              <w:kinsoku/>
              <w:overflowPunct/>
              <w:bidi w:val="0"/>
              <w:snapToGrid w:val="0"/>
              <w:spacing w:line="360" w:lineRule="auto"/>
              <w:ind w:firstLine="420" w:firstLineChars="200"/>
              <w:jc w:val="left"/>
              <w:rPr>
                <w:rFonts w:hint="eastAsia"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8.</w:t>
            </w:r>
            <w:r>
              <w:rPr>
                <w:rFonts w:hint="eastAsia" w:ascii="宋体" w:hAnsi="宋体" w:eastAsia="宋体" w:cs="宋体"/>
                <w:color w:val="auto"/>
                <w:szCs w:val="21"/>
                <w:highlight w:val="none"/>
              </w:rPr>
              <w:t>参加政府采购活动前三年内在经营活动中没有重大违法记录和不良信用记录的书面声明。（</w:t>
            </w:r>
            <w:r>
              <w:rPr>
                <w:rFonts w:hint="eastAsia" w:ascii="宋体" w:hAnsi="宋体" w:eastAsia="宋体" w:cs="宋体"/>
                <w:b/>
                <w:color w:val="auto"/>
                <w:szCs w:val="21"/>
                <w:highlight w:val="none"/>
              </w:rPr>
              <w:t>格式自拟，必须提供</w:t>
            </w:r>
            <w:r>
              <w:rPr>
                <w:rFonts w:hint="eastAsia" w:ascii="宋体" w:hAnsi="宋体" w:eastAsia="宋体" w:cs="宋体"/>
                <w:color w:val="auto"/>
                <w:szCs w:val="21"/>
                <w:highlight w:val="none"/>
              </w:rPr>
              <w:t>）</w:t>
            </w:r>
          </w:p>
          <w:p w14:paraId="6B04A654">
            <w:pPr>
              <w:keepNext w:val="0"/>
              <w:keepLines w:val="0"/>
              <w:pageBreakBefore w:val="0"/>
              <w:shd w:val="clear" w:color="auto" w:fill="auto"/>
              <w:kinsoku/>
              <w:overflowPunct/>
              <w:bidi w:val="0"/>
              <w:snapToGrid w:val="0"/>
              <w:spacing w:line="360" w:lineRule="auto"/>
              <w:ind w:firstLine="420" w:firstLineChars="200"/>
              <w:jc w:val="left"/>
              <w:rPr>
                <w:rFonts w:hint="eastAsia"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9</w:t>
            </w:r>
            <w:r>
              <w:rPr>
                <w:rFonts w:hint="eastAsia" w:ascii="宋体" w:hAnsi="宋体" w:eastAsia="宋体" w:cs="宋体"/>
                <w:color w:val="auto"/>
                <w:szCs w:val="21"/>
                <w:highlight w:val="none"/>
                <w:shd w:val="clear" w:color="auto" w:fill="auto"/>
                <w:lang w:val="en-US" w:eastAsia="zh-CN"/>
              </w:rPr>
              <w:t>.投标人在“信用中国”网站（www.creditchina.gov.cn）、中国政府采购网（www.ccgp.gov.cn）等渠道列入失信被执行人、重大税收违法案件当事人名单、政府采购严重违法失信行为记录名单查询；查询起止时间：招标公告发布之日起至投标文件递交截止时间前。</w:t>
            </w:r>
            <w:r>
              <w:rPr>
                <w:rFonts w:hint="eastAsia" w:ascii="宋体" w:hAnsi="宋体" w:eastAsia="宋体" w:cs="宋体"/>
                <w:b/>
                <w:bCs/>
                <w:color w:val="auto"/>
                <w:szCs w:val="21"/>
                <w:highlight w:val="none"/>
                <w:shd w:val="clear" w:color="auto" w:fill="auto"/>
                <w:lang w:val="en-US" w:eastAsia="zh-CN"/>
              </w:rPr>
              <w:t>（必须提供，否则响应文件按无效响应处理）</w:t>
            </w:r>
          </w:p>
          <w:p w14:paraId="0045567A">
            <w:pPr>
              <w:keepNext w:val="0"/>
              <w:keepLines w:val="0"/>
              <w:pageBreakBefore w:val="0"/>
              <w:shd w:val="clear" w:color="auto" w:fill="auto"/>
              <w:kinsoku/>
              <w:overflowPunct/>
              <w:bidi w:val="0"/>
              <w:snapToGrid w:val="0"/>
              <w:spacing w:line="360" w:lineRule="auto"/>
              <w:ind w:firstLine="420" w:firstLineChars="200"/>
              <w:jc w:val="left"/>
              <w:rPr>
                <w:rFonts w:hint="eastAsia" w:ascii="宋体" w:hAnsi="宋体" w:eastAsia="宋体" w:cs="宋体"/>
                <w:b/>
                <w:color w:val="auto"/>
                <w:szCs w:val="21"/>
                <w:highlight w:val="none"/>
                <w:shd w:val="clear" w:color="auto" w:fill="auto"/>
              </w:rPr>
            </w:pPr>
            <w:r>
              <w:rPr>
                <w:rFonts w:hint="eastAsia" w:ascii="宋体" w:hAnsi="宋体" w:eastAsia="宋体" w:cs="宋体"/>
                <w:color w:val="auto"/>
                <w:szCs w:val="21"/>
                <w:highlight w:val="none"/>
                <w:shd w:val="clear" w:color="auto" w:fill="auto"/>
                <w:lang w:val="en-US" w:eastAsia="zh-CN"/>
              </w:rPr>
              <w:t>10</w:t>
            </w:r>
            <w:r>
              <w:rPr>
                <w:rFonts w:hint="eastAsia" w:ascii="宋体" w:hAnsi="宋体" w:eastAsia="宋体" w:cs="宋体"/>
                <w:color w:val="auto"/>
                <w:szCs w:val="21"/>
                <w:highlight w:val="none"/>
                <w:shd w:val="clear" w:color="auto" w:fill="auto"/>
              </w:rPr>
              <w:t>.除招标文件规定必须提供以外，投标人认为需要提供的其他证明材料。</w:t>
            </w:r>
          </w:p>
          <w:p w14:paraId="7A81FB5A">
            <w:pPr>
              <w:keepNext w:val="0"/>
              <w:keepLines w:val="0"/>
              <w:pageBreakBefore w:val="0"/>
              <w:shd w:val="clear" w:color="auto" w:fill="auto"/>
              <w:kinsoku/>
              <w:overflowPunct/>
              <w:bidi w:val="0"/>
              <w:snapToGrid w:val="0"/>
              <w:spacing w:line="360" w:lineRule="auto"/>
              <w:jc w:val="left"/>
              <w:rPr>
                <w:rFonts w:hint="eastAsia" w:ascii="宋体" w:hAnsi="宋体" w:eastAsia="宋体" w:cs="宋体"/>
                <w:b/>
                <w:color w:val="auto"/>
                <w:szCs w:val="21"/>
                <w:highlight w:val="none"/>
                <w:shd w:val="clear" w:color="auto" w:fill="auto"/>
              </w:rPr>
            </w:pPr>
            <w:r>
              <w:rPr>
                <w:rFonts w:hint="eastAsia" w:ascii="宋体" w:hAnsi="宋体" w:eastAsia="宋体" w:cs="宋体"/>
                <w:b/>
                <w:bCs/>
                <w:color w:val="auto"/>
                <w:szCs w:val="21"/>
                <w:highlight w:val="none"/>
                <w:shd w:val="clear" w:color="auto" w:fill="auto"/>
              </w:rPr>
              <w:t>注：1.</w:t>
            </w:r>
            <w:r>
              <w:rPr>
                <w:rFonts w:hint="eastAsia" w:ascii="宋体" w:hAnsi="宋体" w:eastAsia="宋体" w:cs="宋体"/>
                <w:b/>
                <w:bCs/>
                <w:szCs w:val="21"/>
              </w:rPr>
              <w:t>以上标明“必须提供”的材料，格式</w:t>
            </w:r>
            <w:r>
              <w:rPr>
                <w:rFonts w:hint="eastAsia" w:ascii="宋体" w:hAnsi="宋体" w:eastAsia="宋体" w:cs="宋体"/>
                <w:b/>
                <w:szCs w:val="21"/>
              </w:rPr>
              <w:t>中有要求法定代表人或者委托代理人签字的，必须按要求签字并加盖投标人电子签章</w:t>
            </w:r>
            <w:r>
              <w:rPr>
                <w:rFonts w:hint="eastAsia" w:ascii="宋体" w:hAnsi="宋体" w:eastAsia="宋体" w:cs="宋体"/>
                <w:b/>
                <w:bCs/>
                <w:szCs w:val="21"/>
              </w:rPr>
              <w:t>，否则按无效投标</w:t>
            </w:r>
            <w:r>
              <w:rPr>
                <w:rFonts w:hint="eastAsia" w:ascii="宋体" w:hAnsi="宋体" w:eastAsia="宋体" w:cs="宋体"/>
                <w:b/>
                <w:szCs w:val="21"/>
              </w:rPr>
              <w:t>处理</w:t>
            </w:r>
            <w:r>
              <w:rPr>
                <w:rFonts w:hint="eastAsia" w:ascii="宋体" w:hAnsi="宋体" w:eastAsia="宋体" w:cs="宋体"/>
                <w:b/>
                <w:color w:val="auto"/>
                <w:szCs w:val="21"/>
                <w:highlight w:val="none"/>
                <w:shd w:val="clear" w:color="auto" w:fill="auto"/>
              </w:rPr>
              <w:t>。</w:t>
            </w:r>
          </w:p>
          <w:p w14:paraId="2BE849E6">
            <w:pPr>
              <w:keepNext w:val="0"/>
              <w:keepLines w:val="0"/>
              <w:pageBreakBefore w:val="0"/>
              <w:shd w:val="clear" w:color="auto" w:fill="auto"/>
              <w:kinsoku/>
              <w:overflowPunct/>
              <w:bidi w:val="0"/>
              <w:snapToGrid w:val="0"/>
              <w:spacing w:line="360" w:lineRule="auto"/>
              <w:ind w:firstLine="422" w:firstLineChars="200"/>
              <w:jc w:val="left"/>
              <w:rPr>
                <w:rFonts w:hint="eastAsia" w:ascii="宋体" w:hAnsi="宋体" w:eastAsia="宋体" w:cs="宋体"/>
                <w:b/>
                <w:bCs/>
                <w:color w:val="auto"/>
                <w:szCs w:val="21"/>
                <w:highlight w:val="none"/>
                <w:shd w:val="clear" w:color="auto" w:fill="auto"/>
              </w:rPr>
            </w:pPr>
            <w:r>
              <w:rPr>
                <w:rFonts w:hint="eastAsia" w:ascii="宋体" w:hAnsi="宋体" w:eastAsia="宋体" w:cs="宋体"/>
                <w:b/>
                <w:bCs/>
                <w:color w:val="auto"/>
                <w:szCs w:val="21"/>
                <w:highlight w:val="none"/>
                <w:shd w:val="clear" w:color="auto" w:fill="auto"/>
              </w:rPr>
              <w:t>2.联合体投标时，第1-</w:t>
            </w:r>
            <w:r>
              <w:rPr>
                <w:rFonts w:hint="eastAsia" w:ascii="宋体" w:hAnsi="宋体" w:eastAsia="宋体" w:cs="宋体"/>
                <w:b/>
                <w:bCs/>
                <w:color w:val="auto"/>
                <w:szCs w:val="21"/>
                <w:highlight w:val="none"/>
                <w:shd w:val="clear" w:color="auto" w:fill="auto"/>
                <w:lang w:val="en-US" w:eastAsia="zh-CN"/>
              </w:rPr>
              <w:t>6</w:t>
            </w:r>
            <w:r>
              <w:rPr>
                <w:rFonts w:hint="eastAsia" w:ascii="宋体" w:hAnsi="宋体" w:eastAsia="宋体" w:cs="宋体"/>
                <w:b/>
                <w:bCs/>
                <w:color w:val="auto"/>
                <w:szCs w:val="21"/>
                <w:highlight w:val="none"/>
                <w:shd w:val="clear" w:color="auto" w:fill="auto"/>
              </w:rPr>
              <w:t>项资格证明文件联合体各方均必须分别提供，联合体各方分别盖章和签字（或者电子签名），否则按无效投标</w:t>
            </w:r>
            <w:r>
              <w:rPr>
                <w:rFonts w:hint="eastAsia" w:ascii="宋体" w:hAnsi="宋体" w:eastAsia="宋体" w:cs="宋体"/>
                <w:b/>
                <w:color w:val="auto"/>
                <w:szCs w:val="21"/>
                <w:highlight w:val="none"/>
                <w:shd w:val="clear" w:color="auto" w:fill="auto"/>
              </w:rPr>
              <w:t>处理</w:t>
            </w:r>
            <w:r>
              <w:rPr>
                <w:rFonts w:hint="eastAsia" w:ascii="宋体" w:hAnsi="宋体" w:eastAsia="宋体" w:cs="宋体"/>
                <w:b/>
                <w:bCs/>
                <w:color w:val="auto"/>
                <w:szCs w:val="21"/>
                <w:highlight w:val="none"/>
                <w:shd w:val="clear" w:color="auto" w:fill="auto"/>
              </w:rPr>
              <w:t>。</w:t>
            </w:r>
          </w:p>
          <w:p w14:paraId="7796AB66">
            <w:pPr>
              <w:keepNext w:val="0"/>
              <w:keepLines w:val="0"/>
              <w:pageBreakBefore w:val="0"/>
              <w:shd w:val="clear" w:color="auto" w:fill="auto"/>
              <w:kinsoku/>
              <w:overflowPunct/>
              <w:bidi w:val="0"/>
              <w:snapToGrid w:val="0"/>
              <w:spacing w:line="360" w:lineRule="auto"/>
              <w:ind w:firstLine="422" w:firstLineChars="200"/>
              <w:jc w:val="left"/>
              <w:rPr>
                <w:rFonts w:hint="eastAsia" w:ascii="宋体" w:hAnsi="宋体" w:eastAsia="宋体" w:cs="宋体"/>
                <w:b/>
                <w:bCs/>
                <w:color w:val="auto"/>
                <w:szCs w:val="21"/>
                <w:highlight w:val="none"/>
                <w:shd w:val="clear" w:color="auto" w:fill="auto"/>
              </w:rPr>
            </w:pPr>
            <w:r>
              <w:rPr>
                <w:rFonts w:hint="eastAsia" w:ascii="宋体" w:hAnsi="宋体" w:eastAsia="宋体" w:cs="宋体"/>
                <w:b/>
                <w:bCs/>
                <w:color w:val="auto"/>
                <w:szCs w:val="21"/>
                <w:highlight w:val="none"/>
                <w:shd w:val="clear" w:color="auto" w:fill="auto"/>
              </w:rPr>
              <w:t>3.分公司参加投标的，应当取得总公司授权。</w:t>
            </w:r>
          </w:p>
        </w:tc>
      </w:tr>
      <w:tr w14:paraId="537485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17" w:type="dxa"/>
            <w:vMerge w:val="continue"/>
            <w:tcBorders>
              <w:left w:val="single" w:color="auto" w:sz="4" w:space="0"/>
              <w:right w:val="single" w:color="auto" w:sz="4" w:space="0"/>
            </w:tcBorders>
            <w:vAlign w:val="center"/>
          </w:tcPr>
          <w:p w14:paraId="5691CCB6">
            <w:pPr>
              <w:keepNext w:val="0"/>
              <w:keepLines w:val="0"/>
              <w:pageBreakBefore w:val="0"/>
              <w:shd w:val="clear" w:color="auto" w:fill="auto"/>
              <w:kinsoku/>
              <w:overflowPunct/>
              <w:bidi w:val="0"/>
              <w:spacing w:line="360" w:lineRule="auto"/>
              <w:rPr>
                <w:rFonts w:hint="eastAsia" w:ascii="宋体" w:hAnsi="宋体" w:eastAsia="宋体" w:cs="宋体"/>
                <w:color w:val="auto"/>
                <w:szCs w:val="21"/>
                <w:highlight w:val="none"/>
                <w:shd w:val="clear" w:color="auto" w:fill="auto"/>
              </w:rPr>
            </w:pPr>
            <w:bookmarkStart w:id="45" w:name="_13.3"/>
            <w:bookmarkEnd w:id="45"/>
          </w:p>
        </w:tc>
        <w:tc>
          <w:tcPr>
            <w:tcW w:w="8409" w:type="dxa"/>
            <w:tcBorders>
              <w:top w:val="single" w:color="auto" w:sz="4" w:space="0"/>
              <w:left w:val="single" w:color="auto" w:sz="4" w:space="0"/>
              <w:bottom w:val="single" w:color="auto" w:sz="4" w:space="0"/>
              <w:right w:val="single" w:color="auto" w:sz="4" w:space="0"/>
            </w:tcBorders>
            <w:vAlign w:val="center"/>
          </w:tcPr>
          <w:p w14:paraId="4C86E389">
            <w:pPr>
              <w:keepNext w:val="0"/>
              <w:keepLines w:val="0"/>
              <w:pageBreakBefore w:val="0"/>
              <w:shd w:val="clear" w:color="auto" w:fill="auto"/>
              <w:kinsoku/>
              <w:overflowPunct/>
              <w:bidi w:val="0"/>
              <w:snapToGrid w:val="0"/>
              <w:spacing w:line="360" w:lineRule="auto"/>
              <w:jc w:val="left"/>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商务</w:t>
            </w:r>
            <w:r>
              <w:rPr>
                <w:rFonts w:hint="eastAsia" w:ascii="宋体" w:hAnsi="宋体" w:eastAsia="宋体" w:cs="宋体"/>
                <w:b/>
                <w:color w:val="auto"/>
                <w:szCs w:val="21"/>
                <w:highlight w:val="none"/>
                <w:shd w:val="clear" w:color="auto" w:fill="auto"/>
                <w:lang w:val="en-US" w:eastAsia="zh-CN"/>
              </w:rPr>
              <w:t>及技术</w:t>
            </w:r>
            <w:r>
              <w:rPr>
                <w:rFonts w:hint="eastAsia" w:ascii="宋体" w:hAnsi="宋体" w:eastAsia="宋体" w:cs="宋体"/>
                <w:b/>
                <w:color w:val="auto"/>
                <w:szCs w:val="21"/>
                <w:highlight w:val="none"/>
                <w:shd w:val="clear" w:color="auto" w:fill="auto"/>
              </w:rPr>
              <w:t>文件：</w:t>
            </w:r>
          </w:p>
          <w:p w14:paraId="2974F794">
            <w:pPr>
              <w:keepNext w:val="0"/>
              <w:keepLines w:val="0"/>
              <w:pageBreakBefore w:val="0"/>
              <w:shd w:val="clear" w:color="auto" w:fill="auto"/>
              <w:kinsoku/>
              <w:overflowPunct/>
              <w:bidi w:val="0"/>
              <w:snapToGrid w:val="0"/>
              <w:spacing w:line="360" w:lineRule="auto"/>
              <w:ind w:left="413"/>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1.无串通投标行为的承诺函（格式后附）；（</w:t>
            </w:r>
            <w:r>
              <w:rPr>
                <w:rFonts w:hint="eastAsia" w:ascii="宋体" w:hAnsi="宋体" w:eastAsia="宋体" w:cs="宋体"/>
                <w:b/>
                <w:color w:val="auto"/>
                <w:szCs w:val="21"/>
                <w:highlight w:val="none"/>
                <w:shd w:val="clear" w:color="auto" w:fill="auto"/>
              </w:rPr>
              <w:t>必须提供，否则按无效投标处理</w:t>
            </w:r>
            <w:r>
              <w:rPr>
                <w:rFonts w:hint="eastAsia" w:ascii="宋体" w:hAnsi="宋体" w:eastAsia="宋体" w:cs="宋体"/>
                <w:color w:val="auto"/>
                <w:szCs w:val="21"/>
                <w:highlight w:val="none"/>
                <w:shd w:val="clear" w:color="auto" w:fill="auto"/>
              </w:rPr>
              <w:t>）</w:t>
            </w:r>
          </w:p>
          <w:p w14:paraId="56935B2F">
            <w:pPr>
              <w:keepNext w:val="0"/>
              <w:keepLines w:val="0"/>
              <w:pageBreakBefore w:val="0"/>
              <w:shd w:val="clear" w:color="auto" w:fill="auto"/>
              <w:kinsoku/>
              <w:overflowPunct/>
              <w:bidi w:val="0"/>
              <w:snapToGrid w:val="0"/>
              <w:spacing w:line="360" w:lineRule="auto"/>
              <w:ind w:firstLine="420" w:firstLineChars="20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2.投标保证金提交凭证；（</w:t>
            </w:r>
            <w:r>
              <w:rPr>
                <w:rFonts w:hint="eastAsia" w:ascii="宋体" w:hAnsi="宋体" w:eastAsia="宋体" w:cs="宋体"/>
                <w:b/>
                <w:bCs/>
                <w:color w:val="auto"/>
                <w:highlight w:val="none"/>
                <w:shd w:val="clear" w:color="auto" w:fill="auto"/>
              </w:rPr>
              <w:t>如要求提交投标保证金的则必须提供</w:t>
            </w:r>
            <w:r>
              <w:rPr>
                <w:rFonts w:hint="eastAsia" w:ascii="宋体" w:hAnsi="宋体" w:eastAsia="宋体" w:cs="宋体"/>
                <w:b/>
                <w:color w:val="auto"/>
                <w:szCs w:val="21"/>
                <w:highlight w:val="none"/>
                <w:shd w:val="clear" w:color="auto" w:fill="auto"/>
              </w:rPr>
              <w:t>，否则按无效投标处理</w:t>
            </w:r>
            <w:r>
              <w:rPr>
                <w:rFonts w:hint="eastAsia" w:ascii="宋体" w:hAnsi="宋体" w:eastAsia="宋体" w:cs="宋体"/>
                <w:color w:val="auto"/>
                <w:szCs w:val="21"/>
                <w:highlight w:val="none"/>
                <w:shd w:val="clear" w:color="auto" w:fill="auto"/>
              </w:rPr>
              <w:t>）</w:t>
            </w:r>
          </w:p>
          <w:p w14:paraId="1725BE32">
            <w:pPr>
              <w:keepNext w:val="0"/>
              <w:keepLines w:val="0"/>
              <w:pageBreakBefore w:val="0"/>
              <w:shd w:val="clear" w:color="auto" w:fill="auto"/>
              <w:kinsoku/>
              <w:overflowPunct/>
              <w:bidi w:val="0"/>
              <w:snapToGrid w:val="0"/>
              <w:spacing w:line="360" w:lineRule="auto"/>
              <w:ind w:firstLine="420" w:firstLineChars="20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3.法定代表人身份证明及法定代表人有效身份证正反面复印件（格式后附）；（</w:t>
            </w:r>
            <w:r>
              <w:rPr>
                <w:rFonts w:hint="eastAsia" w:ascii="宋体" w:hAnsi="宋体" w:eastAsia="宋体" w:cs="宋体"/>
                <w:b/>
                <w:bCs/>
                <w:color w:val="auto"/>
                <w:szCs w:val="21"/>
                <w:highlight w:val="none"/>
                <w:shd w:val="clear" w:color="auto" w:fill="auto"/>
              </w:rPr>
              <w:t>除自然人投标外</w:t>
            </w:r>
            <w:r>
              <w:rPr>
                <w:rFonts w:hint="eastAsia" w:ascii="宋体" w:hAnsi="宋体" w:eastAsia="宋体" w:cs="宋体"/>
                <w:b/>
                <w:color w:val="auto"/>
                <w:szCs w:val="21"/>
                <w:highlight w:val="none"/>
                <w:shd w:val="clear" w:color="auto" w:fill="auto"/>
              </w:rPr>
              <w:t>必须提供，否则按无效投标处理</w:t>
            </w:r>
            <w:r>
              <w:rPr>
                <w:rFonts w:hint="eastAsia" w:ascii="宋体" w:hAnsi="宋体" w:eastAsia="宋体" w:cs="宋体"/>
                <w:color w:val="auto"/>
                <w:szCs w:val="21"/>
                <w:highlight w:val="none"/>
                <w:shd w:val="clear" w:color="auto" w:fill="auto"/>
              </w:rPr>
              <w:t>）</w:t>
            </w:r>
          </w:p>
          <w:p w14:paraId="12CEC05C">
            <w:pPr>
              <w:keepNext w:val="0"/>
              <w:keepLines w:val="0"/>
              <w:pageBreakBefore w:val="0"/>
              <w:shd w:val="clear" w:color="auto" w:fill="auto"/>
              <w:kinsoku/>
              <w:overflowPunct/>
              <w:bidi w:val="0"/>
              <w:snapToGrid w:val="0"/>
              <w:spacing w:line="360" w:lineRule="auto"/>
              <w:ind w:firstLine="420" w:firstLineChars="20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4.授权委托书及委托代理人有效身份证正反面复印件（格式后附）；（</w:t>
            </w:r>
            <w:r>
              <w:rPr>
                <w:rFonts w:hint="eastAsia" w:ascii="宋体" w:hAnsi="宋体" w:eastAsia="宋体" w:cs="宋体"/>
                <w:b/>
                <w:color w:val="auto"/>
                <w:szCs w:val="21"/>
                <w:highlight w:val="none"/>
                <w:shd w:val="clear" w:color="auto" w:fill="auto"/>
              </w:rPr>
              <w:t>委托时必须提供，否则按无效投标处理</w:t>
            </w:r>
            <w:r>
              <w:rPr>
                <w:rFonts w:hint="eastAsia" w:ascii="宋体" w:hAnsi="宋体" w:eastAsia="宋体" w:cs="宋体"/>
                <w:color w:val="auto"/>
                <w:szCs w:val="21"/>
                <w:highlight w:val="none"/>
                <w:shd w:val="clear" w:color="auto" w:fill="auto"/>
              </w:rPr>
              <w:t>）</w:t>
            </w:r>
          </w:p>
          <w:p w14:paraId="5A572CF5">
            <w:pPr>
              <w:keepNext w:val="0"/>
              <w:keepLines w:val="0"/>
              <w:pageBreakBefore w:val="0"/>
              <w:shd w:val="clear" w:color="auto" w:fill="auto"/>
              <w:kinsoku/>
              <w:overflowPunct/>
              <w:bidi w:val="0"/>
              <w:snapToGrid w:val="0"/>
              <w:spacing w:line="360" w:lineRule="auto"/>
              <w:ind w:left="413"/>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5.商务要求偏离表（格式后附）；（</w:t>
            </w:r>
            <w:r>
              <w:rPr>
                <w:rFonts w:hint="eastAsia" w:ascii="宋体" w:hAnsi="宋体" w:eastAsia="宋体" w:cs="宋体"/>
                <w:b/>
                <w:color w:val="auto"/>
                <w:szCs w:val="21"/>
                <w:highlight w:val="none"/>
                <w:shd w:val="clear" w:color="auto" w:fill="auto"/>
              </w:rPr>
              <w:t>必须提供，否则按无效投标处理</w:t>
            </w:r>
            <w:r>
              <w:rPr>
                <w:rFonts w:hint="eastAsia" w:ascii="宋体" w:hAnsi="宋体" w:eastAsia="宋体" w:cs="宋体"/>
                <w:color w:val="auto"/>
                <w:szCs w:val="21"/>
                <w:highlight w:val="none"/>
                <w:shd w:val="clear" w:color="auto" w:fill="auto"/>
              </w:rPr>
              <w:t>）</w:t>
            </w:r>
          </w:p>
          <w:p w14:paraId="7D567BE3">
            <w:pPr>
              <w:keepNext w:val="0"/>
              <w:keepLines w:val="0"/>
              <w:pageBreakBefore w:val="0"/>
              <w:shd w:val="clear" w:color="auto" w:fill="auto"/>
              <w:kinsoku/>
              <w:overflowPunct/>
              <w:bidi w:val="0"/>
              <w:snapToGrid w:val="0"/>
              <w:spacing w:line="360" w:lineRule="auto"/>
              <w:ind w:firstLine="420" w:firstLineChars="200"/>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rPr>
              <w:t>6.</w:t>
            </w:r>
            <w:r>
              <w:rPr>
                <w:rFonts w:hint="eastAsia" w:ascii="宋体" w:hAnsi="宋体" w:eastAsia="宋体" w:cs="宋体"/>
                <w:color w:val="auto"/>
                <w:szCs w:val="21"/>
                <w:highlight w:val="none"/>
                <w:shd w:val="clear" w:color="auto" w:fill="auto"/>
                <w:lang w:val="en-US" w:eastAsia="zh-CN"/>
              </w:rPr>
              <w:t>技术要求偏离表</w:t>
            </w:r>
            <w:r>
              <w:rPr>
                <w:rFonts w:hint="eastAsia" w:ascii="宋体" w:hAnsi="宋体" w:eastAsia="宋体" w:cs="宋体"/>
                <w:color w:val="auto"/>
                <w:szCs w:val="21"/>
                <w:highlight w:val="none"/>
                <w:shd w:val="clear" w:color="auto" w:fill="auto"/>
              </w:rPr>
              <w:t>（格式后附）；（</w:t>
            </w:r>
            <w:r>
              <w:rPr>
                <w:rFonts w:hint="eastAsia" w:ascii="宋体" w:hAnsi="宋体" w:eastAsia="宋体" w:cs="宋体"/>
                <w:b/>
                <w:color w:val="auto"/>
                <w:szCs w:val="21"/>
                <w:highlight w:val="none"/>
                <w:shd w:val="clear" w:color="auto" w:fill="auto"/>
              </w:rPr>
              <w:t>必须提供，否则按无效投标处理</w:t>
            </w:r>
            <w:r>
              <w:rPr>
                <w:rFonts w:hint="eastAsia" w:ascii="宋体" w:hAnsi="宋体" w:eastAsia="宋体" w:cs="宋体"/>
                <w:color w:val="auto"/>
                <w:szCs w:val="21"/>
                <w:highlight w:val="none"/>
                <w:shd w:val="clear" w:color="auto" w:fill="auto"/>
              </w:rPr>
              <w:t>）</w:t>
            </w:r>
          </w:p>
          <w:p w14:paraId="19952856">
            <w:pPr>
              <w:keepNext w:val="0"/>
              <w:keepLines w:val="0"/>
              <w:pageBreakBefore w:val="0"/>
              <w:shd w:val="clear" w:color="auto" w:fill="auto"/>
              <w:kinsoku/>
              <w:overflowPunct/>
              <w:bidi w:val="0"/>
              <w:snapToGrid w:val="0"/>
              <w:spacing w:line="360" w:lineRule="auto"/>
              <w:ind w:firstLine="420" w:firstLineChars="20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类似成功案例的业绩</w:t>
            </w:r>
            <w:r>
              <w:rPr>
                <w:rFonts w:hint="eastAsia" w:ascii="宋体" w:hAnsi="宋体" w:eastAsia="宋体" w:cs="宋体"/>
                <w:color w:val="auto"/>
                <w:szCs w:val="21"/>
                <w:highlight w:val="none"/>
                <w:shd w:val="clear" w:color="auto" w:fill="auto"/>
              </w:rPr>
              <w:t>（</w:t>
            </w:r>
            <w:r>
              <w:rPr>
                <w:rFonts w:hint="eastAsia" w:ascii="宋体" w:hAnsi="宋体" w:eastAsia="宋体" w:cs="宋体"/>
                <w:color w:val="auto"/>
                <w:szCs w:val="21"/>
                <w:highlight w:val="none"/>
              </w:rPr>
              <w:t>投标人同类项目实施情况一览表、合同扫描件等，格式可自行调整</w:t>
            </w:r>
            <w:r>
              <w:rPr>
                <w:rFonts w:hint="eastAsia" w:ascii="宋体" w:hAnsi="宋体" w:eastAsia="宋体" w:cs="宋体"/>
                <w:color w:val="auto"/>
                <w:szCs w:val="21"/>
                <w:highlight w:val="none"/>
                <w:shd w:val="clear" w:color="auto" w:fill="auto"/>
              </w:rPr>
              <w:t>）；</w:t>
            </w:r>
          </w:p>
          <w:p w14:paraId="58499B63">
            <w:pPr>
              <w:keepNext w:val="0"/>
              <w:keepLines w:val="0"/>
              <w:pageBreakBefore w:val="0"/>
              <w:shd w:val="clear" w:color="auto" w:fill="auto"/>
              <w:kinsoku/>
              <w:overflowPunct/>
              <w:bidi w:val="0"/>
              <w:snapToGrid w:val="0"/>
              <w:spacing w:line="360" w:lineRule="auto"/>
              <w:ind w:left="413"/>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8</w:t>
            </w:r>
            <w:r>
              <w:rPr>
                <w:rFonts w:hint="eastAsia" w:ascii="宋体" w:hAnsi="宋体" w:eastAsia="宋体" w:cs="宋体"/>
                <w:color w:val="auto"/>
                <w:szCs w:val="21"/>
                <w:highlight w:val="none"/>
                <w:shd w:val="clear" w:color="auto" w:fill="auto"/>
              </w:rPr>
              <w:t>.</w:t>
            </w:r>
            <w:r>
              <w:rPr>
                <w:rFonts w:hint="eastAsia" w:ascii="宋体" w:hAnsi="宋体" w:eastAsia="宋体" w:cs="宋体"/>
                <w:color w:val="auto"/>
                <w:szCs w:val="21"/>
                <w:highlight w:val="none"/>
                <w:shd w:val="clear" w:color="auto" w:fill="auto"/>
                <w:lang w:val="en-US" w:eastAsia="zh-CN"/>
              </w:rPr>
              <w:t>投标人综合实力材料证明</w:t>
            </w:r>
            <w:r>
              <w:rPr>
                <w:rFonts w:hint="eastAsia" w:ascii="宋体" w:hAnsi="宋体" w:eastAsia="宋体" w:cs="宋体"/>
                <w:color w:val="auto"/>
                <w:szCs w:val="21"/>
                <w:highlight w:val="none"/>
                <w:shd w:val="clear" w:color="auto" w:fill="auto"/>
              </w:rPr>
              <w:t>（格式自拟）；</w:t>
            </w:r>
          </w:p>
          <w:p w14:paraId="24DCD7C4">
            <w:pPr>
              <w:keepNext w:val="0"/>
              <w:keepLines w:val="0"/>
              <w:pageBreakBefore w:val="0"/>
              <w:shd w:val="clear" w:color="auto" w:fill="auto"/>
              <w:kinsoku/>
              <w:overflowPunct/>
              <w:bidi w:val="0"/>
              <w:snapToGrid w:val="0"/>
              <w:spacing w:line="360" w:lineRule="auto"/>
              <w:ind w:firstLine="420" w:firstLineChars="200"/>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9.技术服务方案（格式自拟）</w:t>
            </w:r>
          </w:p>
          <w:p w14:paraId="2EC86BF9">
            <w:pPr>
              <w:keepNext w:val="0"/>
              <w:keepLines w:val="0"/>
              <w:pageBreakBefore w:val="0"/>
              <w:shd w:val="clear" w:color="auto" w:fill="auto"/>
              <w:kinsoku/>
              <w:overflowPunct/>
              <w:bidi w:val="0"/>
              <w:snapToGrid w:val="0"/>
              <w:spacing w:line="360" w:lineRule="auto"/>
              <w:ind w:firstLine="420" w:firstLineChars="200"/>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10.投标人拥有主要服务设施的情况和现状（格式自拟）及项目实施人员一览表；</w:t>
            </w:r>
          </w:p>
          <w:p w14:paraId="797488E9">
            <w:pPr>
              <w:keepNext w:val="0"/>
              <w:keepLines w:val="0"/>
              <w:pageBreakBefore w:val="0"/>
              <w:shd w:val="clear" w:color="auto" w:fill="auto"/>
              <w:kinsoku/>
              <w:overflowPunct/>
              <w:bidi w:val="0"/>
              <w:snapToGrid w:val="0"/>
              <w:spacing w:line="360" w:lineRule="auto"/>
              <w:ind w:firstLine="420" w:firstLineChars="200"/>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11.优惠条件：投标人承诺给予招标人的各种优惠条件；</w:t>
            </w:r>
          </w:p>
          <w:p w14:paraId="5E60D124">
            <w:pPr>
              <w:keepNext w:val="0"/>
              <w:keepLines w:val="0"/>
              <w:pageBreakBefore w:val="0"/>
              <w:shd w:val="clear" w:color="auto" w:fill="auto"/>
              <w:kinsoku/>
              <w:overflowPunct/>
              <w:bidi w:val="0"/>
              <w:snapToGrid w:val="0"/>
              <w:spacing w:line="360" w:lineRule="auto"/>
              <w:ind w:firstLine="420" w:firstLineChars="200"/>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12.投标人对本项目的合理化建议和改进措施；</w:t>
            </w:r>
          </w:p>
          <w:p w14:paraId="5ED0D156">
            <w:pPr>
              <w:keepNext w:val="0"/>
              <w:keepLines w:val="0"/>
              <w:pageBreakBefore w:val="0"/>
              <w:shd w:val="clear" w:color="auto" w:fill="auto"/>
              <w:kinsoku/>
              <w:overflowPunct/>
              <w:bidi w:val="0"/>
              <w:snapToGrid w:val="0"/>
              <w:spacing w:line="360" w:lineRule="auto"/>
              <w:ind w:firstLine="420" w:firstLineChars="200"/>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13.招标项目采购需求中如有要求必须提供的材料等；（招标项目采购需求中要求必须提供的材料，据实提供）</w:t>
            </w:r>
          </w:p>
          <w:p w14:paraId="033C6FB3">
            <w:pPr>
              <w:keepNext w:val="0"/>
              <w:keepLines w:val="0"/>
              <w:pageBreakBefore w:val="0"/>
              <w:shd w:val="clear" w:color="auto" w:fill="auto"/>
              <w:kinsoku/>
              <w:overflowPunct/>
              <w:bidi w:val="0"/>
              <w:snapToGrid w:val="0"/>
              <w:spacing w:line="360" w:lineRule="auto"/>
              <w:ind w:left="413"/>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14.</w:t>
            </w:r>
            <w:r>
              <w:rPr>
                <w:rFonts w:hint="eastAsia" w:ascii="宋体" w:hAnsi="宋体" w:eastAsia="宋体" w:cs="宋体"/>
                <w:color w:val="auto"/>
                <w:szCs w:val="21"/>
                <w:highlight w:val="none"/>
              </w:rPr>
              <w:t>投标人认为可以证明其能力或业绩的其他材料</w:t>
            </w:r>
            <w:r>
              <w:rPr>
                <w:rFonts w:hint="eastAsia" w:ascii="宋体" w:hAnsi="宋体" w:eastAsia="宋体" w:cs="宋体"/>
                <w:color w:val="auto"/>
                <w:szCs w:val="21"/>
                <w:highlight w:val="none"/>
                <w:lang w:val="en-US" w:eastAsia="zh-CN"/>
              </w:rPr>
              <w:t>；（如有请提供）</w:t>
            </w:r>
          </w:p>
          <w:p w14:paraId="21EA9300">
            <w:pPr>
              <w:keepNext w:val="0"/>
              <w:keepLines w:val="0"/>
              <w:pageBreakBefore w:val="0"/>
              <w:shd w:val="clear" w:color="auto" w:fill="auto"/>
              <w:kinsoku/>
              <w:overflowPunct/>
              <w:bidi w:val="0"/>
              <w:snapToGrid w:val="0"/>
              <w:spacing w:line="360" w:lineRule="auto"/>
              <w:ind w:firstLine="420" w:firstLineChars="200"/>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15</w:t>
            </w:r>
            <w:r>
              <w:rPr>
                <w:rFonts w:hint="eastAsia" w:ascii="宋体" w:hAnsi="宋体" w:eastAsia="宋体" w:cs="宋体"/>
                <w:color w:val="auto"/>
                <w:szCs w:val="21"/>
                <w:highlight w:val="none"/>
                <w:shd w:val="clear" w:color="auto" w:fill="auto"/>
              </w:rPr>
              <w:t>.</w:t>
            </w:r>
            <w:r>
              <w:rPr>
                <w:rFonts w:hint="eastAsia" w:ascii="宋体" w:hAnsi="宋体" w:eastAsia="宋体" w:cs="宋体"/>
                <w:color w:val="auto"/>
                <w:szCs w:val="21"/>
                <w:highlight w:val="none"/>
                <w:shd w:val="clear" w:color="auto" w:fill="auto"/>
                <w:lang w:val="en-US" w:eastAsia="zh-CN"/>
              </w:rPr>
              <w:t>投标人情况介绍（格式自拟）</w:t>
            </w:r>
          </w:p>
          <w:p w14:paraId="21E5F381">
            <w:pPr>
              <w:keepNext w:val="0"/>
              <w:keepLines w:val="0"/>
              <w:pageBreakBefore w:val="0"/>
              <w:shd w:val="clear" w:color="auto" w:fill="auto"/>
              <w:kinsoku/>
              <w:overflowPunct/>
              <w:bidi w:val="0"/>
              <w:snapToGrid w:val="0"/>
              <w:spacing w:line="360" w:lineRule="auto"/>
              <w:ind w:firstLine="420" w:firstLineChars="200"/>
              <w:jc w:val="left"/>
              <w:rPr>
                <w:rFonts w:hint="eastAsia" w:ascii="宋体" w:hAnsi="宋体" w:eastAsia="宋体" w:cs="宋体"/>
                <w:color w:val="auto"/>
                <w:szCs w:val="21"/>
                <w:highlight w:val="none"/>
                <w:shd w:val="clear" w:color="auto" w:fill="auto"/>
              </w:rPr>
            </w:pPr>
            <w:r>
              <w:rPr>
                <w:rFonts w:hint="eastAsia" w:ascii="宋体" w:hAnsi="宋体" w:eastAsia="宋体" w:cs="宋体"/>
                <w:b w:val="0"/>
                <w:bCs w:val="0"/>
                <w:color w:val="auto"/>
                <w:szCs w:val="21"/>
                <w:highlight w:val="none"/>
                <w:shd w:val="clear" w:color="auto" w:fill="auto"/>
                <w:lang w:val="en-US" w:eastAsia="zh-CN"/>
              </w:rPr>
              <w:t>16.</w:t>
            </w:r>
            <w:r>
              <w:rPr>
                <w:rFonts w:hint="eastAsia" w:ascii="宋体" w:hAnsi="宋体" w:eastAsia="宋体" w:cs="宋体"/>
                <w:color w:val="auto"/>
                <w:szCs w:val="21"/>
                <w:highlight w:val="none"/>
                <w:shd w:val="clear" w:color="auto" w:fill="auto"/>
              </w:rPr>
              <w:t>除招标文件规定必须提供以外，投标人认为需要提供的其他证明材料（格式自拟）。</w:t>
            </w:r>
          </w:p>
          <w:p w14:paraId="730CB531">
            <w:pPr>
              <w:keepNext w:val="0"/>
              <w:keepLines w:val="0"/>
              <w:pageBreakBefore w:val="0"/>
              <w:shd w:val="clear" w:color="auto" w:fill="auto"/>
              <w:kinsoku/>
              <w:overflowPunct/>
              <w:bidi w:val="0"/>
              <w:snapToGrid w:val="0"/>
              <w:spacing w:line="360" w:lineRule="auto"/>
              <w:jc w:val="left"/>
              <w:rPr>
                <w:rFonts w:hint="eastAsia" w:ascii="宋体" w:hAnsi="宋体" w:eastAsia="宋体" w:cs="宋体"/>
                <w:color w:val="auto"/>
                <w:szCs w:val="21"/>
                <w:highlight w:val="none"/>
                <w:shd w:val="clear" w:color="auto" w:fill="auto"/>
              </w:rPr>
            </w:pPr>
            <w:r>
              <w:rPr>
                <w:rFonts w:hint="eastAsia" w:ascii="宋体" w:hAnsi="宋体" w:eastAsia="宋体" w:cs="宋体"/>
                <w:b/>
                <w:bCs/>
                <w:color w:val="auto"/>
                <w:szCs w:val="21"/>
                <w:highlight w:val="none"/>
                <w:shd w:val="clear" w:color="auto" w:fill="auto"/>
              </w:rPr>
              <w:t>注：以上标明“必须提供”的材料，格式中有要求法定代表人或者委托代理人签字的，必须按要求签字并加盖投标人电子签章，否则按无效投标处理。</w:t>
            </w:r>
          </w:p>
        </w:tc>
      </w:tr>
      <w:tr w14:paraId="782A00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17" w:type="dxa"/>
            <w:tcBorders>
              <w:top w:val="single" w:color="auto" w:sz="4" w:space="0"/>
              <w:left w:val="single" w:color="auto" w:sz="4" w:space="0"/>
              <w:bottom w:val="single" w:color="auto" w:sz="4" w:space="0"/>
              <w:right w:val="single" w:color="auto" w:sz="4" w:space="0"/>
            </w:tcBorders>
            <w:vAlign w:val="center"/>
          </w:tcPr>
          <w:p w14:paraId="69FF4254">
            <w:pPr>
              <w:keepNext w:val="0"/>
              <w:keepLines w:val="0"/>
              <w:pageBreakBefore w:val="0"/>
              <w:shd w:val="clear" w:color="auto" w:fill="auto"/>
              <w:kinsoku/>
              <w:overflowPunct/>
              <w:bidi w:val="0"/>
              <w:spacing w:line="360" w:lineRule="auto"/>
              <w:jc w:val="center"/>
              <w:rPr>
                <w:rFonts w:hint="eastAsia" w:ascii="宋体" w:hAnsi="宋体" w:eastAsia="宋体" w:cs="宋体"/>
                <w:color w:val="auto"/>
                <w:szCs w:val="21"/>
                <w:highlight w:val="none"/>
                <w:shd w:val="clear" w:color="auto" w:fill="auto"/>
              </w:rPr>
            </w:pPr>
            <w:bookmarkStart w:id="46" w:name="_13.5"/>
            <w:bookmarkEnd w:id="46"/>
            <w:bookmarkStart w:id="47" w:name="_13.4"/>
            <w:bookmarkEnd w:id="47"/>
            <w:bookmarkStart w:id="48" w:name="_16.2"/>
            <w:bookmarkEnd w:id="48"/>
            <w:r>
              <w:rPr>
                <w:rFonts w:hint="eastAsia" w:ascii="宋体" w:hAnsi="宋体" w:eastAsia="宋体" w:cs="宋体"/>
                <w:color w:val="auto"/>
                <w:szCs w:val="21"/>
                <w:highlight w:val="none"/>
                <w:shd w:val="clear" w:color="auto" w:fill="auto"/>
              </w:rPr>
              <w:t>16</w:t>
            </w:r>
            <w:bookmarkStart w:id="49" w:name="_Hlt19194067"/>
            <w:bookmarkStart w:id="50" w:name="_Hlt19693759"/>
            <w:bookmarkStart w:id="51" w:name="_Hlt19693758"/>
            <w:bookmarkStart w:id="52" w:name="_Hlt19194066"/>
            <w:r>
              <w:rPr>
                <w:rFonts w:hint="eastAsia" w:ascii="宋体" w:hAnsi="宋体" w:eastAsia="宋体" w:cs="宋体"/>
                <w:color w:val="auto"/>
                <w:szCs w:val="21"/>
                <w:highlight w:val="none"/>
                <w:shd w:val="clear" w:color="auto" w:fill="auto"/>
              </w:rPr>
              <w:t>.</w:t>
            </w:r>
            <w:bookmarkEnd w:id="49"/>
            <w:bookmarkEnd w:id="50"/>
            <w:bookmarkEnd w:id="51"/>
            <w:bookmarkEnd w:id="52"/>
            <w:r>
              <w:rPr>
                <w:rFonts w:hint="eastAsia" w:ascii="宋体" w:hAnsi="宋体" w:eastAsia="宋体" w:cs="宋体"/>
                <w:color w:val="auto"/>
                <w:szCs w:val="21"/>
                <w:highlight w:val="none"/>
                <w:shd w:val="clear" w:color="auto" w:fill="auto"/>
              </w:rPr>
              <w:t>2</w:t>
            </w:r>
          </w:p>
        </w:tc>
        <w:tc>
          <w:tcPr>
            <w:tcW w:w="8409" w:type="dxa"/>
            <w:tcBorders>
              <w:top w:val="single" w:color="auto" w:sz="4" w:space="0"/>
              <w:left w:val="single" w:color="auto" w:sz="4" w:space="0"/>
              <w:bottom w:val="single" w:color="auto" w:sz="4" w:space="0"/>
              <w:right w:val="single" w:color="auto" w:sz="4" w:space="0"/>
            </w:tcBorders>
            <w:vAlign w:val="center"/>
          </w:tcPr>
          <w:p w14:paraId="330E387F">
            <w:pPr>
              <w:keepNext w:val="0"/>
              <w:keepLines w:val="0"/>
              <w:pageBreakBefore w:val="0"/>
              <w:kinsoku/>
              <w:overflowPunct/>
              <w:bidi w:val="0"/>
              <w:snapToGrid w:val="0"/>
              <w:spacing w:line="360" w:lineRule="auto"/>
              <w:rPr>
                <w:rFonts w:hint="eastAsia" w:ascii="宋体" w:hAnsi="宋体" w:eastAsia="宋体" w:cs="宋体"/>
                <w:b/>
                <w:color w:val="auto"/>
                <w:szCs w:val="21"/>
                <w:highlight w:val="none"/>
                <w:shd w:val="clear" w:color="auto" w:fill="auto"/>
              </w:rPr>
            </w:pPr>
            <w:r>
              <w:rPr>
                <w:rFonts w:hint="eastAsia" w:ascii="宋体" w:hAnsi="宋体" w:eastAsia="宋体" w:cs="宋体"/>
                <w:b w:val="0"/>
                <w:bCs/>
                <w:color w:val="auto"/>
                <w:szCs w:val="21"/>
                <w:highlight w:val="none"/>
              </w:rPr>
              <w:t>投标报价包括但不限于满足本次</w:t>
            </w:r>
            <w:r>
              <w:rPr>
                <w:rFonts w:hint="eastAsia" w:ascii="宋体" w:hAnsi="宋体" w:eastAsia="宋体" w:cs="宋体"/>
                <w:b w:val="0"/>
                <w:bCs/>
                <w:color w:val="auto"/>
                <w:szCs w:val="21"/>
                <w:highlight w:val="none"/>
                <w:lang w:val="en-US" w:eastAsia="zh-CN"/>
              </w:rPr>
              <w:t>项目</w:t>
            </w:r>
            <w:r>
              <w:rPr>
                <w:rFonts w:hint="eastAsia" w:ascii="宋体" w:hAnsi="宋体" w:eastAsia="宋体" w:cs="宋体"/>
                <w:b w:val="0"/>
                <w:bCs/>
                <w:color w:val="auto"/>
                <w:szCs w:val="21"/>
                <w:highlight w:val="none"/>
              </w:rPr>
              <w:t>全部采购需求所应提供的服务，以及伴随的货物和工程（如有）的价格</w:t>
            </w:r>
            <w:r>
              <w:rPr>
                <w:rFonts w:hint="eastAsia" w:ascii="宋体" w:hAnsi="宋体" w:cs="宋体"/>
                <w:b w:val="0"/>
                <w:bCs/>
                <w:color w:val="auto"/>
                <w:szCs w:val="21"/>
                <w:highlight w:val="none"/>
                <w:lang w:eastAsia="zh-CN"/>
              </w:rPr>
              <w:t>，</w:t>
            </w:r>
            <w:r>
              <w:rPr>
                <w:rFonts w:hint="eastAsia" w:ascii="宋体" w:hAnsi="宋体" w:eastAsia="宋体" w:cs="宋体"/>
                <w:b w:val="0"/>
                <w:bCs/>
                <w:color w:val="auto"/>
                <w:szCs w:val="21"/>
                <w:highlight w:val="none"/>
              </w:rPr>
              <w:t>包含</w:t>
            </w:r>
            <w:r>
              <w:rPr>
                <w:rFonts w:hint="eastAsia" w:ascii="宋体" w:hAnsi="宋体" w:eastAsia="宋体" w:cs="宋体"/>
                <w:b w:val="0"/>
                <w:bCs/>
                <w:color w:val="auto"/>
                <w:szCs w:val="21"/>
                <w:highlight w:val="none"/>
                <w:lang w:val="en-US" w:eastAsia="zh-CN"/>
              </w:rPr>
              <w:t>投标</w:t>
            </w:r>
            <w:r>
              <w:rPr>
                <w:rFonts w:hint="eastAsia" w:ascii="宋体" w:hAnsi="宋体" w:eastAsia="宋体" w:cs="宋体"/>
                <w:b w:val="0"/>
                <w:bCs/>
                <w:color w:val="auto"/>
                <w:szCs w:val="21"/>
                <w:highlight w:val="none"/>
              </w:rPr>
              <w:t>服务、货物、工程的成本、运输（含保险）、安装（如有）、调试、检验、技术服务、培训、税费等所有费用</w:t>
            </w:r>
            <w:r>
              <w:rPr>
                <w:rFonts w:hint="eastAsia" w:ascii="宋体" w:hAnsi="宋体" w:cs="宋体"/>
                <w:b w:val="0"/>
                <w:bCs/>
                <w:color w:val="auto"/>
                <w:szCs w:val="21"/>
                <w:highlight w:val="none"/>
                <w:lang w:eastAsia="zh-CN"/>
              </w:rPr>
              <w:t>，</w:t>
            </w:r>
            <w:r>
              <w:rPr>
                <w:rFonts w:hint="eastAsia" w:ascii="宋体" w:hAnsi="宋体" w:eastAsia="宋体" w:cs="宋体"/>
                <w:b w:val="0"/>
                <w:bCs/>
                <w:color w:val="auto"/>
                <w:szCs w:val="21"/>
                <w:highlight w:val="none"/>
              </w:rPr>
              <w:t>具体详见采购需求。</w:t>
            </w:r>
            <w:r>
              <w:rPr>
                <w:rFonts w:hint="eastAsia" w:ascii="宋体" w:hAnsi="宋体" w:eastAsia="宋体" w:cs="宋体"/>
                <w:b/>
                <w:color w:val="auto"/>
                <w:szCs w:val="21"/>
                <w:highlight w:val="none"/>
              </w:rPr>
              <w:t>（采购需求另有约定的，从其约定。）</w:t>
            </w:r>
          </w:p>
        </w:tc>
      </w:tr>
      <w:tr w14:paraId="5DF5A2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17" w:type="dxa"/>
            <w:tcBorders>
              <w:top w:val="single" w:color="auto" w:sz="4" w:space="0"/>
              <w:left w:val="single" w:color="auto" w:sz="4" w:space="0"/>
              <w:bottom w:val="single" w:color="auto" w:sz="4" w:space="0"/>
              <w:right w:val="single" w:color="auto" w:sz="4" w:space="0"/>
            </w:tcBorders>
            <w:vAlign w:val="center"/>
          </w:tcPr>
          <w:p w14:paraId="3A9607F5">
            <w:pPr>
              <w:keepNext w:val="0"/>
              <w:keepLines w:val="0"/>
              <w:pageBreakBefore w:val="0"/>
              <w:shd w:val="clear" w:color="auto" w:fill="auto"/>
              <w:kinsoku/>
              <w:overflowPunct/>
              <w:bidi w:val="0"/>
              <w:spacing w:line="360" w:lineRule="auto"/>
              <w:jc w:val="center"/>
              <w:rPr>
                <w:rFonts w:hint="eastAsia" w:ascii="宋体" w:hAnsi="宋体" w:eastAsia="宋体" w:cs="宋体"/>
                <w:color w:val="auto"/>
                <w:szCs w:val="21"/>
                <w:highlight w:val="none"/>
                <w:shd w:val="clear" w:color="auto" w:fill="auto"/>
              </w:rPr>
            </w:pPr>
            <w:bookmarkStart w:id="53" w:name="_17.1"/>
            <w:bookmarkEnd w:id="53"/>
            <w:r>
              <w:rPr>
                <w:rFonts w:hint="eastAsia" w:ascii="宋体" w:hAnsi="宋体" w:eastAsia="宋体" w:cs="宋体"/>
                <w:color w:val="auto"/>
                <w:szCs w:val="21"/>
                <w:highlight w:val="none"/>
                <w:shd w:val="clear" w:color="auto" w:fill="auto"/>
              </w:rPr>
              <w:t>17.2</w:t>
            </w:r>
          </w:p>
        </w:tc>
        <w:tc>
          <w:tcPr>
            <w:tcW w:w="8409" w:type="dxa"/>
            <w:tcBorders>
              <w:top w:val="single" w:color="auto" w:sz="4" w:space="0"/>
              <w:left w:val="single" w:color="auto" w:sz="4" w:space="0"/>
              <w:bottom w:val="single" w:color="auto" w:sz="4" w:space="0"/>
              <w:right w:val="single" w:color="auto" w:sz="4" w:space="0"/>
            </w:tcBorders>
            <w:vAlign w:val="center"/>
          </w:tcPr>
          <w:p w14:paraId="5BB2C919">
            <w:pPr>
              <w:keepNext w:val="0"/>
              <w:keepLines w:val="0"/>
              <w:pageBreakBefore w:val="0"/>
              <w:shd w:val="clear" w:color="auto" w:fill="auto"/>
              <w:kinsoku/>
              <w:overflowPunct/>
              <w:bidi w:val="0"/>
              <w:snapToGrid w:val="0"/>
              <w:spacing w:line="360" w:lineRule="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投标有效期：自投标截止之日起</w:t>
            </w:r>
            <w:r>
              <w:rPr>
                <w:rFonts w:hint="eastAsia" w:ascii="宋体" w:hAnsi="宋体" w:eastAsia="宋体" w:cs="宋体"/>
                <w:color w:val="auto"/>
                <w:szCs w:val="21"/>
                <w:highlight w:val="none"/>
                <w:u w:val="single"/>
                <w:shd w:val="clear" w:color="auto" w:fill="auto"/>
              </w:rPr>
              <w:t xml:space="preserve"> 90</w:t>
            </w:r>
            <w:r>
              <w:rPr>
                <w:rFonts w:hint="eastAsia" w:ascii="宋体" w:hAnsi="宋体" w:eastAsia="宋体" w:cs="宋体"/>
                <w:color w:val="auto"/>
                <w:szCs w:val="21"/>
                <w:highlight w:val="none"/>
                <w:shd w:val="clear" w:color="auto" w:fill="auto"/>
              </w:rPr>
              <w:t>日。</w:t>
            </w:r>
          </w:p>
        </w:tc>
      </w:tr>
      <w:tr w14:paraId="5EBF05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17" w:type="dxa"/>
            <w:tcBorders>
              <w:top w:val="single" w:color="auto" w:sz="4" w:space="0"/>
              <w:left w:val="single" w:color="auto" w:sz="4" w:space="0"/>
              <w:bottom w:val="single" w:color="auto" w:sz="4" w:space="0"/>
              <w:right w:val="single" w:color="auto" w:sz="4" w:space="0"/>
            </w:tcBorders>
            <w:vAlign w:val="center"/>
          </w:tcPr>
          <w:p w14:paraId="27A8CA4D">
            <w:pPr>
              <w:keepNext w:val="0"/>
              <w:keepLines w:val="0"/>
              <w:pageBreakBefore w:val="0"/>
              <w:shd w:val="clear" w:color="auto" w:fill="auto"/>
              <w:kinsoku/>
              <w:overflowPunct/>
              <w:bidi w:val="0"/>
              <w:spacing w:line="360" w:lineRule="auto"/>
              <w:jc w:val="center"/>
              <w:rPr>
                <w:rFonts w:hint="eastAsia" w:ascii="宋体" w:hAnsi="宋体" w:eastAsia="宋体" w:cs="宋体"/>
                <w:color w:val="auto"/>
                <w:szCs w:val="21"/>
                <w:highlight w:val="none"/>
                <w:shd w:val="clear" w:color="auto" w:fill="auto"/>
              </w:rPr>
            </w:pPr>
            <w:bookmarkStart w:id="54" w:name="_18"/>
            <w:bookmarkEnd w:id="54"/>
            <w:r>
              <w:rPr>
                <w:rFonts w:hint="eastAsia" w:ascii="宋体" w:hAnsi="宋体" w:eastAsia="宋体" w:cs="宋体"/>
                <w:color w:val="auto"/>
                <w:szCs w:val="21"/>
                <w:highlight w:val="none"/>
                <w:shd w:val="clear" w:color="auto" w:fill="auto"/>
              </w:rPr>
              <w:t>18.1</w:t>
            </w:r>
          </w:p>
        </w:tc>
        <w:tc>
          <w:tcPr>
            <w:tcW w:w="8409" w:type="dxa"/>
            <w:tcBorders>
              <w:top w:val="single" w:color="auto" w:sz="4" w:space="0"/>
              <w:left w:val="single" w:color="auto" w:sz="4" w:space="0"/>
              <w:bottom w:val="single" w:color="auto" w:sz="4" w:space="0"/>
              <w:right w:val="single" w:color="auto" w:sz="4" w:space="0"/>
            </w:tcBorders>
            <w:vAlign w:val="center"/>
          </w:tcPr>
          <w:p w14:paraId="709C3310">
            <w:pPr>
              <w:keepNext w:val="0"/>
              <w:keepLines w:val="0"/>
              <w:pageBreakBefore w:val="0"/>
              <w:shd w:val="clear" w:color="auto" w:fill="auto"/>
              <w:kinsoku/>
              <w:overflowPunct/>
              <w:autoSpaceDE w:val="0"/>
              <w:autoSpaceDN w:val="0"/>
              <w:bidi w:val="0"/>
              <w:snapToGrid w:val="0"/>
              <w:spacing w:line="360" w:lineRule="auto"/>
              <w:textAlignment w:val="bottom"/>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lang w:eastAsia="zh-CN"/>
              </w:rPr>
              <w:t>□</w:t>
            </w:r>
            <w:r>
              <w:rPr>
                <w:rFonts w:hint="eastAsia" w:ascii="宋体" w:hAnsi="宋体" w:eastAsia="宋体" w:cs="宋体"/>
                <w:color w:val="auto"/>
                <w:szCs w:val="21"/>
                <w:highlight w:val="none"/>
                <w:shd w:val="clear" w:color="auto" w:fill="auto"/>
              </w:rPr>
              <w:t>本项目不收取投标保证金。</w:t>
            </w:r>
          </w:p>
          <w:p w14:paraId="1A8294C1">
            <w:pPr>
              <w:keepNext w:val="0"/>
              <w:keepLines w:val="0"/>
              <w:pageBreakBefore w:val="0"/>
              <w:shd w:val="clear" w:color="auto" w:fill="auto"/>
              <w:kinsoku/>
              <w:overflowPunct/>
              <w:bidi w:val="0"/>
              <w:snapToGrid w:val="0"/>
              <w:spacing w:line="360" w:lineRule="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lang w:eastAsia="zh-CN"/>
              </w:rPr>
              <w:t>☑</w:t>
            </w:r>
            <w:r>
              <w:rPr>
                <w:rFonts w:hint="eastAsia" w:ascii="宋体" w:hAnsi="宋体" w:eastAsia="宋体" w:cs="宋体"/>
                <w:color w:val="auto"/>
                <w:szCs w:val="21"/>
                <w:highlight w:val="none"/>
                <w:shd w:val="clear" w:color="auto" w:fill="auto"/>
              </w:rPr>
              <w:t>本项目收取投标保证金，具体规定如下：</w:t>
            </w:r>
          </w:p>
          <w:p w14:paraId="2DBBCD95">
            <w:pPr>
              <w:keepNext w:val="0"/>
              <w:keepLines w:val="0"/>
              <w:pageBreakBefore w:val="0"/>
              <w:shd w:val="clear" w:color="auto" w:fill="auto"/>
              <w:kinsoku/>
              <w:overflowPunct/>
              <w:bidi w:val="0"/>
              <w:snapToGrid w:val="0"/>
              <w:spacing w:line="360" w:lineRule="auto"/>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投标保证金</w:t>
            </w:r>
            <w:r>
              <w:rPr>
                <w:rFonts w:hint="eastAsia" w:ascii="宋体" w:hAnsi="宋体" w:eastAsia="宋体" w:cs="宋体"/>
                <w:color w:val="auto"/>
                <w:kern w:val="0"/>
                <w:szCs w:val="21"/>
                <w:highlight w:val="none"/>
                <w:shd w:val="clear" w:color="auto" w:fill="auto"/>
                <w:lang w:eastAsia="zh-CN"/>
              </w:rPr>
              <w:t>：</w:t>
            </w:r>
            <w:r>
              <w:rPr>
                <w:rFonts w:hint="eastAsia" w:ascii="宋体" w:hAnsi="宋体" w:eastAsia="宋体" w:cs="宋体"/>
                <w:b/>
                <w:bCs/>
                <w:color w:val="auto"/>
                <w:kern w:val="0"/>
                <w:szCs w:val="21"/>
                <w:highlight w:val="none"/>
                <w:shd w:val="clear" w:color="auto" w:fill="auto"/>
                <w:lang w:val="en-US" w:eastAsia="zh-CN"/>
              </w:rPr>
              <w:t>人民币</w:t>
            </w:r>
            <w:r>
              <w:rPr>
                <w:rFonts w:hint="eastAsia" w:ascii="宋体" w:hAnsi="宋体" w:cs="宋体"/>
                <w:b/>
                <w:bCs/>
                <w:color w:val="auto"/>
                <w:kern w:val="0"/>
                <w:szCs w:val="21"/>
                <w:highlight w:val="none"/>
                <w:shd w:val="clear" w:color="auto" w:fill="auto"/>
                <w:lang w:val="en-US" w:eastAsia="zh-CN"/>
              </w:rPr>
              <w:t>玖万元整</w:t>
            </w:r>
            <w:r>
              <w:rPr>
                <w:rFonts w:hint="eastAsia" w:ascii="宋体" w:hAnsi="宋体" w:eastAsia="宋体" w:cs="宋体"/>
                <w:b/>
                <w:bCs/>
                <w:color w:val="auto"/>
                <w:kern w:val="0"/>
                <w:szCs w:val="21"/>
                <w:highlight w:val="none"/>
                <w:shd w:val="clear" w:color="auto" w:fill="auto"/>
                <w:lang w:val="en-US" w:eastAsia="zh-CN"/>
              </w:rPr>
              <w:t>（</w:t>
            </w:r>
            <w:r>
              <w:rPr>
                <w:rFonts w:hint="eastAsia" w:ascii="宋体" w:hAnsi="宋体" w:eastAsia="宋体" w:cs="宋体"/>
                <w:b/>
                <w:bCs/>
                <w:color w:val="auto"/>
                <w:kern w:val="0"/>
                <w:szCs w:val="21"/>
                <w:highlight w:val="none"/>
                <w:lang w:val="en-US" w:eastAsia="zh-CN"/>
              </w:rPr>
              <w:t>¥</w:t>
            </w:r>
            <w:r>
              <w:rPr>
                <w:rFonts w:hint="eastAsia" w:ascii="宋体" w:hAnsi="宋体" w:cs="宋体"/>
                <w:b/>
                <w:bCs/>
                <w:color w:val="auto"/>
                <w:kern w:val="0"/>
                <w:szCs w:val="21"/>
                <w:highlight w:val="none"/>
                <w:u w:val="single"/>
                <w:shd w:val="clear" w:color="auto" w:fill="auto"/>
                <w:lang w:val="en-US" w:eastAsia="zh-CN"/>
              </w:rPr>
              <w:t>90000.00</w:t>
            </w:r>
            <w:r>
              <w:rPr>
                <w:rFonts w:hint="eastAsia" w:ascii="宋体" w:hAnsi="宋体" w:eastAsia="宋体" w:cs="宋体"/>
                <w:b/>
                <w:bCs/>
                <w:color w:val="auto"/>
                <w:kern w:val="0"/>
                <w:szCs w:val="21"/>
                <w:highlight w:val="none"/>
                <w:u w:val="single"/>
                <w:shd w:val="clear" w:color="auto" w:fill="auto"/>
                <w:lang w:val="en-US" w:eastAsia="zh-CN"/>
              </w:rPr>
              <w:t>）</w:t>
            </w:r>
          </w:p>
          <w:p w14:paraId="6C7EF694">
            <w:pPr>
              <w:keepNext w:val="0"/>
              <w:keepLines w:val="0"/>
              <w:pageBreakBefore w:val="0"/>
              <w:shd w:val="clear" w:color="auto" w:fill="auto"/>
              <w:kinsoku/>
              <w:overflowPunct/>
              <w:bidi w:val="0"/>
              <w:snapToGrid w:val="0"/>
              <w:spacing w:line="360" w:lineRule="auto"/>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投标保证金的交纳方式：银行转账、支票、汇票、本票或者银行、保险机构出具的保函，禁止采用现钞方式。采用银行转账方式的，在投标截止时间前交至指定账户并且到账；</w:t>
            </w:r>
          </w:p>
          <w:p w14:paraId="5A582C60">
            <w:pPr>
              <w:pStyle w:val="14"/>
              <w:keepNext w:val="0"/>
              <w:keepLines w:val="0"/>
              <w:pageBreakBefore w:val="0"/>
              <w:shd w:val="clear" w:color="auto" w:fill="auto"/>
              <w:kinsoku/>
              <w:overflowPunct/>
              <w:bidi w:val="0"/>
              <w:snapToGrid w:val="0"/>
              <w:spacing w:line="360" w:lineRule="auto"/>
              <w:rPr>
                <w:rFonts w:hint="eastAsia" w:ascii="宋体" w:hAnsi="宋体" w:eastAsia="宋体" w:cs="宋体"/>
                <w:color w:val="auto"/>
                <w:sz w:val="21"/>
                <w:highlight w:val="none"/>
                <w:shd w:val="clear" w:color="auto" w:fill="auto"/>
                <w:lang w:val="en-US" w:eastAsia="zh-CN"/>
              </w:rPr>
            </w:pPr>
            <w:r>
              <w:rPr>
                <w:rFonts w:hint="eastAsia" w:ascii="宋体" w:hAnsi="宋体" w:eastAsia="宋体" w:cs="宋体"/>
                <w:color w:val="auto"/>
                <w:sz w:val="21"/>
                <w:highlight w:val="none"/>
                <w:shd w:val="clear" w:color="auto" w:fill="auto"/>
                <w:lang w:val="en-US" w:eastAsia="zh-CN"/>
              </w:rPr>
              <w:t>账户名称：广西君安工程建设顾问有限公司南宁第一分公司</w:t>
            </w:r>
          </w:p>
          <w:p w14:paraId="618A2621">
            <w:pPr>
              <w:pStyle w:val="14"/>
              <w:keepNext w:val="0"/>
              <w:keepLines w:val="0"/>
              <w:pageBreakBefore w:val="0"/>
              <w:shd w:val="clear" w:color="auto" w:fill="auto"/>
              <w:kinsoku/>
              <w:overflowPunct/>
              <w:bidi w:val="0"/>
              <w:snapToGrid w:val="0"/>
              <w:spacing w:line="360" w:lineRule="auto"/>
              <w:rPr>
                <w:rFonts w:hint="eastAsia" w:ascii="宋体" w:hAnsi="宋体" w:eastAsia="宋体" w:cs="宋体"/>
                <w:color w:val="auto"/>
                <w:sz w:val="21"/>
                <w:highlight w:val="none"/>
                <w:shd w:val="clear" w:color="auto" w:fill="auto"/>
                <w:lang w:val="en-US" w:eastAsia="zh-CN"/>
              </w:rPr>
            </w:pPr>
            <w:r>
              <w:rPr>
                <w:rFonts w:hint="eastAsia" w:ascii="宋体" w:hAnsi="宋体" w:eastAsia="宋体" w:cs="宋体"/>
                <w:color w:val="auto"/>
                <w:sz w:val="21"/>
                <w:highlight w:val="none"/>
                <w:shd w:val="clear" w:color="auto" w:fill="auto"/>
                <w:lang w:val="en-US" w:eastAsia="zh-CN"/>
              </w:rPr>
              <w:t>开户银行：招商银行南宁分行南宁双拥路支行</w:t>
            </w:r>
          </w:p>
          <w:p w14:paraId="51308D74">
            <w:pPr>
              <w:keepNext w:val="0"/>
              <w:keepLines w:val="0"/>
              <w:pageBreakBefore w:val="0"/>
              <w:shd w:val="clear" w:color="auto" w:fill="auto"/>
              <w:kinsoku/>
              <w:overflowPunct/>
              <w:bidi w:val="0"/>
              <w:snapToGrid w:val="0"/>
              <w:spacing w:line="360" w:lineRule="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银行账号：771903087910201</w:t>
            </w:r>
          </w:p>
          <w:p w14:paraId="4D25146E">
            <w:pPr>
              <w:keepNext w:val="0"/>
              <w:keepLines w:val="0"/>
              <w:pageBreakBefore w:val="0"/>
              <w:shd w:val="clear" w:color="auto" w:fill="auto"/>
              <w:kinsoku/>
              <w:overflowPunct/>
              <w:bidi w:val="0"/>
              <w:snapToGrid w:val="0"/>
              <w:spacing w:line="360" w:lineRule="auto"/>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0"/>
                <w:szCs w:val="21"/>
                <w:highlight w:val="none"/>
                <w:shd w:val="clear" w:color="auto" w:fill="auto"/>
              </w:rPr>
              <w:t>采用支票、汇票、本票或者保函等方式的，在投标截止时间前，投标人必须递交单独密封的支票、汇票、本票或者保函原件。否则视为无效投标保证金。</w:t>
            </w:r>
          </w:p>
          <w:p w14:paraId="4DA1E9C3">
            <w:pPr>
              <w:keepNext w:val="0"/>
              <w:keepLines w:val="0"/>
              <w:pageBreakBefore w:val="0"/>
              <w:shd w:val="clear" w:color="auto" w:fill="auto"/>
              <w:kinsoku/>
              <w:overflowPunct/>
              <w:bidi w:val="0"/>
              <w:snapToGrid w:val="0"/>
              <w:spacing w:line="360" w:lineRule="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相关要求：</w:t>
            </w:r>
          </w:p>
          <w:p w14:paraId="09830D65">
            <w:pPr>
              <w:pStyle w:val="10"/>
              <w:keepNext w:val="0"/>
              <w:keepLines w:val="0"/>
              <w:pageBreakBefore w:val="0"/>
              <w:shd w:val="clear" w:color="auto" w:fill="auto"/>
              <w:kinsoku/>
              <w:overflowPunct/>
              <w:bidi w:val="0"/>
              <w:spacing w:line="360" w:lineRule="auto"/>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1.投标保证金采用银行转账交纳方式的，在投标截止时间前交至指定账户并且到账，投标人应将银行转账底单的复印件作为投标保证金提交凭证，放置于商务文件中，</w:t>
            </w:r>
            <w:r>
              <w:rPr>
                <w:rFonts w:hint="eastAsia" w:ascii="宋体" w:hAnsi="宋体" w:eastAsia="宋体" w:cs="宋体"/>
                <w:b/>
                <w:color w:val="auto"/>
                <w:szCs w:val="21"/>
                <w:highlight w:val="none"/>
                <w:shd w:val="clear" w:color="auto" w:fill="auto"/>
                <w:lang w:val="en-US" w:eastAsia="zh-CN"/>
              </w:rPr>
              <w:t>否则投标无效</w:t>
            </w:r>
            <w:r>
              <w:rPr>
                <w:rFonts w:hint="eastAsia" w:ascii="宋体" w:hAnsi="宋体" w:eastAsia="宋体" w:cs="宋体"/>
                <w:color w:val="auto"/>
                <w:szCs w:val="21"/>
                <w:highlight w:val="none"/>
                <w:shd w:val="clear" w:color="auto" w:fill="auto"/>
                <w:lang w:val="en-US" w:eastAsia="zh-CN"/>
              </w:rPr>
              <w:t>。</w:t>
            </w:r>
          </w:p>
          <w:p w14:paraId="728D203A">
            <w:pPr>
              <w:keepNext w:val="0"/>
              <w:keepLines w:val="0"/>
              <w:pageBreakBefore w:val="0"/>
              <w:shd w:val="clear" w:color="auto" w:fill="auto"/>
              <w:kinsoku/>
              <w:overflowPunct/>
              <w:bidi w:val="0"/>
              <w:snapToGrid w:val="0"/>
              <w:spacing w:line="360" w:lineRule="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2.投标保证金采用支票、汇票、本票或者银行、保险机构出具的保函交纳方式的，投标人应将支票、汇票、本票或者银行、保险机构出具的保函的复印件作为投标保证金提交凭证，放置于商务文件中，</w:t>
            </w:r>
            <w:r>
              <w:rPr>
                <w:rFonts w:hint="eastAsia" w:ascii="宋体" w:hAnsi="宋体" w:eastAsia="宋体" w:cs="宋体"/>
                <w:b/>
                <w:color w:val="auto"/>
                <w:szCs w:val="21"/>
                <w:highlight w:val="none"/>
                <w:shd w:val="clear" w:color="auto" w:fill="auto"/>
              </w:rPr>
              <w:t>否则投标无效</w:t>
            </w:r>
            <w:r>
              <w:rPr>
                <w:rFonts w:hint="eastAsia" w:ascii="宋体" w:hAnsi="宋体" w:eastAsia="宋体" w:cs="宋体"/>
                <w:color w:val="auto"/>
                <w:szCs w:val="21"/>
                <w:highlight w:val="none"/>
                <w:shd w:val="clear" w:color="auto" w:fill="auto"/>
              </w:rPr>
              <w:t>。投标人必须</w:t>
            </w:r>
            <w:r>
              <w:rPr>
                <w:rFonts w:hint="eastAsia" w:ascii="宋体" w:hAnsi="宋体" w:eastAsia="宋体" w:cs="宋体"/>
                <w:color w:val="auto"/>
                <w:highlight w:val="none"/>
                <w:shd w:val="clear" w:color="auto" w:fill="auto"/>
              </w:rPr>
              <w:t>在投标截止时间前采用邮寄方式</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rPr>
              <w:t>邮寄地址：</w:t>
            </w:r>
            <w:r>
              <w:rPr>
                <w:rFonts w:hint="eastAsia" w:ascii="宋体" w:hAnsi="宋体" w:eastAsia="宋体" w:cs="宋体"/>
                <w:color w:val="auto"/>
                <w:highlight w:val="none"/>
                <w:u w:val="single"/>
                <w:shd w:val="clear" w:color="auto" w:fill="auto"/>
                <w:lang w:eastAsia="zh-CN"/>
              </w:rPr>
              <w:t>广西南宁市青秀区金浦路22号名都大厦1409号</w:t>
            </w:r>
            <w:r>
              <w:rPr>
                <w:rFonts w:hint="eastAsia" w:ascii="宋体" w:hAnsi="宋体" w:eastAsia="宋体" w:cs="宋体"/>
                <w:color w:val="auto"/>
                <w:highlight w:val="none"/>
                <w:u w:val="single"/>
                <w:shd w:val="clear" w:color="auto" w:fill="auto"/>
              </w:rPr>
              <w:t xml:space="preserve"> </w:t>
            </w:r>
            <w:r>
              <w:rPr>
                <w:rFonts w:hint="eastAsia" w:ascii="宋体" w:hAnsi="宋体" w:eastAsia="宋体" w:cs="宋体"/>
                <w:color w:val="auto"/>
                <w:highlight w:val="none"/>
                <w:shd w:val="clear" w:color="auto" w:fill="auto"/>
              </w:rPr>
              <w:t>，收件人：</w:t>
            </w:r>
            <w:r>
              <w:rPr>
                <w:rFonts w:hint="eastAsia" w:ascii="宋体" w:hAnsi="宋体" w:eastAsia="宋体" w:cs="宋体"/>
                <w:color w:val="auto"/>
                <w:highlight w:val="none"/>
                <w:u w:val="single"/>
                <w:shd w:val="clear" w:color="auto" w:fill="auto"/>
              </w:rPr>
              <w:t xml:space="preserve"> </w:t>
            </w:r>
            <w:r>
              <w:rPr>
                <w:rFonts w:hint="eastAsia" w:ascii="宋体" w:hAnsi="宋体" w:eastAsia="宋体" w:cs="宋体"/>
                <w:color w:val="auto"/>
                <w:highlight w:val="none"/>
                <w:u w:val="single"/>
                <w:shd w:val="clear" w:color="auto" w:fill="auto"/>
                <w:lang w:val="en-US" w:eastAsia="zh-CN"/>
              </w:rPr>
              <w:t>谭工</w:t>
            </w:r>
            <w:r>
              <w:rPr>
                <w:rFonts w:hint="eastAsia" w:ascii="宋体" w:hAnsi="宋体" w:eastAsia="宋体" w:cs="宋体"/>
                <w:color w:val="auto"/>
                <w:highlight w:val="none"/>
                <w:u w:val="single"/>
                <w:shd w:val="clear" w:color="auto" w:fill="auto"/>
              </w:rPr>
              <w:t xml:space="preserve"> </w:t>
            </w:r>
            <w:r>
              <w:rPr>
                <w:rFonts w:hint="eastAsia" w:ascii="宋体" w:hAnsi="宋体" w:eastAsia="宋体" w:cs="宋体"/>
                <w:color w:val="auto"/>
                <w:highlight w:val="none"/>
                <w:shd w:val="clear" w:color="auto" w:fill="auto"/>
              </w:rPr>
              <w:t>，联系方式：</w:t>
            </w:r>
            <w:r>
              <w:rPr>
                <w:rFonts w:hint="eastAsia" w:ascii="宋体" w:hAnsi="宋体" w:eastAsia="宋体" w:cs="宋体"/>
                <w:color w:val="auto"/>
                <w:highlight w:val="none"/>
                <w:u w:val="single"/>
                <w:shd w:val="clear" w:color="auto" w:fill="auto"/>
                <w:lang w:eastAsia="zh-CN"/>
              </w:rPr>
              <w:t>0771-</w:t>
            </w:r>
            <w:r>
              <w:rPr>
                <w:rFonts w:hint="eastAsia" w:ascii="宋体" w:hAnsi="宋体" w:eastAsia="宋体" w:cs="宋体"/>
                <w:color w:val="auto"/>
                <w:highlight w:val="none"/>
                <w:u w:val="single"/>
                <w:shd w:val="clear" w:color="auto" w:fill="auto"/>
                <w:lang w:val="en-US" w:eastAsia="zh-CN"/>
              </w:rPr>
              <w:t>3800755</w:t>
            </w:r>
            <w:r>
              <w:rPr>
                <w:rFonts w:hint="eastAsia" w:ascii="宋体" w:hAnsi="宋体" w:eastAsia="宋体" w:cs="宋体"/>
                <w:color w:val="auto"/>
                <w:highlight w:val="none"/>
                <w:u w:val="single"/>
                <w:shd w:val="clear" w:color="auto" w:fill="auto"/>
              </w:rPr>
              <w:t xml:space="preserve"> </w:t>
            </w:r>
            <w:r>
              <w:rPr>
                <w:rFonts w:hint="eastAsia" w:ascii="宋体" w:hAnsi="宋体" w:eastAsia="宋体" w:cs="宋体"/>
                <w:color w:val="auto"/>
                <w:highlight w:val="none"/>
                <w:shd w:val="clear" w:color="auto" w:fill="auto"/>
              </w:rPr>
              <w:t>）</w:t>
            </w:r>
            <w:r>
              <w:rPr>
                <w:rFonts w:hint="eastAsia" w:ascii="宋体" w:hAnsi="宋体" w:eastAsia="宋体" w:cs="宋体"/>
                <w:color w:val="auto"/>
                <w:szCs w:val="21"/>
                <w:highlight w:val="none"/>
                <w:shd w:val="clear" w:color="auto" w:fill="auto"/>
              </w:rPr>
              <w:t>将</w:t>
            </w:r>
            <w:r>
              <w:rPr>
                <w:rFonts w:hint="eastAsia" w:ascii="宋体" w:hAnsi="宋体" w:eastAsia="宋体" w:cs="宋体"/>
                <w:color w:val="auto"/>
                <w:kern w:val="0"/>
                <w:szCs w:val="21"/>
                <w:highlight w:val="none"/>
                <w:shd w:val="clear" w:color="auto" w:fill="auto"/>
              </w:rPr>
              <w:t>单独密封的</w:t>
            </w:r>
            <w:r>
              <w:rPr>
                <w:rFonts w:hint="eastAsia" w:ascii="宋体" w:hAnsi="宋体" w:eastAsia="宋体" w:cs="宋体"/>
                <w:color w:val="auto"/>
                <w:szCs w:val="21"/>
                <w:highlight w:val="none"/>
                <w:shd w:val="clear" w:color="auto" w:fill="auto"/>
              </w:rPr>
              <w:t>支票、汇票、本票或者银行、保险机构出具的保函原件提交给采购人或者采购代理机构，由采购人或者采购代理机构向投标人出具回执（邮寄方式的除外），并妥善保管。</w:t>
            </w:r>
          </w:p>
          <w:p w14:paraId="1FFF4164">
            <w:pPr>
              <w:keepNext w:val="0"/>
              <w:keepLines w:val="0"/>
              <w:pageBreakBefore w:val="0"/>
              <w:shd w:val="clear" w:color="auto" w:fill="auto"/>
              <w:kinsoku/>
              <w:overflowPunct/>
              <w:bidi w:val="0"/>
              <w:snapToGrid w:val="0"/>
              <w:spacing w:line="360" w:lineRule="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3.投标人为联合体的，可以由联合体中的一方或者多方共同交纳投标保证金，其交纳的保证金对联合体各方均具有约束力。</w:t>
            </w:r>
          </w:p>
          <w:p w14:paraId="4D3DEABE">
            <w:pPr>
              <w:keepNext w:val="0"/>
              <w:keepLines w:val="0"/>
              <w:pageBreakBefore w:val="0"/>
              <w:shd w:val="clear" w:color="auto" w:fill="auto"/>
              <w:kinsoku/>
              <w:overflowPunct/>
              <w:bidi w:val="0"/>
              <w:snapToGrid w:val="0"/>
              <w:spacing w:line="360" w:lineRule="auto"/>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 xml:space="preserve">备注： </w:t>
            </w:r>
          </w:p>
          <w:p w14:paraId="60E482C2">
            <w:pPr>
              <w:keepNext w:val="0"/>
              <w:keepLines w:val="0"/>
              <w:pageBreakBefore w:val="0"/>
              <w:shd w:val="clear" w:color="auto" w:fill="auto"/>
              <w:kinsoku/>
              <w:overflowPunct/>
              <w:bidi w:val="0"/>
              <w:snapToGrid w:val="0"/>
              <w:spacing w:line="360" w:lineRule="auto"/>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1.投标保证金在投标截止时间后提交的，或者不按规定交纳方式交纳的，或者未足额交纳的（包含保函额度不足的），视为无效投标保证金。</w:t>
            </w:r>
          </w:p>
          <w:p w14:paraId="6745BE22">
            <w:pPr>
              <w:keepNext w:val="0"/>
              <w:keepLines w:val="0"/>
              <w:pageBreakBefore w:val="0"/>
              <w:shd w:val="clear" w:color="auto" w:fill="auto"/>
              <w:kinsoku/>
              <w:overflowPunct/>
              <w:bidi w:val="0"/>
              <w:snapToGrid w:val="0"/>
              <w:spacing w:line="360" w:lineRule="auto"/>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2.投标人采用现钞方式或者从个人账户（自然人投标除外）转出的投标保证金，视为无效投标保证金。</w:t>
            </w:r>
          </w:p>
          <w:p w14:paraId="5D6088EC">
            <w:pPr>
              <w:keepNext w:val="0"/>
              <w:keepLines w:val="0"/>
              <w:pageBreakBefore w:val="0"/>
              <w:shd w:val="clear" w:color="auto" w:fill="auto"/>
              <w:kinsoku/>
              <w:overflowPunct/>
              <w:bidi w:val="0"/>
              <w:snapToGrid w:val="0"/>
              <w:spacing w:line="360" w:lineRule="auto"/>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3.支票、汇票或者本票出现无效或者背书情形的，视为无效投标保证金。</w:t>
            </w:r>
          </w:p>
          <w:p w14:paraId="51DFAF71">
            <w:pPr>
              <w:keepNext w:val="0"/>
              <w:keepLines w:val="0"/>
              <w:pageBreakBefore w:val="0"/>
              <w:shd w:val="clear" w:color="auto" w:fill="auto"/>
              <w:kinsoku/>
              <w:overflowPunct/>
              <w:bidi w:val="0"/>
              <w:snapToGrid w:val="0"/>
              <w:spacing w:line="360" w:lineRule="auto"/>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4.保函有效期低于投标有效期的，视为无效投标保证金。</w:t>
            </w:r>
          </w:p>
          <w:p w14:paraId="2D5A04E6">
            <w:pPr>
              <w:keepNext w:val="0"/>
              <w:keepLines w:val="0"/>
              <w:pageBreakBefore w:val="0"/>
              <w:shd w:val="clear" w:color="auto" w:fill="auto"/>
              <w:kinsoku/>
              <w:overflowPunct/>
              <w:bidi w:val="0"/>
              <w:snapToGrid w:val="0"/>
              <w:spacing w:line="360" w:lineRule="auto"/>
              <w:rPr>
                <w:rFonts w:hint="eastAsia" w:ascii="宋体" w:hAnsi="宋体" w:eastAsia="宋体" w:cs="宋体"/>
                <w:color w:val="auto"/>
                <w:highlight w:val="none"/>
                <w:shd w:val="clear" w:color="auto" w:fill="auto"/>
              </w:rPr>
            </w:pPr>
            <w:r>
              <w:rPr>
                <w:rFonts w:hint="eastAsia" w:ascii="宋体" w:hAnsi="宋体" w:eastAsia="宋体" w:cs="宋体"/>
                <w:b/>
                <w:color w:val="auto"/>
                <w:szCs w:val="21"/>
                <w:highlight w:val="none"/>
                <w:shd w:val="clear" w:color="auto" w:fill="auto"/>
              </w:rPr>
              <w:t>5.采用银行、保险机构出具保函的，必须为无条件保函，否则视为无效投标保证金。</w:t>
            </w:r>
          </w:p>
        </w:tc>
      </w:tr>
      <w:tr w14:paraId="26D78A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17" w:type="dxa"/>
            <w:tcBorders>
              <w:top w:val="single" w:color="auto" w:sz="4" w:space="0"/>
              <w:left w:val="single" w:color="auto" w:sz="4" w:space="0"/>
              <w:bottom w:val="single" w:color="auto" w:sz="4" w:space="0"/>
              <w:right w:val="single" w:color="auto" w:sz="4" w:space="0"/>
            </w:tcBorders>
            <w:vAlign w:val="center"/>
          </w:tcPr>
          <w:p w14:paraId="25E7F780">
            <w:pPr>
              <w:keepNext w:val="0"/>
              <w:keepLines w:val="0"/>
              <w:pageBreakBefore w:val="0"/>
              <w:shd w:val="clear" w:color="auto" w:fill="auto"/>
              <w:kinsoku/>
              <w:overflowPunct/>
              <w:bidi w:val="0"/>
              <w:spacing w:line="360" w:lineRule="auto"/>
              <w:jc w:val="center"/>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19</w:t>
            </w:r>
          </w:p>
        </w:tc>
        <w:tc>
          <w:tcPr>
            <w:tcW w:w="8409" w:type="dxa"/>
            <w:tcBorders>
              <w:top w:val="single" w:color="auto" w:sz="4" w:space="0"/>
              <w:left w:val="single" w:color="auto" w:sz="4" w:space="0"/>
              <w:bottom w:val="single" w:color="auto" w:sz="4" w:space="0"/>
              <w:right w:val="single" w:color="auto" w:sz="4" w:space="0"/>
            </w:tcBorders>
            <w:vAlign w:val="center"/>
          </w:tcPr>
          <w:p w14:paraId="1EF4C213">
            <w:pPr>
              <w:keepNext w:val="0"/>
              <w:keepLines w:val="0"/>
              <w:pageBreakBefore w:val="0"/>
              <w:shd w:val="clear" w:color="auto" w:fill="auto"/>
              <w:kinsoku/>
              <w:overflowPunct/>
              <w:bidi w:val="0"/>
              <w:snapToGrid w:val="0"/>
              <w:spacing w:line="360" w:lineRule="auto"/>
              <w:rPr>
                <w:rFonts w:hint="eastAsia" w:ascii="宋体" w:hAnsi="宋体" w:eastAsia="宋体" w:cs="宋体"/>
                <w:b/>
                <w:color w:val="auto"/>
                <w:szCs w:val="21"/>
                <w:highlight w:val="none"/>
                <w:shd w:val="clear" w:color="auto" w:fill="auto"/>
              </w:rPr>
            </w:pPr>
            <w:r>
              <w:rPr>
                <w:rFonts w:hint="eastAsia" w:ascii="宋体" w:hAnsi="宋体" w:eastAsia="宋体" w:cs="宋体"/>
                <w:b w:val="0"/>
                <w:bCs/>
                <w:color w:val="auto"/>
                <w:szCs w:val="21"/>
                <w:highlight w:val="none"/>
                <w:shd w:val="clear" w:color="auto" w:fill="auto"/>
                <w:lang w:val="en-US" w:eastAsia="zh-CN"/>
              </w:rPr>
              <w:t>响应文件应按报价文件、资格证明文件、商务及技术文件分别编制，报价文件、资格证明文件分别生成电子文件，商务及技术文件按顺序合并生成电子文件。</w:t>
            </w:r>
            <w:r>
              <w:rPr>
                <w:rFonts w:hint="eastAsia" w:ascii="宋体" w:hAnsi="宋体" w:eastAsia="宋体" w:cs="宋体"/>
                <w:b w:val="0"/>
                <w:bCs/>
                <w:color w:val="auto"/>
                <w:szCs w:val="21"/>
                <w:highlight w:val="none"/>
                <w:shd w:val="clear" w:color="auto" w:fill="auto"/>
              </w:rPr>
              <w:t>电子版响应文件制作方式见</w:t>
            </w:r>
            <w:r>
              <w:rPr>
                <w:rFonts w:hint="eastAsia" w:ascii="宋体" w:hAnsi="宋体" w:eastAsia="宋体" w:cs="宋体"/>
                <w:b w:val="0"/>
                <w:bCs/>
                <w:color w:val="auto"/>
                <w:szCs w:val="21"/>
                <w:highlight w:val="none"/>
                <w:shd w:val="clear" w:color="auto" w:fill="auto"/>
                <w:lang w:val="en-US" w:eastAsia="zh-CN"/>
              </w:rPr>
              <w:t>招标</w:t>
            </w:r>
            <w:r>
              <w:rPr>
                <w:rFonts w:hint="eastAsia" w:ascii="宋体" w:hAnsi="宋体" w:eastAsia="宋体" w:cs="宋体"/>
                <w:b w:val="0"/>
                <w:bCs/>
                <w:color w:val="auto"/>
                <w:szCs w:val="21"/>
                <w:highlight w:val="none"/>
                <w:shd w:val="clear" w:color="auto" w:fill="auto"/>
              </w:rPr>
              <w:t>公告。</w:t>
            </w:r>
          </w:p>
        </w:tc>
      </w:tr>
      <w:tr w14:paraId="0C3A53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17" w:type="dxa"/>
            <w:tcBorders>
              <w:top w:val="single" w:color="auto" w:sz="4" w:space="0"/>
              <w:left w:val="single" w:color="auto" w:sz="4" w:space="0"/>
              <w:bottom w:val="single" w:color="auto" w:sz="4" w:space="0"/>
              <w:right w:val="single" w:color="auto" w:sz="4" w:space="0"/>
            </w:tcBorders>
            <w:vAlign w:val="center"/>
          </w:tcPr>
          <w:p w14:paraId="4EADE574">
            <w:pPr>
              <w:keepNext w:val="0"/>
              <w:keepLines w:val="0"/>
              <w:pageBreakBefore w:val="0"/>
              <w:shd w:val="clear" w:color="auto" w:fill="auto"/>
              <w:kinsoku/>
              <w:overflowPunct/>
              <w:bidi w:val="0"/>
              <w:spacing w:line="360" w:lineRule="auto"/>
              <w:jc w:val="center"/>
              <w:rPr>
                <w:rFonts w:hint="eastAsia" w:ascii="宋体" w:hAnsi="宋体" w:eastAsia="宋体" w:cs="宋体"/>
                <w:color w:val="auto"/>
                <w:szCs w:val="21"/>
                <w:highlight w:val="none"/>
                <w:shd w:val="clear" w:color="auto" w:fill="auto"/>
              </w:rPr>
            </w:pPr>
            <w:bookmarkStart w:id="55" w:name="_19.2"/>
            <w:bookmarkEnd w:id="55"/>
            <w:r>
              <w:rPr>
                <w:rFonts w:hint="eastAsia" w:ascii="宋体" w:hAnsi="宋体" w:eastAsia="宋体" w:cs="宋体"/>
                <w:color w:val="auto"/>
                <w:szCs w:val="21"/>
                <w:highlight w:val="none"/>
                <w:shd w:val="clear" w:color="auto" w:fill="auto"/>
              </w:rPr>
              <w:t>20</w:t>
            </w:r>
          </w:p>
        </w:tc>
        <w:tc>
          <w:tcPr>
            <w:tcW w:w="8409" w:type="dxa"/>
            <w:tcBorders>
              <w:top w:val="single" w:color="auto" w:sz="4" w:space="0"/>
              <w:left w:val="single" w:color="auto" w:sz="4" w:space="0"/>
              <w:bottom w:val="single" w:color="auto" w:sz="4" w:space="0"/>
              <w:right w:val="single" w:color="auto" w:sz="4" w:space="0"/>
            </w:tcBorders>
            <w:vAlign w:val="center"/>
          </w:tcPr>
          <w:p w14:paraId="21B7A87D">
            <w:pPr>
              <w:keepNext w:val="0"/>
              <w:keepLines w:val="0"/>
              <w:pageBreakBefore w:val="0"/>
              <w:shd w:val="clear" w:color="auto" w:fill="auto"/>
              <w:kinsoku/>
              <w:overflowPunct/>
              <w:autoSpaceDE w:val="0"/>
              <w:autoSpaceDN w:val="0"/>
              <w:bidi w:val="0"/>
              <w:snapToGrid w:val="0"/>
              <w:spacing w:line="360" w:lineRule="auto"/>
              <w:textAlignment w:val="bottom"/>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lang w:eastAsia="zh-CN"/>
              </w:rPr>
              <w:t>☑</w:t>
            </w:r>
            <w:r>
              <w:rPr>
                <w:rFonts w:hint="eastAsia" w:ascii="宋体" w:hAnsi="宋体" w:eastAsia="宋体" w:cs="宋体"/>
                <w:color w:val="auto"/>
                <w:szCs w:val="21"/>
                <w:highlight w:val="none"/>
                <w:shd w:val="clear" w:color="auto" w:fill="auto"/>
              </w:rPr>
              <w:t>本项目不接受</w:t>
            </w:r>
            <w:r>
              <w:rPr>
                <w:rFonts w:hint="eastAsia" w:ascii="宋体" w:hAnsi="宋体" w:eastAsia="宋体" w:cs="宋体"/>
                <w:color w:val="auto"/>
                <w:highlight w:val="none"/>
                <w:shd w:val="clear" w:color="auto" w:fill="auto"/>
              </w:rPr>
              <w:t>电子</w:t>
            </w:r>
            <w:r>
              <w:rPr>
                <w:rFonts w:hint="eastAsia" w:ascii="宋体" w:hAnsi="宋体" w:eastAsia="宋体" w:cs="宋体"/>
                <w:color w:val="auto"/>
                <w:szCs w:val="21"/>
                <w:highlight w:val="none"/>
                <w:shd w:val="clear" w:color="auto" w:fill="auto"/>
              </w:rPr>
              <w:t>备份投标文件；</w:t>
            </w:r>
          </w:p>
          <w:p w14:paraId="4B329C6F">
            <w:pPr>
              <w:keepNext w:val="0"/>
              <w:keepLines w:val="0"/>
              <w:pageBreakBefore w:val="0"/>
              <w:shd w:val="clear" w:color="auto" w:fill="auto"/>
              <w:kinsoku/>
              <w:overflowPunct/>
              <w:autoSpaceDE w:val="0"/>
              <w:autoSpaceDN w:val="0"/>
              <w:bidi w:val="0"/>
              <w:snapToGrid w:val="0"/>
              <w:spacing w:line="360" w:lineRule="auto"/>
              <w:textAlignment w:val="bottom"/>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□本项目接受</w:t>
            </w:r>
            <w:r>
              <w:rPr>
                <w:rFonts w:hint="eastAsia" w:ascii="宋体" w:hAnsi="宋体" w:eastAsia="宋体" w:cs="宋体"/>
                <w:color w:val="auto"/>
                <w:highlight w:val="none"/>
                <w:shd w:val="clear" w:color="auto" w:fill="auto"/>
              </w:rPr>
              <w:t>电子</w:t>
            </w:r>
            <w:r>
              <w:rPr>
                <w:rFonts w:hint="eastAsia" w:ascii="宋体" w:hAnsi="宋体" w:eastAsia="宋体" w:cs="宋体"/>
                <w:color w:val="auto"/>
                <w:szCs w:val="21"/>
                <w:highlight w:val="none"/>
                <w:shd w:val="clear" w:color="auto" w:fill="auto"/>
              </w:rPr>
              <w:t>备份投标文件。</w:t>
            </w:r>
          </w:p>
          <w:p w14:paraId="45967E1E">
            <w:pPr>
              <w:keepNext w:val="0"/>
              <w:keepLines w:val="0"/>
              <w:pageBreakBefore w:val="0"/>
              <w:shd w:val="clear" w:color="auto" w:fill="auto"/>
              <w:kinsoku/>
              <w:overflowPunct/>
              <w:autoSpaceDE w:val="0"/>
              <w:autoSpaceDN w:val="0"/>
              <w:bidi w:val="0"/>
              <w:snapToGrid w:val="0"/>
              <w:spacing w:line="360" w:lineRule="auto"/>
              <w:ind w:firstLine="420" w:firstLineChars="200"/>
              <w:textAlignment w:val="bottom"/>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电子</w:t>
            </w:r>
            <w:r>
              <w:rPr>
                <w:rFonts w:hint="eastAsia" w:ascii="宋体" w:hAnsi="宋体" w:eastAsia="宋体" w:cs="宋体"/>
                <w:color w:val="auto"/>
                <w:szCs w:val="21"/>
                <w:highlight w:val="none"/>
                <w:shd w:val="clear" w:color="auto" w:fill="auto"/>
              </w:rPr>
              <w:t>备份投标文件</w:t>
            </w:r>
            <w:r>
              <w:rPr>
                <w:rFonts w:hint="eastAsia" w:ascii="宋体" w:hAnsi="宋体" w:eastAsia="宋体" w:cs="宋体"/>
                <w:color w:val="auto"/>
                <w:highlight w:val="none"/>
                <w:shd w:val="clear" w:color="auto" w:fill="auto"/>
              </w:rPr>
              <w:t>提交方式：投标人可以在投标截止时间前采用以下方式向采购代理机构提交电子备份投标文件：</w:t>
            </w:r>
          </w:p>
          <w:p w14:paraId="448C5ECB">
            <w:pPr>
              <w:keepNext w:val="0"/>
              <w:keepLines w:val="0"/>
              <w:pageBreakBefore w:val="0"/>
              <w:shd w:val="clear" w:color="auto" w:fill="auto"/>
              <w:kinsoku/>
              <w:overflowPunct/>
              <w:autoSpaceDE w:val="0"/>
              <w:autoSpaceDN w:val="0"/>
              <w:bidi w:val="0"/>
              <w:snapToGrid w:val="0"/>
              <w:spacing w:line="360" w:lineRule="auto"/>
              <w:textAlignment w:val="bottom"/>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（1）现场提交方式，应采用U盘进行存储，提交地址：</w:t>
            </w:r>
            <w:r>
              <w:rPr>
                <w:rFonts w:hint="eastAsia" w:ascii="宋体" w:hAnsi="宋体" w:eastAsia="宋体" w:cs="宋体"/>
                <w:color w:val="auto"/>
                <w:highlight w:val="none"/>
                <w:u w:val="single"/>
                <w:shd w:val="clear" w:color="auto" w:fill="auto"/>
              </w:rPr>
              <w:t xml:space="preserve">      </w:t>
            </w:r>
            <w:r>
              <w:rPr>
                <w:rFonts w:hint="eastAsia" w:ascii="宋体" w:hAnsi="宋体" w:eastAsia="宋体" w:cs="宋体"/>
                <w:color w:val="auto"/>
                <w:highlight w:val="none"/>
                <w:shd w:val="clear" w:color="auto" w:fill="auto"/>
              </w:rPr>
              <w:t>；外包装上注明投标人名称、项目名称及项目编号（外包装不作密封要求）。</w:t>
            </w:r>
          </w:p>
          <w:p w14:paraId="2F01629E">
            <w:pPr>
              <w:keepNext w:val="0"/>
              <w:keepLines w:val="0"/>
              <w:pageBreakBefore w:val="0"/>
              <w:shd w:val="clear" w:color="auto" w:fill="auto"/>
              <w:kinsoku/>
              <w:overflowPunct/>
              <w:autoSpaceDE w:val="0"/>
              <w:autoSpaceDN w:val="0"/>
              <w:bidi w:val="0"/>
              <w:snapToGrid w:val="0"/>
              <w:spacing w:line="360" w:lineRule="auto"/>
              <w:textAlignment w:val="bottom"/>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（2）电子邮件方式，接收电子备份投标文件的电子邮箱为：</w:t>
            </w:r>
            <w:r>
              <w:rPr>
                <w:rFonts w:hint="eastAsia" w:ascii="宋体" w:hAnsi="宋体" w:eastAsia="宋体" w:cs="宋体"/>
                <w:color w:val="auto"/>
                <w:highlight w:val="none"/>
                <w:u w:val="single"/>
                <w:shd w:val="clear" w:color="auto" w:fill="auto"/>
              </w:rPr>
              <w:t xml:space="preserve">      </w:t>
            </w:r>
            <w:r>
              <w:rPr>
                <w:rFonts w:hint="eastAsia" w:ascii="宋体" w:hAnsi="宋体" w:eastAsia="宋体" w:cs="宋体"/>
                <w:color w:val="auto"/>
                <w:highlight w:val="none"/>
                <w:shd w:val="clear" w:color="auto" w:fill="auto"/>
              </w:rPr>
              <w:t>；</w:t>
            </w:r>
          </w:p>
          <w:p w14:paraId="3BB7E706">
            <w:pPr>
              <w:keepNext w:val="0"/>
              <w:keepLines w:val="0"/>
              <w:pageBreakBefore w:val="0"/>
              <w:shd w:val="clear" w:color="auto" w:fill="auto"/>
              <w:kinsoku/>
              <w:overflowPunct/>
              <w:autoSpaceDE w:val="0"/>
              <w:autoSpaceDN w:val="0"/>
              <w:bidi w:val="0"/>
              <w:snapToGrid w:val="0"/>
              <w:spacing w:line="360" w:lineRule="auto"/>
              <w:textAlignment w:val="bottom"/>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（3）邮寄方式，应采用U盘进行存储，邮寄地址：</w:t>
            </w:r>
            <w:r>
              <w:rPr>
                <w:rFonts w:hint="eastAsia" w:ascii="宋体" w:hAnsi="宋体" w:eastAsia="宋体" w:cs="宋体"/>
                <w:color w:val="auto"/>
                <w:highlight w:val="none"/>
                <w:u w:val="single"/>
                <w:shd w:val="clear" w:color="auto" w:fill="auto"/>
              </w:rPr>
              <w:t xml:space="preserve">      </w:t>
            </w:r>
            <w:r>
              <w:rPr>
                <w:rFonts w:hint="eastAsia" w:ascii="宋体" w:hAnsi="宋体" w:eastAsia="宋体" w:cs="宋体"/>
                <w:color w:val="auto"/>
                <w:highlight w:val="none"/>
                <w:shd w:val="clear" w:color="auto" w:fill="auto"/>
              </w:rPr>
              <w:t>，收件人：</w:t>
            </w:r>
            <w:r>
              <w:rPr>
                <w:rFonts w:hint="eastAsia" w:ascii="宋体" w:hAnsi="宋体" w:eastAsia="宋体" w:cs="宋体"/>
                <w:color w:val="auto"/>
                <w:highlight w:val="none"/>
                <w:u w:val="single"/>
                <w:shd w:val="clear" w:color="auto" w:fill="auto"/>
              </w:rPr>
              <w:t xml:space="preserve">      </w:t>
            </w:r>
            <w:r>
              <w:rPr>
                <w:rFonts w:hint="eastAsia" w:ascii="宋体" w:hAnsi="宋体" w:eastAsia="宋体" w:cs="宋体"/>
                <w:color w:val="auto"/>
                <w:highlight w:val="none"/>
                <w:shd w:val="clear" w:color="auto" w:fill="auto"/>
              </w:rPr>
              <w:t>，联系方式：</w:t>
            </w:r>
            <w:r>
              <w:rPr>
                <w:rFonts w:hint="eastAsia" w:ascii="宋体" w:hAnsi="宋体" w:eastAsia="宋体" w:cs="宋体"/>
                <w:color w:val="auto"/>
                <w:highlight w:val="none"/>
                <w:u w:val="single"/>
                <w:shd w:val="clear" w:color="auto" w:fill="auto"/>
              </w:rPr>
              <w:t xml:space="preserve">      </w:t>
            </w:r>
            <w:r>
              <w:rPr>
                <w:rFonts w:hint="eastAsia" w:ascii="宋体" w:hAnsi="宋体" w:eastAsia="宋体" w:cs="宋体"/>
                <w:color w:val="auto"/>
                <w:highlight w:val="none"/>
                <w:shd w:val="clear" w:color="auto" w:fill="auto"/>
              </w:rPr>
              <w:t xml:space="preserve">；外包装上注明投标人名称、项目名称及项目编号（外包装不作密封要求）。 </w:t>
            </w:r>
          </w:p>
          <w:p w14:paraId="7EBE6332">
            <w:pPr>
              <w:keepNext w:val="0"/>
              <w:keepLines w:val="0"/>
              <w:pageBreakBefore w:val="0"/>
              <w:shd w:val="clear" w:color="auto" w:fill="auto"/>
              <w:kinsoku/>
              <w:overflowPunct/>
              <w:autoSpaceDE w:val="0"/>
              <w:autoSpaceDN w:val="0"/>
              <w:bidi w:val="0"/>
              <w:snapToGrid w:val="0"/>
              <w:spacing w:line="360" w:lineRule="auto"/>
              <w:ind w:firstLine="420" w:firstLineChars="200"/>
              <w:textAlignment w:val="bottom"/>
              <w:rPr>
                <w:rFonts w:hint="eastAsia" w:ascii="宋体" w:hAnsi="宋体" w:eastAsia="宋体" w:cs="宋体"/>
                <w:color w:val="auto"/>
                <w:szCs w:val="21"/>
                <w:highlight w:val="none"/>
                <w:shd w:val="clear" w:color="auto" w:fill="auto"/>
              </w:rPr>
            </w:pPr>
            <w:r>
              <w:rPr>
                <w:rFonts w:hint="eastAsia" w:ascii="宋体" w:hAnsi="宋体" w:eastAsia="宋体" w:cs="宋体"/>
                <w:color w:val="auto"/>
                <w:highlight w:val="none"/>
                <w:shd w:val="clear" w:color="auto" w:fill="auto"/>
              </w:rPr>
              <w:t>投标人未按上述规定提交的电子备份投标文件，采购代理机构不予接收或承认。若电子加密投标文件解密成功，电子备份投标文件自动失效。若投标人无法在规定的时间内解密投标文件或者解密失败的，采购代理机构将电子备份投标文件按“政府采购云平台”操作规范上传至“政府采购云平台”，电子备份投标文件上传成功后，投标人原上传的电子加密投标文件自动失效。若投标人在规定时间内无法解密或解密失败且未提供电子备份投标文件的（包含提供的电子备份投标文件无效或无法解读的情况），投标人的投标文件作无效处理。</w:t>
            </w:r>
          </w:p>
        </w:tc>
      </w:tr>
      <w:tr w14:paraId="295DD7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1217" w:type="dxa"/>
            <w:tcBorders>
              <w:top w:val="single" w:color="auto" w:sz="4" w:space="0"/>
              <w:left w:val="single" w:color="auto" w:sz="4" w:space="0"/>
              <w:bottom w:val="single" w:color="auto" w:sz="4" w:space="0"/>
              <w:right w:val="single" w:color="auto" w:sz="4" w:space="0"/>
            </w:tcBorders>
            <w:vAlign w:val="center"/>
          </w:tcPr>
          <w:p w14:paraId="5F794222">
            <w:pPr>
              <w:keepNext w:val="0"/>
              <w:keepLines w:val="0"/>
              <w:pageBreakBefore w:val="0"/>
              <w:shd w:val="clear" w:color="auto" w:fill="auto"/>
              <w:kinsoku/>
              <w:overflowPunct/>
              <w:bidi w:val="0"/>
              <w:spacing w:line="360" w:lineRule="auto"/>
              <w:jc w:val="center"/>
              <w:rPr>
                <w:rFonts w:hint="eastAsia" w:ascii="宋体" w:hAnsi="宋体" w:eastAsia="宋体" w:cs="宋体"/>
                <w:color w:val="auto"/>
                <w:szCs w:val="21"/>
                <w:highlight w:val="none"/>
                <w:shd w:val="clear" w:color="auto" w:fill="auto"/>
              </w:rPr>
            </w:pPr>
            <w:bookmarkStart w:id="56" w:name="_21.1"/>
            <w:bookmarkEnd w:id="56"/>
            <w:r>
              <w:rPr>
                <w:rFonts w:hint="eastAsia" w:ascii="宋体" w:hAnsi="宋体" w:eastAsia="宋体" w:cs="宋体"/>
                <w:color w:val="auto"/>
                <w:szCs w:val="21"/>
                <w:highlight w:val="none"/>
                <w:shd w:val="clear" w:color="auto" w:fill="auto"/>
              </w:rPr>
              <w:t>21.1</w:t>
            </w:r>
          </w:p>
        </w:tc>
        <w:tc>
          <w:tcPr>
            <w:tcW w:w="8409" w:type="dxa"/>
            <w:tcBorders>
              <w:top w:val="single" w:color="auto" w:sz="4" w:space="0"/>
              <w:left w:val="single" w:color="auto" w:sz="4" w:space="0"/>
              <w:bottom w:val="single" w:color="auto" w:sz="4" w:space="0"/>
              <w:right w:val="single" w:color="auto" w:sz="4" w:space="0"/>
            </w:tcBorders>
            <w:vAlign w:val="center"/>
          </w:tcPr>
          <w:p w14:paraId="2D8E4CAA">
            <w:pPr>
              <w:keepNext w:val="0"/>
              <w:keepLines w:val="0"/>
              <w:pageBreakBefore w:val="0"/>
              <w:shd w:val="clear" w:color="auto" w:fill="auto"/>
              <w:kinsoku/>
              <w:overflowPunct/>
              <w:bidi w:val="0"/>
              <w:snapToGrid w:val="0"/>
              <w:spacing w:line="360" w:lineRule="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1.投标文件提交截止时间：详见招标公告</w:t>
            </w:r>
          </w:p>
          <w:p w14:paraId="736DA3E1">
            <w:pPr>
              <w:keepNext w:val="0"/>
              <w:keepLines w:val="0"/>
              <w:pageBreakBefore w:val="0"/>
              <w:shd w:val="clear" w:color="auto" w:fill="auto"/>
              <w:kinsoku/>
              <w:overflowPunct/>
              <w:bidi w:val="0"/>
              <w:snapToGrid w:val="0"/>
              <w:spacing w:line="360" w:lineRule="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2.投标地点：详见招标公告</w:t>
            </w:r>
          </w:p>
        </w:tc>
      </w:tr>
      <w:tr w14:paraId="2B74E2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17" w:type="dxa"/>
            <w:tcBorders>
              <w:top w:val="single" w:color="auto" w:sz="4" w:space="0"/>
              <w:left w:val="single" w:color="auto" w:sz="4" w:space="0"/>
              <w:bottom w:val="single" w:color="auto" w:sz="4" w:space="0"/>
              <w:right w:val="single" w:color="auto" w:sz="4" w:space="0"/>
            </w:tcBorders>
            <w:vAlign w:val="center"/>
          </w:tcPr>
          <w:p w14:paraId="2D076DF2">
            <w:pPr>
              <w:keepNext w:val="0"/>
              <w:keepLines w:val="0"/>
              <w:pageBreakBefore w:val="0"/>
              <w:shd w:val="clear" w:color="auto" w:fill="auto"/>
              <w:kinsoku/>
              <w:overflowPunct/>
              <w:bidi w:val="0"/>
              <w:spacing w:line="360" w:lineRule="auto"/>
              <w:jc w:val="center"/>
              <w:rPr>
                <w:rFonts w:hint="eastAsia" w:ascii="宋体" w:hAnsi="宋体" w:eastAsia="宋体" w:cs="宋体"/>
                <w:color w:val="auto"/>
                <w:szCs w:val="21"/>
                <w:highlight w:val="none"/>
                <w:shd w:val="clear" w:color="auto" w:fill="auto"/>
              </w:rPr>
            </w:pPr>
            <w:bookmarkStart w:id="57" w:name="_23"/>
            <w:bookmarkEnd w:id="57"/>
            <w:r>
              <w:rPr>
                <w:rFonts w:hint="eastAsia" w:ascii="宋体" w:hAnsi="宋体" w:eastAsia="宋体" w:cs="宋体"/>
                <w:color w:val="auto"/>
                <w:szCs w:val="21"/>
                <w:highlight w:val="none"/>
                <w:shd w:val="clear" w:color="auto" w:fill="auto"/>
              </w:rPr>
              <w:t>23</w:t>
            </w:r>
          </w:p>
        </w:tc>
        <w:tc>
          <w:tcPr>
            <w:tcW w:w="8409" w:type="dxa"/>
            <w:tcBorders>
              <w:top w:val="single" w:color="auto" w:sz="4" w:space="0"/>
              <w:left w:val="single" w:color="auto" w:sz="4" w:space="0"/>
              <w:bottom w:val="single" w:color="auto" w:sz="4" w:space="0"/>
              <w:right w:val="single" w:color="auto" w:sz="4" w:space="0"/>
            </w:tcBorders>
            <w:vAlign w:val="center"/>
          </w:tcPr>
          <w:p w14:paraId="6D9FF688">
            <w:pPr>
              <w:keepNext w:val="0"/>
              <w:keepLines w:val="0"/>
              <w:pageBreakBefore w:val="0"/>
              <w:shd w:val="clear" w:color="auto" w:fill="auto"/>
              <w:kinsoku/>
              <w:overflowPunct/>
              <w:bidi w:val="0"/>
              <w:snapToGrid w:val="0"/>
              <w:spacing w:line="360" w:lineRule="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1.开标时间：详见招标公告</w:t>
            </w:r>
          </w:p>
          <w:p w14:paraId="60579807">
            <w:pPr>
              <w:keepNext w:val="0"/>
              <w:keepLines w:val="0"/>
              <w:pageBreakBefore w:val="0"/>
              <w:shd w:val="clear" w:color="auto" w:fill="auto"/>
              <w:kinsoku/>
              <w:overflowPunct/>
              <w:bidi w:val="0"/>
              <w:snapToGrid w:val="0"/>
              <w:spacing w:line="360" w:lineRule="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2.开标地点：详见招标公告</w:t>
            </w:r>
          </w:p>
        </w:tc>
      </w:tr>
      <w:tr w14:paraId="451567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17" w:type="dxa"/>
            <w:tcBorders>
              <w:top w:val="single" w:color="auto" w:sz="4" w:space="0"/>
              <w:left w:val="single" w:color="auto" w:sz="4" w:space="0"/>
              <w:bottom w:val="single" w:color="auto" w:sz="4" w:space="0"/>
              <w:right w:val="single" w:color="auto" w:sz="4" w:space="0"/>
            </w:tcBorders>
            <w:vAlign w:val="center"/>
          </w:tcPr>
          <w:p w14:paraId="2FB255BB">
            <w:pPr>
              <w:keepNext w:val="0"/>
              <w:keepLines w:val="0"/>
              <w:pageBreakBefore w:val="0"/>
              <w:shd w:val="clear" w:color="auto" w:fill="auto"/>
              <w:kinsoku/>
              <w:overflowPunct/>
              <w:bidi w:val="0"/>
              <w:spacing w:line="360" w:lineRule="auto"/>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24.3（1）</w:t>
            </w:r>
          </w:p>
        </w:tc>
        <w:tc>
          <w:tcPr>
            <w:tcW w:w="8409" w:type="dxa"/>
            <w:tcBorders>
              <w:top w:val="single" w:color="auto" w:sz="4" w:space="0"/>
              <w:left w:val="single" w:color="auto" w:sz="4" w:space="0"/>
              <w:bottom w:val="single" w:color="auto" w:sz="4" w:space="0"/>
              <w:right w:val="single" w:color="auto" w:sz="4" w:space="0"/>
            </w:tcBorders>
            <w:vAlign w:val="center"/>
          </w:tcPr>
          <w:p w14:paraId="4FAE08CC">
            <w:pPr>
              <w:keepNext w:val="0"/>
              <w:keepLines w:val="0"/>
              <w:pageBreakBefore w:val="0"/>
              <w:shd w:val="clear" w:color="auto" w:fill="auto"/>
              <w:kinsoku/>
              <w:overflowPunct/>
              <w:bidi w:val="0"/>
              <w:snapToGrid w:val="0"/>
              <w:spacing w:line="360" w:lineRule="auto"/>
              <w:rPr>
                <w:rFonts w:hint="eastAsia" w:ascii="宋体" w:hAnsi="宋体" w:eastAsia="宋体" w:cs="宋体"/>
                <w:color w:val="auto"/>
                <w:highlight w:val="none"/>
                <w:u w:val="single"/>
                <w:shd w:val="clear" w:color="auto" w:fill="auto"/>
              </w:rPr>
            </w:pPr>
            <w:r>
              <w:rPr>
                <w:rFonts w:hint="eastAsia" w:ascii="宋体" w:hAnsi="宋体" w:eastAsia="宋体" w:cs="宋体"/>
                <w:color w:val="auto"/>
                <w:highlight w:val="none"/>
                <w:shd w:val="clear" w:color="auto" w:fill="auto"/>
              </w:rPr>
              <w:t>电子投标文件解密时间：</w:t>
            </w:r>
            <w:r>
              <w:rPr>
                <w:rFonts w:hint="eastAsia" w:ascii="宋体" w:hAnsi="宋体" w:eastAsia="宋体" w:cs="宋体"/>
                <w:b/>
                <w:bCs/>
                <w:color w:val="auto"/>
                <w:highlight w:val="none"/>
                <w:u w:val="single"/>
                <w:shd w:val="clear" w:color="auto" w:fill="auto"/>
              </w:rPr>
              <w:t xml:space="preserve"> 30 </w:t>
            </w:r>
            <w:r>
              <w:rPr>
                <w:rFonts w:hint="eastAsia" w:ascii="宋体" w:hAnsi="宋体" w:eastAsia="宋体" w:cs="宋体"/>
                <w:b/>
                <w:bCs/>
                <w:color w:val="auto"/>
                <w:highlight w:val="none"/>
                <w:shd w:val="clear" w:color="auto" w:fill="auto"/>
              </w:rPr>
              <w:t>分钟</w:t>
            </w:r>
          </w:p>
        </w:tc>
      </w:tr>
      <w:tr w14:paraId="0874C2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17" w:type="dxa"/>
            <w:tcBorders>
              <w:top w:val="single" w:color="auto" w:sz="4" w:space="0"/>
              <w:left w:val="single" w:color="auto" w:sz="4" w:space="0"/>
              <w:bottom w:val="single" w:color="auto" w:sz="4" w:space="0"/>
              <w:right w:val="single" w:color="auto" w:sz="4" w:space="0"/>
            </w:tcBorders>
            <w:vAlign w:val="center"/>
          </w:tcPr>
          <w:p w14:paraId="7B86337D">
            <w:pPr>
              <w:keepNext w:val="0"/>
              <w:keepLines w:val="0"/>
              <w:pageBreakBefore w:val="0"/>
              <w:shd w:val="clear" w:color="auto" w:fill="auto"/>
              <w:kinsoku/>
              <w:overflowPunct/>
              <w:bidi w:val="0"/>
              <w:spacing w:line="360" w:lineRule="auto"/>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24.3（2）</w:t>
            </w:r>
          </w:p>
        </w:tc>
        <w:tc>
          <w:tcPr>
            <w:tcW w:w="8409" w:type="dxa"/>
            <w:tcBorders>
              <w:top w:val="single" w:color="auto" w:sz="4" w:space="0"/>
              <w:left w:val="single" w:color="auto" w:sz="4" w:space="0"/>
              <w:bottom w:val="single" w:color="auto" w:sz="4" w:space="0"/>
              <w:right w:val="single" w:color="auto" w:sz="4" w:space="0"/>
            </w:tcBorders>
            <w:vAlign w:val="center"/>
          </w:tcPr>
          <w:p w14:paraId="54790697">
            <w:pPr>
              <w:keepNext w:val="0"/>
              <w:keepLines w:val="0"/>
              <w:pageBreakBefore w:val="0"/>
              <w:shd w:val="clear" w:color="auto" w:fill="auto"/>
              <w:kinsoku/>
              <w:overflowPunct/>
              <w:bidi w:val="0"/>
              <w:snapToGrid w:val="0"/>
              <w:spacing w:line="360" w:lineRule="auto"/>
              <w:rPr>
                <w:rFonts w:hint="eastAsia" w:ascii="宋体" w:hAnsi="宋体" w:eastAsia="宋体" w:cs="宋体"/>
                <w:color w:val="auto"/>
                <w:szCs w:val="21"/>
                <w:highlight w:val="none"/>
                <w:shd w:val="clear" w:color="auto" w:fill="auto"/>
              </w:rPr>
            </w:pPr>
            <w:r>
              <w:rPr>
                <w:rFonts w:hint="eastAsia" w:ascii="宋体" w:hAnsi="宋体" w:eastAsia="宋体" w:cs="宋体"/>
                <w:color w:val="auto"/>
                <w:highlight w:val="none"/>
                <w:shd w:val="clear" w:color="auto" w:fill="auto"/>
              </w:rPr>
              <w:t>宣布的内容：投标人名称、投标价格</w:t>
            </w:r>
          </w:p>
        </w:tc>
      </w:tr>
      <w:tr w14:paraId="151E60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17" w:type="dxa"/>
            <w:tcBorders>
              <w:top w:val="single" w:color="auto" w:sz="4" w:space="0"/>
              <w:left w:val="single" w:color="auto" w:sz="4" w:space="0"/>
              <w:bottom w:val="single" w:color="auto" w:sz="4" w:space="0"/>
              <w:right w:val="single" w:color="auto" w:sz="4" w:space="0"/>
            </w:tcBorders>
            <w:vAlign w:val="center"/>
          </w:tcPr>
          <w:p w14:paraId="06B6DD83">
            <w:pPr>
              <w:keepNext w:val="0"/>
              <w:keepLines w:val="0"/>
              <w:pageBreakBefore w:val="0"/>
              <w:shd w:val="clear" w:color="auto" w:fill="auto"/>
              <w:kinsoku/>
              <w:overflowPunct/>
              <w:bidi w:val="0"/>
              <w:spacing w:line="360" w:lineRule="auto"/>
              <w:jc w:val="center"/>
              <w:rPr>
                <w:rFonts w:hint="eastAsia" w:ascii="宋体" w:hAnsi="宋体" w:eastAsia="宋体" w:cs="宋体"/>
                <w:color w:val="auto"/>
                <w:szCs w:val="21"/>
                <w:highlight w:val="none"/>
                <w:shd w:val="clear" w:color="auto" w:fill="auto"/>
              </w:rPr>
            </w:pPr>
            <w:bookmarkStart w:id="58" w:name="_25.3"/>
            <w:bookmarkEnd w:id="58"/>
            <w:r>
              <w:rPr>
                <w:rFonts w:hint="eastAsia" w:ascii="宋体" w:hAnsi="宋体" w:eastAsia="宋体" w:cs="宋体"/>
                <w:color w:val="auto"/>
                <w:szCs w:val="21"/>
                <w:highlight w:val="none"/>
                <w:shd w:val="clear" w:color="auto" w:fill="auto"/>
              </w:rPr>
              <w:t>25.3（2）</w:t>
            </w:r>
          </w:p>
        </w:tc>
        <w:tc>
          <w:tcPr>
            <w:tcW w:w="8409" w:type="dxa"/>
            <w:tcBorders>
              <w:top w:val="single" w:color="auto" w:sz="4" w:space="0"/>
              <w:left w:val="single" w:color="auto" w:sz="4" w:space="0"/>
              <w:bottom w:val="single" w:color="auto" w:sz="4" w:space="0"/>
              <w:right w:val="single" w:color="auto" w:sz="4" w:space="0"/>
            </w:tcBorders>
            <w:vAlign w:val="center"/>
          </w:tcPr>
          <w:p w14:paraId="166C3966">
            <w:pPr>
              <w:keepNext w:val="0"/>
              <w:keepLines w:val="0"/>
              <w:pageBreakBefore w:val="0"/>
              <w:shd w:val="clear" w:color="auto" w:fill="auto"/>
              <w:kinsoku/>
              <w:overflowPunct/>
              <w:bidi w:val="0"/>
              <w:snapToGrid w:val="0"/>
              <w:spacing w:line="360" w:lineRule="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采购人或者采购代理机构在资格审查结束前，对投标人进行信用查询。</w:t>
            </w:r>
          </w:p>
          <w:p w14:paraId="62BA58E8">
            <w:pPr>
              <w:keepNext w:val="0"/>
              <w:keepLines w:val="0"/>
              <w:pageBreakBefore w:val="0"/>
              <w:shd w:val="clear" w:color="auto" w:fill="auto"/>
              <w:kinsoku/>
              <w:overflowPunct/>
              <w:bidi w:val="0"/>
              <w:snapToGrid w:val="0"/>
              <w:spacing w:line="360" w:lineRule="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查询渠道：“信用中国”网站（www.creditchina.gov.cn） 、中国政府采购网（www.ccgp.gov.cn）。</w:t>
            </w:r>
          </w:p>
          <w:p w14:paraId="1F8101C6">
            <w:pPr>
              <w:keepNext w:val="0"/>
              <w:keepLines w:val="0"/>
              <w:pageBreakBefore w:val="0"/>
              <w:shd w:val="clear" w:color="auto" w:fill="auto"/>
              <w:kinsoku/>
              <w:overflowPunct/>
              <w:bidi w:val="0"/>
              <w:snapToGrid w:val="0"/>
              <w:spacing w:line="360" w:lineRule="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信用查询截止时点：资格审查结束前</w:t>
            </w:r>
          </w:p>
          <w:p w14:paraId="0A3EE199">
            <w:pPr>
              <w:keepNext w:val="0"/>
              <w:keepLines w:val="0"/>
              <w:pageBreakBefore w:val="0"/>
              <w:shd w:val="clear" w:color="auto" w:fill="auto"/>
              <w:kinsoku/>
              <w:overflowPunct/>
              <w:bidi w:val="0"/>
              <w:snapToGrid w:val="0"/>
              <w:spacing w:line="360" w:lineRule="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查询记录和证据留存方式：在查询网站中直接截图查询记录，截图在“政采云”平台作为附件上传保存。</w:t>
            </w:r>
          </w:p>
          <w:p w14:paraId="2D99291F">
            <w:pPr>
              <w:keepNext w:val="0"/>
              <w:keepLines w:val="0"/>
              <w:pageBreakBefore w:val="0"/>
              <w:shd w:val="clear" w:color="auto" w:fill="auto"/>
              <w:kinsoku/>
              <w:overflowPunct/>
              <w:bidi w:val="0"/>
              <w:snapToGrid w:val="0"/>
              <w:spacing w:line="360" w:lineRule="auto"/>
              <w:rPr>
                <w:rFonts w:hint="eastAsia" w:ascii="宋体" w:hAnsi="宋体" w:eastAsia="宋体" w:cs="宋体"/>
                <w:b/>
                <w:color w:val="auto"/>
                <w:szCs w:val="21"/>
                <w:highlight w:val="none"/>
                <w:shd w:val="clear" w:color="auto" w:fill="auto"/>
              </w:rPr>
            </w:pPr>
            <w:r>
              <w:rPr>
                <w:rFonts w:hint="eastAsia" w:ascii="宋体" w:hAnsi="宋体" w:eastAsia="宋体" w:cs="宋体"/>
                <w:color w:val="auto"/>
                <w:szCs w:val="21"/>
                <w:highlight w:val="none"/>
                <w:shd w:val="clear" w:color="auto" w:fill="auto"/>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w:t>
            </w:r>
            <w:r>
              <w:rPr>
                <w:rFonts w:hint="eastAsia" w:ascii="宋体" w:hAnsi="宋体" w:eastAsia="宋体" w:cs="宋体"/>
                <w:b/>
                <w:bCs/>
                <w:color w:val="auto"/>
                <w:szCs w:val="21"/>
                <w:highlight w:val="none"/>
                <w:shd w:val="clear" w:color="auto" w:fill="auto"/>
              </w:rPr>
              <w:t>应当拒绝其参与政府采购活动</w:t>
            </w:r>
            <w:r>
              <w:rPr>
                <w:rFonts w:hint="eastAsia" w:ascii="宋体" w:hAnsi="宋体" w:eastAsia="宋体" w:cs="宋体"/>
                <w:color w:val="auto"/>
                <w:szCs w:val="21"/>
                <w:highlight w:val="none"/>
                <w:shd w:val="clear" w:color="auto" w:fill="auto"/>
              </w:rPr>
              <w:t>。两个以上的自然人、法人或者其他组织组成一个联合体，以一个供应商的身份共同参加政府采购活动的，应当对所有联合体成员进行信用记录查询，联合体成员存在不良信用记录（被列入失信被执行人、重大税收违法案件当事人名单、政府采购严重违法失信行为记录名单及其他不符合《中华人民共和国政府采购法》第二十二条规定条件的供应商）的，视同联合体存在不良信用记录。</w:t>
            </w:r>
          </w:p>
        </w:tc>
      </w:tr>
      <w:tr w14:paraId="639AB9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17" w:type="dxa"/>
            <w:tcBorders>
              <w:top w:val="single" w:color="auto" w:sz="4" w:space="0"/>
              <w:left w:val="single" w:color="auto" w:sz="4" w:space="0"/>
              <w:bottom w:val="single" w:color="auto" w:sz="4" w:space="0"/>
              <w:right w:val="single" w:color="auto" w:sz="4" w:space="0"/>
            </w:tcBorders>
            <w:vAlign w:val="center"/>
          </w:tcPr>
          <w:p w14:paraId="59166296">
            <w:pPr>
              <w:keepNext w:val="0"/>
              <w:keepLines w:val="0"/>
              <w:pageBreakBefore w:val="0"/>
              <w:shd w:val="clear" w:color="auto" w:fill="auto"/>
              <w:kinsoku/>
              <w:overflowPunct/>
              <w:bidi w:val="0"/>
              <w:spacing w:line="360" w:lineRule="auto"/>
              <w:jc w:val="center"/>
              <w:rPr>
                <w:rFonts w:hint="eastAsia" w:ascii="宋体" w:hAnsi="宋体" w:eastAsia="宋体" w:cs="宋体"/>
                <w:color w:val="auto"/>
                <w:szCs w:val="21"/>
                <w:highlight w:val="none"/>
                <w:shd w:val="clear" w:color="auto" w:fill="auto"/>
              </w:rPr>
            </w:pPr>
            <w:bookmarkStart w:id="59" w:name="_26"/>
            <w:bookmarkEnd w:id="59"/>
            <w:r>
              <w:rPr>
                <w:rFonts w:hint="eastAsia" w:ascii="宋体" w:hAnsi="宋体" w:eastAsia="宋体" w:cs="宋体"/>
                <w:color w:val="auto"/>
                <w:szCs w:val="21"/>
                <w:highlight w:val="none"/>
                <w:shd w:val="clear" w:color="auto" w:fill="auto"/>
              </w:rPr>
              <w:t>26.1</w:t>
            </w:r>
          </w:p>
        </w:tc>
        <w:tc>
          <w:tcPr>
            <w:tcW w:w="8409" w:type="dxa"/>
            <w:tcBorders>
              <w:top w:val="single" w:color="auto" w:sz="4" w:space="0"/>
              <w:left w:val="single" w:color="auto" w:sz="4" w:space="0"/>
              <w:bottom w:val="single" w:color="auto" w:sz="4" w:space="0"/>
              <w:right w:val="single" w:color="auto" w:sz="4" w:space="0"/>
            </w:tcBorders>
            <w:vAlign w:val="center"/>
          </w:tcPr>
          <w:p w14:paraId="22771221">
            <w:pPr>
              <w:keepNext w:val="0"/>
              <w:keepLines w:val="0"/>
              <w:pageBreakBefore w:val="0"/>
              <w:shd w:val="clear" w:color="auto" w:fill="auto"/>
              <w:kinsoku/>
              <w:overflowPunct/>
              <w:autoSpaceDE w:val="0"/>
              <w:autoSpaceDN w:val="0"/>
              <w:bidi w:val="0"/>
              <w:snapToGrid w:val="0"/>
              <w:spacing w:line="360" w:lineRule="auto"/>
              <w:textAlignment w:val="bottom"/>
              <w:rPr>
                <w:rFonts w:hint="eastAsia" w:ascii="宋体" w:hAnsi="宋体" w:eastAsia="宋体" w:cs="宋体"/>
                <w:color w:val="auto"/>
                <w:szCs w:val="21"/>
                <w:highlight w:val="none"/>
                <w:u w:val="none"/>
                <w:shd w:val="clear" w:color="auto" w:fill="auto"/>
              </w:rPr>
            </w:pPr>
            <w:r>
              <w:rPr>
                <w:rFonts w:hint="eastAsia" w:ascii="宋体" w:hAnsi="宋体" w:eastAsia="宋体" w:cs="宋体"/>
                <w:color w:val="auto"/>
                <w:szCs w:val="21"/>
                <w:highlight w:val="none"/>
                <w:shd w:val="clear" w:color="auto" w:fill="auto"/>
              </w:rPr>
              <w:t>评标委员会的人数：</w:t>
            </w:r>
            <w:r>
              <w:rPr>
                <w:rFonts w:hint="eastAsia" w:ascii="宋体" w:hAnsi="宋体" w:eastAsia="宋体" w:cs="宋体"/>
                <w:color w:val="auto"/>
                <w:szCs w:val="21"/>
                <w:highlight w:val="none"/>
                <w:u w:val="none"/>
                <w:shd w:val="clear" w:color="auto" w:fill="auto"/>
              </w:rPr>
              <w:t>评审小组的人数：5人，其中采购人代表1名、评审专家4名</w:t>
            </w:r>
          </w:p>
        </w:tc>
      </w:tr>
      <w:tr w14:paraId="0AFAE9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17" w:type="dxa"/>
            <w:tcBorders>
              <w:top w:val="single" w:color="auto" w:sz="4" w:space="0"/>
              <w:left w:val="single" w:color="auto" w:sz="4" w:space="0"/>
              <w:bottom w:val="single" w:color="auto" w:sz="4" w:space="0"/>
              <w:right w:val="single" w:color="auto" w:sz="4" w:space="0"/>
            </w:tcBorders>
            <w:vAlign w:val="center"/>
          </w:tcPr>
          <w:p w14:paraId="52EF7225">
            <w:pPr>
              <w:keepNext w:val="0"/>
              <w:keepLines w:val="0"/>
              <w:pageBreakBefore w:val="0"/>
              <w:shd w:val="clear" w:color="auto" w:fill="auto"/>
              <w:kinsoku/>
              <w:overflowPunct/>
              <w:bidi w:val="0"/>
              <w:spacing w:line="360" w:lineRule="auto"/>
              <w:jc w:val="center"/>
              <w:rPr>
                <w:rFonts w:hint="eastAsia" w:ascii="宋体" w:hAnsi="宋体" w:eastAsia="宋体" w:cs="宋体"/>
                <w:color w:val="auto"/>
                <w:szCs w:val="21"/>
                <w:highlight w:val="none"/>
                <w:shd w:val="clear" w:color="auto" w:fill="auto"/>
              </w:rPr>
            </w:pPr>
            <w:bookmarkStart w:id="60" w:name="_28.3"/>
            <w:bookmarkEnd w:id="60"/>
            <w:r>
              <w:rPr>
                <w:rFonts w:hint="eastAsia" w:ascii="宋体" w:hAnsi="宋体" w:eastAsia="宋体" w:cs="宋体"/>
                <w:color w:val="auto"/>
                <w:szCs w:val="21"/>
                <w:highlight w:val="none"/>
                <w:shd w:val="clear" w:color="auto" w:fill="auto"/>
              </w:rPr>
              <w:t>29.1</w:t>
            </w:r>
          </w:p>
        </w:tc>
        <w:tc>
          <w:tcPr>
            <w:tcW w:w="8409" w:type="dxa"/>
            <w:tcBorders>
              <w:top w:val="single" w:color="auto" w:sz="4" w:space="0"/>
              <w:left w:val="single" w:color="auto" w:sz="4" w:space="0"/>
              <w:bottom w:val="single" w:color="auto" w:sz="4" w:space="0"/>
              <w:right w:val="single" w:color="auto" w:sz="4" w:space="0"/>
            </w:tcBorders>
            <w:vAlign w:val="center"/>
          </w:tcPr>
          <w:p w14:paraId="602CAAC5">
            <w:pPr>
              <w:keepNext w:val="0"/>
              <w:keepLines w:val="0"/>
              <w:pageBreakBefore w:val="0"/>
              <w:shd w:val="clear" w:color="auto" w:fill="auto"/>
              <w:kinsoku/>
              <w:overflowPunct/>
              <w:autoSpaceDE w:val="0"/>
              <w:autoSpaceDN w:val="0"/>
              <w:bidi w:val="0"/>
              <w:snapToGrid w:val="0"/>
              <w:spacing w:line="360" w:lineRule="auto"/>
              <w:textAlignment w:val="bottom"/>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评标方法：</w:t>
            </w:r>
          </w:p>
          <w:p w14:paraId="1BF35D19">
            <w:pPr>
              <w:keepNext w:val="0"/>
              <w:keepLines w:val="0"/>
              <w:pageBreakBefore w:val="0"/>
              <w:shd w:val="clear" w:color="auto" w:fill="auto"/>
              <w:kinsoku/>
              <w:overflowPunct/>
              <w:autoSpaceDE w:val="0"/>
              <w:autoSpaceDN w:val="0"/>
              <w:bidi w:val="0"/>
              <w:snapToGrid w:val="0"/>
              <w:spacing w:line="360" w:lineRule="auto"/>
              <w:textAlignment w:val="bottom"/>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lang w:eastAsia="zh-CN"/>
              </w:rPr>
              <w:t>☑</w:t>
            </w:r>
            <w:r>
              <w:rPr>
                <w:rFonts w:hint="eastAsia" w:ascii="宋体" w:hAnsi="宋体" w:eastAsia="宋体" w:cs="宋体"/>
                <w:color w:val="auto"/>
                <w:szCs w:val="21"/>
                <w:highlight w:val="none"/>
                <w:shd w:val="clear" w:color="auto" w:fill="auto"/>
              </w:rPr>
              <w:t>综合评分法</w:t>
            </w:r>
          </w:p>
          <w:p w14:paraId="69E375C5">
            <w:pPr>
              <w:keepNext w:val="0"/>
              <w:keepLines w:val="0"/>
              <w:pageBreakBefore w:val="0"/>
              <w:shd w:val="clear" w:color="auto" w:fill="auto"/>
              <w:kinsoku/>
              <w:overflowPunct/>
              <w:autoSpaceDE w:val="0"/>
              <w:autoSpaceDN w:val="0"/>
              <w:bidi w:val="0"/>
              <w:snapToGrid w:val="0"/>
              <w:spacing w:line="360" w:lineRule="auto"/>
              <w:textAlignment w:val="bottom"/>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□最低评标价法</w:t>
            </w:r>
          </w:p>
        </w:tc>
      </w:tr>
      <w:tr w14:paraId="643E8C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217" w:type="dxa"/>
            <w:tcBorders>
              <w:top w:val="single" w:color="auto" w:sz="4" w:space="0"/>
              <w:left w:val="single" w:color="auto" w:sz="4" w:space="0"/>
              <w:bottom w:val="single" w:color="auto" w:sz="4" w:space="0"/>
              <w:right w:val="single" w:color="auto" w:sz="4" w:space="0"/>
            </w:tcBorders>
            <w:vAlign w:val="center"/>
          </w:tcPr>
          <w:p w14:paraId="16E27C63">
            <w:pPr>
              <w:keepNext w:val="0"/>
              <w:keepLines w:val="0"/>
              <w:pageBreakBefore w:val="0"/>
              <w:shd w:val="clear" w:color="auto" w:fill="auto"/>
              <w:kinsoku/>
              <w:overflowPunct/>
              <w:bidi w:val="0"/>
              <w:spacing w:line="360" w:lineRule="auto"/>
              <w:jc w:val="center"/>
              <w:rPr>
                <w:rFonts w:hint="eastAsia" w:ascii="宋体" w:hAnsi="宋体" w:eastAsia="宋体" w:cs="宋体"/>
                <w:color w:val="auto"/>
                <w:szCs w:val="21"/>
                <w:highlight w:val="none"/>
                <w:shd w:val="clear" w:color="auto" w:fill="auto"/>
              </w:rPr>
            </w:pPr>
            <w:bookmarkStart w:id="61" w:name="_29.2.2（2）"/>
            <w:bookmarkEnd w:id="61"/>
            <w:r>
              <w:rPr>
                <w:rFonts w:hint="eastAsia" w:ascii="宋体" w:hAnsi="宋体" w:eastAsia="宋体" w:cs="宋体"/>
                <w:color w:val="auto"/>
                <w:szCs w:val="21"/>
                <w:highlight w:val="none"/>
                <w:shd w:val="clear" w:color="auto" w:fill="auto"/>
              </w:rPr>
              <w:t>29.2</w:t>
            </w:r>
          </w:p>
        </w:tc>
        <w:tc>
          <w:tcPr>
            <w:tcW w:w="8409" w:type="dxa"/>
            <w:tcBorders>
              <w:top w:val="single" w:color="auto" w:sz="4" w:space="0"/>
              <w:left w:val="single" w:color="auto" w:sz="4" w:space="0"/>
              <w:right w:val="single" w:color="auto" w:sz="4" w:space="0"/>
            </w:tcBorders>
            <w:vAlign w:val="center"/>
          </w:tcPr>
          <w:p w14:paraId="0EB6D80F">
            <w:pPr>
              <w:keepNext w:val="0"/>
              <w:keepLines w:val="0"/>
              <w:pageBreakBefore w:val="0"/>
              <w:shd w:val="clear" w:color="auto" w:fill="auto"/>
              <w:kinsoku/>
              <w:overflowPunct/>
              <w:bidi w:val="0"/>
              <w:snapToGrid w:val="0"/>
              <w:spacing w:line="360" w:lineRule="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商务要求评审中允许负偏离的条款数为</w:t>
            </w:r>
            <w:r>
              <w:rPr>
                <w:rFonts w:hint="eastAsia" w:ascii="宋体" w:hAnsi="宋体" w:eastAsia="宋体" w:cs="宋体"/>
                <w:color w:val="auto"/>
                <w:szCs w:val="21"/>
                <w:highlight w:val="none"/>
                <w:u w:val="single"/>
                <w:shd w:val="clear" w:color="auto" w:fill="auto"/>
              </w:rPr>
              <w:t xml:space="preserve"> 0</w:t>
            </w:r>
            <w:r>
              <w:rPr>
                <w:rFonts w:hint="eastAsia" w:ascii="宋体" w:hAnsi="宋体" w:eastAsia="宋体" w:cs="宋体"/>
                <w:color w:val="auto"/>
                <w:szCs w:val="21"/>
                <w:highlight w:val="none"/>
                <w:shd w:val="clear" w:color="auto" w:fill="auto"/>
              </w:rPr>
              <w:t>项。</w:t>
            </w:r>
          </w:p>
          <w:p w14:paraId="3694FD23">
            <w:pPr>
              <w:keepNext w:val="0"/>
              <w:keepLines w:val="0"/>
              <w:pageBreakBefore w:val="0"/>
              <w:shd w:val="clear" w:color="auto" w:fill="auto"/>
              <w:kinsoku/>
              <w:overflowPunct/>
              <w:bidi w:val="0"/>
              <w:snapToGrid w:val="0"/>
              <w:spacing w:line="360" w:lineRule="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技术要求评审中允许负偏离的条款数</w:t>
            </w:r>
            <w:r>
              <w:rPr>
                <w:rFonts w:hint="eastAsia" w:ascii="宋体" w:hAnsi="宋体" w:eastAsia="宋体" w:cs="宋体"/>
                <w:color w:val="FF0000"/>
                <w:szCs w:val="21"/>
                <w:highlight w:val="none"/>
                <w:shd w:val="clear" w:color="auto" w:fill="auto"/>
              </w:rPr>
              <w:t>为</w:t>
            </w:r>
            <w:r>
              <w:rPr>
                <w:rFonts w:hint="eastAsia" w:ascii="宋体" w:hAnsi="宋体" w:eastAsia="宋体" w:cs="宋体"/>
                <w:color w:val="FF0000"/>
                <w:szCs w:val="21"/>
                <w:highlight w:val="none"/>
                <w:u w:val="single"/>
                <w:shd w:val="clear" w:color="auto" w:fill="auto"/>
              </w:rPr>
              <w:t xml:space="preserve"> </w:t>
            </w:r>
            <w:r>
              <w:rPr>
                <w:rFonts w:hint="eastAsia" w:ascii="宋体" w:hAnsi="宋体" w:eastAsia="宋体" w:cs="宋体"/>
                <w:color w:val="FF0000"/>
                <w:szCs w:val="21"/>
                <w:highlight w:val="none"/>
                <w:u w:val="single"/>
                <w:shd w:val="clear" w:color="auto" w:fill="auto"/>
                <w:lang w:val="en-US" w:eastAsia="zh-CN"/>
              </w:rPr>
              <w:t>0</w:t>
            </w:r>
            <w:r>
              <w:rPr>
                <w:rFonts w:hint="eastAsia" w:ascii="宋体" w:hAnsi="宋体" w:eastAsia="宋体" w:cs="宋体"/>
                <w:color w:val="FF0000"/>
                <w:szCs w:val="21"/>
                <w:highlight w:val="none"/>
                <w:u w:val="single"/>
                <w:shd w:val="clear" w:color="auto" w:fill="auto"/>
              </w:rPr>
              <w:t xml:space="preserve"> </w:t>
            </w:r>
            <w:r>
              <w:rPr>
                <w:rFonts w:hint="eastAsia" w:ascii="宋体" w:hAnsi="宋体" w:eastAsia="宋体" w:cs="宋体"/>
                <w:color w:val="FF0000"/>
                <w:szCs w:val="21"/>
                <w:highlight w:val="none"/>
                <w:shd w:val="clear" w:color="auto" w:fill="auto"/>
              </w:rPr>
              <w:t>项</w:t>
            </w:r>
            <w:r>
              <w:rPr>
                <w:rFonts w:hint="eastAsia" w:ascii="宋体" w:hAnsi="宋体" w:eastAsia="宋体" w:cs="宋体"/>
                <w:color w:val="auto"/>
                <w:szCs w:val="21"/>
                <w:highlight w:val="none"/>
                <w:shd w:val="clear" w:color="auto" w:fill="auto"/>
              </w:rPr>
              <w:t>。</w:t>
            </w:r>
          </w:p>
        </w:tc>
      </w:tr>
      <w:tr w14:paraId="1755D7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217" w:type="dxa"/>
            <w:tcBorders>
              <w:top w:val="single" w:color="auto" w:sz="4" w:space="0"/>
              <w:left w:val="single" w:color="auto" w:sz="4" w:space="0"/>
              <w:bottom w:val="single" w:color="auto" w:sz="4" w:space="0"/>
              <w:right w:val="single" w:color="auto" w:sz="4" w:space="0"/>
            </w:tcBorders>
            <w:vAlign w:val="center"/>
          </w:tcPr>
          <w:p w14:paraId="56702A3A">
            <w:pPr>
              <w:keepNext w:val="0"/>
              <w:keepLines w:val="0"/>
              <w:pageBreakBefore w:val="0"/>
              <w:shd w:val="clear" w:color="auto" w:fill="auto"/>
              <w:kinsoku/>
              <w:overflowPunct/>
              <w:bidi w:val="0"/>
              <w:spacing w:line="360" w:lineRule="auto"/>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29.3</w:t>
            </w:r>
          </w:p>
        </w:tc>
        <w:tc>
          <w:tcPr>
            <w:tcW w:w="8409" w:type="dxa"/>
            <w:tcBorders>
              <w:top w:val="single" w:color="auto" w:sz="4" w:space="0"/>
              <w:left w:val="single" w:color="auto" w:sz="4" w:space="0"/>
              <w:right w:val="single" w:color="auto" w:sz="4" w:space="0"/>
            </w:tcBorders>
            <w:vAlign w:val="center"/>
          </w:tcPr>
          <w:p w14:paraId="74D2E131">
            <w:pPr>
              <w:keepNext w:val="0"/>
              <w:keepLines w:val="0"/>
              <w:pageBreakBefore w:val="0"/>
              <w:shd w:val="clear" w:color="auto" w:fill="auto"/>
              <w:kinsoku/>
              <w:overflowPunct/>
              <w:bidi w:val="0"/>
              <w:snapToGrid w:val="0"/>
              <w:spacing w:line="360" w:lineRule="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中标候选人推荐数量：</w:t>
            </w:r>
            <w:r>
              <w:rPr>
                <w:rFonts w:hint="eastAsia" w:ascii="宋体" w:hAnsi="宋体" w:eastAsia="宋体" w:cs="宋体"/>
                <w:color w:val="auto"/>
                <w:highlight w:val="none"/>
                <w:u w:val="single"/>
                <w:shd w:val="clear" w:color="auto" w:fill="auto"/>
              </w:rPr>
              <w:t xml:space="preserve"> 3 </w:t>
            </w:r>
            <w:r>
              <w:rPr>
                <w:rFonts w:hint="eastAsia" w:ascii="宋体" w:hAnsi="宋体" w:eastAsia="宋体" w:cs="宋体"/>
                <w:color w:val="auto"/>
                <w:highlight w:val="none"/>
                <w:shd w:val="clear" w:color="auto" w:fill="auto"/>
              </w:rPr>
              <w:t>名</w:t>
            </w:r>
          </w:p>
          <w:p w14:paraId="4F6A14F2">
            <w:pPr>
              <w:keepNext w:val="0"/>
              <w:keepLines w:val="0"/>
              <w:pageBreakBefore w:val="0"/>
              <w:shd w:val="clear" w:color="auto" w:fill="auto"/>
              <w:kinsoku/>
              <w:overflowPunct/>
              <w:bidi w:val="0"/>
              <w:snapToGrid w:val="0"/>
              <w:spacing w:line="360" w:lineRule="auto"/>
              <w:rPr>
                <w:rFonts w:hint="eastAsia" w:ascii="宋体" w:hAnsi="宋体" w:eastAsia="宋体" w:cs="宋体"/>
                <w:color w:val="auto"/>
                <w:szCs w:val="21"/>
                <w:highlight w:val="none"/>
                <w:u w:val="single"/>
                <w:shd w:val="clear" w:color="auto" w:fill="auto"/>
              </w:rPr>
            </w:pPr>
            <w:r>
              <w:rPr>
                <w:rFonts w:hint="eastAsia" w:ascii="宋体" w:hAnsi="宋体" w:eastAsia="宋体" w:cs="宋体"/>
                <w:color w:val="auto"/>
                <w:szCs w:val="21"/>
                <w:highlight w:val="none"/>
                <w:shd w:val="clear" w:color="auto" w:fill="auto"/>
                <w:lang w:eastAsia="zh-CN"/>
              </w:rPr>
              <w:t>☑</w:t>
            </w:r>
            <w:r>
              <w:rPr>
                <w:rFonts w:hint="eastAsia" w:ascii="宋体" w:hAnsi="宋体" w:eastAsia="宋体" w:cs="宋体"/>
                <w:color w:val="auto"/>
                <w:highlight w:val="none"/>
                <w:shd w:val="clear" w:color="auto" w:fill="auto"/>
              </w:rPr>
              <w:t>根据[总得分由高到低（综合评分法）/评标报价从低到高（最低评标价法）]排列次序并全部推荐为中标候选人</w:t>
            </w:r>
          </w:p>
        </w:tc>
      </w:tr>
      <w:tr w14:paraId="5AD443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17" w:type="dxa"/>
            <w:tcBorders>
              <w:top w:val="single" w:color="auto" w:sz="4" w:space="0"/>
              <w:left w:val="single" w:color="auto" w:sz="4" w:space="0"/>
              <w:bottom w:val="single" w:color="auto" w:sz="4" w:space="0"/>
              <w:right w:val="single" w:color="auto" w:sz="4" w:space="0"/>
            </w:tcBorders>
            <w:vAlign w:val="center"/>
          </w:tcPr>
          <w:p w14:paraId="54E0594C">
            <w:pPr>
              <w:keepNext w:val="0"/>
              <w:keepLines w:val="0"/>
              <w:pageBreakBefore w:val="0"/>
              <w:shd w:val="clear" w:color="auto" w:fill="auto"/>
              <w:kinsoku/>
              <w:overflowPunct/>
              <w:bidi w:val="0"/>
              <w:spacing w:line="360" w:lineRule="auto"/>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30.1</w:t>
            </w:r>
          </w:p>
        </w:tc>
        <w:tc>
          <w:tcPr>
            <w:tcW w:w="8409" w:type="dxa"/>
            <w:tcBorders>
              <w:top w:val="single" w:color="auto" w:sz="4" w:space="0"/>
              <w:left w:val="single" w:color="auto" w:sz="4" w:space="0"/>
              <w:bottom w:val="single" w:color="auto" w:sz="4" w:space="0"/>
              <w:right w:val="single" w:color="auto" w:sz="4" w:space="0"/>
            </w:tcBorders>
            <w:vAlign w:val="center"/>
          </w:tcPr>
          <w:p w14:paraId="72DACBD9">
            <w:pPr>
              <w:keepNext w:val="0"/>
              <w:keepLines w:val="0"/>
              <w:pageBreakBefore w:val="0"/>
              <w:shd w:val="clear" w:color="auto" w:fill="auto"/>
              <w:kinsoku/>
              <w:overflowPunct/>
              <w:autoSpaceDE w:val="0"/>
              <w:autoSpaceDN w:val="0"/>
              <w:bidi w:val="0"/>
              <w:snapToGrid w:val="0"/>
              <w:spacing w:line="360" w:lineRule="auto"/>
              <w:textAlignment w:val="bottom"/>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采用综合评分法的采购项目，采购人确定中标人时，出现中标候选人并列的情形，采购人按以下的方式确定中标人：</w:t>
            </w:r>
          </w:p>
          <w:p w14:paraId="7A253ED9">
            <w:pPr>
              <w:keepNext w:val="0"/>
              <w:keepLines w:val="0"/>
              <w:pageBreakBefore w:val="0"/>
              <w:shd w:val="clear" w:color="auto" w:fill="auto"/>
              <w:kinsoku/>
              <w:overflowPunct/>
              <w:autoSpaceDE w:val="0"/>
              <w:autoSpaceDN w:val="0"/>
              <w:bidi w:val="0"/>
              <w:snapToGrid w:val="0"/>
              <w:spacing w:line="360" w:lineRule="auto"/>
              <w:textAlignment w:val="bottom"/>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☑依次按投标报价低的优先、政策分得分高的优先、技术评分高的优先、商务评分高的优先、故障响应时间短优先</w:t>
            </w:r>
            <w:r>
              <w:rPr>
                <w:rFonts w:hint="eastAsia" w:ascii="宋体" w:hAnsi="宋体" w:cs="宋体"/>
                <w:color w:val="auto"/>
                <w:szCs w:val="21"/>
                <w:highlight w:val="none"/>
                <w:shd w:val="clear" w:color="auto" w:fill="auto"/>
                <w:lang w:eastAsia="zh-CN"/>
              </w:rPr>
              <w:t>、</w:t>
            </w:r>
            <w:r>
              <w:rPr>
                <w:rFonts w:hint="eastAsia" w:ascii="宋体" w:hAnsi="宋体" w:eastAsia="宋体" w:cs="宋体"/>
                <w:color w:val="auto"/>
                <w:szCs w:val="21"/>
                <w:highlight w:val="none"/>
                <w:shd w:val="clear" w:color="auto" w:fill="auto"/>
              </w:rPr>
              <w:t>保修期长优先、</w:t>
            </w:r>
            <w:r>
              <w:rPr>
                <w:rFonts w:hint="eastAsia" w:ascii="宋体" w:hAnsi="宋体"/>
                <w:szCs w:val="21"/>
              </w:rPr>
              <w:t>拟投入人员数量多</w:t>
            </w:r>
            <w:r>
              <w:rPr>
                <w:rFonts w:hint="eastAsia" w:ascii="宋体" w:hAnsi="宋体" w:eastAsia="宋体" w:cs="宋体"/>
                <w:color w:val="auto"/>
                <w:szCs w:val="21"/>
                <w:highlight w:val="none"/>
                <w:shd w:val="clear" w:color="auto" w:fill="auto"/>
              </w:rPr>
              <w:t>优先的顺序确定；</w:t>
            </w:r>
          </w:p>
          <w:p w14:paraId="052E6530">
            <w:pPr>
              <w:keepNext w:val="0"/>
              <w:keepLines w:val="0"/>
              <w:pageBreakBefore w:val="0"/>
              <w:shd w:val="clear" w:color="auto" w:fill="auto"/>
              <w:kinsoku/>
              <w:overflowPunct/>
              <w:autoSpaceDE w:val="0"/>
              <w:autoSpaceDN w:val="0"/>
              <w:bidi w:val="0"/>
              <w:snapToGrid w:val="0"/>
              <w:spacing w:line="360" w:lineRule="auto"/>
              <w:textAlignment w:val="bottom"/>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□随机抽取；</w:t>
            </w:r>
          </w:p>
        </w:tc>
      </w:tr>
      <w:tr w14:paraId="1F5A02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17" w:type="dxa"/>
            <w:tcBorders>
              <w:top w:val="single" w:color="auto" w:sz="4" w:space="0"/>
              <w:left w:val="single" w:color="auto" w:sz="4" w:space="0"/>
              <w:bottom w:val="single" w:color="auto" w:sz="4" w:space="0"/>
              <w:right w:val="single" w:color="auto" w:sz="4" w:space="0"/>
            </w:tcBorders>
            <w:vAlign w:val="center"/>
          </w:tcPr>
          <w:p w14:paraId="21EA437D">
            <w:pPr>
              <w:keepNext w:val="0"/>
              <w:keepLines w:val="0"/>
              <w:pageBreakBefore w:val="0"/>
              <w:shd w:val="clear" w:color="auto" w:fill="auto"/>
              <w:kinsoku/>
              <w:overflowPunct/>
              <w:bidi w:val="0"/>
              <w:spacing w:line="360" w:lineRule="auto"/>
              <w:jc w:val="center"/>
              <w:rPr>
                <w:rFonts w:hint="eastAsia" w:ascii="宋体" w:hAnsi="宋体" w:eastAsia="宋体" w:cs="宋体"/>
                <w:color w:val="auto"/>
                <w:szCs w:val="21"/>
                <w:highlight w:val="none"/>
                <w:shd w:val="clear" w:color="auto" w:fill="auto"/>
              </w:rPr>
            </w:pPr>
            <w:bookmarkStart w:id="62" w:name="_39.1"/>
            <w:bookmarkEnd w:id="62"/>
            <w:r>
              <w:rPr>
                <w:rFonts w:hint="eastAsia" w:ascii="宋体" w:hAnsi="宋体" w:eastAsia="宋体" w:cs="宋体"/>
                <w:color w:val="auto"/>
                <w:szCs w:val="21"/>
                <w:highlight w:val="none"/>
                <w:shd w:val="clear" w:color="auto" w:fill="auto"/>
              </w:rPr>
              <w:t>35.1</w:t>
            </w:r>
          </w:p>
        </w:tc>
        <w:tc>
          <w:tcPr>
            <w:tcW w:w="8409" w:type="dxa"/>
            <w:tcBorders>
              <w:top w:val="single" w:color="auto" w:sz="4" w:space="0"/>
              <w:left w:val="single" w:color="auto" w:sz="4" w:space="0"/>
              <w:bottom w:val="single" w:color="auto" w:sz="4" w:space="0"/>
              <w:right w:val="single" w:color="auto" w:sz="4" w:space="0"/>
            </w:tcBorders>
            <w:vAlign w:val="center"/>
          </w:tcPr>
          <w:p w14:paraId="76F1533A">
            <w:pPr>
              <w:keepNext w:val="0"/>
              <w:keepLines w:val="0"/>
              <w:pageBreakBefore w:val="0"/>
              <w:shd w:val="clear" w:color="auto" w:fill="auto"/>
              <w:kinsoku/>
              <w:overflowPunct/>
              <w:autoSpaceDE w:val="0"/>
              <w:autoSpaceDN w:val="0"/>
              <w:bidi w:val="0"/>
              <w:snapToGrid w:val="0"/>
              <w:spacing w:line="360" w:lineRule="auto"/>
              <w:textAlignment w:val="bottom"/>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lang w:eastAsia="zh-CN"/>
              </w:rPr>
              <w:t>☑</w:t>
            </w:r>
            <w:r>
              <w:rPr>
                <w:rFonts w:hint="eastAsia" w:ascii="宋体" w:hAnsi="宋体" w:eastAsia="宋体" w:cs="宋体"/>
                <w:color w:val="auto"/>
                <w:szCs w:val="21"/>
                <w:highlight w:val="none"/>
                <w:shd w:val="clear" w:color="auto" w:fill="auto"/>
              </w:rPr>
              <w:t>本项目不收取履约保证金。</w:t>
            </w:r>
          </w:p>
          <w:p w14:paraId="423F274C">
            <w:pPr>
              <w:keepNext w:val="0"/>
              <w:keepLines w:val="0"/>
              <w:pageBreakBefore w:val="0"/>
              <w:shd w:val="clear" w:color="auto" w:fill="auto"/>
              <w:kinsoku/>
              <w:overflowPunct/>
              <w:autoSpaceDE w:val="0"/>
              <w:autoSpaceDN w:val="0"/>
              <w:bidi w:val="0"/>
              <w:snapToGrid w:val="0"/>
              <w:spacing w:line="360" w:lineRule="auto"/>
              <w:textAlignment w:val="bottom"/>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lang w:eastAsia="zh-CN"/>
              </w:rPr>
              <w:t>□</w:t>
            </w:r>
            <w:r>
              <w:rPr>
                <w:rFonts w:hint="eastAsia" w:ascii="宋体" w:hAnsi="宋体" w:eastAsia="宋体" w:cs="宋体"/>
                <w:color w:val="auto"/>
                <w:szCs w:val="21"/>
                <w:highlight w:val="none"/>
                <w:shd w:val="clear" w:color="auto" w:fill="auto"/>
              </w:rPr>
              <w:t>本项目收取履约保证金，具体规定如下：</w:t>
            </w:r>
          </w:p>
          <w:p w14:paraId="79970503">
            <w:pPr>
              <w:pStyle w:val="10"/>
              <w:keepNext w:val="0"/>
              <w:keepLines w:val="0"/>
              <w:pageBreakBefore w:val="0"/>
              <w:shd w:val="clear" w:color="auto" w:fill="auto"/>
              <w:kinsoku/>
              <w:overflowPunct/>
              <w:bidi w:val="0"/>
              <w:spacing w:line="360" w:lineRule="auto"/>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履约保证金金额：每分标按中标金额的</w:t>
            </w:r>
            <w:r>
              <w:rPr>
                <w:rFonts w:hint="eastAsia" w:ascii="宋体" w:hAnsi="宋体" w:eastAsia="宋体" w:cs="宋体"/>
                <w:color w:val="auto"/>
                <w:szCs w:val="21"/>
                <w:highlight w:val="none"/>
                <w:u w:val="single"/>
                <w:shd w:val="clear" w:color="auto" w:fill="auto"/>
                <w:lang w:val="en-US" w:eastAsia="zh-CN"/>
              </w:rPr>
              <w:t xml:space="preserve">   </w:t>
            </w:r>
            <w:r>
              <w:rPr>
                <w:rFonts w:hint="eastAsia" w:ascii="宋体" w:hAnsi="宋体" w:eastAsia="宋体" w:cs="宋体"/>
                <w:color w:val="auto"/>
                <w:szCs w:val="21"/>
                <w:highlight w:val="none"/>
                <w:shd w:val="clear" w:color="auto" w:fill="auto"/>
                <w:lang w:val="en-US" w:eastAsia="zh-CN"/>
              </w:rPr>
              <w:t>%（注：履约保证金不超过</w:t>
            </w:r>
            <w:r>
              <w:rPr>
                <w:rFonts w:hint="eastAsia" w:ascii="宋体" w:hAnsi="宋体" w:eastAsia="宋体" w:cs="宋体"/>
                <w:color w:val="auto"/>
                <w:highlight w:val="none"/>
                <w:shd w:val="clear" w:color="auto" w:fill="auto"/>
                <w:lang w:val="en-US" w:eastAsia="zh-CN"/>
              </w:rPr>
              <w:t>政府采购合同金额的</w:t>
            </w:r>
            <w:r>
              <w:rPr>
                <w:rFonts w:hint="eastAsia" w:ascii="宋体" w:hAnsi="宋体" w:eastAsia="宋体" w:cs="宋体"/>
                <w:color w:val="auto"/>
                <w:szCs w:val="21"/>
                <w:highlight w:val="none"/>
                <w:shd w:val="clear" w:color="auto" w:fill="auto"/>
                <w:lang w:val="en-US" w:eastAsia="zh-CN"/>
              </w:rPr>
              <w:t>2%）。</w:t>
            </w:r>
          </w:p>
          <w:p w14:paraId="1EEC1EDC">
            <w:pPr>
              <w:keepNext w:val="0"/>
              <w:keepLines w:val="0"/>
              <w:pageBreakBefore w:val="0"/>
              <w:shd w:val="clear" w:color="auto" w:fill="auto"/>
              <w:kinsoku/>
              <w:overflowPunct/>
              <w:autoSpaceDE w:val="0"/>
              <w:autoSpaceDN w:val="0"/>
              <w:bidi w:val="0"/>
              <w:snapToGrid w:val="0"/>
              <w:spacing w:line="360" w:lineRule="auto"/>
              <w:textAlignment w:val="bottom"/>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履约保证金递交方式：银行转账、支票、汇票、本票或者银行、保险机构出具的保函等非现金方式（参照投标保证金交纳方式）。</w:t>
            </w:r>
          </w:p>
          <w:p w14:paraId="26B0B898">
            <w:pPr>
              <w:keepNext w:val="0"/>
              <w:keepLines w:val="0"/>
              <w:pageBreakBefore w:val="0"/>
              <w:shd w:val="clear" w:color="auto" w:fill="auto"/>
              <w:kinsoku/>
              <w:overflowPunct/>
              <w:autoSpaceDE w:val="0"/>
              <w:autoSpaceDN w:val="0"/>
              <w:bidi w:val="0"/>
              <w:snapToGrid w:val="0"/>
              <w:spacing w:line="360" w:lineRule="auto"/>
              <w:textAlignment w:val="bottom"/>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履约保证金退付方式、时间及条件：</w:t>
            </w:r>
            <w:r>
              <w:rPr>
                <w:rFonts w:hint="eastAsia" w:ascii="宋体" w:hAnsi="宋体" w:eastAsia="宋体" w:cs="宋体"/>
                <w:color w:val="auto"/>
                <w:szCs w:val="21"/>
                <w:highlight w:val="none"/>
                <w:shd w:val="clear" w:color="auto" w:fill="auto"/>
                <w:lang w:eastAsia="zh-CN"/>
              </w:rPr>
              <w:t>中标方在合同签订后</w:t>
            </w:r>
            <w:r>
              <w:rPr>
                <w:rFonts w:hint="eastAsia" w:ascii="宋体" w:hAnsi="宋体" w:eastAsia="宋体" w:cs="宋体"/>
                <w:color w:val="auto"/>
                <w:szCs w:val="21"/>
                <w:highlight w:val="none"/>
                <w:shd w:val="clear" w:color="auto" w:fill="auto"/>
                <w:lang w:val="en-US" w:eastAsia="zh-CN"/>
              </w:rPr>
              <w:t>5</w:t>
            </w:r>
            <w:r>
              <w:rPr>
                <w:rFonts w:hint="eastAsia" w:ascii="宋体" w:hAnsi="宋体" w:eastAsia="宋体" w:cs="宋体"/>
                <w:color w:val="auto"/>
                <w:szCs w:val="21"/>
                <w:highlight w:val="none"/>
                <w:shd w:val="clear" w:color="auto" w:fill="auto"/>
                <w:lang w:eastAsia="zh-CN"/>
              </w:rPr>
              <w:t>个工作日内向采购方支付全部合同款的</w:t>
            </w:r>
            <w:r>
              <w:rPr>
                <w:rFonts w:hint="eastAsia" w:ascii="宋体" w:hAnsi="宋体" w:eastAsia="宋体" w:cs="宋体"/>
                <w:color w:val="auto"/>
                <w:szCs w:val="21"/>
                <w:highlight w:val="none"/>
                <w:shd w:val="clear" w:color="auto" w:fill="auto"/>
                <w:lang w:val="en-US" w:eastAsia="zh-CN"/>
              </w:rPr>
              <w:t>2</w:t>
            </w:r>
            <w:r>
              <w:rPr>
                <w:rFonts w:hint="eastAsia" w:ascii="宋体" w:hAnsi="宋体" w:eastAsia="宋体" w:cs="宋体"/>
                <w:color w:val="auto"/>
                <w:szCs w:val="21"/>
                <w:highlight w:val="none"/>
                <w:shd w:val="clear" w:color="auto" w:fill="auto"/>
                <w:lang w:eastAsia="zh-CN"/>
              </w:rPr>
              <w:t>%作为履约保证金</w:t>
            </w:r>
            <w:r>
              <w:rPr>
                <w:rFonts w:hint="eastAsia" w:ascii="宋体" w:hAnsi="宋体" w:eastAsia="宋体" w:cs="宋体"/>
                <w:color w:val="auto"/>
                <w:szCs w:val="21"/>
                <w:highlight w:val="none"/>
                <w:shd w:val="clear" w:color="auto" w:fill="auto"/>
              </w:rPr>
              <w:t>。中标人履行完所有合同约定权利义务事项后</w:t>
            </w:r>
            <w:r>
              <w:rPr>
                <w:rFonts w:hint="eastAsia" w:ascii="宋体" w:hAnsi="宋体" w:eastAsia="宋体" w:cs="宋体"/>
                <w:color w:val="auto"/>
                <w:szCs w:val="21"/>
                <w:highlight w:val="none"/>
                <w:shd w:val="clear" w:color="auto" w:fill="auto"/>
                <w:lang w:val="en-US" w:eastAsia="zh-CN"/>
              </w:rPr>
              <w:t>10</w:t>
            </w:r>
            <w:r>
              <w:rPr>
                <w:rFonts w:hint="eastAsia" w:ascii="宋体" w:hAnsi="宋体" w:eastAsia="宋体" w:cs="宋体"/>
                <w:color w:val="auto"/>
                <w:szCs w:val="21"/>
                <w:highlight w:val="none"/>
                <w:shd w:val="clear" w:color="auto" w:fill="auto"/>
              </w:rPr>
              <w:t>个工作日内，中标人须向招标人提交退保证金申请，招标人在质量保证期满后验收并扣除更换、维修维保、赔偿金等费用后（如有），</w:t>
            </w:r>
            <w:r>
              <w:rPr>
                <w:rFonts w:hint="eastAsia" w:ascii="宋体" w:hAnsi="宋体" w:eastAsia="宋体" w:cs="宋体"/>
                <w:color w:val="auto"/>
                <w:szCs w:val="21"/>
                <w:highlight w:val="none"/>
                <w:shd w:val="clear" w:color="auto" w:fill="auto"/>
                <w:lang w:val="en-US" w:eastAsia="zh-CN"/>
              </w:rPr>
              <w:t>15</w:t>
            </w:r>
            <w:r>
              <w:rPr>
                <w:rFonts w:hint="eastAsia" w:ascii="宋体" w:hAnsi="宋体" w:eastAsia="宋体" w:cs="宋体"/>
                <w:color w:val="auto"/>
                <w:szCs w:val="21"/>
                <w:highlight w:val="none"/>
                <w:shd w:val="clear" w:color="auto" w:fill="auto"/>
              </w:rPr>
              <w:t>个工作日内无息返还剩余金额。履约保证金指定账户：</w:t>
            </w:r>
          </w:p>
          <w:p w14:paraId="0AE58939">
            <w:pPr>
              <w:keepNext w:val="0"/>
              <w:keepLines w:val="0"/>
              <w:pageBreakBefore w:val="0"/>
              <w:shd w:val="clear" w:color="auto" w:fill="auto"/>
              <w:kinsoku/>
              <w:overflowPunct/>
              <w:autoSpaceDE w:val="0"/>
              <w:autoSpaceDN w:val="0"/>
              <w:bidi w:val="0"/>
              <w:snapToGrid w:val="0"/>
              <w:spacing w:line="360" w:lineRule="auto"/>
              <w:textAlignment w:val="bottom"/>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rPr>
              <w:t>开户名：</w:t>
            </w:r>
            <w:r>
              <w:rPr>
                <w:rFonts w:hint="eastAsia" w:ascii="宋体" w:hAnsi="宋体" w:eastAsia="宋体" w:cs="宋体"/>
                <w:color w:val="auto"/>
                <w:szCs w:val="21"/>
                <w:highlight w:val="none"/>
                <w:shd w:val="clear" w:color="auto" w:fill="auto"/>
                <w:lang w:val="en-US" w:eastAsia="zh-CN"/>
              </w:rPr>
              <w:t xml:space="preserve"> </w:t>
            </w:r>
          </w:p>
          <w:p w14:paraId="465FA888">
            <w:pPr>
              <w:keepNext w:val="0"/>
              <w:keepLines w:val="0"/>
              <w:pageBreakBefore w:val="0"/>
              <w:shd w:val="clear" w:color="auto" w:fill="auto"/>
              <w:kinsoku/>
              <w:overflowPunct/>
              <w:autoSpaceDE w:val="0"/>
              <w:autoSpaceDN w:val="0"/>
              <w:bidi w:val="0"/>
              <w:snapToGrid w:val="0"/>
              <w:spacing w:line="360" w:lineRule="auto"/>
              <w:textAlignment w:val="bottom"/>
              <w:rPr>
                <w:rFonts w:hint="eastAsia" w:ascii="宋体" w:hAnsi="宋体" w:eastAsia="宋体" w:cs="宋体"/>
                <w:color w:val="auto"/>
                <w:szCs w:val="21"/>
                <w:highlight w:val="none"/>
                <w:shd w:val="clear" w:color="auto" w:fill="auto"/>
                <w:lang w:eastAsia="zh-CN"/>
              </w:rPr>
            </w:pPr>
            <w:r>
              <w:rPr>
                <w:rFonts w:hint="eastAsia" w:ascii="宋体" w:hAnsi="宋体" w:eastAsia="宋体" w:cs="宋体"/>
                <w:color w:val="auto"/>
                <w:szCs w:val="21"/>
                <w:highlight w:val="none"/>
                <w:shd w:val="clear" w:color="auto" w:fill="auto"/>
              </w:rPr>
              <w:t>开户行：</w:t>
            </w:r>
            <w:r>
              <w:rPr>
                <w:rFonts w:hint="eastAsia" w:ascii="宋体" w:hAnsi="宋体" w:eastAsia="宋体" w:cs="宋体"/>
                <w:color w:val="auto"/>
                <w:szCs w:val="21"/>
                <w:highlight w:val="none"/>
                <w:shd w:val="clear" w:color="auto" w:fill="auto"/>
                <w:lang w:val="en-US" w:eastAsia="zh-CN"/>
              </w:rPr>
              <w:t xml:space="preserve"> </w:t>
            </w:r>
          </w:p>
          <w:p w14:paraId="31A6A97D">
            <w:pPr>
              <w:keepNext w:val="0"/>
              <w:keepLines w:val="0"/>
              <w:pageBreakBefore w:val="0"/>
              <w:shd w:val="clear" w:color="auto" w:fill="auto"/>
              <w:kinsoku/>
              <w:overflowPunct/>
              <w:autoSpaceDE w:val="0"/>
              <w:autoSpaceDN w:val="0"/>
              <w:bidi w:val="0"/>
              <w:snapToGrid w:val="0"/>
              <w:spacing w:line="360" w:lineRule="auto"/>
              <w:textAlignment w:val="bottom"/>
              <w:rPr>
                <w:rFonts w:hint="eastAsia" w:ascii="宋体" w:hAnsi="宋体" w:eastAsia="宋体" w:cs="宋体"/>
                <w:color w:val="auto"/>
                <w:szCs w:val="21"/>
                <w:highlight w:val="none"/>
                <w:shd w:val="clear" w:color="auto" w:fill="auto"/>
                <w:lang w:eastAsia="zh-CN"/>
              </w:rPr>
            </w:pPr>
            <w:r>
              <w:rPr>
                <w:rFonts w:hint="eastAsia" w:ascii="宋体" w:hAnsi="宋体" w:eastAsia="宋体" w:cs="宋体"/>
                <w:color w:val="auto"/>
                <w:szCs w:val="21"/>
                <w:highlight w:val="none"/>
                <w:shd w:val="clear" w:color="auto" w:fill="auto"/>
                <w:lang w:eastAsia="zh-CN"/>
              </w:rPr>
              <w:t>账号</w:t>
            </w:r>
            <w:r>
              <w:rPr>
                <w:rFonts w:hint="eastAsia" w:ascii="宋体" w:hAnsi="宋体" w:eastAsia="宋体" w:cs="宋体"/>
                <w:color w:val="auto"/>
                <w:szCs w:val="21"/>
                <w:highlight w:val="none"/>
                <w:shd w:val="clear" w:color="auto" w:fill="auto"/>
              </w:rPr>
              <w:t>：</w:t>
            </w:r>
            <w:r>
              <w:rPr>
                <w:rFonts w:hint="eastAsia" w:ascii="宋体" w:hAnsi="宋体" w:eastAsia="宋体" w:cs="宋体"/>
                <w:color w:val="auto"/>
                <w:szCs w:val="21"/>
                <w:highlight w:val="none"/>
                <w:shd w:val="clear" w:color="auto" w:fill="auto"/>
                <w:lang w:val="en-US" w:eastAsia="zh-CN"/>
              </w:rPr>
              <w:t xml:space="preserve"> </w:t>
            </w:r>
          </w:p>
          <w:p w14:paraId="0FB42193">
            <w:pPr>
              <w:keepNext w:val="0"/>
              <w:keepLines w:val="0"/>
              <w:pageBreakBefore w:val="0"/>
              <w:shd w:val="clear" w:color="auto" w:fill="auto"/>
              <w:kinsoku/>
              <w:overflowPunct/>
              <w:bidi w:val="0"/>
              <w:spacing w:line="360" w:lineRule="auto"/>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备注：</w:t>
            </w:r>
          </w:p>
          <w:p w14:paraId="21ECF868">
            <w:pPr>
              <w:keepNext w:val="0"/>
              <w:keepLines w:val="0"/>
              <w:pageBreakBefore w:val="0"/>
              <w:shd w:val="clear" w:color="auto" w:fill="auto"/>
              <w:kinsoku/>
              <w:overflowPunct/>
              <w:bidi w:val="0"/>
              <w:spacing w:line="360" w:lineRule="auto"/>
              <w:jc w:val="left"/>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 xml:space="preserve">1. </w:t>
            </w:r>
            <w:bookmarkStart w:id="63" w:name="_Hlk54170335"/>
            <w:r>
              <w:rPr>
                <w:rFonts w:hint="eastAsia" w:ascii="宋体" w:hAnsi="宋体" w:eastAsia="宋体" w:cs="宋体"/>
                <w:b/>
                <w:color w:val="auto"/>
                <w:szCs w:val="21"/>
                <w:highlight w:val="none"/>
                <w:shd w:val="clear" w:color="auto" w:fill="auto"/>
              </w:rPr>
              <w:t>根据《广西壮族自治区财政厅关于进一步发挥政府采购政策功能促进企业发展的通知</w:t>
            </w:r>
          </w:p>
          <w:p w14:paraId="0D18C9F5">
            <w:pPr>
              <w:keepNext w:val="0"/>
              <w:keepLines w:val="0"/>
              <w:pageBreakBefore w:val="0"/>
              <w:shd w:val="clear" w:color="auto" w:fill="auto"/>
              <w:kinsoku/>
              <w:overflowPunct/>
              <w:bidi w:val="0"/>
              <w:spacing w:line="360" w:lineRule="auto"/>
              <w:jc w:val="left"/>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》（桂财采〔2022〕30号）规定，鼓励采购人在与中小微企业签订政府采购合同时，减少或免于收取履约保证金，有必要收取履约保证金的，收取的履约保证金不得超过政府采购合同金额的</w:t>
            </w:r>
            <w:r>
              <w:rPr>
                <w:rFonts w:hint="eastAsia" w:ascii="宋体" w:hAnsi="宋体" w:eastAsia="宋体" w:cs="宋体"/>
                <w:b/>
                <w:color w:val="auto"/>
                <w:szCs w:val="21"/>
                <w:highlight w:val="none"/>
                <w:shd w:val="clear" w:color="auto" w:fill="auto"/>
                <w:lang w:val="en-US" w:eastAsia="zh-CN"/>
              </w:rPr>
              <w:t>2</w:t>
            </w:r>
            <w:r>
              <w:rPr>
                <w:rFonts w:hint="eastAsia" w:ascii="宋体" w:hAnsi="宋体" w:eastAsia="宋体" w:cs="宋体"/>
                <w:b/>
                <w:color w:val="auto"/>
                <w:szCs w:val="21"/>
                <w:highlight w:val="none"/>
                <w:shd w:val="clear" w:color="auto" w:fill="auto"/>
              </w:rPr>
              <w:t>%。</w:t>
            </w:r>
            <w:bookmarkEnd w:id="63"/>
          </w:p>
          <w:p w14:paraId="16DD65FC">
            <w:pPr>
              <w:keepNext w:val="0"/>
              <w:keepLines w:val="0"/>
              <w:pageBreakBefore w:val="0"/>
              <w:shd w:val="clear" w:color="auto" w:fill="auto"/>
              <w:kinsoku/>
              <w:overflowPunct/>
              <w:bidi w:val="0"/>
              <w:spacing w:line="360" w:lineRule="auto"/>
              <w:jc w:val="left"/>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2.</w:t>
            </w:r>
            <w:r>
              <w:rPr>
                <w:rFonts w:hint="eastAsia" w:ascii="宋体" w:hAnsi="宋体" w:eastAsia="宋体" w:cs="宋体"/>
                <w:color w:val="auto"/>
                <w:szCs w:val="21"/>
                <w:highlight w:val="none"/>
                <w:shd w:val="clear" w:color="auto" w:fill="auto"/>
              </w:rPr>
              <w:t xml:space="preserve"> </w:t>
            </w:r>
            <w:r>
              <w:rPr>
                <w:rFonts w:hint="eastAsia" w:ascii="宋体" w:hAnsi="宋体" w:eastAsia="宋体" w:cs="宋体"/>
                <w:b/>
                <w:color w:val="auto"/>
                <w:szCs w:val="21"/>
                <w:highlight w:val="none"/>
                <w:shd w:val="clear" w:color="auto" w:fill="auto"/>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44AF98F7">
            <w:pPr>
              <w:keepNext w:val="0"/>
              <w:keepLines w:val="0"/>
              <w:pageBreakBefore w:val="0"/>
              <w:shd w:val="clear" w:color="auto" w:fill="auto"/>
              <w:kinsoku/>
              <w:overflowPunct/>
              <w:bidi w:val="0"/>
              <w:spacing w:line="360" w:lineRule="auto"/>
              <w:jc w:val="left"/>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3.采用银行、保险机构出具的保函的，必须为无条件保函，否则不予签订合同。</w:t>
            </w:r>
          </w:p>
          <w:p w14:paraId="0370ECCA">
            <w:pPr>
              <w:keepNext w:val="0"/>
              <w:keepLines w:val="0"/>
              <w:pageBreakBefore w:val="0"/>
              <w:shd w:val="clear" w:color="auto" w:fill="auto"/>
              <w:kinsoku/>
              <w:overflowPunct/>
              <w:bidi w:val="0"/>
              <w:spacing w:line="360" w:lineRule="auto"/>
              <w:jc w:val="left"/>
              <w:rPr>
                <w:rFonts w:hint="eastAsia" w:ascii="宋体" w:hAnsi="宋体" w:eastAsia="宋体" w:cs="宋体"/>
                <w:color w:val="auto"/>
                <w:kern w:val="0"/>
                <w:szCs w:val="21"/>
                <w:highlight w:val="none"/>
                <w:shd w:val="clear" w:color="auto" w:fill="auto"/>
              </w:rPr>
            </w:pPr>
            <w:r>
              <w:rPr>
                <w:rFonts w:hint="eastAsia" w:ascii="宋体" w:hAnsi="宋体" w:eastAsia="宋体" w:cs="宋体"/>
                <w:b/>
                <w:color w:val="auto"/>
                <w:szCs w:val="21"/>
                <w:highlight w:val="none"/>
                <w:shd w:val="clear" w:color="auto" w:fill="auto"/>
              </w:rPr>
              <w:t>4.投标人为联合体的，由联合体其中一方按规定提交的履约保证金，视为有效履约保证金。</w:t>
            </w:r>
          </w:p>
        </w:tc>
      </w:tr>
      <w:tr w14:paraId="069C36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17" w:type="dxa"/>
            <w:tcBorders>
              <w:top w:val="single" w:color="auto" w:sz="4" w:space="0"/>
              <w:left w:val="single" w:color="auto" w:sz="4" w:space="0"/>
              <w:bottom w:val="single" w:color="auto" w:sz="4" w:space="0"/>
              <w:right w:val="single" w:color="auto" w:sz="4" w:space="0"/>
            </w:tcBorders>
            <w:vAlign w:val="center"/>
          </w:tcPr>
          <w:p w14:paraId="3BB40C53">
            <w:pPr>
              <w:keepNext w:val="0"/>
              <w:keepLines w:val="0"/>
              <w:pageBreakBefore w:val="0"/>
              <w:shd w:val="clear" w:color="auto" w:fill="auto"/>
              <w:kinsoku/>
              <w:overflowPunct/>
              <w:bidi w:val="0"/>
              <w:spacing w:line="360" w:lineRule="auto"/>
              <w:jc w:val="center"/>
              <w:rPr>
                <w:rFonts w:hint="eastAsia" w:ascii="宋体" w:hAnsi="宋体" w:eastAsia="宋体" w:cs="宋体"/>
                <w:color w:val="auto"/>
                <w:szCs w:val="21"/>
                <w:highlight w:val="none"/>
                <w:shd w:val="clear" w:color="auto" w:fill="auto"/>
              </w:rPr>
            </w:pPr>
            <w:bookmarkStart w:id="64" w:name="_40.1"/>
            <w:bookmarkEnd w:id="64"/>
            <w:r>
              <w:rPr>
                <w:rFonts w:hint="eastAsia" w:ascii="宋体" w:hAnsi="宋体" w:eastAsia="宋体" w:cs="宋体"/>
                <w:color w:val="auto"/>
                <w:szCs w:val="21"/>
                <w:highlight w:val="none"/>
                <w:shd w:val="clear" w:color="auto" w:fill="auto"/>
              </w:rPr>
              <w:t>36.1</w:t>
            </w:r>
          </w:p>
        </w:tc>
        <w:tc>
          <w:tcPr>
            <w:tcW w:w="8409" w:type="dxa"/>
            <w:tcBorders>
              <w:top w:val="single" w:color="auto" w:sz="4" w:space="0"/>
              <w:left w:val="single" w:color="auto" w:sz="4" w:space="0"/>
              <w:bottom w:val="single" w:color="auto" w:sz="4" w:space="0"/>
              <w:right w:val="single" w:color="auto" w:sz="4" w:space="0"/>
            </w:tcBorders>
            <w:vAlign w:val="center"/>
          </w:tcPr>
          <w:p w14:paraId="2A891E93">
            <w:pPr>
              <w:keepNext w:val="0"/>
              <w:keepLines w:val="0"/>
              <w:pageBreakBefore w:val="0"/>
              <w:shd w:val="clear" w:color="auto" w:fill="auto"/>
              <w:kinsoku/>
              <w:overflowPunct/>
              <w:autoSpaceDE w:val="0"/>
              <w:autoSpaceDN w:val="0"/>
              <w:bidi w:val="0"/>
              <w:snapToGrid w:val="0"/>
              <w:spacing w:line="360" w:lineRule="auto"/>
              <w:textAlignment w:val="bottom"/>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签订合同携带的证明材料：</w:t>
            </w:r>
          </w:p>
          <w:p w14:paraId="30003B13">
            <w:pPr>
              <w:keepNext w:val="0"/>
              <w:keepLines w:val="0"/>
              <w:pageBreakBefore w:val="0"/>
              <w:shd w:val="clear" w:color="auto" w:fill="auto"/>
              <w:kinsoku/>
              <w:overflowPunct/>
              <w:autoSpaceDE w:val="0"/>
              <w:autoSpaceDN w:val="0"/>
              <w:bidi w:val="0"/>
              <w:snapToGrid w:val="0"/>
              <w:spacing w:line="360" w:lineRule="auto"/>
              <w:textAlignment w:val="bottom"/>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委托代理人负责签订合同的，须携带授权委托书及委托代理人身份证原件等其他资格证件。</w:t>
            </w:r>
          </w:p>
          <w:p w14:paraId="4429E8FC">
            <w:pPr>
              <w:keepNext w:val="0"/>
              <w:keepLines w:val="0"/>
              <w:pageBreakBefore w:val="0"/>
              <w:shd w:val="clear" w:color="auto" w:fill="auto"/>
              <w:kinsoku/>
              <w:overflowPunct/>
              <w:autoSpaceDE w:val="0"/>
              <w:autoSpaceDN w:val="0"/>
              <w:bidi w:val="0"/>
              <w:snapToGrid w:val="0"/>
              <w:spacing w:line="360" w:lineRule="auto"/>
              <w:textAlignment w:val="bottom"/>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法定代表人负责签订合同的，须携带法定代表人身份证明原件及身份证原件等其他证明材料。</w:t>
            </w:r>
          </w:p>
        </w:tc>
      </w:tr>
      <w:tr w14:paraId="3C4C94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17" w:type="dxa"/>
            <w:tcBorders>
              <w:top w:val="single" w:color="auto" w:sz="4" w:space="0"/>
              <w:left w:val="single" w:color="auto" w:sz="4" w:space="0"/>
              <w:bottom w:val="single" w:color="auto" w:sz="4" w:space="0"/>
              <w:right w:val="single" w:color="auto" w:sz="4" w:space="0"/>
            </w:tcBorders>
            <w:vAlign w:val="center"/>
          </w:tcPr>
          <w:p w14:paraId="4AD13B15">
            <w:pPr>
              <w:keepNext w:val="0"/>
              <w:keepLines w:val="0"/>
              <w:pageBreakBefore w:val="0"/>
              <w:shd w:val="clear" w:color="auto" w:fill="auto"/>
              <w:kinsoku/>
              <w:overflowPunct/>
              <w:bidi w:val="0"/>
              <w:spacing w:line="360" w:lineRule="auto"/>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38.2</w:t>
            </w:r>
          </w:p>
        </w:tc>
        <w:tc>
          <w:tcPr>
            <w:tcW w:w="8409" w:type="dxa"/>
            <w:tcBorders>
              <w:top w:val="single" w:color="auto" w:sz="4" w:space="0"/>
              <w:left w:val="single" w:color="auto" w:sz="4" w:space="0"/>
              <w:bottom w:val="single" w:color="auto" w:sz="4" w:space="0"/>
              <w:right w:val="single" w:color="auto" w:sz="4" w:space="0"/>
            </w:tcBorders>
            <w:vAlign w:val="center"/>
          </w:tcPr>
          <w:p w14:paraId="55063455">
            <w:pPr>
              <w:keepNext w:val="0"/>
              <w:keepLines w:val="0"/>
              <w:pageBreakBefore w:val="0"/>
              <w:shd w:val="clear" w:color="auto" w:fill="auto"/>
              <w:kinsoku/>
              <w:overflowPunct/>
              <w:autoSpaceDE w:val="0"/>
              <w:autoSpaceDN w:val="0"/>
              <w:bidi w:val="0"/>
              <w:snapToGrid w:val="0"/>
              <w:spacing w:line="360" w:lineRule="auto"/>
              <w:textAlignment w:val="bottom"/>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接收质疑函方式：以纸质书面形式。</w:t>
            </w:r>
          </w:p>
          <w:p w14:paraId="457C7A16">
            <w:pPr>
              <w:keepNext w:val="0"/>
              <w:keepLines w:val="0"/>
              <w:pageBreakBefore w:val="0"/>
              <w:shd w:val="clear" w:color="auto" w:fill="auto"/>
              <w:kinsoku/>
              <w:overflowPunct/>
              <w:autoSpaceDE w:val="0"/>
              <w:autoSpaceDN w:val="0"/>
              <w:bidi w:val="0"/>
              <w:snapToGrid w:val="0"/>
              <w:spacing w:line="360" w:lineRule="auto"/>
              <w:textAlignment w:val="bottom"/>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质疑联系部门及联系方式：广西君安工程建设顾问有限公司，</w:t>
            </w:r>
          </w:p>
          <w:p w14:paraId="2E78CF8B">
            <w:pPr>
              <w:keepNext w:val="0"/>
              <w:keepLines w:val="0"/>
              <w:pageBreakBefore w:val="0"/>
              <w:shd w:val="clear" w:color="auto" w:fill="auto"/>
              <w:kinsoku/>
              <w:overflowPunct/>
              <w:autoSpaceDE w:val="0"/>
              <w:autoSpaceDN w:val="0"/>
              <w:bidi w:val="0"/>
              <w:snapToGrid w:val="0"/>
              <w:spacing w:line="360" w:lineRule="auto"/>
              <w:textAlignment w:val="bottom"/>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rPr>
              <w:t>质疑联系人：</w:t>
            </w:r>
            <w:r>
              <w:rPr>
                <w:rFonts w:hint="eastAsia" w:ascii="宋体" w:hAnsi="宋体" w:eastAsia="宋体" w:cs="宋体"/>
                <w:color w:val="auto"/>
                <w:szCs w:val="21"/>
                <w:highlight w:val="none"/>
                <w:shd w:val="clear" w:color="auto" w:fill="auto"/>
                <w:lang w:val="en-US" w:eastAsia="zh-CN"/>
              </w:rPr>
              <w:t>谭工、卢工</w:t>
            </w:r>
            <w:r>
              <w:rPr>
                <w:rFonts w:hint="eastAsia" w:ascii="宋体" w:hAnsi="宋体" w:eastAsia="宋体" w:cs="宋体"/>
                <w:color w:val="auto"/>
                <w:szCs w:val="21"/>
                <w:highlight w:val="none"/>
                <w:shd w:val="clear" w:color="auto" w:fill="auto"/>
              </w:rPr>
              <w:t xml:space="preserve">      联系电话：</w:t>
            </w:r>
            <w:r>
              <w:rPr>
                <w:rFonts w:hint="eastAsia" w:ascii="宋体" w:hAnsi="宋体" w:eastAsia="宋体" w:cs="宋体"/>
                <w:color w:val="auto"/>
                <w:szCs w:val="21"/>
                <w:highlight w:val="none"/>
                <w:shd w:val="clear" w:color="auto" w:fill="auto"/>
                <w:lang w:eastAsia="zh-CN"/>
              </w:rPr>
              <w:t>0771-</w:t>
            </w:r>
            <w:r>
              <w:rPr>
                <w:rFonts w:hint="eastAsia" w:ascii="宋体" w:hAnsi="宋体" w:eastAsia="宋体" w:cs="宋体"/>
                <w:color w:val="auto"/>
                <w:szCs w:val="21"/>
                <w:highlight w:val="none"/>
                <w:shd w:val="clear" w:color="auto" w:fill="auto"/>
                <w:lang w:val="en-US" w:eastAsia="zh-CN"/>
              </w:rPr>
              <w:t>3800755</w:t>
            </w:r>
          </w:p>
          <w:p w14:paraId="0F59DF0E">
            <w:pPr>
              <w:keepNext w:val="0"/>
              <w:keepLines w:val="0"/>
              <w:pageBreakBefore w:val="0"/>
              <w:shd w:val="clear" w:color="auto" w:fill="auto"/>
              <w:kinsoku/>
              <w:overflowPunct/>
              <w:autoSpaceDE w:val="0"/>
              <w:autoSpaceDN w:val="0"/>
              <w:bidi w:val="0"/>
              <w:snapToGrid w:val="0"/>
              <w:spacing w:line="360" w:lineRule="auto"/>
              <w:textAlignment w:val="bottom"/>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通讯地址：</w:t>
            </w:r>
            <w:r>
              <w:rPr>
                <w:rFonts w:hint="eastAsia" w:ascii="宋体" w:hAnsi="宋体" w:eastAsia="宋体" w:cs="宋体"/>
                <w:color w:val="auto"/>
                <w:szCs w:val="21"/>
              </w:rPr>
              <w:t>南宁市青秀区金浦路22号名都大厦1409号</w:t>
            </w:r>
          </w:p>
          <w:p w14:paraId="62B3DAAF">
            <w:pPr>
              <w:keepNext w:val="0"/>
              <w:keepLines w:val="0"/>
              <w:pageBreakBefore w:val="0"/>
              <w:shd w:val="clear" w:color="auto" w:fill="auto"/>
              <w:kinsoku/>
              <w:overflowPunct/>
              <w:autoSpaceDE w:val="0"/>
              <w:autoSpaceDN w:val="0"/>
              <w:bidi w:val="0"/>
              <w:snapToGrid w:val="0"/>
              <w:spacing w:line="360" w:lineRule="auto"/>
              <w:textAlignment w:val="bottom"/>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现场提交质疑办理业务时间：工作日，上午</w:t>
            </w:r>
            <w:r>
              <w:rPr>
                <w:rFonts w:hint="eastAsia" w:ascii="宋体" w:hAnsi="宋体" w:eastAsia="宋体" w:cs="宋体"/>
                <w:color w:val="auto"/>
                <w:szCs w:val="21"/>
                <w:highlight w:val="none"/>
                <w:shd w:val="clear" w:color="auto" w:fill="auto"/>
                <w:lang w:val="en-US" w:eastAsia="zh-CN"/>
              </w:rPr>
              <w:t>9</w:t>
            </w:r>
            <w:r>
              <w:rPr>
                <w:rFonts w:hint="eastAsia" w:ascii="宋体" w:hAnsi="宋体" w:eastAsia="宋体" w:cs="宋体"/>
                <w:color w:val="auto"/>
                <w:szCs w:val="21"/>
                <w:highlight w:val="none"/>
                <w:shd w:val="clear" w:color="auto" w:fill="auto"/>
              </w:rPr>
              <w:t>:00-12:00；下午15:00-1</w:t>
            </w:r>
            <w:r>
              <w:rPr>
                <w:rFonts w:hint="eastAsia" w:ascii="宋体" w:hAnsi="宋体" w:eastAsia="宋体" w:cs="宋体"/>
                <w:color w:val="auto"/>
                <w:szCs w:val="21"/>
                <w:highlight w:val="none"/>
                <w:shd w:val="clear" w:color="auto" w:fill="auto"/>
                <w:lang w:val="en-US" w:eastAsia="zh-CN"/>
              </w:rPr>
              <w:t>7</w:t>
            </w:r>
            <w:r>
              <w:rPr>
                <w:rFonts w:hint="eastAsia" w:ascii="宋体" w:hAnsi="宋体" w:eastAsia="宋体" w:cs="宋体"/>
                <w:color w:val="auto"/>
                <w:szCs w:val="21"/>
                <w:highlight w:val="none"/>
                <w:shd w:val="clear" w:color="auto" w:fill="auto"/>
              </w:rPr>
              <w:t>:</w:t>
            </w:r>
            <w:r>
              <w:rPr>
                <w:rFonts w:hint="eastAsia" w:ascii="宋体" w:hAnsi="宋体" w:eastAsia="宋体" w:cs="宋体"/>
                <w:color w:val="auto"/>
                <w:szCs w:val="21"/>
                <w:highlight w:val="none"/>
                <w:shd w:val="clear" w:color="auto" w:fill="auto"/>
                <w:lang w:val="en-US" w:eastAsia="zh-CN"/>
              </w:rPr>
              <w:t>30</w:t>
            </w:r>
            <w:r>
              <w:rPr>
                <w:rFonts w:hint="eastAsia" w:ascii="宋体" w:hAnsi="宋体" w:eastAsia="宋体" w:cs="宋体"/>
                <w:color w:val="auto"/>
                <w:szCs w:val="21"/>
                <w:highlight w:val="none"/>
                <w:shd w:val="clear" w:color="auto" w:fill="auto"/>
              </w:rPr>
              <w:t>（北京时间）</w:t>
            </w:r>
          </w:p>
        </w:tc>
      </w:tr>
      <w:tr w14:paraId="2958E4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17" w:type="dxa"/>
            <w:tcBorders>
              <w:top w:val="single" w:color="auto" w:sz="4" w:space="0"/>
              <w:left w:val="single" w:color="auto" w:sz="4" w:space="0"/>
              <w:bottom w:val="single" w:color="auto" w:sz="4" w:space="0"/>
              <w:right w:val="single" w:color="auto" w:sz="4" w:space="0"/>
            </w:tcBorders>
            <w:vAlign w:val="center"/>
          </w:tcPr>
          <w:p w14:paraId="37F1FEDC">
            <w:pPr>
              <w:keepNext w:val="0"/>
              <w:keepLines w:val="0"/>
              <w:pageBreakBefore w:val="0"/>
              <w:shd w:val="clear" w:color="auto" w:fill="auto"/>
              <w:kinsoku/>
              <w:overflowPunct/>
              <w:bidi w:val="0"/>
              <w:spacing w:line="360" w:lineRule="auto"/>
              <w:jc w:val="center"/>
              <w:rPr>
                <w:rFonts w:hint="eastAsia" w:ascii="宋体" w:hAnsi="宋体" w:eastAsia="宋体" w:cs="宋体"/>
                <w:color w:val="auto"/>
                <w:szCs w:val="21"/>
                <w:highlight w:val="none"/>
                <w:shd w:val="clear" w:color="auto" w:fill="auto"/>
              </w:rPr>
            </w:pPr>
            <w:bookmarkStart w:id="65" w:name="_42"/>
            <w:bookmarkEnd w:id="65"/>
            <w:bookmarkStart w:id="66" w:name="_41"/>
            <w:bookmarkEnd w:id="66"/>
            <w:bookmarkStart w:id="67" w:name="_Hlt17709148"/>
            <w:r>
              <w:rPr>
                <w:rFonts w:hint="eastAsia" w:ascii="宋体" w:hAnsi="宋体" w:eastAsia="宋体" w:cs="宋体"/>
                <w:color w:val="auto"/>
                <w:szCs w:val="21"/>
                <w:highlight w:val="none"/>
                <w:shd w:val="clear" w:color="auto" w:fill="auto"/>
              </w:rPr>
              <w:t>3</w:t>
            </w:r>
            <w:bookmarkEnd w:id="67"/>
            <w:r>
              <w:rPr>
                <w:rFonts w:hint="eastAsia" w:ascii="宋体" w:hAnsi="宋体" w:eastAsia="宋体" w:cs="宋体"/>
                <w:color w:val="auto"/>
                <w:szCs w:val="21"/>
                <w:highlight w:val="none"/>
                <w:shd w:val="clear" w:color="auto" w:fill="auto"/>
              </w:rPr>
              <w:t>9.1</w:t>
            </w:r>
          </w:p>
        </w:tc>
        <w:tc>
          <w:tcPr>
            <w:tcW w:w="8409" w:type="dxa"/>
            <w:tcBorders>
              <w:top w:val="single" w:color="auto" w:sz="4" w:space="0"/>
              <w:left w:val="single" w:color="auto" w:sz="4" w:space="0"/>
              <w:bottom w:val="single" w:color="auto" w:sz="4" w:space="0"/>
              <w:right w:val="single" w:color="auto" w:sz="4" w:space="0"/>
            </w:tcBorders>
            <w:vAlign w:val="center"/>
          </w:tcPr>
          <w:p w14:paraId="16259C52">
            <w:pPr>
              <w:pStyle w:val="14"/>
              <w:keepNext w:val="0"/>
              <w:keepLines w:val="0"/>
              <w:pageBreakBefore w:val="0"/>
              <w:shd w:val="clear" w:color="auto" w:fill="auto"/>
              <w:kinsoku/>
              <w:overflowPunct/>
              <w:bidi w:val="0"/>
              <w:snapToGrid w:val="0"/>
              <w:spacing w:line="360" w:lineRule="auto"/>
              <w:rPr>
                <w:rFonts w:hint="eastAsia" w:ascii="宋体" w:hAnsi="宋体" w:eastAsia="宋体" w:cs="宋体"/>
                <w:color w:val="auto"/>
                <w:sz w:val="21"/>
                <w:highlight w:val="none"/>
                <w:shd w:val="clear" w:color="auto" w:fill="auto"/>
                <w:lang w:val="en-US" w:eastAsia="zh-CN"/>
              </w:rPr>
            </w:pPr>
            <w:r>
              <w:rPr>
                <w:rFonts w:hint="eastAsia" w:ascii="宋体" w:hAnsi="宋体" w:eastAsia="宋体" w:cs="宋体"/>
                <w:color w:val="auto"/>
                <w:sz w:val="21"/>
                <w:highlight w:val="none"/>
                <w:shd w:val="clear" w:color="auto" w:fill="auto"/>
                <w:lang w:val="en-US" w:eastAsia="zh-CN"/>
              </w:rPr>
              <w:t>1.采购代理费支付方式：</w:t>
            </w:r>
          </w:p>
          <w:p w14:paraId="6970B525">
            <w:pPr>
              <w:pStyle w:val="14"/>
              <w:keepNext w:val="0"/>
              <w:keepLines w:val="0"/>
              <w:pageBreakBefore w:val="0"/>
              <w:shd w:val="clear" w:color="auto" w:fill="auto"/>
              <w:kinsoku/>
              <w:overflowPunct/>
              <w:bidi w:val="0"/>
              <w:snapToGrid w:val="0"/>
              <w:spacing w:line="360" w:lineRule="auto"/>
              <w:rPr>
                <w:rFonts w:hint="eastAsia" w:ascii="宋体" w:hAnsi="宋体" w:eastAsia="宋体" w:cs="宋体"/>
                <w:color w:val="auto"/>
                <w:sz w:val="21"/>
                <w:highlight w:val="none"/>
                <w:shd w:val="clear" w:color="auto" w:fill="auto"/>
                <w:lang w:val="en-US" w:eastAsia="zh-CN"/>
              </w:rPr>
            </w:pPr>
            <w:r>
              <w:rPr>
                <w:rFonts w:hint="eastAsia" w:ascii="宋体" w:hAnsi="宋体" w:eastAsia="宋体" w:cs="宋体"/>
                <w:color w:val="auto"/>
                <w:sz w:val="21"/>
                <w:highlight w:val="none"/>
                <w:shd w:val="clear" w:color="auto" w:fill="auto"/>
                <w:lang w:val="en-US" w:eastAsia="zh-CN"/>
              </w:rPr>
              <w:t>☑本项目代理服务费由</w:t>
            </w:r>
            <w:r>
              <w:rPr>
                <w:rFonts w:hint="eastAsia" w:ascii="宋体" w:hAnsi="宋体" w:eastAsia="宋体" w:cs="宋体"/>
                <w:color w:val="auto"/>
                <w:sz w:val="21"/>
                <w:highlight w:val="none"/>
                <w:u w:val="single"/>
                <w:shd w:val="clear" w:color="auto" w:fill="auto"/>
                <w:lang w:val="en-US" w:eastAsia="zh-CN"/>
              </w:rPr>
              <w:t>中标人</w:t>
            </w:r>
            <w:r>
              <w:rPr>
                <w:rFonts w:hint="eastAsia" w:ascii="宋体" w:hAnsi="宋体" w:eastAsia="宋体" w:cs="宋体"/>
                <w:color w:val="auto"/>
                <w:sz w:val="21"/>
                <w:highlight w:val="none"/>
                <w:shd w:val="clear" w:color="auto" w:fill="auto"/>
                <w:lang w:val="en-US" w:eastAsia="zh-CN"/>
              </w:rPr>
              <w:t>在领取中标通知书前，一次性向采购代理机构支付。</w:t>
            </w:r>
          </w:p>
          <w:p w14:paraId="00F1E425">
            <w:pPr>
              <w:pStyle w:val="14"/>
              <w:keepNext w:val="0"/>
              <w:keepLines w:val="0"/>
              <w:pageBreakBefore w:val="0"/>
              <w:shd w:val="clear" w:color="auto" w:fill="auto"/>
              <w:kinsoku/>
              <w:overflowPunct/>
              <w:bidi w:val="0"/>
              <w:snapToGrid w:val="0"/>
              <w:spacing w:line="360" w:lineRule="auto"/>
              <w:rPr>
                <w:rFonts w:hint="eastAsia" w:ascii="宋体" w:hAnsi="宋体" w:eastAsia="宋体" w:cs="宋体"/>
                <w:color w:val="auto"/>
                <w:sz w:val="21"/>
                <w:highlight w:val="none"/>
                <w:shd w:val="clear" w:color="auto" w:fill="auto"/>
                <w:lang w:val="en-US" w:eastAsia="zh-CN"/>
              </w:rPr>
            </w:pPr>
            <w:r>
              <w:rPr>
                <w:rFonts w:hint="eastAsia" w:ascii="宋体" w:hAnsi="宋体" w:eastAsia="宋体" w:cs="宋体"/>
                <w:color w:val="auto"/>
                <w:sz w:val="21"/>
                <w:highlight w:val="none"/>
                <w:shd w:val="clear" w:color="auto" w:fill="auto"/>
                <w:lang w:val="en-US" w:eastAsia="zh-CN"/>
              </w:rPr>
              <w:t>□采购人支付。</w:t>
            </w:r>
          </w:p>
          <w:p w14:paraId="19D8C9B8">
            <w:pPr>
              <w:pStyle w:val="14"/>
              <w:keepNext w:val="0"/>
              <w:keepLines w:val="0"/>
              <w:pageBreakBefore w:val="0"/>
              <w:shd w:val="clear" w:color="auto" w:fill="auto"/>
              <w:kinsoku/>
              <w:overflowPunct/>
              <w:bidi w:val="0"/>
              <w:snapToGrid w:val="0"/>
              <w:spacing w:line="360" w:lineRule="auto"/>
              <w:rPr>
                <w:rFonts w:hint="eastAsia" w:ascii="宋体" w:hAnsi="宋体" w:eastAsia="宋体" w:cs="宋体"/>
                <w:color w:val="auto"/>
                <w:sz w:val="21"/>
                <w:highlight w:val="none"/>
                <w:shd w:val="clear" w:color="auto" w:fill="auto"/>
                <w:lang w:val="en-US" w:eastAsia="zh-CN"/>
              </w:rPr>
            </w:pPr>
            <w:r>
              <w:rPr>
                <w:rFonts w:hint="eastAsia" w:ascii="宋体" w:hAnsi="宋体" w:eastAsia="宋体" w:cs="宋体"/>
                <w:color w:val="auto"/>
                <w:sz w:val="21"/>
                <w:highlight w:val="none"/>
                <w:shd w:val="clear" w:color="auto" w:fill="auto"/>
                <w:lang w:val="en-US" w:eastAsia="zh-CN"/>
              </w:rPr>
              <w:t>2.采购代理费收取标准：</w:t>
            </w:r>
          </w:p>
          <w:p w14:paraId="175EAE17">
            <w:pPr>
              <w:pStyle w:val="14"/>
              <w:keepNext w:val="0"/>
              <w:keepLines w:val="0"/>
              <w:pageBreakBefore w:val="0"/>
              <w:shd w:val="clear" w:color="auto" w:fill="auto"/>
              <w:kinsoku/>
              <w:overflowPunct/>
              <w:bidi w:val="0"/>
              <w:snapToGrid w:val="0"/>
              <w:spacing w:line="360" w:lineRule="auto"/>
              <w:rPr>
                <w:rFonts w:hint="eastAsia" w:ascii="宋体" w:hAnsi="宋体" w:eastAsia="宋体" w:cs="宋体"/>
                <w:color w:val="auto"/>
                <w:sz w:val="21"/>
                <w:highlight w:val="none"/>
                <w:shd w:val="clear" w:color="auto" w:fill="auto"/>
                <w:lang w:val="en-US" w:eastAsia="zh-CN"/>
              </w:rPr>
            </w:pPr>
            <w:r>
              <w:rPr>
                <w:rFonts w:hint="eastAsia" w:ascii="宋体" w:hAnsi="宋体" w:eastAsia="宋体" w:cs="宋体"/>
                <w:color w:val="auto"/>
                <w:sz w:val="21"/>
                <w:highlight w:val="none"/>
                <w:shd w:val="clear" w:color="auto" w:fill="auto"/>
                <w:lang w:val="en-US" w:eastAsia="zh-CN"/>
              </w:rPr>
              <w:t>☑以项目（</w:t>
            </w:r>
            <w:r>
              <w:rPr>
                <w:rFonts w:hint="eastAsia" w:ascii="宋体" w:hAnsi="宋体" w:eastAsia="宋体" w:cs="宋体"/>
                <w:color w:val="auto"/>
                <w:sz w:val="21"/>
                <w:highlight w:val="none"/>
                <w:shd w:val="clear" w:color="auto" w:fill="auto"/>
                <w:lang w:val="en-US" w:eastAsia="zh-CN"/>
              </w:rPr>
              <w:sym w:font="Wingdings 2" w:char="0052"/>
            </w:r>
            <w:r>
              <w:rPr>
                <w:rFonts w:hint="eastAsia" w:ascii="宋体" w:hAnsi="宋体" w:eastAsia="宋体" w:cs="宋体"/>
                <w:color w:val="auto"/>
                <w:sz w:val="21"/>
                <w:highlight w:val="none"/>
                <w:shd w:val="clear" w:color="auto" w:fill="auto"/>
                <w:lang w:val="en-US" w:eastAsia="zh-CN"/>
              </w:rPr>
              <w:t>中标金额□采购预算/□暂定中标金额/□其他</w:t>
            </w:r>
            <w:r>
              <w:rPr>
                <w:rFonts w:hint="eastAsia" w:ascii="宋体" w:hAnsi="宋体" w:eastAsia="宋体" w:cs="宋体"/>
                <w:color w:val="auto"/>
                <w:sz w:val="21"/>
                <w:highlight w:val="none"/>
                <w:u w:val="single"/>
                <w:shd w:val="clear" w:color="auto" w:fill="auto"/>
                <w:lang w:val="en-US" w:eastAsia="zh-CN"/>
              </w:rPr>
              <w:t xml:space="preserve">   </w:t>
            </w:r>
            <w:r>
              <w:rPr>
                <w:rFonts w:hint="eastAsia" w:ascii="宋体" w:hAnsi="宋体" w:eastAsia="宋体" w:cs="宋体"/>
                <w:color w:val="auto"/>
                <w:sz w:val="21"/>
                <w:highlight w:val="none"/>
                <w:shd w:val="clear" w:color="auto" w:fill="auto"/>
                <w:lang w:val="en-US" w:eastAsia="zh-CN"/>
              </w:rPr>
              <w:t>）为计费额，依据国家发展计划委员会文件关于印发《招标代理服务费管理暂行办法》的通知（计价格[2002]1980号）、《国家发展改革委关于进一步放开建设项目专业服务价格的通知》发改价[2015]299号文的规定，以中标金额为基础采用差额定率累进法按服务类费率进行计算，如不足5000元按5000元计收。</w:t>
            </w:r>
          </w:p>
          <w:p w14:paraId="4800FE92">
            <w:pPr>
              <w:pStyle w:val="14"/>
              <w:keepNext w:val="0"/>
              <w:keepLines w:val="0"/>
              <w:pageBreakBefore w:val="0"/>
              <w:shd w:val="clear" w:color="auto" w:fill="auto"/>
              <w:kinsoku/>
              <w:overflowPunct/>
              <w:bidi w:val="0"/>
              <w:snapToGrid w:val="0"/>
              <w:spacing w:line="360" w:lineRule="auto"/>
              <w:rPr>
                <w:rFonts w:hint="eastAsia" w:ascii="宋体" w:hAnsi="宋体" w:eastAsia="宋体" w:cs="宋体"/>
                <w:color w:val="auto"/>
                <w:sz w:val="21"/>
                <w:highlight w:val="none"/>
                <w:u w:val="single"/>
                <w:shd w:val="clear" w:color="auto" w:fill="auto"/>
                <w:lang w:val="en-US" w:eastAsia="zh-CN"/>
              </w:rPr>
            </w:pPr>
            <w:r>
              <w:rPr>
                <w:rFonts w:hint="eastAsia" w:ascii="宋体" w:hAnsi="宋体" w:eastAsia="宋体" w:cs="宋体"/>
                <w:color w:val="auto"/>
                <w:sz w:val="21"/>
                <w:highlight w:val="none"/>
                <w:shd w:val="clear" w:color="auto" w:fill="auto"/>
                <w:lang w:val="en-US" w:eastAsia="zh-CN"/>
              </w:rPr>
              <w:t>□固定采购代理收费</w:t>
            </w:r>
            <w:r>
              <w:rPr>
                <w:rFonts w:hint="eastAsia" w:ascii="宋体" w:hAnsi="宋体" w:eastAsia="宋体" w:cs="宋体"/>
                <w:color w:val="auto"/>
                <w:sz w:val="21"/>
                <w:highlight w:val="none"/>
                <w:u w:val="single"/>
                <w:shd w:val="clear" w:color="auto" w:fill="auto"/>
                <w:lang w:val="en-US" w:eastAsia="zh-CN"/>
              </w:rPr>
              <w:t xml:space="preserve">              。</w:t>
            </w:r>
          </w:p>
          <w:p w14:paraId="32B0F4C1">
            <w:pPr>
              <w:pStyle w:val="14"/>
              <w:keepNext w:val="0"/>
              <w:keepLines w:val="0"/>
              <w:pageBreakBefore w:val="0"/>
              <w:shd w:val="clear" w:color="auto" w:fill="auto"/>
              <w:kinsoku/>
              <w:overflowPunct/>
              <w:bidi w:val="0"/>
              <w:snapToGrid w:val="0"/>
              <w:spacing w:line="360" w:lineRule="auto"/>
              <w:rPr>
                <w:rFonts w:hint="eastAsia" w:ascii="宋体" w:hAnsi="宋体" w:eastAsia="宋体" w:cs="宋体"/>
                <w:color w:val="auto"/>
                <w:sz w:val="21"/>
                <w:highlight w:val="none"/>
                <w:shd w:val="clear" w:color="auto" w:fill="auto"/>
                <w:lang w:val="en-US" w:eastAsia="zh-CN"/>
              </w:rPr>
            </w:pPr>
            <w:r>
              <w:rPr>
                <w:rFonts w:hint="eastAsia" w:ascii="宋体" w:hAnsi="宋体" w:eastAsia="宋体" w:cs="宋体"/>
                <w:color w:val="auto"/>
                <w:sz w:val="21"/>
                <w:highlight w:val="none"/>
                <w:shd w:val="clear" w:color="auto" w:fill="auto"/>
                <w:lang w:val="en-US" w:eastAsia="zh-CN"/>
              </w:rPr>
              <w:t>3.账户名称：</w:t>
            </w:r>
          </w:p>
          <w:p w14:paraId="41E606B7">
            <w:pPr>
              <w:pStyle w:val="14"/>
              <w:keepNext w:val="0"/>
              <w:keepLines w:val="0"/>
              <w:pageBreakBefore w:val="0"/>
              <w:shd w:val="clear" w:color="auto" w:fill="auto"/>
              <w:kinsoku/>
              <w:overflowPunct/>
              <w:bidi w:val="0"/>
              <w:snapToGrid w:val="0"/>
              <w:spacing w:line="360" w:lineRule="auto"/>
              <w:rPr>
                <w:rFonts w:hint="eastAsia" w:ascii="宋体" w:hAnsi="宋体" w:eastAsia="宋体" w:cs="宋体"/>
                <w:color w:val="auto"/>
                <w:sz w:val="21"/>
                <w:highlight w:val="none"/>
                <w:shd w:val="clear" w:color="auto" w:fill="auto"/>
                <w:lang w:val="en-US" w:eastAsia="zh-CN"/>
              </w:rPr>
            </w:pPr>
            <w:r>
              <w:rPr>
                <w:rFonts w:hint="eastAsia" w:ascii="宋体" w:hAnsi="宋体" w:eastAsia="宋体" w:cs="宋体"/>
                <w:color w:val="auto"/>
                <w:sz w:val="21"/>
                <w:highlight w:val="none"/>
                <w:shd w:val="clear" w:color="auto" w:fill="auto"/>
                <w:lang w:val="en-US" w:eastAsia="zh-CN"/>
              </w:rPr>
              <w:t>账户名称：广西君安工程建设顾问有限公司南宁第一分公司</w:t>
            </w:r>
          </w:p>
          <w:p w14:paraId="72A013BD">
            <w:pPr>
              <w:pStyle w:val="14"/>
              <w:keepNext w:val="0"/>
              <w:keepLines w:val="0"/>
              <w:pageBreakBefore w:val="0"/>
              <w:shd w:val="clear" w:color="auto" w:fill="auto"/>
              <w:kinsoku/>
              <w:overflowPunct/>
              <w:bidi w:val="0"/>
              <w:snapToGrid w:val="0"/>
              <w:spacing w:line="360" w:lineRule="auto"/>
              <w:rPr>
                <w:rFonts w:hint="eastAsia" w:ascii="宋体" w:hAnsi="宋体" w:eastAsia="宋体" w:cs="宋体"/>
                <w:color w:val="auto"/>
                <w:sz w:val="21"/>
                <w:highlight w:val="none"/>
                <w:shd w:val="clear" w:color="auto" w:fill="auto"/>
                <w:lang w:val="en-US" w:eastAsia="zh-CN"/>
              </w:rPr>
            </w:pPr>
            <w:r>
              <w:rPr>
                <w:rFonts w:hint="eastAsia" w:ascii="宋体" w:hAnsi="宋体" w:eastAsia="宋体" w:cs="宋体"/>
                <w:color w:val="auto"/>
                <w:sz w:val="21"/>
                <w:highlight w:val="none"/>
                <w:shd w:val="clear" w:color="auto" w:fill="auto"/>
                <w:lang w:val="en-US" w:eastAsia="zh-CN"/>
              </w:rPr>
              <w:t>开户银行：中国民生银行股份有限公司南宁</w:t>
            </w:r>
            <w:r>
              <w:rPr>
                <w:rFonts w:hint="eastAsia" w:hAnsi="宋体" w:cs="宋体"/>
                <w:color w:val="auto"/>
                <w:sz w:val="21"/>
                <w:highlight w:val="none"/>
                <w:shd w:val="clear" w:color="auto" w:fill="auto"/>
                <w:lang w:val="en-US" w:eastAsia="zh-CN"/>
              </w:rPr>
              <w:t>兴宁</w:t>
            </w:r>
            <w:r>
              <w:rPr>
                <w:rFonts w:hint="eastAsia" w:ascii="宋体" w:hAnsi="宋体" w:eastAsia="宋体" w:cs="宋体"/>
                <w:color w:val="auto"/>
                <w:sz w:val="21"/>
                <w:highlight w:val="none"/>
                <w:shd w:val="clear" w:color="auto" w:fill="auto"/>
                <w:lang w:val="en-US" w:eastAsia="zh-CN"/>
              </w:rPr>
              <w:t>支行</w:t>
            </w:r>
          </w:p>
          <w:p w14:paraId="4C495486">
            <w:pPr>
              <w:pStyle w:val="14"/>
              <w:keepNext w:val="0"/>
              <w:keepLines w:val="0"/>
              <w:pageBreakBefore w:val="0"/>
              <w:shd w:val="clear" w:color="auto" w:fill="auto"/>
              <w:kinsoku/>
              <w:overflowPunct/>
              <w:bidi w:val="0"/>
              <w:snapToGrid w:val="0"/>
              <w:spacing w:line="360" w:lineRule="auto"/>
              <w:rPr>
                <w:rFonts w:hint="eastAsia" w:ascii="宋体" w:hAnsi="宋体" w:eastAsia="宋体" w:cs="宋体"/>
                <w:color w:val="auto"/>
                <w:sz w:val="21"/>
                <w:highlight w:val="none"/>
                <w:shd w:val="clear" w:color="auto" w:fill="auto"/>
                <w:lang w:val="en-US" w:eastAsia="zh-CN"/>
              </w:rPr>
            </w:pPr>
            <w:r>
              <w:rPr>
                <w:rFonts w:hint="eastAsia" w:ascii="宋体" w:hAnsi="宋体" w:eastAsia="宋体" w:cs="宋体"/>
                <w:color w:val="auto"/>
                <w:sz w:val="21"/>
                <w:highlight w:val="none"/>
                <w:shd w:val="clear" w:color="auto" w:fill="auto"/>
                <w:lang w:val="en-US" w:eastAsia="zh-CN"/>
              </w:rPr>
              <w:t>银行账号：172758496</w:t>
            </w:r>
          </w:p>
        </w:tc>
      </w:tr>
      <w:tr w14:paraId="36F39D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17" w:type="dxa"/>
            <w:tcBorders>
              <w:top w:val="single" w:color="auto" w:sz="4" w:space="0"/>
              <w:left w:val="single" w:color="auto" w:sz="4" w:space="0"/>
              <w:bottom w:val="single" w:color="auto" w:sz="4" w:space="0"/>
              <w:right w:val="single" w:color="auto" w:sz="4" w:space="0"/>
            </w:tcBorders>
            <w:vAlign w:val="center"/>
          </w:tcPr>
          <w:p w14:paraId="29D2130B">
            <w:pPr>
              <w:keepNext w:val="0"/>
              <w:keepLines w:val="0"/>
              <w:pageBreakBefore w:val="0"/>
              <w:shd w:val="clear" w:color="auto" w:fill="auto"/>
              <w:kinsoku/>
              <w:overflowPunct/>
              <w:bidi w:val="0"/>
              <w:snapToGrid w:val="0"/>
              <w:spacing w:line="360" w:lineRule="auto"/>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40.1</w:t>
            </w:r>
          </w:p>
        </w:tc>
        <w:tc>
          <w:tcPr>
            <w:tcW w:w="8409" w:type="dxa"/>
            <w:tcBorders>
              <w:top w:val="single" w:color="auto" w:sz="4" w:space="0"/>
              <w:left w:val="single" w:color="auto" w:sz="4" w:space="0"/>
              <w:bottom w:val="single" w:color="auto" w:sz="4" w:space="0"/>
              <w:right w:val="single" w:color="auto" w:sz="4" w:space="0"/>
            </w:tcBorders>
            <w:vAlign w:val="center"/>
          </w:tcPr>
          <w:p w14:paraId="1FE30A52">
            <w:pPr>
              <w:keepNext w:val="0"/>
              <w:keepLines w:val="0"/>
              <w:pageBreakBefore w:val="0"/>
              <w:shd w:val="clear" w:color="auto" w:fill="auto"/>
              <w:kinsoku/>
              <w:overflowPunct/>
              <w:bidi w:val="0"/>
              <w:snapToGrid w:val="0"/>
              <w:spacing w:line="360" w:lineRule="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20BC82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17" w:type="dxa"/>
            <w:tcBorders>
              <w:top w:val="single" w:color="auto" w:sz="4" w:space="0"/>
              <w:left w:val="single" w:color="auto" w:sz="4" w:space="0"/>
              <w:bottom w:val="single" w:color="auto" w:sz="4" w:space="0"/>
              <w:right w:val="single" w:color="auto" w:sz="4" w:space="0"/>
            </w:tcBorders>
            <w:vAlign w:val="center"/>
          </w:tcPr>
          <w:p w14:paraId="641AB320">
            <w:pPr>
              <w:keepNext w:val="0"/>
              <w:keepLines w:val="0"/>
              <w:pageBreakBefore w:val="0"/>
              <w:shd w:val="clear" w:color="auto" w:fill="auto"/>
              <w:kinsoku/>
              <w:overflowPunct/>
              <w:bidi w:val="0"/>
              <w:snapToGrid w:val="0"/>
              <w:spacing w:line="360" w:lineRule="auto"/>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40.2</w:t>
            </w:r>
          </w:p>
        </w:tc>
        <w:tc>
          <w:tcPr>
            <w:tcW w:w="8409" w:type="dxa"/>
            <w:tcBorders>
              <w:top w:val="single" w:color="auto" w:sz="4" w:space="0"/>
              <w:left w:val="single" w:color="auto" w:sz="4" w:space="0"/>
              <w:bottom w:val="single" w:color="auto" w:sz="4" w:space="0"/>
              <w:right w:val="single" w:color="auto" w:sz="4" w:space="0"/>
            </w:tcBorders>
            <w:vAlign w:val="center"/>
          </w:tcPr>
          <w:p w14:paraId="6976C255">
            <w:pPr>
              <w:pStyle w:val="14"/>
              <w:keepNext w:val="0"/>
              <w:keepLines w:val="0"/>
              <w:pageBreakBefore w:val="0"/>
              <w:shd w:val="clear" w:color="auto" w:fill="auto"/>
              <w:kinsoku/>
              <w:overflowPunct/>
              <w:bidi w:val="0"/>
              <w:snapToGrid w:val="0"/>
              <w:spacing w:line="360" w:lineRule="auto"/>
              <w:rPr>
                <w:rFonts w:hint="eastAsia" w:ascii="宋体" w:hAnsi="宋体" w:eastAsia="宋体" w:cs="宋体"/>
                <w:bCs/>
                <w:color w:val="auto"/>
                <w:sz w:val="21"/>
                <w:highlight w:val="none"/>
                <w:shd w:val="clear" w:color="auto" w:fill="auto"/>
                <w:lang w:val="en-US" w:eastAsia="zh-CN"/>
              </w:rPr>
            </w:pPr>
            <w:r>
              <w:rPr>
                <w:rFonts w:hint="eastAsia" w:ascii="宋体" w:hAnsi="宋体" w:eastAsia="宋体" w:cs="宋体"/>
                <w:bCs/>
                <w:color w:val="auto"/>
                <w:sz w:val="21"/>
                <w:highlight w:val="none"/>
                <w:shd w:val="clear" w:color="auto" w:fill="auto"/>
                <w:lang w:val="en-US" w:eastAsia="zh-CN"/>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56F0D580">
            <w:pPr>
              <w:pStyle w:val="14"/>
              <w:keepNext w:val="0"/>
              <w:keepLines w:val="0"/>
              <w:pageBreakBefore w:val="0"/>
              <w:shd w:val="clear" w:color="auto" w:fill="auto"/>
              <w:kinsoku/>
              <w:overflowPunct/>
              <w:bidi w:val="0"/>
              <w:snapToGrid w:val="0"/>
              <w:spacing w:line="360" w:lineRule="auto"/>
              <w:rPr>
                <w:rFonts w:hint="eastAsia" w:ascii="宋体" w:hAnsi="宋体" w:eastAsia="宋体" w:cs="宋体"/>
                <w:bCs/>
                <w:color w:val="auto"/>
                <w:sz w:val="21"/>
                <w:highlight w:val="none"/>
                <w:shd w:val="clear" w:color="auto" w:fill="auto"/>
                <w:lang w:val="en-US" w:eastAsia="zh-CN"/>
              </w:rPr>
            </w:pPr>
            <w:r>
              <w:rPr>
                <w:rFonts w:hint="eastAsia" w:ascii="宋体" w:hAnsi="宋体" w:eastAsia="宋体" w:cs="宋体"/>
                <w:bCs/>
                <w:color w:val="auto"/>
                <w:sz w:val="21"/>
                <w:highlight w:val="none"/>
                <w:shd w:val="clear" w:color="auto" w:fill="auto"/>
                <w:lang w:val="en-US" w:eastAsia="zh-CN"/>
              </w:rPr>
              <w:t>2.本招标文件所称的“</w:t>
            </w:r>
            <w:r>
              <w:rPr>
                <w:rFonts w:hint="eastAsia" w:ascii="宋体" w:hAnsi="宋体" w:eastAsia="宋体" w:cs="宋体"/>
                <w:color w:val="auto"/>
                <w:sz w:val="21"/>
                <w:highlight w:val="none"/>
                <w:shd w:val="clear" w:color="auto" w:fill="auto"/>
                <w:lang w:val="en-US" w:eastAsia="zh-CN"/>
              </w:rPr>
              <w:t>电子签章</w:t>
            </w:r>
            <w:r>
              <w:rPr>
                <w:rFonts w:hint="eastAsia" w:ascii="宋体" w:hAnsi="宋体" w:eastAsia="宋体" w:cs="宋体"/>
                <w:bCs/>
                <w:color w:val="auto"/>
                <w:sz w:val="21"/>
                <w:highlight w:val="none"/>
                <w:shd w:val="clear" w:color="auto" w:fill="auto"/>
                <w:lang w:val="en-US" w:eastAsia="zh-CN"/>
              </w:rPr>
              <w:t>”“电子签名”</w:t>
            </w:r>
            <w:r>
              <w:rPr>
                <w:rFonts w:hint="eastAsia" w:ascii="宋体" w:hAnsi="宋体" w:eastAsia="宋体" w:cs="宋体"/>
                <w:color w:val="auto"/>
                <w:sz w:val="21"/>
                <w:highlight w:val="none"/>
                <w:shd w:val="clear" w:color="auto" w:fill="auto"/>
                <w:lang w:val="en-US" w:eastAsia="zh-CN"/>
              </w:rPr>
              <w:t>，是指经“政采云”平台认可的CA认证的电子签名数据为表现形式的印章，可用于签署电子投标文件，电子印章与实物印章具有同等法律效力，不因其采用电子化表现形式而否定其法律效力。</w:t>
            </w:r>
          </w:p>
          <w:p w14:paraId="6B9A0876">
            <w:pPr>
              <w:pStyle w:val="14"/>
              <w:keepNext w:val="0"/>
              <w:keepLines w:val="0"/>
              <w:pageBreakBefore w:val="0"/>
              <w:shd w:val="clear" w:color="auto" w:fill="auto"/>
              <w:kinsoku/>
              <w:overflowPunct/>
              <w:bidi w:val="0"/>
              <w:snapToGrid w:val="0"/>
              <w:spacing w:line="360" w:lineRule="auto"/>
              <w:rPr>
                <w:rFonts w:hint="eastAsia" w:ascii="宋体" w:hAnsi="宋体" w:eastAsia="宋体" w:cs="宋体"/>
                <w:bCs/>
                <w:color w:val="auto"/>
                <w:sz w:val="21"/>
                <w:highlight w:val="none"/>
                <w:shd w:val="clear" w:color="auto" w:fill="auto"/>
                <w:lang w:val="en-US" w:eastAsia="zh-CN"/>
              </w:rPr>
            </w:pPr>
            <w:r>
              <w:rPr>
                <w:rFonts w:hint="eastAsia" w:ascii="宋体" w:hAnsi="宋体" w:eastAsia="宋体" w:cs="宋体"/>
                <w:bCs/>
                <w:color w:val="auto"/>
                <w:sz w:val="21"/>
                <w:highlight w:val="none"/>
                <w:shd w:val="clear" w:color="auto" w:fill="auto"/>
                <w:lang w:val="en-US" w:eastAsia="zh-CN"/>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0BF9F31E">
            <w:pPr>
              <w:pStyle w:val="14"/>
              <w:keepNext w:val="0"/>
              <w:keepLines w:val="0"/>
              <w:pageBreakBefore w:val="0"/>
              <w:shd w:val="clear" w:color="auto" w:fill="auto"/>
              <w:kinsoku/>
              <w:overflowPunct/>
              <w:bidi w:val="0"/>
              <w:snapToGrid w:val="0"/>
              <w:spacing w:line="360" w:lineRule="auto"/>
              <w:rPr>
                <w:rFonts w:hint="eastAsia" w:ascii="宋体" w:hAnsi="宋体" w:eastAsia="宋体" w:cs="宋体"/>
                <w:bCs/>
                <w:color w:val="auto"/>
                <w:sz w:val="21"/>
                <w:highlight w:val="none"/>
                <w:shd w:val="clear" w:color="auto" w:fill="auto"/>
                <w:lang w:val="en-US" w:eastAsia="zh-CN"/>
              </w:rPr>
            </w:pPr>
            <w:r>
              <w:rPr>
                <w:rFonts w:hint="eastAsia" w:ascii="宋体" w:hAnsi="宋体" w:eastAsia="宋体" w:cs="宋体"/>
                <w:bCs/>
                <w:color w:val="auto"/>
                <w:sz w:val="21"/>
                <w:highlight w:val="none"/>
                <w:shd w:val="clear" w:color="auto" w:fill="auto"/>
                <w:lang w:val="en-US" w:eastAsia="zh-CN"/>
              </w:rPr>
              <w:t>4.本招标文件中描述投标人的“签字”是指投标人的法定代表人或者委托代理人亲自在文件规定签字处亲笔写上个人的名字的行为，私章、签字章、印鉴、影印等其他形式均不能代替亲笔签字。</w:t>
            </w:r>
          </w:p>
          <w:p w14:paraId="0065E202">
            <w:pPr>
              <w:pStyle w:val="14"/>
              <w:keepNext w:val="0"/>
              <w:keepLines w:val="0"/>
              <w:pageBreakBefore w:val="0"/>
              <w:shd w:val="clear" w:color="auto" w:fill="auto"/>
              <w:kinsoku/>
              <w:overflowPunct/>
              <w:bidi w:val="0"/>
              <w:snapToGrid w:val="0"/>
              <w:spacing w:line="360" w:lineRule="auto"/>
              <w:rPr>
                <w:rFonts w:hint="eastAsia" w:ascii="宋体" w:hAnsi="宋体" w:eastAsia="宋体" w:cs="宋体"/>
                <w:color w:val="auto"/>
                <w:highlight w:val="none"/>
                <w:shd w:val="clear" w:color="auto" w:fill="auto"/>
                <w:lang w:val="en-US" w:eastAsia="zh-CN"/>
              </w:rPr>
            </w:pPr>
            <w:r>
              <w:rPr>
                <w:rFonts w:hint="eastAsia" w:ascii="宋体" w:hAnsi="宋体" w:eastAsia="宋体" w:cs="宋体"/>
                <w:bCs/>
                <w:color w:val="auto"/>
                <w:sz w:val="21"/>
                <w:highlight w:val="none"/>
                <w:shd w:val="clear" w:color="auto" w:fill="auto"/>
                <w:lang w:val="en-US" w:eastAsia="zh-CN"/>
              </w:rPr>
              <w:t>5.本招标文件所称的“以上”“以下”“以内”“届满”，包括本数；所称的“不满”“超过”“以外”，不包括本数。</w:t>
            </w:r>
          </w:p>
        </w:tc>
      </w:tr>
    </w:tbl>
    <w:p w14:paraId="779648CB">
      <w:pPr>
        <w:keepNext w:val="0"/>
        <w:keepLines w:val="0"/>
        <w:pageBreakBefore w:val="0"/>
        <w:kinsoku/>
        <w:overflowPunct/>
        <w:bidi w:val="0"/>
        <w:spacing w:line="360" w:lineRule="auto"/>
        <w:rPr>
          <w:rFonts w:ascii="宋体" w:hAnsi="宋体"/>
          <w:bCs/>
          <w:color w:val="auto"/>
          <w:szCs w:val="21"/>
        </w:rPr>
      </w:pPr>
      <w:r>
        <w:rPr>
          <w:rFonts w:ascii="宋体" w:hAnsi="宋体"/>
          <w:bCs/>
          <w:color w:val="auto"/>
          <w:szCs w:val="21"/>
        </w:rPr>
        <w:br w:type="page"/>
      </w:r>
    </w:p>
    <w:p w14:paraId="4D86FFEB">
      <w:pPr>
        <w:pStyle w:val="23"/>
        <w:keepNext w:val="0"/>
        <w:keepLines w:val="0"/>
        <w:pageBreakBefore w:val="0"/>
        <w:kinsoku/>
        <w:overflowPunct/>
        <w:bidi w:val="0"/>
        <w:spacing w:line="360" w:lineRule="auto"/>
        <w:ind w:firstLine="643" w:firstLineChars="200"/>
        <w:jc w:val="center"/>
        <w:rPr>
          <w:rFonts w:hAnsi="宋体" w:cs="宋体"/>
          <w:b/>
          <w:bCs/>
          <w:color w:val="auto"/>
          <w:sz w:val="32"/>
          <w:szCs w:val="32"/>
        </w:rPr>
      </w:pPr>
      <w:r>
        <w:rPr>
          <w:rFonts w:hint="eastAsia" w:hAnsi="宋体" w:cs="宋体"/>
          <w:b/>
          <w:bCs/>
          <w:color w:val="auto"/>
          <w:sz w:val="32"/>
          <w:szCs w:val="32"/>
        </w:rPr>
        <w:t>投标人须知正文</w:t>
      </w:r>
    </w:p>
    <w:p w14:paraId="3A82597B">
      <w:pPr>
        <w:keepNext w:val="0"/>
        <w:keepLines w:val="0"/>
        <w:pageBreakBefore w:val="0"/>
        <w:kinsoku/>
        <w:overflowPunct/>
        <w:bidi w:val="0"/>
        <w:spacing w:line="360" w:lineRule="auto"/>
        <w:ind w:firstLine="422" w:firstLineChars="200"/>
        <w:jc w:val="center"/>
        <w:rPr>
          <w:rFonts w:ascii="宋体" w:hAnsi="宋体" w:cs="宋体"/>
          <w:b/>
          <w:bCs/>
          <w:color w:val="auto"/>
          <w:szCs w:val="21"/>
        </w:rPr>
      </w:pPr>
      <w:bookmarkStart w:id="68" w:name="_Toc18912"/>
      <w:bookmarkStart w:id="69" w:name="_Toc23289"/>
      <w:bookmarkStart w:id="70" w:name="_Toc3767"/>
      <w:bookmarkStart w:id="71" w:name="_Toc80092995"/>
      <w:r>
        <w:rPr>
          <w:rFonts w:hint="eastAsia" w:ascii="宋体" w:hAnsi="宋体" w:cs="宋体"/>
          <w:b/>
          <w:bCs/>
          <w:color w:val="auto"/>
          <w:szCs w:val="21"/>
        </w:rPr>
        <w:t>一、总则</w:t>
      </w:r>
      <w:bookmarkEnd w:id="68"/>
      <w:bookmarkEnd w:id="69"/>
      <w:bookmarkEnd w:id="70"/>
      <w:bookmarkEnd w:id="71"/>
    </w:p>
    <w:p w14:paraId="6238BCB0">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ascii="宋体" w:hAnsi="宋体" w:cs="宋体"/>
          <w:b/>
          <w:bCs/>
          <w:color w:val="auto"/>
          <w:szCs w:val="21"/>
        </w:rPr>
      </w:pPr>
      <w:bookmarkStart w:id="72" w:name="_Toc254970527"/>
      <w:bookmarkStart w:id="73" w:name="_Toc254970668"/>
      <w:bookmarkStart w:id="74" w:name="_Toc5557"/>
      <w:r>
        <w:rPr>
          <w:rFonts w:hint="eastAsia" w:ascii="宋体" w:hAnsi="宋体" w:cs="宋体"/>
          <w:b/>
          <w:bCs/>
          <w:color w:val="auto"/>
          <w:szCs w:val="21"/>
        </w:rPr>
        <w:t>1.适用范围</w:t>
      </w:r>
      <w:bookmarkEnd w:id="72"/>
      <w:bookmarkEnd w:id="73"/>
      <w:bookmarkEnd w:id="74"/>
    </w:p>
    <w:p w14:paraId="341CC863">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zCs w:val="21"/>
        </w:rPr>
      </w:pPr>
      <w:r>
        <w:rPr>
          <w:rFonts w:hint="eastAsia" w:ascii="宋体" w:hAnsi="宋体" w:cs="宋体"/>
          <w:color w:val="auto"/>
          <w:szCs w:val="21"/>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7859A4B4">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zCs w:val="21"/>
        </w:rPr>
      </w:pPr>
      <w:r>
        <w:rPr>
          <w:rFonts w:hint="eastAsia" w:ascii="宋体" w:hAnsi="宋体" w:cs="宋体"/>
          <w:color w:val="auto"/>
          <w:szCs w:val="21"/>
        </w:rPr>
        <w:t>1.2本公开招标文件（以下简称招标文件）适用于本项目的所有采购程序和环节（法律、法规另有规定的，从其规定）。</w:t>
      </w:r>
    </w:p>
    <w:p w14:paraId="72CCE28A">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ascii="宋体" w:hAnsi="宋体" w:cs="宋体"/>
          <w:b/>
          <w:bCs/>
          <w:color w:val="auto"/>
          <w:szCs w:val="21"/>
        </w:rPr>
      </w:pPr>
      <w:bookmarkStart w:id="75" w:name="_Toc254970528"/>
      <w:bookmarkStart w:id="76" w:name="_Toc254970669"/>
      <w:bookmarkStart w:id="77" w:name="_Toc28733"/>
      <w:r>
        <w:rPr>
          <w:rFonts w:hint="eastAsia" w:ascii="宋体" w:hAnsi="宋体" w:cs="宋体"/>
          <w:b/>
          <w:bCs/>
          <w:color w:val="auto"/>
          <w:szCs w:val="21"/>
        </w:rPr>
        <w:t>2.定义</w:t>
      </w:r>
      <w:bookmarkEnd w:id="75"/>
      <w:bookmarkEnd w:id="76"/>
      <w:bookmarkEnd w:id="77"/>
    </w:p>
    <w:p w14:paraId="2B69A608">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bCs/>
          <w:color w:val="auto"/>
          <w:szCs w:val="21"/>
        </w:rPr>
      </w:pPr>
      <w:r>
        <w:rPr>
          <w:rFonts w:hint="eastAsia" w:ascii="宋体" w:hAnsi="宋体" w:cs="宋体"/>
          <w:bCs/>
          <w:color w:val="auto"/>
          <w:szCs w:val="21"/>
        </w:rPr>
        <w:t>2.1“采购人”是指依法进行政府采购的国家机关、事业单位、团体组织。</w:t>
      </w:r>
    </w:p>
    <w:p w14:paraId="7E7A9286">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bCs/>
          <w:color w:val="auto"/>
          <w:szCs w:val="21"/>
        </w:rPr>
      </w:pPr>
      <w:r>
        <w:rPr>
          <w:rFonts w:hint="eastAsia" w:ascii="宋体" w:hAnsi="宋体" w:cs="宋体"/>
          <w:bCs/>
          <w:color w:val="auto"/>
          <w:szCs w:val="21"/>
        </w:rPr>
        <w:t>2.2“采购代理机构”指政府采购集中采购机构和集中采购机构以外的采购代理机构。</w:t>
      </w:r>
    </w:p>
    <w:p w14:paraId="761527C9">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auto"/>
          <w:szCs w:val="21"/>
          <w:lang w:eastAsia="zh-CN"/>
        </w:rPr>
      </w:pPr>
      <w:r>
        <w:rPr>
          <w:rFonts w:hint="eastAsia" w:ascii="宋体" w:hAnsi="宋体" w:cs="宋体"/>
          <w:bCs/>
          <w:color w:val="auto"/>
          <w:szCs w:val="21"/>
        </w:rPr>
        <w:t>2.3</w:t>
      </w:r>
      <w:r>
        <w:rPr>
          <w:rFonts w:hint="eastAsia" w:ascii="宋体" w:hAnsi="宋体"/>
          <w:b w:val="0"/>
          <w:sz w:val="21"/>
          <w:szCs w:val="21"/>
        </w:rPr>
        <w:t>“供应商”是指向采购人提供货物、工程或者服务的法人、其他组织或者自然人</w:t>
      </w:r>
      <w:r>
        <w:rPr>
          <w:rFonts w:hint="eastAsia" w:ascii="宋体" w:hAnsi="宋体"/>
          <w:b w:val="0"/>
          <w:sz w:val="21"/>
          <w:szCs w:val="21"/>
          <w:lang w:eastAsia="zh-CN"/>
        </w:rPr>
        <w:t>。</w:t>
      </w:r>
    </w:p>
    <w:p w14:paraId="25FBCF83">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bCs/>
          <w:color w:val="auto"/>
          <w:szCs w:val="21"/>
        </w:rPr>
      </w:pPr>
      <w:r>
        <w:rPr>
          <w:rFonts w:hint="eastAsia" w:ascii="宋体" w:hAnsi="宋体" w:cs="宋体"/>
          <w:bCs/>
          <w:color w:val="auto"/>
          <w:szCs w:val="21"/>
          <w:lang w:val="en-US" w:eastAsia="zh-CN"/>
        </w:rPr>
        <w:t>2.4</w:t>
      </w:r>
      <w:r>
        <w:rPr>
          <w:rFonts w:hint="eastAsia" w:ascii="宋体" w:hAnsi="宋体" w:cs="宋体"/>
          <w:bCs/>
          <w:color w:val="auto"/>
          <w:szCs w:val="21"/>
        </w:rPr>
        <w:t>“</w:t>
      </w:r>
      <w:r>
        <w:rPr>
          <w:rFonts w:hint="eastAsia" w:ascii="宋体" w:hAnsi="宋体" w:cs="宋体"/>
          <w:bCs/>
          <w:color w:val="auto"/>
          <w:szCs w:val="21"/>
          <w:lang w:eastAsia="zh-CN"/>
        </w:rPr>
        <w:t>投标人</w:t>
      </w:r>
      <w:r>
        <w:rPr>
          <w:rFonts w:hint="eastAsia" w:ascii="宋体" w:hAnsi="宋体" w:cs="宋体"/>
          <w:bCs/>
          <w:color w:val="auto"/>
          <w:szCs w:val="21"/>
        </w:rPr>
        <w:t>”是指向采购人、采购人提供货物、工程或者服务的法人、其他组织或者自然人。</w:t>
      </w:r>
      <w:r>
        <w:rPr>
          <w:rFonts w:hint="eastAsia" w:ascii="宋体" w:hAnsi="宋体" w:cs="宋体"/>
          <w:color w:val="auto"/>
          <w:szCs w:val="21"/>
        </w:rPr>
        <w:t>“投标人”是指响应招标、参加投标竞争的法人、非法人组织或者自然人。</w:t>
      </w:r>
    </w:p>
    <w:p w14:paraId="13952CB1">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bCs/>
          <w:color w:val="auto"/>
          <w:szCs w:val="21"/>
        </w:rPr>
      </w:pPr>
      <w:r>
        <w:rPr>
          <w:rFonts w:hint="eastAsia" w:ascii="宋体" w:hAnsi="宋体" w:cs="宋体"/>
          <w:bCs/>
          <w:color w:val="auto"/>
          <w:szCs w:val="21"/>
        </w:rPr>
        <w:t>2.</w:t>
      </w:r>
      <w:r>
        <w:rPr>
          <w:rFonts w:hint="eastAsia" w:ascii="宋体" w:hAnsi="宋体" w:cs="宋体"/>
          <w:bCs/>
          <w:color w:val="auto"/>
          <w:szCs w:val="21"/>
          <w:lang w:val="en-US" w:eastAsia="zh-CN"/>
        </w:rPr>
        <w:t>5</w:t>
      </w:r>
      <w:r>
        <w:rPr>
          <w:rFonts w:hint="eastAsia" w:ascii="宋体" w:hAnsi="宋体" w:cs="宋体"/>
          <w:color w:val="auto"/>
          <w:szCs w:val="21"/>
        </w:rPr>
        <w:t>“</w:t>
      </w:r>
      <w:r>
        <w:rPr>
          <w:rFonts w:hint="eastAsia" w:ascii="宋体" w:hAnsi="宋体" w:cs="宋体"/>
          <w:color w:val="auto"/>
          <w:szCs w:val="21"/>
          <w:lang w:val="en-US" w:eastAsia="zh-CN"/>
        </w:rPr>
        <w:t>服务</w:t>
      </w:r>
      <w:r>
        <w:rPr>
          <w:rFonts w:hint="eastAsia" w:ascii="宋体" w:hAnsi="宋体" w:cs="宋体"/>
          <w:color w:val="auto"/>
          <w:szCs w:val="21"/>
        </w:rPr>
        <w:t>”是指</w:t>
      </w:r>
      <w:r>
        <w:rPr>
          <w:rFonts w:hint="eastAsia" w:ascii="宋体" w:hAnsi="宋体"/>
          <w:b w:val="0"/>
          <w:sz w:val="21"/>
          <w:szCs w:val="21"/>
        </w:rPr>
        <w:t>除货物和工程以外的其他政府采购对象</w:t>
      </w:r>
      <w:r>
        <w:rPr>
          <w:rFonts w:hint="eastAsia" w:ascii="宋体" w:hAnsi="宋体" w:cs="宋体"/>
          <w:color w:val="auto"/>
          <w:szCs w:val="21"/>
        </w:rPr>
        <w:t>。</w:t>
      </w:r>
    </w:p>
    <w:p w14:paraId="15788498">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bCs/>
          <w:color w:val="auto"/>
          <w:szCs w:val="21"/>
        </w:rPr>
      </w:pPr>
      <w:r>
        <w:rPr>
          <w:rFonts w:hint="eastAsia" w:ascii="宋体" w:hAnsi="宋体" w:cs="宋体"/>
          <w:bCs/>
          <w:color w:val="auto"/>
          <w:szCs w:val="21"/>
        </w:rPr>
        <w:t>2.</w:t>
      </w:r>
      <w:r>
        <w:rPr>
          <w:rFonts w:hint="eastAsia" w:ascii="宋体" w:hAnsi="宋体" w:cs="宋体"/>
          <w:bCs/>
          <w:color w:val="auto"/>
          <w:szCs w:val="21"/>
          <w:lang w:val="en-US" w:eastAsia="zh-CN"/>
        </w:rPr>
        <w:t>6</w:t>
      </w:r>
      <w:r>
        <w:rPr>
          <w:rFonts w:hint="eastAsia" w:ascii="宋体" w:hAnsi="宋体" w:cs="宋体"/>
          <w:bCs/>
          <w:color w:val="auto"/>
          <w:szCs w:val="21"/>
        </w:rPr>
        <w:t>“书面形式”是指合同书、信件和数据电文（包括电报、电传、传真、短信、电子数据交换和电子邮件）等可以有形地表现所载内容的形式。</w:t>
      </w:r>
    </w:p>
    <w:p w14:paraId="4984E88C">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bCs/>
          <w:color w:val="auto"/>
          <w:szCs w:val="21"/>
        </w:rPr>
      </w:pPr>
      <w:r>
        <w:rPr>
          <w:rFonts w:hint="eastAsia" w:ascii="宋体" w:hAnsi="宋体" w:cs="宋体"/>
          <w:bCs/>
          <w:color w:val="auto"/>
          <w:szCs w:val="21"/>
        </w:rPr>
        <w:t>2.7“响应文件”是指：</w:t>
      </w:r>
      <w:r>
        <w:rPr>
          <w:rFonts w:hint="eastAsia" w:ascii="宋体" w:hAnsi="宋体" w:cs="宋体"/>
          <w:bCs/>
          <w:color w:val="auto"/>
          <w:szCs w:val="21"/>
          <w:lang w:eastAsia="zh-CN"/>
        </w:rPr>
        <w:t>投标人</w:t>
      </w:r>
      <w:r>
        <w:rPr>
          <w:rFonts w:hint="eastAsia" w:ascii="宋体" w:hAnsi="宋体" w:cs="宋体"/>
          <w:bCs/>
          <w:color w:val="auto"/>
          <w:szCs w:val="21"/>
        </w:rPr>
        <w:t>根据本招标文件要求，编制包含资格证明、报价、商务技术等所有内容的文件。</w:t>
      </w:r>
    </w:p>
    <w:p w14:paraId="48D7D7B2">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bCs/>
          <w:color w:val="auto"/>
          <w:szCs w:val="21"/>
        </w:rPr>
      </w:pPr>
      <w:r>
        <w:rPr>
          <w:rFonts w:hint="eastAsia" w:ascii="宋体" w:hAnsi="宋体" w:cs="宋体"/>
          <w:bCs/>
          <w:color w:val="auto"/>
          <w:szCs w:val="21"/>
        </w:rPr>
        <w:t>2.8“实质性要求”是指招标文件中已经指明不满足则响应无效的条款，或者不能负偏离的条款，或者采购需求中带“▲”的条款。</w:t>
      </w:r>
    </w:p>
    <w:p w14:paraId="32B17CC3">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lang w:eastAsia="zh-CN"/>
        </w:rPr>
      </w:pPr>
      <w:r>
        <w:rPr>
          <w:rFonts w:hint="eastAsia" w:ascii="宋体" w:hAnsi="宋体" w:cs="宋体"/>
          <w:bCs/>
          <w:color w:val="auto"/>
          <w:szCs w:val="21"/>
        </w:rPr>
        <w:t>2.9“正偏离”，是指响应文件对招标文件“采购需求”中有关条</w:t>
      </w:r>
      <w:r>
        <w:rPr>
          <w:rFonts w:hint="eastAsia" w:ascii="宋体" w:hAnsi="宋体" w:cs="宋体"/>
          <w:color w:val="auto"/>
          <w:szCs w:val="21"/>
        </w:rPr>
        <w:t>款作出的响应优于条款要求并有利于采购人的情形</w:t>
      </w:r>
      <w:r>
        <w:rPr>
          <w:rFonts w:hint="eastAsia" w:ascii="宋体" w:hAnsi="宋体" w:cs="宋体"/>
          <w:color w:val="auto"/>
          <w:szCs w:val="21"/>
          <w:lang w:eastAsia="zh-CN"/>
        </w:rPr>
        <w:t>。</w:t>
      </w:r>
    </w:p>
    <w:p w14:paraId="10BE02DB">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zCs w:val="21"/>
        </w:rPr>
      </w:pPr>
      <w:r>
        <w:rPr>
          <w:rFonts w:hint="eastAsia" w:ascii="宋体" w:hAnsi="宋体" w:cs="宋体"/>
          <w:color w:val="auto"/>
          <w:szCs w:val="21"/>
        </w:rPr>
        <w:t>2.10“负偏离”，是指响应文件对招标文件“采购需求”中有关条款作出的响应不满足条款要求，导致采购人要求不能得到满足的情形。</w:t>
      </w:r>
    </w:p>
    <w:p w14:paraId="4CBB766B">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zCs w:val="21"/>
        </w:rPr>
      </w:pPr>
      <w:r>
        <w:rPr>
          <w:rFonts w:hint="eastAsia" w:ascii="宋体" w:hAnsi="宋体" w:cs="宋体"/>
          <w:color w:val="auto"/>
          <w:szCs w:val="21"/>
        </w:rPr>
        <w:t>2.11“允许负偏离的条款”是指采购需求中的不属于“实质性要求”的条款。</w:t>
      </w:r>
      <w:bookmarkStart w:id="78" w:name="_Toc254970670"/>
      <w:bookmarkStart w:id="79" w:name="_Toc254970529"/>
    </w:p>
    <w:p w14:paraId="2AB6C13B">
      <w:pPr>
        <w:keepNext w:val="0"/>
        <w:keepLines w:val="0"/>
        <w:pageBreakBefore w:val="0"/>
        <w:widowControl w:val="0"/>
        <w:kinsoku/>
        <w:wordWrap/>
        <w:overflowPunct/>
        <w:topLinePunct w:val="0"/>
        <w:autoSpaceDE/>
        <w:autoSpaceDN/>
        <w:bidi w:val="0"/>
        <w:snapToGrid w:val="0"/>
        <w:spacing w:line="360" w:lineRule="auto"/>
        <w:ind w:firstLine="420" w:firstLineChars="200"/>
        <w:jc w:val="left"/>
        <w:textAlignment w:val="auto"/>
        <w:rPr>
          <w:rFonts w:ascii="宋体" w:hAnsi="宋体" w:cs="宋体"/>
          <w:color w:val="auto"/>
          <w:szCs w:val="21"/>
        </w:rPr>
      </w:pPr>
      <w:r>
        <w:rPr>
          <w:rFonts w:hint="eastAsia" w:ascii="宋体" w:hAnsi="宋体" w:cs="宋体"/>
          <w:color w:val="auto"/>
          <w:szCs w:val="21"/>
        </w:rPr>
        <w:t>2.12技术参数或配置缺项漏项的，或商务条款未承诺的视同为该项负偏离。</w:t>
      </w:r>
      <w:bookmarkStart w:id="80" w:name="_Toc7372"/>
    </w:p>
    <w:p w14:paraId="61767350">
      <w:pPr>
        <w:keepNext w:val="0"/>
        <w:keepLines w:val="0"/>
        <w:pageBreakBefore w:val="0"/>
        <w:widowControl w:val="0"/>
        <w:kinsoku/>
        <w:wordWrap/>
        <w:overflowPunct/>
        <w:topLinePunct w:val="0"/>
        <w:autoSpaceDE/>
        <w:autoSpaceDN/>
        <w:bidi w:val="0"/>
        <w:snapToGrid w:val="0"/>
        <w:spacing w:line="360" w:lineRule="auto"/>
        <w:ind w:firstLine="422" w:firstLineChars="200"/>
        <w:jc w:val="left"/>
        <w:textAlignment w:val="auto"/>
        <w:rPr>
          <w:rFonts w:ascii="宋体" w:hAnsi="宋体" w:cs="宋体"/>
          <w:b/>
          <w:bCs/>
          <w:color w:val="auto"/>
          <w:szCs w:val="21"/>
        </w:rPr>
      </w:pPr>
      <w:r>
        <w:rPr>
          <w:rFonts w:hint="eastAsia" w:ascii="宋体" w:hAnsi="宋体" w:cs="宋体"/>
          <w:b/>
          <w:bCs/>
          <w:color w:val="auto"/>
          <w:szCs w:val="21"/>
        </w:rPr>
        <w:t>3.</w:t>
      </w:r>
      <w:bookmarkEnd w:id="78"/>
      <w:bookmarkEnd w:id="79"/>
      <w:r>
        <w:rPr>
          <w:rFonts w:hint="eastAsia" w:ascii="宋体" w:hAnsi="宋体" w:cs="宋体"/>
          <w:b/>
          <w:bCs/>
          <w:color w:val="auto"/>
          <w:szCs w:val="21"/>
          <w:lang w:eastAsia="zh-CN"/>
        </w:rPr>
        <w:t>投标人</w:t>
      </w:r>
      <w:r>
        <w:rPr>
          <w:rFonts w:hint="eastAsia" w:ascii="宋体" w:hAnsi="宋体" w:cs="宋体"/>
          <w:b/>
          <w:bCs/>
          <w:color w:val="auto"/>
          <w:szCs w:val="21"/>
        </w:rPr>
        <w:t>的资格要求</w:t>
      </w:r>
      <w:bookmarkEnd w:id="80"/>
    </w:p>
    <w:p w14:paraId="55C11BE4">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zCs w:val="21"/>
        </w:rPr>
      </w:pPr>
      <w:r>
        <w:rPr>
          <w:rFonts w:hint="eastAsia" w:ascii="宋体" w:hAnsi="宋体" w:cs="宋体"/>
          <w:color w:val="auto"/>
          <w:szCs w:val="21"/>
          <w:lang w:eastAsia="zh-CN"/>
        </w:rPr>
        <w:t>投标人</w:t>
      </w:r>
      <w:r>
        <w:rPr>
          <w:rFonts w:hint="eastAsia" w:ascii="宋体" w:hAnsi="宋体" w:cs="宋体"/>
          <w:color w:val="auto"/>
          <w:szCs w:val="21"/>
        </w:rPr>
        <w:t>的资格要求详见“投标人须知前附表”。</w:t>
      </w:r>
    </w:p>
    <w:p w14:paraId="1DF97000">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ascii="宋体" w:hAnsi="宋体" w:cs="宋体"/>
          <w:b/>
          <w:bCs/>
          <w:color w:val="auto"/>
          <w:szCs w:val="21"/>
        </w:rPr>
      </w:pPr>
      <w:bookmarkStart w:id="81" w:name="_Toc254970530"/>
      <w:bookmarkStart w:id="82" w:name="_Toc665"/>
      <w:bookmarkStart w:id="83" w:name="_Toc254970671"/>
      <w:r>
        <w:rPr>
          <w:rFonts w:hint="eastAsia" w:ascii="宋体" w:hAnsi="宋体" w:cs="宋体"/>
          <w:b/>
          <w:bCs/>
          <w:color w:val="auto"/>
          <w:szCs w:val="21"/>
        </w:rPr>
        <w:t>4.</w:t>
      </w:r>
      <w:r>
        <w:rPr>
          <w:rFonts w:hint="eastAsia" w:ascii="宋体" w:hAnsi="宋体" w:cs="宋体"/>
          <w:b/>
          <w:bCs/>
          <w:color w:val="auto"/>
          <w:szCs w:val="21"/>
          <w:lang w:val="en-US" w:eastAsia="zh-CN"/>
        </w:rPr>
        <w:t>投标</w:t>
      </w:r>
      <w:r>
        <w:rPr>
          <w:rFonts w:hint="eastAsia" w:ascii="宋体" w:hAnsi="宋体" w:cs="宋体"/>
          <w:b/>
          <w:bCs/>
          <w:color w:val="auto"/>
          <w:szCs w:val="21"/>
        </w:rPr>
        <w:t>委托</w:t>
      </w:r>
      <w:bookmarkEnd w:id="81"/>
      <w:bookmarkEnd w:id="82"/>
      <w:bookmarkEnd w:id="83"/>
    </w:p>
    <w:p w14:paraId="2D70033D">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zCs w:val="21"/>
        </w:rPr>
      </w:pPr>
      <w:r>
        <w:rPr>
          <w:rFonts w:hint="eastAsia" w:ascii="宋体" w:hAnsi="宋体" w:cs="宋体"/>
          <w:color w:val="auto"/>
          <w:szCs w:val="21"/>
          <w:lang w:eastAsia="zh-CN"/>
        </w:rPr>
        <w:t>投标人</w:t>
      </w:r>
      <w:r>
        <w:rPr>
          <w:rFonts w:hint="eastAsia" w:ascii="宋体" w:hAnsi="宋体" w:cs="宋体"/>
          <w:color w:val="auto"/>
          <w:szCs w:val="21"/>
        </w:rPr>
        <w:t>代表参加</w:t>
      </w:r>
      <w:r>
        <w:rPr>
          <w:rFonts w:hint="eastAsia" w:ascii="宋体" w:hAnsi="宋体" w:cs="宋体"/>
          <w:color w:val="auto"/>
          <w:szCs w:val="21"/>
          <w:lang w:val="en-US" w:eastAsia="zh-CN"/>
        </w:rPr>
        <w:t>投标</w:t>
      </w:r>
      <w:r>
        <w:rPr>
          <w:rFonts w:hint="eastAsia" w:ascii="宋体" w:hAnsi="宋体" w:cs="宋体"/>
          <w:color w:val="auto"/>
          <w:szCs w:val="21"/>
        </w:rPr>
        <w:t>活动过程中必须携带个人有效身份证原件。如</w:t>
      </w:r>
      <w:r>
        <w:rPr>
          <w:rFonts w:hint="eastAsia" w:ascii="宋体" w:hAnsi="宋体" w:cs="宋体"/>
          <w:color w:val="auto"/>
          <w:szCs w:val="21"/>
          <w:lang w:eastAsia="zh-CN"/>
        </w:rPr>
        <w:t>投标人</w:t>
      </w:r>
      <w:r>
        <w:rPr>
          <w:rFonts w:hint="eastAsia" w:ascii="宋体" w:hAnsi="宋体" w:cs="宋体"/>
          <w:color w:val="auto"/>
          <w:szCs w:val="21"/>
        </w:rPr>
        <w:t>代表不是法定代表人，须持有法定代表人授权委托书（正本用原件，副本用复印件，按第五章要求格式填写）。</w:t>
      </w:r>
    </w:p>
    <w:p w14:paraId="77032681">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ascii="宋体" w:hAnsi="宋体" w:cs="宋体"/>
          <w:b/>
          <w:bCs/>
          <w:color w:val="auto"/>
          <w:szCs w:val="21"/>
        </w:rPr>
      </w:pPr>
      <w:bookmarkStart w:id="84" w:name="_5.投标费用"/>
      <w:bookmarkEnd w:id="84"/>
      <w:bookmarkStart w:id="85" w:name="_Toc254970672"/>
      <w:bookmarkStart w:id="86" w:name="_Toc28403"/>
      <w:bookmarkStart w:id="87" w:name="_Toc254970531"/>
      <w:r>
        <w:rPr>
          <w:rFonts w:hint="eastAsia" w:ascii="宋体" w:hAnsi="宋体" w:cs="宋体"/>
          <w:b/>
          <w:bCs/>
          <w:color w:val="auto"/>
          <w:szCs w:val="21"/>
        </w:rPr>
        <w:t>5.</w:t>
      </w:r>
      <w:r>
        <w:rPr>
          <w:rFonts w:hint="eastAsia" w:ascii="宋体" w:hAnsi="宋体" w:cs="宋体"/>
          <w:b/>
          <w:bCs/>
          <w:color w:val="auto"/>
          <w:szCs w:val="21"/>
          <w:lang w:val="en-US" w:eastAsia="zh-CN"/>
        </w:rPr>
        <w:t>投标</w:t>
      </w:r>
      <w:r>
        <w:rPr>
          <w:rFonts w:hint="eastAsia" w:ascii="宋体" w:hAnsi="宋体" w:cs="宋体"/>
          <w:b/>
          <w:bCs/>
          <w:color w:val="auto"/>
          <w:szCs w:val="21"/>
        </w:rPr>
        <w:t>费用</w:t>
      </w:r>
      <w:bookmarkEnd w:id="85"/>
      <w:bookmarkEnd w:id="86"/>
      <w:bookmarkEnd w:id="87"/>
    </w:p>
    <w:p w14:paraId="5D643179">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zCs w:val="21"/>
        </w:rPr>
      </w:pPr>
      <w:r>
        <w:rPr>
          <w:rFonts w:hint="eastAsia" w:ascii="宋体" w:hAnsi="宋体" w:cs="宋体"/>
          <w:color w:val="auto"/>
          <w:szCs w:val="21"/>
          <w:lang w:eastAsia="zh-CN"/>
        </w:rPr>
        <w:t>投标人应承担参与本次采购活动有关的所有费用，包括但不限于获取招标文件、勘查现场、编制和提交投标文件、参加澄清说明、签订合同等，不论投标结果如何，均应自行承担</w:t>
      </w:r>
      <w:r>
        <w:rPr>
          <w:rFonts w:hint="eastAsia" w:ascii="宋体" w:hAnsi="宋体" w:cs="宋体"/>
          <w:color w:val="auto"/>
          <w:szCs w:val="21"/>
        </w:rPr>
        <w:t>。</w:t>
      </w:r>
    </w:p>
    <w:p w14:paraId="5962585B">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auto"/>
          <w:szCs w:val="21"/>
          <w:lang w:val="en-US" w:eastAsia="zh-CN"/>
        </w:rPr>
      </w:pPr>
      <w:bookmarkStart w:id="88" w:name="_Toc28689"/>
      <w:r>
        <w:rPr>
          <w:rFonts w:hint="eastAsia" w:ascii="宋体" w:hAnsi="宋体" w:cs="宋体"/>
          <w:b/>
          <w:bCs/>
          <w:color w:val="auto"/>
          <w:szCs w:val="21"/>
        </w:rPr>
        <w:t>6.联合体</w:t>
      </w:r>
      <w:bookmarkEnd w:id="88"/>
      <w:r>
        <w:rPr>
          <w:rFonts w:hint="eastAsia" w:ascii="宋体" w:hAnsi="宋体" w:cs="宋体"/>
          <w:b/>
          <w:bCs/>
          <w:color w:val="auto"/>
          <w:szCs w:val="21"/>
          <w:lang w:val="en-US" w:eastAsia="zh-CN"/>
        </w:rPr>
        <w:t>投标</w:t>
      </w:r>
    </w:p>
    <w:p w14:paraId="43CB6CFC">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zCs w:val="21"/>
        </w:rPr>
      </w:pPr>
      <w:r>
        <w:rPr>
          <w:rFonts w:hint="eastAsia" w:ascii="宋体" w:hAnsi="宋体" w:cs="宋体"/>
          <w:color w:val="auto"/>
          <w:szCs w:val="21"/>
        </w:rPr>
        <w:t>6.1本项目是否接受联合体竞标，详见“投标人须知前附表”。</w:t>
      </w:r>
    </w:p>
    <w:p w14:paraId="7D480C57">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bCs/>
          <w:color w:val="auto"/>
          <w:szCs w:val="21"/>
        </w:rPr>
      </w:pPr>
      <w:r>
        <w:rPr>
          <w:rFonts w:hint="eastAsia" w:ascii="宋体" w:hAnsi="宋体" w:cs="宋体"/>
          <w:bCs/>
          <w:color w:val="auto"/>
          <w:szCs w:val="21"/>
        </w:rPr>
        <w:t>6.2如接受联合体竞标，联合体响应要求详见“投标人须知前附表”。</w:t>
      </w:r>
    </w:p>
    <w:p w14:paraId="79A06280">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zCs w:val="21"/>
          <w:shd w:val="clear" w:color="auto" w:fill="FFFFFF"/>
        </w:rPr>
      </w:pPr>
      <w:r>
        <w:rPr>
          <w:rFonts w:hint="eastAsia" w:ascii="宋体" w:hAnsi="宋体" w:cs="宋体"/>
          <w:bCs/>
          <w:color w:val="auto"/>
          <w:szCs w:val="21"/>
        </w:rPr>
        <w:t>6.3</w:t>
      </w:r>
      <w:bookmarkStart w:id="89" w:name="_Hlk65857072"/>
      <w:r>
        <w:rPr>
          <w:rFonts w:hint="eastAsia" w:ascii="宋体" w:hAnsi="宋体" w:cs="宋体"/>
          <w:bCs/>
          <w:color w:val="auto"/>
          <w:szCs w:val="21"/>
        </w:rPr>
        <w:t>根据《政府采购促进中小企业发展管理办法》（财库〔2020〕46号）第</w:t>
      </w:r>
      <w:r>
        <w:rPr>
          <w:rFonts w:hint="eastAsia" w:ascii="宋体" w:hAnsi="宋体" w:cs="宋体"/>
          <w:bCs/>
          <w:color w:val="auto"/>
          <w:szCs w:val="21"/>
          <w:lang w:val="en-US" w:eastAsia="zh-CN"/>
        </w:rPr>
        <w:t>九</w:t>
      </w:r>
      <w:r>
        <w:rPr>
          <w:rFonts w:hint="eastAsia" w:ascii="宋体" w:hAnsi="宋体" w:cs="宋体"/>
          <w:bCs/>
          <w:color w:val="auto"/>
          <w:szCs w:val="21"/>
        </w:rPr>
        <w:t>条</w:t>
      </w:r>
      <w:r>
        <w:rPr>
          <w:rFonts w:hint="eastAsia" w:ascii="宋体" w:hAnsi="宋体" w:cs="宋体"/>
          <w:bCs/>
          <w:color w:val="auto"/>
          <w:szCs w:val="21"/>
          <w:lang w:val="en-US" w:eastAsia="zh-CN"/>
        </w:rPr>
        <w:t>第二款</w:t>
      </w:r>
      <w:r>
        <w:rPr>
          <w:rFonts w:hint="eastAsia" w:ascii="宋体" w:hAnsi="宋体" w:cs="宋体"/>
          <w:bCs/>
          <w:color w:val="auto"/>
          <w:szCs w:val="21"/>
        </w:rPr>
        <w:t>及《广西壮族自治区财政厅关于进一步发挥政府采购政策功能促进企业发展的通知》（桂财采【2022】30号）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89"/>
      <w:r>
        <w:rPr>
          <w:rFonts w:hint="eastAsia" w:ascii="宋体" w:hAnsi="宋体" w:cs="宋体"/>
          <w:bCs/>
          <w:color w:val="auto"/>
          <w:szCs w:val="21"/>
        </w:rPr>
        <w:t>组成联合体的小微企业与联合体内其他企业、分包企业之间存在直接控股、管理关系的，不享受价格扣除优惠政策。</w:t>
      </w:r>
    </w:p>
    <w:p w14:paraId="6C9585B0">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ascii="宋体" w:hAnsi="宋体" w:cs="宋体"/>
          <w:b/>
          <w:bCs/>
          <w:color w:val="auto"/>
          <w:szCs w:val="21"/>
        </w:rPr>
      </w:pPr>
      <w:bookmarkStart w:id="90" w:name="_Toc31715"/>
      <w:r>
        <w:rPr>
          <w:rFonts w:hint="eastAsia" w:ascii="宋体" w:hAnsi="宋体" w:cs="宋体"/>
          <w:b/>
          <w:bCs/>
          <w:color w:val="auto"/>
          <w:szCs w:val="21"/>
        </w:rPr>
        <w:t>7.转包与分包</w:t>
      </w:r>
      <w:bookmarkEnd w:id="90"/>
    </w:p>
    <w:p w14:paraId="4E12E05D">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7.1本项目</w:t>
      </w:r>
      <w:r>
        <w:rPr>
          <w:rFonts w:hint="eastAsia" w:ascii="宋体" w:hAnsi="宋体" w:cs="宋体"/>
          <w:bCs/>
          <w:color w:val="auto"/>
          <w:szCs w:val="21"/>
          <w:highlight w:val="none"/>
          <w:lang w:val="en-US" w:eastAsia="zh-CN"/>
        </w:rPr>
        <w:t>不允许转包</w:t>
      </w:r>
      <w:r>
        <w:rPr>
          <w:rFonts w:hint="eastAsia" w:ascii="宋体" w:hAnsi="宋体" w:cs="宋体"/>
          <w:bCs/>
          <w:color w:val="auto"/>
          <w:szCs w:val="21"/>
          <w:highlight w:val="none"/>
        </w:rPr>
        <w:t>。</w:t>
      </w:r>
    </w:p>
    <w:p w14:paraId="03E9765B">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rPr>
        <w:t>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根据《政府采购促进中小企业发展管理办法》（财库〔2020〕46号）第</w:t>
      </w:r>
      <w:r>
        <w:rPr>
          <w:rFonts w:hint="eastAsia" w:ascii="宋体" w:hAnsi="宋体" w:cs="宋体"/>
          <w:bCs/>
          <w:color w:val="auto"/>
          <w:szCs w:val="21"/>
          <w:highlight w:val="none"/>
          <w:lang w:val="en-US" w:eastAsia="zh-CN"/>
        </w:rPr>
        <w:t>八</w:t>
      </w:r>
      <w:r>
        <w:rPr>
          <w:rFonts w:hint="eastAsia" w:ascii="宋体" w:hAnsi="宋体" w:cs="宋体"/>
          <w:bCs/>
          <w:color w:val="auto"/>
          <w:szCs w:val="21"/>
          <w:highlight w:val="none"/>
        </w:rPr>
        <w:t>条</w:t>
      </w:r>
      <w:r>
        <w:rPr>
          <w:rFonts w:hint="eastAsia" w:ascii="宋体" w:hAnsi="宋体" w:cs="宋体"/>
          <w:bCs/>
          <w:color w:val="auto"/>
          <w:szCs w:val="21"/>
          <w:highlight w:val="none"/>
          <w:lang w:val="en-US" w:eastAsia="zh-CN"/>
        </w:rPr>
        <w:t>规定，中标供应商向一家或者多家中小企业供应商进行分包，分包比例详见</w:t>
      </w:r>
      <w:r>
        <w:rPr>
          <w:rFonts w:hint="eastAsia" w:ascii="宋体" w:hAnsi="宋体" w:cs="宋体"/>
          <w:bCs/>
          <w:color w:val="auto"/>
          <w:szCs w:val="21"/>
          <w:highlight w:val="none"/>
        </w:rPr>
        <w:t>“投标人须知前附表”</w:t>
      </w:r>
      <w:r>
        <w:rPr>
          <w:rFonts w:hint="eastAsia" w:ascii="宋体" w:hAnsi="宋体" w:cs="宋体"/>
          <w:bCs/>
          <w:color w:val="auto"/>
          <w:szCs w:val="21"/>
          <w:highlight w:val="none"/>
          <w:lang w:eastAsia="zh-CN"/>
        </w:rPr>
        <w:t>，组成联合体或者接受分包合同的中小企业与联合体内其他企业、分包企业之间不得存在直接控股、管理关系</w:t>
      </w:r>
      <w:r>
        <w:rPr>
          <w:rFonts w:hint="eastAsia" w:ascii="宋体" w:hAnsi="宋体" w:cs="宋体"/>
          <w:bCs/>
          <w:color w:val="auto"/>
          <w:szCs w:val="21"/>
          <w:highlight w:val="none"/>
          <w:lang w:val="en-US" w:eastAsia="zh-CN"/>
        </w:rPr>
        <w:t>。</w:t>
      </w:r>
    </w:p>
    <w:p w14:paraId="3B671C6E">
      <w:pPr>
        <w:pStyle w:val="33"/>
        <w:keepNext w:val="0"/>
        <w:keepLines w:val="0"/>
        <w:pageBreakBefore w:val="0"/>
        <w:widowControl w:val="0"/>
        <w:kinsoku/>
        <w:wordWrap/>
        <w:overflowPunct/>
        <w:topLinePunct w:val="0"/>
        <w:autoSpaceDE/>
        <w:autoSpaceDN/>
        <w:bidi w:val="0"/>
        <w:spacing w:line="360" w:lineRule="auto"/>
        <w:textAlignment w:val="auto"/>
        <w:rPr>
          <w:rFonts w:hint="default" w:eastAsia="宋体"/>
          <w:color w:val="auto"/>
          <w:highlight w:val="none"/>
          <w:lang w:val="en-US" w:eastAsia="zh-CN"/>
        </w:rPr>
      </w:pPr>
      <w:r>
        <w:rPr>
          <w:rFonts w:hint="eastAsia" w:ascii="宋体" w:hAnsi="宋体" w:cs="宋体"/>
          <w:bCs/>
          <w:color w:val="auto"/>
          <w:szCs w:val="21"/>
          <w:highlight w:val="none"/>
          <w:lang w:val="en-US" w:eastAsia="zh-CN"/>
        </w:rPr>
        <w:t>7.3投标人根据招标文件的规定和采购项目的实际情况，拟在中标后将中标项目的非主体、非关键性工作分包的，应当在投标文件中载明分包承担主体，分包承担主体应当具备相应资质条件且不得再次分包。</w:t>
      </w:r>
    </w:p>
    <w:p w14:paraId="28B29107">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ascii="宋体" w:hAnsi="宋体" w:cs="宋体"/>
          <w:b/>
          <w:bCs/>
          <w:color w:val="auto"/>
          <w:szCs w:val="21"/>
        </w:rPr>
      </w:pPr>
      <w:bookmarkStart w:id="91" w:name="_Toc254970532"/>
      <w:bookmarkStart w:id="92" w:name="_Toc17887"/>
      <w:bookmarkStart w:id="93" w:name="_Toc254970673"/>
      <w:r>
        <w:rPr>
          <w:rFonts w:hint="eastAsia" w:ascii="宋体" w:hAnsi="宋体" w:cs="宋体"/>
          <w:b/>
          <w:bCs/>
          <w:color w:val="auto"/>
          <w:szCs w:val="21"/>
        </w:rPr>
        <w:t>8.特别说明：</w:t>
      </w:r>
      <w:bookmarkEnd w:id="91"/>
      <w:bookmarkEnd w:id="92"/>
      <w:bookmarkEnd w:id="93"/>
      <w:bookmarkStart w:id="94" w:name="_8.1提供相同品牌产品且通过资格审查、符合性审查的不同投标人参加同一合"/>
      <w:bookmarkEnd w:id="94"/>
    </w:p>
    <w:p w14:paraId="03D4A8B7">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Cs/>
          <w:color w:val="auto"/>
          <w:szCs w:val="21"/>
        </w:rPr>
      </w:pPr>
      <w:r>
        <w:rPr>
          <w:rFonts w:hint="eastAsia" w:ascii="宋体" w:hAnsi="宋体" w:cs="宋体"/>
          <w:bCs/>
          <w:color w:val="auto"/>
          <w:szCs w:val="21"/>
        </w:rPr>
        <w:t>8.1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其他投标无效。</w:t>
      </w:r>
    </w:p>
    <w:p w14:paraId="53F596C4">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Cs/>
          <w:color w:val="auto"/>
          <w:szCs w:val="21"/>
        </w:rPr>
      </w:pPr>
      <w:r>
        <w:rPr>
          <w:rFonts w:hint="eastAsia" w:ascii="宋体" w:hAnsi="宋体" w:cs="宋体"/>
          <w:bCs/>
          <w:color w:val="auto"/>
          <w:szCs w:val="21"/>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14:paraId="15629D68">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Cs/>
          <w:color w:val="auto"/>
          <w:szCs w:val="21"/>
        </w:rPr>
      </w:pPr>
      <w:r>
        <w:rPr>
          <w:rFonts w:hint="eastAsia" w:ascii="宋体" w:hAnsi="宋体" w:cs="宋体"/>
          <w:bCs/>
          <w:color w:val="auto"/>
          <w:szCs w:val="21"/>
        </w:rPr>
        <w:t>非单一产品采购项目，多家投标人提供的核心产品品牌相同的，按前两款规定处理</w:t>
      </w:r>
    </w:p>
    <w:p w14:paraId="3EA4A940">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bCs/>
          <w:color w:val="auto"/>
          <w:szCs w:val="21"/>
        </w:rPr>
      </w:pPr>
      <w:r>
        <w:rPr>
          <w:rFonts w:hint="eastAsia" w:ascii="宋体" w:hAnsi="宋体" w:cs="宋体"/>
          <w:bCs/>
          <w:color w:val="auto"/>
          <w:szCs w:val="21"/>
          <w:lang w:val="en-US" w:eastAsia="zh-CN"/>
        </w:rPr>
        <w:t>8.2</w:t>
      </w:r>
      <w:r>
        <w:rPr>
          <w:rFonts w:hint="eastAsia" w:ascii="宋体" w:hAnsi="宋体" w:cs="宋体"/>
          <w:bCs/>
          <w:color w:val="auto"/>
          <w:szCs w:val="21"/>
        </w:rPr>
        <w:t>如果本招标文件要求提供</w:t>
      </w:r>
      <w:r>
        <w:rPr>
          <w:rFonts w:hint="eastAsia" w:ascii="宋体" w:hAnsi="宋体" w:cs="宋体"/>
          <w:bCs/>
          <w:color w:val="auto"/>
          <w:szCs w:val="21"/>
          <w:lang w:eastAsia="zh-CN"/>
        </w:rPr>
        <w:t>投标人</w:t>
      </w:r>
      <w:r>
        <w:rPr>
          <w:rFonts w:hint="eastAsia" w:ascii="宋体" w:hAnsi="宋体" w:cs="宋体"/>
          <w:bCs/>
          <w:color w:val="auto"/>
          <w:szCs w:val="21"/>
        </w:rPr>
        <w:t>或制造商的资格、信誉、荣誉、业绩与企业认证等材料的，资格、信誉、荣誉、业绩与企业认证等必须为</w:t>
      </w:r>
      <w:r>
        <w:rPr>
          <w:rFonts w:hint="eastAsia" w:ascii="宋体" w:hAnsi="宋体" w:cs="宋体"/>
          <w:bCs/>
          <w:color w:val="auto"/>
          <w:szCs w:val="21"/>
          <w:lang w:eastAsia="zh-CN"/>
        </w:rPr>
        <w:t>投标人</w:t>
      </w:r>
      <w:r>
        <w:rPr>
          <w:rFonts w:hint="eastAsia" w:ascii="宋体" w:hAnsi="宋体" w:cs="宋体"/>
          <w:bCs/>
          <w:color w:val="auto"/>
          <w:szCs w:val="21"/>
        </w:rPr>
        <w:t>或者制造商所拥有或自身获得。</w:t>
      </w:r>
    </w:p>
    <w:p w14:paraId="1876A035">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bCs/>
          <w:color w:val="auto"/>
          <w:szCs w:val="21"/>
        </w:rPr>
      </w:pPr>
      <w:r>
        <w:rPr>
          <w:rFonts w:hint="eastAsia" w:ascii="宋体" w:hAnsi="宋体" w:cs="宋体"/>
          <w:bCs/>
          <w:color w:val="auto"/>
          <w:szCs w:val="21"/>
        </w:rPr>
        <w:t>8.</w:t>
      </w:r>
      <w:r>
        <w:rPr>
          <w:rFonts w:hint="eastAsia" w:ascii="宋体" w:hAnsi="宋体" w:cs="宋体"/>
          <w:bCs/>
          <w:color w:val="auto"/>
          <w:szCs w:val="21"/>
          <w:lang w:val="en-US" w:eastAsia="zh-CN"/>
        </w:rPr>
        <w:t>3</w:t>
      </w:r>
      <w:r>
        <w:rPr>
          <w:rFonts w:hint="eastAsia" w:ascii="宋体" w:hAnsi="宋体" w:cs="宋体"/>
          <w:bCs/>
          <w:color w:val="auto"/>
          <w:szCs w:val="21"/>
          <w:lang w:eastAsia="zh-CN"/>
        </w:rPr>
        <w:t>投标人</w:t>
      </w:r>
      <w:r>
        <w:rPr>
          <w:rFonts w:hint="eastAsia" w:ascii="宋体" w:hAnsi="宋体" w:cs="宋体"/>
          <w:bCs/>
          <w:color w:val="auto"/>
          <w:szCs w:val="21"/>
        </w:rPr>
        <w:t>应仔细阅读招标文件的所有内容，按照招标文件的要求提交响应文件，并对所提供的全部资料的真实性承担法律责任。</w:t>
      </w:r>
    </w:p>
    <w:p w14:paraId="3A1F05F2">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bCs/>
          <w:color w:val="auto"/>
          <w:szCs w:val="21"/>
        </w:rPr>
      </w:pPr>
      <w:r>
        <w:rPr>
          <w:rFonts w:hint="eastAsia" w:ascii="宋体" w:hAnsi="宋体" w:cs="宋体"/>
          <w:bCs/>
          <w:color w:val="auto"/>
          <w:szCs w:val="21"/>
        </w:rPr>
        <w:t>8.</w:t>
      </w:r>
      <w:r>
        <w:rPr>
          <w:rFonts w:hint="eastAsia" w:ascii="宋体" w:hAnsi="宋体" w:cs="宋体"/>
          <w:bCs/>
          <w:color w:val="auto"/>
          <w:szCs w:val="21"/>
          <w:lang w:val="en-US" w:eastAsia="zh-CN"/>
        </w:rPr>
        <w:t>4</w:t>
      </w:r>
      <w:r>
        <w:rPr>
          <w:rFonts w:hint="eastAsia" w:ascii="宋体" w:hAnsi="宋体" w:cs="宋体"/>
          <w:bCs/>
          <w:color w:val="auto"/>
          <w:szCs w:val="21"/>
          <w:lang w:eastAsia="zh-CN"/>
        </w:rPr>
        <w:t>投标人</w:t>
      </w:r>
      <w:r>
        <w:rPr>
          <w:rFonts w:hint="eastAsia" w:ascii="宋体" w:hAnsi="宋体" w:cs="宋体"/>
          <w:bCs/>
          <w:color w:val="auto"/>
          <w:szCs w:val="21"/>
        </w:rPr>
        <w:t>在竞标活动中提供任何疑似虚假材料，将报监管部门查处；签订合同后发现的，成交</w:t>
      </w:r>
      <w:r>
        <w:rPr>
          <w:rFonts w:hint="eastAsia" w:ascii="宋体" w:hAnsi="宋体" w:cs="宋体"/>
          <w:bCs/>
          <w:color w:val="auto"/>
          <w:szCs w:val="21"/>
          <w:lang w:eastAsia="zh-CN"/>
        </w:rPr>
        <w:t>投标人</w:t>
      </w:r>
      <w:r>
        <w:rPr>
          <w:rFonts w:hint="eastAsia" w:ascii="宋体" w:hAnsi="宋体" w:cs="宋体"/>
          <w:bCs/>
          <w:color w:val="auto"/>
          <w:szCs w:val="21"/>
        </w:rPr>
        <w:t>须依照《中华人民共和国消费者权益保护法》规定赔偿采购人，且民事赔偿并不免除违法</w:t>
      </w:r>
      <w:r>
        <w:rPr>
          <w:rFonts w:hint="eastAsia" w:ascii="宋体" w:hAnsi="宋体" w:cs="宋体"/>
          <w:bCs/>
          <w:color w:val="auto"/>
          <w:szCs w:val="21"/>
          <w:lang w:eastAsia="zh-CN"/>
        </w:rPr>
        <w:t>投标人</w:t>
      </w:r>
      <w:r>
        <w:rPr>
          <w:rFonts w:hint="eastAsia" w:ascii="宋体" w:hAnsi="宋体" w:cs="宋体"/>
          <w:bCs/>
          <w:color w:val="auto"/>
          <w:szCs w:val="21"/>
        </w:rPr>
        <w:t>的行政与刑事责任。</w:t>
      </w:r>
    </w:p>
    <w:p w14:paraId="58CD4C21">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auto"/>
          <w:szCs w:val="21"/>
          <w:lang w:val="en-US" w:eastAsia="zh-CN"/>
        </w:rPr>
      </w:pPr>
      <w:bookmarkStart w:id="95" w:name="_Toc3779"/>
      <w:r>
        <w:rPr>
          <w:rFonts w:hint="eastAsia" w:ascii="宋体" w:hAnsi="宋体" w:cs="宋体"/>
          <w:b/>
          <w:bCs/>
          <w:color w:val="auto"/>
          <w:szCs w:val="21"/>
        </w:rPr>
        <w:t>9.回避与串通</w:t>
      </w:r>
      <w:bookmarkEnd w:id="95"/>
      <w:r>
        <w:rPr>
          <w:rFonts w:hint="eastAsia" w:ascii="宋体" w:hAnsi="宋体" w:cs="宋体"/>
          <w:b/>
          <w:bCs/>
          <w:color w:val="auto"/>
          <w:szCs w:val="21"/>
          <w:lang w:val="en-US" w:eastAsia="zh-CN"/>
        </w:rPr>
        <w:t>投标</w:t>
      </w:r>
    </w:p>
    <w:p w14:paraId="0634CC84">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bCs/>
          <w:color w:val="auto"/>
          <w:szCs w:val="21"/>
        </w:rPr>
      </w:pPr>
      <w:r>
        <w:rPr>
          <w:rFonts w:hint="eastAsia" w:ascii="宋体" w:hAnsi="宋体" w:cs="宋体"/>
          <w:bCs/>
          <w:color w:val="auto"/>
          <w:szCs w:val="21"/>
        </w:rPr>
        <w:t>9.1在政府采购活动中，采购人员及相关人员与</w:t>
      </w:r>
      <w:r>
        <w:rPr>
          <w:rFonts w:hint="eastAsia" w:ascii="宋体" w:hAnsi="宋体" w:cs="宋体"/>
          <w:bCs/>
          <w:color w:val="auto"/>
          <w:szCs w:val="21"/>
          <w:lang w:eastAsia="zh-CN"/>
        </w:rPr>
        <w:t>投标人</w:t>
      </w:r>
      <w:r>
        <w:rPr>
          <w:rFonts w:hint="eastAsia" w:ascii="宋体" w:hAnsi="宋体" w:cs="宋体"/>
          <w:bCs/>
          <w:color w:val="auto"/>
          <w:szCs w:val="21"/>
        </w:rPr>
        <w:t>有下列利害关系之一的，应当回避：</w:t>
      </w:r>
    </w:p>
    <w:p w14:paraId="68E919E8">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zCs w:val="21"/>
        </w:rPr>
      </w:pPr>
      <w:r>
        <w:rPr>
          <w:rFonts w:hint="eastAsia" w:ascii="宋体" w:hAnsi="宋体" w:cs="宋体"/>
          <w:color w:val="auto"/>
          <w:szCs w:val="21"/>
        </w:rPr>
        <w:t>（1）参加采购活动前3年内与</w:t>
      </w:r>
      <w:r>
        <w:rPr>
          <w:rFonts w:hint="eastAsia" w:ascii="宋体" w:hAnsi="宋体" w:cs="宋体"/>
          <w:color w:val="auto"/>
          <w:szCs w:val="21"/>
          <w:lang w:eastAsia="zh-CN"/>
        </w:rPr>
        <w:t>投标人</w:t>
      </w:r>
      <w:r>
        <w:rPr>
          <w:rFonts w:hint="eastAsia" w:ascii="宋体" w:hAnsi="宋体" w:cs="宋体"/>
          <w:color w:val="auto"/>
          <w:szCs w:val="21"/>
        </w:rPr>
        <w:t>存在劳动关系；</w:t>
      </w:r>
    </w:p>
    <w:p w14:paraId="4503E37B">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zCs w:val="21"/>
        </w:rPr>
      </w:pPr>
      <w:r>
        <w:rPr>
          <w:rFonts w:hint="eastAsia" w:ascii="宋体" w:hAnsi="宋体" w:cs="宋体"/>
          <w:color w:val="auto"/>
          <w:szCs w:val="21"/>
        </w:rPr>
        <w:t>（2）参加采购活动前3年内担任</w:t>
      </w:r>
      <w:r>
        <w:rPr>
          <w:rFonts w:hint="eastAsia" w:ascii="宋体" w:hAnsi="宋体" w:cs="宋体"/>
          <w:color w:val="auto"/>
          <w:szCs w:val="21"/>
          <w:lang w:eastAsia="zh-CN"/>
        </w:rPr>
        <w:t>投标人</w:t>
      </w:r>
      <w:r>
        <w:rPr>
          <w:rFonts w:hint="eastAsia" w:ascii="宋体" w:hAnsi="宋体" w:cs="宋体"/>
          <w:color w:val="auto"/>
          <w:szCs w:val="21"/>
        </w:rPr>
        <w:t>的董事、监事；</w:t>
      </w:r>
    </w:p>
    <w:p w14:paraId="3E185F31">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zCs w:val="21"/>
        </w:rPr>
      </w:pPr>
      <w:r>
        <w:rPr>
          <w:rFonts w:hint="eastAsia" w:ascii="宋体" w:hAnsi="宋体" w:cs="宋体"/>
          <w:color w:val="auto"/>
          <w:szCs w:val="21"/>
        </w:rPr>
        <w:t>（3）参加采购活动前3年内是</w:t>
      </w:r>
      <w:r>
        <w:rPr>
          <w:rFonts w:hint="eastAsia" w:ascii="宋体" w:hAnsi="宋体" w:cs="宋体"/>
          <w:color w:val="auto"/>
          <w:szCs w:val="21"/>
          <w:lang w:eastAsia="zh-CN"/>
        </w:rPr>
        <w:t>投标人</w:t>
      </w:r>
      <w:r>
        <w:rPr>
          <w:rFonts w:hint="eastAsia" w:ascii="宋体" w:hAnsi="宋体" w:cs="宋体"/>
          <w:color w:val="auto"/>
          <w:szCs w:val="21"/>
        </w:rPr>
        <w:t>的控股股东或者实际控制人；</w:t>
      </w:r>
    </w:p>
    <w:p w14:paraId="778EEBB5">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zCs w:val="21"/>
        </w:rPr>
      </w:pPr>
      <w:r>
        <w:rPr>
          <w:rFonts w:hint="eastAsia" w:ascii="宋体" w:hAnsi="宋体" w:cs="宋体"/>
          <w:color w:val="auto"/>
          <w:szCs w:val="21"/>
        </w:rPr>
        <w:t>（4）与</w:t>
      </w:r>
      <w:r>
        <w:rPr>
          <w:rFonts w:hint="eastAsia" w:ascii="宋体" w:hAnsi="宋体" w:cs="宋体"/>
          <w:color w:val="auto"/>
          <w:szCs w:val="21"/>
          <w:lang w:eastAsia="zh-CN"/>
        </w:rPr>
        <w:t>投标人</w:t>
      </w:r>
      <w:r>
        <w:rPr>
          <w:rFonts w:hint="eastAsia" w:ascii="宋体" w:hAnsi="宋体" w:cs="宋体"/>
          <w:color w:val="auto"/>
          <w:szCs w:val="21"/>
        </w:rPr>
        <w:t>的法定代表人或者负责人有夫妻、直系血亲、三代以内旁系血亲或者近姻亲关系；</w:t>
      </w:r>
    </w:p>
    <w:p w14:paraId="2E9DD1CB">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zCs w:val="21"/>
        </w:rPr>
      </w:pPr>
      <w:r>
        <w:rPr>
          <w:rFonts w:hint="eastAsia" w:ascii="宋体" w:hAnsi="宋体" w:cs="宋体"/>
          <w:color w:val="auto"/>
          <w:szCs w:val="21"/>
        </w:rPr>
        <w:t>（5）与</w:t>
      </w:r>
      <w:r>
        <w:rPr>
          <w:rFonts w:hint="eastAsia" w:ascii="宋体" w:hAnsi="宋体" w:cs="宋体"/>
          <w:color w:val="auto"/>
          <w:szCs w:val="21"/>
          <w:lang w:eastAsia="zh-CN"/>
        </w:rPr>
        <w:t>投标人</w:t>
      </w:r>
      <w:r>
        <w:rPr>
          <w:rFonts w:hint="eastAsia" w:ascii="宋体" w:hAnsi="宋体" w:cs="宋体"/>
          <w:color w:val="auto"/>
          <w:szCs w:val="21"/>
        </w:rPr>
        <w:t>有其他可能影响政府采购活动公平、公正进行的关系。</w:t>
      </w:r>
    </w:p>
    <w:p w14:paraId="0D8437A4">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zCs w:val="21"/>
        </w:rPr>
      </w:pPr>
      <w:r>
        <w:rPr>
          <w:rFonts w:hint="eastAsia" w:ascii="宋体" w:hAnsi="宋体" w:cs="宋体"/>
          <w:color w:val="auto"/>
          <w:szCs w:val="21"/>
          <w:lang w:eastAsia="zh-CN"/>
        </w:rPr>
        <w:t>投标人</w:t>
      </w:r>
      <w:r>
        <w:rPr>
          <w:rFonts w:hint="eastAsia" w:ascii="宋体" w:hAnsi="宋体" w:cs="宋体"/>
          <w:color w:val="auto"/>
          <w:szCs w:val="21"/>
        </w:rPr>
        <w:t>认为采购人员及相关人员与其他</w:t>
      </w:r>
      <w:r>
        <w:rPr>
          <w:rFonts w:hint="eastAsia" w:ascii="宋体" w:hAnsi="宋体" w:cs="宋体"/>
          <w:color w:val="auto"/>
          <w:szCs w:val="21"/>
          <w:lang w:eastAsia="zh-CN"/>
        </w:rPr>
        <w:t>投标人</w:t>
      </w:r>
      <w:r>
        <w:rPr>
          <w:rFonts w:hint="eastAsia" w:ascii="宋体" w:hAnsi="宋体" w:cs="宋体"/>
          <w:color w:val="auto"/>
          <w:szCs w:val="21"/>
        </w:rPr>
        <w:t>有利害关系的，可以向采购人或者采购代理机构书面提出回避申请，并说明理由。采购人或者采购代理机构应当及时询问被申请回避人员，有利害关系的被申请回避人员应当回避。</w:t>
      </w:r>
    </w:p>
    <w:p w14:paraId="3FCADC73">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ascii="宋体" w:hAnsi="宋体" w:cs="宋体"/>
          <w:b/>
          <w:bCs/>
          <w:color w:val="auto"/>
          <w:szCs w:val="21"/>
        </w:rPr>
      </w:pPr>
      <w:r>
        <w:rPr>
          <w:rFonts w:hint="eastAsia" w:ascii="宋体" w:hAnsi="宋体" w:cs="宋体"/>
          <w:b/>
          <w:bCs/>
          <w:color w:val="auto"/>
          <w:szCs w:val="21"/>
        </w:rPr>
        <w:t>9.2有下列情形之一的视为</w:t>
      </w:r>
      <w:r>
        <w:rPr>
          <w:rFonts w:hint="eastAsia" w:ascii="宋体" w:hAnsi="宋体" w:cs="宋体"/>
          <w:b/>
          <w:bCs/>
          <w:color w:val="auto"/>
          <w:szCs w:val="21"/>
          <w:lang w:eastAsia="zh-CN"/>
        </w:rPr>
        <w:t>投标人</w:t>
      </w:r>
      <w:r>
        <w:rPr>
          <w:rFonts w:hint="eastAsia" w:ascii="宋体" w:hAnsi="宋体" w:cs="宋体"/>
          <w:b/>
          <w:bCs/>
          <w:color w:val="auto"/>
          <w:szCs w:val="21"/>
        </w:rPr>
        <w:t>相互串通响应，响应文件将被视为无效：</w:t>
      </w:r>
    </w:p>
    <w:p w14:paraId="48AA2DE4">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ascii="宋体" w:hAnsi="宋体" w:cs="宋体"/>
          <w:b/>
          <w:bCs/>
          <w:color w:val="auto"/>
          <w:szCs w:val="21"/>
        </w:rPr>
      </w:pPr>
      <w:r>
        <w:rPr>
          <w:rFonts w:hint="eastAsia" w:ascii="宋体" w:hAnsi="宋体" w:cs="宋体"/>
          <w:b/>
          <w:bCs/>
          <w:color w:val="auto"/>
          <w:szCs w:val="21"/>
        </w:rPr>
        <w:t>（1）不同</w:t>
      </w:r>
      <w:r>
        <w:rPr>
          <w:rFonts w:hint="eastAsia" w:ascii="宋体" w:hAnsi="宋体" w:cs="宋体"/>
          <w:b/>
          <w:bCs/>
          <w:color w:val="auto"/>
          <w:szCs w:val="21"/>
          <w:lang w:eastAsia="zh-CN"/>
        </w:rPr>
        <w:t>投标人</w:t>
      </w:r>
      <w:r>
        <w:rPr>
          <w:rFonts w:hint="eastAsia" w:ascii="宋体" w:hAnsi="宋体" w:cs="宋体"/>
          <w:b/>
          <w:bCs/>
          <w:color w:val="auto"/>
          <w:szCs w:val="21"/>
        </w:rPr>
        <w:t>的响应文件由同一单位或者个人编制；或者不同</w:t>
      </w:r>
      <w:r>
        <w:rPr>
          <w:rFonts w:hint="eastAsia" w:ascii="宋体" w:hAnsi="宋体" w:cs="宋体"/>
          <w:b/>
          <w:bCs/>
          <w:color w:val="auto"/>
          <w:szCs w:val="21"/>
          <w:lang w:eastAsia="zh-CN"/>
        </w:rPr>
        <w:t>投标人</w:t>
      </w:r>
      <w:r>
        <w:rPr>
          <w:rFonts w:hint="eastAsia" w:ascii="宋体" w:hAnsi="宋体" w:cs="宋体"/>
          <w:b/>
          <w:bCs/>
          <w:color w:val="auto"/>
          <w:szCs w:val="21"/>
        </w:rPr>
        <w:t>报名的IP地址一致的；</w:t>
      </w:r>
    </w:p>
    <w:p w14:paraId="5B2A6A8C">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ascii="宋体" w:hAnsi="宋体" w:cs="宋体"/>
          <w:b/>
          <w:bCs/>
          <w:color w:val="auto"/>
          <w:szCs w:val="21"/>
        </w:rPr>
      </w:pPr>
      <w:r>
        <w:rPr>
          <w:rFonts w:hint="eastAsia" w:ascii="宋体" w:hAnsi="宋体" w:cs="宋体"/>
          <w:b/>
          <w:bCs/>
          <w:color w:val="auto"/>
          <w:szCs w:val="21"/>
        </w:rPr>
        <w:t>（2）不同</w:t>
      </w:r>
      <w:r>
        <w:rPr>
          <w:rFonts w:hint="eastAsia" w:ascii="宋体" w:hAnsi="宋体" w:cs="宋体"/>
          <w:b/>
          <w:bCs/>
          <w:color w:val="auto"/>
          <w:szCs w:val="21"/>
          <w:lang w:eastAsia="zh-CN"/>
        </w:rPr>
        <w:t>投标人</w:t>
      </w:r>
      <w:r>
        <w:rPr>
          <w:rFonts w:hint="eastAsia" w:ascii="宋体" w:hAnsi="宋体" w:cs="宋体"/>
          <w:b/>
          <w:bCs/>
          <w:color w:val="auto"/>
          <w:szCs w:val="21"/>
        </w:rPr>
        <w:t>委托同一单位或者个人办理竞标事宜；</w:t>
      </w:r>
    </w:p>
    <w:p w14:paraId="53C17921">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ascii="宋体" w:hAnsi="宋体" w:cs="宋体"/>
          <w:b/>
          <w:bCs/>
          <w:color w:val="auto"/>
          <w:szCs w:val="21"/>
        </w:rPr>
      </w:pPr>
      <w:r>
        <w:rPr>
          <w:rFonts w:hint="eastAsia" w:ascii="宋体" w:hAnsi="宋体" w:cs="宋体"/>
          <w:b/>
          <w:bCs/>
          <w:color w:val="auto"/>
          <w:szCs w:val="21"/>
        </w:rPr>
        <w:t>（3）不同的</w:t>
      </w:r>
      <w:r>
        <w:rPr>
          <w:rFonts w:hint="eastAsia" w:ascii="宋体" w:hAnsi="宋体" w:cs="宋体"/>
          <w:b/>
          <w:bCs/>
          <w:color w:val="auto"/>
          <w:szCs w:val="21"/>
          <w:lang w:eastAsia="zh-CN"/>
        </w:rPr>
        <w:t>投标人</w:t>
      </w:r>
      <w:r>
        <w:rPr>
          <w:rFonts w:hint="eastAsia" w:ascii="宋体" w:hAnsi="宋体" w:cs="宋体"/>
          <w:b/>
          <w:bCs/>
          <w:color w:val="auto"/>
          <w:szCs w:val="21"/>
        </w:rPr>
        <w:t>的响应文件载明的项目管理员为同一个人；</w:t>
      </w:r>
    </w:p>
    <w:p w14:paraId="66DD5F30">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ascii="宋体" w:hAnsi="宋体" w:cs="宋体"/>
          <w:b/>
          <w:bCs/>
          <w:color w:val="auto"/>
          <w:szCs w:val="21"/>
        </w:rPr>
      </w:pPr>
      <w:r>
        <w:rPr>
          <w:rFonts w:hint="eastAsia" w:ascii="宋体" w:hAnsi="宋体" w:cs="宋体"/>
          <w:b/>
          <w:bCs/>
          <w:color w:val="auto"/>
          <w:szCs w:val="21"/>
        </w:rPr>
        <w:t>（4）不同</w:t>
      </w:r>
      <w:r>
        <w:rPr>
          <w:rFonts w:hint="eastAsia" w:ascii="宋体" w:hAnsi="宋体" w:cs="宋体"/>
          <w:b/>
          <w:bCs/>
          <w:color w:val="auto"/>
          <w:szCs w:val="21"/>
          <w:lang w:eastAsia="zh-CN"/>
        </w:rPr>
        <w:t>投标人</w:t>
      </w:r>
      <w:r>
        <w:rPr>
          <w:rFonts w:hint="eastAsia" w:ascii="宋体" w:hAnsi="宋体" w:cs="宋体"/>
          <w:b/>
          <w:bCs/>
          <w:color w:val="auto"/>
          <w:szCs w:val="21"/>
        </w:rPr>
        <w:t>的电子或纸质响应文件异常一致或者响应报价呈规律性差异；</w:t>
      </w:r>
    </w:p>
    <w:p w14:paraId="0A93D91B">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ascii="宋体" w:hAnsi="宋体" w:cs="宋体"/>
          <w:b/>
          <w:bCs/>
          <w:color w:val="auto"/>
          <w:szCs w:val="21"/>
        </w:rPr>
      </w:pPr>
      <w:r>
        <w:rPr>
          <w:rFonts w:hint="eastAsia" w:ascii="宋体" w:hAnsi="宋体" w:cs="宋体"/>
          <w:b/>
          <w:bCs/>
          <w:color w:val="auto"/>
          <w:szCs w:val="21"/>
        </w:rPr>
        <w:t>（5）不同</w:t>
      </w:r>
      <w:r>
        <w:rPr>
          <w:rFonts w:hint="eastAsia" w:ascii="宋体" w:hAnsi="宋体" w:cs="宋体"/>
          <w:b/>
          <w:bCs/>
          <w:color w:val="auto"/>
          <w:szCs w:val="21"/>
          <w:lang w:eastAsia="zh-CN"/>
        </w:rPr>
        <w:t>投标人</w:t>
      </w:r>
      <w:r>
        <w:rPr>
          <w:rFonts w:hint="eastAsia" w:ascii="宋体" w:hAnsi="宋体" w:cs="宋体"/>
          <w:b/>
          <w:bCs/>
          <w:color w:val="auto"/>
          <w:szCs w:val="21"/>
        </w:rPr>
        <w:t>的纸质响应文件相互混装；</w:t>
      </w:r>
    </w:p>
    <w:p w14:paraId="57A5C979">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ascii="宋体" w:hAnsi="宋体" w:cs="宋体"/>
          <w:b/>
          <w:bCs/>
          <w:color w:val="auto"/>
          <w:szCs w:val="21"/>
        </w:rPr>
      </w:pPr>
      <w:r>
        <w:rPr>
          <w:rFonts w:hint="eastAsia" w:ascii="宋体" w:hAnsi="宋体" w:cs="宋体"/>
          <w:b/>
          <w:bCs/>
          <w:color w:val="auto"/>
          <w:szCs w:val="21"/>
        </w:rPr>
        <w:t>（6）不同</w:t>
      </w:r>
      <w:r>
        <w:rPr>
          <w:rFonts w:hint="eastAsia" w:ascii="宋体" w:hAnsi="宋体" w:cs="宋体"/>
          <w:b/>
          <w:bCs/>
          <w:color w:val="auto"/>
          <w:szCs w:val="21"/>
          <w:lang w:eastAsia="zh-CN"/>
        </w:rPr>
        <w:t>投标人</w:t>
      </w:r>
      <w:r>
        <w:rPr>
          <w:rFonts w:hint="eastAsia" w:ascii="宋体" w:hAnsi="宋体" w:cs="宋体"/>
          <w:b/>
          <w:bCs/>
          <w:color w:val="auto"/>
          <w:szCs w:val="21"/>
        </w:rPr>
        <w:t>的投标保证金从同一单位或者个人账户转出。</w:t>
      </w:r>
    </w:p>
    <w:p w14:paraId="2C280AF1">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zCs w:val="21"/>
        </w:rPr>
      </w:pPr>
      <w:r>
        <w:rPr>
          <w:rFonts w:hint="eastAsia" w:ascii="宋体" w:hAnsi="宋体" w:cs="宋体"/>
          <w:color w:val="auto"/>
          <w:szCs w:val="21"/>
        </w:rPr>
        <w:t>9.3</w:t>
      </w:r>
      <w:r>
        <w:rPr>
          <w:rFonts w:hint="eastAsia" w:ascii="宋体" w:hAnsi="宋体" w:cs="宋体"/>
          <w:color w:val="auto"/>
          <w:szCs w:val="21"/>
          <w:lang w:eastAsia="zh-CN"/>
        </w:rPr>
        <w:t>投标人</w:t>
      </w:r>
      <w:r>
        <w:rPr>
          <w:rFonts w:hint="eastAsia" w:ascii="宋体" w:hAnsi="宋体" w:cs="宋体"/>
          <w:color w:val="auto"/>
          <w:szCs w:val="21"/>
        </w:rPr>
        <w:t>有下列情形之一的，属于恶意串通行为，将报同级监督管理部门：</w:t>
      </w:r>
    </w:p>
    <w:p w14:paraId="5282688C">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eastAsia="zh-CN"/>
        </w:rPr>
        <w:t>投标人</w:t>
      </w:r>
      <w:r>
        <w:rPr>
          <w:rFonts w:hint="eastAsia" w:ascii="宋体" w:hAnsi="宋体" w:cs="宋体"/>
          <w:color w:val="auto"/>
          <w:szCs w:val="21"/>
        </w:rPr>
        <w:t>直接或者间接从采购人或者采购代理机构处获得其他</w:t>
      </w:r>
      <w:r>
        <w:rPr>
          <w:rFonts w:hint="eastAsia" w:ascii="宋体" w:hAnsi="宋体" w:cs="宋体"/>
          <w:color w:val="auto"/>
          <w:szCs w:val="21"/>
          <w:lang w:eastAsia="zh-CN"/>
        </w:rPr>
        <w:t>投标人</w:t>
      </w:r>
      <w:r>
        <w:rPr>
          <w:rFonts w:hint="eastAsia" w:ascii="宋体" w:hAnsi="宋体" w:cs="宋体"/>
          <w:color w:val="auto"/>
          <w:szCs w:val="21"/>
        </w:rPr>
        <w:t>的相关信息并修改其响应文件；</w:t>
      </w:r>
    </w:p>
    <w:p w14:paraId="2257987D">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eastAsia="zh-CN"/>
        </w:rPr>
        <w:t>投标人</w:t>
      </w:r>
      <w:r>
        <w:rPr>
          <w:rFonts w:hint="eastAsia" w:ascii="宋体" w:hAnsi="宋体" w:cs="宋体"/>
          <w:color w:val="auto"/>
          <w:szCs w:val="21"/>
        </w:rPr>
        <w:t>按照采购人或者采购代理机构的授意撤换、修改投标文件或者响应文件；</w:t>
      </w:r>
    </w:p>
    <w:p w14:paraId="3373871D">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lang w:eastAsia="zh-CN"/>
        </w:rPr>
        <w:t>投标人</w:t>
      </w:r>
      <w:r>
        <w:rPr>
          <w:rFonts w:hint="eastAsia" w:ascii="宋体" w:hAnsi="宋体" w:cs="宋体"/>
          <w:color w:val="auto"/>
          <w:szCs w:val="21"/>
        </w:rPr>
        <w:t>之间协商报价、技术方案等响应文件或者响应文件的实质性内容；</w:t>
      </w:r>
    </w:p>
    <w:p w14:paraId="69202A8D">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zCs w:val="21"/>
        </w:rPr>
      </w:pPr>
      <w:r>
        <w:rPr>
          <w:rFonts w:hint="eastAsia" w:ascii="宋体" w:hAnsi="宋体" w:cs="宋体"/>
          <w:color w:val="auto"/>
          <w:szCs w:val="21"/>
        </w:rPr>
        <w:t>（4）属于同一集团、协会、商会等组织成员的</w:t>
      </w:r>
      <w:r>
        <w:rPr>
          <w:rFonts w:hint="eastAsia" w:ascii="宋体" w:hAnsi="宋体" w:cs="宋体"/>
          <w:color w:val="auto"/>
          <w:szCs w:val="21"/>
          <w:lang w:eastAsia="zh-CN"/>
        </w:rPr>
        <w:t>投标人</w:t>
      </w:r>
      <w:r>
        <w:rPr>
          <w:rFonts w:hint="eastAsia" w:ascii="宋体" w:hAnsi="宋体" w:cs="宋体"/>
          <w:color w:val="auto"/>
          <w:szCs w:val="21"/>
        </w:rPr>
        <w:t>按照该组织要求协同参加政府采购活动；</w:t>
      </w:r>
    </w:p>
    <w:p w14:paraId="67A7341C">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zCs w:val="21"/>
        </w:rPr>
      </w:pPr>
      <w:r>
        <w:rPr>
          <w:rFonts w:hint="eastAsia" w:ascii="宋体" w:hAnsi="宋体" w:cs="宋体"/>
          <w:color w:val="auto"/>
          <w:szCs w:val="21"/>
        </w:rPr>
        <w:t>（5）</w:t>
      </w:r>
      <w:r>
        <w:rPr>
          <w:rFonts w:hint="eastAsia" w:ascii="宋体" w:hAnsi="宋体" w:cs="宋体"/>
          <w:color w:val="auto"/>
          <w:szCs w:val="21"/>
          <w:lang w:eastAsia="zh-CN"/>
        </w:rPr>
        <w:t>投标人</w:t>
      </w:r>
      <w:r>
        <w:rPr>
          <w:rFonts w:hint="eastAsia" w:ascii="宋体" w:hAnsi="宋体" w:cs="宋体"/>
          <w:color w:val="auto"/>
          <w:szCs w:val="21"/>
        </w:rPr>
        <w:t>之间事先约定一致抬高或者压低报价，或者在政府采购活动中事先约定轮流以高价位或者低价位成交，或者事先约定由某一特定</w:t>
      </w:r>
      <w:r>
        <w:rPr>
          <w:rFonts w:hint="eastAsia" w:ascii="宋体" w:hAnsi="宋体" w:cs="宋体"/>
          <w:color w:val="auto"/>
          <w:szCs w:val="21"/>
          <w:lang w:eastAsia="zh-CN"/>
        </w:rPr>
        <w:t>投标人</w:t>
      </w:r>
      <w:r>
        <w:rPr>
          <w:rFonts w:hint="eastAsia" w:ascii="宋体" w:hAnsi="宋体" w:cs="宋体"/>
          <w:color w:val="auto"/>
          <w:szCs w:val="21"/>
        </w:rPr>
        <w:t>成交，然后再参加竞标；</w:t>
      </w:r>
    </w:p>
    <w:p w14:paraId="201FA15C">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zCs w:val="21"/>
        </w:rPr>
      </w:pPr>
      <w:r>
        <w:rPr>
          <w:rFonts w:hint="eastAsia" w:ascii="宋体" w:hAnsi="宋体" w:cs="宋体"/>
          <w:color w:val="auto"/>
          <w:szCs w:val="21"/>
        </w:rPr>
        <w:t>（6）</w:t>
      </w:r>
      <w:r>
        <w:rPr>
          <w:rFonts w:hint="eastAsia" w:ascii="宋体" w:hAnsi="宋体" w:cs="宋体"/>
          <w:color w:val="auto"/>
          <w:szCs w:val="21"/>
          <w:lang w:eastAsia="zh-CN"/>
        </w:rPr>
        <w:t>投标人</w:t>
      </w:r>
      <w:r>
        <w:rPr>
          <w:rFonts w:hint="eastAsia" w:ascii="宋体" w:hAnsi="宋体" w:cs="宋体"/>
          <w:color w:val="auto"/>
          <w:szCs w:val="21"/>
        </w:rPr>
        <w:t>之间商定部分</w:t>
      </w:r>
      <w:r>
        <w:rPr>
          <w:rFonts w:hint="eastAsia" w:ascii="宋体" w:hAnsi="宋体" w:cs="宋体"/>
          <w:color w:val="auto"/>
          <w:szCs w:val="21"/>
          <w:lang w:eastAsia="zh-CN"/>
        </w:rPr>
        <w:t>投标人</w:t>
      </w:r>
      <w:r>
        <w:rPr>
          <w:rFonts w:hint="eastAsia" w:ascii="宋体" w:hAnsi="宋体" w:cs="宋体"/>
          <w:color w:val="auto"/>
          <w:szCs w:val="21"/>
        </w:rPr>
        <w:t>放弃参加政府采购活动或者放弃成交；</w:t>
      </w:r>
    </w:p>
    <w:p w14:paraId="23955BDA">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zCs w:val="21"/>
        </w:rPr>
      </w:pPr>
      <w:r>
        <w:rPr>
          <w:rFonts w:hint="eastAsia" w:ascii="宋体" w:hAnsi="宋体" w:cs="宋体"/>
          <w:color w:val="auto"/>
          <w:szCs w:val="21"/>
        </w:rPr>
        <w:t>（7）</w:t>
      </w:r>
      <w:r>
        <w:rPr>
          <w:rFonts w:hint="eastAsia" w:ascii="宋体" w:hAnsi="宋体" w:cs="宋体"/>
          <w:color w:val="auto"/>
          <w:szCs w:val="21"/>
          <w:lang w:eastAsia="zh-CN"/>
        </w:rPr>
        <w:t>投标人</w:t>
      </w:r>
      <w:r>
        <w:rPr>
          <w:rFonts w:hint="eastAsia" w:ascii="宋体" w:hAnsi="宋体" w:cs="宋体"/>
          <w:color w:val="auto"/>
          <w:szCs w:val="21"/>
        </w:rPr>
        <w:t>与采购人或者采购代理机构之间、</w:t>
      </w:r>
      <w:r>
        <w:rPr>
          <w:rFonts w:hint="eastAsia" w:ascii="宋体" w:hAnsi="宋体" w:cs="宋体"/>
          <w:color w:val="auto"/>
          <w:szCs w:val="21"/>
          <w:lang w:eastAsia="zh-CN"/>
        </w:rPr>
        <w:t>投标人</w:t>
      </w:r>
      <w:r>
        <w:rPr>
          <w:rFonts w:hint="eastAsia" w:ascii="宋体" w:hAnsi="宋体" w:cs="宋体"/>
          <w:color w:val="auto"/>
          <w:szCs w:val="21"/>
        </w:rPr>
        <w:t>相互之间，为谋求特定</w:t>
      </w:r>
      <w:r>
        <w:rPr>
          <w:rFonts w:hint="eastAsia" w:ascii="宋体" w:hAnsi="宋体" w:cs="宋体"/>
          <w:color w:val="auto"/>
          <w:szCs w:val="21"/>
          <w:lang w:eastAsia="zh-CN"/>
        </w:rPr>
        <w:t>投标人</w:t>
      </w:r>
      <w:r>
        <w:rPr>
          <w:rFonts w:hint="eastAsia" w:ascii="宋体" w:hAnsi="宋体" w:cs="宋体"/>
          <w:color w:val="auto"/>
          <w:szCs w:val="21"/>
        </w:rPr>
        <w:t>成交或者排斥其他</w:t>
      </w:r>
      <w:r>
        <w:rPr>
          <w:rFonts w:hint="eastAsia" w:ascii="宋体" w:hAnsi="宋体" w:cs="宋体"/>
          <w:color w:val="auto"/>
          <w:szCs w:val="21"/>
          <w:lang w:eastAsia="zh-CN"/>
        </w:rPr>
        <w:t>投标人</w:t>
      </w:r>
      <w:r>
        <w:rPr>
          <w:rFonts w:hint="eastAsia" w:ascii="宋体" w:hAnsi="宋体" w:cs="宋体"/>
          <w:color w:val="auto"/>
          <w:szCs w:val="21"/>
        </w:rPr>
        <w:t>的其他串通行为。</w:t>
      </w:r>
    </w:p>
    <w:p w14:paraId="3F2423F6">
      <w:pPr>
        <w:keepNext w:val="0"/>
        <w:keepLines w:val="0"/>
        <w:pageBreakBefore w:val="0"/>
        <w:widowControl w:val="0"/>
        <w:kinsoku/>
        <w:wordWrap/>
        <w:overflowPunct/>
        <w:topLinePunct w:val="0"/>
        <w:autoSpaceDE/>
        <w:autoSpaceDN/>
        <w:bidi w:val="0"/>
        <w:spacing w:line="360" w:lineRule="auto"/>
        <w:ind w:firstLine="422" w:firstLineChars="200"/>
        <w:jc w:val="center"/>
        <w:textAlignment w:val="auto"/>
        <w:rPr>
          <w:rFonts w:ascii="宋体" w:hAnsi="宋体" w:cs="宋体"/>
          <w:color w:val="auto"/>
          <w:szCs w:val="21"/>
        </w:rPr>
      </w:pPr>
      <w:bookmarkStart w:id="96" w:name="_Toc23932"/>
      <w:bookmarkStart w:id="97" w:name="_Toc254970675"/>
      <w:bookmarkStart w:id="98" w:name="_Toc8686"/>
      <w:bookmarkStart w:id="99" w:name="_Toc254970534"/>
      <w:bookmarkStart w:id="100" w:name="_Toc80092996"/>
      <w:bookmarkStart w:id="101" w:name="_Toc12795"/>
      <w:r>
        <w:rPr>
          <w:rFonts w:hint="eastAsia" w:ascii="宋体" w:hAnsi="宋体" w:cs="宋体"/>
          <w:b/>
          <w:bCs/>
          <w:color w:val="auto"/>
          <w:szCs w:val="21"/>
        </w:rPr>
        <w:t>二、</w:t>
      </w:r>
      <w:bookmarkEnd w:id="96"/>
      <w:bookmarkEnd w:id="97"/>
      <w:bookmarkEnd w:id="98"/>
      <w:bookmarkEnd w:id="99"/>
      <w:bookmarkEnd w:id="100"/>
      <w:bookmarkStart w:id="102" w:name="_Toc16933"/>
      <w:bookmarkStart w:id="103" w:name="_Toc24836"/>
      <w:r>
        <w:rPr>
          <w:rFonts w:hint="eastAsia" w:ascii="宋体" w:hAnsi="宋体" w:cs="宋体"/>
          <w:b/>
          <w:bCs/>
          <w:color w:val="auto"/>
          <w:szCs w:val="21"/>
        </w:rPr>
        <w:t>招标文件</w:t>
      </w:r>
      <w:bookmarkEnd w:id="101"/>
      <w:bookmarkEnd w:id="102"/>
      <w:bookmarkEnd w:id="103"/>
    </w:p>
    <w:p w14:paraId="2BCD5F18">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ascii="宋体" w:hAnsi="宋体" w:cs="宋体"/>
          <w:b/>
          <w:bCs/>
          <w:color w:val="auto"/>
          <w:szCs w:val="21"/>
        </w:rPr>
      </w:pPr>
      <w:bookmarkStart w:id="104" w:name="_Toc14171"/>
      <w:r>
        <w:rPr>
          <w:rFonts w:hint="eastAsia" w:ascii="宋体" w:hAnsi="宋体" w:cs="宋体"/>
          <w:b/>
          <w:bCs/>
          <w:color w:val="auto"/>
          <w:szCs w:val="21"/>
        </w:rPr>
        <w:t>10.招标文件的组成</w:t>
      </w:r>
      <w:bookmarkEnd w:id="104"/>
    </w:p>
    <w:p w14:paraId="7EA6C43D">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zCs w:val="21"/>
        </w:rPr>
      </w:pPr>
      <w:r>
        <w:rPr>
          <w:rFonts w:hint="eastAsia" w:ascii="宋体" w:hAnsi="宋体" w:cs="宋体"/>
          <w:color w:val="auto"/>
          <w:szCs w:val="21"/>
        </w:rPr>
        <w:t>（1）第一章 招标公告；</w:t>
      </w:r>
    </w:p>
    <w:p w14:paraId="39EBD3C3">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zCs w:val="21"/>
        </w:rPr>
      </w:pPr>
      <w:r>
        <w:rPr>
          <w:rFonts w:hint="eastAsia" w:ascii="宋体" w:hAnsi="宋体" w:cs="宋体"/>
          <w:color w:val="auto"/>
          <w:szCs w:val="21"/>
        </w:rPr>
        <w:t xml:space="preserve">（2）第二章 </w:t>
      </w:r>
      <w:r>
        <w:rPr>
          <w:rFonts w:hint="eastAsia" w:ascii="宋体" w:hAnsi="宋体" w:cs="宋体"/>
          <w:color w:val="auto"/>
          <w:szCs w:val="21"/>
          <w:lang w:val="en-US" w:eastAsia="zh-CN"/>
        </w:rPr>
        <w:t>采购需求</w:t>
      </w:r>
      <w:r>
        <w:rPr>
          <w:rFonts w:hint="eastAsia" w:ascii="宋体" w:hAnsi="宋体" w:cs="宋体"/>
          <w:color w:val="auto"/>
          <w:szCs w:val="21"/>
        </w:rPr>
        <w:t>；</w:t>
      </w:r>
    </w:p>
    <w:p w14:paraId="1AA0ED5A">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zCs w:val="21"/>
        </w:rPr>
      </w:pPr>
      <w:r>
        <w:rPr>
          <w:rFonts w:hint="eastAsia" w:ascii="宋体" w:hAnsi="宋体" w:cs="宋体"/>
          <w:color w:val="auto"/>
          <w:szCs w:val="21"/>
        </w:rPr>
        <w:t xml:space="preserve">（3）第三章 </w:t>
      </w:r>
      <w:r>
        <w:rPr>
          <w:rFonts w:hint="eastAsia" w:ascii="宋体" w:hAnsi="宋体" w:cs="宋体"/>
          <w:color w:val="auto"/>
          <w:szCs w:val="21"/>
          <w:lang w:val="en-US" w:eastAsia="zh-CN"/>
        </w:rPr>
        <w:t>投标人须知</w:t>
      </w:r>
      <w:r>
        <w:rPr>
          <w:rFonts w:hint="eastAsia" w:ascii="宋体" w:hAnsi="宋体" w:cs="宋体"/>
          <w:color w:val="auto"/>
          <w:szCs w:val="21"/>
        </w:rPr>
        <w:t>；</w:t>
      </w:r>
    </w:p>
    <w:p w14:paraId="64D1248F">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zCs w:val="21"/>
        </w:rPr>
      </w:pPr>
      <w:r>
        <w:rPr>
          <w:rFonts w:hint="eastAsia" w:ascii="宋体" w:hAnsi="宋体" w:cs="宋体"/>
          <w:color w:val="auto"/>
          <w:szCs w:val="21"/>
        </w:rPr>
        <w:t>（4）第四章 评审方法、评审程序和评审标准；</w:t>
      </w:r>
    </w:p>
    <w:p w14:paraId="2E7CF050">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zCs w:val="21"/>
        </w:rPr>
      </w:pPr>
      <w:r>
        <w:rPr>
          <w:rFonts w:hint="eastAsia" w:ascii="宋体" w:hAnsi="宋体" w:cs="宋体"/>
          <w:color w:val="auto"/>
          <w:szCs w:val="21"/>
        </w:rPr>
        <w:t xml:space="preserve">（5）第五章 </w:t>
      </w:r>
      <w:r>
        <w:rPr>
          <w:rFonts w:hint="eastAsia" w:ascii="宋体" w:hAnsi="宋体" w:cs="宋体"/>
          <w:color w:val="auto"/>
          <w:szCs w:val="21"/>
          <w:lang w:val="en-US" w:eastAsia="zh-CN"/>
        </w:rPr>
        <w:t>投标</w:t>
      </w:r>
      <w:r>
        <w:rPr>
          <w:rFonts w:hint="eastAsia" w:ascii="宋体" w:hAnsi="宋体" w:cs="宋体"/>
          <w:color w:val="auto"/>
          <w:szCs w:val="21"/>
        </w:rPr>
        <w:t>文件格式；</w:t>
      </w:r>
    </w:p>
    <w:p w14:paraId="5C5D586F">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zCs w:val="21"/>
        </w:rPr>
      </w:pPr>
      <w:r>
        <w:rPr>
          <w:rFonts w:hint="eastAsia" w:ascii="宋体" w:hAnsi="宋体" w:cs="宋体"/>
          <w:color w:val="auto"/>
          <w:szCs w:val="21"/>
        </w:rPr>
        <w:t xml:space="preserve">（6）第六章 </w:t>
      </w:r>
      <w:r>
        <w:rPr>
          <w:rFonts w:hint="eastAsia" w:ascii="宋体" w:hAnsi="宋体" w:cs="宋体"/>
          <w:color w:val="auto"/>
          <w:kern w:val="0"/>
          <w:szCs w:val="21"/>
        </w:rPr>
        <w:t>拟定的合同文本。</w:t>
      </w:r>
    </w:p>
    <w:p w14:paraId="5C516C32">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zCs w:val="21"/>
        </w:rPr>
      </w:pPr>
      <w:r>
        <w:rPr>
          <w:rFonts w:hint="eastAsia" w:ascii="宋体" w:hAnsi="宋体" w:cs="宋体"/>
          <w:color w:val="auto"/>
          <w:szCs w:val="21"/>
        </w:rPr>
        <w:t>根据本章第12项的规定对招标文件所作的澄清、修改，构成招标文件的组成部分。当公开招标文件与招标文件的澄清和修改就同一内容的表述不一致时，以最后澄清或修改公告为准。</w:t>
      </w:r>
    </w:p>
    <w:p w14:paraId="1BF31AC9">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ascii="宋体" w:hAnsi="宋体" w:cs="宋体"/>
          <w:b/>
          <w:bCs/>
          <w:color w:val="auto"/>
          <w:szCs w:val="21"/>
        </w:rPr>
      </w:pPr>
      <w:bookmarkStart w:id="105" w:name="_Toc24593"/>
      <w:r>
        <w:rPr>
          <w:rFonts w:hint="eastAsia" w:ascii="宋体" w:hAnsi="宋体" w:cs="宋体"/>
          <w:b/>
          <w:bCs/>
          <w:color w:val="auto"/>
          <w:szCs w:val="21"/>
        </w:rPr>
        <w:t>11.</w:t>
      </w:r>
      <w:bookmarkEnd w:id="105"/>
      <w:r>
        <w:rPr>
          <w:rFonts w:hint="eastAsia" w:ascii="宋体" w:hAnsi="宋体" w:cs="宋体"/>
          <w:b/>
          <w:bCs/>
          <w:color w:val="auto"/>
          <w:szCs w:val="21"/>
          <w:lang w:eastAsia="zh-CN"/>
        </w:rPr>
        <w:t>标文件的澄清、修改、现场考察和答疑会</w:t>
      </w:r>
    </w:p>
    <w:p w14:paraId="24F98A8C">
      <w:pPr>
        <w:keepNext w:val="0"/>
        <w:keepLines w:val="0"/>
        <w:pageBreakBefore w:val="0"/>
        <w:widowControl w:val="0"/>
        <w:kinsoku/>
        <w:wordWrap/>
        <w:overflowPunct/>
        <w:topLinePunct w:val="0"/>
        <w:autoSpaceDE/>
        <w:autoSpaceDN/>
        <w:bidi w:val="0"/>
        <w:spacing w:line="360" w:lineRule="auto"/>
        <w:ind w:firstLine="420" w:firstLineChars="200"/>
        <w:jc w:val="both"/>
        <w:textAlignment w:val="auto"/>
        <w:rPr>
          <w:rFonts w:hint="eastAsia" w:ascii="宋体" w:hAnsi="宋体" w:cs="宋体"/>
          <w:color w:val="auto"/>
          <w:szCs w:val="21"/>
          <w:lang w:val="en-US" w:eastAsia="zh-CN"/>
        </w:rPr>
      </w:pPr>
      <w:bookmarkStart w:id="106" w:name="_Toc27742"/>
      <w:bookmarkStart w:id="107" w:name="_Toc30559"/>
      <w:bookmarkStart w:id="108" w:name="_Toc254970676"/>
      <w:bookmarkStart w:id="109" w:name="_Toc254970535"/>
      <w:bookmarkStart w:id="110" w:name="_Toc80092997"/>
      <w:bookmarkStart w:id="111" w:name="_Toc4305"/>
      <w:r>
        <w:rPr>
          <w:rFonts w:hint="eastAsia" w:ascii="宋体" w:hAnsi="宋体" w:cs="宋体"/>
          <w:color w:val="auto"/>
          <w:szCs w:val="21"/>
          <w:lang w:val="en-US" w:eastAsia="zh-CN"/>
        </w:rPr>
        <w:t>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1A7D0C75">
      <w:pPr>
        <w:keepNext w:val="0"/>
        <w:keepLines w:val="0"/>
        <w:pageBreakBefore w:val="0"/>
        <w:widowControl w:val="0"/>
        <w:kinsoku/>
        <w:wordWrap/>
        <w:overflowPunct/>
        <w:topLinePunct w:val="0"/>
        <w:autoSpaceDE/>
        <w:autoSpaceDN/>
        <w:bidi w:val="0"/>
        <w:spacing w:line="360" w:lineRule="auto"/>
        <w:ind w:firstLine="420" w:firstLineChars="200"/>
        <w:jc w:val="both"/>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305F4CAC">
      <w:pPr>
        <w:keepNext w:val="0"/>
        <w:keepLines w:val="0"/>
        <w:pageBreakBefore w:val="0"/>
        <w:widowControl w:val="0"/>
        <w:kinsoku/>
        <w:wordWrap/>
        <w:overflowPunct/>
        <w:topLinePunct w:val="0"/>
        <w:autoSpaceDE/>
        <w:autoSpaceDN/>
        <w:bidi w:val="0"/>
        <w:spacing w:line="360" w:lineRule="auto"/>
        <w:ind w:firstLine="420" w:firstLineChars="200"/>
        <w:jc w:val="both"/>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11.2采购人或者采购代理机构可以在招标文件提供期限截止后，组织已获取招标文件的潜在投标人现场考察或者召开开标前答疑会，具体详见“投标人须知前附表”。</w:t>
      </w:r>
    </w:p>
    <w:p w14:paraId="1E6BF2E5">
      <w:pPr>
        <w:keepNext w:val="0"/>
        <w:keepLines w:val="0"/>
        <w:pageBreakBefore w:val="0"/>
        <w:widowControl w:val="0"/>
        <w:kinsoku/>
        <w:wordWrap/>
        <w:overflowPunct/>
        <w:topLinePunct w:val="0"/>
        <w:autoSpaceDE/>
        <w:autoSpaceDN/>
        <w:bidi w:val="0"/>
        <w:spacing w:line="360" w:lineRule="auto"/>
        <w:ind w:firstLine="420" w:firstLineChars="200"/>
        <w:jc w:val="both"/>
        <w:textAlignment w:val="auto"/>
        <w:rPr>
          <w:rFonts w:hint="eastAsia" w:ascii="宋体" w:hAnsi="宋体" w:cs="宋体"/>
          <w:color w:val="auto"/>
          <w:szCs w:val="21"/>
          <w:lang w:val="en-US" w:eastAsia="zh-CN"/>
        </w:rPr>
      </w:pPr>
    </w:p>
    <w:p w14:paraId="43FCDC85">
      <w:pPr>
        <w:keepNext w:val="0"/>
        <w:keepLines w:val="0"/>
        <w:pageBreakBefore w:val="0"/>
        <w:widowControl w:val="0"/>
        <w:kinsoku/>
        <w:wordWrap/>
        <w:overflowPunct/>
        <w:topLinePunct w:val="0"/>
        <w:autoSpaceDE/>
        <w:autoSpaceDN/>
        <w:bidi w:val="0"/>
        <w:spacing w:line="360" w:lineRule="auto"/>
        <w:ind w:firstLine="422" w:firstLineChars="200"/>
        <w:jc w:val="center"/>
        <w:textAlignment w:val="auto"/>
        <w:rPr>
          <w:rFonts w:ascii="宋体" w:hAnsi="宋体" w:cs="宋体"/>
          <w:b/>
          <w:bCs/>
          <w:color w:val="auto"/>
          <w:szCs w:val="21"/>
        </w:rPr>
      </w:pPr>
      <w:r>
        <w:rPr>
          <w:rFonts w:hint="eastAsia" w:ascii="宋体" w:hAnsi="宋体" w:cs="宋体"/>
          <w:b/>
          <w:bCs/>
          <w:color w:val="auto"/>
          <w:szCs w:val="21"/>
        </w:rPr>
        <w:t>三、</w:t>
      </w:r>
      <w:r>
        <w:rPr>
          <w:rFonts w:hint="eastAsia" w:ascii="宋体" w:hAnsi="宋体" w:cs="宋体"/>
          <w:b/>
          <w:bCs/>
          <w:color w:val="auto"/>
          <w:szCs w:val="21"/>
          <w:lang w:val="en-US" w:eastAsia="zh-CN"/>
        </w:rPr>
        <w:t>投标</w:t>
      </w:r>
      <w:r>
        <w:rPr>
          <w:rFonts w:hint="eastAsia" w:ascii="宋体" w:hAnsi="宋体" w:cs="宋体"/>
          <w:b/>
          <w:bCs/>
          <w:color w:val="auto"/>
          <w:szCs w:val="21"/>
        </w:rPr>
        <w:t>文件的编制</w:t>
      </w:r>
      <w:bookmarkEnd w:id="106"/>
      <w:bookmarkEnd w:id="107"/>
      <w:bookmarkEnd w:id="108"/>
      <w:bookmarkEnd w:id="109"/>
      <w:bookmarkEnd w:id="110"/>
      <w:bookmarkEnd w:id="111"/>
    </w:p>
    <w:p w14:paraId="76E3136A">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ascii="宋体" w:hAnsi="宋体" w:cs="宋体"/>
          <w:b/>
          <w:bCs/>
          <w:color w:val="auto"/>
          <w:szCs w:val="21"/>
        </w:rPr>
      </w:pPr>
      <w:bookmarkStart w:id="112" w:name="_Toc28314"/>
      <w:bookmarkStart w:id="113" w:name="_Toc254970677"/>
      <w:bookmarkStart w:id="114" w:name="_Toc254970536"/>
      <w:r>
        <w:rPr>
          <w:rFonts w:hint="eastAsia" w:ascii="宋体" w:hAnsi="宋体" w:cs="宋体"/>
          <w:b/>
          <w:bCs/>
          <w:color w:val="auto"/>
          <w:szCs w:val="21"/>
        </w:rPr>
        <w:t>1</w:t>
      </w:r>
      <w:r>
        <w:rPr>
          <w:rFonts w:hint="eastAsia" w:ascii="宋体" w:hAnsi="宋体" w:cs="宋体"/>
          <w:b/>
          <w:bCs/>
          <w:color w:val="auto"/>
          <w:szCs w:val="21"/>
          <w:lang w:val="en-US" w:eastAsia="zh-CN"/>
        </w:rPr>
        <w:t>2</w:t>
      </w:r>
      <w:r>
        <w:rPr>
          <w:rFonts w:hint="eastAsia" w:ascii="宋体" w:hAnsi="宋体" w:cs="宋体"/>
          <w:b/>
          <w:bCs/>
          <w:color w:val="auto"/>
          <w:szCs w:val="21"/>
        </w:rPr>
        <w:t>.</w:t>
      </w:r>
      <w:r>
        <w:rPr>
          <w:rFonts w:hint="eastAsia" w:ascii="宋体" w:hAnsi="宋体" w:cs="宋体"/>
          <w:b/>
          <w:bCs/>
          <w:color w:val="auto"/>
          <w:szCs w:val="21"/>
          <w:lang w:val="en-US" w:eastAsia="zh-CN"/>
        </w:rPr>
        <w:t>投标</w:t>
      </w:r>
      <w:r>
        <w:rPr>
          <w:rFonts w:hint="eastAsia" w:ascii="宋体" w:hAnsi="宋体" w:cs="宋体"/>
          <w:b/>
          <w:bCs/>
          <w:color w:val="auto"/>
          <w:szCs w:val="21"/>
        </w:rPr>
        <w:t>文件的编制原则</w:t>
      </w:r>
      <w:bookmarkEnd w:id="112"/>
    </w:p>
    <w:p w14:paraId="63224173">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2</w:t>
      </w:r>
      <w:r>
        <w:rPr>
          <w:rFonts w:hint="eastAsia" w:ascii="宋体" w:hAnsi="宋体" w:cs="宋体"/>
          <w:color w:val="auto"/>
          <w:szCs w:val="21"/>
        </w:rPr>
        <w:t>.1</w:t>
      </w:r>
      <w:r>
        <w:rPr>
          <w:rFonts w:hint="eastAsia" w:ascii="宋体" w:hAnsi="宋体" w:cs="宋体"/>
          <w:color w:val="auto"/>
          <w:szCs w:val="21"/>
          <w:lang w:eastAsia="zh-CN"/>
        </w:rPr>
        <w:t>投标人</w:t>
      </w:r>
      <w:r>
        <w:rPr>
          <w:rFonts w:hint="eastAsia" w:ascii="宋体" w:hAnsi="宋体" w:cs="宋体"/>
          <w:color w:val="auto"/>
          <w:szCs w:val="21"/>
        </w:rPr>
        <w:t>必须按照招标文件的要求编制</w:t>
      </w:r>
      <w:r>
        <w:rPr>
          <w:rFonts w:hint="eastAsia" w:ascii="宋体" w:hAnsi="宋体" w:cs="宋体"/>
          <w:color w:val="auto"/>
          <w:szCs w:val="21"/>
          <w:lang w:val="en-US" w:eastAsia="zh-CN"/>
        </w:rPr>
        <w:t>投标</w:t>
      </w:r>
      <w:r>
        <w:rPr>
          <w:rFonts w:hint="eastAsia" w:ascii="宋体" w:hAnsi="宋体" w:cs="宋体"/>
          <w:color w:val="auto"/>
          <w:szCs w:val="21"/>
        </w:rPr>
        <w:t>文件。</w:t>
      </w:r>
      <w:r>
        <w:rPr>
          <w:rFonts w:hint="eastAsia" w:ascii="宋体" w:hAnsi="宋体" w:cs="宋体"/>
          <w:color w:val="auto"/>
          <w:szCs w:val="21"/>
          <w:lang w:val="en-US" w:eastAsia="zh-CN"/>
        </w:rPr>
        <w:t>投标</w:t>
      </w:r>
      <w:r>
        <w:rPr>
          <w:rFonts w:hint="eastAsia" w:ascii="宋体" w:hAnsi="宋体" w:cs="宋体"/>
          <w:color w:val="auto"/>
          <w:szCs w:val="21"/>
        </w:rPr>
        <w:t>文件必须对招标文件提出的要求和条件作出明确响应。</w:t>
      </w:r>
    </w:p>
    <w:p w14:paraId="6F0FA6F6">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2</w:t>
      </w:r>
      <w:r>
        <w:rPr>
          <w:rFonts w:hint="eastAsia" w:ascii="宋体" w:hAnsi="宋体" w:cs="宋体"/>
          <w:color w:val="auto"/>
          <w:szCs w:val="21"/>
        </w:rPr>
        <w:t>.2</w:t>
      </w:r>
      <w:r>
        <w:rPr>
          <w:rFonts w:hint="eastAsia" w:ascii="宋体" w:hAnsi="宋体" w:cs="宋体"/>
          <w:color w:val="auto"/>
          <w:szCs w:val="21"/>
          <w:lang w:eastAsia="zh-CN"/>
        </w:rPr>
        <w:t>投标人</w:t>
      </w:r>
      <w:r>
        <w:rPr>
          <w:rFonts w:hint="eastAsia" w:ascii="宋体" w:hAnsi="宋体" w:cs="宋体"/>
          <w:color w:val="auto"/>
          <w:szCs w:val="21"/>
        </w:rPr>
        <w:t>应根据自身实际情况如实响应招标文件，不得仅将招标文件内容简单复制粘贴作为响应，</w:t>
      </w:r>
      <w:r>
        <w:rPr>
          <w:rFonts w:hint="eastAsia" w:ascii="宋体" w:hAnsi="宋体" w:cs="宋体"/>
          <w:color w:val="auto"/>
          <w:szCs w:val="21"/>
          <w:lang w:val="en-US" w:eastAsia="zh-CN"/>
        </w:rPr>
        <w:t>如有要求提供相应证明材料的，</w:t>
      </w:r>
      <w:r>
        <w:rPr>
          <w:rFonts w:hint="eastAsia" w:ascii="宋体" w:hAnsi="宋体" w:cs="宋体"/>
          <w:color w:val="auto"/>
          <w:szCs w:val="21"/>
        </w:rPr>
        <w:t>还应当提供相关证明材料，否则将作无效响应处理（定制采购项目不适用本条款）。对于重要技术条款或技术参数应当在响应文件中提供技术支持资料，技术支持资料以招标文件中规定的形式为准，否则将视为无效技术支持资料。</w:t>
      </w:r>
    </w:p>
    <w:p w14:paraId="0E1E844E">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ascii="宋体" w:hAnsi="宋体" w:cs="宋体"/>
          <w:b/>
          <w:bCs/>
          <w:color w:val="auto"/>
          <w:szCs w:val="21"/>
        </w:rPr>
      </w:pPr>
      <w:bookmarkStart w:id="115" w:name="_Toc2128"/>
      <w:r>
        <w:rPr>
          <w:rFonts w:hint="eastAsia" w:ascii="宋体" w:hAnsi="宋体" w:cs="宋体"/>
          <w:b/>
          <w:bCs/>
          <w:color w:val="auto"/>
          <w:szCs w:val="21"/>
        </w:rPr>
        <w:t>1</w:t>
      </w:r>
      <w:r>
        <w:rPr>
          <w:rFonts w:hint="eastAsia" w:ascii="宋体" w:hAnsi="宋体" w:cs="宋体"/>
          <w:b/>
          <w:bCs/>
          <w:color w:val="auto"/>
          <w:szCs w:val="21"/>
          <w:lang w:val="en-US" w:eastAsia="zh-CN"/>
        </w:rPr>
        <w:t>3</w:t>
      </w:r>
      <w:r>
        <w:rPr>
          <w:rFonts w:hint="eastAsia" w:ascii="宋体" w:hAnsi="宋体" w:cs="宋体"/>
          <w:b/>
          <w:bCs/>
          <w:color w:val="auto"/>
          <w:szCs w:val="21"/>
        </w:rPr>
        <w:t>.响应文件的组成</w:t>
      </w:r>
      <w:bookmarkEnd w:id="113"/>
      <w:bookmarkEnd w:id="114"/>
      <w:bookmarkEnd w:id="115"/>
    </w:p>
    <w:p w14:paraId="4595DABB">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zCs w:val="21"/>
        </w:rPr>
      </w:pPr>
      <w:r>
        <w:rPr>
          <w:rFonts w:hint="eastAsia" w:ascii="宋体" w:hAnsi="宋体" w:cs="宋体"/>
          <w:color w:val="auto"/>
          <w:szCs w:val="21"/>
        </w:rPr>
        <w:t>响应文件由报价文件、资格证明文件、商务</w:t>
      </w:r>
      <w:r>
        <w:rPr>
          <w:rFonts w:hint="eastAsia" w:ascii="宋体" w:hAnsi="宋体" w:cs="宋体"/>
          <w:color w:val="auto"/>
          <w:szCs w:val="21"/>
          <w:lang w:val="en-US" w:eastAsia="zh-CN"/>
        </w:rPr>
        <w:t>及</w:t>
      </w:r>
      <w:r>
        <w:rPr>
          <w:rFonts w:hint="eastAsia" w:ascii="宋体" w:hAnsi="宋体" w:cs="宋体"/>
          <w:color w:val="auto"/>
          <w:szCs w:val="21"/>
        </w:rPr>
        <w:t>技术文件</w:t>
      </w:r>
      <w:r>
        <w:rPr>
          <w:rFonts w:hint="eastAsia" w:ascii="宋体" w:hAnsi="宋体" w:cs="宋体"/>
          <w:color w:val="auto"/>
          <w:szCs w:val="21"/>
          <w:lang w:val="en-US" w:eastAsia="zh-CN"/>
        </w:rPr>
        <w:t>三</w:t>
      </w:r>
      <w:r>
        <w:rPr>
          <w:rFonts w:hint="eastAsia" w:ascii="宋体" w:hAnsi="宋体" w:cs="宋体"/>
          <w:color w:val="auto"/>
          <w:szCs w:val="21"/>
        </w:rPr>
        <w:t>部分组成。</w:t>
      </w:r>
    </w:p>
    <w:p w14:paraId="0BA7EAAE">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Cs/>
          <w:color w:val="auto"/>
          <w:szCs w:val="21"/>
        </w:rPr>
      </w:pPr>
      <w:bookmarkStart w:id="116" w:name="_13.2资格证明文件：具体材料见“投标人须知前附表”。"/>
      <w:bookmarkEnd w:id="116"/>
      <w:bookmarkStart w:id="117" w:name="_13.1报价文件:_具体材料见“投标人须知前附表”。"/>
      <w:bookmarkEnd w:id="117"/>
      <w:r>
        <w:rPr>
          <w:rFonts w:hint="eastAsia" w:ascii="宋体" w:hAnsi="宋体" w:cs="宋体"/>
          <w:bCs/>
          <w:color w:val="auto"/>
          <w:szCs w:val="21"/>
        </w:rPr>
        <w:t>（1）报价文件：具体材料见“投标人须知前附表”。</w:t>
      </w:r>
    </w:p>
    <w:p w14:paraId="31F930E0">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bCs/>
          <w:color w:val="auto"/>
          <w:szCs w:val="21"/>
        </w:rPr>
      </w:pPr>
      <w:r>
        <w:rPr>
          <w:rFonts w:hint="eastAsia" w:ascii="宋体" w:hAnsi="宋体" w:cs="宋体"/>
          <w:bCs/>
          <w:color w:val="auto"/>
          <w:szCs w:val="21"/>
          <w:lang w:eastAsia="zh-CN"/>
        </w:rPr>
        <w:t>（</w:t>
      </w:r>
      <w:r>
        <w:rPr>
          <w:rFonts w:hint="eastAsia" w:ascii="宋体" w:hAnsi="宋体" w:cs="宋体"/>
          <w:bCs/>
          <w:color w:val="auto"/>
          <w:szCs w:val="21"/>
          <w:lang w:val="en-US" w:eastAsia="zh-CN"/>
        </w:rPr>
        <w:t>2</w:t>
      </w:r>
      <w:r>
        <w:rPr>
          <w:rFonts w:hint="eastAsia" w:ascii="宋体" w:hAnsi="宋体" w:cs="宋体"/>
          <w:bCs/>
          <w:color w:val="auto"/>
          <w:szCs w:val="21"/>
          <w:lang w:eastAsia="zh-CN"/>
        </w:rPr>
        <w:t>）</w:t>
      </w:r>
      <w:r>
        <w:rPr>
          <w:rFonts w:hint="eastAsia" w:ascii="宋体" w:hAnsi="宋体" w:cs="宋体"/>
          <w:bCs/>
          <w:color w:val="auto"/>
          <w:szCs w:val="21"/>
        </w:rPr>
        <w:t>资格证明文件：具体材料见“投标人须知前附表”。</w:t>
      </w:r>
    </w:p>
    <w:p w14:paraId="169CFE03">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bCs/>
          <w:color w:val="auto"/>
          <w:szCs w:val="21"/>
        </w:rPr>
      </w:pPr>
      <w:bookmarkStart w:id="118" w:name="_13.3商务文件:_具体材料见“投标人须知前附表”。"/>
      <w:bookmarkEnd w:id="118"/>
      <w:r>
        <w:rPr>
          <w:rFonts w:hint="eastAsia" w:ascii="宋体" w:hAnsi="宋体" w:cs="宋体"/>
          <w:bCs/>
          <w:color w:val="auto"/>
          <w:szCs w:val="21"/>
        </w:rPr>
        <w:t>（</w:t>
      </w:r>
      <w:r>
        <w:rPr>
          <w:rFonts w:hint="eastAsia" w:ascii="宋体" w:hAnsi="宋体" w:cs="宋体"/>
          <w:bCs/>
          <w:color w:val="auto"/>
          <w:szCs w:val="21"/>
          <w:lang w:val="en-US" w:eastAsia="zh-CN"/>
        </w:rPr>
        <w:t>3</w:t>
      </w:r>
      <w:r>
        <w:rPr>
          <w:rFonts w:hint="eastAsia" w:ascii="宋体" w:hAnsi="宋体" w:cs="宋体"/>
          <w:bCs/>
          <w:color w:val="auto"/>
          <w:szCs w:val="21"/>
        </w:rPr>
        <w:t>）商务</w:t>
      </w:r>
      <w:r>
        <w:rPr>
          <w:rFonts w:hint="eastAsia" w:ascii="宋体" w:hAnsi="宋体" w:cs="宋体"/>
          <w:bCs/>
          <w:color w:val="auto"/>
          <w:szCs w:val="21"/>
          <w:lang w:val="en-US" w:eastAsia="zh-CN"/>
        </w:rPr>
        <w:t>及技术</w:t>
      </w:r>
      <w:r>
        <w:rPr>
          <w:rFonts w:hint="eastAsia" w:ascii="宋体" w:hAnsi="宋体" w:cs="宋体"/>
          <w:bCs/>
          <w:color w:val="auto"/>
          <w:szCs w:val="21"/>
        </w:rPr>
        <w:t>文件：具体材料见“投标人须知前附表”。</w:t>
      </w:r>
    </w:p>
    <w:p w14:paraId="3A842027">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ascii="宋体" w:hAnsi="宋体" w:cs="宋体"/>
          <w:b/>
          <w:bCs/>
          <w:color w:val="auto"/>
          <w:szCs w:val="21"/>
        </w:rPr>
      </w:pPr>
      <w:bookmarkStart w:id="119" w:name="_13.4技术文件：具体材料见“投标人须知前附表”。"/>
      <w:bookmarkEnd w:id="119"/>
      <w:bookmarkStart w:id="120" w:name="_Toc254970537"/>
      <w:bookmarkStart w:id="121" w:name="_Toc23086"/>
      <w:bookmarkStart w:id="122" w:name="_Toc254970678"/>
      <w:r>
        <w:rPr>
          <w:rFonts w:hint="eastAsia" w:ascii="宋体" w:hAnsi="宋体" w:cs="宋体"/>
          <w:b/>
          <w:bCs/>
          <w:color w:val="auto"/>
          <w:szCs w:val="21"/>
        </w:rPr>
        <w:t>1</w:t>
      </w:r>
      <w:r>
        <w:rPr>
          <w:rFonts w:hint="eastAsia" w:ascii="宋体" w:hAnsi="宋体" w:cs="宋体"/>
          <w:b/>
          <w:bCs/>
          <w:color w:val="auto"/>
          <w:szCs w:val="21"/>
          <w:lang w:val="en-US" w:eastAsia="zh-CN"/>
        </w:rPr>
        <w:t>4</w:t>
      </w:r>
      <w:r>
        <w:rPr>
          <w:rFonts w:hint="eastAsia" w:ascii="宋体" w:hAnsi="宋体" w:cs="宋体"/>
          <w:b/>
          <w:bCs/>
          <w:color w:val="auto"/>
          <w:szCs w:val="21"/>
        </w:rPr>
        <w:t>.响应文件的语言及计量</w:t>
      </w:r>
      <w:bookmarkEnd w:id="120"/>
      <w:bookmarkEnd w:id="121"/>
      <w:bookmarkEnd w:id="122"/>
    </w:p>
    <w:p w14:paraId="3F7433C2">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bCs/>
          <w:color w:val="auto"/>
          <w:szCs w:val="21"/>
        </w:rPr>
      </w:pPr>
      <w:r>
        <w:rPr>
          <w:rFonts w:hint="eastAsia" w:ascii="宋体" w:hAnsi="宋体" w:cs="宋体"/>
          <w:bCs/>
          <w:color w:val="auto"/>
          <w:szCs w:val="21"/>
        </w:rPr>
        <w:t>1</w:t>
      </w:r>
      <w:r>
        <w:rPr>
          <w:rFonts w:hint="eastAsia" w:ascii="宋体" w:hAnsi="宋体" w:cs="宋体"/>
          <w:bCs/>
          <w:color w:val="auto"/>
          <w:szCs w:val="21"/>
          <w:lang w:val="en-US" w:eastAsia="zh-CN"/>
        </w:rPr>
        <w:t>4</w:t>
      </w:r>
      <w:r>
        <w:rPr>
          <w:rFonts w:hint="eastAsia" w:ascii="宋体" w:hAnsi="宋体" w:cs="宋体"/>
          <w:bCs/>
          <w:color w:val="auto"/>
          <w:szCs w:val="21"/>
        </w:rPr>
        <w:t>.1语言文字</w:t>
      </w:r>
    </w:p>
    <w:p w14:paraId="653F0772">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bCs/>
          <w:color w:val="auto"/>
          <w:szCs w:val="21"/>
        </w:rPr>
      </w:pPr>
      <w:r>
        <w:rPr>
          <w:rFonts w:hint="eastAsia" w:ascii="宋体" w:hAnsi="宋体" w:cs="宋体"/>
          <w:color w:val="auto"/>
          <w:szCs w:val="21"/>
          <w:lang w:val="en-US" w:eastAsia="zh-CN"/>
        </w:rPr>
        <w:t>投标</w:t>
      </w:r>
      <w:r>
        <w:rPr>
          <w:rFonts w:hint="eastAsia" w:ascii="宋体" w:hAnsi="宋体" w:cs="宋体"/>
          <w:bCs/>
          <w:color w:val="auto"/>
          <w:szCs w:val="21"/>
        </w:rPr>
        <w:t>文件以及</w:t>
      </w:r>
      <w:r>
        <w:rPr>
          <w:rFonts w:hint="eastAsia" w:ascii="宋体" w:hAnsi="宋体" w:cs="宋体"/>
          <w:bCs/>
          <w:color w:val="auto"/>
          <w:szCs w:val="21"/>
          <w:lang w:eastAsia="zh-CN"/>
        </w:rPr>
        <w:t>投标人</w:t>
      </w:r>
      <w:r>
        <w:rPr>
          <w:rFonts w:hint="eastAsia" w:ascii="宋体" w:hAnsi="宋体" w:cs="宋体"/>
          <w:bCs/>
          <w:color w:val="auto"/>
          <w:szCs w:val="21"/>
        </w:rPr>
        <w:t>与采购人就有关</w:t>
      </w:r>
      <w:r>
        <w:rPr>
          <w:rFonts w:hint="eastAsia" w:ascii="宋体" w:hAnsi="宋体" w:cs="宋体"/>
          <w:color w:val="auto"/>
          <w:szCs w:val="21"/>
          <w:lang w:val="en-US" w:eastAsia="zh-CN"/>
        </w:rPr>
        <w:t>投标</w:t>
      </w:r>
      <w:r>
        <w:rPr>
          <w:rFonts w:hint="eastAsia" w:ascii="宋体" w:hAnsi="宋体" w:cs="宋体"/>
          <w:bCs/>
          <w:color w:val="auto"/>
          <w:szCs w:val="21"/>
        </w:rPr>
        <w:t>事宜的所有来往函电，均应以中文书写（除专用术语外，与</w:t>
      </w:r>
      <w:r>
        <w:rPr>
          <w:rFonts w:hint="eastAsia" w:ascii="宋体" w:hAnsi="宋体" w:cs="宋体"/>
          <w:color w:val="auto"/>
          <w:szCs w:val="21"/>
          <w:lang w:val="en-US" w:eastAsia="zh-CN"/>
        </w:rPr>
        <w:t>投标</w:t>
      </w:r>
      <w:r>
        <w:rPr>
          <w:rFonts w:hint="eastAsia" w:ascii="宋体" w:hAnsi="宋体" w:cs="宋体"/>
          <w:bCs/>
          <w:color w:val="auto"/>
          <w:szCs w:val="21"/>
        </w:rPr>
        <w:t>有关的语言均使用中文。必要时专用术语应附有中文注释）。</w:t>
      </w:r>
      <w:r>
        <w:rPr>
          <w:rFonts w:hint="eastAsia" w:ascii="宋体" w:hAnsi="宋体" w:cs="宋体"/>
          <w:bCs/>
          <w:color w:val="auto"/>
          <w:szCs w:val="21"/>
          <w:lang w:eastAsia="zh-CN"/>
        </w:rPr>
        <w:t>投标人</w:t>
      </w:r>
      <w:r>
        <w:rPr>
          <w:rFonts w:hint="eastAsia" w:ascii="宋体" w:hAnsi="宋体" w:cs="宋体"/>
          <w:bCs/>
          <w:color w:val="auto"/>
          <w:szCs w:val="21"/>
        </w:rPr>
        <w:t>提交的支持文件和印刷的文献可以使用别的语言，但其相应内容应同时附中文翻译文本，在解释</w:t>
      </w:r>
      <w:r>
        <w:rPr>
          <w:rFonts w:hint="eastAsia" w:ascii="宋体" w:hAnsi="宋体" w:cs="宋体"/>
          <w:color w:val="auto"/>
          <w:szCs w:val="21"/>
          <w:lang w:val="en-US" w:eastAsia="zh-CN"/>
        </w:rPr>
        <w:t>投标</w:t>
      </w:r>
      <w:r>
        <w:rPr>
          <w:rFonts w:hint="eastAsia" w:ascii="宋体" w:hAnsi="宋体" w:cs="宋体"/>
          <w:bCs/>
          <w:color w:val="auto"/>
          <w:szCs w:val="21"/>
        </w:rPr>
        <w:t>文件时以中文翻译文本为主。对不同文字文本响应文件的解释发生异议的，以中文文本为准。</w:t>
      </w:r>
    </w:p>
    <w:p w14:paraId="76ADF5BB">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bCs/>
          <w:color w:val="auto"/>
          <w:szCs w:val="21"/>
        </w:rPr>
      </w:pPr>
      <w:r>
        <w:rPr>
          <w:rFonts w:hint="eastAsia" w:ascii="宋体" w:hAnsi="宋体" w:cs="宋体"/>
          <w:bCs/>
          <w:color w:val="auto"/>
          <w:szCs w:val="21"/>
        </w:rPr>
        <w:t>1</w:t>
      </w:r>
      <w:r>
        <w:rPr>
          <w:rFonts w:hint="eastAsia" w:ascii="宋体" w:hAnsi="宋体" w:cs="宋体"/>
          <w:bCs/>
          <w:color w:val="auto"/>
          <w:szCs w:val="21"/>
          <w:lang w:val="en-US" w:eastAsia="zh-CN"/>
        </w:rPr>
        <w:t>4</w:t>
      </w:r>
      <w:r>
        <w:rPr>
          <w:rFonts w:hint="eastAsia" w:ascii="宋体" w:hAnsi="宋体" w:cs="宋体"/>
          <w:bCs/>
          <w:color w:val="auto"/>
          <w:szCs w:val="21"/>
        </w:rPr>
        <w:t>.2</w:t>
      </w:r>
      <w:r>
        <w:rPr>
          <w:rFonts w:hint="eastAsia" w:ascii="宋体" w:hAnsi="宋体" w:cs="宋体"/>
          <w:color w:val="auto"/>
          <w:szCs w:val="21"/>
          <w:lang w:val="en-US" w:eastAsia="zh-CN"/>
        </w:rPr>
        <w:t>投标</w:t>
      </w:r>
      <w:r>
        <w:rPr>
          <w:rFonts w:hint="eastAsia" w:ascii="宋体" w:hAnsi="宋体" w:cs="宋体"/>
          <w:bCs/>
          <w:color w:val="auto"/>
          <w:szCs w:val="21"/>
        </w:rPr>
        <w:t>计量单位</w:t>
      </w:r>
    </w:p>
    <w:p w14:paraId="1EC95401">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bCs/>
          <w:color w:val="auto"/>
          <w:szCs w:val="21"/>
        </w:rPr>
      </w:pPr>
      <w:r>
        <w:rPr>
          <w:rFonts w:hint="eastAsia" w:ascii="宋体" w:hAnsi="宋体" w:cs="宋体"/>
          <w:bCs/>
          <w:color w:val="auto"/>
          <w:szCs w:val="21"/>
        </w:rPr>
        <w:t>招标文件已有明确规定的，使用招标文件规定的计量单位；招标文件没有规定的，应采用中华人民共和国法定计量单位，货币种类为人民币，</w:t>
      </w:r>
      <w:r>
        <w:rPr>
          <w:rFonts w:hint="eastAsia" w:ascii="宋体" w:hAnsi="宋体" w:cs="宋体"/>
          <w:b/>
          <w:bCs w:val="0"/>
          <w:color w:val="auto"/>
          <w:szCs w:val="21"/>
        </w:rPr>
        <w:t>否则视同未响应。</w:t>
      </w:r>
    </w:p>
    <w:p w14:paraId="74B7F418">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ascii="宋体" w:hAnsi="宋体" w:cs="宋体"/>
          <w:b/>
          <w:bCs/>
          <w:color w:val="auto"/>
          <w:szCs w:val="21"/>
        </w:rPr>
      </w:pPr>
      <w:bookmarkStart w:id="123" w:name="_Toc28677"/>
      <w:r>
        <w:rPr>
          <w:rFonts w:hint="eastAsia" w:ascii="宋体" w:hAnsi="宋体" w:cs="宋体"/>
          <w:b/>
          <w:bCs/>
          <w:color w:val="auto"/>
          <w:szCs w:val="21"/>
        </w:rPr>
        <w:t>1</w:t>
      </w:r>
      <w:r>
        <w:rPr>
          <w:rFonts w:hint="eastAsia" w:ascii="宋体" w:hAnsi="宋体" w:cs="宋体"/>
          <w:b/>
          <w:bCs/>
          <w:color w:val="auto"/>
          <w:szCs w:val="21"/>
          <w:lang w:val="en-US" w:eastAsia="zh-CN"/>
        </w:rPr>
        <w:t>5</w:t>
      </w:r>
      <w:r>
        <w:rPr>
          <w:rFonts w:hint="eastAsia" w:ascii="宋体" w:hAnsi="宋体" w:cs="宋体"/>
          <w:b/>
          <w:bCs/>
          <w:color w:val="auto"/>
          <w:szCs w:val="21"/>
        </w:rPr>
        <w:t>.</w:t>
      </w:r>
      <w:r>
        <w:rPr>
          <w:rFonts w:hint="eastAsia" w:ascii="宋体" w:hAnsi="宋体" w:cs="宋体"/>
          <w:b/>
          <w:bCs/>
          <w:color w:val="auto"/>
          <w:szCs w:val="21"/>
          <w:lang w:val="en-US" w:eastAsia="zh-CN"/>
        </w:rPr>
        <w:t>投标</w:t>
      </w:r>
      <w:r>
        <w:rPr>
          <w:rFonts w:hint="eastAsia" w:ascii="宋体" w:hAnsi="宋体" w:cs="宋体"/>
          <w:b/>
          <w:bCs/>
          <w:color w:val="auto"/>
          <w:szCs w:val="21"/>
        </w:rPr>
        <w:t>的风险</w:t>
      </w:r>
      <w:bookmarkEnd w:id="123"/>
    </w:p>
    <w:p w14:paraId="2919F0E2">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b/>
          <w:bCs/>
          <w:color w:val="auto"/>
          <w:szCs w:val="21"/>
        </w:rPr>
      </w:pPr>
      <w:r>
        <w:rPr>
          <w:rFonts w:hint="eastAsia" w:ascii="宋体" w:hAnsi="宋体" w:cs="宋体"/>
          <w:color w:val="auto"/>
          <w:szCs w:val="21"/>
          <w:lang w:eastAsia="zh-CN"/>
        </w:rPr>
        <w:t>投标人</w:t>
      </w:r>
      <w:r>
        <w:rPr>
          <w:rFonts w:hint="eastAsia" w:ascii="宋体" w:hAnsi="宋体" w:cs="宋体"/>
          <w:color w:val="auto"/>
          <w:szCs w:val="21"/>
        </w:rPr>
        <w:t>在</w:t>
      </w:r>
      <w:r>
        <w:rPr>
          <w:rFonts w:hint="eastAsia" w:ascii="宋体" w:hAnsi="宋体" w:cs="宋体"/>
          <w:color w:val="auto"/>
          <w:szCs w:val="21"/>
          <w:lang w:eastAsia="zh-CN"/>
        </w:rPr>
        <w:t>编制</w:t>
      </w:r>
      <w:r>
        <w:rPr>
          <w:rFonts w:hint="eastAsia" w:ascii="宋体" w:hAnsi="宋体" w:cs="宋体"/>
          <w:color w:val="auto"/>
          <w:szCs w:val="21"/>
          <w:lang w:val="en-US" w:eastAsia="zh-CN"/>
        </w:rPr>
        <w:t>投标</w:t>
      </w:r>
      <w:r>
        <w:rPr>
          <w:rFonts w:hint="eastAsia" w:ascii="宋体" w:hAnsi="宋体" w:cs="宋体"/>
          <w:color w:val="auto"/>
          <w:szCs w:val="21"/>
        </w:rPr>
        <w:t>文件时请按照招标文件规定的格式进行，混乱的编排导致</w:t>
      </w:r>
      <w:r>
        <w:rPr>
          <w:rFonts w:hint="eastAsia" w:ascii="宋体" w:hAnsi="宋体" w:cs="宋体"/>
          <w:color w:val="auto"/>
          <w:szCs w:val="21"/>
          <w:lang w:val="en-US" w:eastAsia="zh-CN"/>
        </w:rPr>
        <w:t>投标</w:t>
      </w:r>
      <w:r>
        <w:rPr>
          <w:rFonts w:hint="eastAsia" w:ascii="宋体" w:hAnsi="宋体" w:cs="宋体"/>
          <w:color w:val="auto"/>
          <w:szCs w:val="21"/>
        </w:rPr>
        <w:t>文件被误读或评审委员会查找不到有效文件是</w:t>
      </w:r>
      <w:r>
        <w:rPr>
          <w:rFonts w:hint="eastAsia" w:ascii="宋体" w:hAnsi="宋体" w:cs="宋体"/>
          <w:color w:val="auto"/>
          <w:szCs w:val="21"/>
          <w:lang w:eastAsia="zh-CN"/>
        </w:rPr>
        <w:t>投标人</w:t>
      </w:r>
      <w:r>
        <w:rPr>
          <w:rFonts w:hint="eastAsia" w:ascii="宋体" w:hAnsi="宋体" w:cs="宋体"/>
          <w:color w:val="auto"/>
          <w:szCs w:val="21"/>
        </w:rPr>
        <w:t>的风险。▲</w:t>
      </w:r>
      <w:r>
        <w:rPr>
          <w:rFonts w:hint="eastAsia" w:ascii="宋体" w:hAnsi="宋体" w:cs="宋体"/>
          <w:b/>
          <w:bCs/>
          <w:color w:val="auto"/>
          <w:szCs w:val="21"/>
        </w:rPr>
        <w:t>响应文件未按规定的格式编制的、没有按照招标文件要求提供全部资料、没有对招标文件作出实质性响应，则响应无效。这是</w:t>
      </w:r>
      <w:r>
        <w:rPr>
          <w:rFonts w:hint="eastAsia" w:ascii="宋体" w:hAnsi="宋体" w:cs="宋体"/>
          <w:b/>
          <w:bCs/>
          <w:color w:val="auto"/>
          <w:szCs w:val="21"/>
          <w:lang w:eastAsia="zh-CN"/>
        </w:rPr>
        <w:t>投标人</w:t>
      </w:r>
      <w:r>
        <w:rPr>
          <w:rFonts w:hint="eastAsia" w:ascii="宋体" w:hAnsi="宋体" w:cs="宋体"/>
          <w:b/>
          <w:bCs/>
          <w:color w:val="auto"/>
          <w:szCs w:val="21"/>
        </w:rPr>
        <w:t>应当考虑的风险。</w:t>
      </w:r>
    </w:p>
    <w:p w14:paraId="39A74A0C">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ascii="宋体" w:hAnsi="宋体" w:cs="宋体"/>
          <w:b/>
          <w:bCs/>
          <w:color w:val="auto"/>
          <w:szCs w:val="21"/>
        </w:rPr>
      </w:pPr>
      <w:bookmarkStart w:id="124" w:name="_Toc4827"/>
      <w:bookmarkStart w:id="125" w:name="_Toc254970538"/>
      <w:bookmarkStart w:id="126" w:name="_Toc254970679"/>
      <w:r>
        <w:rPr>
          <w:rFonts w:hint="eastAsia" w:ascii="宋体" w:hAnsi="宋体" w:cs="宋体"/>
          <w:b/>
          <w:bCs/>
          <w:color w:val="auto"/>
          <w:szCs w:val="21"/>
        </w:rPr>
        <w:t>1</w:t>
      </w:r>
      <w:r>
        <w:rPr>
          <w:rFonts w:hint="eastAsia" w:ascii="宋体" w:hAnsi="宋体" w:cs="宋体"/>
          <w:b/>
          <w:bCs/>
          <w:color w:val="auto"/>
          <w:szCs w:val="21"/>
          <w:lang w:val="en-US" w:eastAsia="zh-CN"/>
        </w:rPr>
        <w:t>6</w:t>
      </w:r>
      <w:r>
        <w:rPr>
          <w:rFonts w:hint="eastAsia" w:ascii="宋体" w:hAnsi="宋体" w:cs="宋体"/>
          <w:b/>
          <w:bCs/>
          <w:color w:val="auto"/>
          <w:szCs w:val="21"/>
        </w:rPr>
        <w:t>.</w:t>
      </w:r>
      <w:bookmarkEnd w:id="124"/>
      <w:bookmarkEnd w:id="125"/>
      <w:bookmarkEnd w:id="126"/>
      <w:r>
        <w:rPr>
          <w:rFonts w:hint="eastAsia" w:ascii="宋体" w:hAnsi="宋体" w:cs="宋体"/>
          <w:b/>
          <w:bCs/>
          <w:color w:val="auto"/>
          <w:szCs w:val="21"/>
        </w:rPr>
        <w:t>投标报价</w:t>
      </w:r>
    </w:p>
    <w:p w14:paraId="0EC2ABE0">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bCs/>
          <w:color w:val="auto"/>
          <w:szCs w:val="21"/>
        </w:rPr>
      </w:pPr>
      <w:r>
        <w:rPr>
          <w:rFonts w:hint="eastAsia" w:ascii="宋体" w:hAnsi="宋体" w:cs="宋体"/>
          <w:bCs/>
          <w:color w:val="auto"/>
          <w:szCs w:val="21"/>
        </w:rPr>
        <w:t>1</w:t>
      </w:r>
      <w:r>
        <w:rPr>
          <w:rFonts w:hint="eastAsia" w:ascii="宋体" w:hAnsi="宋体" w:cs="宋体"/>
          <w:bCs/>
          <w:color w:val="auto"/>
          <w:szCs w:val="21"/>
          <w:lang w:val="en-US" w:eastAsia="zh-CN"/>
        </w:rPr>
        <w:t>6</w:t>
      </w:r>
      <w:r>
        <w:rPr>
          <w:rFonts w:hint="eastAsia" w:ascii="宋体" w:hAnsi="宋体" w:cs="宋体"/>
          <w:bCs/>
          <w:color w:val="auto"/>
          <w:szCs w:val="21"/>
        </w:rPr>
        <w:t>.1.投标报价应按“第五章</w:t>
      </w:r>
      <w:r>
        <w:rPr>
          <w:rFonts w:hint="eastAsia" w:ascii="宋体" w:hAnsi="宋体" w:cs="宋体"/>
          <w:bCs/>
          <w:color w:val="auto"/>
          <w:szCs w:val="21"/>
          <w:lang w:val="en-US" w:eastAsia="zh-CN"/>
        </w:rPr>
        <w:t xml:space="preserve"> 投标</w:t>
      </w:r>
      <w:r>
        <w:rPr>
          <w:rFonts w:hint="eastAsia" w:ascii="宋体" w:hAnsi="宋体" w:cs="宋体"/>
          <w:bCs/>
          <w:color w:val="auto"/>
          <w:szCs w:val="21"/>
        </w:rPr>
        <w:t>文件格式”中“开标一览表”格式填写。</w:t>
      </w:r>
    </w:p>
    <w:p w14:paraId="64789607">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bCs/>
          <w:color w:val="auto"/>
          <w:szCs w:val="21"/>
        </w:rPr>
      </w:pPr>
      <w:bookmarkStart w:id="127" w:name="_16.2投标报价具体定义见投标人须知前附表。"/>
      <w:bookmarkEnd w:id="127"/>
      <w:r>
        <w:rPr>
          <w:rFonts w:hint="eastAsia" w:ascii="宋体" w:hAnsi="宋体" w:cs="宋体"/>
          <w:bCs/>
          <w:color w:val="auto"/>
          <w:szCs w:val="21"/>
        </w:rPr>
        <w:t>1</w:t>
      </w:r>
      <w:r>
        <w:rPr>
          <w:rFonts w:hint="eastAsia" w:ascii="宋体" w:hAnsi="宋体" w:cs="宋体"/>
          <w:bCs/>
          <w:color w:val="auto"/>
          <w:szCs w:val="21"/>
          <w:lang w:val="en-US" w:eastAsia="zh-CN"/>
        </w:rPr>
        <w:t>6</w:t>
      </w:r>
      <w:r>
        <w:rPr>
          <w:rFonts w:hint="eastAsia" w:ascii="宋体" w:hAnsi="宋体" w:cs="宋体"/>
          <w:bCs/>
          <w:color w:val="auto"/>
          <w:szCs w:val="21"/>
        </w:rPr>
        <w:t>.2</w:t>
      </w:r>
      <w:r>
        <w:rPr>
          <w:rFonts w:hint="eastAsia" w:ascii="宋体" w:hAnsi="宋体" w:cs="宋体"/>
          <w:color w:val="auto"/>
          <w:szCs w:val="21"/>
          <w:lang w:val="en-US" w:eastAsia="zh-CN"/>
        </w:rPr>
        <w:t>投标</w:t>
      </w:r>
      <w:r>
        <w:rPr>
          <w:rFonts w:hint="eastAsia" w:ascii="宋体" w:hAnsi="宋体" w:cs="宋体"/>
          <w:bCs/>
          <w:color w:val="auto"/>
          <w:szCs w:val="21"/>
        </w:rPr>
        <w:t>报价具体包括内容详见“投标人须知前附表”。</w:t>
      </w:r>
    </w:p>
    <w:p w14:paraId="674A5BF4">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color w:val="auto"/>
          <w:szCs w:val="21"/>
        </w:rPr>
      </w:pPr>
      <w:r>
        <w:rPr>
          <w:rFonts w:hint="eastAsia" w:ascii="宋体" w:hAnsi="宋体" w:cs="宋体"/>
          <w:bCs/>
          <w:color w:val="auto"/>
          <w:szCs w:val="21"/>
        </w:rPr>
        <w:t>1</w:t>
      </w:r>
      <w:r>
        <w:rPr>
          <w:rFonts w:hint="eastAsia" w:ascii="宋体" w:hAnsi="宋体" w:cs="宋体"/>
          <w:bCs/>
          <w:color w:val="auto"/>
          <w:szCs w:val="21"/>
          <w:lang w:val="en-US" w:eastAsia="zh-CN"/>
        </w:rPr>
        <w:t>6</w:t>
      </w:r>
      <w:r>
        <w:rPr>
          <w:rFonts w:hint="eastAsia" w:ascii="宋体" w:hAnsi="宋体" w:cs="宋体"/>
          <w:bCs/>
          <w:color w:val="auto"/>
          <w:szCs w:val="21"/>
        </w:rPr>
        <w:t>.</w:t>
      </w:r>
      <w:r>
        <w:rPr>
          <w:rFonts w:hint="eastAsia" w:ascii="宋体" w:hAnsi="宋体" w:cs="宋体"/>
          <w:bCs/>
          <w:color w:val="auto"/>
          <w:szCs w:val="21"/>
          <w:lang w:val="en-US" w:eastAsia="zh-CN"/>
        </w:rPr>
        <w:t>3</w:t>
      </w:r>
      <w:r>
        <w:rPr>
          <w:rFonts w:hint="eastAsia" w:ascii="宋体" w:hAnsi="宋体" w:cs="宋体"/>
          <w:bCs/>
          <w:color w:val="auto"/>
          <w:szCs w:val="21"/>
          <w:lang w:eastAsia="zh-CN"/>
        </w:rPr>
        <w:t>投标人</w:t>
      </w:r>
      <w:r>
        <w:rPr>
          <w:rFonts w:hint="eastAsia" w:ascii="宋体" w:hAnsi="宋体" w:cs="宋体"/>
          <w:bCs/>
          <w:color w:val="auto"/>
          <w:szCs w:val="21"/>
        </w:rPr>
        <w:t>必须就所投每个分标的全部内容分别作完整唯一总价报价，不得存在漏项报价，附带有条件的报价将不予接受</w:t>
      </w:r>
      <w:r>
        <w:rPr>
          <w:rFonts w:hint="eastAsia" w:ascii="宋体" w:hAnsi="宋体" w:cs="宋体"/>
          <w:b/>
          <w:color w:val="auto"/>
          <w:szCs w:val="21"/>
        </w:rPr>
        <w:t>；</w:t>
      </w:r>
    </w:p>
    <w:p w14:paraId="2960FC83">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auto"/>
          <w:szCs w:val="21"/>
          <w:lang w:val="en-US" w:eastAsia="zh-CN"/>
        </w:rPr>
      </w:pPr>
      <w:r>
        <w:rPr>
          <w:rFonts w:hint="eastAsia" w:ascii="宋体" w:hAnsi="宋体" w:eastAsia="宋体" w:cs="宋体"/>
          <w:bCs/>
          <w:color w:val="auto"/>
          <w:szCs w:val="21"/>
          <w:lang w:val="en-US" w:eastAsia="zh-CN"/>
        </w:rPr>
        <w:t>16.4</w:t>
      </w:r>
      <w:r>
        <w:rPr>
          <w:rFonts w:hint="eastAsia" w:ascii="宋体" w:hAnsi="宋体"/>
          <w:b w:val="0"/>
          <w:color w:val="auto"/>
          <w:sz w:val="21"/>
          <w:szCs w:val="21"/>
          <w:highlight w:val="none"/>
          <w:shd w:val="clear" w:color="auto" w:fill="auto"/>
        </w:rPr>
        <w:t>投标人必须就所投分标的单项内容作唯一报价</w:t>
      </w:r>
      <w:r>
        <w:rPr>
          <w:rFonts w:hint="eastAsia" w:ascii="宋体" w:hAnsi="宋体"/>
          <w:b w:val="0"/>
          <w:color w:val="auto"/>
          <w:sz w:val="21"/>
          <w:szCs w:val="21"/>
          <w:highlight w:val="none"/>
          <w:shd w:val="clear" w:color="auto" w:fill="auto"/>
          <w:lang w:val="en-US" w:eastAsia="zh-CN"/>
        </w:rPr>
        <w:t>；</w:t>
      </w:r>
    </w:p>
    <w:p w14:paraId="37343536">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bCs/>
          <w:color w:val="auto"/>
          <w:szCs w:val="21"/>
        </w:rPr>
      </w:pPr>
      <w:r>
        <w:rPr>
          <w:rFonts w:hint="eastAsia" w:ascii="宋体" w:hAnsi="宋体" w:cs="宋体"/>
          <w:bCs/>
          <w:color w:val="auto"/>
          <w:szCs w:val="21"/>
        </w:rPr>
        <w:t>1</w:t>
      </w:r>
      <w:r>
        <w:rPr>
          <w:rFonts w:hint="eastAsia" w:ascii="宋体" w:hAnsi="宋体" w:cs="宋体"/>
          <w:bCs/>
          <w:color w:val="auto"/>
          <w:szCs w:val="21"/>
          <w:lang w:val="en-US" w:eastAsia="zh-CN"/>
        </w:rPr>
        <w:t>6.5</w:t>
      </w:r>
      <w:r>
        <w:rPr>
          <w:rFonts w:hint="eastAsia" w:ascii="宋体" w:hAnsi="宋体" w:cs="宋体"/>
          <w:bCs/>
          <w:color w:val="auto"/>
          <w:szCs w:val="21"/>
        </w:rPr>
        <w:t>投标报价超过规定的采购预算金额或者最高限价的，其响应文件将按无效处理。</w:t>
      </w:r>
    </w:p>
    <w:p w14:paraId="5DFA065B">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ascii="宋体" w:hAnsi="宋体" w:cs="宋体"/>
          <w:b/>
          <w:bCs/>
          <w:color w:val="auto"/>
          <w:szCs w:val="21"/>
        </w:rPr>
      </w:pPr>
      <w:bookmarkStart w:id="128" w:name="_Toc10552"/>
      <w:r>
        <w:rPr>
          <w:rFonts w:hint="eastAsia" w:ascii="宋体" w:hAnsi="宋体" w:cs="宋体"/>
          <w:b/>
          <w:bCs/>
          <w:color w:val="auto"/>
          <w:szCs w:val="21"/>
        </w:rPr>
        <w:t>1</w:t>
      </w:r>
      <w:r>
        <w:rPr>
          <w:rFonts w:hint="eastAsia" w:ascii="宋体" w:hAnsi="宋体" w:cs="宋体"/>
          <w:b/>
          <w:bCs/>
          <w:color w:val="auto"/>
          <w:szCs w:val="21"/>
          <w:lang w:val="en-US" w:eastAsia="zh-CN"/>
        </w:rPr>
        <w:t>7</w:t>
      </w:r>
      <w:r>
        <w:rPr>
          <w:rFonts w:hint="eastAsia" w:ascii="宋体" w:hAnsi="宋体" w:cs="宋体"/>
          <w:b/>
          <w:bCs/>
          <w:color w:val="auto"/>
          <w:szCs w:val="21"/>
        </w:rPr>
        <w:t>.</w:t>
      </w:r>
      <w:bookmarkEnd w:id="128"/>
      <w:r>
        <w:rPr>
          <w:rFonts w:hint="eastAsia" w:ascii="宋体" w:hAnsi="宋体" w:cs="宋体"/>
          <w:b/>
          <w:bCs/>
          <w:color w:val="auto"/>
          <w:szCs w:val="21"/>
        </w:rPr>
        <w:t>投标有效期</w:t>
      </w:r>
    </w:p>
    <w:p w14:paraId="5B432169">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bCs/>
          <w:color w:val="auto"/>
          <w:szCs w:val="21"/>
        </w:rPr>
      </w:pPr>
      <w:bookmarkStart w:id="129" w:name="_17.1投标有效期应按“投标人须知中的前附表”规定的期限。"/>
      <w:bookmarkEnd w:id="129"/>
      <w:r>
        <w:rPr>
          <w:rFonts w:hint="eastAsia" w:ascii="宋体" w:hAnsi="宋体" w:cs="宋体"/>
          <w:bCs/>
          <w:color w:val="auto"/>
          <w:szCs w:val="21"/>
        </w:rPr>
        <w:t>1</w:t>
      </w:r>
      <w:r>
        <w:rPr>
          <w:rFonts w:hint="eastAsia" w:ascii="宋体" w:hAnsi="宋体" w:cs="宋体"/>
          <w:bCs/>
          <w:color w:val="auto"/>
          <w:szCs w:val="21"/>
          <w:lang w:val="en-US" w:eastAsia="zh-CN"/>
        </w:rPr>
        <w:t>7</w:t>
      </w:r>
      <w:r>
        <w:rPr>
          <w:rFonts w:hint="eastAsia" w:ascii="宋体" w:hAnsi="宋体" w:cs="宋体"/>
          <w:bCs/>
          <w:color w:val="auto"/>
          <w:szCs w:val="21"/>
        </w:rPr>
        <w:t>.1投标有效期是指为保证采购人有足够的时间在提交响应文件后完成评审、确定成交</w:t>
      </w:r>
      <w:r>
        <w:rPr>
          <w:rFonts w:hint="eastAsia" w:ascii="宋体" w:hAnsi="宋体" w:cs="宋体"/>
          <w:bCs/>
          <w:color w:val="auto"/>
          <w:szCs w:val="21"/>
          <w:lang w:eastAsia="zh-CN"/>
        </w:rPr>
        <w:t>投标人</w:t>
      </w:r>
      <w:r>
        <w:rPr>
          <w:rFonts w:hint="eastAsia" w:ascii="宋体" w:hAnsi="宋体" w:cs="宋体"/>
          <w:bCs/>
          <w:color w:val="auto"/>
          <w:szCs w:val="21"/>
        </w:rPr>
        <w:t>、合同签订等工作而要求</w:t>
      </w:r>
      <w:r>
        <w:rPr>
          <w:rFonts w:hint="eastAsia" w:ascii="宋体" w:hAnsi="宋体" w:cs="宋体"/>
          <w:bCs/>
          <w:color w:val="auto"/>
          <w:szCs w:val="21"/>
          <w:lang w:eastAsia="zh-CN"/>
        </w:rPr>
        <w:t>投标人</w:t>
      </w:r>
      <w:r>
        <w:rPr>
          <w:rFonts w:hint="eastAsia" w:ascii="宋体" w:hAnsi="宋体" w:cs="宋体"/>
          <w:bCs/>
          <w:color w:val="auto"/>
          <w:szCs w:val="21"/>
        </w:rPr>
        <w:t>提交的响应文件在一定时间内保持有效的期限。</w:t>
      </w:r>
    </w:p>
    <w:p w14:paraId="66FAB022">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bCs/>
          <w:color w:val="auto"/>
          <w:szCs w:val="21"/>
        </w:rPr>
      </w:pPr>
      <w:r>
        <w:rPr>
          <w:rFonts w:hint="eastAsia" w:ascii="宋体" w:hAnsi="宋体" w:cs="宋体"/>
          <w:bCs/>
          <w:color w:val="auto"/>
          <w:szCs w:val="21"/>
        </w:rPr>
        <w:t>1</w:t>
      </w:r>
      <w:r>
        <w:rPr>
          <w:rFonts w:hint="eastAsia" w:ascii="宋体" w:hAnsi="宋体" w:cs="宋体"/>
          <w:bCs/>
          <w:color w:val="auto"/>
          <w:szCs w:val="21"/>
          <w:lang w:val="en-US" w:eastAsia="zh-CN"/>
        </w:rPr>
        <w:t>7</w:t>
      </w:r>
      <w:r>
        <w:rPr>
          <w:rFonts w:hint="eastAsia" w:ascii="宋体" w:hAnsi="宋体" w:cs="宋体"/>
          <w:bCs/>
          <w:color w:val="auto"/>
          <w:szCs w:val="21"/>
        </w:rPr>
        <w:t>.2</w:t>
      </w:r>
      <w:bookmarkStart w:id="130" w:name="_Toc254970681"/>
      <w:bookmarkStart w:id="131" w:name="_Toc254970540"/>
      <w:r>
        <w:rPr>
          <w:rFonts w:hint="eastAsia" w:ascii="宋体" w:hAnsi="宋体" w:cs="宋体"/>
          <w:bCs/>
          <w:color w:val="auto"/>
          <w:szCs w:val="21"/>
        </w:rPr>
        <w:t>投标有效期应按</w:t>
      </w:r>
      <w:r>
        <w:rPr>
          <w:rFonts w:hint="eastAsia" w:ascii="宋体" w:hAnsi="宋体" w:cs="宋体"/>
          <w:bCs/>
          <w:color w:val="auto"/>
          <w:szCs w:val="21"/>
          <w:lang w:val="en-US" w:eastAsia="zh-CN"/>
        </w:rPr>
        <w:t>规定的期限作出承诺，具体详见</w:t>
      </w:r>
      <w:r>
        <w:rPr>
          <w:rFonts w:hint="eastAsia" w:ascii="宋体" w:hAnsi="宋体" w:cs="宋体"/>
          <w:bCs/>
          <w:color w:val="auto"/>
          <w:szCs w:val="21"/>
        </w:rPr>
        <w:t>“投标人须知前附表”。</w:t>
      </w:r>
      <w:r>
        <w:rPr>
          <w:rFonts w:hint="eastAsia" w:ascii="宋体" w:hAnsi="宋体" w:cs="宋体"/>
          <w:b/>
          <w:bCs w:val="0"/>
          <w:color w:val="auto"/>
          <w:szCs w:val="21"/>
        </w:rPr>
        <w:t>承诺的投标有效期低于招标文件规定期限的，按无效投标处理。</w:t>
      </w:r>
    </w:p>
    <w:p w14:paraId="14D151BE">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bCs/>
          <w:color w:val="auto"/>
          <w:szCs w:val="21"/>
        </w:rPr>
      </w:pPr>
      <w:r>
        <w:rPr>
          <w:rFonts w:hint="eastAsia" w:ascii="宋体" w:hAnsi="宋体" w:cs="宋体"/>
          <w:bCs/>
          <w:color w:val="auto"/>
          <w:szCs w:val="21"/>
        </w:rPr>
        <w:t>1</w:t>
      </w:r>
      <w:r>
        <w:rPr>
          <w:rFonts w:hint="eastAsia" w:ascii="宋体" w:hAnsi="宋体" w:cs="宋体"/>
          <w:bCs/>
          <w:color w:val="auto"/>
          <w:szCs w:val="21"/>
          <w:lang w:val="en-US" w:eastAsia="zh-CN"/>
        </w:rPr>
        <w:t>7</w:t>
      </w:r>
      <w:r>
        <w:rPr>
          <w:rFonts w:hint="eastAsia" w:ascii="宋体" w:hAnsi="宋体" w:cs="宋体"/>
          <w:bCs/>
          <w:color w:val="auto"/>
          <w:szCs w:val="21"/>
        </w:rPr>
        <w:t>.3</w:t>
      </w:r>
      <w:r>
        <w:rPr>
          <w:rFonts w:hint="eastAsia" w:ascii="宋体" w:hAnsi="宋体" w:cs="宋体"/>
          <w:bCs/>
          <w:color w:val="auto"/>
          <w:szCs w:val="21"/>
          <w:lang w:eastAsia="zh-CN"/>
        </w:rPr>
        <w:t>投标人</w:t>
      </w:r>
      <w:r>
        <w:rPr>
          <w:rFonts w:hint="eastAsia" w:ascii="宋体" w:hAnsi="宋体" w:cs="宋体"/>
          <w:bCs/>
          <w:color w:val="auto"/>
          <w:szCs w:val="21"/>
        </w:rPr>
        <w:t>的</w:t>
      </w:r>
      <w:r>
        <w:rPr>
          <w:rFonts w:hint="eastAsia" w:ascii="宋体" w:hAnsi="宋体" w:cs="宋体"/>
          <w:bCs/>
          <w:color w:val="auto"/>
          <w:szCs w:val="21"/>
          <w:lang w:val="en-US" w:eastAsia="zh-CN"/>
        </w:rPr>
        <w:t>投标</w:t>
      </w:r>
      <w:r>
        <w:rPr>
          <w:rFonts w:hint="eastAsia" w:ascii="宋体" w:hAnsi="宋体" w:cs="宋体"/>
          <w:bCs/>
          <w:color w:val="auto"/>
          <w:szCs w:val="21"/>
        </w:rPr>
        <w:t>文件在投标有效期内均保持有效。</w:t>
      </w:r>
      <w:bookmarkEnd w:id="130"/>
      <w:bookmarkEnd w:id="131"/>
    </w:p>
    <w:p w14:paraId="1C2F4061">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ascii="宋体" w:hAnsi="宋体" w:cs="宋体"/>
          <w:b/>
          <w:bCs/>
          <w:color w:val="auto"/>
          <w:szCs w:val="21"/>
        </w:rPr>
      </w:pPr>
      <w:bookmarkStart w:id="132" w:name="_18.投标保证金"/>
      <w:bookmarkEnd w:id="132"/>
      <w:bookmarkStart w:id="133" w:name="_Toc9646"/>
      <w:bookmarkStart w:id="134" w:name="_Toc254970541"/>
      <w:bookmarkStart w:id="135" w:name="_Toc254970682"/>
      <w:r>
        <w:rPr>
          <w:rFonts w:hint="eastAsia" w:ascii="宋体" w:hAnsi="宋体" w:cs="宋体"/>
          <w:b/>
          <w:bCs/>
          <w:color w:val="auto"/>
          <w:szCs w:val="21"/>
        </w:rPr>
        <w:t>1</w:t>
      </w:r>
      <w:r>
        <w:rPr>
          <w:rFonts w:hint="eastAsia" w:ascii="宋体" w:hAnsi="宋体" w:cs="宋体"/>
          <w:b/>
          <w:bCs/>
          <w:color w:val="auto"/>
          <w:szCs w:val="21"/>
          <w:lang w:val="en-US" w:eastAsia="zh-CN"/>
        </w:rPr>
        <w:t>8</w:t>
      </w:r>
      <w:r>
        <w:rPr>
          <w:rFonts w:hint="eastAsia" w:ascii="宋体" w:hAnsi="宋体" w:cs="宋体"/>
          <w:b/>
          <w:bCs/>
          <w:color w:val="auto"/>
          <w:szCs w:val="21"/>
        </w:rPr>
        <w:t>.</w:t>
      </w:r>
      <w:r>
        <w:rPr>
          <w:rFonts w:hint="eastAsia" w:ascii="宋体" w:hAnsi="宋体" w:cs="宋体"/>
          <w:b/>
          <w:bCs/>
          <w:color w:val="auto"/>
          <w:szCs w:val="21"/>
          <w:lang w:val="en-US" w:eastAsia="zh-CN"/>
        </w:rPr>
        <w:t>投标</w:t>
      </w:r>
      <w:r>
        <w:rPr>
          <w:rFonts w:hint="eastAsia" w:ascii="宋体" w:hAnsi="宋体" w:cs="宋体"/>
          <w:b/>
          <w:bCs/>
          <w:color w:val="auto"/>
          <w:szCs w:val="21"/>
        </w:rPr>
        <w:t>保证金</w:t>
      </w:r>
      <w:bookmarkEnd w:id="133"/>
      <w:bookmarkEnd w:id="134"/>
      <w:bookmarkEnd w:id="135"/>
    </w:p>
    <w:p w14:paraId="2000A597">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zCs w:val="21"/>
        </w:rPr>
      </w:pPr>
      <w:bookmarkStart w:id="136" w:name="_Toc254970542"/>
      <w:bookmarkStart w:id="137" w:name="_Toc254970683"/>
      <w:r>
        <w:rPr>
          <w:rFonts w:hint="eastAsia" w:ascii="宋体" w:hAnsi="宋体" w:cs="宋体"/>
          <w:color w:val="auto"/>
          <w:szCs w:val="21"/>
        </w:rPr>
        <w:t>1</w:t>
      </w:r>
      <w:r>
        <w:rPr>
          <w:rFonts w:hint="eastAsia" w:ascii="宋体" w:hAnsi="宋体" w:cs="宋体"/>
          <w:color w:val="auto"/>
          <w:szCs w:val="21"/>
          <w:lang w:val="en-US" w:eastAsia="zh-CN"/>
        </w:rPr>
        <w:t>8</w:t>
      </w:r>
      <w:r>
        <w:rPr>
          <w:rFonts w:hint="eastAsia" w:ascii="宋体" w:hAnsi="宋体" w:cs="宋体"/>
          <w:color w:val="auto"/>
          <w:szCs w:val="21"/>
        </w:rPr>
        <w:t>.1投标人须按“投标人须知前附表”的规定提交投标保证金。</w:t>
      </w:r>
    </w:p>
    <w:p w14:paraId="743BF6FC">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8</w:t>
      </w:r>
      <w:r>
        <w:rPr>
          <w:rFonts w:hint="eastAsia" w:ascii="宋体" w:hAnsi="宋体" w:cs="宋体"/>
          <w:color w:val="auto"/>
          <w:szCs w:val="21"/>
        </w:rPr>
        <w:t>.2投标保证金的退还</w:t>
      </w:r>
    </w:p>
    <w:p w14:paraId="4602AD6E">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8</w:t>
      </w:r>
      <w:r>
        <w:rPr>
          <w:rFonts w:hint="eastAsia" w:ascii="宋体" w:hAnsi="宋体" w:cs="宋体"/>
          <w:color w:val="auto"/>
          <w:szCs w:val="21"/>
        </w:rPr>
        <w:t>.2.1未中标人的投标保证金自中标通知书发出之日起5个工作日内退还，退还方式如下：</w:t>
      </w:r>
    </w:p>
    <w:p w14:paraId="676B818D">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zCs w:val="21"/>
        </w:rPr>
      </w:pPr>
      <w:r>
        <w:rPr>
          <w:rFonts w:hint="eastAsia" w:ascii="宋体" w:hAnsi="宋体" w:cs="宋体"/>
          <w:color w:val="auto"/>
          <w:szCs w:val="21"/>
        </w:rPr>
        <w:t>（1）采用银行转账方式的，以转账方式退回到投标人银行账户。</w:t>
      </w:r>
    </w:p>
    <w:p w14:paraId="1F689700">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zCs w:val="21"/>
        </w:rPr>
      </w:pPr>
      <w:r>
        <w:rPr>
          <w:rFonts w:hint="eastAsia" w:ascii="宋体" w:hAnsi="宋体" w:cs="宋体"/>
          <w:color w:val="auto"/>
          <w:szCs w:val="21"/>
        </w:rPr>
        <w:t>（2）采用支票、汇票或本票方式的，以转账方式退回到投标人银行账户或由投标人代表持相关授权证明材料至采购人或采购代理机构办理支票、汇票或本票原件退还手续。</w:t>
      </w:r>
    </w:p>
    <w:p w14:paraId="57657B27">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zCs w:val="21"/>
        </w:rPr>
      </w:pPr>
      <w:r>
        <w:rPr>
          <w:rFonts w:hint="eastAsia" w:ascii="宋体" w:hAnsi="宋体" w:cs="宋体"/>
          <w:color w:val="auto"/>
          <w:szCs w:val="21"/>
        </w:rPr>
        <w:t>（3）采用银行、保险机构出具的保函方式的，由投标人代表持相关授权证明材料至采购人或采购代理机构办理保函原件退还手续。</w:t>
      </w:r>
    </w:p>
    <w:p w14:paraId="20869C6E">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8</w:t>
      </w:r>
      <w:r>
        <w:rPr>
          <w:rFonts w:hint="eastAsia" w:ascii="宋体" w:hAnsi="宋体" w:cs="宋体"/>
          <w:color w:val="auto"/>
          <w:szCs w:val="21"/>
        </w:rPr>
        <w:t>.2.2中标人的投标保证金自</w:t>
      </w:r>
      <w:r>
        <w:rPr>
          <w:rFonts w:hint="eastAsia" w:ascii="宋体" w:hAnsi="宋体" w:cs="宋体"/>
          <w:color w:val="auto"/>
          <w:szCs w:val="21"/>
          <w:lang w:val="en-US" w:eastAsia="zh-CN"/>
        </w:rPr>
        <w:t>政府采购合同</w:t>
      </w:r>
      <w:r>
        <w:rPr>
          <w:rFonts w:hint="eastAsia" w:ascii="宋体" w:hAnsi="宋体" w:cs="宋体"/>
          <w:color w:val="auto"/>
          <w:szCs w:val="21"/>
        </w:rPr>
        <w:t>签订之日起5个工作日内退还，退还方式同未中标人的投标保证金的退还方式</w:t>
      </w:r>
      <w:r>
        <w:rPr>
          <w:rFonts w:hint="eastAsia" w:ascii="宋体" w:hAnsi="宋体" w:cs="宋体"/>
          <w:color w:val="auto"/>
          <w:szCs w:val="21"/>
          <w:lang w:val="en-US" w:eastAsia="zh-CN"/>
        </w:rPr>
        <w:t>一致</w:t>
      </w:r>
      <w:r>
        <w:rPr>
          <w:rFonts w:hint="eastAsia" w:ascii="宋体" w:hAnsi="宋体" w:cs="宋体"/>
          <w:color w:val="auto"/>
          <w:szCs w:val="21"/>
        </w:rPr>
        <w:t>。</w:t>
      </w:r>
    </w:p>
    <w:p w14:paraId="6703CA1E">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8</w:t>
      </w:r>
      <w:r>
        <w:rPr>
          <w:rFonts w:hint="eastAsia" w:ascii="宋体" w:hAnsi="宋体" w:cs="宋体"/>
          <w:color w:val="auto"/>
          <w:szCs w:val="21"/>
        </w:rPr>
        <w:t>.3</w:t>
      </w:r>
      <w:r>
        <w:rPr>
          <w:rFonts w:hint="eastAsia" w:ascii="宋体" w:hAnsi="宋体"/>
          <w:b w:val="0"/>
          <w:sz w:val="21"/>
          <w:szCs w:val="21"/>
        </w:rPr>
        <w:t>除逾期退还投标保证金和终止招标的情形以外</w:t>
      </w:r>
      <w:r>
        <w:rPr>
          <w:rFonts w:hint="eastAsia" w:ascii="宋体" w:hAnsi="宋体"/>
          <w:b w:val="0"/>
          <w:sz w:val="21"/>
          <w:szCs w:val="21"/>
          <w:lang w:eastAsia="zh-CN"/>
        </w:rPr>
        <w:t>，</w:t>
      </w:r>
      <w:r>
        <w:rPr>
          <w:rFonts w:hint="eastAsia" w:ascii="宋体" w:hAnsi="宋体" w:cs="宋体"/>
          <w:color w:val="auto"/>
          <w:szCs w:val="21"/>
        </w:rPr>
        <w:t>投标保证金不计息。</w:t>
      </w:r>
    </w:p>
    <w:p w14:paraId="3F725220">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8</w:t>
      </w:r>
      <w:r>
        <w:rPr>
          <w:rFonts w:hint="eastAsia" w:ascii="宋体" w:hAnsi="宋体" w:cs="宋体"/>
          <w:color w:val="auto"/>
          <w:szCs w:val="21"/>
        </w:rPr>
        <w:t xml:space="preserve">.4投标人有下列情形之一的，投标保证金将不予退还： </w:t>
      </w:r>
    </w:p>
    <w:p w14:paraId="2F745AEC">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zCs w:val="21"/>
        </w:rPr>
      </w:pPr>
      <w:r>
        <w:rPr>
          <w:rFonts w:hint="eastAsia" w:ascii="宋体" w:hAnsi="宋体" w:cs="宋体"/>
          <w:color w:val="auto"/>
          <w:szCs w:val="21"/>
        </w:rPr>
        <w:t>（1）投标人在投标有效期内撤销投标文件的；</w:t>
      </w:r>
    </w:p>
    <w:p w14:paraId="40D15D0C">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zCs w:val="21"/>
        </w:rPr>
      </w:pPr>
      <w:r>
        <w:rPr>
          <w:rFonts w:hint="eastAsia" w:ascii="宋体" w:hAnsi="宋体" w:cs="宋体"/>
          <w:color w:val="auto"/>
          <w:szCs w:val="21"/>
        </w:rPr>
        <w:t>（2）未按规定提交履约保证金的；</w:t>
      </w:r>
    </w:p>
    <w:p w14:paraId="17C2DFDE">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bCs/>
          <w:color w:val="auto"/>
          <w:szCs w:val="21"/>
        </w:rPr>
      </w:pPr>
      <w:r>
        <w:rPr>
          <w:rFonts w:hint="eastAsia" w:ascii="宋体" w:hAnsi="宋体" w:cs="宋体"/>
          <w:bCs/>
          <w:color w:val="auto"/>
          <w:szCs w:val="21"/>
        </w:rPr>
        <w:t>（3）投标人在投标过程中弄虚作假，提供虚假材料的；</w:t>
      </w:r>
    </w:p>
    <w:p w14:paraId="69284205">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bCs/>
          <w:color w:val="auto"/>
          <w:szCs w:val="21"/>
        </w:rPr>
      </w:pPr>
      <w:r>
        <w:rPr>
          <w:rFonts w:hint="eastAsia" w:ascii="宋体" w:hAnsi="宋体" w:cs="宋体"/>
          <w:bCs/>
          <w:color w:val="auto"/>
          <w:szCs w:val="21"/>
        </w:rPr>
        <w:t>（4）中标人无正当理由不与采购人签订合同的；</w:t>
      </w:r>
    </w:p>
    <w:p w14:paraId="26BFA940">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Cs/>
          <w:color w:val="auto"/>
          <w:szCs w:val="21"/>
          <w:lang w:val="en-US" w:eastAsia="zh-CN"/>
        </w:rPr>
      </w:pPr>
      <w:r>
        <w:rPr>
          <w:rFonts w:hint="eastAsia" w:ascii="宋体" w:hAnsi="宋体" w:cs="宋体"/>
          <w:bCs/>
          <w:color w:val="auto"/>
          <w:szCs w:val="21"/>
        </w:rPr>
        <w:t>（5）投标人出现本章第9.2、9.3情形的</w:t>
      </w:r>
      <w:r>
        <w:rPr>
          <w:rFonts w:hint="eastAsia" w:ascii="宋体" w:hAnsi="宋体" w:cs="宋体"/>
          <w:bCs/>
          <w:color w:val="auto"/>
          <w:szCs w:val="21"/>
          <w:lang w:val="en-US" w:eastAsia="zh-CN"/>
        </w:rPr>
        <w:t>；</w:t>
      </w:r>
    </w:p>
    <w:p w14:paraId="7C42D1E2">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Cs/>
          <w:color w:val="auto"/>
          <w:szCs w:val="21"/>
        </w:rPr>
      </w:pPr>
      <w:r>
        <w:rPr>
          <w:rFonts w:hint="eastAsia" w:ascii="宋体" w:hAnsi="宋体" w:cs="宋体"/>
          <w:bCs/>
          <w:color w:val="auto"/>
          <w:szCs w:val="21"/>
          <w:lang w:eastAsia="zh-CN"/>
        </w:rPr>
        <w:t>（</w:t>
      </w:r>
      <w:r>
        <w:rPr>
          <w:rFonts w:hint="eastAsia" w:ascii="宋体" w:hAnsi="宋体" w:cs="宋体"/>
          <w:bCs/>
          <w:color w:val="auto"/>
          <w:szCs w:val="21"/>
          <w:lang w:val="en-US" w:eastAsia="zh-CN"/>
        </w:rPr>
        <w:t>6）</w:t>
      </w:r>
      <w:r>
        <w:rPr>
          <w:rFonts w:hint="eastAsia" w:ascii="宋体" w:hAnsi="宋体" w:cs="宋体"/>
          <w:bCs/>
          <w:color w:val="auto"/>
          <w:szCs w:val="21"/>
        </w:rPr>
        <w:t>其他严重扰乱招投标程序的。</w:t>
      </w:r>
    </w:p>
    <w:p w14:paraId="5D68F3A6">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auto"/>
          <w:szCs w:val="21"/>
          <w:lang w:eastAsia="zh-CN"/>
        </w:rPr>
      </w:pPr>
      <w:r>
        <w:rPr>
          <w:rFonts w:hint="eastAsia" w:ascii="宋体" w:hAnsi="宋体" w:cs="宋体"/>
          <w:bCs/>
          <w:color w:val="auto"/>
          <w:szCs w:val="21"/>
          <w:lang w:eastAsia="zh-CN"/>
        </w:rPr>
        <w:t>（</w:t>
      </w:r>
      <w:r>
        <w:rPr>
          <w:rFonts w:hint="eastAsia" w:ascii="宋体" w:hAnsi="宋体" w:cs="宋体"/>
          <w:bCs/>
          <w:color w:val="auto"/>
          <w:szCs w:val="21"/>
          <w:lang w:val="en-US" w:eastAsia="zh-CN"/>
        </w:rPr>
        <w:t>7</w:t>
      </w:r>
      <w:r>
        <w:rPr>
          <w:rFonts w:hint="eastAsia" w:ascii="宋体" w:hAnsi="宋体" w:cs="宋体"/>
          <w:bCs/>
          <w:color w:val="auto"/>
          <w:szCs w:val="21"/>
          <w:lang w:eastAsia="zh-CN"/>
        </w:rPr>
        <w:t>）</w:t>
      </w:r>
      <w:r>
        <w:rPr>
          <w:rFonts w:hint="eastAsia" w:ascii="宋体" w:hAnsi="宋体" w:cs="宋体"/>
          <w:szCs w:val="21"/>
        </w:rPr>
        <w:t>法律法规规定的其他情形</w:t>
      </w:r>
      <w:r>
        <w:rPr>
          <w:rFonts w:hint="eastAsia" w:ascii="宋体" w:hAnsi="宋体" w:cs="宋体"/>
          <w:szCs w:val="21"/>
          <w:lang w:eastAsia="zh-CN"/>
        </w:rPr>
        <w:t>。</w:t>
      </w:r>
    </w:p>
    <w:p w14:paraId="71E5E76C">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ascii="宋体" w:hAnsi="宋体" w:cs="宋体"/>
          <w:b/>
          <w:bCs/>
          <w:color w:val="auto"/>
          <w:szCs w:val="21"/>
        </w:rPr>
      </w:pPr>
      <w:bookmarkStart w:id="138" w:name="_Toc32025"/>
      <w:r>
        <w:rPr>
          <w:rFonts w:hint="eastAsia" w:ascii="宋体" w:hAnsi="宋体" w:cs="宋体"/>
          <w:b/>
          <w:bCs/>
          <w:color w:val="auto"/>
          <w:szCs w:val="21"/>
          <w:lang w:val="en-US" w:eastAsia="zh-CN"/>
        </w:rPr>
        <w:t>19.</w:t>
      </w:r>
      <w:r>
        <w:rPr>
          <w:rFonts w:hint="eastAsia" w:ascii="宋体" w:hAnsi="宋体" w:cs="宋体"/>
          <w:b/>
          <w:bCs/>
          <w:color w:val="auto"/>
          <w:szCs w:val="21"/>
        </w:rPr>
        <w:t>响应文件的</w:t>
      </w:r>
      <w:bookmarkEnd w:id="136"/>
      <w:bookmarkEnd w:id="137"/>
      <w:r>
        <w:rPr>
          <w:rFonts w:hint="eastAsia" w:ascii="宋体" w:hAnsi="宋体" w:cs="宋体"/>
          <w:b/>
          <w:bCs/>
          <w:color w:val="auto"/>
          <w:szCs w:val="21"/>
        </w:rPr>
        <w:t>编制</w:t>
      </w:r>
      <w:bookmarkEnd w:id="138"/>
    </w:p>
    <w:p w14:paraId="441719D1">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b/>
          <w:bCs/>
          <w:color w:val="auto"/>
          <w:szCs w:val="21"/>
        </w:rPr>
      </w:pPr>
      <w:r>
        <w:rPr>
          <w:rFonts w:hint="eastAsia" w:ascii="宋体" w:hAnsi="宋体" w:cs="宋体"/>
          <w:color w:val="auto"/>
          <w:szCs w:val="21"/>
          <w:lang w:val="en-US" w:eastAsia="zh-CN"/>
        </w:rPr>
        <w:t>19</w:t>
      </w:r>
      <w:r>
        <w:rPr>
          <w:rFonts w:hint="eastAsia" w:ascii="宋体" w:hAnsi="宋体" w:cs="宋体"/>
          <w:color w:val="auto"/>
          <w:szCs w:val="21"/>
        </w:rPr>
        <w:t>.1投标人应按照本项目招标文件规定的格式和顺序和广西政府采购云平台的要求编制投标文件并加密。投标文件内容不完整、编排混乱导致投标文件被误读、漏读或者查找不到相关内容的，由此引发的后果由投标人承担。</w:t>
      </w:r>
      <w:r>
        <w:rPr>
          <w:rFonts w:hint="eastAsia" w:ascii="宋体" w:hAnsi="宋体" w:cs="宋体"/>
          <w:b/>
          <w:bCs/>
          <w:color w:val="auto"/>
          <w:szCs w:val="21"/>
        </w:rPr>
        <w:t>特别注意响应报价不得出现在资格文件、商务</w:t>
      </w:r>
      <w:r>
        <w:rPr>
          <w:rFonts w:hint="eastAsia" w:ascii="宋体" w:hAnsi="宋体" w:cs="宋体"/>
          <w:b/>
          <w:bCs/>
          <w:color w:val="auto"/>
          <w:szCs w:val="21"/>
          <w:lang w:val="en-US" w:eastAsia="zh-CN"/>
        </w:rPr>
        <w:t>及技术</w:t>
      </w:r>
      <w:r>
        <w:rPr>
          <w:rFonts w:hint="eastAsia" w:ascii="宋体" w:hAnsi="宋体" w:cs="宋体"/>
          <w:b/>
          <w:bCs/>
          <w:color w:val="auto"/>
          <w:szCs w:val="21"/>
        </w:rPr>
        <w:t>文件中。</w:t>
      </w:r>
    </w:p>
    <w:p w14:paraId="7B5CB86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rPr>
      </w:pPr>
      <w:r>
        <w:rPr>
          <w:rFonts w:hint="eastAsia" w:ascii="宋体" w:hAnsi="宋体" w:cs="宋体"/>
          <w:color w:val="auto"/>
          <w:szCs w:val="21"/>
          <w:lang w:val="en-US" w:eastAsia="zh-CN"/>
        </w:rPr>
        <w:t>19</w:t>
      </w:r>
      <w:r>
        <w:rPr>
          <w:rFonts w:hint="eastAsia" w:ascii="宋体" w:hAnsi="宋体" w:cs="宋体"/>
          <w:color w:val="auto"/>
          <w:szCs w:val="21"/>
        </w:rPr>
        <w:t>.2为确保网上操作合法、有效和安全，</w:t>
      </w:r>
      <w:r>
        <w:rPr>
          <w:rFonts w:hint="eastAsia" w:ascii="宋体" w:hAnsi="宋体" w:cs="宋体"/>
          <w:color w:val="auto"/>
          <w:szCs w:val="21"/>
          <w:lang w:eastAsia="zh-CN"/>
        </w:rPr>
        <w:t>投标人</w:t>
      </w:r>
      <w:r>
        <w:rPr>
          <w:rFonts w:hint="eastAsia" w:ascii="宋体" w:hAnsi="宋体" w:cs="宋体"/>
          <w:color w:val="auto"/>
          <w:szCs w:val="21"/>
        </w:rPr>
        <w:t>应当在响应截止时间前完成在“</w:t>
      </w:r>
      <w:r>
        <w:rPr>
          <w:rFonts w:hint="eastAsia" w:ascii="宋体" w:hAnsi="宋体" w:eastAsia="宋体" w:cs="宋体"/>
          <w:sz w:val="21"/>
          <w:szCs w:val="21"/>
          <w:lang w:val="en-US" w:eastAsia="zh-CN"/>
        </w:rPr>
        <w:t>广西政府采购云平台</w:t>
      </w:r>
      <w:r>
        <w:rPr>
          <w:rFonts w:hint="eastAsia" w:ascii="宋体" w:hAnsi="宋体" w:cs="宋体"/>
          <w:color w:val="auto"/>
          <w:szCs w:val="21"/>
        </w:rPr>
        <w:t>”平台的身份认证，确保在电子响应过程中能够对相关数据电文进行加密和使用电子签名。</w:t>
      </w:r>
    </w:p>
    <w:p w14:paraId="781E65D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rPr>
      </w:pPr>
      <w:r>
        <w:rPr>
          <w:rFonts w:hint="eastAsia" w:ascii="宋体" w:hAnsi="宋体" w:cs="宋体"/>
          <w:color w:val="auto"/>
          <w:szCs w:val="21"/>
          <w:lang w:val="en-US" w:eastAsia="zh-CN"/>
        </w:rPr>
        <w:t>19</w:t>
      </w:r>
      <w:r>
        <w:rPr>
          <w:rFonts w:hint="eastAsia" w:ascii="宋体" w:hAnsi="宋体" w:cs="宋体"/>
          <w:color w:val="auto"/>
          <w:szCs w:val="21"/>
        </w:rPr>
        <w:t>.3</w:t>
      </w:r>
      <w:r>
        <w:rPr>
          <w:rFonts w:hint="eastAsia" w:ascii="宋体" w:hAnsi="宋体" w:cs="宋体"/>
          <w:color w:val="auto"/>
          <w:szCs w:val="21"/>
          <w:lang w:eastAsia="zh-CN"/>
        </w:rPr>
        <w:t>投标</w:t>
      </w:r>
      <w:r>
        <w:rPr>
          <w:rFonts w:hint="eastAsia" w:ascii="宋体" w:hAnsi="宋体" w:cs="宋体"/>
          <w:color w:val="auto"/>
          <w:szCs w:val="21"/>
        </w:rPr>
        <w:t>文件须由</w:t>
      </w:r>
      <w:r>
        <w:rPr>
          <w:rFonts w:hint="eastAsia" w:ascii="宋体" w:hAnsi="宋体" w:cs="宋体"/>
          <w:color w:val="auto"/>
          <w:szCs w:val="21"/>
          <w:lang w:eastAsia="zh-CN"/>
        </w:rPr>
        <w:t>投标人</w:t>
      </w:r>
      <w:r>
        <w:rPr>
          <w:rFonts w:hint="eastAsia" w:ascii="宋体" w:hAnsi="宋体" w:cs="宋体"/>
          <w:color w:val="auto"/>
          <w:szCs w:val="21"/>
        </w:rPr>
        <w:t>在规定位置进行签署、盖章（具体以投标人须知前附表或响应文件格式规定为准），</w:t>
      </w:r>
      <w:r>
        <w:rPr>
          <w:rFonts w:hint="eastAsia" w:ascii="宋体" w:hAnsi="宋体" w:cs="宋体"/>
          <w:b/>
          <w:bCs/>
          <w:color w:val="auto"/>
          <w:szCs w:val="21"/>
        </w:rPr>
        <w:t>否则按无效响应处理</w:t>
      </w:r>
      <w:r>
        <w:rPr>
          <w:rFonts w:hint="eastAsia" w:ascii="宋体" w:hAnsi="宋体" w:cs="宋体"/>
          <w:color w:val="auto"/>
          <w:szCs w:val="21"/>
        </w:rPr>
        <w:t>。骑缝盖公章不视为在规定位置盖章。</w:t>
      </w:r>
    </w:p>
    <w:p w14:paraId="5A5DDEBA">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bCs/>
          <w:color w:val="auto"/>
          <w:szCs w:val="21"/>
        </w:rPr>
      </w:pPr>
      <w:r>
        <w:rPr>
          <w:rFonts w:hint="eastAsia" w:ascii="宋体" w:hAnsi="宋体" w:cs="宋体"/>
          <w:bCs/>
          <w:color w:val="auto"/>
          <w:szCs w:val="21"/>
          <w:lang w:val="en-US" w:eastAsia="zh-CN"/>
        </w:rPr>
        <w:t>19</w:t>
      </w:r>
      <w:r>
        <w:rPr>
          <w:rFonts w:hint="eastAsia" w:ascii="宋体" w:hAnsi="宋体" w:cs="宋体"/>
          <w:bCs/>
          <w:color w:val="auto"/>
          <w:szCs w:val="21"/>
        </w:rPr>
        <w:t>.4</w:t>
      </w:r>
      <w:r>
        <w:rPr>
          <w:rFonts w:hint="eastAsia" w:ascii="宋体" w:hAnsi="宋体" w:cs="宋体"/>
          <w:color w:val="auto"/>
          <w:szCs w:val="21"/>
          <w:lang w:eastAsia="zh-CN"/>
        </w:rPr>
        <w:t>投标</w:t>
      </w:r>
      <w:r>
        <w:rPr>
          <w:rFonts w:hint="eastAsia" w:ascii="宋体" w:hAnsi="宋体" w:cs="宋体"/>
          <w:bCs/>
          <w:color w:val="auto"/>
          <w:szCs w:val="21"/>
        </w:rPr>
        <w:t>文件中标注的</w:t>
      </w:r>
      <w:r>
        <w:rPr>
          <w:rFonts w:hint="eastAsia" w:ascii="宋体" w:hAnsi="宋体" w:cs="宋体"/>
          <w:bCs/>
          <w:color w:val="auto"/>
          <w:szCs w:val="21"/>
          <w:lang w:eastAsia="zh-CN"/>
        </w:rPr>
        <w:t>投标人</w:t>
      </w:r>
      <w:r>
        <w:rPr>
          <w:rFonts w:hint="eastAsia" w:ascii="宋体" w:hAnsi="宋体" w:cs="宋体"/>
          <w:bCs/>
          <w:color w:val="auto"/>
          <w:szCs w:val="21"/>
        </w:rPr>
        <w:t>名称应与主体资格证明（如营业执照或者事业单位法人证书或者执业许可证或者登记证书等）及公章一致，</w:t>
      </w:r>
      <w:r>
        <w:rPr>
          <w:rFonts w:hint="eastAsia" w:ascii="宋体" w:hAnsi="宋体" w:cs="宋体"/>
          <w:bCs/>
          <w:color w:val="auto"/>
          <w:szCs w:val="21"/>
          <w:lang w:eastAsia="zh-CN"/>
        </w:rPr>
        <w:t>投标人</w:t>
      </w:r>
      <w:r>
        <w:rPr>
          <w:rFonts w:hint="eastAsia" w:ascii="宋体" w:hAnsi="宋体" w:cs="宋体"/>
          <w:bCs/>
          <w:color w:val="auto"/>
          <w:szCs w:val="21"/>
        </w:rPr>
        <w:t>为自然人的，标注的</w:t>
      </w:r>
      <w:r>
        <w:rPr>
          <w:rFonts w:hint="eastAsia" w:ascii="宋体" w:hAnsi="宋体" w:cs="宋体"/>
          <w:bCs/>
          <w:color w:val="auto"/>
          <w:szCs w:val="21"/>
          <w:lang w:eastAsia="zh-CN"/>
        </w:rPr>
        <w:t>投标人</w:t>
      </w:r>
      <w:r>
        <w:rPr>
          <w:rFonts w:hint="eastAsia" w:ascii="宋体" w:hAnsi="宋体" w:cs="宋体"/>
          <w:bCs/>
          <w:color w:val="auto"/>
          <w:szCs w:val="21"/>
        </w:rPr>
        <w:t>名称应与身份证姓名及签名一致，</w:t>
      </w:r>
      <w:r>
        <w:rPr>
          <w:rFonts w:hint="eastAsia" w:ascii="宋体" w:hAnsi="宋体" w:cs="宋体"/>
          <w:b/>
          <w:bCs w:val="0"/>
          <w:color w:val="auto"/>
          <w:szCs w:val="21"/>
        </w:rPr>
        <w:t>否则其响应文件按无效响应处理</w:t>
      </w:r>
      <w:r>
        <w:rPr>
          <w:rFonts w:hint="eastAsia" w:ascii="宋体" w:hAnsi="宋体" w:cs="宋体"/>
          <w:bCs/>
          <w:color w:val="auto"/>
          <w:szCs w:val="21"/>
        </w:rPr>
        <w:t>。</w:t>
      </w:r>
    </w:p>
    <w:p w14:paraId="37094FEB">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zCs w:val="21"/>
        </w:rPr>
      </w:pPr>
      <w:r>
        <w:rPr>
          <w:rFonts w:hint="eastAsia" w:ascii="宋体" w:hAnsi="宋体" w:cs="宋体"/>
          <w:color w:val="auto"/>
          <w:szCs w:val="21"/>
          <w:lang w:val="en-US" w:eastAsia="zh-CN"/>
        </w:rPr>
        <w:t>19</w:t>
      </w:r>
      <w:r>
        <w:rPr>
          <w:rFonts w:hint="eastAsia" w:ascii="宋体" w:hAnsi="宋体" w:cs="宋体"/>
          <w:color w:val="auto"/>
          <w:szCs w:val="21"/>
        </w:rPr>
        <w:t>.5</w:t>
      </w:r>
      <w:r>
        <w:rPr>
          <w:rFonts w:hint="eastAsia" w:ascii="宋体" w:hAnsi="宋体" w:cs="宋体"/>
          <w:color w:val="auto"/>
          <w:szCs w:val="21"/>
          <w:lang w:eastAsia="zh-CN"/>
        </w:rPr>
        <w:t>投标</w:t>
      </w:r>
      <w:r>
        <w:rPr>
          <w:rFonts w:hint="eastAsia" w:ascii="宋体" w:hAnsi="宋体" w:cs="宋体"/>
          <w:color w:val="auto"/>
          <w:szCs w:val="21"/>
        </w:rPr>
        <w:t>文件应尽量避免涂改、行间插字或者删除。如果出现上述情况，改动之处应由</w:t>
      </w:r>
      <w:r>
        <w:rPr>
          <w:rFonts w:hint="eastAsia" w:ascii="宋体" w:hAnsi="宋体" w:cs="宋体"/>
          <w:color w:val="auto"/>
          <w:szCs w:val="21"/>
          <w:lang w:eastAsia="zh-CN"/>
        </w:rPr>
        <w:t>投标人</w:t>
      </w:r>
      <w:r>
        <w:rPr>
          <w:rFonts w:hint="eastAsia" w:ascii="宋体" w:hAnsi="宋体" w:cs="宋体"/>
          <w:color w:val="auto"/>
          <w:szCs w:val="21"/>
        </w:rPr>
        <w:t>的法定代表人或者其委托代理人签字（或者电子签名）或者加盖公章或者加盖电子签章。响应文件因涂改、行间插字或者删除导致字迹潦草或者表达不清所引起的后果由</w:t>
      </w:r>
      <w:r>
        <w:rPr>
          <w:rFonts w:hint="eastAsia" w:ascii="宋体" w:hAnsi="宋体" w:cs="宋体"/>
          <w:color w:val="auto"/>
          <w:szCs w:val="21"/>
          <w:lang w:eastAsia="zh-CN"/>
        </w:rPr>
        <w:t>投标人</w:t>
      </w:r>
      <w:r>
        <w:rPr>
          <w:rFonts w:hint="eastAsia" w:ascii="宋体" w:hAnsi="宋体" w:cs="宋体"/>
          <w:color w:val="auto"/>
          <w:szCs w:val="21"/>
        </w:rPr>
        <w:t>承担。</w:t>
      </w:r>
    </w:p>
    <w:p w14:paraId="6FDBF030">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zCs w:val="21"/>
        </w:rPr>
      </w:pPr>
      <w:r>
        <w:rPr>
          <w:rFonts w:hint="eastAsia" w:ascii="宋体" w:hAnsi="宋体" w:cs="宋体"/>
          <w:color w:val="auto"/>
          <w:szCs w:val="21"/>
          <w:lang w:val="en-US" w:eastAsia="zh-CN"/>
        </w:rPr>
        <w:t>19</w:t>
      </w:r>
      <w:r>
        <w:rPr>
          <w:rFonts w:hint="eastAsia" w:ascii="宋体" w:hAnsi="宋体" w:cs="宋体"/>
          <w:color w:val="auto"/>
          <w:szCs w:val="21"/>
        </w:rPr>
        <w:t>.6对招标文件的实质性要求和条件作出响应是指</w:t>
      </w:r>
      <w:r>
        <w:rPr>
          <w:rFonts w:hint="eastAsia" w:ascii="宋体" w:hAnsi="宋体" w:cs="宋体"/>
          <w:color w:val="auto"/>
          <w:szCs w:val="21"/>
          <w:lang w:eastAsia="zh-CN"/>
        </w:rPr>
        <w:t>投标人</w:t>
      </w:r>
      <w:r>
        <w:rPr>
          <w:rFonts w:hint="eastAsia" w:ascii="宋体" w:hAnsi="宋体" w:cs="宋体"/>
          <w:color w:val="auto"/>
          <w:szCs w:val="21"/>
        </w:rPr>
        <w:t>必须对招标文件标注为实质性要求和条件的服务内容及要求、商务条款及其他内容</w:t>
      </w:r>
      <w:r>
        <w:rPr>
          <w:rFonts w:hint="eastAsia" w:ascii="宋体" w:hAnsi="宋体" w:cs="宋体"/>
          <w:b/>
          <w:color w:val="auto"/>
          <w:szCs w:val="21"/>
        </w:rPr>
        <w:t>作出满足或者优于原要求和条件的承诺</w:t>
      </w:r>
      <w:r>
        <w:rPr>
          <w:rFonts w:hint="eastAsia" w:ascii="宋体" w:hAnsi="宋体" w:cs="宋体"/>
          <w:color w:val="auto"/>
          <w:szCs w:val="21"/>
        </w:rPr>
        <w:t>。</w:t>
      </w:r>
    </w:p>
    <w:p w14:paraId="71EDF022">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ascii="宋体" w:hAnsi="宋体" w:cs="宋体"/>
          <w:b/>
          <w:bCs/>
          <w:color w:val="auto"/>
          <w:szCs w:val="21"/>
        </w:rPr>
      </w:pPr>
      <w:bookmarkStart w:id="139" w:name="_Toc11813"/>
      <w:r>
        <w:rPr>
          <w:rFonts w:hint="eastAsia" w:ascii="宋体" w:hAnsi="宋体" w:cs="宋体"/>
          <w:b/>
          <w:bCs/>
          <w:color w:val="auto"/>
          <w:szCs w:val="21"/>
          <w:lang w:val="en-US" w:eastAsia="zh-CN"/>
        </w:rPr>
        <w:t>20</w:t>
      </w:r>
      <w:r>
        <w:rPr>
          <w:rFonts w:hint="eastAsia" w:ascii="宋体" w:hAnsi="宋体" w:cs="宋体"/>
          <w:b/>
          <w:bCs/>
          <w:color w:val="auto"/>
          <w:szCs w:val="21"/>
        </w:rPr>
        <w:t>.</w:t>
      </w:r>
      <w:r>
        <w:rPr>
          <w:rFonts w:hint="eastAsia" w:ascii="宋体" w:hAnsi="宋体" w:cs="宋体"/>
          <w:b/>
          <w:bCs/>
          <w:color w:val="auto"/>
          <w:szCs w:val="21"/>
          <w:lang w:val="en-US" w:eastAsia="zh-CN"/>
        </w:rPr>
        <w:t>电子</w:t>
      </w:r>
      <w:r>
        <w:rPr>
          <w:rFonts w:hint="eastAsia" w:ascii="宋体" w:hAnsi="宋体" w:cs="宋体"/>
          <w:b/>
          <w:bCs/>
          <w:color w:val="auto"/>
          <w:szCs w:val="21"/>
        </w:rPr>
        <w:t>备份</w:t>
      </w:r>
      <w:r>
        <w:rPr>
          <w:rFonts w:hint="eastAsia" w:ascii="宋体" w:hAnsi="宋体" w:cs="宋体"/>
          <w:b/>
          <w:bCs/>
          <w:color w:val="auto"/>
          <w:szCs w:val="21"/>
          <w:lang w:val="en-US" w:eastAsia="zh-CN"/>
        </w:rPr>
        <w:t>投标</w:t>
      </w:r>
      <w:r>
        <w:rPr>
          <w:rFonts w:hint="eastAsia" w:ascii="宋体" w:hAnsi="宋体" w:cs="宋体"/>
          <w:b/>
          <w:bCs/>
          <w:color w:val="auto"/>
          <w:szCs w:val="21"/>
        </w:rPr>
        <w:t>文件</w:t>
      </w:r>
      <w:bookmarkEnd w:id="139"/>
    </w:p>
    <w:p w14:paraId="65A1580B">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bCs/>
          <w:color w:val="auto"/>
          <w:szCs w:val="21"/>
        </w:rPr>
      </w:pPr>
      <w:r>
        <w:rPr>
          <w:rFonts w:hint="eastAsia" w:ascii="宋体" w:hAnsi="宋体" w:cs="宋体"/>
          <w:bCs/>
          <w:color w:val="auto"/>
          <w:szCs w:val="21"/>
        </w:rPr>
        <w:t>电子备份响应文件是指通过在线编制生成且后缀名为“</w:t>
      </w:r>
      <w:r>
        <w:t>bfbs</w:t>
      </w:r>
      <w:r>
        <w:rPr>
          <w:rFonts w:hint="eastAsia" w:ascii="宋体" w:hAnsi="宋体" w:cs="宋体"/>
          <w:bCs/>
          <w:color w:val="auto"/>
          <w:szCs w:val="21"/>
        </w:rPr>
        <w:t>”的文件，是否接受电子备份响应文件详见在“投标人须知前附表”。</w:t>
      </w:r>
    </w:p>
    <w:p w14:paraId="03705996">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ascii="宋体" w:hAnsi="宋体" w:cs="宋体"/>
          <w:b/>
          <w:bCs/>
          <w:color w:val="auto"/>
          <w:szCs w:val="21"/>
        </w:rPr>
      </w:pPr>
      <w:bookmarkStart w:id="140" w:name="_Toc23563"/>
      <w:r>
        <w:rPr>
          <w:rFonts w:hint="eastAsia" w:ascii="宋体" w:hAnsi="宋体" w:cs="宋体"/>
          <w:b/>
          <w:bCs/>
          <w:color w:val="auto"/>
          <w:szCs w:val="21"/>
          <w:lang w:val="en-US" w:eastAsia="zh-CN"/>
        </w:rPr>
        <w:t>21</w:t>
      </w:r>
      <w:r>
        <w:rPr>
          <w:rFonts w:hint="eastAsia" w:ascii="宋体" w:hAnsi="宋体" w:cs="宋体"/>
          <w:b/>
          <w:bCs/>
          <w:color w:val="auto"/>
          <w:szCs w:val="21"/>
        </w:rPr>
        <w:t>.</w:t>
      </w:r>
      <w:r>
        <w:rPr>
          <w:rFonts w:hint="eastAsia" w:ascii="宋体" w:hAnsi="宋体" w:cs="宋体"/>
          <w:b/>
          <w:bCs/>
          <w:color w:val="auto"/>
          <w:szCs w:val="21"/>
          <w:lang w:val="en-US" w:eastAsia="zh-CN"/>
        </w:rPr>
        <w:t>投标</w:t>
      </w:r>
      <w:r>
        <w:rPr>
          <w:rFonts w:hint="eastAsia" w:ascii="宋体" w:hAnsi="宋体" w:cs="宋体"/>
          <w:b/>
          <w:bCs/>
          <w:color w:val="auto"/>
          <w:szCs w:val="21"/>
        </w:rPr>
        <w:t>文件的提交</w:t>
      </w:r>
      <w:bookmarkEnd w:id="140"/>
    </w:p>
    <w:p w14:paraId="552753D0">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b/>
          <w:color w:val="auto"/>
          <w:szCs w:val="21"/>
        </w:rPr>
      </w:pPr>
      <w:bookmarkStart w:id="141" w:name="_21.1投标人必须在“投标人须知中的前附表”规定的投标文件接收时间和投"/>
      <w:bookmarkEnd w:id="141"/>
      <w:r>
        <w:rPr>
          <w:rFonts w:hint="eastAsia" w:ascii="宋体" w:hAnsi="宋体" w:cs="宋体"/>
          <w:bCs/>
          <w:color w:val="auto"/>
          <w:szCs w:val="21"/>
        </w:rPr>
        <w:t>2</w:t>
      </w:r>
      <w:r>
        <w:rPr>
          <w:rFonts w:hint="eastAsia" w:ascii="宋体" w:hAnsi="宋体" w:cs="宋体"/>
          <w:bCs/>
          <w:color w:val="auto"/>
          <w:szCs w:val="21"/>
          <w:lang w:val="en-US" w:eastAsia="zh-CN"/>
        </w:rPr>
        <w:t>1</w:t>
      </w:r>
      <w:r>
        <w:rPr>
          <w:rFonts w:hint="eastAsia" w:ascii="宋体" w:hAnsi="宋体" w:cs="宋体"/>
          <w:bCs/>
          <w:color w:val="auto"/>
          <w:szCs w:val="21"/>
        </w:rPr>
        <w:t>.1</w:t>
      </w:r>
      <w:r>
        <w:rPr>
          <w:rFonts w:hint="eastAsia" w:ascii="宋体" w:hAnsi="宋体" w:cs="宋体"/>
          <w:bCs/>
          <w:color w:val="auto"/>
          <w:szCs w:val="21"/>
          <w:lang w:eastAsia="zh-CN"/>
        </w:rPr>
        <w:t>投标人</w:t>
      </w:r>
      <w:r>
        <w:rPr>
          <w:rFonts w:hint="eastAsia" w:ascii="宋体" w:hAnsi="宋体" w:cs="宋体"/>
          <w:bCs/>
          <w:color w:val="auto"/>
          <w:szCs w:val="21"/>
        </w:rPr>
        <w:t>必须按“投标人须知前附表”规定的时间及地点提交</w:t>
      </w:r>
      <w:r>
        <w:rPr>
          <w:rFonts w:hint="eastAsia" w:ascii="宋体" w:hAnsi="宋体" w:cs="宋体"/>
          <w:bCs/>
          <w:color w:val="auto"/>
          <w:szCs w:val="21"/>
          <w:lang w:val="en-US" w:eastAsia="zh-CN"/>
        </w:rPr>
        <w:t>投标</w:t>
      </w:r>
      <w:r>
        <w:rPr>
          <w:rFonts w:hint="eastAsia" w:ascii="宋体" w:hAnsi="宋体" w:cs="宋体"/>
          <w:bCs/>
          <w:color w:val="auto"/>
          <w:szCs w:val="21"/>
        </w:rPr>
        <w:t>文件。电子</w:t>
      </w:r>
      <w:r>
        <w:rPr>
          <w:rFonts w:hint="eastAsia" w:ascii="宋体" w:hAnsi="宋体" w:cs="宋体"/>
          <w:bCs/>
          <w:color w:val="auto"/>
          <w:szCs w:val="21"/>
          <w:lang w:val="en-US" w:eastAsia="zh-CN"/>
        </w:rPr>
        <w:t>投标</w:t>
      </w:r>
      <w:r>
        <w:rPr>
          <w:rFonts w:hint="eastAsia" w:ascii="宋体" w:hAnsi="宋体" w:cs="宋体"/>
          <w:bCs/>
          <w:color w:val="auto"/>
          <w:szCs w:val="21"/>
        </w:rPr>
        <w:t>响应文件应在制作完成后，在提交响应文件截止时间前通过有效数字证书（CA认证锁）进行电子签章、加密，然后通过网络将加密的电子响应文件提交至“</w:t>
      </w:r>
      <w:r>
        <w:rPr>
          <w:rFonts w:hint="eastAsia" w:ascii="宋体" w:hAnsi="宋体" w:eastAsia="宋体" w:cs="宋体"/>
          <w:sz w:val="21"/>
          <w:szCs w:val="21"/>
          <w:lang w:val="en-US" w:eastAsia="zh-CN"/>
        </w:rPr>
        <w:t>广西政府采购云平台</w:t>
      </w:r>
      <w:r>
        <w:rPr>
          <w:rFonts w:hint="eastAsia" w:ascii="宋体" w:hAnsi="宋体" w:cs="宋体"/>
          <w:bCs/>
          <w:color w:val="auto"/>
          <w:szCs w:val="21"/>
        </w:rPr>
        <w:t>”。</w:t>
      </w:r>
    </w:p>
    <w:p w14:paraId="7B5B680F">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ascii="宋体" w:hAnsi="宋体" w:cs="宋体"/>
          <w:b/>
          <w:color w:val="auto"/>
          <w:szCs w:val="21"/>
        </w:rPr>
      </w:pPr>
      <w:r>
        <w:rPr>
          <w:rFonts w:hint="eastAsia" w:ascii="宋体" w:hAnsi="宋体" w:cs="宋体"/>
          <w:b/>
          <w:color w:val="auto"/>
          <w:szCs w:val="21"/>
        </w:rPr>
        <w:t>2</w:t>
      </w:r>
      <w:r>
        <w:rPr>
          <w:rFonts w:hint="eastAsia" w:ascii="宋体" w:hAnsi="宋体" w:cs="宋体"/>
          <w:b/>
          <w:color w:val="auto"/>
          <w:szCs w:val="21"/>
          <w:lang w:val="en-US" w:eastAsia="zh-CN"/>
        </w:rPr>
        <w:t>1</w:t>
      </w:r>
      <w:r>
        <w:rPr>
          <w:rFonts w:hint="eastAsia" w:ascii="宋体" w:hAnsi="宋体" w:cs="宋体"/>
          <w:b/>
          <w:color w:val="auto"/>
          <w:szCs w:val="21"/>
        </w:rPr>
        <w:t>.2未在规定时间内提交或者未按照招标文件要求加密的电子响应文件，“</w:t>
      </w:r>
      <w:r>
        <w:rPr>
          <w:rFonts w:hint="eastAsia" w:ascii="宋体" w:hAnsi="宋体" w:cs="宋体"/>
          <w:b/>
          <w:color w:val="auto"/>
          <w:szCs w:val="21"/>
          <w:lang w:val="en-US" w:eastAsia="zh-CN"/>
        </w:rPr>
        <w:t>广西政府采购云平台</w:t>
      </w:r>
      <w:r>
        <w:rPr>
          <w:rFonts w:hint="eastAsia" w:ascii="宋体" w:hAnsi="宋体" w:cs="宋体"/>
          <w:b/>
          <w:color w:val="auto"/>
          <w:szCs w:val="21"/>
        </w:rPr>
        <w:t>”平台将拒收。</w:t>
      </w:r>
    </w:p>
    <w:p w14:paraId="4315CEC5">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1</w:t>
      </w:r>
      <w:r>
        <w:rPr>
          <w:rFonts w:hint="eastAsia" w:ascii="宋体" w:hAnsi="宋体" w:cs="宋体"/>
          <w:color w:val="auto"/>
          <w:szCs w:val="21"/>
        </w:rPr>
        <w:t>.3电子版响应文件提交方式见“招标公告”中“四、提交响应文件截止时间、开标时间和地点”</w:t>
      </w:r>
      <w:r>
        <w:rPr>
          <w:rFonts w:hint="eastAsia" w:ascii="宋体" w:hAnsi="宋体" w:cs="宋体"/>
          <w:b/>
          <w:color w:val="auto"/>
          <w:szCs w:val="21"/>
        </w:rPr>
        <w:t>。</w:t>
      </w:r>
    </w:p>
    <w:p w14:paraId="55CEDA52">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default" w:ascii="宋体" w:hAnsi="宋体" w:eastAsia="宋体" w:cs="宋体"/>
          <w:b/>
          <w:bCs/>
          <w:color w:val="auto"/>
          <w:szCs w:val="21"/>
          <w:lang w:val="en-US" w:eastAsia="zh-CN"/>
        </w:rPr>
      </w:pPr>
      <w:bookmarkStart w:id="142" w:name="_Toc6766"/>
      <w:r>
        <w:rPr>
          <w:rFonts w:hint="eastAsia" w:ascii="宋体" w:hAnsi="宋体" w:cs="宋体"/>
          <w:b/>
          <w:bCs/>
          <w:color w:val="auto"/>
          <w:szCs w:val="21"/>
        </w:rPr>
        <w:t>2</w:t>
      </w:r>
      <w:r>
        <w:rPr>
          <w:rFonts w:hint="eastAsia" w:ascii="宋体" w:hAnsi="宋体" w:cs="宋体"/>
          <w:b/>
          <w:bCs/>
          <w:color w:val="auto"/>
          <w:szCs w:val="21"/>
          <w:lang w:val="en-US" w:eastAsia="zh-CN"/>
        </w:rPr>
        <w:t>2</w:t>
      </w:r>
      <w:r>
        <w:rPr>
          <w:rFonts w:hint="eastAsia" w:ascii="宋体" w:hAnsi="宋体" w:cs="宋体"/>
          <w:b/>
          <w:bCs/>
          <w:color w:val="auto"/>
          <w:szCs w:val="21"/>
        </w:rPr>
        <w:t>.</w:t>
      </w:r>
      <w:r>
        <w:rPr>
          <w:rFonts w:hint="eastAsia" w:ascii="宋体" w:hAnsi="宋体" w:cs="宋体"/>
          <w:b/>
          <w:bCs/>
          <w:color w:val="auto"/>
          <w:szCs w:val="21"/>
          <w:lang w:val="en-US" w:eastAsia="zh-CN"/>
        </w:rPr>
        <w:t>投标</w:t>
      </w:r>
      <w:r>
        <w:rPr>
          <w:rFonts w:hint="eastAsia" w:ascii="宋体" w:hAnsi="宋体" w:cs="宋体"/>
          <w:b/>
          <w:bCs/>
          <w:color w:val="auto"/>
          <w:szCs w:val="21"/>
        </w:rPr>
        <w:t>文件的补充、修改</w:t>
      </w:r>
      <w:r>
        <w:rPr>
          <w:rFonts w:hint="eastAsia" w:ascii="宋体" w:hAnsi="宋体" w:cs="宋体"/>
          <w:b/>
          <w:bCs/>
          <w:color w:val="auto"/>
          <w:szCs w:val="21"/>
          <w:lang w:eastAsia="zh-CN"/>
        </w:rPr>
        <w:t>、</w:t>
      </w:r>
      <w:r>
        <w:rPr>
          <w:rFonts w:hint="eastAsia" w:ascii="宋体" w:hAnsi="宋体" w:cs="宋体"/>
          <w:b/>
          <w:bCs/>
          <w:color w:val="auto"/>
          <w:szCs w:val="21"/>
        </w:rPr>
        <w:t>撤回</w:t>
      </w:r>
      <w:bookmarkEnd w:id="142"/>
      <w:bookmarkStart w:id="143" w:name="_Toc254970684"/>
      <w:bookmarkStart w:id="144" w:name="_Toc254970543"/>
      <w:r>
        <w:rPr>
          <w:rFonts w:hint="eastAsia" w:ascii="宋体" w:hAnsi="宋体" w:cs="宋体"/>
          <w:b/>
          <w:bCs/>
          <w:color w:val="auto"/>
          <w:szCs w:val="21"/>
          <w:lang w:val="en-US" w:eastAsia="zh-CN"/>
        </w:rPr>
        <w:t>与退回</w:t>
      </w:r>
    </w:p>
    <w:p w14:paraId="1678ECA8">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2</w:t>
      </w:r>
      <w:r>
        <w:rPr>
          <w:rFonts w:hint="eastAsia" w:ascii="宋体" w:hAnsi="宋体" w:cs="宋体"/>
          <w:color w:val="auto"/>
          <w:szCs w:val="21"/>
        </w:rPr>
        <w:t>.1</w:t>
      </w:r>
      <w:r>
        <w:rPr>
          <w:rFonts w:hint="eastAsia" w:ascii="宋体" w:hAnsi="宋体" w:cs="宋体"/>
          <w:color w:val="auto"/>
          <w:szCs w:val="21"/>
          <w:lang w:eastAsia="zh-CN"/>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eastAsia="宋体" w:cs="宋体"/>
          <w:sz w:val="21"/>
          <w:szCs w:val="21"/>
          <w:lang w:val="en-US" w:eastAsia="zh-CN"/>
        </w:rPr>
        <w:t>广西政府采购云平台</w:t>
      </w:r>
      <w:r>
        <w:rPr>
          <w:rFonts w:hint="eastAsia" w:ascii="宋体" w:hAnsi="宋体" w:cs="宋体"/>
          <w:color w:val="auto"/>
          <w:szCs w:val="21"/>
          <w:lang w:eastAsia="zh-CN"/>
        </w:rPr>
        <w:t>”将予以拒收。（补充、修改或者撤回方式可登陆“</w:t>
      </w:r>
      <w:r>
        <w:rPr>
          <w:rFonts w:hint="eastAsia" w:ascii="宋体" w:hAnsi="宋体" w:eastAsia="宋体" w:cs="宋体"/>
          <w:sz w:val="21"/>
          <w:szCs w:val="21"/>
          <w:lang w:val="en-US" w:eastAsia="zh-CN"/>
        </w:rPr>
        <w:t>广西政府采购云平台</w:t>
      </w:r>
      <w:r>
        <w:rPr>
          <w:rFonts w:hint="eastAsia" w:ascii="宋体" w:hAnsi="宋体" w:cs="宋体"/>
          <w:color w:val="auto"/>
          <w:szCs w:val="21"/>
          <w:lang w:eastAsia="zh-CN"/>
        </w:rPr>
        <w:t>”，依次进入“服务中心”中查看“电子投标文件制作与投送教程”）</w:t>
      </w:r>
    </w:p>
    <w:p w14:paraId="5E0F8C60">
      <w:pPr>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auto"/>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2</w:t>
      </w:r>
      <w:r>
        <w:rPr>
          <w:rFonts w:hint="eastAsia" w:ascii="宋体" w:hAnsi="宋体" w:cs="宋体"/>
          <w:color w:val="auto"/>
          <w:szCs w:val="21"/>
        </w:rPr>
        <w:t>.2“</w:t>
      </w:r>
      <w:r>
        <w:rPr>
          <w:rFonts w:hint="eastAsia" w:ascii="宋体" w:hAnsi="宋体" w:eastAsia="宋体" w:cs="宋体"/>
          <w:sz w:val="21"/>
          <w:szCs w:val="21"/>
          <w:lang w:val="en-US" w:eastAsia="zh-CN"/>
        </w:rPr>
        <w:t>广西政府采购云平台</w:t>
      </w:r>
      <w:r>
        <w:rPr>
          <w:rFonts w:hint="eastAsia" w:ascii="宋体" w:hAnsi="宋体" w:cs="宋体"/>
          <w:color w:val="auto"/>
          <w:szCs w:val="21"/>
        </w:rPr>
        <w:t>”收到投标文件后向供应商发出确认回执通知。在投标截止时间前，除供应商补充、修改或者撤回投标文件外，任何单位和个人不得解密或提取投标文件</w:t>
      </w:r>
    </w:p>
    <w:p w14:paraId="6B99198D">
      <w:pPr>
        <w:keepNext w:val="0"/>
        <w:keepLines w:val="0"/>
        <w:pageBreakBefore w:val="0"/>
        <w:widowControl w:val="0"/>
        <w:shd w:val="clear" w:color="auto" w:fill="auto"/>
        <w:kinsoku/>
        <w:wordWrap/>
        <w:overflowPunct/>
        <w:topLinePunct w:val="0"/>
        <w:autoSpaceDE/>
        <w:autoSpaceDN/>
        <w:bidi w:val="0"/>
        <w:spacing w:line="360" w:lineRule="auto"/>
        <w:ind w:firstLine="420" w:firstLineChars="200"/>
        <w:textAlignment w:val="auto"/>
        <w:rPr>
          <w:rFonts w:ascii="宋体" w:hAnsi="宋体" w:cs="宋体"/>
          <w:b/>
          <w:bCs/>
          <w:snapToGrid w:val="0"/>
          <w:color w:val="auto"/>
          <w:spacing w:val="-4"/>
          <w:szCs w:val="21"/>
        </w:rPr>
      </w:pPr>
      <w:bookmarkStart w:id="145" w:name="_Toc9590"/>
      <w:r>
        <w:rPr>
          <w:rFonts w:hint="eastAsia" w:ascii="宋体" w:hAnsi="宋体" w:cs="宋体"/>
          <w:color w:val="auto"/>
          <w:szCs w:val="21"/>
        </w:rPr>
        <w:t>2</w:t>
      </w:r>
      <w:r>
        <w:rPr>
          <w:rFonts w:hint="eastAsia" w:ascii="宋体" w:hAnsi="宋体" w:cs="宋体"/>
          <w:color w:val="auto"/>
          <w:szCs w:val="21"/>
          <w:lang w:val="en-US" w:eastAsia="zh-CN"/>
        </w:rPr>
        <w:t>2.3</w:t>
      </w:r>
      <w:r>
        <w:rPr>
          <w:rFonts w:hint="eastAsia" w:ascii="宋体" w:hAnsi="宋体" w:cs="宋体"/>
          <w:color w:val="auto"/>
          <w:szCs w:val="21"/>
        </w:rPr>
        <w:t>.</w:t>
      </w:r>
      <w:bookmarkEnd w:id="143"/>
      <w:bookmarkEnd w:id="144"/>
      <w:bookmarkEnd w:id="145"/>
      <w:r>
        <w:rPr>
          <w:rFonts w:hint="eastAsia" w:ascii="宋体" w:hAnsi="宋体" w:cs="宋体"/>
          <w:color w:val="auto"/>
          <w:szCs w:val="21"/>
          <w:highlight w:val="none"/>
          <w:shd w:val="clear" w:color="auto" w:fill="auto"/>
        </w:rPr>
        <w:t>在投标截止时间后，采购人和采购代理机构对已提交的投标文件概不退回。</w:t>
      </w:r>
    </w:p>
    <w:p w14:paraId="046C7F9F">
      <w:pPr>
        <w:keepNext w:val="0"/>
        <w:keepLines w:val="0"/>
        <w:pageBreakBefore w:val="0"/>
        <w:widowControl w:val="0"/>
        <w:kinsoku/>
        <w:wordWrap/>
        <w:overflowPunct/>
        <w:topLinePunct w:val="0"/>
        <w:autoSpaceDE/>
        <w:autoSpaceDN/>
        <w:bidi w:val="0"/>
        <w:spacing w:line="360" w:lineRule="auto"/>
        <w:ind w:firstLine="422" w:firstLineChars="200"/>
        <w:jc w:val="center"/>
        <w:textAlignment w:val="auto"/>
        <w:rPr>
          <w:rFonts w:hint="default" w:ascii="宋体" w:hAnsi="宋体" w:eastAsia="宋体" w:cs="宋体"/>
          <w:b/>
          <w:bCs/>
          <w:color w:val="auto"/>
          <w:szCs w:val="21"/>
          <w:lang w:val="en-US" w:eastAsia="zh-CN"/>
        </w:rPr>
      </w:pPr>
      <w:bookmarkStart w:id="146" w:name="_23.开标时间和地点"/>
      <w:bookmarkEnd w:id="146"/>
      <w:bookmarkStart w:id="147" w:name="_Toc5753"/>
      <w:r>
        <w:rPr>
          <w:rFonts w:hint="eastAsia" w:ascii="宋体" w:hAnsi="宋体" w:cs="宋体"/>
          <w:b/>
          <w:bCs/>
          <w:color w:val="auto"/>
          <w:szCs w:val="21"/>
        </w:rPr>
        <w:t>四、</w:t>
      </w:r>
      <w:r>
        <w:rPr>
          <w:rFonts w:hint="eastAsia" w:ascii="宋体" w:hAnsi="宋体" w:cs="宋体"/>
          <w:b/>
          <w:bCs/>
          <w:color w:val="auto"/>
          <w:szCs w:val="21"/>
          <w:lang w:val="en-US" w:eastAsia="zh-CN"/>
        </w:rPr>
        <w:t>开标</w:t>
      </w:r>
    </w:p>
    <w:p w14:paraId="01C06297">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cs="宋体"/>
          <w:b/>
          <w:bCs/>
          <w:color w:val="auto"/>
          <w:szCs w:val="21"/>
        </w:rPr>
      </w:pPr>
      <w:r>
        <w:rPr>
          <w:rFonts w:hint="eastAsia" w:ascii="宋体" w:hAnsi="宋体" w:cs="宋体"/>
          <w:b/>
          <w:bCs/>
          <w:color w:val="auto"/>
          <w:szCs w:val="21"/>
        </w:rPr>
        <w:t>23.开标时间和地点</w:t>
      </w:r>
    </w:p>
    <w:p w14:paraId="14375C2D">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Cs w:val="21"/>
        </w:rPr>
      </w:pPr>
      <w:r>
        <w:rPr>
          <w:rFonts w:hint="eastAsia" w:ascii="宋体" w:hAnsi="宋体" w:cs="宋体"/>
          <w:b w:val="0"/>
          <w:bCs w:val="0"/>
          <w:color w:val="auto"/>
          <w:szCs w:val="21"/>
        </w:rPr>
        <w:t>开标时间及地点详见“投标人须知前附表”</w:t>
      </w:r>
    </w:p>
    <w:p w14:paraId="478BB7D7">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cs="宋体"/>
          <w:b/>
          <w:bCs/>
          <w:color w:val="auto"/>
          <w:szCs w:val="21"/>
        </w:rPr>
      </w:pPr>
      <w:r>
        <w:rPr>
          <w:rFonts w:hint="eastAsia" w:ascii="宋体" w:hAnsi="宋体" w:cs="宋体"/>
          <w:b/>
          <w:bCs/>
          <w:color w:val="auto"/>
          <w:szCs w:val="21"/>
        </w:rPr>
        <w:t>24.开标程序</w:t>
      </w:r>
    </w:p>
    <w:p w14:paraId="00A78014">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Cs w:val="21"/>
        </w:rPr>
      </w:pPr>
      <w:r>
        <w:rPr>
          <w:rFonts w:hint="eastAsia" w:ascii="宋体" w:hAnsi="宋体" w:cs="宋体"/>
          <w:b w:val="0"/>
          <w:bCs w:val="0"/>
          <w:color w:val="auto"/>
          <w:szCs w:val="21"/>
        </w:rPr>
        <w:t>24.1提交投标文件截止时间止，投标人不足3家的，不得开标。</w:t>
      </w:r>
    </w:p>
    <w:p w14:paraId="7D64F196">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Cs w:val="21"/>
        </w:rPr>
      </w:pPr>
      <w:r>
        <w:rPr>
          <w:rFonts w:hint="eastAsia" w:ascii="宋体" w:hAnsi="宋体" w:cs="宋体"/>
          <w:b w:val="0"/>
          <w:bCs w:val="0"/>
          <w:color w:val="auto"/>
          <w:szCs w:val="21"/>
        </w:rPr>
        <w:t>24.2采购代理机构将按照招标文件规定的时间通过“</w:t>
      </w:r>
      <w:r>
        <w:rPr>
          <w:rFonts w:hint="eastAsia" w:ascii="宋体" w:hAnsi="宋体" w:eastAsia="宋体" w:cs="宋体"/>
          <w:sz w:val="21"/>
          <w:szCs w:val="21"/>
          <w:lang w:val="en-US" w:eastAsia="zh-CN"/>
        </w:rPr>
        <w:t>广西政府采购云平台</w:t>
      </w:r>
      <w:r>
        <w:rPr>
          <w:rFonts w:hint="eastAsia" w:ascii="宋体" w:hAnsi="宋体" w:cs="宋体"/>
          <w:b w:val="0"/>
          <w:bCs w:val="0"/>
          <w:color w:val="auto"/>
          <w:szCs w:val="21"/>
        </w:rPr>
        <w:t>”组织线上开标活动，所有供应商均应当准时在线参加，投标人因未在线参加开标而导致投标文件无法按时解密等一切后果由投标人自己承担。</w:t>
      </w:r>
    </w:p>
    <w:p w14:paraId="42E6B44C">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Cs w:val="21"/>
        </w:rPr>
      </w:pPr>
      <w:r>
        <w:rPr>
          <w:rFonts w:hint="eastAsia" w:ascii="宋体" w:hAnsi="宋体" w:cs="宋体"/>
          <w:b w:val="0"/>
          <w:bCs w:val="0"/>
          <w:color w:val="auto"/>
          <w:szCs w:val="21"/>
        </w:rPr>
        <w:t>24.3开标程序</w:t>
      </w:r>
    </w:p>
    <w:p w14:paraId="08A44330">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Cs w:val="21"/>
        </w:rPr>
      </w:pPr>
      <w:r>
        <w:rPr>
          <w:rFonts w:hint="eastAsia" w:ascii="宋体" w:hAnsi="宋体" w:cs="宋体"/>
          <w:b w:val="0"/>
          <w:bCs w:val="0"/>
          <w:color w:val="auto"/>
          <w:szCs w:val="21"/>
        </w:rPr>
        <w:t>（1）解密电子投标文件。“</w:t>
      </w:r>
      <w:r>
        <w:rPr>
          <w:rFonts w:hint="eastAsia" w:ascii="宋体" w:hAnsi="宋体" w:eastAsia="宋体" w:cs="宋体"/>
          <w:sz w:val="21"/>
          <w:szCs w:val="21"/>
          <w:lang w:val="en-US" w:eastAsia="zh-CN"/>
        </w:rPr>
        <w:t>广西政府采购云平台”</w:t>
      </w:r>
      <w:r>
        <w:rPr>
          <w:rFonts w:hint="eastAsia" w:ascii="宋体" w:hAnsi="宋体" w:cs="宋体"/>
          <w:b w:val="0"/>
          <w:bCs w:val="0"/>
          <w:color w:val="auto"/>
          <w:szCs w:val="21"/>
        </w:rPr>
        <w:t>按开标时间自动提取所有投标文件。采购代理机构依托“</w:t>
      </w:r>
      <w:r>
        <w:rPr>
          <w:rFonts w:hint="eastAsia" w:ascii="宋体" w:hAnsi="宋体" w:eastAsia="宋体" w:cs="宋体"/>
          <w:sz w:val="21"/>
          <w:szCs w:val="21"/>
          <w:lang w:val="en-US" w:eastAsia="zh-CN"/>
        </w:rPr>
        <w:t>广西政府采购云平台</w:t>
      </w:r>
      <w:r>
        <w:rPr>
          <w:rFonts w:hint="eastAsia" w:ascii="宋体" w:hAnsi="宋体" w:cs="宋体"/>
          <w:b w:val="0"/>
          <w:bCs w:val="0"/>
          <w:color w:val="auto"/>
          <w:szCs w:val="21"/>
        </w:rPr>
        <w:t>”向各投标人发出电子加密投标文件【开始解密】通知，由投标人按“投标人须知前附表”规定的时间内自行进行投标文件解密。投标人的法定代表人或其委托代理人须凭加密时所用的CA锁准时登录到“</w:t>
      </w:r>
      <w:r>
        <w:rPr>
          <w:rFonts w:hint="eastAsia" w:ascii="宋体" w:hAnsi="宋体" w:eastAsia="宋体" w:cs="宋体"/>
          <w:sz w:val="21"/>
          <w:szCs w:val="21"/>
          <w:lang w:val="en-US" w:eastAsia="zh-CN"/>
        </w:rPr>
        <w:t>广西政府采购云平台</w:t>
      </w:r>
      <w:r>
        <w:rPr>
          <w:rFonts w:hint="eastAsia" w:ascii="宋体" w:hAnsi="宋体" w:cs="宋体"/>
          <w:b w:val="0"/>
          <w:bCs w:val="0"/>
          <w:color w:val="auto"/>
          <w:szCs w:val="21"/>
        </w:rPr>
        <w:t>”电子开标大厅签到并对电子投标文件解密。</w:t>
      </w:r>
      <w:r>
        <w:rPr>
          <w:b/>
        </w:rPr>
        <w:t>投标人</w:t>
      </w:r>
      <w:r>
        <w:rPr>
          <w:rFonts w:hint="eastAsia"/>
          <w:b/>
        </w:rPr>
        <w:t>未在</w:t>
      </w:r>
      <w:r>
        <w:rPr>
          <w:b/>
        </w:rPr>
        <w:t>规定的时间内解密</w:t>
      </w:r>
      <w:r>
        <w:rPr>
          <w:rFonts w:hint="eastAsia"/>
          <w:b/>
        </w:rPr>
        <w:t>投标文件</w:t>
      </w:r>
      <w:r>
        <w:rPr>
          <w:b/>
        </w:rPr>
        <w:t>或</w:t>
      </w:r>
      <w:r>
        <w:rPr>
          <w:rFonts w:hint="eastAsia"/>
          <w:b/>
        </w:rPr>
        <w:t>者</w:t>
      </w:r>
      <w:r>
        <w:rPr>
          <w:b/>
        </w:rPr>
        <w:t>解密失败的</w:t>
      </w:r>
      <w:r>
        <w:rPr>
          <w:rFonts w:hint="eastAsia"/>
          <w:b/>
        </w:rPr>
        <w:t>，</w:t>
      </w:r>
      <w:r>
        <w:rPr>
          <w:rFonts w:hint="eastAsia" w:ascii="宋体" w:hAnsi="宋体"/>
          <w:b/>
          <w:szCs w:val="21"/>
        </w:rPr>
        <w:t>投标人的投标文件作无效处理</w:t>
      </w:r>
      <w:r>
        <w:rPr>
          <w:b/>
        </w:rPr>
        <w:t>。</w:t>
      </w:r>
    </w:p>
    <w:p w14:paraId="23B8DB6F">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Cs w:val="21"/>
        </w:rPr>
      </w:pPr>
      <w:r>
        <w:rPr>
          <w:rFonts w:hint="eastAsia" w:ascii="宋体" w:hAnsi="宋体" w:cs="宋体"/>
          <w:b w:val="0"/>
          <w:bCs w:val="0"/>
          <w:color w:val="auto"/>
          <w:szCs w:val="21"/>
        </w:rPr>
        <w:t>如招标文件规定不接受备份电子投标文件，投标人未在规定的时间内解密投标文件或者解密失败的，投标人的投标文件作无效处理；如招标文件规定接受备份电子投标文件，投标人未在规定的时间内解密投标文件或者解密失败的，采购代理机构将电子备份投标文件按“</w:t>
      </w:r>
      <w:r>
        <w:rPr>
          <w:rFonts w:hint="eastAsia" w:ascii="宋体" w:hAnsi="宋体" w:eastAsia="宋体" w:cs="宋体"/>
          <w:sz w:val="21"/>
          <w:szCs w:val="21"/>
          <w:lang w:val="en-US" w:eastAsia="zh-CN"/>
        </w:rPr>
        <w:t>广西政府采购云平台</w:t>
      </w:r>
      <w:r>
        <w:rPr>
          <w:rFonts w:hint="eastAsia" w:ascii="宋体" w:hAnsi="宋体" w:cs="宋体"/>
          <w:b w:val="0"/>
          <w:bCs w:val="0"/>
          <w:color w:val="auto"/>
          <w:szCs w:val="21"/>
        </w:rPr>
        <w:t>”操作规范上传至“</w:t>
      </w:r>
      <w:r>
        <w:rPr>
          <w:rFonts w:hint="eastAsia" w:ascii="宋体" w:hAnsi="宋体" w:eastAsia="宋体" w:cs="宋体"/>
          <w:sz w:val="21"/>
          <w:szCs w:val="21"/>
          <w:lang w:val="en-US" w:eastAsia="zh-CN"/>
        </w:rPr>
        <w:t>广西政府采购云平台</w:t>
      </w:r>
      <w:r>
        <w:rPr>
          <w:rFonts w:hint="eastAsia" w:ascii="宋体" w:hAnsi="宋体" w:cs="宋体"/>
          <w:b w:val="0"/>
          <w:bCs w:val="0"/>
          <w:color w:val="auto"/>
          <w:szCs w:val="21"/>
        </w:rPr>
        <w:t>”，电子备份投标文件上传成功后，投标人原上传的“电子加密投标文件”自动失效。若投标人未在规定时间内解密或者解密失败，且未提供电子备份投标文件或者提供的电子备份投标文件无效或者电子备份投标文件无法解读的，投标人的投标文件作无效处理。</w:t>
      </w:r>
    </w:p>
    <w:p w14:paraId="48B3146F">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Cs w:val="21"/>
        </w:rPr>
      </w:pPr>
      <w:r>
        <w:rPr>
          <w:rFonts w:hint="eastAsia" w:ascii="宋体" w:hAnsi="宋体" w:cs="宋体"/>
          <w:b w:val="0"/>
          <w:bCs w:val="0"/>
          <w:color w:val="auto"/>
          <w:szCs w:val="21"/>
        </w:rPr>
        <w:t>（2）电子唱标。投标文件解密结束，宣布的内容均在“</w:t>
      </w:r>
      <w:r>
        <w:rPr>
          <w:rFonts w:hint="eastAsia" w:ascii="宋体" w:hAnsi="宋体" w:eastAsia="宋体" w:cs="宋体"/>
          <w:sz w:val="21"/>
          <w:szCs w:val="21"/>
          <w:lang w:val="en-US" w:eastAsia="zh-CN"/>
        </w:rPr>
        <w:t>广西政府采购云平台</w:t>
      </w:r>
      <w:r>
        <w:rPr>
          <w:rFonts w:hint="eastAsia" w:ascii="宋体" w:hAnsi="宋体" w:cs="宋体"/>
          <w:b w:val="0"/>
          <w:bCs w:val="0"/>
          <w:color w:val="auto"/>
          <w:szCs w:val="21"/>
        </w:rPr>
        <w:t>”远程开标大厅展示，具体详见“投标人须知前附表”；</w:t>
      </w:r>
    </w:p>
    <w:p w14:paraId="1EA6D99B">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Cs w:val="21"/>
        </w:rPr>
      </w:pPr>
      <w:r>
        <w:rPr>
          <w:rFonts w:hint="eastAsia" w:ascii="宋体" w:hAnsi="宋体" w:cs="宋体"/>
          <w:b w:val="0"/>
          <w:bCs w:val="0"/>
          <w:color w:val="auto"/>
          <w:szCs w:val="21"/>
        </w:rPr>
        <w:t>（3）开标过程由采购代理机构如实记录，并电子留痕，由参加电子开标的各投标人代表对电子开标记录在开标记录公布后15分钟内进行当场校核及勘误，并线上确认是否有异议，未确认的视同认可开标结果。</w:t>
      </w:r>
    </w:p>
    <w:p w14:paraId="0E2F233E">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Cs w:val="21"/>
        </w:rPr>
      </w:pPr>
      <w:r>
        <w:rPr>
          <w:rFonts w:hint="eastAsia" w:ascii="宋体" w:hAnsi="宋体" w:cs="宋体"/>
          <w:b w:val="0"/>
          <w:bCs w:val="0"/>
          <w:color w:val="auto"/>
          <w:szCs w:val="21"/>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787F2555">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Cs w:val="21"/>
        </w:rPr>
      </w:pPr>
      <w:r>
        <w:rPr>
          <w:rFonts w:hint="eastAsia" w:ascii="宋体" w:hAnsi="宋体" w:cs="宋体"/>
          <w:b w:val="0"/>
          <w:bCs w:val="0"/>
          <w:color w:val="auto"/>
          <w:szCs w:val="21"/>
        </w:rPr>
        <w:t>（5）开标结束。</w:t>
      </w:r>
    </w:p>
    <w:p w14:paraId="2CB51E9D">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Cs w:val="21"/>
          <w:lang w:eastAsia="zh-CN"/>
        </w:rPr>
      </w:pPr>
      <w:r>
        <w:rPr>
          <w:rFonts w:hint="eastAsia" w:ascii="宋体" w:hAnsi="宋体" w:cs="宋体"/>
          <w:b w:val="0"/>
          <w:bCs w:val="0"/>
          <w:color w:val="auto"/>
          <w:szCs w:val="21"/>
        </w:rPr>
        <w:t>特别说明：如遇“</w:t>
      </w:r>
      <w:r>
        <w:rPr>
          <w:rFonts w:hint="eastAsia" w:ascii="宋体" w:hAnsi="宋体" w:eastAsia="宋体" w:cs="宋体"/>
          <w:sz w:val="21"/>
          <w:szCs w:val="21"/>
          <w:lang w:val="en-US" w:eastAsia="zh-CN"/>
        </w:rPr>
        <w:t>广西政府采购云平台</w:t>
      </w:r>
      <w:r>
        <w:rPr>
          <w:rFonts w:hint="eastAsia" w:ascii="宋体" w:hAnsi="宋体" w:cs="宋体"/>
          <w:b w:val="0"/>
          <w:bCs w:val="0"/>
          <w:color w:val="auto"/>
          <w:szCs w:val="21"/>
        </w:rPr>
        <w:t>”电子化开标或评审程序调整的，按调整后执行</w:t>
      </w:r>
      <w:r>
        <w:rPr>
          <w:rFonts w:hint="eastAsia" w:ascii="宋体" w:hAnsi="宋体" w:cs="宋体"/>
          <w:b w:val="0"/>
          <w:bCs w:val="0"/>
          <w:color w:val="auto"/>
          <w:szCs w:val="21"/>
          <w:lang w:eastAsia="zh-CN"/>
        </w:rPr>
        <w:t>。</w:t>
      </w:r>
    </w:p>
    <w:p w14:paraId="72512527">
      <w:pPr>
        <w:keepNext w:val="0"/>
        <w:keepLines w:val="0"/>
        <w:pageBreakBefore w:val="0"/>
        <w:widowControl w:val="0"/>
        <w:kinsoku/>
        <w:wordWrap/>
        <w:overflowPunct/>
        <w:topLinePunct w:val="0"/>
        <w:autoSpaceDE/>
        <w:autoSpaceDN/>
        <w:bidi w:val="0"/>
        <w:spacing w:line="360" w:lineRule="auto"/>
        <w:ind w:firstLine="422" w:firstLineChars="200"/>
        <w:jc w:val="center"/>
        <w:textAlignment w:val="auto"/>
        <w:rPr>
          <w:rFonts w:hint="eastAsia" w:ascii="宋体" w:hAnsi="宋体" w:cs="宋体"/>
          <w:b/>
          <w:bCs/>
          <w:color w:val="auto"/>
          <w:szCs w:val="21"/>
          <w:lang w:val="en-US" w:eastAsia="zh-CN"/>
        </w:rPr>
      </w:pPr>
    </w:p>
    <w:p w14:paraId="3CC84856">
      <w:pPr>
        <w:keepNext w:val="0"/>
        <w:keepLines w:val="0"/>
        <w:pageBreakBefore w:val="0"/>
        <w:widowControl w:val="0"/>
        <w:kinsoku/>
        <w:wordWrap/>
        <w:overflowPunct/>
        <w:topLinePunct w:val="0"/>
        <w:autoSpaceDE/>
        <w:autoSpaceDN/>
        <w:bidi w:val="0"/>
        <w:spacing w:line="360" w:lineRule="auto"/>
        <w:ind w:firstLine="422" w:firstLineChars="200"/>
        <w:jc w:val="center"/>
        <w:textAlignment w:val="auto"/>
        <w:rPr>
          <w:rFonts w:hint="default" w:ascii="宋体" w:hAnsi="宋体" w:eastAsia="宋体" w:cs="宋体"/>
          <w:b/>
          <w:bCs/>
          <w:color w:val="auto"/>
          <w:szCs w:val="21"/>
          <w:lang w:val="en-US" w:eastAsia="zh-CN"/>
        </w:rPr>
      </w:pPr>
      <w:r>
        <w:rPr>
          <w:rFonts w:hint="eastAsia" w:ascii="宋体" w:hAnsi="宋体" w:cs="宋体"/>
          <w:b/>
          <w:bCs/>
          <w:color w:val="auto"/>
          <w:szCs w:val="21"/>
          <w:lang w:val="en-US" w:eastAsia="zh-CN"/>
        </w:rPr>
        <w:t>五</w:t>
      </w:r>
      <w:r>
        <w:rPr>
          <w:rFonts w:hint="eastAsia" w:ascii="宋体" w:hAnsi="宋体" w:cs="宋体"/>
          <w:b/>
          <w:bCs/>
          <w:color w:val="auto"/>
          <w:szCs w:val="21"/>
        </w:rPr>
        <w:t>、</w:t>
      </w:r>
      <w:r>
        <w:rPr>
          <w:rFonts w:hint="eastAsia" w:ascii="宋体" w:hAnsi="宋体" w:cs="宋体"/>
          <w:b/>
          <w:bCs/>
          <w:color w:val="auto"/>
          <w:szCs w:val="21"/>
          <w:lang w:val="en-US" w:eastAsia="zh-CN"/>
        </w:rPr>
        <w:t>开标</w:t>
      </w:r>
    </w:p>
    <w:p w14:paraId="047D1A0F">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auto"/>
          <w:szCs w:val="21"/>
        </w:rPr>
      </w:pPr>
      <w:r>
        <w:rPr>
          <w:rFonts w:hint="eastAsia" w:ascii="宋体" w:hAnsi="宋体" w:eastAsia="宋体" w:cs="宋体"/>
          <w:b/>
          <w:bCs/>
          <w:color w:val="auto"/>
          <w:szCs w:val="21"/>
        </w:rPr>
        <w:t>25.资格审查</w:t>
      </w:r>
    </w:p>
    <w:p w14:paraId="50C2D81A">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Cs w:val="21"/>
        </w:rPr>
      </w:pPr>
      <w:r>
        <w:rPr>
          <w:rFonts w:hint="eastAsia" w:ascii="宋体" w:hAnsi="宋体" w:eastAsia="宋体" w:cs="宋体"/>
          <w:b w:val="0"/>
          <w:bCs w:val="0"/>
          <w:color w:val="auto"/>
          <w:szCs w:val="21"/>
        </w:rPr>
        <w:t>25.1开标结束后，采购人或者采购代理机构通过电子开评标系统依据招标文件对电子投标文件进行线上资格审查。</w:t>
      </w:r>
    </w:p>
    <w:p w14:paraId="497B4BC9">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Cs w:val="21"/>
        </w:rPr>
      </w:pPr>
      <w:r>
        <w:rPr>
          <w:rFonts w:hint="eastAsia" w:ascii="宋体" w:hAnsi="宋体" w:eastAsia="宋体" w:cs="宋体"/>
          <w:b w:val="0"/>
          <w:bCs w:val="0"/>
          <w:color w:val="auto"/>
          <w:szCs w:val="21"/>
        </w:rPr>
        <w:t>25.2资格审查标准为本招标文件中载明对投标人资格要求的条件。本项目资格审查采用合格制，凡符合招标文件规定的投标人资格要求的投标人均通过资格审查。</w:t>
      </w:r>
    </w:p>
    <w:p w14:paraId="66C449F8">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auto"/>
          <w:szCs w:val="21"/>
        </w:rPr>
      </w:pPr>
      <w:r>
        <w:rPr>
          <w:rFonts w:hint="eastAsia" w:ascii="宋体" w:hAnsi="宋体" w:eastAsia="宋体" w:cs="宋体"/>
          <w:b/>
          <w:bCs/>
          <w:color w:val="auto"/>
          <w:szCs w:val="21"/>
        </w:rPr>
        <w:t>25.3投标人有下列情形之一的，资格审查不通过，作无效投标处理：</w:t>
      </w:r>
    </w:p>
    <w:p w14:paraId="4F681A72">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auto"/>
          <w:szCs w:val="21"/>
        </w:rPr>
      </w:pPr>
      <w:r>
        <w:rPr>
          <w:rFonts w:hint="eastAsia" w:ascii="宋体" w:hAnsi="宋体" w:eastAsia="宋体" w:cs="宋体"/>
          <w:b/>
          <w:bCs/>
          <w:color w:val="auto"/>
          <w:szCs w:val="21"/>
        </w:rPr>
        <w:t>（1）不具备招标文件中规定的资格要求的；</w:t>
      </w:r>
    </w:p>
    <w:p w14:paraId="640F4590">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auto"/>
          <w:szCs w:val="21"/>
        </w:rPr>
      </w:pPr>
      <w:r>
        <w:rPr>
          <w:rFonts w:hint="eastAsia" w:ascii="宋体" w:hAnsi="宋体" w:eastAsia="宋体" w:cs="宋体"/>
          <w:b/>
          <w:bCs/>
          <w:color w:val="auto"/>
          <w:szCs w:val="21"/>
        </w:rPr>
        <w:t>（2）在“信用中国”网站（www.creditchina.gov.cn）、中国政府采购网（www.ccgp.gov.cn）被列入失信被执行人、重大税收违法案件当事人名单、政府采购严重违法失信行为记录名单及其他不符合《中华人民共和国政府采购法》第二十二条规定条件的；（注：其中信用查询规则见“投标人须知前附表”，“</w:t>
      </w:r>
      <w:r>
        <w:rPr>
          <w:rFonts w:hint="eastAsia" w:ascii="宋体" w:hAnsi="宋体" w:eastAsia="宋体" w:cs="宋体"/>
          <w:b/>
          <w:bCs/>
          <w:sz w:val="21"/>
          <w:szCs w:val="21"/>
          <w:lang w:val="en-US" w:eastAsia="zh-CN"/>
        </w:rPr>
        <w:t>广西政府采购云平台</w:t>
      </w:r>
      <w:r>
        <w:rPr>
          <w:rFonts w:hint="eastAsia" w:ascii="宋体" w:hAnsi="宋体" w:eastAsia="宋体" w:cs="宋体"/>
          <w:b/>
          <w:bCs/>
          <w:color w:val="auto"/>
          <w:szCs w:val="21"/>
        </w:rPr>
        <w:t>”已与“信用中国”网站、中国政府采购网实现数据对接，可直接在线查询）</w:t>
      </w:r>
    </w:p>
    <w:p w14:paraId="3E272957">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auto"/>
          <w:szCs w:val="21"/>
        </w:rPr>
      </w:pPr>
      <w:r>
        <w:rPr>
          <w:rFonts w:hint="eastAsia" w:ascii="宋体" w:hAnsi="宋体" w:eastAsia="宋体" w:cs="宋体"/>
          <w:b/>
          <w:bCs/>
          <w:color w:val="auto"/>
          <w:szCs w:val="21"/>
        </w:rPr>
        <w:t>（3）同一合同项下的不同投标人，单位负责人为同一人或者存在直接控股、管理关系的；为本项目提供过整体设计、规范编制或者项目管理、监理、检测等服务的供应商，再参加该采购项目的其他采购活动的；</w:t>
      </w:r>
    </w:p>
    <w:p w14:paraId="2110C57D">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auto"/>
          <w:szCs w:val="21"/>
        </w:rPr>
      </w:pPr>
      <w:r>
        <w:rPr>
          <w:rFonts w:hint="eastAsia" w:ascii="宋体" w:hAnsi="宋体" w:eastAsia="宋体" w:cs="宋体"/>
          <w:b/>
          <w:bCs/>
          <w:color w:val="auto"/>
          <w:szCs w:val="21"/>
        </w:rPr>
        <w:t>（4）投标文件中的资格证明文件缺少任一项“投标人须知前附表”资格证明文件规定“必须提供”的文件资料的；</w:t>
      </w:r>
    </w:p>
    <w:p w14:paraId="15D72A2D">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auto"/>
          <w:szCs w:val="21"/>
        </w:rPr>
      </w:pPr>
      <w:r>
        <w:rPr>
          <w:rFonts w:hint="eastAsia" w:ascii="宋体" w:hAnsi="宋体" w:eastAsia="宋体" w:cs="宋体"/>
          <w:b/>
          <w:bCs/>
          <w:color w:val="auto"/>
          <w:szCs w:val="21"/>
        </w:rPr>
        <w:t>（5）投标文件中的资格证明文件出现任一项不符合“投标人须知前附表”资格证明文件规定“必须提供”的文件资料要求或者无效的。</w:t>
      </w:r>
    </w:p>
    <w:p w14:paraId="15CCFA4B">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auto"/>
          <w:szCs w:val="21"/>
          <w:lang w:eastAsia="zh-CN"/>
        </w:rPr>
      </w:pPr>
      <w:r>
        <w:rPr>
          <w:rFonts w:hint="eastAsia" w:ascii="宋体" w:hAnsi="宋体" w:eastAsia="宋体" w:cs="宋体"/>
          <w:b/>
          <w:bCs/>
          <w:color w:val="auto"/>
          <w:szCs w:val="21"/>
        </w:rPr>
        <w:t>25.4合格投标人不足3家的，不得评标</w:t>
      </w:r>
      <w:r>
        <w:rPr>
          <w:rFonts w:hint="eastAsia" w:ascii="宋体" w:hAnsi="宋体" w:eastAsia="宋体" w:cs="宋体"/>
          <w:b/>
          <w:bCs/>
          <w:color w:val="auto"/>
          <w:szCs w:val="21"/>
          <w:lang w:eastAsia="zh-CN"/>
        </w:rPr>
        <w:t>。</w:t>
      </w:r>
    </w:p>
    <w:p w14:paraId="327DC14A">
      <w:pPr>
        <w:keepNext w:val="0"/>
        <w:keepLines w:val="0"/>
        <w:pageBreakBefore w:val="0"/>
        <w:widowControl w:val="0"/>
        <w:kinsoku/>
        <w:wordWrap/>
        <w:overflowPunct/>
        <w:topLinePunct w:val="0"/>
        <w:autoSpaceDE/>
        <w:autoSpaceDN/>
        <w:bidi w:val="0"/>
        <w:spacing w:line="360" w:lineRule="auto"/>
        <w:ind w:firstLine="422" w:firstLineChars="200"/>
        <w:jc w:val="center"/>
        <w:textAlignment w:val="auto"/>
        <w:rPr>
          <w:rFonts w:hint="eastAsia" w:ascii="宋体" w:hAnsi="宋体" w:eastAsia="宋体" w:cs="宋体"/>
          <w:b/>
          <w:bCs/>
          <w:color w:val="auto"/>
          <w:szCs w:val="21"/>
          <w:lang w:val="en-US" w:eastAsia="zh-CN"/>
        </w:rPr>
      </w:pPr>
    </w:p>
    <w:p w14:paraId="01B43596">
      <w:pPr>
        <w:keepNext w:val="0"/>
        <w:keepLines w:val="0"/>
        <w:pageBreakBefore w:val="0"/>
        <w:widowControl w:val="0"/>
        <w:kinsoku/>
        <w:wordWrap/>
        <w:overflowPunct/>
        <w:topLinePunct w:val="0"/>
        <w:autoSpaceDE/>
        <w:autoSpaceDN/>
        <w:bidi w:val="0"/>
        <w:spacing w:line="360" w:lineRule="auto"/>
        <w:ind w:firstLine="422" w:firstLineChars="200"/>
        <w:jc w:val="center"/>
        <w:textAlignment w:val="auto"/>
        <w:rPr>
          <w:rFonts w:hint="eastAsia"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六、评   标</w:t>
      </w:r>
    </w:p>
    <w:p w14:paraId="328B6FE1">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auto"/>
          <w:szCs w:val="21"/>
        </w:rPr>
      </w:pPr>
      <w:bookmarkStart w:id="148" w:name="_26.组建评标委员会"/>
      <w:bookmarkEnd w:id="148"/>
      <w:r>
        <w:rPr>
          <w:rFonts w:hint="eastAsia" w:ascii="宋体" w:hAnsi="宋体" w:eastAsia="宋体" w:cs="宋体"/>
          <w:b/>
          <w:bCs/>
          <w:color w:val="auto"/>
          <w:szCs w:val="21"/>
        </w:rPr>
        <w:t>26.组建评标委员会</w:t>
      </w:r>
    </w:p>
    <w:p w14:paraId="09D81818">
      <w:pPr>
        <w:pStyle w:val="14"/>
        <w:keepNext w:val="0"/>
        <w:keepLines w:val="0"/>
        <w:pageBreakBefore w:val="0"/>
        <w:widowControl w:val="0"/>
        <w:shd w:val="clear" w:color="auto" w:fill="auto"/>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highlight w:val="none"/>
          <w:shd w:val="clear" w:color="auto" w:fill="auto"/>
        </w:rPr>
      </w:pPr>
      <w:r>
        <w:rPr>
          <w:rFonts w:hint="eastAsia" w:ascii="宋体" w:hAnsi="宋体" w:eastAsia="宋体" w:cs="宋体"/>
          <w:color w:val="auto"/>
          <w:sz w:val="21"/>
          <w:highlight w:val="none"/>
          <w:shd w:val="clear" w:color="auto" w:fill="auto"/>
        </w:rPr>
        <w:t>26.1评标委员会由采购人代表和评审专家组成，具体人数详见“投标人须知前附表”，其中评审专家不得少于成员总数的三分之二。</w:t>
      </w:r>
    </w:p>
    <w:p w14:paraId="1AF3AB61">
      <w:pPr>
        <w:pStyle w:val="14"/>
        <w:keepNext w:val="0"/>
        <w:keepLines w:val="0"/>
        <w:pageBreakBefore w:val="0"/>
        <w:widowControl w:val="0"/>
        <w:shd w:val="clear" w:color="auto" w:fill="auto"/>
        <w:kinsoku/>
        <w:wordWrap/>
        <w:overflowPunct/>
        <w:topLinePunct w:val="0"/>
        <w:autoSpaceDE/>
        <w:autoSpaceDN/>
        <w:bidi w:val="0"/>
        <w:snapToGrid w:val="0"/>
        <w:spacing w:line="360" w:lineRule="auto"/>
        <w:ind w:left="2" w:leftChars="1" w:firstLine="420" w:firstLineChars="200"/>
        <w:textAlignment w:val="auto"/>
        <w:rPr>
          <w:rFonts w:hint="eastAsia" w:ascii="宋体" w:hAnsi="宋体" w:eastAsia="宋体" w:cs="宋体"/>
          <w:color w:val="auto"/>
          <w:sz w:val="21"/>
          <w:highlight w:val="none"/>
          <w:shd w:val="clear" w:color="auto" w:fill="auto"/>
        </w:rPr>
      </w:pPr>
      <w:r>
        <w:rPr>
          <w:rFonts w:hint="eastAsia" w:ascii="宋体" w:hAnsi="宋体" w:eastAsia="宋体" w:cs="宋体"/>
          <w:color w:val="auto"/>
          <w:sz w:val="21"/>
          <w:highlight w:val="none"/>
          <w:shd w:val="clear" w:color="auto" w:fill="auto"/>
        </w:rPr>
        <w:t>26.2参加过采购项目前期咨询论证的专家，不得参加该采购项目的评审活动。</w:t>
      </w:r>
    </w:p>
    <w:p w14:paraId="03E76A18">
      <w:pPr>
        <w:pStyle w:val="14"/>
        <w:keepNext w:val="0"/>
        <w:keepLines w:val="0"/>
        <w:pageBreakBefore w:val="0"/>
        <w:widowControl w:val="0"/>
        <w:shd w:val="clear" w:color="auto" w:fill="auto"/>
        <w:kinsoku/>
        <w:wordWrap/>
        <w:overflowPunct/>
        <w:topLinePunct w:val="0"/>
        <w:autoSpaceDE/>
        <w:autoSpaceDN/>
        <w:bidi w:val="0"/>
        <w:snapToGrid w:val="0"/>
        <w:spacing w:line="360" w:lineRule="auto"/>
        <w:ind w:left="2" w:leftChars="1" w:firstLine="420" w:firstLineChars="200"/>
        <w:textAlignment w:val="auto"/>
        <w:rPr>
          <w:rFonts w:hint="eastAsia" w:ascii="宋体" w:hAnsi="宋体" w:eastAsia="宋体" w:cs="宋体"/>
          <w:color w:val="auto"/>
          <w:sz w:val="21"/>
          <w:highlight w:val="none"/>
          <w:shd w:val="clear" w:color="auto" w:fill="auto"/>
        </w:rPr>
      </w:pPr>
      <w:r>
        <w:rPr>
          <w:rFonts w:hint="eastAsia" w:ascii="宋体" w:hAnsi="宋体" w:eastAsia="宋体" w:cs="宋体"/>
          <w:color w:val="auto"/>
          <w:sz w:val="21"/>
          <w:highlight w:val="none"/>
          <w:shd w:val="clear" w:color="auto" w:fill="auto"/>
        </w:rPr>
        <w:t>26.3采购代理机构必须基于“</w:t>
      </w:r>
      <w:r>
        <w:rPr>
          <w:rFonts w:hint="eastAsia" w:ascii="宋体" w:hAnsi="宋体" w:eastAsia="宋体" w:cs="宋体"/>
          <w:sz w:val="21"/>
          <w:szCs w:val="21"/>
          <w:lang w:val="en-US" w:eastAsia="zh-CN"/>
        </w:rPr>
        <w:t>广西政府采购云平台</w:t>
      </w:r>
      <w:r>
        <w:rPr>
          <w:rFonts w:hint="eastAsia" w:ascii="宋体" w:hAnsi="宋体" w:eastAsia="宋体" w:cs="宋体"/>
          <w:color w:val="auto"/>
          <w:sz w:val="21"/>
          <w:highlight w:val="none"/>
          <w:shd w:val="clear" w:color="auto" w:fill="auto"/>
        </w:rPr>
        <w:t>”</w:t>
      </w:r>
      <w:r>
        <w:rPr>
          <w:rFonts w:hint="eastAsia" w:hAnsi="宋体" w:cs="宋体"/>
          <w:color w:val="auto"/>
          <w:sz w:val="21"/>
          <w:highlight w:val="none"/>
          <w:shd w:val="clear" w:color="auto" w:fill="auto"/>
          <w:lang w:val="en-US" w:eastAsia="zh-CN"/>
        </w:rPr>
        <w:t>抽（</w:t>
      </w:r>
      <w:r>
        <w:rPr>
          <w:rFonts w:hint="eastAsia" w:ascii="宋体" w:hAnsi="宋体" w:eastAsia="宋体" w:cs="宋体"/>
          <w:color w:val="auto"/>
          <w:sz w:val="21"/>
          <w:highlight w:val="none"/>
          <w:shd w:val="clear" w:color="auto" w:fill="auto"/>
        </w:rPr>
        <w:t>选</w:t>
      </w:r>
      <w:r>
        <w:rPr>
          <w:rFonts w:hint="eastAsia" w:hAnsi="宋体" w:cs="宋体"/>
          <w:color w:val="auto"/>
          <w:sz w:val="21"/>
          <w:highlight w:val="none"/>
          <w:shd w:val="clear" w:color="auto" w:fill="auto"/>
          <w:lang w:eastAsia="zh-CN"/>
        </w:rPr>
        <w:t>）</w:t>
      </w:r>
      <w:r>
        <w:rPr>
          <w:rFonts w:hint="eastAsia" w:ascii="宋体" w:hAnsi="宋体" w:eastAsia="宋体" w:cs="宋体"/>
          <w:color w:val="auto"/>
          <w:sz w:val="21"/>
          <w:highlight w:val="none"/>
          <w:shd w:val="clear" w:color="auto" w:fill="auto"/>
        </w:rPr>
        <w:t>取评审专家，如采购代理机构未按规定选取专家的，视为本次开评标无效，应当重新采购。</w:t>
      </w:r>
    </w:p>
    <w:p w14:paraId="64EB2B0F">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auto"/>
          <w:szCs w:val="21"/>
        </w:rPr>
      </w:pPr>
      <w:r>
        <w:rPr>
          <w:rFonts w:hint="eastAsia" w:ascii="宋体" w:hAnsi="宋体" w:eastAsia="宋体" w:cs="宋体"/>
          <w:b/>
          <w:bCs/>
          <w:color w:val="auto"/>
          <w:szCs w:val="21"/>
        </w:rPr>
        <w:t>27.评标的依据</w:t>
      </w:r>
    </w:p>
    <w:p w14:paraId="5F7F3B23">
      <w:pPr>
        <w:pStyle w:val="14"/>
        <w:keepNext w:val="0"/>
        <w:keepLines w:val="0"/>
        <w:pageBreakBefore w:val="0"/>
        <w:widowControl w:val="0"/>
        <w:shd w:val="clear" w:color="auto" w:fill="auto"/>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highlight w:val="none"/>
          <w:shd w:val="clear" w:color="auto" w:fill="auto"/>
        </w:rPr>
      </w:pPr>
      <w:r>
        <w:rPr>
          <w:rFonts w:hint="eastAsia" w:ascii="宋体" w:hAnsi="宋体" w:eastAsia="宋体" w:cs="宋体"/>
          <w:color w:val="auto"/>
          <w:sz w:val="21"/>
          <w:highlight w:val="none"/>
          <w:shd w:val="clear" w:color="auto" w:fill="auto"/>
        </w:rPr>
        <w:t>评标委员会以“第四章 评标方法和评标标准”为依据对投标文件进行评审，没有规定的方法、评审因素和标准，不作为评标依据。</w:t>
      </w:r>
    </w:p>
    <w:p w14:paraId="794B379E">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auto"/>
          <w:szCs w:val="21"/>
        </w:rPr>
      </w:pPr>
      <w:r>
        <w:rPr>
          <w:rFonts w:hint="eastAsia" w:ascii="宋体" w:hAnsi="宋体" w:eastAsia="宋体" w:cs="宋体"/>
          <w:b/>
          <w:bCs/>
          <w:color w:val="auto"/>
          <w:szCs w:val="21"/>
        </w:rPr>
        <w:t>28.评标原则</w:t>
      </w:r>
    </w:p>
    <w:p w14:paraId="357B459A">
      <w:pPr>
        <w:pStyle w:val="14"/>
        <w:keepNext w:val="0"/>
        <w:keepLines w:val="0"/>
        <w:pageBreakBefore w:val="0"/>
        <w:widowControl w:val="0"/>
        <w:shd w:val="clear" w:color="auto" w:fill="auto"/>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highlight w:val="none"/>
          <w:shd w:val="clear" w:color="auto" w:fill="auto"/>
        </w:rPr>
      </w:pPr>
      <w:r>
        <w:rPr>
          <w:rFonts w:hint="eastAsia" w:ascii="宋体" w:hAnsi="宋体" w:eastAsia="宋体" w:cs="宋体"/>
          <w:color w:val="auto"/>
          <w:sz w:val="21"/>
          <w:highlight w:val="none"/>
          <w:shd w:val="clear" w:color="auto" w:fill="auto"/>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4EF6DBF6">
      <w:pPr>
        <w:pStyle w:val="14"/>
        <w:keepNext w:val="0"/>
        <w:keepLines w:val="0"/>
        <w:pageBreakBefore w:val="0"/>
        <w:widowControl w:val="0"/>
        <w:shd w:val="clear" w:color="auto" w:fill="auto"/>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highlight w:val="none"/>
          <w:shd w:val="clear" w:color="auto" w:fill="auto"/>
        </w:rPr>
      </w:pPr>
      <w:r>
        <w:rPr>
          <w:rFonts w:hint="eastAsia" w:ascii="宋体" w:hAnsi="宋体" w:eastAsia="宋体" w:cs="宋体"/>
          <w:color w:val="auto"/>
          <w:sz w:val="21"/>
          <w:highlight w:val="none"/>
          <w:shd w:val="clear" w:color="auto" w:fill="auto"/>
        </w:rPr>
        <w:t>28.2</w:t>
      </w:r>
      <w:bookmarkStart w:id="149" w:name="_28.3评标方法。本项目将按须知前附表规定的评标办法进行评标，具体评标"/>
      <w:bookmarkEnd w:id="149"/>
      <w:r>
        <w:rPr>
          <w:rFonts w:hint="eastAsia" w:ascii="宋体" w:hAnsi="宋体" w:eastAsia="宋体" w:cs="宋体"/>
          <w:color w:val="auto"/>
          <w:sz w:val="21"/>
          <w:highlight w:val="none"/>
          <w:shd w:val="clear" w:color="auto" w:fill="auto"/>
        </w:rPr>
        <w:t>评委表决。评标委员会成员对需要共同认定的事项存在争议的，应当按照少数服从多数的原则作出结论。</w:t>
      </w:r>
    </w:p>
    <w:p w14:paraId="235D743F">
      <w:pPr>
        <w:pStyle w:val="14"/>
        <w:keepNext w:val="0"/>
        <w:keepLines w:val="0"/>
        <w:pageBreakBefore w:val="0"/>
        <w:widowControl w:val="0"/>
        <w:shd w:val="clear" w:color="auto" w:fill="auto"/>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highlight w:val="none"/>
          <w:shd w:val="clear" w:color="auto" w:fill="auto"/>
        </w:rPr>
      </w:pPr>
      <w:r>
        <w:rPr>
          <w:rFonts w:hint="eastAsia" w:ascii="宋体" w:hAnsi="宋体" w:eastAsia="宋体" w:cs="宋体"/>
          <w:color w:val="auto"/>
          <w:sz w:val="21"/>
          <w:highlight w:val="none"/>
          <w:shd w:val="clear" w:color="auto" w:fill="auto"/>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33DAD3AC">
      <w:pPr>
        <w:pStyle w:val="14"/>
        <w:keepNext w:val="0"/>
        <w:keepLines w:val="0"/>
        <w:pageBreakBefore w:val="0"/>
        <w:widowControl w:val="0"/>
        <w:shd w:val="clear" w:color="auto" w:fill="auto"/>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highlight w:val="none"/>
          <w:shd w:val="clear" w:color="auto" w:fill="auto"/>
        </w:rPr>
      </w:pPr>
      <w:r>
        <w:rPr>
          <w:rFonts w:hint="eastAsia" w:ascii="宋体" w:hAnsi="宋体" w:eastAsia="宋体" w:cs="宋体"/>
          <w:color w:val="auto"/>
          <w:sz w:val="21"/>
          <w:highlight w:val="none"/>
          <w:shd w:val="clear" w:color="auto" w:fill="auto"/>
        </w:rPr>
        <w:t>28.4评标过程的监控。本项目电子评标过程实行网上留痕、全程录音、录像监控，</w:t>
      </w:r>
      <w:r>
        <w:rPr>
          <w:rFonts w:hint="eastAsia" w:ascii="宋体" w:hAnsi="宋体" w:eastAsia="宋体" w:cs="宋体"/>
          <w:b/>
          <w:color w:val="auto"/>
          <w:sz w:val="21"/>
          <w:highlight w:val="none"/>
          <w:shd w:val="clear" w:color="auto" w:fill="auto"/>
        </w:rPr>
        <w:t>投标人在评标过程中所进行的试图影响评标结果的不公正活动，可能导致其投标按无效处理。</w:t>
      </w:r>
    </w:p>
    <w:p w14:paraId="27F4286F">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auto"/>
          <w:szCs w:val="21"/>
        </w:rPr>
      </w:pPr>
      <w:r>
        <w:rPr>
          <w:rFonts w:hint="eastAsia" w:ascii="宋体" w:hAnsi="宋体" w:eastAsia="宋体" w:cs="宋体"/>
          <w:b/>
          <w:bCs/>
          <w:color w:val="auto"/>
          <w:szCs w:val="21"/>
        </w:rPr>
        <w:t>29.评标方法及中标候选人推荐</w:t>
      </w:r>
    </w:p>
    <w:p w14:paraId="4437C858">
      <w:pPr>
        <w:pStyle w:val="14"/>
        <w:keepNext w:val="0"/>
        <w:keepLines w:val="0"/>
        <w:pageBreakBefore w:val="0"/>
        <w:widowControl w:val="0"/>
        <w:shd w:val="clear" w:color="auto" w:fill="auto"/>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highlight w:val="none"/>
          <w:shd w:val="clear" w:color="auto" w:fill="auto"/>
        </w:rPr>
      </w:pPr>
      <w:r>
        <w:rPr>
          <w:rFonts w:hint="eastAsia" w:ascii="宋体" w:hAnsi="宋体" w:eastAsia="宋体" w:cs="宋体"/>
          <w:color w:val="auto"/>
          <w:sz w:val="21"/>
          <w:highlight w:val="none"/>
          <w:shd w:val="clear" w:color="auto" w:fill="auto"/>
        </w:rPr>
        <w:t>29.1本项目的评标方法详见“投标人须知前附表”。</w:t>
      </w:r>
    </w:p>
    <w:p w14:paraId="15E7A962">
      <w:pPr>
        <w:pStyle w:val="14"/>
        <w:keepNext w:val="0"/>
        <w:keepLines w:val="0"/>
        <w:pageBreakBefore w:val="0"/>
        <w:widowControl w:val="0"/>
        <w:shd w:val="clear" w:color="auto" w:fill="auto"/>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highlight w:val="none"/>
          <w:shd w:val="clear" w:color="auto" w:fill="auto"/>
        </w:rPr>
      </w:pPr>
      <w:r>
        <w:rPr>
          <w:rFonts w:hint="eastAsia" w:ascii="宋体" w:hAnsi="宋体" w:eastAsia="宋体" w:cs="宋体"/>
          <w:color w:val="auto"/>
          <w:sz w:val="21"/>
          <w:highlight w:val="none"/>
          <w:shd w:val="clear" w:color="auto" w:fill="auto"/>
        </w:rPr>
        <w:t>29.2</w:t>
      </w:r>
      <w:r>
        <w:rPr>
          <w:rFonts w:hint="eastAsia" w:ascii="宋体" w:hAnsi="宋体" w:eastAsia="宋体" w:cs="宋体"/>
          <w:color w:val="auto"/>
          <w:highlight w:val="none"/>
          <w:shd w:val="clear" w:color="auto" w:fill="auto"/>
        </w:rPr>
        <w:t>商务/技术要求允许负偏离的条款数</w:t>
      </w:r>
      <w:r>
        <w:rPr>
          <w:rFonts w:hint="eastAsia" w:ascii="宋体" w:hAnsi="宋体" w:eastAsia="宋体" w:cs="宋体"/>
          <w:color w:val="auto"/>
          <w:sz w:val="21"/>
          <w:highlight w:val="none"/>
          <w:shd w:val="clear" w:color="auto" w:fill="auto"/>
        </w:rPr>
        <w:t>详见“投标人须知前附表”。</w:t>
      </w:r>
    </w:p>
    <w:p w14:paraId="7E4EE118">
      <w:pPr>
        <w:pStyle w:val="14"/>
        <w:keepNext w:val="0"/>
        <w:keepLines w:val="0"/>
        <w:pageBreakBefore w:val="0"/>
        <w:widowControl w:val="0"/>
        <w:shd w:val="clear" w:color="auto" w:fill="auto"/>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highlight w:val="none"/>
          <w:shd w:val="clear" w:color="auto" w:fill="auto"/>
        </w:rPr>
      </w:pPr>
      <w:r>
        <w:rPr>
          <w:rFonts w:hint="eastAsia" w:ascii="宋体" w:hAnsi="宋体" w:eastAsia="宋体" w:cs="宋体"/>
          <w:color w:val="auto"/>
          <w:sz w:val="21"/>
          <w:highlight w:val="none"/>
          <w:shd w:val="clear" w:color="auto" w:fill="auto"/>
        </w:rPr>
        <w:t>29.3中标候选人推荐数量详见“投标人须知前附表”。</w:t>
      </w:r>
    </w:p>
    <w:p w14:paraId="1004CAEA">
      <w:pPr>
        <w:keepNext w:val="0"/>
        <w:keepLines w:val="0"/>
        <w:pageBreakBefore w:val="0"/>
        <w:widowControl w:val="0"/>
        <w:shd w:val="clear" w:color="auto" w:fill="auto"/>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kern w:val="0"/>
          <w:szCs w:val="21"/>
          <w:highlight w:val="none"/>
          <w:shd w:val="clear" w:color="auto" w:fill="auto"/>
        </w:rPr>
        <w:t>29.4</w:t>
      </w:r>
      <w:r>
        <w:rPr>
          <w:rFonts w:hint="eastAsia" w:ascii="宋体" w:hAnsi="宋体" w:eastAsia="宋体" w:cs="宋体"/>
          <w:color w:val="auto"/>
          <w:highlight w:val="none"/>
          <w:shd w:val="clear" w:color="auto" w:fill="auto"/>
        </w:rPr>
        <w:t>电子交易活动的中止。采购过程中出现以下情形，导致电子交易平台无法正常运行，或者无法保证电子交易的公平、公正和安全时，采购代理机构可以中止电子交易活动：</w:t>
      </w:r>
    </w:p>
    <w:p w14:paraId="78FB5780">
      <w:pPr>
        <w:keepNext w:val="0"/>
        <w:keepLines w:val="0"/>
        <w:pageBreakBefore w:val="0"/>
        <w:widowControl w:val="0"/>
        <w:shd w:val="clear" w:color="auto" w:fill="auto"/>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 xml:space="preserve">（1）电子交易平台发生故障而无法登录访问的； </w:t>
      </w:r>
    </w:p>
    <w:p w14:paraId="73C9474A">
      <w:pPr>
        <w:keepNext w:val="0"/>
        <w:keepLines w:val="0"/>
        <w:pageBreakBefore w:val="0"/>
        <w:widowControl w:val="0"/>
        <w:shd w:val="clear" w:color="auto" w:fill="auto"/>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（2）电子交易平台应用或数据库出现错误，不能进行正常操作的；</w:t>
      </w:r>
    </w:p>
    <w:p w14:paraId="6623BA70">
      <w:pPr>
        <w:keepNext w:val="0"/>
        <w:keepLines w:val="0"/>
        <w:pageBreakBefore w:val="0"/>
        <w:widowControl w:val="0"/>
        <w:shd w:val="clear" w:color="auto" w:fill="auto"/>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（3）电子交易平台发现严重安全漏洞，有潜在泄密危险的；</w:t>
      </w:r>
    </w:p>
    <w:p w14:paraId="72DCB8A0">
      <w:pPr>
        <w:keepNext w:val="0"/>
        <w:keepLines w:val="0"/>
        <w:pageBreakBefore w:val="0"/>
        <w:widowControl w:val="0"/>
        <w:shd w:val="clear" w:color="auto" w:fill="auto"/>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 xml:space="preserve">（4）病毒发作导致不能进行正常操作的； </w:t>
      </w:r>
    </w:p>
    <w:p w14:paraId="5963C3AB">
      <w:pPr>
        <w:keepNext w:val="0"/>
        <w:keepLines w:val="0"/>
        <w:pageBreakBefore w:val="0"/>
        <w:widowControl w:val="0"/>
        <w:shd w:val="clear" w:color="auto" w:fill="auto"/>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（5）其他无法保证电子交易的公平、公正和安全的情况。</w:t>
      </w:r>
    </w:p>
    <w:p w14:paraId="401287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0"/>
          <w:highlight w:val="none"/>
          <w:shd w:val="clear" w:color="auto" w:fill="auto"/>
          <w:lang w:val="en-US" w:eastAsia="zh-CN" w:bidi="ar-SA"/>
        </w:rPr>
      </w:pPr>
      <w:r>
        <w:rPr>
          <w:rFonts w:hint="eastAsia" w:ascii="宋体" w:hAnsi="宋体" w:eastAsia="宋体" w:cs="宋体"/>
          <w:color w:val="auto"/>
          <w:kern w:val="2"/>
          <w:sz w:val="21"/>
          <w:szCs w:val="20"/>
          <w:highlight w:val="none"/>
          <w:shd w:val="clear" w:color="auto" w:fill="auto"/>
          <w:lang w:val="en-US" w:eastAsia="zh-CN" w:bidi="ar-SA"/>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34E365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kern w:val="2"/>
          <w:sz w:val="21"/>
          <w:szCs w:val="20"/>
          <w:highlight w:val="none"/>
          <w:shd w:val="clear" w:color="auto" w:fill="auto"/>
          <w:lang w:val="en-US" w:eastAsia="zh-CN" w:bidi="ar-SA"/>
        </w:rPr>
      </w:pPr>
      <w:r>
        <w:rPr>
          <w:rFonts w:hint="eastAsia" w:ascii="宋体" w:hAnsi="宋体" w:cs="宋体"/>
          <w:color w:val="auto"/>
          <w:kern w:val="2"/>
          <w:sz w:val="21"/>
          <w:szCs w:val="20"/>
          <w:highlight w:val="none"/>
          <w:shd w:val="clear" w:color="auto" w:fill="auto"/>
          <w:lang w:val="en-US" w:eastAsia="zh-CN" w:bidi="ar-SA"/>
        </w:rPr>
        <w:t>29.5出现以下情形之一的，应予废标：</w:t>
      </w:r>
    </w:p>
    <w:p w14:paraId="1DD794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0"/>
          <w:highlight w:val="none"/>
          <w:shd w:val="clear" w:color="auto" w:fill="auto"/>
          <w:lang w:val="en-US" w:eastAsia="zh-CN" w:bidi="ar-SA"/>
        </w:rPr>
      </w:pPr>
      <w:r>
        <w:rPr>
          <w:rFonts w:hint="eastAsia" w:ascii="宋体" w:hAnsi="宋体" w:cs="宋体"/>
          <w:color w:val="auto"/>
          <w:kern w:val="2"/>
          <w:sz w:val="21"/>
          <w:szCs w:val="20"/>
          <w:highlight w:val="none"/>
          <w:shd w:val="clear" w:color="auto" w:fill="auto"/>
          <w:lang w:val="en-US" w:eastAsia="zh-CN" w:bidi="ar-SA"/>
        </w:rPr>
        <w:t>（1）符合专业条件</w:t>
      </w:r>
      <w:r>
        <w:rPr>
          <w:rFonts w:hint="eastAsia" w:ascii="宋体" w:hAnsi="宋体" w:eastAsia="宋体" w:cs="宋体"/>
          <w:color w:val="auto"/>
          <w:kern w:val="2"/>
          <w:sz w:val="21"/>
          <w:szCs w:val="20"/>
          <w:highlight w:val="none"/>
          <w:shd w:val="clear" w:color="auto" w:fill="auto"/>
          <w:lang w:val="en-US" w:eastAsia="zh-CN" w:bidi="ar-SA"/>
        </w:rPr>
        <w:t>的供应商或者对招标文件作实质响应的供应商不足三家的；</w:t>
      </w:r>
    </w:p>
    <w:p w14:paraId="4168383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lang w:val="en-US" w:eastAsia="zh-CN"/>
        </w:rPr>
      </w:pPr>
      <w:r>
        <w:rPr>
          <w:rFonts w:hint="eastAsia" w:ascii="宋体" w:hAnsi="宋体" w:eastAsia="宋体" w:cs="宋体"/>
          <w:color w:val="auto"/>
          <w:kern w:val="2"/>
          <w:sz w:val="21"/>
          <w:szCs w:val="20"/>
          <w:highlight w:val="none"/>
          <w:shd w:val="clear" w:color="auto" w:fill="auto"/>
          <w:lang w:val="en-US" w:eastAsia="zh-CN" w:bidi="ar-SA"/>
        </w:rPr>
        <w:t>（2）</w:t>
      </w:r>
      <w:r>
        <w:rPr>
          <w:rFonts w:hint="eastAsia" w:ascii="宋体" w:hAnsi="宋体" w:eastAsia="宋体" w:cs="宋体"/>
          <w:sz w:val="21"/>
        </w:rPr>
        <w:t>出现影响采购公正的违法、违规行为的</w:t>
      </w:r>
      <w:r>
        <w:rPr>
          <w:rFonts w:hint="eastAsia" w:ascii="宋体" w:hAnsi="宋体" w:eastAsia="宋体" w:cs="宋体"/>
          <w:sz w:val="21"/>
          <w:lang w:val="en-US" w:eastAsia="zh-CN"/>
        </w:rPr>
        <w:t>；</w:t>
      </w:r>
    </w:p>
    <w:p w14:paraId="220776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lang w:val="en-US" w:eastAsia="zh-CN"/>
        </w:rPr>
      </w:pPr>
      <w:r>
        <w:rPr>
          <w:rFonts w:hint="eastAsia" w:ascii="宋体" w:hAnsi="宋体" w:eastAsia="宋体" w:cs="宋体"/>
          <w:sz w:val="21"/>
          <w:lang w:val="en-US" w:eastAsia="zh-CN"/>
        </w:rPr>
        <w:t>（3）投标人的报价均超过了采购预算，采购人不能支付的；</w:t>
      </w:r>
    </w:p>
    <w:p w14:paraId="09C1BB0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lang w:val="en-US" w:eastAsia="zh-CN"/>
        </w:rPr>
      </w:pPr>
      <w:r>
        <w:rPr>
          <w:rFonts w:hint="eastAsia" w:ascii="宋体" w:hAnsi="宋体" w:eastAsia="宋体" w:cs="宋体"/>
          <w:sz w:val="21"/>
          <w:lang w:val="en-US" w:eastAsia="zh-CN"/>
        </w:rPr>
        <w:t>（4）因重大变故，采购任务取消的。</w:t>
      </w:r>
    </w:p>
    <w:p w14:paraId="40659B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kern w:val="2"/>
          <w:sz w:val="21"/>
          <w:szCs w:val="20"/>
          <w:highlight w:val="none"/>
          <w:shd w:val="clear" w:color="auto" w:fill="auto"/>
          <w:lang w:val="en-US" w:eastAsia="zh-CN" w:bidi="ar-SA"/>
        </w:rPr>
      </w:pPr>
      <w:r>
        <w:rPr>
          <w:rFonts w:hint="eastAsia" w:ascii="宋体" w:hAnsi="宋体" w:eastAsia="宋体" w:cs="宋体"/>
          <w:sz w:val="21"/>
          <w:lang w:val="en-US" w:eastAsia="zh-CN"/>
        </w:rPr>
        <w:t>废标后，采购人应当将废标理由通知所有投标人。</w:t>
      </w:r>
    </w:p>
    <w:p w14:paraId="3FC38E4E">
      <w:pPr>
        <w:keepNext w:val="0"/>
        <w:keepLines w:val="0"/>
        <w:pageBreakBefore w:val="0"/>
        <w:widowControl w:val="0"/>
        <w:kinsoku/>
        <w:wordWrap/>
        <w:overflowPunct/>
        <w:topLinePunct w:val="0"/>
        <w:autoSpaceDE/>
        <w:autoSpaceDN/>
        <w:bidi w:val="0"/>
        <w:spacing w:line="360" w:lineRule="auto"/>
        <w:ind w:firstLine="422" w:firstLineChars="200"/>
        <w:jc w:val="center"/>
        <w:textAlignment w:val="auto"/>
        <w:rPr>
          <w:rFonts w:hint="eastAsia" w:ascii="宋体" w:hAnsi="宋体" w:eastAsia="宋体" w:cs="宋体"/>
          <w:b/>
          <w:bCs/>
          <w:color w:val="auto"/>
          <w:szCs w:val="21"/>
          <w:lang w:val="en-US" w:eastAsia="zh-CN"/>
        </w:rPr>
      </w:pPr>
      <w:bookmarkStart w:id="150" w:name="_Toc254970687"/>
      <w:bookmarkStart w:id="151" w:name="_Toc254970546"/>
    </w:p>
    <w:p w14:paraId="0133A79A">
      <w:pPr>
        <w:keepNext w:val="0"/>
        <w:keepLines w:val="0"/>
        <w:pageBreakBefore w:val="0"/>
        <w:widowControl w:val="0"/>
        <w:kinsoku/>
        <w:wordWrap/>
        <w:overflowPunct/>
        <w:topLinePunct w:val="0"/>
        <w:autoSpaceDE/>
        <w:autoSpaceDN/>
        <w:bidi w:val="0"/>
        <w:spacing w:line="360" w:lineRule="auto"/>
        <w:ind w:firstLine="422" w:firstLineChars="200"/>
        <w:jc w:val="center"/>
        <w:textAlignment w:val="auto"/>
        <w:rPr>
          <w:rFonts w:hint="eastAsia"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七、</w:t>
      </w:r>
      <w:bookmarkEnd w:id="150"/>
      <w:bookmarkEnd w:id="151"/>
      <w:r>
        <w:rPr>
          <w:rFonts w:hint="eastAsia" w:ascii="宋体" w:hAnsi="宋体" w:eastAsia="宋体" w:cs="宋体"/>
          <w:b/>
          <w:bCs/>
          <w:color w:val="auto"/>
          <w:szCs w:val="21"/>
          <w:lang w:val="en-US" w:eastAsia="zh-CN"/>
        </w:rPr>
        <w:t>中标和合同</w:t>
      </w:r>
    </w:p>
    <w:p w14:paraId="44728DA8">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auto"/>
          <w:szCs w:val="21"/>
        </w:rPr>
      </w:pPr>
      <w:r>
        <w:rPr>
          <w:rFonts w:hint="eastAsia" w:ascii="宋体" w:hAnsi="宋体" w:eastAsia="宋体" w:cs="宋体"/>
          <w:b/>
          <w:bCs/>
          <w:color w:val="auto"/>
          <w:szCs w:val="21"/>
        </w:rPr>
        <w:t>30 确定中标人</w:t>
      </w:r>
    </w:p>
    <w:p w14:paraId="071A7BAA">
      <w:pPr>
        <w:keepNext w:val="0"/>
        <w:keepLines w:val="0"/>
        <w:pageBreakBefore w:val="0"/>
        <w:widowControl w:val="0"/>
        <w:shd w:val="clear" w:color="auto" w:fill="auto"/>
        <w:kinsoku/>
        <w:wordWrap/>
        <w:overflowPunct/>
        <w:topLinePunct w:val="0"/>
        <w:autoSpaceDE/>
        <w:autoSpaceDN/>
        <w:bidi w:val="0"/>
        <w:spacing w:before="0" w:after="0" w:line="360" w:lineRule="auto"/>
        <w:ind w:firstLine="420" w:firstLineChars="200"/>
        <w:textAlignment w:val="auto"/>
        <w:outlineLvl w:val="9"/>
        <w:rPr>
          <w:rFonts w:hint="eastAsia" w:ascii="宋体" w:hAnsi="宋体"/>
          <w:b w:val="0"/>
          <w:color w:val="auto"/>
          <w:sz w:val="21"/>
          <w:szCs w:val="21"/>
          <w:highlight w:val="none"/>
          <w:shd w:val="clear" w:color="auto" w:fill="auto"/>
        </w:rPr>
      </w:pPr>
      <w:r>
        <w:rPr>
          <w:rFonts w:ascii="宋体" w:hAnsi="宋体"/>
          <w:b w:val="0"/>
          <w:color w:val="auto"/>
          <w:sz w:val="21"/>
          <w:szCs w:val="21"/>
          <w:highlight w:val="none"/>
          <w:shd w:val="clear" w:color="auto" w:fill="auto"/>
        </w:rPr>
        <w:t>30.1</w:t>
      </w:r>
      <w:r>
        <w:rPr>
          <w:rFonts w:hint="eastAsia" w:ascii="宋体" w:hAnsi="宋体"/>
          <w:b w:val="0"/>
          <w:color w:val="auto"/>
          <w:sz w:val="21"/>
          <w:szCs w:val="21"/>
          <w:highlight w:val="none"/>
          <w:shd w:val="clear" w:color="auto" w:fill="auto"/>
        </w:rPr>
        <w:t>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2D5904D6">
      <w:pPr>
        <w:keepNext w:val="0"/>
        <w:keepLines w:val="0"/>
        <w:pageBreakBefore w:val="0"/>
        <w:widowControl w:val="0"/>
        <w:shd w:val="clear" w:color="auto" w:fill="auto"/>
        <w:kinsoku/>
        <w:wordWrap/>
        <w:overflowPunct/>
        <w:topLinePunct w:val="0"/>
        <w:autoSpaceDE/>
        <w:autoSpaceDN/>
        <w:bidi w:val="0"/>
        <w:snapToGrid w:val="0"/>
        <w:spacing w:line="360" w:lineRule="auto"/>
        <w:ind w:firstLine="420" w:firstLineChars="200"/>
        <w:textAlignment w:val="auto"/>
        <w:rPr>
          <w:rFonts w:hint="eastAsia" w:ascii="宋体" w:hAnsi="宋体" w:cs="Courier New"/>
          <w:color w:val="auto"/>
          <w:szCs w:val="21"/>
          <w:highlight w:val="none"/>
          <w:shd w:val="clear" w:color="auto" w:fill="auto"/>
        </w:rPr>
      </w:pPr>
      <w:r>
        <w:rPr>
          <w:rFonts w:ascii="宋体" w:hAnsi="宋体" w:cs="Courier New"/>
          <w:color w:val="auto"/>
          <w:szCs w:val="21"/>
          <w:highlight w:val="none"/>
          <w:shd w:val="clear" w:color="auto" w:fill="auto"/>
        </w:rPr>
        <w:t>30.2</w:t>
      </w:r>
      <w:r>
        <w:rPr>
          <w:rFonts w:hint="eastAsia" w:ascii="宋体" w:hAnsi="宋体" w:cs="Courier New"/>
          <w:color w:val="auto"/>
          <w:spacing w:val="-6"/>
          <w:sz w:val="21"/>
          <w:szCs w:val="21"/>
          <w:highlight w:val="none"/>
          <w:shd w:val="clear" w:color="auto" w:fill="auto"/>
        </w:rPr>
        <w:t>采购人在收到评标报告5个工作日内未按评标报告推荐的中标候选人顺序确定中标人，又不能说明合法理由的，视同按评标报告推荐的顺序确定排名第一的中标候选人为中标人。</w:t>
      </w:r>
    </w:p>
    <w:p w14:paraId="5A891FBF">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auto"/>
          <w:szCs w:val="21"/>
        </w:rPr>
      </w:pPr>
      <w:r>
        <w:rPr>
          <w:rFonts w:hint="eastAsia" w:ascii="宋体" w:hAnsi="宋体" w:eastAsia="宋体" w:cs="宋体"/>
          <w:b/>
          <w:bCs/>
          <w:color w:val="auto"/>
          <w:szCs w:val="21"/>
        </w:rPr>
        <w:t>31.结果公告</w:t>
      </w:r>
    </w:p>
    <w:p w14:paraId="16625C40">
      <w:pPr>
        <w:keepNext w:val="0"/>
        <w:keepLines w:val="0"/>
        <w:pageBreakBefore w:val="0"/>
        <w:widowControl w:val="0"/>
        <w:shd w:val="clear" w:color="auto" w:fill="auto"/>
        <w:kinsoku/>
        <w:wordWrap/>
        <w:overflowPunct/>
        <w:topLinePunct w:val="0"/>
        <w:autoSpaceDE/>
        <w:autoSpaceDN/>
        <w:bidi w:val="0"/>
        <w:spacing w:before="0" w:after="0" w:line="360" w:lineRule="auto"/>
        <w:ind w:firstLine="420" w:firstLineChars="200"/>
        <w:textAlignment w:val="auto"/>
        <w:outlineLvl w:val="9"/>
        <w:rPr>
          <w:rFonts w:hint="eastAsia" w:ascii="宋体" w:hAnsi="宋体"/>
          <w:b w:val="0"/>
          <w:color w:val="auto"/>
          <w:sz w:val="21"/>
          <w:szCs w:val="21"/>
          <w:highlight w:val="none"/>
          <w:shd w:val="clear" w:color="auto" w:fill="auto"/>
        </w:rPr>
      </w:pPr>
      <w:r>
        <w:rPr>
          <w:rFonts w:hint="eastAsia" w:ascii="宋体" w:hAnsi="宋体"/>
          <w:b w:val="0"/>
          <w:color w:val="auto"/>
          <w:sz w:val="21"/>
          <w:szCs w:val="21"/>
          <w:highlight w:val="none"/>
          <w:shd w:val="clear" w:color="auto" w:fill="auto"/>
        </w:rPr>
        <w:t>3</w:t>
      </w:r>
      <w:r>
        <w:rPr>
          <w:rFonts w:ascii="宋体" w:hAnsi="宋体"/>
          <w:b w:val="0"/>
          <w:color w:val="auto"/>
          <w:sz w:val="21"/>
          <w:szCs w:val="21"/>
          <w:highlight w:val="none"/>
          <w:shd w:val="clear" w:color="auto" w:fill="auto"/>
        </w:rPr>
        <w:t>1.1</w:t>
      </w:r>
      <w:r>
        <w:rPr>
          <w:rFonts w:hint="eastAsia" w:ascii="宋体" w:hAnsi="宋体"/>
          <w:b w:val="0"/>
          <w:color w:val="auto"/>
          <w:sz w:val="21"/>
          <w:szCs w:val="21"/>
          <w:highlight w:val="none"/>
          <w:shd w:val="clear" w:color="auto" w:fill="auto"/>
        </w:rPr>
        <w:t>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案件当事人名单、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370C3AC3">
      <w:pPr>
        <w:keepNext w:val="0"/>
        <w:keepLines w:val="0"/>
        <w:pageBreakBefore w:val="0"/>
        <w:widowControl w:val="0"/>
        <w:shd w:val="clear" w:color="auto" w:fill="auto"/>
        <w:kinsoku/>
        <w:wordWrap/>
        <w:overflowPunct/>
        <w:topLinePunct w:val="0"/>
        <w:autoSpaceDE/>
        <w:autoSpaceDN/>
        <w:bidi w:val="0"/>
        <w:snapToGrid w:val="0"/>
        <w:spacing w:line="360" w:lineRule="auto"/>
        <w:ind w:firstLine="420" w:firstLineChars="200"/>
        <w:textAlignment w:val="auto"/>
        <w:outlineLvl w:val="9"/>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以上信息查询记录及相关证据与采购文件一并保存。</w:t>
      </w:r>
    </w:p>
    <w:p w14:paraId="2641E809">
      <w:pPr>
        <w:keepNext w:val="0"/>
        <w:keepLines w:val="0"/>
        <w:pageBreakBefore w:val="0"/>
        <w:widowControl w:val="0"/>
        <w:shd w:val="clear" w:color="auto" w:fill="auto"/>
        <w:kinsoku/>
        <w:wordWrap/>
        <w:overflowPunct/>
        <w:topLinePunct w:val="0"/>
        <w:autoSpaceDE/>
        <w:autoSpaceDN/>
        <w:bidi w:val="0"/>
        <w:spacing w:before="0" w:after="0" w:line="360" w:lineRule="auto"/>
        <w:ind w:firstLine="420" w:firstLineChars="200"/>
        <w:textAlignment w:val="auto"/>
        <w:outlineLvl w:val="9"/>
        <w:rPr>
          <w:rFonts w:hint="eastAsia" w:ascii="宋体" w:hAnsi="宋体"/>
          <w:b w:val="0"/>
          <w:color w:val="auto"/>
          <w:sz w:val="21"/>
          <w:szCs w:val="21"/>
          <w:highlight w:val="none"/>
          <w:shd w:val="clear" w:color="auto" w:fill="auto"/>
        </w:rPr>
      </w:pPr>
      <w:r>
        <w:rPr>
          <w:rFonts w:hint="eastAsia" w:ascii="宋体" w:hAnsi="宋体"/>
          <w:b w:val="0"/>
          <w:color w:val="auto"/>
          <w:sz w:val="21"/>
          <w:szCs w:val="21"/>
          <w:highlight w:val="none"/>
          <w:shd w:val="clear" w:color="auto" w:fill="auto"/>
        </w:rPr>
        <w:t>31.2中标供应商享受《政府采购促进中小企业发展管理办法》（财库〔2020〕46号）规定的中小企业扶持政策的，采购人、采购代理机构应当</w:t>
      </w:r>
      <w:r>
        <w:rPr>
          <w:rFonts w:hint="eastAsia" w:ascii="宋体" w:hAnsi="宋体"/>
          <w:b w:val="0"/>
          <w:color w:val="auto"/>
          <w:sz w:val="21"/>
          <w:szCs w:val="21"/>
          <w:highlight w:val="none"/>
          <w:shd w:val="clear" w:color="auto" w:fill="auto"/>
          <w:lang w:eastAsia="zh-CN"/>
        </w:rPr>
        <w:t>对</w:t>
      </w:r>
      <w:r>
        <w:rPr>
          <w:rFonts w:hint="eastAsia" w:ascii="宋体" w:hAnsi="宋体"/>
          <w:b w:val="0"/>
          <w:color w:val="auto"/>
          <w:sz w:val="21"/>
          <w:szCs w:val="21"/>
          <w:highlight w:val="none"/>
          <w:shd w:val="clear" w:color="auto" w:fill="auto"/>
        </w:rPr>
        <w:t>中标结果公开中标供应商的《中小企业声明函》。</w:t>
      </w:r>
    </w:p>
    <w:p w14:paraId="71BABAA7">
      <w:pPr>
        <w:keepNext w:val="0"/>
        <w:keepLines w:val="0"/>
        <w:pageBreakBefore w:val="0"/>
        <w:widowControl w:val="0"/>
        <w:kinsoku/>
        <w:wordWrap/>
        <w:overflowPunct/>
        <w:topLinePunct w:val="0"/>
        <w:autoSpaceDE/>
        <w:autoSpaceDN/>
        <w:bidi w:val="0"/>
        <w:spacing w:line="360" w:lineRule="auto"/>
        <w:ind w:firstLine="422" w:firstLineChars="200"/>
        <w:textAlignment w:val="auto"/>
        <w:outlineLvl w:val="9"/>
        <w:rPr>
          <w:rFonts w:hint="eastAsia" w:ascii="宋体" w:hAnsi="宋体" w:eastAsia="宋体" w:cs="宋体"/>
          <w:b/>
          <w:bCs/>
          <w:color w:val="auto"/>
          <w:szCs w:val="21"/>
        </w:rPr>
      </w:pPr>
      <w:r>
        <w:rPr>
          <w:rFonts w:hint="eastAsia" w:ascii="宋体" w:hAnsi="宋体" w:eastAsia="宋体" w:cs="宋体"/>
          <w:b/>
          <w:bCs/>
          <w:color w:val="auto"/>
          <w:szCs w:val="21"/>
        </w:rPr>
        <w:t>32.发出中标通知书</w:t>
      </w:r>
    </w:p>
    <w:p w14:paraId="0EF77394">
      <w:pPr>
        <w:keepNext w:val="0"/>
        <w:keepLines w:val="0"/>
        <w:pageBreakBefore w:val="0"/>
        <w:widowControl w:val="0"/>
        <w:numPr>
          <w:ilvl w:val="4"/>
          <w:numId w:val="0"/>
        </w:numPr>
        <w:shd w:val="clear" w:color="auto" w:fill="auto"/>
        <w:kinsoku/>
        <w:wordWrap/>
        <w:overflowPunct/>
        <w:topLinePunct w:val="0"/>
        <w:autoSpaceDE/>
        <w:autoSpaceDN/>
        <w:bidi w:val="0"/>
        <w:spacing w:before="0" w:after="0" w:line="360" w:lineRule="auto"/>
        <w:ind w:leftChars="0" w:firstLine="420" w:firstLineChars="200"/>
        <w:textAlignment w:val="auto"/>
        <w:outlineLvl w:val="9"/>
        <w:rPr>
          <w:rFonts w:hint="eastAsia" w:ascii="宋体" w:hAnsi="宋体"/>
          <w:b w:val="0"/>
          <w:color w:val="auto"/>
          <w:sz w:val="21"/>
          <w:szCs w:val="21"/>
          <w:highlight w:val="none"/>
          <w:shd w:val="clear" w:color="auto" w:fill="auto"/>
        </w:rPr>
      </w:pPr>
      <w:r>
        <w:rPr>
          <w:rFonts w:hint="eastAsia" w:ascii="宋体" w:hAnsi="宋体"/>
          <w:b w:val="0"/>
          <w:color w:val="auto"/>
          <w:sz w:val="21"/>
          <w:szCs w:val="21"/>
          <w:highlight w:val="none"/>
          <w:shd w:val="clear" w:color="auto" w:fill="auto"/>
        </w:rPr>
        <w:t>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501D1C1B">
      <w:pPr>
        <w:keepNext w:val="0"/>
        <w:keepLines w:val="0"/>
        <w:pageBreakBefore w:val="0"/>
        <w:widowControl w:val="0"/>
        <w:kinsoku/>
        <w:wordWrap/>
        <w:overflowPunct/>
        <w:topLinePunct w:val="0"/>
        <w:autoSpaceDE/>
        <w:autoSpaceDN/>
        <w:bidi w:val="0"/>
        <w:spacing w:line="360" w:lineRule="auto"/>
        <w:ind w:firstLine="422" w:firstLineChars="200"/>
        <w:textAlignment w:val="auto"/>
        <w:outlineLvl w:val="9"/>
        <w:rPr>
          <w:rFonts w:hint="eastAsia" w:ascii="宋体" w:hAnsi="宋体" w:eastAsia="宋体" w:cs="宋体"/>
          <w:b/>
          <w:bCs/>
          <w:color w:val="auto"/>
          <w:szCs w:val="21"/>
        </w:rPr>
      </w:pPr>
      <w:r>
        <w:rPr>
          <w:rFonts w:hint="eastAsia" w:ascii="宋体" w:hAnsi="宋体" w:eastAsia="宋体" w:cs="宋体"/>
          <w:b/>
          <w:bCs/>
          <w:color w:val="auto"/>
          <w:szCs w:val="21"/>
        </w:rPr>
        <w:t>33.无义务解释未中标原因</w:t>
      </w:r>
    </w:p>
    <w:p w14:paraId="51B11D2B">
      <w:pPr>
        <w:keepNext w:val="0"/>
        <w:keepLines w:val="0"/>
        <w:pageBreakBefore w:val="0"/>
        <w:widowControl w:val="0"/>
        <w:shd w:val="clear" w:color="auto" w:fill="auto"/>
        <w:kinsoku/>
        <w:wordWrap/>
        <w:overflowPunct/>
        <w:topLinePunct w:val="0"/>
        <w:autoSpaceDE/>
        <w:autoSpaceDN/>
        <w:bidi w:val="0"/>
        <w:spacing w:before="0" w:after="0" w:line="360" w:lineRule="auto"/>
        <w:ind w:left="420" w:leftChars="200"/>
        <w:textAlignment w:val="auto"/>
        <w:outlineLvl w:val="9"/>
        <w:rPr>
          <w:rFonts w:hint="eastAsia" w:ascii="宋体" w:hAnsi="宋体"/>
          <w:b w:val="0"/>
          <w:color w:val="auto"/>
          <w:sz w:val="21"/>
          <w:szCs w:val="21"/>
          <w:highlight w:val="none"/>
          <w:shd w:val="clear" w:color="auto" w:fill="auto"/>
        </w:rPr>
      </w:pPr>
      <w:r>
        <w:rPr>
          <w:rFonts w:hint="eastAsia" w:ascii="宋体" w:hAnsi="宋体"/>
          <w:b w:val="0"/>
          <w:color w:val="auto"/>
          <w:sz w:val="21"/>
          <w:szCs w:val="21"/>
          <w:highlight w:val="none"/>
          <w:shd w:val="clear" w:color="auto" w:fill="auto"/>
        </w:rPr>
        <w:t>采购代理机构无义务向未中标的投标人解释未中标原因。</w:t>
      </w:r>
    </w:p>
    <w:p w14:paraId="147C8849">
      <w:pPr>
        <w:keepNext w:val="0"/>
        <w:keepLines w:val="0"/>
        <w:pageBreakBefore w:val="0"/>
        <w:widowControl w:val="0"/>
        <w:kinsoku/>
        <w:wordWrap/>
        <w:overflowPunct/>
        <w:topLinePunct w:val="0"/>
        <w:autoSpaceDE/>
        <w:autoSpaceDN/>
        <w:bidi w:val="0"/>
        <w:spacing w:line="360" w:lineRule="auto"/>
        <w:ind w:firstLine="422" w:firstLineChars="200"/>
        <w:textAlignment w:val="auto"/>
        <w:outlineLvl w:val="9"/>
        <w:rPr>
          <w:rFonts w:hint="eastAsia" w:ascii="宋体" w:hAnsi="宋体" w:eastAsia="宋体" w:cs="宋体"/>
          <w:b/>
          <w:bCs/>
          <w:color w:val="auto"/>
          <w:szCs w:val="21"/>
        </w:rPr>
      </w:pPr>
      <w:r>
        <w:rPr>
          <w:rFonts w:hint="eastAsia" w:ascii="宋体" w:hAnsi="宋体" w:eastAsia="宋体" w:cs="宋体"/>
          <w:b/>
          <w:bCs/>
          <w:color w:val="auto"/>
          <w:szCs w:val="21"/>
        </w:rPr>
        <w:t>34.合同授予标准</w:t>
      </w:r>
    </w:p>
    <w:p w14:paraId="388039D7">
      <w:pPr>
        <w:keepNext w:val="0"/>
        <w:keepLines w:val="0"/>
        <w:pageBreakBefore w:val="0"/>
        <w:widowControl w:val="0"/>
        <w:shd w:val="clear" w:color="auto" w:fill="auto"/>
        <w:kinsoku/>
        <w:wordWrap/>
        <w:overflowPunct/>
        <w:topLinePunct w:val="0"/>
        <w:autoSpaceDE/>
        <w:autoSpaceDN/>
        <w:bidi w:val="0"/>
        <w:snapToGrid w:val="0"/>
        <w:spacing w:line="360" w:lineRule="auto"/>
        <w:ind w:firstLine="420" w:firstLineChars="200"/>
        <w:textAlignment w:val="auto"/>
        <w:outlineLvl w:val="9"/>
        <w:rPr>
          <w:rFonts w:hint="eastAsia" w:ascii="宋体" w:hAnsi="宋体"/>
          <w:color w:val="auto"/>
          <w:szCs w:val="21"/>
          <w:highlight w:val="none"/>
          <w:shd w:val="clear" w:color="auto" w:fill="auto"/>
        </w:rPr>
      </w:pPr>
      <w:r>
        <w:rPr>
          <w:rFonts w:hint="eastAsia" w:ascii="宋体" w:hAnsi="宋体" w:cs="Courier New"/>
          <w:color w:val="auto"/>
          <w:szCs w:val="21"/>
          <w:highlight w:val="none"/>
          <w:shd w:val="clear" w:color="auto" w:fill="auto"/>
        </w:rPr>
        <w:t>合同将授予被确定实质上响应招标文件要求，具备履行合同能力的中标人。</w:t>
      </w:r>
    </w:p>
    <w:p w14:paraId="627BB69E">
      <w:pPr>
        <w:keepNext w:val="0"/>
        <w:keepLines w:val="0"/>
        <w:pageBreakBefore w:val="0"/>
        <w:widowControl w:val="0"/>
        <w:kinsoku/>
        <w:wordWrap/>
        <w:overflowPunct/>
        <w:topLinePunct w:val="0"/>
        <w:autoSpaceDE/>
        <w:autoSpaceDN/>
        <w:bidi w:val="0"/>
        <w:spacing w:line="360" w:lineRule="auto"/>
        <w:ind w:firstLine="422" w:firstLineChars="200"/>
        <w:textAlignment w:val="auto"/>
        <w:outlineLvl w:val="9"/>
        <w:rPr>
          <w:rFonts w:hint="eastAsia" w:ascii="宋体" w:hAnsi="宋体" w:eastAsia="宋体" w:cs="宋体"/>
          <w:b/>
          <w:bCs/>
          <w:color w:val="auto"/>
          <w:szCs w:val="21"/>
        </w:rPr>
      </w:pPr>
      <w:r>
        <w:rPr>
          <w:rFonts w:hint="eastAsia" w:ascii="宋体" w:hAnsi="宋体" w:eastAsia="宋体" w:cs="宋体"/>
          <w:b/>
          <w:bCs/>
          <w:color w:val="auto"/>
          <w:szCs w:val="21"/>
        </w:rPr>
        <w:t>35.履约保证金</w:t>
      </w:r>
    </w:p>
    <w:p w14:paraId="33402695">
      <w:pPr>
        <w:keepNext w:val="0"/>
        <w:keepLines w:val="0"/>
        <w:pageBreakBefore w:val="0"/>
        <w:widowControl w:val="0"/>
        <w:shd w:val="clear" w:color="auto" w:fill="auto"/>
        <w:kinsoku/>
        <w:wordWrap/>
        <w:overflowPunct/>
        <w:topLinePunct w:val="0"/>
        <w:autoSpaceDE/>
        <w:autoSpaceDN/>
        <w:bidi w:val="0"/>
        <w:spacing w:before="0" w:after="0" w:line="360" w:lineRule="auto"/>
        <w:ind w:firstLine="315" w:firstLineChars="150"/>
        <w:textAlignment w:val="auto"/>
        <w:outlineLvl w:val="9"/>
        <w:rPr>
          <w:rFonts w:hint="eastAsia" w:ascii="宋体" w:hAnsi="宋体"/>
          <w:b w:val="0"/>
          <w:color w:val="auto"/>
          <w:sz w:val="21"/>
          <w:szCs w:val="21"/>
          <w:highlight w:val="none"/>
          <w:shd w:val="clear" w:color="auto" w:fill="auto"/>
        </w:rPr>
      </w:pPr>
      <w:bookmarkStart w:id="152" w:name="_39.1中标人须于签订合同前按本须知前附表规定的金额转账或电汇到指定账"/>
      <w:bookmarkEnd w:id="152"/>
      <w:r>
        <w:rPr>
          <w:rFonts w:hint="eastAsia" w:ascii="宋体" w:hAnsi="宋体"/>
          <w:b w:val="0"/>
          <w:color w:val="auto"/>
          <w:sz w:val="21"/>
          <w:szCs w:val="21"/>
          <w:highlight w:val="none"/>
          <w:shd w:val="clear" w:color="auto" w:fill="auto"/>
        </w:rPr>
        <w:t>3</w:t>
      </w:r>
      <w:r>
        <w:rPr>
          <w:rFonts w:ascii="宋体" w:hAnsi="宋体"/>
          <w:b w:val="0"/>
          <w:color w:val="auto"/>
          <w:sz w:val="21"/>
          <w:szCs w:val="21"/>
          <w:highlight w:val="none"/>
          <w:shd w:val="clear" w:color="auto" w:fill="auto"/>
        </w:rPr>
        <w:t>5</w:t>
      </w:r>
      <w:r>
        <w:rPr>
          <w:rFonts w:hint="eastAsia" w:ascii="宋体" w:hAnsi="宋体"/>
          <w:b w:val="0"/>
          <w:color w:val="auto"/>
          <w:sz w:val="21"/>
          <w:szCs w:val="21"/>
          <w:highlight w:val="none"/>
          <w:shd w:val="clear" w:color="auto" w:fill="auto"/>
        </w:rPr>
        <w:t>.1履约保证金的金额、提交方式、退付的时间和条件详见 “投标人须知前附表”。中标人未按规定提交履约保证金的，视为拒绝与采购人签订合同。</w:t>
      </w:r>
    </w:p>
    <w:p w14:paraId="49C36A40">
      <w:pPr>
        <w:keepNext w:val="0"/>
        <w:keepLines w:val="0"/>
        <w:pageBreakBefore w:val="0"/>
        <w:widowControl w:val="0"/>
        <w:shd w:val="clear" w:color="auto" w:fill="auto"/>
        <w:kinsoku/>
        <w:wordWrap/>
        <w:overflowPunct/>
        <w:topLinePunct w:val="0"/>
        <w:autoSpaceDE/>
        <w:autoSpaceDN/>
        <w:bidi w:val="0"/>
        <w:spacing w:before="0" w:after="0" w:line="360" w:lineRule="auto"/>
        <w:ind w:firstLine="315" w:firstLineChars="150"/>
        <w:textAlignment w:val="auto"/>
        <w:outlineLvl w:val="9"/>
        <w:rPr>
          <w:rFonts w:hint="eastAsia" w:ascii="宋体" w:hAnsi="宋体"/>
          <w:color w:val="auto"/>
          <w:sz w:val="21"/>
          <w:szCs w:val="21"/>
          <w:highlight w:val="none"/>
          <w:shd w:val="clear" w:color="auto" w:fill="auto"/>
        </w:rPr>
      </w:pPr>
      <w:r>
        <w:rPr>
          <w:rFonts w:hint="eastAsia" w:ascii="宋体" w:hAnsi="宋体"/>
          <w:b w:val="0"/>
          <w:bCs/>
          <w:color w:val="auto"/>
          <w:sz w:val="21"/>
          <w:szCs w:val="21"/>
          <w:highlight w:val="none"/>
          <w:shd w:val="clear" w:color="auto" w:fill="auto"/>
        </w:rPr>
        <w:t>35.2在履约保证金退还日期前，若中标人的开户名称、开户银行、帐号有变动的，请以书面形式通知履约保证金收取单位，否则由此产生的后果由中标人自行承担。</w:t>
      </w:r>
    </w:p>
    <w:p w14:paraId="42C723E2">
      <w:pPr>
        <w:keepNext w:val="0"/>
        <w:keepLines w:val="0"/>
        <w:pageBreakBefore w:val="0"/>
        <w:widowControl w:val="0"/>
        <w:kinsoku/>
        <w:wordWrap/>
        <w:overflowPunct/>
        <w:topLinePunct w:val="0"/>
        <w:autoSpaceDE/>
        <w:autoSpaceDN/>
        <w:bidi w:val="0"/>
        <w:spacing w:line="360" w:lineRule="auto"/>
        <w:ind w:firstLine="422" w:firstLineChars="200"/>
        <w:textAlignment w:val="auto"/>
        <w:outlineLvl w:val="9"/>
        <w:rPr>
          <w:rFonts w:hint="eastAsia" w:ascii="宋体" w:hAnsi="宋体" w:eastAsia="宋体" w:cs="宋体"/>
          <w:b/>
          <w:bCs/>
          <w:color w:val="auto"/>
          <w:szCs w:val="21"/>
        </w:rPr>
      </w:pPr>
      <w:r>
        <w:rPr>
          <w:rFonts w:hint="eastAsia" w:ascii="宋体" w:hAnsi="宋体" w:eastAsia="宋体" w:cs="宋体"/>
          <w:b/>
          <w:bCs/>
          <w:color w:val="auto"/>
          <w:szCs w:val="21"/>
        </w:rPr>
        <w:t>36.签订合同</w:t>
      </w:r>
    </w:p>
    <w:p w14:paraId="3E3018F9">
      <w:pPr>
        <w:keepNext w:val="0"/>
        <w:keepLines w:val="0"/>
        <w:pageBreakBefore w:val="0"/>
        <w:widowControl w:val="0"/>
        <w:shd w:val="clear" w:color="auto" w:fill="auto"/>
        <w:kinsoku/>
        <w:wordWrap/>
        <w:overflowPunct/>
        <w:topLinePunct w:val="0"/>
        <w:autoSpaceDE/>
        <w:autoSpaceDN/>
        <w:bidi w:val="0"/>
        <w:spacing w:before="0" w:after="0" w:line="360" w:lineRule="auto"/>
        <w:ind w:firstLine="316" w:firstLineChars="150"/>
        <w:textAlignment w:val="auto"/>
        <w:outlineLvl w:val="9"/>
        <w:rPr>
          <w:rFonts w:hint="eastAsia" w:ascii="宋体" w:hAnsi="宋体"/>
          <w:b/>
          <w:bCs/>
          <w:color w:val="auto"/>
          <w:sz w:val="21"/>
          <w:szCs w:val="21"/>
          <w:highlight w:val="none"/>
          <w:shd w:val="clear" w:color="auto" w:fill="auto"/>
        </w:rPr>
      </w:pPr>
      <w:bookmarkStart w:id="153" w:name="_40.1投标人接到中标通知书后，按须知前附表规定向采购人出示相关资格证"/>
      <w:bookmarkEnd w:id="153"/>
      <w:r>
        <w:rPr>
          <w:rFonts w:hint="eastAsia" w:ascii="宋体" w:hAnsi="宋体"/>
          <w:b/>
          <w:bCs/>
          <w:color w:val="auto"/>
          <w:sz w:val="21"/>
          <w:szCs w:val="21"/>
          <w:highlight w:val="none"/>
          <w:shd w:val="clear" w:color="auto" w:fill="auto"/>
        </w:rPr>
        <w:t>36.1签订电子采购合同：中标人领取电子中标通知书后，</w:t>
      </w:r>
      <w:r>
        <w:rPr>
          <w:rFonts w:hint="eastAsia" w:ascii="宋体" w:hAnsi="宋体"/>
          <w:b/>
          <w:bCs/>
          <w:color w:val="auto"/>
          <w:kern w:val="0"/>
          <w:sz w:val="21"/>
          <w:szCs w:val="21"/>
          <w:highlight w:val="none"/>
          <w:shd w:val="clear" w:color="auto" w:fill="auto"/>
        </w:rPr>
        <w:t>在</w:t>
      </w:r>
      <w:r>
        <w:rPr>
          <w:rFonts w:hint="eastAsia" w:ascii="宋体" w:hAnsi="宋体"/>
          <w:b/>
          <w:bCs/>
          <w:color w:val="auto"/>
          <w:kern w:val="0"/>
          <w:sz w:val="21"/>
          <w:szCs w:val="21"/>
          <w:highlight w:val="none"/>
          <w:shd w:val="clear" w:color="auto" w:fill="auto"/>
          <w:lang w:val="zh-CN"/>
        </w:rPr>
        <w:t>规定的日期、时间、地点，由法定代表人或其授权代表与采购人代表签订电子采购合同。如中标人为联合体的，由联合体成员各方法定代表人或其授权代表与采购人代表签订合同。</w:t>
      </w:r>
    </w:p>
    <w:p w14:paraId="6C17DD76">
      <w:pPr>
        <w:keepNext w:val="0"/>
        <w:keepLines w:val="0"/>
        <w:pageBreakBefore w:val="0"/>
        <w:widowControl w:val="0"/>
        <w:shd w:val="clear" w:color="auto" w:fill="auto"/>
        <w:kinsoku/>
        <w:wordWrap/>
        <w:overflowPunct/>
        <w:topLinePunct w:val="0"/>
        <w:autoSpaceDE/>
        <w:autoSpaceDN/>
        <w:bidi w:val="0"/>
        <w:spacing w:before="0" w:after="0" w:line="360" w:lineRule="auto"/>
        <w:ind w:firstLine="315" w:firstLineChars="150"/>
        <w:textAlignment w:val="auto"/>
        <w:outlineLvl w:val="9"/>
        <w:rPr>
          <w:rFonts w:hint="eastAsia" w:ascii="宋体" w:hAnsi="宋体"/>
          <w:b w:val="0"/>
          <w:color w:val="auto"/>
          <w:sz w:val="21"/>
          <w:szCs w:val="21"/>
          <w:highlight w:val="none"/>
          <w:shd w:val="clear" w:color="auto" w:fill="auto"/>
        </w:rPr>
      </w:pPr>
      <w:r>
        <w:rPr>
          <w:rFonts w:hint="eastAsia" w:ascii="宋体" w:hAnsi="宋体"/>
          <w:b w:val="0"/>
          <w:color w:val="auto"/>
          <w:sz w:val="21"/>
          <w:szCs w:val="21"/>
          <w:highlight w:val="none"/>
          <w:shd w:val="clear" w:color="auto" w:fill="auto"/>
        </w:rPr>
        <w:t>线下签订纸质合同：投标人领取中标通知书后，按“投标人须知前附表”规定向采购人出示相关证明材料，经采购人核验合格后方可签订合同。</w:t>
      </w:r>
    </w:p>
    <w:p w14:paraId="09506E6D">
      <w:pPr>
        <w:keepNext w:val="0"/>
        <w:keepLines w:val="0"/>
        <w:pageBreakBefore w:val="0"/>
        <w:widowControl w:val="0"/>
        <w:numPr>
          <w:ilvl w:val="0"/>
          <w:numId w:val="0"/>
        </w:numPr>
        <w:shd w:val="clear" w:color="auto" w:fill="auto"/>
        <w:kinsoku/>
        <w:wordWrap/>
        <w:overflowPunct/>
        <w:topLinePunct w:val="0"/>
        <w:autoSpaceDE/>
        <w:autoSpaceDN/>
        <w:bidi w:val="0"/>
        <w:spacing w:before="0" w:after="0" w:line="360" w:lineRule="auto"/>
        <w:ind w:firstLine="420" w:firstLineChars="200"/>
        <w:textAlignment w:val="auto"/>
        <w:outlineLvl w:val="9"/>
        <w:rPr>
          <w:rFonts w:hint="eastAsia" w:ascii="宋体" w:hAnsi="宋体"/>
          <w:b w:val="0"/>
          <w:color w:val="auto"/>
          <w:sz w:val="21"/>
          <w:szCs w:val="21"/>
          <w:highlight w:val="none"/>
          <w:shd w:val="clear" w:color="auto" w:fill="auto"/>
        </w:rPr>
      </w:pPr>
      <w:r>
        <w:rPr>
          <w:rFonts w:hint="eastAsia" w:ascii="宋体" w:hAnsi="宋体"/>
          <w:b w:val="0"/>
          <w:color w:val="auto"/>
          <w:sz w:val="21"/>
          <w:szCs w:val="21"/>
          <w:highlight w:val="none"/>
          <w:shd w:val="clear" w:color="auto" w:fill="auto"/>
        </w:rPr>
        <w:t>36.2签订合同时间：按中标通知书规定的时间与采购人签订合同。</w:t>
      </w:r>
    </w:p>
    <w:p w14:paraId="4D496727">
      <w:pPr>
        <w:keepNext w:val="0"/>
        <w:keepLines w:val="0"/>
        <w:pageBreakBefore w:val="0"/>
        <w:widowControl w:val="0"/>
        <w:numPr>
          <w:ilvl w:val="0"/>
          <w:numId w:val="0"/>
        </w:numPr>
        <w:shd w:val="clear" w:color="auto" w:fill="auto"/>
        <w:kinsoku/>
        <w:wordWrap/>
        <w:overflowPunct/>
        <w:topLinePunct w:val="0"/>
        <w:autoSpaceDE/>
        <w:autoSpaceDN/>
        <w:bidi w:val="0"/>
        <w:spacing w:before="0" w:after="0" w:line="360" w:lineRule="auto"/>
        <w:ind w:firstLine="420" w:firstLineChars="200"/>
        <w:textAlignment w:val="auto"/>
        <w:outlineLvl w:val="9"/>
        <w:rPr>
          <w:rFonts w:hint="eastAsia" w:ascii="宋体" w:hAnsi="宋体"/>
          <w:b w:val="0"/>
          <w:color w:val="auto"/>
          <w:sz w:val="21"/>
          <w:szCs w:val="21"/>
          <w:highlight w:val="none"/>
          <w:shd w:val="clear" w:color="auto" w:fill="auto"/>
        </w:rPr>
      </w:pPr>
      <w:r>
        <w:rPr>
          <w:rFonts w:hint="eastAsia" w:ascii="宋体" w:hAnsi="宋体"/>
          <w:b w:val="0"/>
          <w:color w:val="auto"/>
          <w:sz w:val="21"/>
          <w:szCs w:val="21"/>
          <w:highlight w:val="none"/>
          <w:shd w:val="clear" w:color="auto" w:fill="auto"/>
        </w:rPr>
        <w:t>36.</w:t>
      </w:r>
      <w:r>
        <w:rPr>
          <w:rFonts w:ascii="宋体" w:hAnsi="宋体"/>
          <w:b w:val="0"/>
          <w:color w:val="auto"/>
          <w:sz w:val="21"/>
          <w:szCs w:val="21"/>
          <w:highlight w:val="none"/>
          <w:shd w:val="clear" w:color="auto" w:fill="auto"/>
        </w:rPr>
        <w:t>3</w:t>
      </w:r>
      <w:r>
        <w:rPr>
          <w:rFonts w:hint="eastAsia" w:ascii="宋体" w:hAnsi="宋体"/>
          <w:b w:val="0"/>
          <w:color w:val="auto"/>
          <w:sz w:val="21"/>
          <w:szCs w:val="21"/>
          <w:highlight w:val="none"/>
          <w:shd w:val="clear" w:color="auto" w:fill="auto"/>
        </w:rPr>
        <w:t>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122D2AA8">
      <w:pPr>
        <w:keepNext w:val="0"/>
        <w:keepLines w:val="0"/>
        <w:pageBreakBefore w:val="0"/>
        <w:widowControl w:val="0"/>
        <w:shd w:val="clear" w:color="auto" w:fill="auto"/>
        <w:kinsoku/>
        <w:wordWrap/>
        <w:overflowPunct/>
        <w:topLinePunct w:val="0"/>
        <w:autoSpaceDE/>
        <w:autoSpaceDN/>
        <w:bidi w:val="0"/>
        <w:spacing w:line="360" w:lineRule="auto"/>
        <w:ind w:firstLine="420" w:firstLineChars="200"/>
        <w:textAlignment w:val="auto"/>
        <w:outlineLvl w:val="9"/>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1CC71698">
      <w:pPr>
        <w:keepNext w:val="0"/>
        <w:keepLines w:val="0"/>
        <w:pageBreakBefore w:val="0"/>
        <w:widowControl w:val="0"/>
        <w:shd w:val="clear" w:color="auto" w:fill="auto"/>
        <w:kinsoku/>
        <w:wordWrap/>
        <w:overflowPunct/>
        <w:topLinePunct w:val="0"/>
        <w:autoSpaceDE/>
        <w:autoSpaceDN/>
        <w:bidi w:val="0"/>
        <w:spacing w:line="360" w:lineRule="auto"/>
        <w:ind w:firstLine="420" w:firstLineChars="200"/>
        <w:textAlignment w:val="auto"/>
        <w:outlineLvl w:val="9"/>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36.5采购人或中标供应商不得单方面向合同另一方提出任何招标文件没有约定的条件或不合理的要求，作为签订合同的条件；也不得协商另行订立背离招标文件和合同实质性内容的协议。</w:t>
      </w:r>
    </w:p>
    <w:p w14:paraId="0F2A756B">
      <w:pPr>
        <w:keepNext w:val="0"/>
        <w:keepLines w:val="0"/>
        <w:pageBreakBefore w:val="0"/>
        <w:widowControl w:val="0"/>
        <w:shd w:val="clear" w:color="auto" w:fill="auto"/>
        <w:kinsoku/>
        <w:wordWrap/>
        <w:overflowPunct/>
        <w:topLinePunct w:val="0"/>
        <w:autoSpaceDE/>
        <w:autoSpaceDN/>
        <w:bidi w:val="0"/>
        <w:spacing w:line="360" w:lineRule="auto"/>
        <w:ind w:firstLine="420" w:firstLineChars="200"/>
        <w:textAlignment w:val="auto"/>
        <w:outlineLvl w:val="9"/>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36.6</w:t>
      </w:r>
      <w:r>
        <w:rPr>
          <w:rFonts w:hint="eastAsia" w:ascii="宋体" w:hAnsi="宋体" w:cs="仿宋_GB2312"/>
          <w:color w:val="auto"/>
          <w:szCs w:val="21"/>
          <w:highlight w:val="none"/>
          <w:shd w:val="clear" w:color="auto" w:fill="auto"/>
        </w:rPr>
        <w:t>如签订合同并生效后，供应商无故拒绝或延期，除按照合同条款处理外，将承担相应的法律责任。</w:t>
      </w:r>
    </w:p>
    <w:p w14:paraId="34C2CB9C">
      <w:pPr>
        <w:keepNext w:val="0"/>
        <w:keepLines w:val="0"/>
        <w:pageBreakBefore w:val="0"/>
        <w:widowControl w:val="0"/>
        <w:shd w:val="clear" w:color="auto" w:fill="auto"/>
        <w:kinsoku/>
        <w:wordWrap/>
        <w:overflowPunct/>
        <w:topLinePunct w:val="0"/>
        <w:autoSpaceDE/>
        <w:autoSpaceDN/>
        <w:bidi w:val="0"/>
        <w:spacing w:line="360" w:lineRule="auto"/>
        <w:ind w:firstLine="420" w:firstLineChars="200"/>
        <w:textAlignment w:val="auto"/>
        <w:outlineLvl w:val="9"/>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36.7</w:t>
      </w:r>
      <w:r>
        <w:rPr>
          <w:rFonts w:hint="eastAsia" w:ascii="宋体" w:hAnsi="宋体" w:cs="宋体"/>
          <w:color w:val="auto"/>
          <w:szCs w:val="21"/>
          <w:highlight w:val="none"/>
          <w:shd w:val="clear" w:color="auto" w:fill="auto"/>
        </w:rPr>
        <w:t>政府采购合同履行中，采购人需追加与合同标的相同的货物、工程或者服务的，在不改变合同其他条款的前提下，可以与供应商协商签订补充合同，但所有补充合同的采购金额不得超过原合同采购金额的10%。</w:t>
      </w:r>
    </w:p>
    <w:p w14:paraId="2A3EC8A1">
      <w:pPr>
        <w:keepNext w:val="0"/>
        <w:keepLines w:val="0"/>
        <w:pageBreakBefore w:val="0"/>
        <w:widowControl w:val="0"/>
        <w:kinsoku/>
        <w:wordWrap/>
        <w:overflowPunct/>
        <w:topLinePunct w:val="0"/>
        <w:autoSpaceDE/>
        <w:autoSpaceDN/>
        <w:bidi w:val="0"/>
        <w:spacing w:line="360" w:lineRule="auto"/>
        <w:ind w:firstLine="422" w:firstLineChars="200"/>
        <w:textAlignment w:val="auto"/>
        <w:outlineLvl w:val="9"/>
        <w:rPr>
          <w:rFonts w:hint="eastAsia" w:ascii="宋体" w:hAnsi="宋体" w:eastAsia="宋体" w:cs="宋体"/>
          <w:b/>
          <w:bCs/>
          <w:color w:val="auto"/>
          <w:szCs w:val="21"/>
        </w:rPr>
      </w:pPr>
      <w:bookmarkStart w:id="154" w:name="_41.政府采购合同公告"/>
      <w:bookmarkEnd w:id="154"/>
      <w:r>
        <w:rPr>
          <w:rFonts w:hint="eastAsia" w:ascii="宋体" w:hAnsi="宋体" w:eastAsia="宋体" w:cs="宋体"/>
          <w:b/>
          <w:bCs/>
          <w:color w:val="auto"/>
          <w:szCs w:val="21"/>
        </w:rPr>
        <w:t>37.政府采购合同公告</w:t>
      </w:r>
    </w:p>
    <w:p w14:paraId="536012D8">
      <w:pPr>
        <w:pStyle w:val="14"/>
        <w:keepNext w:val="0"/>
        <w:keepLines w:val="0"/>
        <w:pageBreakBefore w:val="0"/>
        <w:widowControl w:val="0"/>
        <w:shd w:val="clear" w:color="auto" w:fill="auto"/>
        <w:kinsoku/>
        <w:wordWrap/>
        <w:overflowPunct/>
        <w:topLinePunct w:val="0"/>
        <w:autoSpaceDE/>
        <w:autoSpaceDN/>
        <w:bidi w:val="0"/>
        <w:snapToGrid w:val="0"/>
        <w:spacing w:line="360" w:lineRule="auto"/>
        <w:ind w:firstLine="420" w:firstLineChars="200"/>
        <w:textAlignment w:val="auto"/>
        <w:outlineLvl w:val="9"/>
        <w:rPr>
          <w:rFonts w:hint="eastAsia" w:hAnsi="宋体"/>
          <w:color w:val="auto"/>
          <w:sz w:val="21"/>
          <w:highlight w:val="none"/>
          <w:shd w:val="clear" w:color="auto" w:fill="auto"/>
        </w:rPr>
      </w:pPr>
      <w:r>
        <w:rPr>
          <w:rFonts w:hint="eastAsia" w:hAnsi="宋体"/>
          <w:color w:val="auto"/>
          <w:sz w:val="21"/>
          <w:highlight w:val="none"/>
          <w:shd w:val="clear" w:color="auto" w:fill="auto"/>
        </w:rPr>
        <w:t>采购人或者受托采购代理机构应当自政府采购合同签订之日起2个工作日内，将政府采购合同在省级以上人民政府财政部门指定的媒体上公告，</w:t>
      </w:r>
      <w:r>
        <w:rPr>
          <w:rFonts w:hAnsi="宋体"/>
          <w:color w:val="auto"/>
          <w:sz w:val="21"/>
          <w:highlight w:val="none"/>
          <w:shd w:val="clear" w:color="auto" w:fill="auto"/>
        </w:rPr>
        <w:t>但政府采购合同中涉及国家秘密、商业秘密的内容除外。</w:t>
      </w:r>
    </w:p>
    <w:p w14:paraId="4519B566">
      <w:pPr>
        <w:keepNext w:val="0"/>
        <w:keepLines w:val="0"/>
        <w:pageBreakBefore w:val="0"/>
        <w:widowControl w:val="0"/>
        <w:kinsoku/>
        <w:wordWrap/>
        <w:overflowPunct/>
        <w:topLinePunct w:val="0"/>
        <w:autoSpaceDE/>
        <w:autoSpaceDN/>
        <w:bidi w:val="0"/>
        <w:spacing w:line="360" w:lineRule="auto"/>
        <w:ind w:firstLine="422" w:firstLineChars="200"/>
        <w:textAlignment w:val="auto"/>
        <w:outlineLvl w:val="9"/>
        <w:rPr>
          <w:rFonts w:hint="eastAsia" w:ascii="宋体" w:hAnsi="宋体" w:eastAsia="宋体" w:cs="宋体"/>
          <w:b/>
          <w:bCs/>
          <w:color w:val="auto"/>
          <w:szCs w:val="21"/>
        </w:rPr>
      </w:pPr>
      <w:r>
        <w:rPr>
          <w:rFonts w:hint="eastAsia" w:ascii="宋体" w:hAnsi="宋体" w:eastAsia="宋体" w:cs="宋体"/>
          <w:b/>
          <w:bCs/>
          <w:color w:val="auto"/>
          <w:szCs w:val="21"/>
        </w:rPr>
        <w:t>38.询问、质疑和投诉</w:t>
      </w:r>
    </w:p>
    <w:p w14:paraId="0590C283">
      <w:pPr>
        <w:pStyle w:val="8"/>
        <w:keepNext w:val="0"/>
        <w:keepLines w:val="0"/>
        <w:pageBreakBefore w:val="0"/>
        <w:widowControl w:val="0"/>
        <w:shd w:val="clear" w:color="auto" w:fill="auto"/>
        <w:kinsoku/>
        <w:wordWrap/>
        <w:overflowPunct/>
        <w:topLinePunct w:val="0"/>
        <w:autoSpaceDE/>
        <w:autoSpaceDN/>
        <w:bidi w:val="0"/>
        <w:spacing w:line="360" w:lineRule="auto"/>
        <w:textAlignment w:val="auto"/>
        <w:outlineLvl w:val="9"/>
        <w:rPr>
          <w:rFonts w:hint="eastAsia" w:ascii="宋体" w:hAnsi="宋体"/>
          <w:color w:val="auto"/>
          <w:szCs w:val="21"/>
          <w:highlight w:val="none"/>
          <w:shd w:val="clear" w:color="auto" w:fill="auto"/>
        </w:rPr>
      </w:pPr>
      <w:r>
        <w:rPr>
          <w:rFonts w:ascii="宋体" w:hAnsi="宋体"/>
          <w:color w:val="auto"/>
          <w:szCs w:val="21"/>
          <w:highlight w:val="none"/>
          <w:shd w:val="clear" w:color="auto" w:fill="auto"/>
        </w:rPr>
        <w:t>38.1</w:t>
      </w:r>
      <w:r>
        <w:rPr>
          <w:rFonts w:hint="eastAsia" w:ascii="宋体" w:hAnsi="宋体"/>
          <w:color w:val="auto"/>
          <w:szCs w:val="21"/>
          <w:highlight w:val="none"/>
          <w:shd w:val="clear" w:color="auto" w:fill="auto"/>
        </w:rPr>
        <w:t>供应商对政府采购活动事项有疑问的，可以向采购人提出询问，采购人或者采购代理机构应当在3个工作日内对供应商依法提出的询问作出答复，但答复的内容不得涉及商业秘密。</w:t>
      </w:r>
    </w:p>
    <w:p w14:paraId="01BC70F8">
      <w:pPr>
        <w:keepNext w:val="0"/>
        <w:keepLines w:val="0"/>
        <w:pageBreakBefore w:val="0"/>
        <w:widowControl w:val="0"/>
        <w:numPr>
          <w:ilvl w:val="4"/>
          <w:numId w:val="0"/>
        </w:numPr>
        <w:shd w:val="clear" w:color="auto" w:fill="auto"/>
        <w:kinsoku/>
        <w:wordWrap/>
        <w:overflowPunct/>
        <w:topLinePunct w:val="0"/>
        <w:autoSpaceDE/>
        <w:autoSpaceDN/>
        <w:bidi w:val="0"/>
        <w:spacing w:before="0" w:after="0" w:line="360" w:lineRule="auto"/>
        <w:ind w:firstLine="420" w:firstLineChars="200"/>
        <w:textAlignment w:val="auto"/>
        <w:outlineLvl w:val="9"/>
        <w:rPr>
          <w:rFonts w:hint="eastAsia" w:ascii="宋体" w:hAnsi="宋体"/>
          <w:b w:val="0"/>
          <w:color w:val="auto"/>
          <w:sz w:val="21"/>
          <w:szCs w:val="21"/>
          <w:highlight w:val="none"/>
          <w:shd w:val="clear" w:color="auto" w:fill="auto"/>
        </w:rPr>
      </w:pPr>
      <w:r>
        <w:rPr>
          <w:rFonts w:ascii="宋体" w:hAnsi="宋体"/>
          <w:b w:val="0"/>
          <w:color w:val="auto"/>
          <w:sz w:val="21"/>
          <w:szCs w:val="21"/>
          <w:highlight w:val="none"/>
          <w:shd w:val="clear" w:color="auto" w:fill="auto"/>
        </w:rPr>
        <w:t>38</w:t>
      </w:r>
      <w:r>
        <w:rPr>
          <w:rFonts w:hint="eastAsia" w:ascii="宋体" w:hAnsi="宋体"/>
          <w:b w:val="0"/>
          <w:color w:val="auto"/>
          <w:sz w:val="21"/>
          <w:szCs w:val="21"/>
          <w:highlight w:val="none"/>
          <w:shd w:val="clear" w:color="auto" w:fill="auto"/>
        </w:rPr>
        <w:t>.</w:t>
      </w:r>
      <w:r>
        <w:rPr>
          <w:rFonts w:ascii="宋体" w:hAnsi="宋体"/>
          <w:b w:val="0"/>
          <w:color w:val="auto"/>
          <w:sz w:val="21"/>
          <w:szCs w:val="21"/>
          <w:highlight w:val="none"/>
          <w:shd w:val="clear" w:color="auto" w:fill="auto"/>
        </w:rPr>
        <w:t>2</w:t>
      </w:r>
      <w:r>
        <w:rPr>
          <w:rFonts w:hint="eastAsia" w:ascii="宋体" w:hAnsi="宋体"/>
          <w:b w:val="0"/>
          <w:color w:val="auto"/>
          <w:sz w:val="21"/>
          <w:szCs w:val="21"/>
          <w:highlight w:val="none"/>
          <w:shd w:val="clear" w:color="auto" w:fill="auto"/>
        </w:rPr>
        <w:t xml:space="preserve">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0709C321">
      <w:pPr>
        <w:pStyle w:val="14"/>
        <w:keepNext w:val="0"/>
        <w:keepLines w:val="0"/>
        <w:pageBreakBefore w:val="0"/>
        <w:widowControl w:val="0"/>
        <w:shd w:val="clear" w:color="auto" w:fill="auto"/>
        <w:kinsoku/>
        <w:wordWrap/>
        <w:overflowPunct/>
        <w:topLinePunct w:val="0"/>
        <w:autoSpaceDE/>
        <w:autoSpaceDN/>
        <w:bidi w:val="0"/>
        <w:snapToGrid w:val="0"/>
        <w:spacing w:line="360" w:lineRule="auto"/>
        <w:ind w:firstLine="420" w:firstLineChars="200"/>
        <w:textAlignment w:val="auto"/>
        <w:outlineLvl w:val="9"/>
        <w:rPr>
          <w:rFonts w:hAnsi="宋体"/>
          <w:color w:val="auto"/>
          <w:sz w:val="21"/>
          <w:highlight w:val="none"/>
          <w:shd w:val="clear" w:color="auto" w:fill="auto"/>
        </w:rPr>
      </w:pPr>
      <w:r>
        <w:rPr>
          <w:rFonts w:hAnsi="宋体"/>
          <w:color w:val="auto"/>
          <w:sz w:val="21"/>
          <w:highlight w:val="none"/>
          <w:shd w:val="clear" w:color="auto" w:fill="auto"/>
        </w:rPr>
        <w:t>（</w:t>
      </w:r>
      <w:r>
        <w:rPr>
          <w:rFonts w:hint="eastAsia" w:hAnsi="宋体"/>
          <w:color w:val="auto"/>
          <w:sz w:val="21"/>
          <w:highlight w:val="none"/>
          <w:shd w:val="clear" w:color="auto" w:fill="auto"/>
        </w:rPr>
        <w:t>1</w:t>
      </w:r>
      <w:r>
        <w:rPr>
          <w:rFonts w:hAnsi="宋体"/>
          <w:color w:val="auto"/>
          <w:sz w:val="21"/>
          <w:highlight w:val="none"/>
          <w:shd w:val="clear" w:color="auto" w:fill="auto"/>
        </w:rPr>
        <w:t>）对可以质疑的</w:t>
      </w:r>
      <w:r>
        <w:rPr>
          <w:rFonts w:hint="eastAsia" w:hAnsi="宋体"/>
          <w:color w:val="auto"/>
          <w:sz w:val="21"/>
          <w:highlight w:val="none"/>
          <w:shd w:val="clear" w:color="auto" w:fill="auto"/>
        </w:rPr>
        <w:t>招标</w:t>
      </w:r>
      <w:r>
        <w:rPr>
          <w:rFonts w:hAnsi="宋体"/>
          <w:color w:val="auto"/>
          <w:sz w:val="21"/>
          <w:highlight w:val="none"/>
          <w:shd w:val="clear" w:color="auto" w:fill="auto"/>
        </w:rPr>
        <w:t>文件提出质疑的，为收到</w:t>
      </w:r>
      <w:r>
        <w:rPr>
          <w:rFonts w:hint="eastAsia" w:hAnsi="宋体"/>
          <w:color w:val="auto"/>
          <w:sz w:val="21"/>
          <w:highlight w:val="none"/>
          <w:shd w:val="clear" w:color="auto" w:fill="auto"/>
        </w:rPr>
        <w:t>招标</w:t>
      </w:r>
      <w:r>
        <w:rPr>
          <w:rFonts w:hAnsi="宋体"/>
          <w:color w:val="auto"/>
          <w:sz w:val="21"/>
          <w:highlight w:val="none"/>
          <w:shd w:val="clear" w:color="auto" w:fill="auto"/>
        </w:rPr>
        <w:t>文件之日</w:t>
      </w:r>
      <w:r>
        <w:rPr>
          <w:rFonts w:hint="eastAsia" w:hAnsi="宋体"/>
          <w:color w:val="auto"/>
          <w:sz w:val="21"/>
          <w:highlight w:val="none"/>
          <w:shd w:val="clear" w:color="auto" w:fill="auto"/>
        </w:rPr>
        <w:t>或者招标文件公告期限届满之日</w:t>
      </w:r>
      <w:r>
        <w:rPr>
          <w:rFonts w:hAnsi="宋体"/>
          <w:color w:val="auto"/>
          <w:sz w:val="21"/>
          <w:highlight w:val="none"/>
          <w:shd w:val="clear" w:color="auto" w:fill="auto"/>
        </w:rPr>
        <w:t>；</w:t>
      </w:r>
    </w:p>
    <w:p w14:paraId="47A7B7C9">
      <w:pPr>
        <w:pStyle w:val="14"/>
        <w:keepNext w:val="0"/>
        <w:keepLines w:val="0"/>
        <w:pageBreakBefore w:val="0"/>
        <w:widowControl w:val="0"/>
        <w:shd w:val="clear" w:color="auto" w:fill="auto"/>
        <w:kinsoku/>
        <w:wordWrap/>
        <w:overflowPunct/>
        <w:topLinePunct w:val="0"/>
        <w:autoSpaceDE/>
        <w:autoSpaceDN/>
        <w:bidi w:val="0"/>
        <w:snapToGrid w:val="0"/>
        <w:spacing w:line="360" w:lineRule="auto"/>
        <w:ind w:firstLine="420" w:firstLineChars="200"/>
        <w:textAlignment w:val="auto"/>
        <w:outlineLvl w:val="9"/>
        <w:rPr>
          <w:rFonts w:hint="eastAsia" w:hAnsi="宋体"/>
          <w:color w:val="auto"/>
          <w:sz w:val="21"/>
          <w:highlight w:val="none"/>
          <w:shd w:val="clear" w:color="auto" w:fill="auto"/>
        </w:rPr>
      </w:pPr>
      <w:r>
        <w:rPr>
          <w:rFonts w:hAnsi="宋体"/>
          <w:color w:val="auto"/>
          <w:sz w:val="21"/>
          <w:highlight w:val="none"/>
          <w:shd w:val="clear" w:color="auto" w:fill="auto"/>
        </w:rPr>
        <w:t>（</w:t>
      </w:r>
      <w:r>
        <w:rPr>
          <w:rFonts w:hint="eastAsia" w:hAnsi="宋体"/>
          <w:color w:val="auto"/>
          <w:sz w:val="21"/>
          <w:highlight w:val="none"/>
          <w:shd w:val="clear" w:color="auto" w:fill="auto"/>
        </w:rPr>
        <w:t>2</w:t>
      </w:r>
      <w:r>
        <w:rPr>
          <w:rFonts w:hAnsi="宋体"/>
          <w:color w:val="auto"/>
          <w:sz w:val="21"/>
          <w:highlight w:val="none"/>
          <w:shd w:val="clear" w:color="auto" w:fill="auto"/>
        </w:rPr>
        <w:t>）对</w:t>
      </w:r>
      <w:r>
        <w:rPr>
          <w:rFonts w:hint="eastAsia" w:hAnsi="宋体"/>
          <w:color w:val="auto"/>
          <w:sz w:val="21"/>
          <w:highlight w:val="none"/>
          <w:shd w:val="clear" w:color="auto" w:fill="auto"/>
        </w:rPr>
        <w:t>采购</w:t>
      </w:r>
      <w:r>
        <w:rPr>
          <w:rFonts w:hAnsi="宋体"/>
          <w:color w:val="auto"/>
          <w:sz w:val="21"/>
          <w:highlight w:val="none"/>
          <w:shd w:val="clear" w:color="auto" w:fill="auto"/>
        </w:rPr>
        <w:t>过程提出质疑的，为各采购程序环节结束之日；</w:t>
      </w:r>
    </w:p>
    <w:p w14:paraId="5059AB5C">
      <w:pPr>
        <w:pStyle w:val="14"/>
        <w:keepNext w:val="0"/>
        <w:keepLines w:val="0"/>
        <w:pageBreakBefore w:val="0"/>
        <w:widowControl w:val="0"/>
        <w:shd w:val="clear" w:color="auto" w:fill="auto"/>
        <w:kinsoku/>
        <w:wordWrap/>
        <w:overflowPunct/>
        <w:topLinePunct w:val="0"/>
        <w:autoSpaceDE/>
        <w:autoSpaceDN/>
        <w:bidi w:val="0"/>
        <w:snapToGrid w:val="0"/>
        <w:spacing w:line="360" w:lineRule="auto"/>
        <w:ind w:firstLine="420" w:firstLineChars="200"/>
        <w:textAlignment w:val="auto"/>
        <w:outlineLvl w:val="9"/>
        <w:rPr>
          <w:rFonts w:hint="eastAsia" w:hAnsi="宋体"/>
          <w:bCs/>
          <w:color w:val="auto"/>
          <w:sz w:val="21"/>
          <w:highlight w:val="none"/>
          <w:shd w:val="clear" w:color="auto" w:fill="auto"/>
        </w:rPr>
      </w:pPr>
      <w:r>
        <w:rPr>
          <w:rFonts w:hAnsi="宋体"/>
          <w:color w:val="auto"/>
          <w:sz w:val="21"/>
          <w:highlight w:val="none"/>
          <w:shd w:val="clear" w:color="auto" w:fill="auto"/>
        </w:rPr>
        <w:t>（</w:t>
      </w:r>
      <w:r>
        <w:rPr>
          <w:rFonts w:hint="eastAsia" w:hAnsi="宋体"/>
          <w:color w:val="auto"/>
          <w:sz w:val="21"/>
          <w:highlight w:val="none"/>
          <w:shd w:val="clear" w:color="auto" w:fill="auto"/>
        </w:rPr>
        <w:t>3</w:t>
      </w:r>
      <w:r>
        <w:rPr>
          <w:rFonts w:hAnsi="宋体"/>
          <w:color w:val="auto"/>
          <w:sz w:val="21"/>
          <w:highlight w:val="none"/>
          <w:shd w:val="clear" w:color="auto" w:fill="auto"/>
        </w:rPr>
        <w:t>）对中标结果提出质疑的，为中标结果公告期限届满之日。</w:t>
      </w:r>
    </w:p>
    <w:p w14:paraId="360C338D">
      <w:pPr>
        <w:keepNext w:val="0"/>
        <w:keepLines w:val="0"/>
        <w:pageBreakBefore w:val="0"/>
        <w:widowControl w:val="0"/>
        <w:shd w:val="clear" w:color="auto" w:fill="auto"/>
        <w:kinsoku/>
        <w:wordWrap/>
        <w:overflowPunct/>
        <w:topLinePunct w:val="0"/>
        <w:autoSpaceDE/>
        <w:autoSpaceDN/>
        <w:bidi w:val="0"/>
        <w:spacing w:before="0" w:after="0" w:line="360" w:lineRule="auto"/>
        <w:ind w:firstLine="315" w:firstLineChars="150"/>
        <w:textAlignment w:val="auto"/>
        <w:outlineLvl w:val="9"/>
        <w:rPr>
          <w:rFonts w:ascii="宋体" w:hAnsi="宋体"/>
          <w:b w:val="0"/>
          <w:color w:val="auto"/>
          <w:sz w:val="21"/>
          <w:szCs w:val="21"/>
          <w:highlight w:val="none"/>
          <w:shd w:val="clear" w:color="auto" w:fill="auto"/>
        </w:rPr>
      </w:pPr>
      <w:r>
        <w:rPr>
          <w:rFonts w:ascii="宋体" w:hAnsi="宋体"/>
          <w:b w:val="0"/>
          <w:color w:val="auto"/>
          <w:sz w:val="21"/>
          <w:szCs w:val="21"/>
          <w:highlight w:val="none"/>
          <w:shd w:val="clear" w:color="auto" w:fill="auto"/>
        </w:rPr>
        <w:t>38</w:t>
      </w:r>
      <w:r>
        <w:rPr>
          <w:rFonts w:hint="eastAsia" w:ascii="宋体" w:hAnsi="宋体"/>
          <w:b w:val="0"/>
          <w:color w:val="auto"/>
          <w:sz w:val="21"/>
          <w:szCs w:val="21"/>
          <w:highlight w:val="none"/>
          <w:shd w:val="clear" w:color="auto" w:fill="auto"/>
        </w:rPr>
        <w:t>.</w:t>
      </w:r>
      <w:r>
        <w:rPr>
          <w:rFonts w:ascii="宋体" w:hAnsi="宋体"/>
          <w:b w:val="0"/>
          <w:color w:val="auto"/>
          <w:sz w:val="21"/>
          <w:szCs w:val="21"/>
          <w:highlight w:val="none"/>
          <w:shd w:val="clear" w:color="auto" w:fill="auto"/>
        </w:rPr>
        <w:t>3</w:t>
      </w:r>
      <w:r>
        <w:rPr>
          <w:rFonts w:hAnsi="宋体"/>
          <w:b w:val="0"/>
          <w:bCs/>
          <w:color w:val="auto"/>
          <w:sz w:val="21"/>
          <w:highlight w:val="none"/>
          <w:shd w:val="clear" w:color="auto" w:fill="auto"/>
        </w:rPr>
        <w:t>供应商提出质疑应当提交质疑函和必要的证明材料</w:t>
      </w:r>
      <w:r>
        <w:rPr>
          <w:rFonts w:hint="eastAsia" w:hAnsi="宋体"/>
          <w:b w:val="0"/>
          <w:bCs/>
          <w:color w:val="auto"/>
          <w:sz w:val="21"/>
          <w:highlight w:val="none"/>
          <w:shd w:val="clear" w:color="auto" w:fill="auto"/>
        </w:rPr>
        <w:t>，</w:t>
      </w:r>
      <w:r>
        <w:rPr>
          <w:rFonts w:hAnsi="宋体"/>
          <w:b w:val="0"/>
          <w:bCs/>
          <w:color w:val="auto"/>
          <w:sz w:val="21"/>
          <w:highlight w:val="none"/>
          <w:shd w:val="clear" w:color="auto" w:fill="auto"/>
        </w:rPr>
        <w:t>针对同一采购程序环节的质疑</w:t>
      </w:r>
      <w:r>
        <w:rPr>
          <w:rFonts w:hint="eastAsia" w:hAnsi="宋体"/>
          <w:b w:val="0"/>
          <w:bCs/>
          <w:color w:val="auto"/>
          <w:sz w:val="21"/>
          <w:highlight w:val="none"/>
          <w:shd w:val="clear" w:color="auto" w:fill="auto"/>
        </w:rPr>
        <w:t>必须</w:t>
      </w:r>
      <w:r>
        <w:rPr>
          <w:rFonts w:hAnsi="宋体"/>
          <w:b w:val="0"/>
          <w:bCs/>
          <w:color w:val="auto"/>
          <w:sz w:val="21"/>
          <w:highlight w:val="none"/>
          <w:shd w:val="clear" w:color="auto" w:fill="auto"/>
        </w:rPr>
        <w:t>在法定质疑期内一次性提出。质疑函应当包括下列内容</w:t>
      </w:r>
      <w:r>
        <w:rPr>
          <w:rFonts w:hint="eastAsia" w:hAnsi="宋体"/>
          <w:b w:val="0"/>
          <w:bCs/>
          <w:color w:val="auto"/>
          <w:sz w:val="21"/>
          <w:highlight w:val="none"/>
          <w:shd w:val="clear" w:color="auto" w:fill="auto"/>
        </w:rPr>
        <w:t>（质疑函格式后附）</w:t>
      </w:r>
      <w:r>
        <w:rPr>
          <w:rFonts w:hAnsi="宋体"/>
          <w:b w:val="0"/>
          <w:bCs/>
          <w:color w:val="auto"/>
          <w:sz w:val="21"/>
          <w:highlight w:val="none"/>
          <w:shd w:val="clear" w:color="auto" w:fill="auto"/>
        </w:rPr>
        <w:t>：</w:t>
      </w:r>
    </w:p>
    <w:p w14:paraId="4C9C2E20">
      <w:pPr>
        <w:pStyle w:val="14"/>
        <w:keepNext w:val="0"/>
        <w:keepLines w:val="0"/>
        <w:pageBreakBefore w:val="0"/>
        <w:widowControl w:val="0"/>
        <w:shd w:val="clear" w:color="auto" w:fill="auto"/>
        <w:kinsoku/>
        <w:wordWrap/>
        <w:overflowPunct/>
        <w:topLinePunct w:val="0"/>
        <w:autoSpaceDE/>
        <w:autoSpaceDN/>
        <w:bidi w:val="0"/>
        <w:snapToGrid w:val="0"/>
        <w:spacing w:line="360" w:lineRule="auto"/>
        <w:ind w:firstLine="420" w:firstLineChars="200"/>
        <w:textAlignment w:val="auto"/>
        <w:outlineLvl w:val="9"/>
        <w:rPr>
          <w:rFonts w:hAnsi="宋体"/>
          <w:bCs/>
          <w:color w:val="auto"/>
          <w:sz w:val="21"/>
          <w:highlight w:val="none"/>
          <w:shd w:val="clear" w:color="auto" w:fill="auto"/>
        </w:rPr>
      </w:pPr>
      <w:r>
        <w:rPr>
          <w:rFonts w:hAnsi="宋体"/>
          <w:bCs/>
          <w:color w:val="auto"/>
          <w:sz w:val="21"/>
          <w:highlight w:val="none"/>
          <w:shd w:val="clear" w:color="auto" w:fill="auto"/>
        </w:rPr>
        <w:t>（</w:t>
      </w:r>
      <w:r>
        <w:rPr>
          <w:rFonts w:hint="eastAsia" w:hAnsi="宋体"/>
          <w:bCs/>
          <w:color w:val="auto"/>
          <w:sz w:val="21"/>
          <w:highlight w:val="none"/>
          <w:shd w:val="clear" w:color="auto" w:fill="auto"/>
        </w:rPr>
        <w:t>1</w:t>
      </w:r>
      <w:r>
        <w:rPr>
          <w:rFonts w:hAnsi="宋体"/>
          <w:bCs/>
          <w:color w:val="auto"/>
          <w:sz w:val="21"/>
          <w:highlight w:val="none"/>
          <w:shd w:val="clear" w:color="auto" w:fill="auto"/>
        </w:rPr>
        <w:t>）供应商的姓名或者名称、地址、邮编、联系人及联系电话；</w:t>
      </w:r>
    </w:p>
    <w:p w14:paraId="30D4D7BF">
      <w:pPr>
        <w:pStyle w:val="14"/>
        <w:keepNext w:val="0"/>
        <w:keepLines w:val="0"/>
        <w:pageBreakBefore w:val="0"/>
        <w:widowControl w:val="0"/>
        <w:shd w:val="clear" w:color="auto" w:fill="auto"/>
        <w:kinsoku/>
        <w:wordWrap/>
        <w:overflowPunct/>
        <w:topLinePunct w:val="0"/>
        <w:autoSpaceDE/>
        <w:autoSpaceDN/>
        <w:bidi w:val="0"/>
        <w:snapToGrid w:val="0"/>
        <w:spacing w:line="360" w:lineRule="auto"/>
        <w:ind w:firstLine="420" w:firstLineChars="200"/>
        <w:textAlignment w:val="auto"/>
        <w:outlineLvl w:val="9"/>
        <w:rPr>
          <w:rFonts w:hAnsi="宋体"/>
          <w:bCs/>
          <w:color w:val="auto"/>
          <w:sz w:val="21"/>
          <w:highlight w:val="none"/>
          <w:shd w:val="clear" w:color="auto" w:fill="auto"/>
        </w:rPr>
      </w:pPr>
      <w:r>
        <w:rPr>
          <w:rFonts w:hAnsi="宋体"/>
          <w:bCs/>
          <w:color w:val="auto"/>
          <w:sz w:val="21"/>
          <w:highlight w:val="none"/>
          <w:shd w:val="clear" w:color="auto" w:fill="auto"/>
        </w:rPr>
        <w:t>（</w:t>
      </w:r>
      <w:r>
        <w:rPr>
          <w:rFonts w:hint="eastAsia" w:hAnsi="宋体"/>
          <w:bCs/>
          <w:color w:val="auto"/>
          <w:sz w:val="21"/>
          <w:highlight w:val="none"/>
          <w:shd w:val="clear" w:color="auto" w:fill="auto"/>
        </w:rPr>
        <w:t>2</w:t>
      </w:r>
      <w:r>
        <w:rPr>
          <w:rFonts w:hAnsi="宋体"/>
          <w:bCs/>
          <w:color w:val="auto"/>
          <w:sz w:val="21"/>
          <w:highlight w:val="none"/>
          <w:shd w:val="clear" w:color="auto" w:fill="auto"/>
        </w:rPr>
        <w:t>）质疑项目的名称、编号；</w:t>
      </w:r>
    </w:p>
    <w:p w14:paraId="05AF122E">
      <w:pPr>
        <w:pStyle w:val="14"/>
        <w:keepNext w:val="0"/>
        <w:keepLines w:val="0"/>
        <w:pageBreakBefore w:val="0"/>
        <w:widowControl w:val="0"/>
        <w:shd w:val="clear" w:color="auto" w:fill="auto"/>
        <w:kinsoku/>
        <w:wordWrap/>
        <w:overflowPunct/>
        <w:topLinePunct w:val="0"/>
        <w:autoSpaceDE/>
        <w:autoSpaceDN/>
        <w:bidi w:val="0"/>
        <w:snapToGrid w:val="0"/>
        <w:spacing w:line="360" w:lineRule="auto"/>
        <w:ind w:firstLine="420" w:firstLineChars="200"/>
        <w:textAlignment w:val="auto"/>
        <w:outlineLvl w:val="9"/>
        <w:rPr>
          <w:rFonts w:hAnsi="宋体"/>
          <w:bCs/>
          <w:color w:val="auto"/>
          <w:sz w:val="21"/>
          <w:highlight w:val="none"/>
          <w:shd w:val="clear" w:color="auto" w:fill="auto"/>
        </w:rPr>
      </w:pPr>
      <w:r>
        <w:rPr>
          <w:rFonts w:hAnsi="宋体"/>
          <w:bCs/>
          <w:color w:val="auto"/>
          <w:sz w:val="21"/>
          <w:highlight w:val="none"/>
          <w:shd w:val="clear" w:color="auto" w:fill="auto"/>
        </w:rPr>
        <w:t>（</w:t>
      </w:r>
      <w:r>
        <w:rPr>
          <w:rFonts w:hint="eastAsia" w:hAnsi="宋体"/>
          <w:bCs/>
          <w:color w:val="auto"/>
          <w:sz w:val="21"/>
          <w:highlight w:val="none"/>
          <w:shd w:val="clear" w:color="auto" w:fill="auto"/>
        </w:rPr>
        <w:t>3</w:t>
      </w:r>
      <w:r>
        <w:rPr>
          <w:rFonts w:hAnsi="宋体"/>
          <w:bCs/>
          <w:color w:val="auto"/>
          <w:sz w:val="21"/>
          <w:highlight w:val="none"/>
          <w:shd w:val="clear" w:color="auto" w:fill="auto"/>
        </w:rPr>
        <w:t>）具体、明确的质疑事项和与质疑事项相关的请求；</w:t>
      </w:r>
    </w:p>
    <w:p w14:paraId="0387A30C">
      <w:pPr>
        <w:pStyle w:val="14"/>
        <w:keepNext w:val="0"/>
        <w:keepLines w:val="0"/>
        <w:pageBreakBefore w:val="0"/>
        <w:widowControl w:val="0"/>
        <w:shd w:val="clear" w:color="auto" w:fill="auto"/>
        <w:kinsoku/>
        <w:wordWrap/>
        <w:overflowPunct/>
        <w:topLinePunct w:val="0"/>
        <w:autoSpaceDE/>
        <w:autoSpaceDN/>
        <w:bidi w:val="0"/>
        <w:snapToGrid w:val="0"/>
        <w:spacing w:line="360" w:lineRule="auto"/>
        <w:ind w:firstLine="420" w:firstLineChars="200"/>
        <w:textAlignment w:val="auto"/>
        <w:outlineLvl w:val="9"/>
        <w:rPr>
          <w:rFonts w:hAnsi="宋体"/>
          <w:bCs/>
          <w:color w:val="auto"/>
          <w:sz w:val="21"/>
          <w:highlight w:val="none"/>
          <w:shd w:val="clear" w:color="auto" w:fill="auto"/>
        </w:rPr>
      </w:pPr>
      <w:r>
        <w:rPr>
          <w:rFonts w:hAnsi="宋体"/>
          <w:bCs/>
          <w:color w:val="auto"/>
          <w:sz w:val="21"/>
          <w:highlight w:val="none"/>
          <w:shd w:val="clear" w:color="auto" w:fill="auto"/>
        </w:rPr>
        <w:t>（</w:t>
      </w:r>
      <w:r>
        <w:rPr>
          <w:rFonts w:hint="eastAsia" w:hAnsi="宋体"/>
          <w:bCs/>
          <w:color w:val="auto"/>
          <w:sz w:val="21"/>
          <w:highlight w:val="none"/>
          <w:shd w:val="clear" w:color="auto" w:fill="auto"/>
        </w:rPr>
        <w:t>4</w:t>
      </w:r>
      <w:r>
        <w:rPr>
          <w:rFonts w:hAnsi="宋体"/>
          <w:bCs/>
          <w:color w:val="auto"/>
          <w:sz w:val="21"/>
          <w:highlight w:val="none"/>
          <w:shd w:val="clear" w:color="auto" w:fill="auto"/>
        </w:rPr>
        <w:t>）事实依据；</w:t>
      </w:r>
    </w:p>
    <w:p w14:paraId="47C4A686">
      <w:pPr>
        <w:pStyle w:val="14"/>
        <w:keepNext w:val="0"/>
        <w:keepLines w:val="0"/>
        <w:pageBreakBefore w:val="0"/>
        <w:widowControl w:val="0"/>
        <w:shd w:val="clear" w:color="auto" w:fill="auto"/>
        <w:kinsoku/>
        <w:wordWrap/>
        <w:overflowPunct/>
        <w:topLinePunct w:val="0"/>
        <w:autoSpaceDE/>
        <w:autoSpaceDN/>
        <w:bidi w:val="0"/>
        <w:snapToGrid w:val="0"/>
        <w:spacing w:line="360" w:lineRule="auto"/>
        <w:ind w:firstLine="420" w:firstLineChars="200"/>
        <w:textAlignment w:val="auto"/>
        <w:outlineLvl w:val="9"/>
        <w:rPr>
          <w:rFonts w:hAnsi="宋体"/>
          <w:bCs/>
          <w:color w:val="auto"/>
          <w:sz w:val="21"/>
          <w:highlight w:val="none"/>
          <w:shd w:val="clear" w:color="auto" w:fill="auto"/>
        </w:rPr>
      </w:pPr>
      <w:r>
        <w:rPr>
          <w:rFonts w:hAnsi="宋体"/>
          <w:bCs/>
          <w:color w:val="auto"/>
          <w:sz w:val="21"/>
          <w:highlight w:val="none"/>
          <w:shd w:val="clear" w:color="auto" w:fill="auto"/>
        </w:rPr>
        <w:t>（</w:t>
      </w:r>
      <w:r>
        <w:rPr>
          <w:rFonts w:hint="eastAsia" w:hAnsi="宋体"/>
          <w:bCs/>
          <w:color w:val="auto"/>
          <w:sz w:val="21"/>
          <w:highlight w:val="none"/>
          <w:shd w:val="clear" w:color="auto" w:fill="auto"/>
        </w:rPr>
        <w:t>5</w:t>
      </w:r>
      <w:r>
        <w:rPr>
          <w:rFonts w:hAnsi="宋体"/>
          <w:bCs/>
          <w:color w:val="auto"/>
          <w:sz w:val="21"/>
          <w:highlight w:val="none"/>
          <w:shd w:val="clear" w:color="auto" w:fill="auto"/>
        </w:rPr>
        <w:t>）必要的法律依据；</w:t>
      </w:r>
    </w:p>
    <w:p w14:paraId="6EF8D977">
      <w:pPr>
        <w:pStyle w:val="14"/>
        <w:keepNext w:val="0"/>
        <w:keepLines w:val="0"/>
        <w:pageBreakBefore w:val="0"/>
        <w:widowControl w:val="0"/>
        <w:shd w:val="clear" w:color="auto" w:fill="auto"/>
        <w:kinsoku/>
        <w:wordWrap/>
        <w:overflowPunct/>
        <w:topLinePunct w:val="0"/>
        <w:autoSpaceDE/>
        <w:autoSpaceDN/>
        <w:bidi w:val="0"/>
        <w:snapToGrid w:val="0"/>
        <w:spacing w:line="360" w:lineRule="auto"/>
        <w:ind w:firstLine="420" w:firstLineChars="200"/>
        <w:textAlignment w:val="auto"/>
        <w:outlineLvl w:val="9"/>
        <w:rPr>
          <w:rFonts w:hAnsi="宋体"/>
          <w:bCs/>
          <w:color w:val="auto"/>
          <w:sz w:val="21"/>
          <w:highlight w:val="none"/>
          <w:shd w:val="clear" w:color="auto" w:fill="auto"/>
        </w:rPr>
      </w:pPr>
      <w:r>
        <w:rPr>
          <w:rFonts w:hAnsi="宋体"/>
          <w:bCs/>
          <w:color w:val="auto"/>
          <w:sz w:val="21"/>
          <w:highlight w:val="none"/>
          <w:shd w:val="clear" w:color="auto" w:fill="auto"/>
        </w:rPr>
        <w:t>（</w:t>
      </w:r>
      <w:r>
        <w:rPr>
          <w:rFonts w:hint="eastAsia" w:hAnsi="宋体"/>
          <w:bCs/>
          <w:color w:val="auto"/>
          <w:sz w:val="21"/>
          <w:highlight w:val="none"/>
          <w:shd w:val="clear" w:color="auto" w:fill="auto"/>
        </w:rPr>
        <w:t>6</w:t>
      </w:r>
      <w:r>
        <w:rPr>
          <w:rFonts w:hAnsi="宋体"/>
          <w:bCs/>
          <w:color w:val="auto"/>
          <w:sz w:val="21"/>
          <w:highlight w:val="none"/>
          <w:shd w:val="clear" w:color="auto" w:fill="auto"/>
        </w:rPr>
        <w:t>）提出质疑的日期。</w:t>
      </w:r>
    </w:p>
    <w:p w14:paraId="30F48D9D">
      <w:pPr>
        <w:pStyle w:val="14"/>
        <w:keepNext w:val="0"/>
        <w:keepLines w:val="0"/>
        <w:pageBreakBefore w:val="0"/>
        <w:widowControl w:val="0"/>
        <w:shd w:val="clear" w:color="auto" w:fill="auto"/>
        <w:kinsoku/>
        <w:wordWrap/>
        <w:overflowPunct/>
        <w:topLinePunct w:val="0"/>
        <w:autoSpaceDE/>
        <w:autoSpaceDN/>
        <w:bidi w:val="0"/>
        <w:snapToGrid w:val="0"/>
        <w:spacing w:line="360" w:lineRule="auto"/>
        <w:ind w:firstLine="420" w:firstLineChars="200"/>
        <w:textAlignment w:val="auto"/>
        <w:outlineLvl w:val="9"/>
        <w:rPr>
          <w:rFonts w:hint="eastAsia" w:hAnsi="宋体"/>
          <w:bCs/>
          <w:color w:val="auto"/>
          <w:sz w:val="21"/>
          <w:highlight w:val="none"/>
          <w:shd w:val="clear" w:color="auto" w:fill="auto"/>
        </w:rPr>
      </w:pPr>
      <w:r>
        <w:rPr>
          <w:rFonts w:hAnsi="宋体"/>
          <w:bCs/>
          <w:color w:val="auto"/>
          <w:sz w:val="21"/>
          <w:highlight w:val="none"/>
          <w:shd w:val="clear" w:color="auto" w:fill="auto"/>
        </w:rPr>
        <w:t>供应商为自然人的，应当由本人签字；供应商为法人或者其他组织的，应当由法定代表人、主要负责人，或者其委托代理人签字或者盖章，并加盖公章</w:t>
      </w:r>
      <w:r>
        <w:rPr>
          <w:rFonts w:hint="eastAsia" w:hAnsi="宋体"/>
          <w:bCs/>
          <w:color w:val="auto"/>
          <w:sz w:val="21"/>
          <w:highlight w:val="none"/>
          <w:shd w:val="clear" w:color="auto" w:fill="auto"/>
        </w:rPr>
        <w:t>。</w:t>
      </w:r>
    </w:p>
    <w:p w14:paraId="484B0948">
      <w:pPr>
        <w:keepNext w:val="0"/>
        <w:keepLines w:val="0"/>
        <w:pageBreakBefore w:val="0"/>
        <w:widowControl w:val="0"/>
        <w:numPr>
          <w:ilvl w:val="4"/>
          <w:numId w:val="0"/>
        </w:numPr>
        <w:shd w:val="clear" w:color="auto" w:fill="auto"/>
        <w:kinsoku/>
        <w:wordWrap/>
        <w:overflowPunct/>
        <w:topLinePunct w:val="0"/>
        <w:autoSpaceDE/>
        <w:autoSpaceDN/>
        <w:bidi w:val="0"/>
        <w:snapToGrid w:val="0"/>
        <w:spacing w:before="0" w:after="0" w:line="360" w:lineRule="auto"/>
        <w:ind w:firstLine="420" w:firstLineChars="200"/>
        <w:textAlignment w:val="auto"/>
        <w:outlineLvl w:val="9"/>
        <w:rPr>
          <w:rFonts w:hint="eastAsia" w:ascii="宋体" w:hAnsi="宋体"/>
          <w:b w:val="0"/>
          <w:bCs/>
          <w:color w:val="auto"/>
          <w:sz w:val="21"/>
          <w:szCs w:val="21"/>
          <w:highlight w:val="none"/>
          <w:shd w:val="clear" w:color="auto" w:fill="auto"/>
        </w:rPr>
      </w:pPr>
      <w:r>
        <w:rPr>
          <w:rFonts w:ascii="宋体" w:hAnsi="宋体"/>
          <w:b w:val="0"/>
          <w:color w:val="auto"/>
          <w:sz w:val="21"/>
          <w:szCs w:val="21"/>
          <w:highlight w:val="none"/>
          <w:shd w:val="clear" w:color="auto" w:fill="auto"/>
        </w:rPr>
        <w:t>3</w:t>
      </w:r>
      <w:r>
        <w:rPr>
          <w:rFonts w:ascii="宋体" w:hAnsi="宋体"/>
          <w:b w:val="0"/>
          <w:bCs/>
          <w:color w:val="auto"/>
          <w:sz w:val="21"/>
          <w:szCs w:val="21"/>
          <w:highlight w:val="none"/>
          <w:shd w:val="clear" w:color="auto" w:fill="auto"/>
        </w:rPr>
        <w:t>8.4</w:t>
      </w:r>
      <w:r>
        <w:rPr>
          <w:rFonts w:hint="eastAsia" w:ascii="宋体" w:hAnsi="宋体"/>
          <w:b w:val="0"/>
          <w:bCs/>
          <w:color w:val="auto"/>
          <w:sz w:val="21"/>
          <w:szCs w:val="21"/>
          <w:highlight w:val="none"/>
          <w:shd w:val="clear" w:color="auto" w:fill="auto"/>
        </w:rPr>
        <w:t>采购人、采购代理机构认为供应商质疑不成立，或者成立但未对中标结果构成影响的，继续开展采购活动；认为供应商质疑成立且影响或者可能影响中标结果的，按照下列情况处理：</w:t>
      </w:r>
    </w:p>
    <w:p w14:paraId="5D288138">
      <w:pPr>
        <w:pStyle w:val="14"/>
        <w:keepNext w:val="0"/>
        <w:keepLines w:val="0"/>
        <w:pageBreakBefore w:val="0"/>
        <w:widowControl w:val="0"/>
        <w:shd w:val="clear" w:color="auto" w:fill="auto"/>
        <w:kinsoku/>
        <w:wordWrap/>
        <w:overflowPunct/>
        <w:topLinePunct w:val="0"/>
        <w:autoSpaceDE/>
        <w:autoSpaceDN/>
        <w:bidi w:val="0"/>
        <w:snapToGrid w:val="0"/>
        <w:spacing w:line="360" w:lineRule="auto"/>
        <w:ind w:firstLine="420" w:firstLineChars="200"/>
        <w:textAlignment w:val="auto"/>
        <w:outlineLvl w:val="9"/>
        <w:rPr>
          <w:rFonts w:hint="eastAsia" w:hAnsi="宋体"/>
          <w:bCs/>
          <w:color w:val="auto"/>
          <w:sz w:val="21"/>
          <w:highlight w:val="none"/>
          <w:shd w:val="clear" w:color="auto" w:fill="auto"/>
        </w:rPr>
      </w:pPr>
      <w:r>
        <w:rPr>
          <w:rFonts w:hint="eastAsia" w:hAnsi="宋体"/>
          <w:bCs/>
          <w:color w:val="auto"/>
          <w:sz w:val="21"/>
          <w:highlight w:val="none"/>
          <w:shd w:val="clear" w:color="auto" w:fill="auto"/>
        </w:rPr>
        <w:t>（一）对招标文件提出的质疑，依法通过澄清或者修改可以继续开展采购活动的，澄清或者修改招标文件后继续开展采购活动；否则应当修改招标文件后重新开展采购活动。</w:t>
      </w:r>
    </w:p>
    <w:p w14:paraId="4A9A6B9C">
      <w:pPr>
        <w:pStyle w:val="14"/>
        <w:keepNext w:val="0"/>
        <w:keepLines w:val="0"/>
        <w:pageBreakBefore w:val="0"/>
        <w:widowControl w:val="0"/>
        <w:shd w:val="clear" w:color="auto" w:fill="auto"/>
        <w:kinsoku/>
        <w:wordWrap/>
        <w:overflowPunct/>
        <w:topLinePunct w:val="0"/>
        <w:autoSpaceDE/>
        <w:autoSpaceDN/>
        <w:bidi w:val="0"/>
        <w:snapToGrid w:val="0"/>
        <w:spacing w:line="360" w:lineRule="auto"/>
        <w:ind w:firstLine="420" w:firstLineChars="200"/>
        <w:textAlignment w:val="auto"/>
        <w:outlineLvl w:val="9"/>
        <w:rPr>
          <w:rFonts w:hint="eastAsia" w:hAnsi="宋体"/>
          <w:bCs/>
          <w:color w:val="auto"/>
          <w:sz w:val="21"/>
          <w:highlight w:val="none"/>
          <w:shd w:val="clear" w:color="auto" w:fill="auto"/>
        </w:rPr>
      </w:pPr>
      <w:r>
        <w:rPr>
          <w:rFonts w:hint="eastAsia" w:hAnsi="宋体"/>
          <w:bCs/>
          <w:color w:val="auto"/>
          <w:sz w:val="21"/>
          <w:highlight w:val="none"/>
          <w:shd w:val="clear" w:color="auto" w:fill="auto"/>
        </w:rPr>
        <w:t>（二）对采购过程、中标结果提出的质疑，合格供应商符合法定数量时，可以从合格的中标候选人中另行确定中标供应商的，应当依法另行确定中标供应商；否则应当重新开展采购活动。</w:t>
      </w:r>
    </w:p>
    <w:p w14:paraId="72402EF5">
      <w:pPr>
        <w:keepNext w:val="0"/>
        <w:keepLines w:val="0"/>
        <w:pageBreakBefore w:val="0"/>
        <w:widowControl w:val="0"/>
        <w:numPr>
          <w:ilvl w:val="4"/>
          <w:numId w:val="0"/>
        </w:numPr>
        <w:shd w:val="clear" w:color="auto" w:fill="auto"/>
        <w:kinsoku/>
        <w:wordWrap/>
        <w:overflowPunct/>
        <w:topLinePunct w:val="0"/>
        <w:autoSpaceDE/>
        <w:autoSpaceDN/>
        <w:bidi w:val="0"/>
        <w:snapToGrid w:val="0"/>
        <w:spacing w:before="0" w:after="0" w:line="360" w:lineRule="auto"/>
        <w:ind w:firstLine="420" w:firstLineChars="200"/>
        <w:textAlignment w:val="auto"/>
        <w:outlineLvl w:val="9"/>
        <w:rPr>
          <w:rFonts w:ascii="宋体" w:hAnsi="宋体" w:eastAsia="宋体" w:cs="Times New Roman"/>
          <w:b w:val="0"/>
          <w:color w:val="auto"/>
          <w:sz w:val="21"/>
          <w:szCs w:val="21"/>
          <w:highlight w:val="none"/>
          <w:shd w:val="clear" w:color="auto" w:fill="auto"/>
        </w:rPr>
      </w:pPr>
      <w:r>
        <w:rPr>
          <w:rFonts w:hint="eastAsia" w:ascii="宋体" w:hAnsi="宋体" w:eastAsia="宋体" w:cs="Times New Roman"/>
          <w:b w:val="0"/>
          <w:color w:val="auto"/>
          <w:sz w:val="21"/>
          <w:szCs w:val="21"/>
          <w:highlight w:val="none"/>
          <w:shd w:val="clear" w:color="auto" w:fill="auto"/>
        </w:rPr>
        <w:t>质疑答复导致中标结果改变的，采购人或者采购代理机构应当将有关情况书面报告本级财政部门。</w:t>
      </w:r>
    </w:p>
    <w:p w14:paraId="0B7FFB00">
      <w:pPr>
        <w:keepNext w:val="0"/>
        <w:keepLines w:val="0"/>
        <w:pageBreakBefore w:val="0"/>
        <w:widowControl w:val="0"/>
        <w:numPr>
          <w:ilvl w:val="4"/>
          <w:numId w:val="0"/>
        </w:numPr>
        <w:shd w:val="clear" w:color="auto" w:fill="auto"/>
        <w:kinsoku/>
        <w:wordWrap/>
        <w:overflowPunct/>
        <w:topLinePunct w:val="0"/>
        <w:autoSpaceDE/>
        <w:autoSpaceDN/>
        <w:bidi w:val="0"/>
        <w:snapToGrid w:val="0"/>
        <w:spacing w:before="0" w:after="0" w:line="360" w:lineRule="auto"/>
        <w:ind w:firstLine="420" w:firstLineChars="200"/>
        <w:textAlignment w:val="auto"/>
        <w:outlineLvl w:val="9"/>
        <w:rPr>
          <w:rFonts w:hint="eastAsia" w:ascii="宋体" w:hAnsi="宋体" w:eastAsia="宋体" w:cs="Times New Roman"/>
          <w:b w:val="0"/>
          <w:color w:val="auto"/>
          <w:sz w:val="21"/>
          <w:szCs w:val="21"/>
          <w:highlight w:val="none"/>
          <w:shd w:val="clear" w:color="auto" w:fill="auto"/>
          <w:lang w:eastAsia="zh-CN"/>
        </w:rPr>
      </w:pPr>
      <w:r>
        <w:rPr>
          <w:rFonts w:ascii="宋体" w:hAnsi="宋体" w:eastAsia="宋体" w:cs="Times New Roman"/>
          <w:b w:val="0"/>
          <w:color w:val="auto"/>
          <w:sz w:val="21"/>
          <w:szCs w:val="21"/>
          <w:highlight w:val="none"/>
          <w:shd w:val="clear" w:color="auto" w:fill="auto"/>
        </w:rPr>
        <w:t>38</w:t>
      </w:r>
      <w:r>
        <w:rPr>
          <w:rFonts w:hint="eastAsia" w:ascii="宋体" w:hAnsi="宋体" w:eastAsia="宋体" w:cs="Times New Roman"/>
          <w:b w:val="0"/>
          <w:color w:val="auto"/>
          <w:sz w:val="21"/>
          <w:szCs w:val="21"/>
          <w:highlight w:val="none"/>
          <w:shd w:val="clear" w:color="auto" w:fill="auto"/>
        </w:rPr>
        <w:t>.</w:t>
      </w:r>
      <w:r>
        <w:rPr>
          <w:rFonts w:ascii="宋体" w:hAnsi="宋体" w:eastAsia="宋体" w:cs="Times New Roman"/>
          <w:b w:val="0"/>
          <w:color w:val="auto"/>
          <w:sz w:val="21"/>
          <w:szCs w:val="21"/>
          <w:highlight w:val="none"/>
          <w:shd w:val="clear" w:color="auto" w:fill="auto"/>
        </w:rPr>
        <w:t>5</w:t>
      </w:r>
      <w:r>
        <w:rPr>
          <w:rFonts w:hint="eastAsia" w:ascii="宋体" w:hAnsi="宋体" w:eastAsia="宋体" w:cs="Times New Roman"/>
          <w:b w:val="0"/>
          <w:color w:val="auto"/>
          <w:sz w:val="21"/>
          <w:szCs w:val="21"/>
          <w:highlight w:val="none"/>
          <w:shd w:val="clear" w:color="auto" w:fill="auto"/>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r>
        <w:rPr>
          <w:rFonts w:hint="eastAsia" w:ascii="宋体" w:hAnsi="宋体" w:eastAsia="宋体" w:cs="Times New Roman"/>
          <w:b w:val="0"/>
          <w:color w:val="auto"/>
          <w:sz w:val="21"/>
          <w:szCs w:val="21"/>
          <w:highlight w:val="none"/>
          <w:shd w:val="clear" w:color="auto" w:fill="auto"/>
          <w:lang w:eastAsia="zh-CN"/>
        </w:rPr>
        <w:t>。</w:t>
      </w:r>
    </w:p>
    <w:p w14:paraId="15A10145">
      <w:pPr>
        <w:keepNext w:val="0"/>
        <w:keepLines w:val="0"/>
        <w:pageBreakBefore w:val="0"/>
        <w:kinsoku/>
        <w:overflowPunct/>
        <w:bidi w:val="0"/>
        <w:spacing w:line="360" w:lineRule="auto"/>
        <w:ind w:firstLine="422" w:firstLineChars="200"/>
        <w:jc w:val="center"/>
        <w:outlineLvl w:val="9"/>
        <w:rPr>
          <w:rFonts w:hint="eastAsia"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八、其他事项</w:t>
      </w:r>
    </w:p>
    <w:p w14:paraId="54EDC07B">
      <w:pPr>
        <w:keepNext w:val="0"/>
        <w:keepLines w:val="0"/>
        <w:pageBreakBefore w:val="0"/>
        <w:kinsoku/>
        <w:overflowPunct/>
        <w:bidi w:val="0"/>
        <w:spacing w:line="360" w:lineRule="auto"/>
        <w:ind w:firstLine="422" w:firstLineChars="200"/>
        <w:outlineLvl w:val="9"/>
        <w:rPr>
          <w:rFonts w:hint="eastAsia" w:ascii="宋体" w:hAnsi="宋体" w:eastAsia="宋体" w:cs="宋体"/>
          <w:b/>
          <w:bCs/>
          <w:color w:val="auto"/>
          <w:szCs w:val="21"/>
        </w:rPr>
      </w:pPr>
      <w:bookmarkStart w:id="155" w:name="_42.代理服务费"/>
      <w:bookmarkEnd w:id="155"/>
      <w:r>
        <w:rPr>
          <w:rFonts w:hint="eastAsia" w:ascii="宋体" w:hAnsi="宋体" w:eastAsia="宋体" w:cs="宋体"/>
          <w:b/>
          <w:bCs/>
          <w:color w:val="auto"/>
          <w:szCs w:val="21"/>
        </w:rPr>
        <w:t>39.代理服务费</w:t>
      </w:r>
    </w:p>
    <w:p w14:paraId="75661A6D">
      <w:pPr>
        <w:keepNext w:val="0"/>
        <w:keepLines w:val="0"/>
        <w:pageBreakBefore w:val="0"/>
        <w:numPr>
          <w:ilvl w:val="4"/>
          <w:numId w:val="0"/>
        </w:numPr>
        <w:shd w:val="clear" w:color="auto" w:fill="auto"/>
        <w:kinsoku/>
        <w:overflowPunct/>
        <w:bidi w:val="0"/>
        <w:spacing w:before="0" w:after="0" w:line="360" w:lineRule="auto"/>
        <w:ind w:firstLine="420" w:firstLineChars="200"/>
        <w:outlineLvl w:val="9"/>
        <w:rPr>
          <w:rFonts w:hint="eastAsia" w:ascii="宋体" w:hAnsi="宋体"/>
          <w:b w:val="0"/>
          <w:color w:val="auto"/>
          <w:sz w:val="21"/>
          <w:szCs w:val="21"/>
          <w:highlight w:val="none"/>
          <w:shd w:val="clear" w:color="auto" w:fill="auto"/>
        </w:rPr>
      </w:pPr>
      <w:r>
        <w:rPr>
          <w:rFonts w:hint="eastAsia" w:ascii="宋体" w:hAnsi="宋体"/>
          <w:b w:val="0"/>
          <w:color w:val="auto"/>
          <w:sz w:val="21"/>
          <w:szCs w:val="21"/>
          <w:highlight w:val="none"/>
          <w:shd w:val="clear" w:color="auto" w:fill="auto"/>
        </w:rPr>
        <w:t>3</w:t>
      </w:r>
      <w:r>
        <w:rPr>
          <w:rFonts w:ascii="宋体" w:hAnsi="宋体"/>
          <w:b w:val="0"/>
          <w:color w:val="auto"/>
          <w:sz w:val="21"/>
          <w:szCs w:val="21"/>
          <w:highlight w:val="none"/>
          <w:shd w:val="clear" w:color="auto" w:fill="auto"/>
        </w:rPr>
        <w:t>9</w:t>
      </w:r>
      <w:r>
        <w:rPr>
          <w:rFonts w:hint="eastAsia" w:ascii="宋体" w:hAnsi="宋体"/>
          <w:b w:val="0"/>
          <w:color w:val="auto"/>
          <w:sz w:val="21"/>
          <w:szCs w:val="21"/>
          <w:highlight w:val="none"/>
          <w:shd w:val="clear" w:color="auto" w:fill="auto"/>
        </w:rPr>
        <w:t>.1代理服务收取标准及缴费账户详见“投标人须知前附表”，投标人为联合体的，可以由联合体中的一方或者多方共同交纳代理服务费。</w:t>
      </w:r>
    </w:p>
    <w:p w14:paraId="6087959C">
      <w:pPr>
        <w:keepNext w:val="0"/>
        <w:keepLines w:val="0"/>
        <w:pageBreakBefore w:val="0"/>
        <w:numPr>
          <w:ilvl w:val="4"/>
          <w:numId w:val="0"/>
        </w:numPr>
        <w:shd w:val="clear" w:color="auto" w:fill="auto"/>
        <w:kinsoku/>
        <w:overflowPunct/>
        <w:bidi w:val="0"/>
        <w:spacing w:before="0" w:after="0" w:line="360" w:lineRule="auto"/>
        <w:ind w:firstLine="420" w:firstLineChars="200"/>
        <w:outlineLvl w:val="9"/>
        <w:rPr>
          <w:rFonts w:hint="eastAsia" w:ascii="宋体" w:hAnsi="宋体"/>
          <w:color w:val="auto"/>
          <w:szCs w:val="21"/>
          <w:highlight w:val="none"/>
          <w:shd w:val="clear" w:color="auto" w:fill="auto"/>
        </w:rPr>
      </w:pPr>
      <w:r>
        <w:rPr>
          <w:rFonts w:hint="eastAsia" w:ascii="宋体" w:hAnsi="宋体"/>
          <w:b w:val="0"/>
          <w:color w:val="auto"/>
          <w:sz w:val="21"/>
          <w:szCs w:val="21"/>
          <w:highlight w:val="none"/>
          <w:shd w:val="clear" w:color="auto" w:fill="auto"/>
        </w:rPr>
        <w:t>3</w:t>
      </w:r>
      <w:r>
        <w:rPr>
          <w:rFonts w:ascii="宋体" w:hAnsi="宋体"/>
          <w:b w:val="0"/>
          <w:color w:val="auto"/>
          <w:sz w:val="21"/>
          <w:szCs w:val="21"/>
          <w:highlight w:val="none"/>
          <w:shd w:val="clear" w:color="auto" w:fill="auto"/>
        </w:rPr>
        <w:t>9</w:t>
      </w:r>
      <w:r>
        <w:rPr>
          <w:rFonts w:hint="eastAsia" w:ascii="宋体" w:hAnsi="宋体"/>
          <w:b w:val="0"/>
          <w:color w:val="auto"/>
          <w:sz w:val="21"/>
          <w:szCs w:val="21"/>
          <w:highlight w:val="none"/>
          <w:shd w:val="clear" w:color="auto" w:fill="auto"/>
        </w:rPr>
        <w:t>.2代理服务收费标准：</w:t>
      </w:r>
    </w:p>
    <w:tbl>
      <w:tblPr>
        <w:tblStyle w:val="25"/>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6CB4B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vAlign w:val="top"/>
          </w:tcPr>
          <w:p w14:paraId="7AF22F8C">
            <w:pPr>
              <w:keepNext w:val="0"/>
              <w:keepLines w:val="0"/>
              <w:pageBreakBefore w:val="0"/>
              <w:shd w:val="clear" w:color="auto" w:fill="auto"/>
              <w:kinsoku/>
              <w:overflowPunct/>
              <w:bidi w:val="0"/>
              <w:spacing w:line="360" w:lineRule="auto"/>
              <w:outlineLvl w:val="9"/>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               费率</w:t>
            </w:r>
          </w:p>
          <w:p w14:paraId="222D4C26">
            <w:pPr>
              <w:keepNext w:val="0"/>
              <w:keepLines w:val="0"/>
              <w:pageBreakBefore w:val="0"/>
              <w:shd w:val="clear" w:color="auto" w:fill="auto"/>
              <w:kinsoku/>
              <w:overflowPunct/>
              <w:bidi w:val="0"/>
              <w:spacing w:line="360" w:lineRule="auto"/>
              <w:outlineLvl w:val="9"/>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中标金额</w:t>
            </w:r>
          </w:p>
        </w:tc>
        <w:tc>
          <w:tcPr>
            <w:tcW w:w="1659" w:type="dxa"/>
            <w:vAlign w:val="center"/>
          </w:tcPr>
          <w:p w14:paraId="3AD0AFB2">
            <w:pPr>
              <w:keepNext w:val="0"/>
              <w:keepLines w:val="0"/>
              <w:pageBreakBefore w:val="0"/>
              <w:shd w:val="clear" w:color="auto" w:fill="auto"/>
              <w:kinsoku/>
              <w:overflowPunct/>
              <w:bidi w:val="0"/>
              <w:spacing w:line="360" w:lineRule="auto"/>
              <w:ind w:firstLine="105" w:firstLineChars="50"/>
              <w:jc w:val="center"/>
              <w:outlineLvl w:val="9"/>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货物招标</w:t>
            </w:r>
          </w:p>
        </w:tc>
        <w:tc>
          <w:tcPr>
            <w:tcW w:w="1687" w:type="dxa"/>
            <w:vAlign w:val="center"/>
          </w:tcPr>
          <w:p w14:paraId="664CB486">
            <w:pPr>
              <w:keepNext w:val="0"/>
              <w:keepLines w:val="0"/>
              <w:pageBreakBefore w:val="0"/>
              <w:shd w:val="clear" w:color="auto" w:fill="auto"/>
              <w:kinsoku/>
              <w:overflowPunct/>
              <w:bidi w:val="0"/>
              <w:spacing w:line="360" w:lineRule="auto"/>
              <w:jc w:val="center"/>
              <w:outlineLvl w:val="9"/>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服务招标</w:t>
            </w:r>
          </w:p>
        </w:tc>
        <w:tc>
          <w:tcPr>
            <w:tcW w:w="1659" w:type="dxa"/>
            <w:vAlign w:val="center"/>
          </w:tcPr>
          <w:p w14:paraId="745ACD17">
            <w:pPr>
              <w:keepNext w:val="0"/>
              <w:keepLines w:val="0"/>
              <w:pageBreakBefore w:val="0"/>
              <w:shd w:val="clear" w:color="auto" w:fill="auto"/>
              <w:kinsoku/>
              <w:overflowPunct/>
              <w:bidi w:val="0"/>
              <w:spacing w:line="360" w:lineRule="auto"/>
              <w:jc w:val="center"/>
              <w:outlineLvl w:val="9"/>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工程招标</w:t>
            </w:r>
          </w:p>
        </w:tc>
      </w:tr>
      <w:tr w14:paraId="7854F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14:paraId="68B21CF5">
            <w:pPr>
              <w:keepNext w:val="0"/>
              <w:keepLines w:val="0"/>
              <w:pageBreakBefore w:val="0"/>
              <w:shd w:val="clear" w:color="auto" w:fill="auto"/>
              <w:kinsoku/>
              <w:overflowPunct/>
              <w:bidi w:val="0"/>
              <w:spacing w:line="360" w:lineRule="auto"/>
              <w:outlineLvl w:val="9"/>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100万元以下</w:t>
            </w:r>
          </w:p>
        </w:tc>
        <w:tc>
          <w:tcPr>
            <w:tcW w:w="1659" w:type="dxa"/>
            <w:vAlign w:val="top"/>
          </w:tcPr>
          <w:p w14:paraId="2561E754">
            <w:pPr>
              <w:keepNext w:val="0"/>
              <w:keepLines w:val="0"/>
              <w:pageBreakBefore w:val="0"/>
              <w:shd w:val="clear" w:color="auto" w:fill="auto"/>
              <w:kinsoku/>
              <w:overflowPunct/>
              <w:bidi w:val="0"/>
              <w:spacing w:line="360" w:lineRule="auto"/>
              <w:outlineLvl w:val="9"/>
              <w:rPr>
                <w:rFonts w:ascii="宋体" w:hAnsi="宋体"/>
                <w:color w:val="auto"/>
                <w:szCs w:val="21"/>
                <w:highlight w:val="none"/>
                <w:shd w:val="clear" w:color="auto" w:fill="auto"/>
              </w:rPr>
            </w:pPr>
            <w:r>
              <w:rPr>
                <w:rFonts w:hint="eastAsia" w:ascii="宋体" w:hAnsi="宋体" w:cs="宋体"/>
                <w:color w:val="auto"/>
                <w:kern w:val="0"/>
                <w:szCs w:val="21"/>
                <w:highlight w:val="none"/>
                <w:shd w:val="clear" w:color="auto" w:fill="auto"/>
              </w:rPr>
              <w:t xml:space="preserve">  </w:t>
            </w:r>
            <w:r>
              <w:rPr>
                <w:rFonts w:ascii="宋体" w:hAnsi="宋体" w:cs="宋体"/>
                <w:color w:val="auto"/>
                <w:kern w:val="0"/>
                <w:szCs w:val="21"/>
                <w:highlight w:val="none"/>
                <w:shd w:val="clear" w:color="auto" w:fill="auto"/>
              </w:rPr>
              <w:t xml:space="preserve">1.5% </w:t>
            </w:r>
            <w:r>
              <w:rPr>
                <w:rFonts w:hint="eastAsia" w:ascii="宋体" w:hAnsi="宋体" w:cs="宋体"/>
                <w:color w:val="auto"/>
                <w:kern w:val="0"/>
                <w:szCs w:val="21"/>
                <w:highlight w:val="none"/>
                <w:shd w:val="clear" w:color="auto" w:fill="auto"/>
              </w:rPr>
              <w:t xml:space="preserve">          </w:t>
            </w:r>
            <w:r>
              <w:rPr>
                <w:rFonts w:ascii="宋体" w:hAnsi="宋体" w:cs="宋体"/>
                <w:color w:val="auto"/>
                <w:kern w:val="0"/>
                <w:szCs w:val="21"/>
                <w:highlight w:val="none"/>
                <w:shd w:val="clear" w:color="auto" w:fill="auto"/>
              </w:rPr>
              <w:t xml:space="preserve"> </w:t>
            </w:r>
            <w:r>
              <w:rPr>
                <w:rFonts w:hint="eastAsia" w:ascii="宋体" w:hAnsi="宋体" w:cs="宋体"/>
                <w:color w:val="auto"/>
                <w:kern w:val="0"/>
                <w:szCs w:val="21"/>
                <w:highlight w:val="none"/>
                <w:shd w:val="clear" w:color="auto" w:fill="auto"/>
              </w:rPr>
              <w:t xml:space="preserve">    </w:t>
            </w:r>
          </w:p>
        </w:tc>
        <w:tc>
          <w:tcPr>
            <w:tcW w:w="1687" w:type="dxa"/>
            <w:vAlign w:val="top"/>
          </w:tcPr>
          <w:p w14:paraId="51835193">
            <w:pPr>
              <w:keepNext w:val="0"/>
              <w:keepLines w:val="0"/>
              <w:pageBreakBefore w:val="0"/>
              <w:shd w:val="clear" w:color="auto" w:fill="auto"/>
              <w:kinsoku/>
              <w:overflowPunct/>
              <w:bidi w:val="0"/>
              <w:spacing w:line="360" w:lineRule="auto"/>
              <w:ind w:firstLine="210" w:firstLineChars="100"/>
              <w:outlineLvl w:val="9"/>
              <w:rPr>
                <w:rFonts w:ascii="宋体" w:hAnsi="宋体"/>
                <w:color w:val="auto"/>
                <w:szCs w:val="21"/>
                <w:highlight w:val="none"/>
                <w:shd w:val="clear" w:color="auto" w:fill="auto"/>
              </w:rPr>
            </w:pPr>
            <w:r>
              <w:rPr>
                <w:rFonts w:ascii="宋体" w:hAnsi="宋体" w:cs="宋体"/>
                <w:color w:val="auto"/>
                <w:kern w:val="0"/>
                <w:szCs w:val="21"/>
                <w:highlight w:val="none"/>
                <w:shd w:val="clear" w:color="auto" w:fill="auto"/>
              </w:rPr>
              <w:t>1.5%</w:t>
            </w:r>
          </w:p>
        </w:tc>
        <w:tc>
          <w:tcPr>
            <w:tcW w:w="1659" w:type="dxa"/>
            <w:vAlign w:val="top"/>
          </w:tcPr>
          <w:p w14:paraId="088AA1C1">
            <w:pPr>
              <w:keepNext w:val="0"/>
              <w:keepLines w:val="0"/>
              <w:pageBreakBefore w:val="0"/>
              <w:shd w:val="clear" w:color="auto" w:fill="auto"/>
              <w:kinsoku/>
              <w:overflowPunct/>
              <w:bidi w:val="0"/>
              <w:spacing w:line="360" w:lineRule="auto"/>
              <w:ind w:firstLine="210" w:firstLineChars="100"/>
              <w:outlineLvl w:val="9"/>
              <w:rPr>
                <w:rFonts w:hint="eastAsia" w:ascii="宋体" w:hAnsi="宋体"/>
                <w:color w:val="auto"/>
                <w:szCs w:val="21"/>
                <w:highlight w:val="none"/>
                <w:shd w:val="clear" w:color="auto" w:fill="auto"/>
              </w:rPr>
            </w:pPr>
            <w:r>
              <w:rPr>
                <w:rFonts w:ascii="宋体" w:hAnsi="宋体" w:cs="宋体"/>
                <w:color w:val="auto"/>
                <w:kern w:val="0"/>
                <w:szCs w:val="21"/>
                <w:highlight w:val="none"/>
                <w:shd w:val="clear" w:color="auto" w:fill="auto"/>
              </w:rPr>
              <w:t xml:space="preserve">1.0% </w:t>
            </w:r>
          </w:p>
        </w:tc>
      </w:tr>
      <w:tr w14:paraId="7064B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14:paraId="2F1A90FC">
            <w:pPr>
              <w:keepNext w:val="0"/>
              <w:keepLines w:val="0"/>
              <w:pageBreakBefore w:val="0"/>
              <w:shd w:val="clear" w:color="auto" w:fill="auto"/>
              <w:kinsoku/>
              <w:overflowPunct/>
              <w:bidi w:val="0"/>
              <w:spacing w:line="360" w:lineRule="auto"/>
              <w:outlineLvl w:val="9"/>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100～500万元</w:t>
            </w:r>
          </w:p>
        </w:tc>
        <w:tc>
          <w:tcPr>
            <w:tcW w:w="1659" w:type="dxa"/>
            <w:vAlign w:val="top"/>
          </w:tcPr>
          <w:p w14:paraId="0D6E1C2D">
            <w:pPr>
              <w:keepNext w:val="0"/>
              <w:keepLines w:val="0"/>
              <w:pageBreakBefore w:val="0"/>
              <w:shd w:val="clear" w:color="auto" w:fill="auto"/>
              <w:kinsoku/>
              <w:overflowPunct/>
              <w:bidi w:val="0"/>
              <w:spacing w:line="360" w:lineRule="auto"/>
              <w:ind w:firstLine="210" w:firstLineChars="100"/>
              <w:outlineLvl w:val="9"/>
              <w:rPr>
                <w:rFonts w:ascii="宋体" w:hAnsi="宋体"/>
                <w:color w:val="auto"/>
                <w:szCs w:val="21"/>
                <w:highlight w:val="none"/>
                <w:shd w:val="clear" w:color="auto" w:fill="auto"/>
              </w:rPr>
            </w:pPr>
            <w:r>
              <w:rPr>
                <w:rFonts w:ascii="宋体" w:hAnsi="宋体" w:cs="宋体"/>
                <w:color w:val="auto"/>
                <w:kern w:val="0"/>
                <w:szCs w:val="21"/>
                <w:highlight w:val="none"/>
                <w:shd w:val="clear" w:color="auto" w:fill="auto"/>
              </w:rPr>
              <w:t xml:space="preserve">1.1% </w:t>
            </w:r>
            <w:r>
              <w:rPr>
                <w:rFonts w:hint="eastAsia" w:ascii="宋体" w:hAnsi="宋体" w:cs="宋体"/>
                <w:color w:val="auto"/>
                <w:kern w:val="0"/>
                <w:szCs w:val="21"/>
                <w:highlight w:val="none"/>
                <w:shd w:val="clear" w:color="auto" w:fill="auto"/>
              </w:rPr>
              <w:t xml:space="preserve">                </w:t>
            </w:r>
          </w:p>
        </w:tc>
        <w:tc>
          <w:tcPr>
            <w:tcW w:w="1687" w:type="dxa"/>
            <w:vAlign w:val="top"/>
          </w:tcPr>
          <w:p w14:paraId="33716D13">
            <w:pPr>
              <w:keepNext w:val="0"/>
              <w:keepLines w:val="0"/>
              <w:pageBreakBefore w:val="0"/>
              <w:shd w:val="clear" w:color="auto" w:fill="auto"/>
              <w:kinsoku/>
              <w:overflowPunct/>
              <w:bidi w:val="0"/>
              <w:spacing w:line="360" w:lineRule="auto"/>
              <w:ind w:firstLine="210" w:firstLineChars="100"/>
              <w:outlineLvl w:val="9"/>
              <w:rPr>
                <w:rFonts w:ascii="宋体" w:hAnsi="宋体"/>
                <w:color w:val="auto"/>
                <w:szCs w:val="21"/>
                <w:highlight w:val="none"/>
                <w:shd w:val="clear" w:color="auto" w:fill="auto"/>
              </w:rPr>
            </w:pPr>
            <w:r>
              <w:rPr>
                <w:rFonts w:ascii="宋体" w:hAnsi="宋体" w:cs="宋体"/>
                <w:color w:val="auto"/>
                <w:kern w:val="0"/>
                <w:szCs w:val="21"/>
                <w:highlight w:val="none"/>
                <w:shd w:val="clear" w:color="auto" w:fill="auto"/>
              </w:rPr>
              <w:t>0.8%</w:t>
            </w:r>
          </w:p>
        </w:tc>
        <w:tc>
          <w:tcPr>
            <w:tcW w:w="1659" w:type="dxa"/>
            <w:vAlign w:val="top"/>
          </w:tcPr>
          <w:p w14:paraId="0F148653">
            <w:pPr>
              <w:keepNext w:val="0"/>
              <w:keepLines w:val="0"/>
              <w:pageBreakBefore w:val="0"/>
              <w:shd w:val="clear" w:color="auto" w:fill="auto"/>
              <w:kinsoku/>
              <w:overflowPunct/>
              <w:bidi w:val="0"/>
              <w:spacing w:line="360" w:lineRule="auto"/>
              <w:ind w:firstLine="210" w:firstLineChars="100"/>
              <w:outlineLvl w:val="9"/>
              <w:rPr>
                <w:rFonts w:hint="eastAsia" w:ascii="宋体" w:hAnsi="宋体"/>
                <w:color w:val="auto"/>
                <w:szCs w:val="21"/>
                <w:highlight w:val="none"/>
                <w:shd w:val="clear" w:color="auto" w:fill="auto"/>
              </w:rPr>
            </w:pPr>
            <w:r>
              <w:rPr>
                <w:rFonts w:ascii="宋体" w:hAnsi="宋体" w:cs="宋体"/>
                <w:color w:val="auto"/>
                <w:kern w:val="0"/>
                <w:szCs w:val="21"/>
                <w:highlight w:val="none"/>
                <w:shd w:val="clear" w:color="auto" w:fill="auto"/>
              </w:rPr>
              <w:t xml:space="preserve">0.7% </w:t>
            </w:r>
          </w:p>
        </w:tc>
      </w:tr>
      <w:tr w14:paraId="69CF2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14:paraId="7135261B">
            <w:pPr>
              <w:keepNext w:val="0"/>
              <w:keepLines w:val="0"/>
              <w:pageBreakBefore w:val="0"/>
              <w:shd w:val="clear" w:color="auto" w:fill="auto"/>
              <w:kinsoku/>
              <w:overflowPunct/>
              <w:bidi w:val="0"/>
              <w:spacing w:line="360" w:lineRule="auto"/>
              <w:outlineLvl w:val="9"/>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500～1000万元</w:t>
            </w:r>
          </w:p>
        </w:tc>
        <w:tc>
          <w:tcPr>
            <w:tcW w:w="1659" w:type="dxa"/>
            <w:vAlign w:val="top"/>
          </w:tcPr>
          <w:p w14:paraId="4EBB82D4">
            <w:pPr>
              <w:keepNext w:val="0"/>
              <w:keepLines w:val="0"/>
              <w:pageBreakBefore w:val="0"/>
              <w:shd w:val="clear" w:color="auto" w:fill="auto"/>
              <w:kinsoku/>
              <w:overflowPunct/>
              <w:bidi w:val="0"/>
              <w:spacing w:line="360" w:lineRule="auto"/>
              <w:outlineLvl w:val="9"/>
              <w:rPr>
                <w:rFonts w:ascii="宋体" w:hAnsi="宋体"/>
                <w:color w:val="auto"/>
                <w:szCs w:val="21"/>
                <w:highlight w:val="none"/>
                <w:shd w:val="clear" w:color="auto" w:fill="auto"/>
              </w:rPr>
            </w:pPr>
            <w:r>
              <w:rPr>
                <w:rFonts w:hint="eastAsia" w:ascii="宋体" w:hAnsi="宋体" w:cs="宋体"/>
                <w:color w:val="auto"/>
                <w:kern w:val="0"/>
                <w:szCs w:val="21"/>
                <w:highlight w:val="none"/>
                <w:shd w:val="clear" w:color="auto" w:fill="auto"/>
              </w:rPr>
              <w:t xml:space="preserve">  </w:t>
            </w:r>
            <w:r>
              <w:rPr>
                <w:rFonts w:ascii="宋体" w:hAnsi="宋体" w:cs="宋体"/>
                <w:color w:val="auto"/>
                <w:kern w:val="0"/>
                <w:szCs w:val="21"/>
                <w:highlight w:val="none"/>
                <w:shd w:val="clear" w:color="auto" w:fill="auto"/>
              </w:rPr>
              <w:t xml:space="preserve">0.8% </w:t>
            </w:r>
            <w:r>
              <w:rPr>
                <w:rFonts w:hint="eastAsia" w:ascii="宋体" w:hAnsi="宋体" w:cs="宋体"/>
                <w:color w:val="auto"/>
                <w:kern w:val="0"/>
                <w:szCs w:val="21"/>
                <w:highlight w:val="none"/>
                <w:shd w:val="clear" w:color="auto" w:fill="auto"/>
              </w:rPr>
              <w:t xml:space="preserve">               </w:t>
            </w:r>
          </w:p>
        </w:tc>
        <w:tc>
          <w:tcPr>
            <w:tcW w:w="1687" w:type="dxa"/>
            <w:vAlign w:val="top"/>
          </w:tcPr>
          <w:p w14:paraId="19AFC5B0">
            <w:pPr>
              <w:keepNext w:val="0"/>
              <w:keepLines w:val="0"/>
              <w:pageBreakBefore w:val="0"/>
              <w:shd w:val="clear" w:color="auto" w:fill="auto"/>
              <w:kinsoku/>
              <w:overflowPunct/>
              <w:bidi w:val="0"/>
              <w:spacing w:line="360" w:lineRule="auto"/>
              <w:ind w:firstLine="210" w:firstLineChars="100"/>
              <w:outlineLvl w:val="9"/>
              <w:rPr>
                <w:rFonts w:ascii="宋体" w:hAnsi="宋体"/>
                <w:color w:val="auto"/>
                <w:szCs w:val="21"/>
                <w:highlight w:val="none"/>
                <w:shd w:val="clear" w:color="auto" w:fill="auto"/>
              </w:rPr>
            </w:pPr>
            <w:r>
              <w:rPr>
                <w:rFonts w:ascii="宋体" w:hAnsi="宋体" w:cs="宋体"/>
                <w:color w:val="auto"/>
                <w:kern w:val="0"/>
                <w:szCs w:val="21"/>
                <w:highlight w:val="none"/>
                <w:shd w:val="clear" w:color="auto" w:fill="auto"/>
              </w:rPr>
              <w:t>0.45%</w:t>
            </w:r>
          </w:p>
        </w:tc>
        <w:tc>
          <w:tcPr>
            <w:tcW w:w="1659" w:type="dxa"/>
            <w:vAlign w:val="top"/>
          </w:tcPr>
          <w:p w14:paraId="2144FBEE">
            <w:pPr>
              <w:keepNext w:val="0"/>
              <w:keepLines w:val="0"/>
              <w:pageBreakBefore w:val="0"/>
              <w:shd w:val="clear" w:color="auto" w:fill="auto"/>
              <w:kinsoku/>
              <w:overflowPunct/>
              <w:bidi w:val="0"/>
              <w:spacing w:line="360" w:lineRule="auto"/>
              <w:ind w:firstLine="210" w:firstLineChars="100"/>
              <w:outlineLvl w:val="9"/>
              <w:rPr>
                <w:rFonts w:ascii="宋体" w:hAnsi="宋体"/>
                <w:color w:val="auto"/>
                <w:szCs w:val="21"/>
                <w:highlight w:val="none"/>
                <w:shd w:val="clear" w:color="auto" w:fill="auto"/>
              </w:rPr>
            </w:pPr>
            <w:r>
              <w:rPr>
                <w:rFonts w:ascii="宋体" w:hAnsi="宋体" w:cs="宋体"/>
                <w:color w:val="auto"/>
                <w:kern w:val="0"/>
                <w:szCs w:val="21"/>
                <w:highlight w:val="none"/>
                <w:shd w:val="clear" w:color="auto" w:fill="auto"/>
              </w:rPr>
              <w:t>0.55%</w:t>
            </w:r>
          </w:p>
        </w:tc>
      </w:tr>
      <w:tr w14:paraId="30D0C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14:paraId="577CCA33">
            <w:pPr>
              <w:keepNext w:val="0"/>
              <w:keepLines w:val="0"/>
              <w:pageBreakBefore w:val="0"/>
              <w:shd w:val="clear" w:color="auto" w:fill="auto"/>
              <w:kinsoku/>
              <w:overflowPunct/>
              <w:bidi w:val="0"/>
              <w:spacing w:line="360" w:lineRule="auto"/>
              <w:outlineLvl w:val="9"/>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1000～5000万元</w:t>
            </w:r>
          </w:p>
        </w:tc>
        <w:tc>
          <w:tcPr>
            <w:tcW w:w="1659" w:type="dxa"/>
            <w:vAlign w:val="top"/>
          </w:tcPr>
          <w:p w14:paraId="12D1E768">
            <w:pPr>
              <w:keepNext w:val="0"/>
              <w:keepLines w:val="0"/>
              <w:pageBreakBefore w:val="0"/>
              <w:shd w:val="clear" w:color="auto" w:fill="auto"/>
              <w:kinsoku/>
              <w:overflowPunct/>
              <w:bidi w:val="0"/>
              <w:spacing w:line="360" w:lineRule="auto"/>
              <w:ind w:firstLine="210" w:firstLineChars="100"/>
              <w:outlineLvl w:val="9"/>
              <w:rPr>
                <w:rFonts w:ascii="宋体" w:hAnsi="宋体"/>
                <w:color w:val="auto"/>
                <w:szCs w:val="21"/>
                <w:highlight w:val="none"/>
                <w:shd w:val="clear" w:color="auto" w:fill="auto"/>
              </w:rPr>
            </w:pPr>
            <w:r>
              <w:rPr>
                <w:rFonts w:ascii="宋体" w:hAnsi="宋体" w:cs="宋体"/>
                <w:color w:val="auto"/>
                <w:kern w:val="0"/>
                <w:szCs w:val="21"/>
                <w:highlight w:val="none"/>
                <w:shd w:val="clear" w:color="auto" w:fill="auto"/>
              </w:rPr>
              <w:t xml:space="preserve">0.5% </w:t>
            </w:r>
            <w:r>
              <w:rPr>
                <w:rFonts w:hint="eastAsia" w:ascii="宋体" w:hAnsi="宋体" w:cs="宋体"/>
                <w:color w:val="auto"/>
                <w:kern w:val="0"/>
                <w:szCs w:val="21"/>
                <w:highlight w:val="none"/>
                <w:shd w:val="clear" w:color="auto" w:fill="auto"/>
              </w:rPr>
              <w:t xml:space="preserve">               </w:t>
            </w:r>
          </w:p>
        </w:tc>
        <w:tc>
          <w:tcPr>
            <w:tcW w:w="1687" w:type="dxa"/>
            <w:vAlign w:val="top"/>
          </w:tcPr>
          <w:p w14:paraId="4450841A">
            <w:pPr>
              <w:keepNext w:val="0"/>
              <w:keepLines w:val="0"/>
              <w:pageBreakBefore w:val="0"/>
              <w:shd w:val="clear" w:color="auto" w:fill="auto"/>
              <w:kinsoku/>
              <w:overflowPunct/>
              <w:bidi w:val="0"/>
              <w:spacing w:line="360" w:lineRule="auto"/>
              <w:ind w:firstLine="210" w:firstLineChars="100"/>
              <w:outlineLvl w:val="9"/>
              <w:rPr>
                <w:rFonts w:ascii="宋体" w:hAnsi="宋体"/>
                <w:color w:val="auto"/>
                <w:szCs w:val="21"/>
                <w:highlight w:val="none"/>
                <w:shd w:val="clear" w:color="auto" w:fill="auto"/>
              </w:rPr>
            </w:pPr>
            <w:r>
              <w:rPr>
                <w:rFonts w:ascii="宋体" w:hAnsi="宋体" w:cs="宋体"/>
                <w:color w:val="auto"/>
                <w:kern w:val="0"/>
                <w:szCs w:val="21"/>
                <w:highlight w:val="none"/>
                <w:shd w:val="clear" w:color="auto" w:fill="auto"/>
              </w:rPr>
              <w:t>0.25%</w:t>
            </w:r>
          </w:p>
        </w:tc>
        <w:tc>
          <w:tcPr>
            <w:tcW w:w="1659" w:type="dxa"/>
            <w:vAlign w:val="top"/>
          </w:tcPr>
          <w:p w14:paraId="2363A95D">
            <w:pPr>
              <w:keepNext w:val="0"/>
              <w:keepLines w:val="0"/>
              <w:pageBreakBefore w:val="0"/>
              <w:shd w:val="clear" w:color="auto" w:fill="auto"/>
              <w:kinsoku/>
              <w:overflowPunct/>
              <w:bidi w:val="0"/>
              <w:spacing w:line="360" w:lineRule="auto"/>
              <w:ind w:firstLine="210" w:firstLineChars="100"/>
              <w:outlineLvl w:val="9"/>
              <w:rPr>
                <w:rFonts w:hint="eastAsia" w:ascii="宋体" w:hAnsi="宋体"/>
                <w:color w:val="auto"/>
                <w:szCs w:val="21"/>
                <w:highlight w:val="none"/>
                <w:shd w:val="clear" w:color="auto" w:fill="auto"/>
              </w:rPr>
            </w:pPr>
            <w:r>
              <w:rPr>
                <w:rFonts w:ascii="宋体" w:hAnsi="宋体" w:cs="宋体"/>
                <w:color w:val="auto"/>
                <w:kern w:val="0"/>
                <w:szCs w:val="21"/>
                <w:highlight w:val="none"/>
                <w:shd w:val="clear" w:color="auto" w:fill="auto"/>
              </w:rPr>
              <w:t xml:space="preserve">0.35% </w:t>
            </w:r>
          </w:p>
        </w:tc>
      </w:tr>
      <w:tr w14:paraId="296DE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14:paraId="55896EF1">
            <w:pPr>
              <w:keepNext w:val="0"/>
              <w:keepLines w:val="0"/>
              <w:pageBreakBefore w:val="0"/>
              <w:shd w:val="clear" w:color="auto" w:fill="auto"/>
              <w:kinsoku/>
              <w:overflowPunct/>
              <w:bidi w:val="0"/>
              <w:spacing w:line="360" w:lineRule="auto"/>
              <w:outlineLvl w:val="9"/>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5000万元～1亿元</w:t>
            </w:r>
          </w:p>
        </w:tc>
        <w:tc>
          <w:tcPr>
            <w:tcW w:w="1659" w:type="dxa"/>
            <w:vAlign w:val="top"/>
          </w:tcPr>
          <w:p w14:paraId="789C21FD">
            <w:pPr>
              <w:keepNext w:val="0"/>
              <w:keepLines w:val="0"/>
              <w:pageBreakBefore w:val="0"/>
              <w:shd w:val="clear" w:color="auto" w:fill="auto"/>
              <w:kinsoku/>
              <w:overflowPunct/>
              <w:bidi w:val="0"/>
              <w:spacing w:line="360" w:lineRule="auto"/>
              <w:ind w:firstLine="210" w:firstLineChars="100"/>
              <w:outlineLvl w:val="9"/>
              <w:rPr>
                <w:rFonts w:hint="eastAsia" w:ascii="宋体" w:hAnsi="宋体"/>
                <w:color w:val="auto"/>
                <w:szCs w:val="21"/>
                <w:highlight w:val="none"/>
                <w:shd w:val="clear" w:color="auto" w:fill="auto"/>
              </w:rPr>
            </w:pPr>
            <w:r>
              <w:rPr>
                <w:rFonts w:ascii="宋体" w:hAnsi="宋体" w:cs="宋体"/>
                <w:color w:val="auto"/>
                <w:kern w:val="0"/>
                <w:szCs w:val="21"/>
                <w:highlight w:val="none"/>
                <w:shd w:val="clear" w:color="auto" w:fill="auto"/>
              </w:rPr>
              <w:t xml:space="preserve">0.25% </w:t>
            </w:r>
            <w:r>
              <w:rPr>
                <w:rFonts w:hint="eastAsia" w:ascii="宋体" w:hAnsi="宋体" w:cs="宋体"/>
                <w:color w:val="auto"/>
                <w:kern w:val="0"/>
                <w:szCs w:val="21"/>
                <w:highlight w:val="none"/>
                <w:shd w:val="clear" w:color="auto" w:fill="auto"/>
              </w:rPr>
              <w:t xml:space="preserve">      </w:t>
            </w:r>
            <w:r>
              <w:rPr>
                <w:rFonts w:ascii="宋体" w:hAnsi="宋体" w:cs="宋体"/>
                <w:color w:val="auto"/>
                <w:kern w:val="0"/>
                <w:szCs w:val="21"/>
                <w:highlight w:val="none"/>
                <w:shd w:val="clear" w:color="auto" w:fill="auto"/>
              </w:rPr>
              <w:t xml:space="preserve"> </w:t>
            </w:r>
            <w:r>
              <w:rPr>
                <w:rFonts w:hint="eastAsia" w:ascii="宋体" w:hAnsi="宋体" w:cs="宋体"/>
                <w:color w:val="auto"/>
                <w:kern w:val="0"/>
                <w:szCs w:val="21"/>
                <w:highlight w:val="none"/>
                <w:shd w:val="clear" w:color="auto" w:fill="auto"/>
              </w:rPr>
              <w:t xml:space="preserve">         </w:t>
            </w:r>
          </w:p>
        </w:tc>
        <w:tc>
          <w:tcPr>
            <w:tcW w:w="1687" w:type="dxa"/>
            <w:vAlign w:val="top"/>
          </w:tcPr>
          <w:p w14:paraId="0396F1D3">
            <w:pPr>
              <w:keepNext w:val="0"/>
              <w:keepLines w:val="0"/>
              <w:pageBreakBefore w:val="0"/>
              <w:shd w:val="clear" w:color="auto" w:fill="auto"/>
              <w:kinsoku/>
              <w:overflowPunct/>
              <w:bidi w:val="0"/>
              <w:spacing w:line="360" w:lineRule="auto"/>
              <w:ind w:firstLine="210" w:firstLineChars="100"/>
              <w:outlineLvl w:val="9"/>
              <w:rPr>
                <w:rFonts w:ascii="宋体" w:hAnsi="宋体"/>
                <w:color w:val="auto"/>
                <w:szCs w:val="21"/>
                <w:highlight w:val="none"/>
                <w:shd w:val="clear" w:color="auto" w:fill="auto"/>
              </w:rPr>
            </w:pPr>
            <w:r>
              <w:rPr>
                <w:rFonts w:ascii="宋体" w:hAnsi="宋体" w:cs="宋体"/>
                <w:color w:val="auto"/>
                <w:kern w:val="0"/>
                <w:szCs w:val="21"/>
                <w:highlight w:val="none"/>
                <w:shd w:val="clear" w:color="auto" w:fill="auto"/>
              </w:rPr>
              <w:t>0.1%</w:t>
            </w:r>
          </w:p>
        </w:tc>
        <w:tc>
          <w:tcPr>
            <w:tcW w:w="1659" w:type="dxa"/>
            <w:vAlign w:val="top"/>
          </w:tcPr>
          <w:p w14:paraId="64267356">
            <w:pPr>
              <w:keepNext w:val="0"/>
              <w:keepLines w:val="0"/>
              <w:pageBreakBefore w:val="0"/>
              <w:shd w:val="clear" w:color="auto" w:fill="auto"/>
              <w:kinsoku/>
              <w:overflowPunct/>
              <w:bidi w:val="0"/>
              <w:spacing w:line="360" w:lineRule="auto"/>
              <w:ind w:firstLine="210" w:firstLineChars="100"/>
              <w:outlineLvl w:val="9"/>
              <w:rPr>
                <w:rFonts w:ascii="宋体" w:hAnsi="宋体"/>
                <w:color w:val="auto"/>
                <w:szCs w:val="21"/>
                <w:highlight w:val="none"/>
                <w:shd w:val="clear" w:color="auto" w:fill="auto"/>
              </w:rPr>
            </w:pPr>
            <w:r>
              <w:rPr>
                <w:rFonts w:ascii="宋体" w:hAnsi="宋体" w:cs="宋体"/>
                <w:color w:val="auto"/>
                <w:kern w:val="0"/>
                <w:szCs w:val="21"/>
                <w:highlight w:val="none"/>
                <w:shd w:val="clear" w:color="auto" w:fill="auto"/>
              </w:rPr>
              <w:t>0.2%</w:t>
            </w:r>
          </w:p>
        </w:tc>
      </w:tr>
      <w:tr w14:paraId="30A1B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14:paraId="64DCF244">
            <w:pPr>
              <w:keepNext w:val="0"/>
              <w:keepLines w:val="0"/>
              <w:pageBreakBefore w:val="0"/>
              <w:shd w:val="clear" w:color="auto" w:fill="auto"/>
              <w:kinsoku/>
              <w:overflowPunct/>
              <w:bidi w:val="0"/>
              <w:spacing w:line="360" w:lineRule="auto"/>
              <w:outlineLvl w:val="9"/>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1～5亿元</w:t>
            </w:r>
          </w:p>
        </w:tc>
        <w:tc>
          <w:tcPr>
            <w:tcW w:w="1659" w:type="dxa"/>
            <w:vAlign w:val="top"/>
          </w:tcPr>
          <w:p w14:paraId="392721CD">
            <w:pPr>
              <w:keepNext w:val="0"/>
              <w:keepLines w:val="0"/>
              <w:pageBreakBefore w:val="0"/>
              <w:shd w:val="clear" w:color="auto" w:fill="auto"/>
              <w:kinsoku/>
              <w:overflowPunct/>
              <w:bidi w:val="0"/>
              <w:spacing w:line="360" w:lineRule="auto"/>
              <w:ind w:firstLine="210" w:firstLineChars="100"/>
              <w:outlineLvl w:val="9"/>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0.05%</w:t>
            </w:r>
          </w:p>
        </w:tc>
        <w:tc>
          <w:tcPr>
            <w:tcW w:w="1687" w:type="dxa"/>
            <w:vAlign w:val="top"/>
          </w:tcPr>
          <w:p w14:paraId="2D62BAB0">
            <w:pPr>
              <w:keepNext w:val="0"/>
              <w:keepLines w:val="0"/>
              <w:pageBreakBefore w:val="0"/>
              <w:shd w:val="clear" w:color="auto" w:fill="auto"/>
              <w:kinsoku/>
              <w:overflowPunct/>
              <w:bidi w:val="0"/>
              <w:spacing w:line="360" w:lineRule="auto"/>
              <w:outlineLvl w:val="9"/>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  0.05%</w:t>
            </w:r>
          </w:p>
        </w:tc>
        <w:tc>
          <w:tcPr>
            <w:tcW w:w="1659" w:type="dxa"/>
            <w:vAlign w:val="top"/>
          </w:tcPr>
          <w:p w14:paraId="329628CC">
            <w:pPr>
              <w:keepNext w:val="0"/>
              <w:keepLines w:val="0"/>
              <w:pageBreakBefore w:val="0"/>
              <w:shd w:val="clear" w:color="auto" w:fill="auto"/>
              <w:kinsoku/>
              <w:overflowPunct/>
              <w:bidi w:val="0"/>
              <w:spacing w:line="360" w:lineRule="auto"/>
              <w:outlineLvl w:val="9"/>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  0.05%</w:t>
            </w:r>
          </w:p>
        </w:tc>
      </w:tr>
      <w:tr w14:paraId="6B2DA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14:paraId="5A4D2312">
            <w:pPr>
              <w:keepNext w:val="0"/>
              <w:keepLines w:val="0"/>
              <w:pageBreakBefore w:val="0"/>
              <w:shd w:val="clear" w:color="auto" w:fill="auto"/>
              <w:kinsoku/>
              <w:overflowPunct/>
              <w:bidi w:val="0"/>
              <w:spacing w:line="360" w:lineRule="auto"/>
              <w:outlineLvl w:val="9"/>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5～10亿元</w:t>
            </w:r>
          </w:p>
        </w:tc>
        <w:tc>
          <w:tcPr>
            <w:tcW w:w="1659" w:type="dxa"/>
            <w:vAlign w:val="top"/>
          </w:tcPr>
          <w:p w14:paraId="16AFD160">
            <w:pPr>
              <w:keepNext w:val="0"/>
              <w:keepLines w:val="0"/>
              <w:pageBreakBefore w:val="0"/>
              <w:shd w:val="clear" w:color="auto" w:fill="auto"/>
              <w:kinsoku/>
              <w:overflowPunct/>
              <w:bidi w:val="0"/>
              <w:spacing w:line="360" w:lineRule="auto"/>
              <w:ind w:firstLine="105" w:firstLineChars="50"/>
              <w:outlineLvl w:val="9"/>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0.035%</w:t>
            </w:r>
          </w:p>
        </w:tc>
        <w:tc>
          <w:tcPr>
            <w:tcW w:w="1687" w:type="dxa"/>
            <w:vAlign w:val="top"/>
          </w:tcPr>
          <w:p w14:paraId="4ABD6377">
            <w:pPr>
              <w:keepNext w:val="0"/>
              <w:keepLines w:val="0"/>
              <w:pageBreakBefore w:val="0"/>
              <w:shd w:val="clear" w:color="auto" w:fill="auto"/>
              <w:kinsoku/>
              <w:overflowPunct/>
              <w:bidi w:val="0"/>
              <w:spacing w:line="360" w:lineRule="auto"/>
              <w:outlineLvl w:val="9"/>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  0.035%</w:t>
            </w:r>
          </w:p>
        </w:tc>
        <w:tc>
          <w:tcPr>
            <w:tcW w:w="1659" w:type="dxa"/>
            <w:vAlign w:val="top"/>
          </w:tcPr>
          <w:p w14:paraId="47BC87AB">
            <w:pPr>
              <w:keepNext w:val="0"/>
              <w:keepLines w:val="0"/>
              <w:pageBreakBefore w:val="0"/>
              <w:shd w:val="clear" w:color="auto" w:fill="auto"/>
              <w:kinsoku/>
              <w:overflowPunct/>
              <w:bidi w:val="0"/>
              <w:spacing w:line="360" w:lineRule="auto"/>
              <w:ind w:firstLine="105" w:firstLineChars="50"/>
              <w:outlineLvl w:val="9"/>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0.035%</w:t>
            </w:r>
          </w:p>
        </w:tc>
      </w:tr>
      <w:tr w14:paraId="4C197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14:paraId="1EE689FC">
            <w:pPr>
              <w:keepNext w:val="0"/>
              <w:keepLines w:val="0"/>
              <w:pageBreakBefore w:val="0"/>
              <w:shd w:val="clear" w:color="auto" w:fill="auto"/>
              <w:kinsoku/>
              <w:overflowPunct/>
              <w:bidi w:val="0"/>
              <w:spacing w:line="360" w:lineRule="auto"/>
              <w:outlineLvl w:val="9"/>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10～50亿元</w:t>
            </w:r>
          </w:p>
        </w:tc>
        <w:tc>
          <w:tcPr>
            <w:tcW w:w="1659" w:type="dxa"/>
            <w:vAlign w:val="top"/>
          </w:tcPr>
          <w:p w14:paraId="4A0AAE99">
            <w:pPr>
              <w:keepNext w:val="0"/>
              <w:keepLines w:val="0"/>
              <w:pageBreakBefore w:val="0"/>
              <w:shd w:val="clear" w:color="auto" w:fill="auto"/>
              <w:kinsoku/>
              <w:overflowPunct/>
              <w:bidi w:val="0"/>
              <w:spacing w:line="360" w:lineRule="auto"/>
              <w:ind w:firstLine="105" w:firstLineChars="50"/>
              <w:outlineLvl w:val="9"/>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0.008%</w:t>
            </w:r>
          </w:p>
        </w:tc>
        <w:tc>
          <w:tcPr>
            <w:tcW w:w="1687" w:type="dxa"/>
            <w:vAlign w:val="top"/>
          </w:tcPr>
          <w:p w14:paraId="5B261898">
            <w:pPr>
              <w:keepNext w:val="0"/>
              <w:keepLines w:val="0"/>
              <w:pageBreakBefore w:val="0"/>
              <w:shd w:val="clear" w:color="auto" w:fill="auto"/>
              <w:kinsoku/>
              <w:overflowPunct/>
              <w:bidi w:val="0"/>
              <w:spacing w:line="360" w:lineRule="auto"/>
              <w:ind w:firstLine="210" w:firstLineChars="100"/>
              <w:outlineLvl w:val="9"/>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0.008%</w:t>
            </w:r>
          </w:p>
        </w:tc>
        <w:tc>
          <w:tcPr>
            <w:tcW w:w="1659" w:type="dxa"/>
            <w:vAlign w:val="top"/>
          </w:tcPr>
          <w:p w14:paraId="6A96E2EF">
            <w:pPr>
              <w:keepNext w:val="0"/>
              <w:keepLines w:val="0"/>
              <w:pageBreakBefore w:val="0"/>
              <w:shd w:val="clear" w:color="auto" w:fill="auto"/>
              <w:kinsoku/>
              <w:overflowPunct/>
              <w:bidi w:val="0"/>
              <w:spacing w:line="360" w:lineRule="auto"/>
              <w:ind w:firstLine="105" w:firstLineChars="50"/>
              <w:outlineLvl w:val="9"/>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0.008%</w:t>
            </w:r>
          </w:p>
        </w:tc>
      </w:tr>
      <w:tr w14:paraId="7B027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14:paraId="4657DD57">
            <w:pPr>
              <w:keepNext w:val="0"/>
              <w:keepLines w:val="0"/>
              <w:pageBreakBefore w:val="0"/>
              <w:shd w:val="clear" w:color="auto" w:fill="auto"/>
              <w:kinsoku/>
              <w:overflowPunct/>
              <w:bidi w:val="0"/>
              <w:spacing w:line="360" w:lineRule="auto"/>
              <w:outlineLvl w:val="9"/>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50～100亿元</w:t>
            </w:r>
          </w:p>
        </w:tc>
        <w:tc>
          <w:tcPr>
            <w:tcW w:w="1659" w:type="dxa"/>
            <w:vAlign w:val="top"/>
          </w:tcPr>
          <w:p w14:paraId="74995DD2">
            <w:pPr>
              <w:keepNext w:val="0"/>
              <w:keepLines w:val="0"/>
              <w:pageBreakBefore w:val="0"/>
              <w:shd w:val="clear" w:color="auto" w:fill="auto"/>
              <w:kinsoku/>
              <w:overflowPunct/>
              <w:bidi w:val="0"/>
              <w:spacing w:line="360" w:lineRule="auto"/>
              <w:outlineLvl w:val="9"/>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 0.006%</w:t>
            </w:r>
          </w:p>
        </w:tc>
        <w:tc>
          <w:tcPr>
            <w:tcW w:w="1687" w:type="dxa"/>
            <w:vAlign w:val="top"/>
          </w:tcPr>
          <w:p w14:paraId="2122AA97">
            <w:pPr>
              <w:keepNext w:val="0"/>
              <w:keepLines w:val="0"/>
              <w:pageBreakBefore w:val="0"/>
              <w:shd w:val="clear" w:color="auto" w:fill="auto"/>
              <w:kinsoku/>
              <w:overflowPunct/>
              <w:bidi w:val="0"/>
              <w:spacing w:line="360" w:lineRule="auto"/>
              <w:ind w:firstLine="210" w:firstLineChars="100"/>
              <w:outlineLvl w:val="9"/>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0.006%</w:t>
            </w:r>
          </w:p>
        </w:tc>
        <w:tc>
          <w:tcPr>
            <w:tcW w:w="1659" w:type="dxa"/>
            <w:vAlign w:val="top"/>
          </w:tcPr>
          <w:p w14:paraId="34A9B43D">
            <w:pPr>
              <w:keepNext w:val="0"/>
              <w:keepLines w:val="0"/>
              <w:pageBreakBefore w:val="0"/>
              <w:shd w:val="clear" w:color="auto" w:fill="auto"/>
              <w:kinsoku/>
              <w:overflowPunct/>
              <w:bidi w:val="0"/>
              <w:spacing w:line="360" w:lineRule="auto"/>
              <w:ind w:firstLine="105" w:firstLineChars="50"/>
              <w:outlineLvl w:val="9"/>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0.006%</w:t>
            </w:r>
          </w:p>
        </w:tc>
      </w:tr>
      <w:tr w14:paraId="5FC96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14:paraId="77DF7CE0">
            <w:pPr>
              <w:keepNext w:val="0"/>
              <w:keepLines w:val="0"/>
              <w:pageBreakBefore w:val="0"/>
              <w:shd w:val="clear" w:color="auto" w:fill="auto"/>
              <w:kinsoku/>
              <w:overflowPunct/>
              <w:bidi w:val="0"/>
              <w:spacing w:line="360" w:lineRule="auto"/>
              <w:outlineLvl w:val="9"/>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100亿以上</w:t>
            </w:r>
          </w:p>
        </w:tc>
        <w:tc>
          <w:tcPr>
            <w:tcW w:w="1659" w:type="dxa"/>
            <w:vAlign w:val="top"/>
          </w:tcPr>
          <w:p w14:paraId="28ECBA6E">
            <w:pPr>
              <w:keepNext w:val="0"/>
              <w:keepLines w:val="0"/>
              <w:pageBreakBefore w:val="0"/>
              <w:shd w:val="clear" w:color="auto" w:fill="auto"/>
              <w:kinsoku/>
              <w:overflowPunct/>
              <w:bidi w:val="0"/>
              <w:spacing w:line="360" w:lineRule="auto"/>
              <w:outlineLvl w:val="9"/>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 0.004%</w:t>
            </w:r>
          </w:p>
        </w:tc>
        <w:tc>
          <w:tcPr>
            <w:tcW w:w="1687" w:type="dxa"/>
            <w:vAlign w:val="top"/>
          </w:tcPr>
          <w:p w14:paraId="04E7FDEC">
            <w:pPr>
              <w:keepNext w:val="0"/>
              <w:keepLines w:val="0"/>
              <w:pageBreakBefore w:val="0"/>
              <w:shd w:val="clear" w:color="auto" w:fill="auto"/>
              <w:kinsoku/>
              <w:overflowPunct/>
              <w:bidi w:val="0"/>
              <w:spacing w:line="360" w:lineRule="auto"/>
              <w:ind w:firstLine="210" w:firstLineChars="100"/>
              <w:outlineLvl w:val="9"/>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0.004%</w:t>
            </w:r>
          </w:p>
        </w:tc>
        <w:tc>
          <w:tcPr>
            <w:tcW w:w="1659" w:type="dxa"/>
            <w:vAlign w:val="top"/>
          </w:tcPr>
          <w:p w14:paraId="745E3204">
            <w:pPr>
              <w:keepNext w:val="0"/>
              <w:keepLines w:val="0"/>
              <w:pageBreakBefore w:val="0"/>
              <w:shd w:val="clear" w:color="auto" w:fill="auto"/>
              <w:kinsoku/>
              <w:overflowPunct/>
              <w:bidi w:val="0"/>
              <w:spacing w:line="360" w:lineRule="auto"/>
              <w:ind w:firstLine="105" w:firstLineChars="50"/>
              <w:outlineLvl w:val="9"/>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0.004%</w:t>
            </w:r>
          </w:p>
        </w:tc>
      </w:tr>
    </w:tbl>
    <w:p w14:paraId="7DFC642B">
      <w:pPr>
        <w:keepNext w:val="0"/>
        <w:keepLines w:val="0"/>
        <w:pageBreakBefore w:val="0"/>
        <w:shd w:val="clear" w:color="auto" w:fill="auto"/>
        <w:kinsoku/>
        <w:overflowPunct/>
        <w:bidi w:val="0"/>
        <w:spacing w:line="360" w:lineRule="auto"/>
        <w:ind w:firstLine="420" w:firstLineChars="200"/>
        <w:outlineLvl w:val="9"/>
        <w:rPr>
          <w:rFonts w:ascii="宋体" w:hAnsi="宋体" w:cs="宋体"/>
          <w:color w:val="auto"/>
          <w:szCs w:val="21"/>
          <w:highlight w:val="none"/>
          <w:shd w:val="clear" w:color="auto" w:fill="auto"/>
        </w:rPr>
      </w:pPr>
      <w:r>
        <w:rPr>
          <w:rFonts w:hint="eastAsia" w:ascii="宋体" w:hAnsi="宋体"/>
          <w:color w:val="auto"/>
          <w:szCs w:val="21"/>
          <w:highlight w:val="none"/>
          <w:shd w:val="clear" w:color="auto" w:fill="auto"/>
        </w:rPr>
        <w:t>注:</w:t>
      </w:r>
      <w:r>
        <w:rPr>
          <w:rFonts w:ascii="宋体" w:hAnsi="宋体" w:cs="宋体"/>
          <w:color w:val="auto"/>
          <w:szCs w:val="21"/>
          <w:highlight w:val="none"/>
          <w:shd w:val="clear" w:color="auto" w:fill="auto"/>
        </w:rPr>
        <w:t xml:space="preserve"> </w:t>
      </w:r>
    </w:p>
    <w:p w14:paraId="57DCC61B">
      <w:pPr>
        <w:keepNext w:val="0"/>
        <w:keepLines w:val="0"/>
        <w:pageBreakBefore w:val="0"/>
        <w:shd w:val="clear" w:color="auto" w:fill="auto"/>
        <w:kinsoku/>
        <w:overflowPunct/>
        <w:bidi w:val="0"/>
        <w:spacing w:line="360" w:lineRule="auto"/>
        <w:ind w:firstLine="420" w:firstLineChars="200"/>
        <w:outlineLvl w:val="9"/>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w:t>
      </w:r>
      <w:r>
        <w:rPr>
          <w:rFonts w:ascii="宋体" w:hAnsi="宋体" w:cs="宋体"/>
          <w:color w:val="auto"/>
          <w:szCs w:val="21"/>
          <w:highlight w:val="none"/>
          <w:shd w:val="clear" w:color="auto" w:fill="auto"/>
        </w:rPr>
        <w:t>按本表费率计算的收费为</w:t>
      </w:r>
      <w:r>
        <w:rPr>
          <w:rFonts w:hint="eastAsia" w:ascii="宋体" w:hAnsi="宋体" w:cs="宋体"/>
          <w:color w:val="auto"/>
          <w:szCs w:val="21"/>
          <w:highlight w:val="none"/>
          <w:shd w:val="clear" w:color="auto" w:fill="auto"/>
        </w:rPr>
        <w:t>采购</w:t>
      </w:r>
      <w:r>
        <w:rPr>
          <w:rFonts w:ascii="宋体" w:hAnsi="宋体" w:cs="宋体"/>
          <w:color w:val="auto"/>
          <w:szCs w:val="21"/>
          <w:highlight w:val="none"/>
          <w:shd w:val="clear" w:color="auto" w:fill="auto"/>
        </w:rPr>
        <w:t>代理的收费基准价格</w:t>
      </w:r>
      <w:r>
        <w:rPr>
          <w:rFonts w:hint="eastAsia" w:ascii="宋体" w:hAnsi="宋体" w:cs="宋体"/>
          <w:color w:val="auto"/>
          <w:szCs w:val="21"/>
          <w:highlight w:val="none"/>
          <w:shd w:val="clear" w:color="auto" w:fill="auto"/>
        </w:rPr>
        <w:t>；</w:t>
      </w:r>
    </w:p>
    <w:p w14:paraId="5A45752A">
      <w:pPr>
        <w:keepNext w:val="0"/>
        <w:keepLines w:val="0"/>
        <w:pageBreakBefore w:val="0"/>
        <w:shd w:val="clear" w:color="auto" w:fill="auto"/>
        <w:kinsoku/>
        <w:overflowPunct/>
        <w:bidi w:val="0"/>
        <w:spacing w:line="360" w:lineRule="auto"/>
        <w:ind w:firstLine="420" w:firstLineChars="200"/>
        <w:outlineLvl w:val="9"/>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（2）采购</w:t>
      </w:r>
      <w:r>
        <w:rPr>
          <w:rFonts w:ascii="宋体" w:hAnsi="宋体" w:cs="宋体"/>
          <w:color w:val="auto"/>
          <w:szCs w:val="21"/>
          <w:highlight w:val="none"/>
          <w:shd w:val="clear" w:color="auto" w:fill="auto"/>
        </w:rPr>
        <w:t>代理收费按差额定率累进法计算。</w:t>
      </w:r>
    </w:p>
    <w:p w14:paraId="5AE3EE7C">
      <w:pPr>
        <w:keepNext w:val="0"/>
        <w:keepLines w:val="0"/>
        <w:pageBreakBefore w:val="0"/>
        <w:shd w:val="clear" w:color="auto" w:fill="auto"/>
        <w:kinsoku/>
        <w:overflowPunct/>
        <w:bidi w:val="0"/>
        <w:spacing w:line="360" w:lineRule="auto"/>
        <w:ind w:firstLine="420" w:firstLineChars="200"/>
        <w:outlineLvl w:val="9"/>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例如：某</w:t>
      </w:r>
      <w:r>
        <w:rPr>
          <w:rFonts w:hint="eastAsia" w:ascii="宋体" w:hAnsi="宋体" w:cs="宋体"/>
          <w:color w:val="auto"/>
          <w:szCs w:val="21"/>
          <w:highlight w:val="none"/>
          <w:shd w:val="clear" w:color="auto" w:fill="auto"/>
          <w:lang w:val="en-US" w:eastAsia="zh-CN"/>
        </w:rPr>
        <w:t>服务</w:t>
      </w:r>
      <w:r>
        <w:rPr>
          <w:rFonts w:hint="eastAsia" w:ascii="宋体" w:hAnsi="宋体" w:cs="宋体"/>
          <w:color w:val="auto"/>
          <w:szCs w:val="21"/>
          <w:highlight w:val="none"/>
          <w:shd w:val="clear" w:color="auto" w:fill="auto"/>
        </w:rPr>
        <w:t>采购</w:t>
      </w:r>
      <w:r>
        <w:rPr>
          <w:rFonts w:ascii="宋体" w:hAnsi="宋体" w:cs="宋体"/>
          <w:color w:val="auto"/>
          <w:szCs w:val="21"/>
          <w:highlight w:val="none"/>
          <w:shd w:val="clear" w:color="auto" w:fill="auto"/>
        </w:rPr>
        <w:t>代理业务</w:t>
      </w:r>
      <w:r>
        <w:rPr>
          <w:rFonts w:hint="eastAsia" w:ascii="宋体" w:hAnsi="宋体" w:cs="宋体"/>
          <w:color w:val="auto"/>
          <w:szCs w:val="21"/>
          <w:highlight w:val="none"/>
          <w:shd w:val="clear" w:color="auto" w:fill="auto"/>
        </w:rPr>
        <w:t>中标</w:t>
      </w:r>
      <w:r>
        <w:rPr>
          <w:rFonts w:ascii="宋体" w:hAnsi="宋体" w:cs="宋体"/>
          <w:color w:val="auto"/>
          <w:szCs w:val="21"/>
          <w:highlight w:val="none"/>
          <w:shd w:val="clear" w:color="auto" w:fill="auto"/>
        </w:rPr>
        <w:t>金额</w:t>
      </w:r>
      <w:r>
        <w:rPr>
          <w:rFonts w:hint="eastAsia" w:ascii="宋体" w:hAnsi="宋体" w:cs="宋体"/>
          <w:color w:val="auto"/>
          <w:szCs w:val="21"/>
          <w:highlight w:val="none"/>
          <w:shd w:val="clear" w:color="auto" w:fill="auto"/>
        </w:rPr>
        <w:t>或者暂定价</w:t>
      </w:r>
      <w:r>
        <w:rPr>
          <w:rFonts w:ascii="宋体" w:hAnsi="宋体" w:cs="宋体"/>
          <w:color w:val="auto"/>
          <w:szCs w:val="21"/>
          <w:highlight w:val="none"/>
          <w:shd w:val="clear" w:color="auto" w:fill="auto"/>
        </w:rPr>
        <w:t>为200万元，计算</w:t>
      </w:r>
      <w:r>
        <w:rPr>
          <w:rFonts w:hint="eastAsia" w:ascii="宋体" w:hAnsi="宋体" w:cs="宋体"/>
          <w:color w:val="auto"/>
          <w:szCs w:val="21"/>
          <w:highlight w:val="none"/>
          <w:shd w:val="clear" w:color="auto" w:fill="auto"/>
        </w:rPr>
        <w:t>采购</w:t>
      </w:r>
      <w:r>
        <w:rPr>
          <w:rFonts w:ascii="宋体" w:hAnsi="宋体" w:cs="宋体"/>
          <w:color w:val="auto"/>
          <w:szCs w:val="21"/>
          <w:highlight w:val="none"/>
          <w:shd w:val="clear" w:color="auto" w:fill="auto"/>
        </w:rPr>
        <w:t>代理收费额如下：</w:t>
      </w:r>
    </w:p>
    <w:p w14:paraId="3338DC70">
      <w:pPr>
        <w:keepNext w:val="0"/>
        <w:keepLines w:val="0"/>
        <w:pageBreakBefore w:val="0"/>
        <w:shd w:val="clear" w:color="auto" w:fill="auto"/>
        <w:kinsoku/>
        <w:overflowPunct/>
        <w:bidi w:val="0"/>
        <w:spacing w:line="360" w:lineRule="auto"/>
        <w:ind w:firstLine="420" w:firstLineChars="200"/>
        <w:outlineLvl w:val="9"/>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100 万元×l.5 ％＝ 1.5 万元</w:t>
      </w:r>
    </w:p>
    <w:p w14:paraId="1D40988F">
      <w:pPr>
        <w:keepNext w:val="0"/>
        <w:keepLines w:val="0"/>
        <w:pageBreakBefore w:val="0"/>
        <w:shd w:val="clear" w:color="auto" w:fill="auto"/>
        <w:kinsoku/>
        <w:overflowPunct/>
        <w:bidi w:val="0"/>
        <w:spacing w:line="360" w:lineRule="auto"/>
        <w:ind w:firstLine="420" w:firstLineChars="200"/>
        <w:outlineLvl w:val="9"/>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 200 － 100 ）万元 ×</w:t>
      </w:r>
      <w:r>
        <w:rPr>
          <w:rFonts w:hint="eastAsia" w:ascii="宋体" w:hAnsi="宋体" w:cs="宋体"/>
          <w:color w:val="auto"/>
          <w:szCs w:val="21"/>
          <w:highlight w:val="none"/>
          <w:shd w:val="clear" w:color="auto" w:fill="auto"/>
          <w:lang w:val="en-US" w:eastAsia="zh-CN"/>
        </w:rPr>
        <w:t>0.8</w:t>
      </w:r>
      <w:r>
        <w:rPr>
          <w:rFonts w:ascii="宋体" w:hAnsi="宋体" w:cs="宋体"/>
          <w:color w:val="auto"/>
          <w:szCs w:val="21"/>
          <w:highlight w:val="none"/>
          <w:shd w:val="clear" w:color="auto" w:fill="auto"/>
        </w:rPr>
        <w:t>％＝</w:t>
      </w:r>
      <w:r>
        <w:rPr>
          <w:rFonts w:hint="eastAsia" w:ascii="宋体" w:hAnsi="宋体" w:cs="宋体"/>
          <w:color w:val="auto"/>
          <w:szCs w:val="21"/>
          <w:highlight w:val="none"/>
          <w:shd w:val="clear" w:color="auto" w:fill="auto"/>
          <w:lang w:val="en-US" w:eastAsia="zh-CN"/>
        </w:rPr>
        <w:t>0.8</w:t>
      </w:r>
      <w:r>
        <w:rPr>
          <w:rFonts w:ascii="宋体" w:hAnsi="宋体" w:cs="宋体"/>
          <w:color w:val="auto"/>
          <w:szCs w:val="21"/>
          <w:highlight w:val="none"/>
          <w:shd w:val="clear" w:color="auto" w:fill="auto"/>
        </w:rPr>
        <w:t>万元</w:t>
      </w:r>
    </w:p>
    <w:p w14:paraId="410E9D64">
      <w:pPr>
        <w:pStyle w:val="14"/>
        <w:keepNext w:val="0"/>
        <w:keepLines w:val="0"/>
        <w:pageBreakBefore w:val="0"/>
        <w:shd w:val="clear" w:color="auto" w:fill="auto"/>
        <w:kinsoku/>
        <w:overflowPunct/>
        <w:bidi w:val="0"/>
        <w:snapToGrid w:val="0"/>
        <w:spacing w:before="120" w:after="120" w:line="360" w:lineRule="auto"/>
        <w:ind w:firstLine="420" w:firstLineChars="200"/>
        <w:outlineLvl w:val="9"/>
        <w:rPr>
          <w:rFonts w:hAnsi="宋体" w:cs="宋体"/>
          <w:color w:val="auto"/>
          <w:sz w:val="21"/>
          <w:highlight w:val="none"/>
          <w:shd w:val="clear" w:color="auto" w:fill="auto"/>
        </w:rPr>
      </w:pPr>
      <w:r>
        <w:rPr>
          <w:rFonts w:hAnsi="宋体" w:cs="宋体"/>
          <w:color w:val="auto"/>
          <w:sz w:val="21"/>
          <w:highlight w:val="none"/>
          <w:shd w:val="clear" w:color="auto" w:fill="auto"/>
        </w:rPr>
        <w:t>合计收费＝ 1.5</w:t>
      </w:r>
      <w:r>
        <w:rPr>
          <w:rFonts w:hint="eastAsia" w:hAnsi="宋体" w:cs="宋体"/>
          <w:color w:val="auto"/>
          <w:sz w:val="21"/>
          <w:highlight w:val="none"/>
          <w:shd w:val="clear" w:color="auto" w:fill="auto"/>
        </w:rPr>
        <w:t>+</w:t>
      </w:r>
      <w:r>
        <w:rPr>
          <w:rFonts w:hint="eastAsia" w:hAnsi="宋体" w:cs="宋体"/>
          <w:color w:val="auto"/>
          <w:sz w:val="21"/>
          <w:highlight w:val="none"/>
          <w:shd w:val="clear" w:color="auto" w:fill="auto"/>
          <w:lang w:val="en-US" w:eastAsia="zh-CN"/>
        </w:rPr>
        <w:t>0.8</w:t>
      </w:r>
      <w:r>
        <w:rPr>
          <w:rFonts w:hAnsi="宋体" w:cs="宋体"/>
          <w:color w:val="auto"/>
          <w:sz w:val="21"/>
          <w:highlight w:val="none"/>
          <w:shd w:val="clear" w:color="auto" w:fill="auto"/>
        </w:rPr>
        <w:t>＝ 2.</w:t>
      </w:r>
      <w:r>
        <w:rPr>
          <w:rFonts w:hint="eastAsia" w:hAnsi="宋体" w:cs="宋体"/>
          <w:color w:val="auto"/>
          <w:sz w:val="21"/>
          <w:highlight w:val="none"/>
          <w:shd w:val="clear" w:color="auto" w:fill="auto"/>
          <w:lang w:val="en-US" w:eastAsia="zh-CN"/>
        </w:rPr>
        <w:t>3</w:t>
      </w:r>
      <w:r>
        <w:rPr>
          <w:rFonts w:hAnsi="宋体" w:cs="宋体"/>
          <w:color w:val="auto"/>
          <w:sz w:val="21"/>
          <w:highlight w:val="none"/>
          <w:shd w:val="clear" w:color="auto" w:fill="auto"/>
        </w:rPr>
        <w:t>（万元）</w:t>
      </w:r>
    </w:p>
    <w:p w14:paraId="584F7CC0">
      <w:pPr>
        <w:keepNext w:val="0"/>
        <w:keepLines w:val="0"/>
        <w:pageBreakBefore w:val="0"/>
        <w:kinsoku/>
        <w:overflowPunct/>
        <w:bidi w:val="0"/>
        <w:spacing w:line="360" w:lineRule="auto"/>
        <w:ind w:firstLine="422" w:firstLineChars="200"/>
        <w:outlineLvl w:val="9"/>
        <w:rPr>
          <w:rFonts w:hint="eastAsia" w:ascii="宋体" w:hAnsi="宋体" w:eastAsia="宋体" w:cs="宋体"/>
          <w:b/>
          <w:bCs/>
          <w:color w:val="auto"/>
          <w:szCs w:val="21"/>
        </w:rPr>
      </w:pPr>
      <w:r>
        <w:rPr>
          <w:rFonts w:hint="eastAsia" w:ascii="宋体" w:hAnsi="宋体" w:eastAsia="宋体" w:cs="宋体"/>
          <w:b/>
          <w:bCs/>
          <w:color w:val="auto"/>
          <w:szCs w:val="21"/>
        </w:rPr>
        <w:t>40.需要补充的其他内容</w:t>
      </w:r>
    </w:p>
    <w:p w14:paraId="33941031">
      <w:pPr>
        <w:pStyle w:val="14"/>
        <w:keepNext w:val="0"/>
        <w:keepLines w:val="0"/>
        <w:pageBreakBefore w:val="0"/>
        <w:shd w:val="clear" w:color="auto" w:fill="auto"/>
        <w:kinsoku/>
        <w:overflowPunct/>
        <w:bidi w:val="0"/>
        <w:spacing w:before="120" w:after="120" w:line="360" w:lineRule="auto"/>
        <w:ind w:firstLine="420" w:firstLineChars="200"/>
        <w:contextualSpacing/>
        <w:outlineLvl w:val="9"/>
        <w:rPr>
          <w:rFonts w:hint="eastAsia" w:hAnsi="宋体" w:cs="宋体"/>
          <w:color w:val="auto"/>
          <w:sz w:val="21"/>
          <w:highlight w:val="none"/>
          <w:shd w:val="clear" w:color="auto" w:fill="auto"/>
        </w:rPr>
      </w:pPr>
      <w:r>
        <w:rPr>
          <w:rFonts w:hint="eastAsia" w:hAnsi="宋体" w:cs="宋体"/>
          <w:color w:val="auto"/>
          <w:sz w:val="21"/>
          <w:highlight w:val="none"/>
          <w:shd w:val="clear" w:color="auto" w:fill="auto"/>
        </w:rPr>
        <w:t>40.1本招标文件解释规则详见“投标人须知前附表”。</w:t>
      </w:r>
    </w:p>
    <w:p w14:paraId="36D4A8E6">
      <w:pPr>
        <w:pStyle w:val="14"/>
        <w:keepNext w:val="0"/>
        <w:keepLines w:val="0"/>
        <w:pageBreakBefore w:val="0"/>
        <w:shd w:val="clear" w:color="auto" w:fill="auto"/>
        <w:kinsoku/>
        <w:overflowPunct/>
        <w:bidi w:val="0"/>
        <w:spacing w:before="120" w:after="120" w:line="360" w:lineRule="auto"/>
        <w:ind w:firstLine="420" w:firstLineChars="200"/>
        <w:contextualSpacing/>
        <w:outlineLvl w:val="9"/>
        <w:rPr>
          <w:rFonts w:hint="eastAsia" w:hAnsi="宋体" w:cs="宋体"/>
          <w:color w:val="auto"/>
          <w:sz w:val="21"/>
          <w:highlight w:val="none"/>
          <w:shd w:val="clear" w:color="auto" w:fill="auto"/>
        </w:rPr>
      </w:pPr>
      <w:r>
        <w:rPr>
          <w:rFonts w:hint="eastAsia" w:hAnsi="宋体" w:cs="宋体"/>
          <w:color w:val="auto"/>
          <w:sz w:val="21"/>
          <w:highlight w:val="none"/>
          <w:shd w:val="clear" w:color="auto" w:fill="auto"/>
        </w:rPr>
        <w:t>40.</w:t>
      </w:r>
      <w:r>
        <w:rPr>
          <w:rFonts w:hint="eastAsia" w:hAnsi="宋体" w:cs="宋体"/>
          <w:color w:val="auto"/>
          <w:sz w:val="21"/>
          <w:highlight w:val="none"/>
          <w:shd w:val="clear" w:color="auto" w:fill="auto"/>
          <w:lang w:val="en-US" w:eastAsia="zh-CN"/>
        </w:rPr>
        <w:t>2</w:t>
      </w:r>
      <w:r>
        <w:rPr>
          <w:rFonts w:hint="eastAsia" w:hAnsi="宋体" w:cs="宋体"/>
          <w:color w:val="auto"/>
          <w:sz w:val="21"/>
          <w:highlight w:val="none"/>
          <w:shd w:val="clear" w:color="auto" w:fill="auto"/>
        </w:rPr>
        <w:t>无义务解释未中标原因</w:t>
      </w:r>
    </w:p>
    <w:p w14:paraId="3DAD1CF2">
      <w:pPr>
        <w:pStyle w:val="14"/>
        <w:keepNext w:val="0"/>
        <w:keepLines w:val="0"/>
        <w:pageBreakBefore w:val="0"/>
        <w:shd w:val="clear" w:color="auto" w:fill="auto"/>
        <w:kinsoku/>
        <w:overflowPunct/>
        <w:bidi w:val="0"/>
        <w:spacing w:before="120" w:after="120" w:line="360" w:lineRule="auto"/>
        <w:ind w:firstLine="420" w:firstLineChars="200"/>
        <w:contextualSpacing/>
        <w:outlineLvl w:val="9"/>
        <w:rPr>
          <w:rFonts w:hint="eastAsia" w:hAnsi="宋体" w:cs="宋体"/>
          <w:color w:val="auto"/>
          <w:sz w:val="21"/>
          <w:highlight w:val="none"/>
          <w:shd w:val="clear" w:color="auto" w:fill="auto"/>
        </w:rPr>
      </w:pPr>
      <w:r>
        <w:rPr>
          <w:rFonts w:hint="eastAsia" w:hAnsi="宋体" w:cs="宋体"/>
          <w:color w:val="auto"/>
          <w:sz w:val="21"/>
          <w:highlight w:val="none"/>
          <w:shd w:val="clear" w:color="auto" w:fill="auto"/>
        </w:rPr>
        <w:t>采购代理机构无义务向未中标的投标人解释未中标原因。</w:t>
      </w:r>
    </w:p>
    <w:p w14:paraId="2E49E05B">
      <w:pPr>
        <w:pStyle w:val="14"/>
        <w:keepNext w:val="0"/>
        <w:keepLines w:val="0"/>
        <w:pageBreakBefore w:val="0"/>
        <w:shd w:val="clear" w:color="auto" w:fill="auto"/>
        <w:kinsoku/>
        <w:overflowPunct/>
        <w:bidi w:val="0"/>
        <w:spacing w:before="120" w:after="120" w:line="360" w:lineRule="auto"/>
        <w:ind w:firstLine="420" w:firstLineChars="200"/>
        <w:contextualSpacing/>
        <w:outlineLvl w:val="9"/>
        <w:rPr>
          <w:rFonts w:hint="eastAsia" w:hAnsi="宋体" w:cs="宋体"/>
          <w:color w:val="auto"/>
          <w:sz w:val="21"/>
          <w:highlight w:val="none"/>
          <w:shd w:val="clear" w:color="auto" w:fill="auto"/>
        </w:rPr>
      </w:pPr>
      <w:r>
        <w:rPr>
          <w:rFonts w:hint="eastAsia" w:hAnsi="宋体" w:cs="宋体"/>
          <w:color w:val="auto"/>
          <w:sz w:val="21"/>
          <w:highlight w:val="none"/>
          <w:shd w:val="clear" w:color="auto" w:fill="auto"/>
          <w:lang w:val="en-US" w:eastAsia="zh-CN"/>
        </w:rPr>
        <w:t>40.3</w:t>
      </w:r>
      <w:r>
        <w:rPr>
          <w:rFonts w:hint="eastAsia" w:hAnsi="宋体" w:cs="宋体"/>
          <w:color w:val="auto"/>
          <w:sz w:val="21"/>
          <w:highlight w:val="none"/>
          <w:shd w:val="clear" w:color="auto" w:fill="auto"/>
        </w:rPr>
        <w:t>其他事项详见“投标人须知前附表”。</w:t>
      </w:r>
    </w:p>
    <w:p w14:paraId="37FB5332">
      <w:pPr>
        <w:pStyle w:val="14"/>
        <w:keepNext w:val="0"/>
        <w:keepLines w:val="0"/>
        <w:pageBreakBefore w:val="0"/>
        <w:shd w:val="clear" w:color="auto" w:fill="auto"/>
        <w:kinsoku/>
        <w:overflowPunct/>
        <w:bidi w:val="0"/>
        <w:spacing w:before="120" w:after="120" w:line="360" w:lineRule="auto"/>
        <w:ind w:firstLine="420" w:firstLineChars="200"/>
        <w:contextualSpacing/>
        <w:outlineLvl w:val="9"/>
        <w:rPr>
          <w:rFonts w:hint="eastAsia" w:hAnsi="宋体" w:cs="宋体"/>
          <w:color w:val="auto"/>
          <w:sz w:val="21"/>
          <w:highlight w:val="none"/>
          <w:shd w:val="clear" w:color="auto" w:fill="auto"/>
        </w:rPr>
      </w:pPr>
      <w:r>
        <w:rPr>
          <w:rFonts w:hint="eastAsia" w:hAnsi="宋体" w:cs="宋体"/>
          <w:color w:val="auto"/>
          <w:sz w:val="21"/>
          <w:highlight w:val="none"/>
          <w:shd w:val="clear" w:color="auto" w:fill="auto"/>
        </w:rPr>
        <w:t>40.</w:t>
      </w:r>
      <w:bookmarkStart w:id="156" w:name="_Hlk65857140"/>
      <w:r>
        <w:rPr>
          <w:rFonts w:hint="eastAsia" w:hAnsi="宋体" w:cs="宋体"/>
          <w:color w:val="auto"/>
          <w:sz w:val="21"/>
          <w:highlight w:val="none"/>
          <w:shd w:val="clear" w:color="auto" w:fill="auto"/>
          <w:lang w:val="en-US" w:eastAsia="zh-CN"/>
        </w:rPr>
        <w:t>4</w:t>
      </w:r>
      <w:r>
        <w:rPr>
          <w:rFonts w:hint="eastAsia" w:hAnsi="宋体" w:cs="宋体"/>
          <w:color w:val="auto"/>
          <w:sz w:val="21"/>
          <w:highlight w:val="none"/>
          <w:shd w:val="clear" w:color="auto" w:fill="auto"/>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67FB140F">
      <w:pPr>
        <w:pStyle w:val="14"/>
        <w:keepNext w:val="0"/>
        <w:keepLines w:val="0"/>
        <w:pageBreakBefore w:val="0"/>
        <w:shd w:val="clear" w:color="auto" w:fill="auto"/>
        <w:kinsoku/>
        <w:overflowPunct/>
        <w:bidi w:val="0"/>
        <w:spacing w:before="120" w:after="120" w:line="360" w:lineRule="auto"/>
        <w:ind w:firstLine="420" w:firstLineChars="200"/>
        <w:contextualSpacing/>
        <w:outlineLvl w:val="9"/>
        <w:rPr>
          <w:rFonts w:hint="eastAsia" w:hAnsi="宋体" w:cs="宋体"/>
          <w:color w:val="auto"/>
          <w:sz w:val="21"/>
          <w:highlight w:val="none"/>
          <w:shd w:val="clear" w:color="auto" w:fill="auto"/>
        </w:rPr>
      </w:pPr>
      <w:r>
        <w:rPr>
          <w:rFonts w:hint="eastAsia" w:hAnsi="宋体" w:cs="宋体"/>
          <w:color w:val="auto"/>
          <w:sz w:val="21"/>
          <w:highlight w:val="none"/>
          <w:shd w:val="clear" w:color="auto" w:fill="auto"/>
        </w:rPr>
        <w:t>（1）在货物采购项目中，货物由中小企业制造，即货物由中小企业生产且使用该中小企业商号或者注册商标，不对其中涉及的工程承建商和服务的承接商作出要求；</w:t>
      </w:r>
    </w:p>
    <w:p w14:paraId="2BDF10A8">
      <w:pPr>
        <w:pStyle w:val="14"/>
        <w:keepNext w:val="0"/>
        <w:keepLines w:val="0"/>
        <w:pageBreakBefore w:val="0"/>
        <w:shd w:val="clear" w:color="auto" w:fill="auto"/>
        <w:kinsoku/>
        <w:overflowPunct/>
        <w:bidi w:val="0"/>
        <w:spacing w:before="120" w:after="120" w:line="360" w:lineRule="auto"/>
        <w:ind w:firstLine="420" w:firstLineChars="200"/>
        <w:contextualSpacing/>
        <w:outlineLvl w:val="9"/>
        <w:rPr>
          <w:rFonts w:hint="eastAsia" w:hAnsi="宋体" w:cs="宋体"/>
          <w:color w:val="auto"/>
          <w:sz w:val="21"/>
          <w:highlight w:val="none"/>
          <w:shd w:val="clear" w:color="auto" w:fill="auto"/>
        </w:rPr>
      </w:pPr>
      <w:r>
        <w:rPr>
          <w:rFonts w:hint="eastAsia" w:hAnsi="宋体" w:cs="宋体"/>
          <w:color w:val="auto"/>
          <w:sz w:val="21"/>
          <w:highlight w:val="none"/>
          <w:shd w:val="clear" w:color="auto" w:fill="auto"/>
        </w:rPr>
        <w:t>（2）在工程采购项目中，工程由中小企业承建，即工程施工单位为中小企业，不对其中涉及的货物的制造商和服务的承接商作出要求；</w:t>
      </w:r>
    </w:p>
    <w:p w14:paraId="7CD668EE">
      <w:pPr>
        <w:pStyle w:val="14"/>
        <w:keepNext w:val="0"/>
        <w:keepLines w:val="0"/>
        <w:pageBreakBefore w:val="0"/>
        <w:shd w:val="clear" w:color="auto" w:fill="auto"/>
        <w:kinsoku/>
        <w:overflowPunct/>
        <w:bidi w:val="0"/>
        <w:spacing w:before="120" w:after="120" w:line="360" w:lineRule="auto"/>
        <w:ind w:firstLine="420" w:firstLineChars="200"/>
        <w:contextualSpacing/>
        <w:outlineLvl w:val="9"/>
        <w:rPr>
          <w:rFonts w:hint="eastAsia" w:hAnsi="宋体" w:cs="宋体"/>
          <w:color w:val="auto"/>
          <w:sz w:val="21"/>
          <w:highlight w:val="none"/>
          <w:shd w:val="clear" w:color="auto" w:fill="auto"/>
        </w:rPr>
      </w:pPr>
      <w:r>
        <w:rPr>
          <w:rFonts w:hint="eastAsia" w:hAnsi="宋体" w:cs="宋体"/>
          <w:color w:val="auto"/>
          <w:sz w:val="21"/>
          <w:highlight w:val="none"/>
          <w:shd w:val="clear" w:color="auto" w:fill="auto"/>
        </w:rPr>
        <w:t>（3）在服务采购项目中，服务由中小企业承接，即提供服务的人员为中小企业依照《中华人民共和国劳动合同法》订立劳动合同的从业人员，不对其中涉及的货物的制造商和工程承建商作出要求。</w:t>
      </w:r>
    </w:p>
    <w:p w14:paraId="6DBED743">
      <w:pPr>
        <w:pStyle w:val="14"/>
        <w:keepNext w:val="0"/>
        <w:keepLines w:val="0"/>
        <w:pageBreakBefore w:val="0"/>
        <w:shd w:val="clear" w:color="auto" w:fill="auto"/>
        <w:kinsoku/>
        <w:overflowPunct/>
        <w:bidi w:val="0"/>
        <w:spacing w:before="120" w:after="120" w:line="360" w:lineRule="auto"/>
        <w:ind w:firstLine="420" w:firstLineChars="200"/>
        <w:contextualSpacing/>
        <w:outlineLvl w:val="9"/>
        <w:rPr>
          <w:rFonts w:hint="eastAsia" w:hAnsi="宋体" w:cs="宋体"/>
          <w:b w:val="0"/>
          <w:bCs w:val="0"/>
          <w:color w:val="auto"/>
          <w:sz w:val="21"/>
          <w:highlight w:val="none"/>
          <w:shd w:val="clear" w:color="auto" w:fill="auto"/>
        </w:rPr>
      </w:pPr>
      <w:r>
        <w:rPr>
          <w:rFonts w:hint="eastAsia" w:hAnsi="宋体" w:cs="宋体"/>
          <w:color w:val="auto"/>
          <w:sz w:val="21"/>
          <w:highlight w:val="none"/>
          <w:shd w:val="clear" w:color="auto" w:fill="auto"/>
        </w:rPr>
        <w:t>在货物采购项目中，供应商提供的货物既有中小企业制造货物，也有大型企业制造货物的，不享受本招标文件规定的中小企业扶持政策。以联合体形式参加政府采购活动，联合体各方均为中小企业的，</w:t>
      </w:r>
      <w:r>
        <w:rPr>
          <w:rFonts w:hint="eastAsia" w:hAnsi="宋体" w:cs="宋体"/>
          <w:b w:val="0"/>
          <w:bCs w:val="0"/>
          <w:color w:val="auto"/>
          <w:sz w:val="21"/>
          <w:highlight w:val="none"/>
          <w:shd w:val="clear" w:color="auto" w:fill="auto"/>
        </w:rPr>
        <w:t>联合体视同中小企业。其中，联合体各方均为小微企业的，联合体视同小微企业。</w:t>
      </w:r>
    </w:p>
    <w:p w14:paraId="4D5B9D44">
      <w:pPr>
        <w:keepNext w:val="0"/>
        <w:keepLines w:val="0"/>
        <w:pageBreakBefore w:val="0"/>
        <w:numPr>
          <w:ilvl w:val="4"/>
          <w:numId w:val="0"/>
        </w:numPr>
        <w:shd w:val="clear" w:color="auto" w:fill="auto"/>
        <w:kinsoku/>
        <w:overflowPunct/>
        <w:bidi w:val="0"/>
        <w:snapToGrid w:val="0"/>
        <w:spacing w:before="0" w:after="0" w:line="360" w:lineRule="auto"/>
        <w:outlineLvl w:val="9"/>
        <w:rPr>
          <w:rFonts w:ascii="宋体" w:hAnsi="宋体" w:cs="宋体"/>
          <w:color w:val="auto"/>
          <w:szCs w:val="21"/>
        </w:rPr>
      </w:pPr>
      <w:r>
        <w:rPr>
          <w:rFonts w:hint="eastAsia" w:hAnsi="宋体" w:cs="宋体"/>
          <w:b w:val="0"/>
          <w:bCs w:val="0"/>
          <w:color w:val="auto"/>
          <w:sz w:val="21"/>
          <w:highlight w:val="none"/>
          <w:shd w:val="clear" w:color="auto" w:fill="auto"/>
        </w:rPr>
        <w:t>依据本招标文件规定享受扶持政策获得政府采购合同的，小微企业不得将合同分包给大中型企业，中型企业不得将合同分包给大型企业。</w:t>
      </w:r>
      <w:bookmarkEnd w:id="156"/>
      <w:r>
        <w:rPr>
          <w:rFonts w:hint="eastAsia" w:ascii="宋体" w:hAnsi="宋体" w:cs="宋体"/>
          <w:b/>
          <w:bCs/>
          <w:color w:val="auto"/>
          <w:szCs w:val="21"/>
        </w:rPr>
        <w:br w:type="page"/>
      </w:r>
      <w:bookmarkEnd w:id="147"/>
      <w:bookmarkStart w:id="157" w:name="_Toc30050"/>
      <w:bookmarkStart w:id="158" w:name="_Toc80092999"/>
      <w:bookmarkStart w:id="159" w:name="_Toc10764"/>
    </w:p>
    <w:bookmarkEnd w:id="157"/>
    <w:bookmarkEnd w:id="158"/>
    <w:bookmarkEnd w:id="159"/>
    <w:p w14:paraId="7C330CAE">
      <w:pPr>
        <w:keepNext w:val="0"/>
        <w:keepLines w:val="0"/>
        <w:pageBreakBefore w:val="0"/>
        <w:kinsoku/>
        <w:overflowPunct/>
        <w:bidi w:val="0"/>
        <w:spacing w:line="360" w:lineRule="auto"/>
        <w:jc w:val="center"/>
        <w:outlineLvl w:val="0"/>
        <w:rPr>
          <w:rFonts w:hint="eastAsia" w:ascii="宋体" w:hAnsi="宋体" w:eastAsia="宋体" w:cs="宋体"/>
          <w:b/>
          <w:bCs/>
          <w:color w:val="auto"/>
          <w:sz w:val="32"/>
          <w:szCs w:val="32"/>
        </w:rPr>
      </w:pPr>
      <w:r>
        <w:rPr>
          <w:rFonts w:hint="eastAsia" w:ascii="宋体" w:hAnsi="宋体" w:cs="宋体"/>
          <w:b/>
          <w:bCs/>
          <w:color w:val="auto"/>
          <w:sz w:val="32"/>
          <w:szCs w:val="32"/>
          <w:lang w:val="en-US" w:eastAsia="zh-CN"/>
        </w:rPr>
        <w:t xml:space="preserve"> </w:t>
      </w:r>
      <w:r>
        <w:rPr>
          <w:rFonts w:hint="eastAsia" w:ascii="宋体" w:hAnsi="宋体" w:eastAsia="宋体" w:cs="宋体"/>
          <w:b/>
          <w:bCs/>
          <w:color w:val="auto"/>
          <w:sz w:val="32"/>
          <w:szCs w:val="32"/>
        </w:rPr>
        <w:t xml:space="preserve">第四章  </w:t>
      </w:r>
      <w:bookmarkEnd w:id="35"/>
      <w:bookmarkEnd w:id="36"/>
      <w:r>
        <w:rPr>
          <w:rFonts w:hint="eastAsia" w:ascii="宋体" w:hAnsi="宋体" w:eastAsia="宋体" w:cs="宋体"/>
          <w:b/>
          <w:bCs/>
          <w:color w:val="auto"/>
          <w:sz w:val="32"/>
          <w:szCs w:val="32"/>
        </w:rPr>
        <w:t>评审方法、评审程序和评审标准</w:t>
      </w:r>
      <w:bookmarkEnd w:id="37"/>
    </w:p>
    <w:p w14:paraId="41643A79">
      <w:pPr>
        <w:pStyle w:val="13"/>
        <w:keepNext w:val="0"/>
        <w:keepLines w:val="0"/>
        <w:pageBreakBefore w:val="0"/>
        <w:kinsoku/>
        <w:overflowPunct/>
        <w:bidi w:val="0"/>
        <w:spacing w:line="360" w:lineRule="auto"/>
        <w:ind w:left="0"/>
        <w:rPr>
          <w:rFonts w:hAnsi="宋体" w:cs="宋体"/>
          <w:b/>
          <w:bCs/>
          <w:color w:val="auto"/>
          <w:szCs w:val="21"/>
        </w:rPr>
      </w:pPr>
      <w:r>
        <w:rPr>
          <w:rFonts w:hint="eastAsia" w:hAnsi="宋体" w:cs="宋体"/>
          <w:b/>
          <w:bCs/>
          <w:color w:val="auto"/>
          <w:szCs w:val="21"/>
        </w:rPr>
        <w:t>一、评标方法</w:t>
      </w:r>
    </w:p>
    <w:p w14:paraId="78540911">
      <w:pPr>
        <w:pStyle w:val="13"/>
        <w:keepNext w:val="0"/>
        <w:keepLines w:val="0"/>
        <w:pageBreakBefore w:val="0"/>
        <w:kinsoku/>
        <w:overflowPunct/>
        <w:bidi w:val="0"/>
        <w:spacing w:line="360" w:lineRule="auto"/>
        <w:ind w:left="0" w:right="34" w:firstLine="422" w:firstLineChars="200"/>
        <w:rPr>
          <w:rFonts w:hint="eastAsia" w:hAnsi="宋体" w:cs="宋体"/>
          <w:color w:val="auto"/>
        </w:rPr>
      </w:pPr>
      <w:r>
        <w:rPr>
          <w:rFonts w:hint="eastAsia" w:hAnsi="宋体"/>
          <w:b/>
          <w:color w:val="auto"/>
          <w:highlight w:val="none"/>
          <w:shd w:val="clear" w:color="auto" w:fill="auto"/>
        </w:rPr>
        <w:t>√</w:t>
      </w:r>
      <w:r>
        <w:rPr>
          <w:rFonts w:hint="eastAsia" w:hAnsi="宋体" w:cs="宋体"/>
          <w:color w:val="auto"/>
        </w:rPr>
        <w:t>综合评分法，是指投标文件满足招标文件全部实质性要求，且按照评审因素的量化指标评审得分最高的投标人为中标候选人的评标方法。</w:t>
      </w:r>
    </w:p>
    <w:p w14:paraId="5C317218">
      <w:pPr>
        <w:pStyle w:val="14"/>
        <w:keepNext w:val="0"/>
        <w:keepLines w:val="0"/>
        <w:pageBreakBefore w:val="0"/>
        <w:shd w:val="clear" w:color="auto" w:fill="auto"/>
        <w:kinsoku/>
        <w:overflowPunct/>
        <w:bidi w:val="0"/>
        <w:spacing w:line="360" w:lineRule="auto"/>
        <w:ind w:firstLine="420"/>
        <w:rPr>
          <w:rFonts w:hint="eastAsia" w:hAnsi="宋体" w:cs="宋体"/>
          <w:color w:val="auto"/>
        </w:rPr>
      </w:pPr>
      <w:r>
        <w:rPr>
          <w:rFonts w:hint="eastAsia" w:hAnsi="宋体"/>
          <w:color w:val="auto"/>
          <w:sz w:val="21"/>
          <w:highlight w:val="none"/>
          <w:shd w:val="clear" w:color="auto" w:fill="auto"/>
        </w:rPr>
        <w:t>最低评标价法，是指投标文件满足招标文件全部实质性要求，且投标报价最低的投标人为中标候选人的评标方法。</w:t>
      </w:r>
    </w:p>
    <w:p w14:paraId="5CC3CCA8">
      <w:pPr>
        <w:pStyle w:val="13"/>
        <w:keepNext w:val="0"/>
        <w:keepLines w:val="0"/>
        <w:pageBreakBefore w:val="0"/>
        <w:kinsoku/>
        <w:overflowPunct/>
        <w:bidi w:val="0"/>
        <w:spacing w:line="360" w:lineRule="auto"/>
        <w:ind w:left="0"/>
        <w:rPr>
          <w:rFonts w:hAnsi="宋体" w:cs="宋体"/>
          <w:b/>
          <w:bCs/>
          <w:color w:val="auto"/>
          <w:szCs w:val="21"/>
        </w:rPr>
      </w:pPr>
      <w:r>
        <w:rPr>
          <w:rFonts w:hint="eastAsia" w:hAnsi="宋体" w:cs="宋体"/>
          <w:b/>
          <w:bCs/>
          <w:color w:val="auto"/>
          <w:szCs w:val="21"/>
        </w:rPr>
        <w:t>二、评审程序</w:t>
      </w:r>
    </w:p>
    <w:p w14:paraId="1D763834">
      <w:pPr>
        <w:keepNext w:val="0"/>
        <w:keepLines w:val="0"/>
        <w:pageBreakBefore w:val="0"/>
        <w:numPr>
          <w:ilvl w:val="4"/>
          <w:numId w:val="0"/>
        </w:numPr>
        <w:kinsoku/>
        <w:overflowPunct/>
        <w:bidi w:val="0"/>
        <w:spacing w:before="0" w:after="0" w:line="360" w:lineRule="auto"/>
        <w:ind w:firstLine="422" w:firstLineChars="200"/>
        <w:outlineLvl w:val="9"/>
        <w:rPr>
          <w:rFonts w:ascii="宋体" w:hAnsi="宋体" w:cs="宋体"/>
          <w:b/>
          <w:bCs w:val="0"/>
          <w:color w:val="auto"/>
          <w:sz w:val="21"/>
          <w:szCs w:val="21"/>
        </w:rPr>
      </w:pPr>
      <w:r>
        <w:rPr>
          <w:rFonts w:hint="eastAsia" w:ascii="宋体" w:hAnsi="宋体" w:cs="宋体"/>
          <w:b/>
          <w:bCs w:val="0"/>
          <w:color w:val="auto"/>
          <w:sz w:val="21"/>
          <w:szCs w:val="21"/>
        </w:rPr>
        <w:t>1.资格审查</w:t>
      </w:r>
    </w:p>
    <w:p w14:paraId="238B91AE">
      <w:pPr>
        <w:keepNext w:val="0"/>
        <w:keepLines w:val="0"/>
        <w:pageBreakBefore w:val="0"/>
        <w:kinsoku/>
        <w:overflowPunct/>
        <w:bidi w:val="0"/>
        <w:spacing w:before="0" w:after="0" w:line="360" w:lineRule="auto"/>
        <w:ind w:firstLine="420" w:firstLineChars="200"/>
        <w:outlineLvl w:val="9"/>
        <w:rPr>
          <w:rFonts w:ascii="宋体" w:hAnsi="宋体" w:cs="宋体"/>
          <w:b w:val="0"/>
          <w:color w:val="auto"/>
          <w:sz w:val="21"/>
          <w:szCs w:val="21"/>
        </w:rPr>
      </w:pPr>
      <w:r>
        <w:rPr>
          <w:rFonts w:hint="eastAsia" w:ascii="宋体" w:hAnsi="宋体" w:cs="宋体"/>
          <w:b w:val="0"/>
          <w:color w:val="auto"/>
          <w:sz w:val="21"/>
          <w:szCs w:val="21"/>
        </w:rPr>
        <w:t>1.1开标结束后，采购人或者采购代理机构依法对投标人的资格进行审查。</w:t>
      </w:r>
    </w:p>
    <w:p w14:paraId="701A8994">
      <w:pPr>
        <w:keepNext w:val="0"/>
        <w:keepLines w:val="0"/>
        <w:pageBreakBefore w:val="0"/>
        <w:kinsoku/>
        <w:overflowPunct/>
        <w:bidi w:val="0"/>
        <w:spacing w:before="0" w:after="0" w:line="360" w:lineRule="auto"/>
        <w:ind w:firstLine="420" w:firstLineChars="200"/>
        <w:outlineLvl w:val="9"/>
        <w:rPr>
          <w:rFonts w:ascii="宋体" w:hAnsi="宋体" w:cs="宋体"/>
          <w:b w:val="0"/>
          <w:color w:val="auto"/>
          <w:sz w:val="21"/>
          <w:szCs w:val="21"/>
        </w:rPr>
      </w:pPr>
      <w:r>
        <w:rPr>
          <w:rFonts w:hint="eastAsia" w:ascii="宋体" w:hAnsi="宋体" w:cs="宋体"/>
          <w:b w:val="0"/>
          <w:color w:val="auto"/>
          <w:sz w:val="21"/>
          <w:szCs w:val="21"/>
        </w:rPr>
        <w:t>1.2资格审查标准为本招标文件中载明对投标人资格要求的条件。本项目资格审查采用合格制，凡符合招标文件规定的投标人资格要求的投标人均通过资格审查。</w:t>
      </w:r>
    </w:p>
    <w:p w14:paraId="6C7E05E8">
      <w:pPr>
        <w:keepNext w:val="0"/>
        <w:keepLines w:val="0"/>
        <w:pageBreakBefore w:val="0"/>
        <w:numPr>
          <w:ilvl w:val="0"/>
          <w:numId w:val="0"/>
        </w:numPr>
        <w:kinsoku/>
        <w:overflowPunct/>
        <w:bidi w:val="0"/>
        <w:spacing w:before="0" w:after="0" w:line="360" w:lineRule="auto"/>
        <w:ind w:firstLine="420" w:firstLineChars="200"/>
        <w:outlineLvl w:val="9"/>
        <w:rPr>
          <w:rFonts w:ascii="宋体" w:hAnsi="宋体" w:cs="宋体"/>
          <w:b w:val="0"/>
          <w:bCs/>
          <w:color w:val="auto"/>
          <w:sz w:val="21"/>
          <w:szCs w:val="21"/>
        </w:rPr>
      </w:pPr>
      <w:bookmarkStart w:id="160" w:name="_25.3_投标人有下列情形之一的，资格审查不通过而导致其投标无效："/>
      <w:bookmarkEnd w:id="160"/>
      <w:r>
        <w:rPr>
          <w:rFonts w:hint="eastAsia" w:ascii="宋体" w:hAnsi="宋体" w:cs="宋体"/>
          <w:b w:val="0"/>
          <w:bCs/>
          <w:color w:val="auto"/>
          <w:sz w:val="21"/>
          <w:szCs w:val="21"/>
        </w:rPr>
        <w:t>1.3投标人有下列情形之一的，资格审查不通过，作无效投标处理：</w:t>
      </w:r>
    </w:p>
    <w:p w14:paraId="4E76E0C9">
      <w:pPr>
        <w:pStyle w:val="14"/>
        <w:keepNext w:val="0"/>
        <w:keepLines w:val="0"/>
        <w:pageBreakBefore w:val="0"/>
        <w:kinsoku/>
        <w:overflowPunct/>
        <w:bidi w:val="0"/>
        <w:snapToGrid w:val="0"/>
        <w:spacing w:line="360" w:lineRule="auto"/>
        <w:ind w:firstLine="420" w:firstLineChars="200"/>
        <w:outlineLvl w:val="9"/>
        <w:rPr>
          <w:rFonts w:hAnsi="宋体" w:cs="宋体"/>
          <w:bCs/>
          <w:color w:val="auto"/>
          <w:szCs w:val="21"/>
        </w:rPr>
      </w:pPr>
      <w:r>
        <w:rPr>
          <w:rFonts w:hint="eastAsia" w:hAnsi="宋体" w:cs="宋体"/>
          <w:bCs/>
          <w:color w:val="auto"/>
          <w:szCs w:val="21"/>
        </w:rPr>
        <w:t>（1）未按招标文件规定的方式获取本招标文件的投标人；</w:t>
      </w:r>
    </w:p>
    <w:p w14:paraId="67657282">
      <w:pPr>
        <w:pStyle w:val="14"/>
        <w:keepNext w:val="0"/>
        <w:keepLines w:val="0"/>
        <w:pageBreakBefore w:val="0"/>
        <w:kinsoku/>
        <w:overflowPunct/>
        <w:bidi w:val="0"/>
        <w:snapToGrid w:val="0"/>
        <w:spacing w:line="360" w:lineRule="auto"/>
        <w:ind w:firstLine="420" w:firstLineChars="200"/>
        <w:outlineLvl w:val="9"/>
        <w:rPr>
          <w:rFonts w:hAnsi="宋体" w:cs="宋体"/>
          <w:bCs/>
          <w:color w:val="auto"/>
          <w:szCs w:val="21"/>
        </w:rPr>
      </w:pPr>
      <w:r>
        <w:rPr>
          <w:rFonts w:hint="eastAsia" w:hAnsi="宋体" w:cs="宋体"/>
          <w:bCs/>
          <w:color w:val="auto"/>
          <w:szCs w:val="21"/>
        </w:rPr>
        <w:t>（2）不具备招标文件中规定的资格要求的；（注：其中信用查询规则见“投标人须知前附表”）</w:t>
      </w:r>
    </w:p>
    <w:p w14:paraId="6B7EB7C4">
      <w:pPr>
        <w:pStyle w:val="14"/>
        <w:keepNext w:val="0"/>
        <w:keepLines w:val="0"/>
        <w:pageBreakBefore w:val="0"/>
        <w:kinsoku/>
        <w:overflowPunct/>
        <w:bidi w:val="0"/>
        <w:snapToGrid w:val="0"/>
        <w:spacing w:line="360" w:lineRule="auto"/>
        <w:ind w:firstLine="420" w:firstLineChars="200"/>
        <w:outlineLvl w:val="9"/>
        <w:rPr>
          <w:rFonts w:hAnsi="宋体" w:cs="宋体"/>
          <w:bCs/>
          <w:color w:val="auto"/>
          <w:szCs w:val="21"/>
        </w:rPr>
      </w:pPr>
      <w:r>
        <w:rPr>
          <w:rFonts w:hint="eastAsia" w:hAnsi="宋体" w:cs="宋体"/>
          <w:bCs/>
          <w:color w:val="auto"/>
          <w:szCs w:val="21"/>
        </w:rPr>
        <w:t>（3）投标文件未提供任一项“投标人须知前附表”资格证明文件规定的“必须提供”的文件资料的；</w:t>
      </w:r>
    </w:p>
    <w:p w14:paraId="7BEE229E">
      <w:pPr>
        <w:pStyle w:val="14"/>
        <w:keepNext w:val="0"/>
        <w:keepLines w:val="0"/>
        <w:pageBreakBefore w:val="0"/>
        <w:kinsoku/>
        <w:overflowPunct/>
        <w:bidi w:val="0"/>
        <w:snapToGrid w:val="0"/>
        <w:spacing w:line="360" w:lineRule="auto"/>
        <w:ind w:firstLine="420" w:firstLineChars="200"/>
        <w:outlineLvl w:val="9"/>
        <w:rPr>
          <w:rFonts w:hAnsi="宋体" w:cs="宋体"/>
          <w:bCs/>
          <w:color w:val="auto"/>
          <w:szCs w:val="21"/>
        </w:rPr>
      </w:pPr>
      <w:r>
        <w:rPr>
          <w:rFonts w:hint="eastAsia" w:hAnsi="宋体" w:cs="宋体"/>
          <w:bCs/>
          <w:color w:val="auto"/>
          <w:szCs w:val="21"/>
        </w:rPr>
        <w:t>（4）投标文件提供的资格证明文件出现任一项不符合“投标人须知前附表”资格证明文件规定的“必须提供”的文件资料要求或者无效的。</w:t>
      </w:r>
    </w:p>
    <w:p w14:paraId="6ED8189C">
      <w:pPr>
        <w:keepNext w:val="0"/>
        <w:keepLines w:val="0"/>
        <w:pageBreakBefore w:val="0"/>
        <w:kinsoku/>
        <w:overflowPunct/>
        <w:bidi w:val="0"/>
        <w:spacing w:before="0" w:after="0" w:line="360" w:lineRule="auto"/>
        <w:ind w:left="420" w:leftChars="200"/>
        <w:outlineLvl w:val="9"/>
        <w:rPr>
          <w:rFonts w:ascii="宋体" w:hAnsi="宋体" w:cs="宋体"/>
          <w:bCs/>
          <w:color w:val="auto"/>
          <w:sz w:val="21"/>
          <w:szCs w:val="21"/>
        </w:rPr>
      </w:pPr>
      <w:r>
        <w:rPr>
          <w:rFonts w:hint="eastAsia" w:ascii="宋体" w:hAnsi="宋体" w:cs="宋体"/>
          <w:b w:val="0"/>
          <w:bCs/>
          <w:color w:val="auto"/>
          <w:sz w:val="21"/>
          <w:szCs w:val="21"/>
        </w:rPr>
        <w:t>1.4资格审查的合格投标人不足3家的，不得评标。</w:t>
      </w:r>
    </w:p>
    <w:p w14:paraId="55B3C2AE">
      <w:pPr>
        <w:pStyle w:val="13"/>
        <w:keepNext w:val="0"/>
        <w:keepLines w:val="0"/>
        <w:pageBreakBefore w:val="0"/>
        <w:kinsoku/>
        <w:overflowPunct/>
        <w:bidi w:val="0"/>
        <w:spacing w:line="360" w:lineRule="auto"/>
        <w:outlineLvl w:val="9"/>
        <w:rPr>
          <w:rFonts w:ascii="宋体" w:hAnsi="宋体" w:cs="宋体"/>
          <w:b/>
          <w:bCs/>
          <w:color w:val="auto"/>
          <w:szCs w:val="21"/>
        </w:rPr>
      </w:pPr>
      <w:r>
        <w:rPr>
          <w:rFonts w:hint="eastAsia" w:ascii="宋体" w:hAnsi="宋体" w:cs="宋体"/>
          <w:b/>
          <w:bCs/>
          <w:color w:val="auto"/>
          <w:szCs w:val="21"/>
        </w:rPr>
        <w:t>2.符合性审查</w:t>
      </w:r>
    </w:p>
    <w:p w14:paraId="28FAFCC1">
      <w:pPr>
        <w:pStyle w:val="13"/>
        <w:keepNext w:val="0"/>
        <w:keepLines w:val="0"/>
        <w:pageBreakBefore w:val="0"/>
        <w:kinsoku/>
        <w:overflowPunct/>
        <w:bidi w:val="0"/>
        <w:spacing w:line="360" w:lineRule="auto"/>
        <w:ind w:left="0" w:right="34" w:firstLine="420" w:firstLineChars="200"/>
        <w:outlineLvl w:val="9"/>
        <w:rPr>
          <w:rFonts w:ascii="宋体" w:hAnsi="宋体" w:cs="宋体"/>
          <w:color w:val="auto"/>
          <w:szCs w:val="21"/>
        </w:rPr>
      </w:pPr>
      <w:r>
        <w:rPr>
          <w:rFonts w:hint="eastAsia" w:ascii="宋体" w:hAnsi="宋体" w:cs="宋体"/>
          <w:color w:val="auto"/>
          <w:szCs w:val="21"/>
        </w:rPr>
        <w:t>2.1评标委员会应当对符合资格的投标人的投标文件进行投标报价、商务、技术等实质性内容符合性审查，以确定其是否满足招标文件的实质性要求。</w:t>
      </w:r>
    </w:p>
    <w:p w14:paraId="3472B94F">
      <w:pPr>
        <w:pStyle w:val="13"/>
        <w:keepNext w:val="0"/>
        <w:keepLines w:val="0"/>
        <w:pageBreakBefore w:val="0"/>
        <w:kinsoku/>
        <w:overflowPunct/>
        <w:bidi w:val="0"/>
        <w:spacing w:line="360" w:lineRule="auto"/>
        <w:ind w:left="0" w:right="34" w:firstLine="420" w:firstLineChars="200"/>
        <w:outlineLvl w:val="9"/>
        <w:rPr>
          <w:rFonts w:ascii="宋体" w:hAnsi="宋体" w:cs="宋体"/>
          <w:color w:val="auto"/>
          <w:szCs w:val="21"/>
        </w:rPr>
      </w:pPr>
      <w:r>
        <w:rPr>
          <w:rFonts w:hint="eastAsia" w:ascii="宋体" w:hAnsi="宋体" w:cs="宋体"/>
          <w:color w:val="auto"/>
          <w:szCs w:val="21"/>
        </w:rPr>
        <w:t>2.2符合性审查不通过而导致投标无效的情形</w:t>
      </w:r>
    </w:p>
    <w:p w14:paraId="2FAFCE58">
      <w:pPr>
        <w:pStyle w:val="13"/>
        <w:keepNext w:val="0"/>
        <w:keepLines w:val="0"/>
        <w:pageBreakBefore w:val="0"/>
        <w:kinsoku/>
        <w:overflowPunct/>
        <w:bidi w:val="0"/>
        <w:spacing w:line="360" w:lineRule="auto"/>
        <w:ind w:left="0" w:right="34" w:firstLine="420" w:firstLineChars="200"/>
        <w:outlineLvl w:val="9"/>
        <w:rPr>
          <w:rFonts w:ascii="宋体" w:hAnsi="宋体" w:cs="宋体"/>
          <w:color w:val="auto"/>
          <w:szCs w:val="21"/>
        </w:rPr>
      </w:pPr>
      <w:r>
        <w:rPr>
          <w:rFonts w:hint="eastAsia" w:ascii="宋体" w:hAnsi="宋体" w:cs="宋体"/>
          <w:color w:val="auto"/>
          <w:szCs w:val="21"/>
        </w:rPr>
        <w:t>投标人的投标文件中存在对招标文件的任何实质性要求和条件的负偏离，将被视为投标无效。</w:t>
      </w:r>
    </w:p>
    <w:p w14:paraId="530D4031">
      <w:pPr>
        <w:pStyle w:val="13"/>
        <w:keepNext w:val="0"/>
        <w:keepLines w:val="0"/>
        <w:pageBreakBefore w:val="0"/>
        <w:kinsoku/>
        <w:overflowPunct/>
        <w:bidi w:val="0"/>
        <w:spacing w:line="360" w:lineRule="auto"/>
        <w:ind w:left="0" w:right="34" w:firstLine="420" w:firstLineChars="200"/>
        <w:outlineLvl w:val="9"/>
        <w:rPr>
          <w:rFonts w:ascii="宋体" w:hAnsi="宋体" w:cs="宋体"/>
          <w:color w:val="auto"/>
          <w:szCs w:val="21"/>
        </w:rPr>
      </w:pPr>
      <w:r>
        <w:rPr>
          <w:rFonts w:hint="eastAsia" w:ascii="宋体" w:hAnsi="宋体" w:cs="宋体"/>
          <w:color w:val="auto"/>
          <w:szCs w:val="21"/>
        </w:rPr>
        <w:t>2.3在报价评审时，如发现下列情形之一的，将被视为投标无效：</w:t>
      </w:r>
    </w:p>
    <w:p w14:paraId="0542D563">
      <w:pPr>
        <w:pStyle w:val="13"/>
        <w:keepNext w:val="0"/>
        <w:keepLines w:val="0"/>
        <w:pageBreakBefore w:val="0"/>
        <w:kinsoku/>
        <w:overflowPunct/>
        <w:bidi w:val="0"/>
        <w:spacing w:line="360" w:lineRule="auto"/>
        <w:ind w:left="0" w:right="34" w:firstLine="420" w:firstLineChars="200"/>
        <w:outlineLvl w:val="9"/>
        <w:rPr>
          <w:rFonts w:ascii="宋体" w:hAnsi="宋体" w:cs="宋体"/>
          <w:color w:val="auto"/>
          <w:szCs w:val="21"/>
        </w:rPr>
      </w:pPr>
      <w:r>
        <w:rPr>
          <w:rFonts w:hint="eastAsia" w:ascii="宋体" w:hAnsi="宋体" w:cs="宋体"/>
          <w:color w:val="auto"/>
          <w:szCs w:val="21"/>
        </w:rPr>
        <w:t>投标文件未提供“投标人须知前附表”第</w:t>
      </w:r>
      <w:r>
        <w:rPr>
          <w:rFonts w:hint="eastAsia" w:ascii="宋体" w:hAnsi="宋体" w:cs="宋体"/>
          <w:color w:val="auto"/>
          <w:szCs w:val="21"/>
          <w:lang w:val="en-US" w:eastAsia="zh-CN"/>
        </w:rPr>
        <w:t>13</w:t>
      </w:r>
      <w:r>
        <w:rPr>
          <w:rFonts w:hint="eastAsia" w:ascii="宋体" w:hAnsi="宋体" w:cs="宋体"/>
          <w:color w:val="auto"/>
          <w:szCs w:val="21"/>
        </w:rPr>
        <w:t>条规定中“必须提供”的文件资料的；</w:t>
      </w:r>
    </w:p>
    <w:p w14:paraId="12774A8E">
      <w:pPr>
        <w:pStyle w:val="13"/>
        <w:keepNext w:val="0"/>
        <w:keepLines w:val="0"/>
        <w:pageBreakBefore w:val="0"/>
        <w:kinsoku/>
        <w:overflowPunct/>
        <w:bidi w:val="0"/>
        <w:spacing w:line="360" w:lineRule="auto"/>
        <w:ind w:left="0" w:right="34" w:firstLine="420" w:firstLineChars="200"/>
        <w:outlineLvl w:val="9"/>
        <w:rPr>
          <w:rFonts w:ascii="宋体" w:hAnsi="宋体" w:cs="宋体"/>
          <w:color w:val="auto"/>
          <w:szCs w:val="21"/>
        </w:rPr>
      </w:pPr>
      <w:r>
        <w:rPr>
          <w:rFonts w:hint="eastAsia" w:ascii="宋体" w:hAnsi="宋体" w:cs="宋体"/>
          <w:color w:val="auto"/>
          <w:szCs w:val="21"/>
        </w:rPr>
        <w:t>未采用人民币报价或者未按照招标文件标明的币种报价的；</w:t>
      </w:r>
    </w:p>
    <w:p w14:paraId="6605EDEE">
      <w:pPr>
        <w:pStyle w:val="13"/>
        <w:keepNext w:val="0"/>
        <w:keepLines w:val="0"/>
        <w:pageBreakBefore w:val="0"/>
        <w:kinsoku/>
        <w:overflowPunct/>
        <w:bidi w:val="0"/>
        <w:spacing w:line="360" w:lineRule="auto"/>
        <w:ind w:left="0" w:right="34" w:firstLine="420" w:firstLineChars="200"/>
        <w:outlineLvl w:val="9"/>
        <w:rPr>
          <w:rFonts w:ascii="宋体" w:hAnsi="宋体" w:cs="宋体"/>
          <w:color w:val="auto"/>
          <w:szCs w:val="21"/>
        </w:rPr>
      </w:pPr>
      <w:r>
        <w:rPr>
          <w:rFonts w:hint="eastAsia" w:ascii="宋体" w:hAnsi="宋体" w:cs="宋体"/>
          <w:color w:val="auto"/>
          <w:szCs w:val="21"/>
        </w:rPr>
        <w:t>报价超出招标文件规定最高限价，或者超出采购预算金额的；</w:t>
      </w:r>
    </w:p>
    <w:p w14:paraId="34D01FB3">
      <w:pPr>
        <w:pStyle w:val="13"/>
        <w:keepNext w:val="0"/>
        <w:keepLines w:val="0"/>
        <w:pageBreakBefore w:val="0"/>
        <w:kinsoku/>
        <w:overflowPunct/>
        <w:bidi w:val="0"/>
        <w:spacing w:line="360" w:lineRule="auto"/>
        <w:ind w:left="0" w:right="34" w:firstLine="420" w:firstLineChars="200"/>
        <w:outlineLvl w:val="9"/>
        <w:rPr>
          <w:rFonts w:ascii="宋体" w:hAnsi="宋体" w:cs="宋体"/>
          <w:color w:val="auto"/>
          <w:szCs w:val="21"/>
        </w:rPr>
      </w:pPr>
      <w:r>
        <w:rPr>
          <w:rFonts w:hint="eastAsia" w:ascii="宋体" w:hAnsi="宋体" w:cs="宋体"/>
          <w:color w:val="auto"/>
          <w:szCs w:val="21"/>
        </w:rPr>
        <w:t>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6439DEE4">
      <w:pPr>
        <w:pStyle w:val="13"/>
        <w:keepNext w:val="0"/>
        <w:keepLines w:val="0"/>
        <w:pageBreakBefore w:val="0"/>
        <w:kinsoku/>
        <w:overflowPunct/>
        <w:bidi w:val="0"/>
        <w:spacing w:line="360" w:lineRule="auto"/>
        <w:ind w:left="0" w:right="34" w:firstLine="420" w:firstLineChars="200"/>
        <w:outlineLvl w:val="9"/>
        <w:rPr>
          <w:rFonts w:ascii="宋体" w:hAnsi="宋体" w:cs="宋体"/>
          <w:color w:val="auto"/>
          <w:szCs w:val="21"/>
        </w:rPr>
      </w:pPr>
      <w:r>
        <w:rPr>
          <w:rFonts w:hint="eastAsia" w:ascii="宋体" w:hAnsi="宋体" w:cs="宋体"/>
          <w:color w:val="auto"/>
          <w:szCs w:val="21"/>
        </w:rPr>
        <w:t>修正后的报价，投标人不确认的；</w:t>
      </w:r>
    </w:p>
    <w:p w14:paraId="3F866DDE">
      <w:pPr>
        <w:pStyle w:val="13"/>
        <w:keepNext w:val="0"/>
        <w:keepLines w:val="0"/>
        <w:pageBreakBefore w:val="0"/>
        <w:kinsoku/>
        <w:overflowPunct/>
        <w:bidi w:val="0"/>
        <w:spacing w:line="360" w:lineRule="auto"/>
        <w:ind w:left="0" w:right="34" w:firstLine="420" w:firstLineChars="200"/>
        <w:outlineLvl w:val="9"/>
        <w:rPr>
          <w:rFonts w:ascii="宋体" w:hAnsi="宋体" w:cs="宋体"/>
          <w:color w:val="auto"/>
          <w:szCs w:val="21"/>
        </w:rPr>
      </w:pPr>
      <w:r>
        <w:rPr>
          <w:rFonts w:hint="eastAsia" w:ascii="宋体" w:hAnsi="宋体" w:cs="宋体"/>
          <w:color w:val="auto"/>
          <w:szCs w:val="21"/>
        </w:rPr>
        <w:t>投标人属于本章第5条第（2）项情形的。</w:t>
      </w:r>
    </w:p>
    <w:p w14:paraId="70FED141">
      <w:pPr>
        <w:pStyle w:val="13"/>
        <w:keepNext w:val="0"/>
        <w:keepLines w:val="0"/>
        <w:pageBreakBefore w:val="0"/>
        <w:kinsoku/>
        <w:overflowPunct/>
        <w:bidi w:val="0"/>
        <w:spacing w:line="360" w:lineRule="auto"/>
        <w:ind w:left="0" w:right="34" w:firstLine="420" w:firstLineChars="200"/>
        <w:outlineLvl w:val="9"/>
        <w:rPr>
          <w:rFonts w:ascii="宋体" w:hAnsi="宋体" w:cs="宋体"/>
          <w:color w:val="auto"/>
          <w:szCs w:val="21"/>
        </w:rPr>
      </w:pPr>
      <w:r>
        <w:rPr>
          <w:rFonts w:hint="eastAsia" w:ascii="宋体" w:hAnsi="宋体" w:cs="宋体"/>
          <w:color w:val="auto"/>
          <w:szCs w:val="21"/>
        </w:rPr>
        <w:t>2.4在商务评审时，如发现下列情形之一的，将被视为投标无效：</w:t>
      </w:r>
    </w:p>
    <w:p w14:paraId="542BDA73">
      <w:pPr>
        <w:pStyle w:val="13"/>
        <w:keepNext w:val="0"/>
        <w:keepLines w:val="0"/>
        <w:pageBreakBefore w:val="0"/>
        <w:kinsoku/>
        <w:overflowPunct/>
        <w:bidi w:val="0"/>
        <w:spacing w:line="360" w:lineRule="auto"/>
        <w:ind w:left="0" w:right="34" w:firstLine="420" w:firstLineChars="200"/>
        <w:outlineLvl w:val="9"/>
        <w:rPr>
          <w:rFonts w:ascii="宋体" w:hAnsi="宋体" w:cs="宋体"/>
          <w:color w:val="auto"/>
          <w:szCs w:val="21"/>
        </w:rPr>
      </w:pPr>
      <w:r>
        <w:rPr>
          <w:rFonts w:hint="eastAsia" w:ascii="宋体" w:hAnsi="宋体" w:cs="宋体"/>
          <w:color w:val="auto"/>
          <w:szCs w:val="21"/>
        </w:rPr>
        <w:t>（1）投标文件未按招标文件要求签署、盖章的；</w:t>
      </w:r>
    </w:p>
    <w:p w14:paraId="1B20574F">
      <w:pPr>
        <w:pStyle w:val="13"/>
        <w:keepNext w:val="0"/>
        <w:keepLines w:val="0"/>
        <w:pageBreakBefore w:val="0"/>
        <w:kinsoku/>
        <w:overflowPunct/>
        <w:bidi w:val="0"/>
        <w:spacing w:line="360" w:lineRule="auto"/>
        <w:ind w:left="0" w:right="34" w:firstLine="420" w:firstLineChars="200"/>
        <w:outlineLvl w:val="9"/>
        <w:rPr>
          <w:rFonts w:ascii="宋体" w:hAnsi="宋体" w:cs="宋体"/>
          <w:color w:val="auto"/>
          <w:szCs w:val="21"/>
        </w:rPr>
      </w:pPr>
      <w:r>
        <w:rPr>
          <w:rFonts w:hint="eastAsia" w:ascii="宋体" w:hAnsi="宋体" w:cs="宋体"/>
          <w:color w:val="auto"/>
          <w:szCs w:val="21"/>
        </w:rPr>
        <w:t>（2）委托代理人未能出具有效身份证明或者出具的身份证明与授权委托书中的信息不符的；</w:t>
      </w:r>
    </w:p>
    <w:p w14:paraId="230502E7">
      <w:pPr>
        <w:pStyle w:val="13"/>
        <w:keepNext w:val="0"/>
        <w:keepLines w:val="0"/>
        <w:pageBreakBefore w:val="0"/>
        <w:kinsoku/>
        <w:overflowPunct/>
        <w:bidi w:val="0"/>
        <w:spacing w:line="360" w:lineRule="auto"/>
        <w:ind w:left="0" w:right="34" w:firstLine="420" w:firstLineChars="200"/>
        <w:outlineLvl w:val="9"/>
        <w:rPr>
          <w:rFonts w:ascii="宋体" w:hAnsi="宋体" w:cs="宋体"/>
          <w:color w:val="auto"/>
          <w:szCs w:val="21"/>
        </w:rPr>
      </w:pPr>
      <w:r>
        <w:rPr>
          <w:rFonts w:hint="eastAsia" w:ascii="宋体" w:hAnsi="宋体" w:cs="宋体"/>
          <w:color w:val="auto"/>
          <w:szCs w:val="21"/>
        </w:rPr>
        <w:t>（3）为无效投标保证金的或者未按照招标文件的规定提交投标保证金的；</w:t>
      </w:r>
    </w:p>
    <w:p w14:paraId="0976CFED">
      <w:pPr>
        <w:pStyle w:val="13"/>
        <w:keepNext w:val="0"/>
        <w:keepLines w:val="0"/>
        <w:pageBreakBefore w:val="0"/>
        <w:kinsoku/>
        <w:overflowPunct/>
        <w:bidi w:val="0"/>
        <w:spacing w:line="360" w:lineRule="auto"/>
        <w:ind w:left="0" w:right="34" w:firstLine="420" w:firstLineChars="200"/>
        <w:outlineLvl w:val="9"/>
        <w:rPr>
          <w:rFonts w:ascii="宋体" w:hAnsi="宋体" w:cs="宋体"/>
          <w:color w:val="auto"/>
          <w:szCs w:val="21"/>
        </w:rPr>
      </w:pPr>
      <w:r>
        <w:rPr>
          <w:rFonts w:hint="eastAsia" w:ascii="宋体" w:hAnsi="宋体" w:cs="宋体"/>
          <w:color w:val="auto"/>
          <w:szCs w:val="21"/>
        </w:rPr>
        <w:t>（4）投标文件未提供“投标人须知前附表”第13.1条规定中“必须提供”或者“委托时必须提供”的文件资料的；</w:t>
      </w:r>
    </w:p>
    <w:p w14:paraId="122BAC8F">
      <w:pPr>
        <w:pStyle w:val="13"/>
        <w:keepNext w:val="0"/>
        <w:keepLines w:val="0"/>
        <w:pageBreakBefore w:val="0"/>
        <w:kinsoku/>
        <w:overflowPunct/>
        <w:bidi w:val="0"/>
        <w:spacing w:line="360" w:lineRule="auto"/>
        <w:ind w:left="0" w:right="34" w:firstLine="420" w:firstLineChars="200"/>
        <w:outlineLvl w:val="9"/>
        <w:rPr>
          <w:rFonts w:ascii="宋体" w:hAnsi="宋体" w:cs="宋体"/>
          <w:color w:val="auto"/>
          <w:szCs w:val="21"/>
        </w:rPr>
      </w:pPr>
      <w:r>
        <w:rPr>
          <w:rFonts w:hint="eastAsia" w:ascii="宋体" w:hAnsi="宋体" w:cs="宋体"/>
          <w:color w:val="auto"/>
          <w:szCs w:val="21"/>
        </w:rPr>
        <w:t>（5）投标有效期、项目完成时间（交货时间、服务完成时间或者服务期等）、质保期、售后服务等招标文件中标“▲”的商务条款发生负偏离的；</w:t>
      </w:r>
    </w:p>
    <w:p w14:paraId="57E4056A">
      <w:pPr>
        <w:pStyle w:val="13"/>
        <w:keepNext w:val="0"/>
        <w:keepLines w:val="0"/>
        <w:pageBreakBefore w:val="0"/>
        <w:kinsoku/>
        <w:overflowPunct/>
        <w:bidi w:val="0"/>
        <w:spacing w:line="360" w:lineRule="auto"/>
        <w:ind w:left="0" w:right="34" w:firstLine="420" w:firstLineChars="200"/>
        <w:outlineLvl w:val="9"/>
        <w:rPr>
          <w:rFonts w:ascii="宋体" w:hAnsi="宋体" w:cs="宋体"/>
          <w:color w:val="auto"/>
          <w:szCs w:val="21"/>
        </w:rPr>
      </w:pPr>
      <w:r>
        <w:rPr>
          <w:rFonts w:hint="eastAsia" w:ascii="宋体" w:hAnsi="宋体" w:cs="宋体"/>
          <w:color w:val="auto"/>
          <w:szCs w:val="21"/>
        </w:rPr>
        <w:t>（6）商务条款评审允许负偏离的条款数超过“投标人须知前附表”规定项数的；</w:t>
      </w:r>
    </w:p>
    <w:p w14:paraId="75C27F96">
      <w:pPr>
        <w:pStyle w:val="13"/>
        <w:keepNext w:val="0"/>
        <w:keepLines w:val="0"/>
        <w:pageBreakBefore w:val="0"/>
        <w:kinsoku/>
        <w:overflowPunct/>
        <w:bidi w:val="0"/>
        <w:spacing w:line="360" w:lineRule="auto"/>
        <w:ind w:left="0" w:right="34" w:firstLine="420" w:firstLineChars="200"/>
        <w:outlineLvl w:val="9"/>
        <w:rPr>
          <w:rFonts w:ascii="宋体" w:hAnsi="宋体" w:cs="宋体"/>
          <w:color w:val="auto"/>
          <w:szCs w:val="21"/>
        </w:rPr>
      </w:pPr>
      <w:r>
        <w:rPr>
          <w:rFonts w:hint="eastAsia" w:ascii="宋体" w:hAnsi="宋体" w:cs="宋体"/>
          <w:color w:val="auto"/>
          <w:szCs w:val="21"/>
        </w:rPr>
        <w:t>（7）投标文件的实质性内容未使用中文表述、使用计量单位不符合招标文件要求的；</w:t>
      </w:r>
    </w:p>
    <w:p w14:paraId="155093AE">
      <w:pPr>
        <w:pStyle w:val="13"/>
        <w:keepNext w:val="0"/>
        <w:keepLines w:val="0"/>
        <w:pageBreakBefore w:val="0"/>
        <w:kinsoku/>
        <w:overflowPunct/>
        <w:bidi w:val="0"/>
        <w:spacing w:line="360" w:lineRule="auto"/>
        <w:ind w:left="0" w:right="34" w:firstLine="420" w:firstLineChars="200"/>
        <w:outlineLvl w:val="9"/>
        <w:rPr>
          <w:rFonts w:ascii="宋体" w:hAnsi="宋体" w:cs="宋体"/>
          <w:color w:val="auto"/>
          <w:szCs w:val="21"/>
        </w:rPr>
      </w:pPr>
      <w:r>
        <w:rPr>
          <w:rFonts w:hint="eastAsia" w:ascii="宋体" w:hAnsi="宋体" w:cs="宋体"/>
          <w:color w:val="auto"/>
          <w:szCs w:val="21"/>
        </w:rPr>
        <w:t>（8）投标文件中的文件资料因填写不齐全或者内容虚假或者出现其他情形而导致被评标委员会认定无效的；</w:t>
      </w:r>
    </w:p>
    <w:p w14:paraId="0106ED3C">
      <w:pPr>
        <w:pStyle w:val="13"/>
        <w:keepNext w:val="0"/>
        <w:keepLines w:val="0"/>
        <w:pageBreakBefore w:val="0"/>
        <w:kinsoku/>
        <w:overflowPunct/>
        <w:bidi w:val="0"/>
        <w:spacing w:line="360" w:lineRule="auto"/>
        <w:ind w:left="0" w:right="34" w:firstLine="420" w:firstLineChars="200"/>
        <w:outlineLvl w:val="9"/>
        <w:rPr>
          <w:rFonts w:ascii="宋体" w:hAnsi="宋体" w:cs="宋体"/>
          <w:color w:val="auto"/>
          <w:szCs w:val="21"/>
        </w:rPr>
      </w:pPr>
      <w:r>
        <w:rPr>
          <w:rFonts w:hint="eastAsia" w:ascii="宋体" w:hAnsi="宋体" w:cs="宋体"/>
          <w:color w:val="auto"/>
          <w:szCs w:val="21"/>
        </w:rPr>
        <w:t>（9）投标文件含有采购人不能接受的附加条件的；</w:t>
      </w:r>
    </w:p>
    <w:p w14:paraId="305AC9F0">
      <w:pPr>
        <w:pStyle w:val="13"/>
        <w:keepNext w:val="0"/>
        <w:keepLines w:val="0"/>
        <w:pageBreakBefore w:val="0"/>
        <w:kinsoku/>
        <w:overflowPunct/>
        <w:bidi w:val="0"/>
        <w:spacing w:line="360" w:lineRule="auto"/>
        <w:ind w:left="0" w:right="34" w:firstLine="420" w:firstLineChars="200"/>
        <w:outlineLvl w:val="9"/>
        <w:rPr>
          <w:rFonts w:ascii="宋体" w:hAnsi="宋体" w:cs="宋体"/>
          <w:color w:val="auto"/>
          <w:szCs w:val="21"/>
        </w:rPr>
      </w:pPr>
      <w:r>
        <w:rPr>
          <w:rFonts w:hint="eastAsia" w:ascii="宋体" w:hAnsi="宋体" w:cs="宋体"/>
          <w:color w:val="auto"/>
          <w:szCs w:val="21"/>
        </w:rPr>
        <w:t>（10）未响应招标文件实质性要求的；</w:t>
      </w:r>
    </w:p>
    <w:p w14:paraId="1B96B975">
      <w:pPr>
        <w:pStyle w:val="13"/>
        <w:keepNext w:val="0"/>
        <w:keepLines w:val="0"/>
        <w:pageBreakBefore w:val="0"/>
        <w:kinsoku/>
        <w:overflowPunct/>
        <w:bidi w:val="0"/>
        <w:spacing w:line="360" w:lineRule="auto"/>
        <w:ind w:left="0" w:right="34" w:firstLine="420" w:firstLineChars="200"/>
        <w:outlineLvl w:val="9"/>
        <w:rPr>
          <w:rFonts w:ascii="宋体" w:hAnsi="宋体" w:cs="宋体"/>
          <w:color w:val="auto"/>
          <w:szCs w:val="21"/>
        </w:rPr>
      </w:pPr>
      <w:r>
        <w:rPr>
          <w:rFonts w:hint="eastAsia" w:ascii="宋体" w:hAnsi="宋体" w:cs="宋体"/>
          <w:color w:val="auto"/>
          <w:szCs w:val="21"/>
        </w:rPr>
        <w:t>（11）属于投标人须知正文第9.2条情形的；</w:t>
      </w:r>
    </w:p>
    <w:p w14:paraId="0596D1E7">
      <w:pPr>
        <w:pStyle w:val="13"/>
        <w:keepNext w:val="0"/>
        <w:keepLines w:val="0"/>
        <w:pageBreakBefore w:val="0"/>
        <w:kinsoku/>
        <w:overflowPunct/>
        <w:bidi w:val="0"/>
        <w:spacing w:line="360" w:lineRule="auto"/>
        <w:ind w:left="0" w:right="34" w:firstLine="420" w:firstLineChars="200"/>
        <w:outlineLvl w:val="9"/>
        <w:rPr>
          <w:rFonts w:ascii="宋体" w:hAnsi="宋体" w:cs="宋体"/>
          <w:color w:val="auto"/>
          <w:szCs w:val="21"/>
        </w:rPr>
      </w:pPr>
      <w:r>
        <w:rPr>
          <w:rFonts w:hint="eastAsia" w:ascii="宋体" w:hAnsi="宋体" w:cs="宋体"/>
          <w:color w:val="auto"/>
          <w:szCs w:val="21"/>
        </w:rPr>
        <w:t>（12）法律、法规和招标文件规定的其他无效情形。</w:t>
      </w:r>
    </w:p>
    <w:p w14:paraId="3FB681E5">
      <w:pPr>
        <w:pStyle w:val="13"/>
        <w:keepNext w:val="0"/>
        <w:keepLines w:val="0"/>
        <w:pageBreakBefore w:val="0"/>
        <w:kinsoku/>
        <w:overflowPunct/>
        <w:bidi w:val="0"/>
        <w:spacing w:line="360" w:lineRule="auto"/>
        <w:ind w:left="0" w:right="34" w:firstLine="420" w:firstLineChars="200"/>
        <w:outlineLvl w:val="9"/>
        <w:rPr>
          <w:rFonts w:ascii="宋体" w:hAnsi="宋体" w:cs="宋体"/>
          <w:color w:val="auto"/>
          <w:szCs w:val="21"/>
        </w:rPr>
      </w:pPr>
      <w:r>
        <w:rPr>
          <w:rFonts w:hint="eastAsia" w:ascii="宋体" w:hAnsi="宋体" w:cs="宋体"/>
          <w:color w:val="auto"/>
          <w:szCs w:val="21"/>
        </w:rPr>
        <w:t>2.5在技术评审时，如发现下列情形之一的，将被视为投标无效：</w:t>
      </w:r>
    </w:p>
    <w:p w14:paraId="2938A044">
      <w:pPr>
        <w:pStyle w:val="13"/>
        <w:keepNext w:val="0"/>
        <w:keepLines w:val="0"/>
        <w:pageBreakBefore w:val="0"/>
        <w:kinsoku/>
        <w:overflowPunct/>
        <w:bidi w:val="0"/>
        <w:spacing w:line="360" w:lineRule="auto"/>
        <w:ind w:left="0" w:right="34" w:firstLine="420" w:firstLineChars="200"/>
        <w:outlineLvl w:val="9"/>
        <w:rPr>
          <w:rFonts w:ascii="宋体" w:hAnsi="宋体" w:cs="宋体"/>
          <w:color w:val="auto"/>
          <w:szCs w:val="21"/>
        </w:rPr>
      </w:pPr>
      <w:r>
        <w:rPr>
          <w:rFonts w:hint="eastAsia" w:ascii="宋体" w:hAnsi="宋体" w:cs="宋体"/>
          <w:color w:val="auto"/>
          <w:szCs w:val="21"/>
        </w:rPr>
        <w:t>（1）明显不满足招标文件要求的服务内容、技术要求、安全、质量标准，或者与招标文件中标“▲”的技术需求发生负偏离的；</w:t>
      </w:r>
    </w:p>
    <w:p w14:paraId="46BE766D">
      <w:pPr>
        <w:pStyle w:val="13"/>
        <w:keepNext w:val="0"/>
        <w:keepLines w:val="0"/>
        <w:pageBreakBefore w:val="0"/>
        <w:kinsoku/>
        <w:overflowPunct/>
        <w:bidi w:val="0"/>
        <w:spacing w:line="360" w:lineRule="auto"/>
        <w:ind w:left="0" w:right="34" w:firstLine="420" w:firstLineChars="200"/>
        <w:outlineLvl w:val="9"/>
        <w:rPr>
          <w:rFonts w:ascii="宋体" w:hAnsi="宋体" w:cs="宋体"/>
          <w:color w:val="auto"/>
          <w:szCs w:val="21"/>
        </w:rPr>
      </w:pPr>
      <w:r>
        <w:rPr>
          <w:rFonts w:hint="eastAsia" w:ascii="宋体" w:hAnsi="宋体" w:cs="宋体"/>
          <w:color w:val="auto"/>
          <w:szCs w:val="21"/>
        </w:rPr>
        <w:t>（2）技术需求评审允许负偏离的条款数超过“投标人须知前附表”规定项数的；</w:t>
      </w:r>
    </w:p>
    <w:p w14:paraId="327F0650">
      <w:pPr>
        <w:pStyle w:val="13"/>
        <w:keepNext w:val="0"/>
        <w:keepLines w:val="0"/>
        <w:pageBreakBefore w:val="0"/>
        <w:kinsoku/>
        <w:overflowPunct/>
        <w:bidi w:val="0"/>
        <w:spacing w:line="360" w:lineRule="auto"/>
        <w:ind w:left="0" w:right="34" w:firstLine="420" w:firstLineChars="200"/>
        <w:outlineLvl w:val="9"/>
        <w:rPr>
          <w:rFonts w:ascii="宋体" w:hAnsi="宋体" w:cs="宋体"/>
          <w:color w:val="auto"/>
          <w:szCs w:val="21"/>
        </w:rPr>
      </w:pPr>
      <w:r>
        <w:rPr>
          <w:rFonts w:hint="eastAsia" w:ascii="宋体" w:hAnsi="宋体" w:cs="宋体"/>
          <w:color w:val="auto"/>
          <w:szCs w:val="21"/>
        </w:rPr>
        <w:t>（3）投标文件未提供“投标人须知前附表”第13.1条规定中“必须提供”的文件资料的；</w:t>
      </w:r>
    </w:p>
    <w:p w14:paraId="19527FD1">
      <w:pPr>
        <w:pStyle w:val="13"/>
        <w:keepNext w:val="0"/>
        <w:keepLines w:val="0"/>
        <w:pageBreakBefore w:val="0"/>
        <w:kinsoku/>
        <w:overflowPunct/>
        <w:bidi w:val="0"/>
        <w:spacing w:line="360" w:lineRule="auto"/>
        <w:ind w:left="0" w:right="34" w:firstLine="420" w:firstLineChars="200"/>
        <w:outlineLvl w:val="9"/>
        <w:rPr>
          <w:rFonts w:ascii="宋体" w:hAnsi="宋体" w:cs="宋体"/>
          <w:color w:val="auto"/>
          <w:szCs w:val="21"/>
        </w:rPr>
      </w:pPr>
      <w:r>
        <w:rPr>
          <w:rFonts w:hint="eastAsia" w:ascii="宋体" w:hAnsi="宋体" w:cs="宋体"/>
          <w:color w:val="auto"/>
          <w:szCs w:val="21"/>
        </w:rPr>
        <w:t>（4）虚假投标，或者出现其他情形而导致被评标委员会认定无效的；</w:t>
      </w:r>
    </w:p>
    <w:p w14:paraId="600E987B">
      <w:pPr>
        <w:pStyle w:val="13"/>
        <w:keepNext w:val="0"/>
        <w:keepLines w:val="0"/>
        <w:pageBreakBefore w:val="0"/>
        <w:kinsoku/>
        <w:overflowPunct/>
        <w:bidi w:val="0"/>
        <w:spacing w:line="360" w:lineRule="auto"/>
        <w:ind w:left="0" w:right="34" w:firstLine="420" w:firstLineChars="200"/>
        <w:outlineLvl w:val="9"/>
        <w:rPr>
          <w:rFonts w:ascii="宋体" w:hAnsi="宋体" w:cs="宋体"/>
          <w:color w:val="auto"/>
          <w:szCs w:val="21"/>
        </w:rPr>
      </w:pPr>
      <w:r>
        <w:rPr>
          <w:rFonts w:hint="eastAsia" w:ascii="宋体" w:hAnsi="宋体" w:cs="宋体"/>
          <w:color w:val="auto"/>
          <w:szCs w:val="21"/>
        </w:rPr>
        <w:t>（5）投标技术方案不明确，招标文件未允许但存在一个或者一个以上备选（替代）投标方案的。</w:t>
      </w:r>
    </w:p>
    <w:p w14:paraId="62DD87BC">
      <w:pPr>
        <w:keepNext w:val="0"/>
        <w:keepLines w:val="0"/>
        <w:pageBreakBefore w:val="0"/>
        <w:kinsoku/>
        <w:overflowPunct/>
        <w:bidi w:val="0"/>
        <w:spacing w:before="0" w:after="0" w:line="360" w:lineRule="auto"/>
        <w:ind w:left="420" w:leftChars="200"/>
        <w:outlineLvl w:val="9"/>
        <w:rPr>
          <w:rFonts w:ascii="宋体" w:hAnsi="宋体" w:cs="宋体"/>
          <w:b/>
          <w:bCs w:val="0"/>
          <w:color w:val="auto"/>
          <w:sz w:val="21"/>
          <w:szCs w:val="21"/>
        </w:rPr>
      </w:pPr>
      <w:r>
        <w:rPr>
          <w:rFonts w:hint="eastAsia" w:ascii="宋体" w:hAnsi="宋体" w:cs="宋体"/>
          <w:b/>
          <w:bCs w:val="0"/>
          <w:color w:val="auto"/>
          <w:sz w:val="21"/>
          <w:szCs w:val="21"/>
        </w:rPr>
        <w:t>3.澄清补正</w:t>
      </w:r>
    </w:p>
    <w:p w14:paraId="4C940996">
      <w:pPr>
        <w:keepNext w:val="0"/>
        <w:keepLines w:val="0"/>
        <w:pageBreakBefore w:val="0"/>
        <w:kinsoku/>
        <w:overflowPunct/>
        <w:bidi w:val="0"/>
        <w:snapToGrid w:val="0"/>
        <w:spacing w:line="360" w:lineRule="auto"/>
        <w:ind w:firstLine="420" w:firstLineChars="200"/>
        <w:outlineLvl w:val="9"/>
        <w:rPr>
          <w:rFonts w:hint="eastAsia" w:ascii="宋体" w:hAnsi="宋体" w:cs="宋体"/>
          <w:color w:val="auto"/>
          <w:szCs w:val="21"/>
        </w:rPr>
      </w:pPr>
      <w:r>
        <w:rPr>
          <w:rFonts w:hint="eastAsia" w:ascii="宋体" w:hAnsi="宋体" w:cs="宋体"/>
          <w:color w:val="auto"/>
          <w:szCs w:val="21"/>
        </w:rPr>
        <w:t>对投标文件中含义不明确、同类问题表述不一致或者有明显文字和计算错误的内容，评标委员会应在广西政府采购云平台发布电子澄清函</w:t>
      </w:r>
      <w:r>
        <w:rPr>
          <w:rFonts w:hint="eastAsia" w:ascii="宋体" w:hAnsi="宋体" w:cs="宋体"/>
          <w:color w:val="auto"/>
          <w:szCs w:val="21"/>
          <w:lang w:eastAsia="zh-CN"/>
        </w:rPr>
        <w:t>，</w:t>
      </w:r>
      <w:r>
        <w:rPr>
          <w:rFonts w:hint="eastAsia" w:ascii="宋体" w:hAnsi="宋体" w:cs="宋体"/>
          <w:color w:val="auto"/>
          <w:szCs w:val="21"/>
        </w:rPr>
        <w:t>要求投标人在规定时间内作出必要的澄清、说明或者纠正。投标人</w:t>
      </w:r>
      <w:r>
        <w:rPr>
          <w:rFonts w:hint="eastAsia" w:ascii="宋体" w:hAnsi="宋体" w:cs="Courier New"/>
          <w:szCs w:val="21"/>
        </w:rPr>
        <w:t>广西政府采购云平台接收到电子澄清函后根据澄清函内容上传PDF格式回函</w:t>
      </w:r>
      <w:r>
        <w:rPr>
          <w:rFonts w:hint="eastAsia" w:ascii="宋体" w:hAnsi="宋体" w:cs="宋体"/>
          <w:color w:val="auto"/>
          <w:szCs w:val="21"/>
        </w:rPr>
        <w:t>，电子澄清答复函使用CA证书加盖投标人电子签章后在线上传至评标委员会。投标人的澄清、说明或者补正不得超出投标文件的范围或者改变投标文件的实质性内容。</w:t>
      </w:r>
    </w:p>
    <w:p w14:paraId="0C44A58E">
      <w:pPr>
        <w:keepNext w:val="0"/>
        <w:keepLines w:val="0"/>
        <w:pageBreakBefore w:val="0"/>
        <w:kinsoku/>
        <w:overflowPunct/>
        <w:bidi w:val="0"/>
        <w:snapToGrid w:val="0"/>
        <w:spacing w:line="360" w:lineRule="auto"/>
        <w:ind w:firstLine="420" w:firstLineChars="200"/>
        <w:outlineLvl w:val="9"/>
        <w:rPr>
          <w:rFonts w:hint="eastAsia" w:ascii="宋体" w:hAnsi="宋体" w:cs="宋体"/>
          <w:color w:val="auto"/>
          <w:szCs w:val="21"/>
        </w:rPr>
      </w:pPr>
      <w:r>
        <w:rPr>
          <w:rFonts w:hint="eastAsia" w:ascii="宋体" w:hAnsi="宋体" w:cs="宋体"/>
          <w:color w:val="auto"/>
          <w:szCs w:val="21"/>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2AE8700B">
      <w:pPr>
        <w:keepNext w:val="0"/>
        <w:keepLines w:val="0"/>
        <w:pageBreakBefore w:val="0"/>
        <w:kinsoku/>
        <w:overflowPunct/>
        <w:bidi w:val="0"/>
        <w:snapToGrid w:val="0"/>
        <w:spacing w:line="360" w:lineRule="auto"/>
        <w:ind w:firstLine="420" w:firstLineChars="200"/>
        <w:outlineLvl w:val="9"/>
        <w:rPr>
          <w:rFonts w:ascii="宋体" w:hAnsi="宋体" w:cs="宋体"/>
          <w:color w:val="auto"/>
          <w:szCs w:val="21"/>
        </w:rPr>
      </w:pPr>
      <w:r>
        <w:rPr>
          <w:rFonts w:hint="eastAsia" w:ascii="宋体" w:hAnsi="宋体" w:cs="宋体"/>
          <w:color w:val="auto"/>
          <w:szCs w:val="21"/>
        </w:rPr>
        <w:t>未按评标委员会的要求作出明确澄清、说明或者更正的投标人的投标文件将按照有利于采购人的原则由评标委员会进行判定。</w:t>
      </w:r>
    </w:p>
    <w:p w14:paraId="3EEBDF53">
      <w:pPr>
        <w:keepNext w:val="0"/>
        <w:keepLines w:val="0"/>
        <w:pageBreakBefore w:val="0"/>
        <w:kinsoku/>
        <w:overflowPunct/>
        <w:bidi w:val="0"/>
        <w:spacing w:before="0" w:after="0" w:line="360" w:lineRule="auto"/>
        <w:ind w:left="420" w:leftChars="200"/>
        <w:outlineLvl w:val="9"/>
        <w:rPr>
          <w:rFonts w:ascii="宋体" w:hAnsi="宋体" w:cs="宋体"/>
          <w:b/>
          <w:bCs/>
          <w:color w:val="auto"/>
          <w:sz w:val="21"/>
          <w:szCs w:val="21"/>
        </w:rPr>
      </w:pPr>
      <w:r>
        <w:rPr>
          <w:rFonts w:hint="eastAsia" w:ascii="宋体" w:hAnsi="宋体" w:cs="宋体"/>
          <w:b/>
          <w:bCs/>
          <w:color w:val="auto"/>
          <w:sz w:val="21"/>
          <w:szCs w:val="21"/>
        </w:rPr>
        <w:t>4.投标文件修正</w:t>
      </w:r>
    </w:p>
    <w:p w14:paraId="5949D9DD">
      <w:pPr>
        <w:keepNext w:val="0"/>
        <w:keepLines w:val="0"/>
        <w:pageBreakBefore w:val="0"/>
        <w:kinsoku/>
        <w:overflowPunct/>
        <w:bidi w:val="0"/>
        <w:spacing w:before="0" w:after="0" w:line="360" w:lineRule="auto"/>
        <w:ind w:left="420" w:leftChars="200"/>
        <w:outlineLvl w:val="9"/>
        <w:rPr>
          <w:rFonts w:ascii="宋体" w:hAnsi="宋体" w:cs="宋体"/>
          <w:b w:val="0"/>
          <w:color w:val="auto"/>
          <w:sz w:val="21"/>
          <w:szCs w:val="21"/>
        </w:rPr>
      </w:pPr>
      <w:r>
        <w:rPr>
          <w:rFonts w:hint="eastAsia" w:ascii="宋体" w:hAnsi="宋体" w:cs="宋体"/>
          <w:b w:val="0"/>
          <w:color w:val="auto"/>
          <w:sz w:val="21"/>
          <w:szCs w:val="21"/>
        </w:rPr>
        <w:t xml:space="preserve">4.1投标文件报价出现前后不一致的，按照下列规定修正： </w:t>
      </w:r>
    </w:p>
    <w:p w14:paraId="7327AB0D">
      <w:pPr>
        <w:pStyle w:val="14"/>
        <w:keepNext w:val="0"/>
        <w:keepLines w:val="0"/>
        <w:pageBreakBefore w:val="0"/>
        <w:kinsoku/>
        <w:overflowPunct/>
        <w:bidi w:val="0"/>
        <w:snapToGrid w:val="0"/>
        <w:spacing w:line="360" w:lineRule="auto"/>
        <w:ind w:firstLine="420" w:firstLineChars="200"/>
        <w:outlineLvl w:val="9"/>
        <w:rPr>
          <w:rFonts w:hAnsi="宋体" w:cs="宋体"/>
          <w:color w:val="auto"/>
        </w:rPr>
      </w:pPr>
      <w:r>
        <w:rPr>
          <w:rFonts w:hint="eastAsia" w:hAnsi="宋体" w:cs="宋体"/>
          <w:color w:val="auto"/>
        </w:rPr>
        <w:t>（1）投标文件中开标一览表（报价表）内容与投标文件中相应内容不一致的，以开标一览表（报价表）为准；</w:t>
      </w:r>
    </w:p>
    <w:p w14:paraId="00688BE8">
      <w:pPr>
        <w:pStyle w:val="14"/>
        <w:keepNext w:val="0"/>
        <w:keepLines w:val="0"/>
        <w:pageBreakBefore w:val="0"/>
        <w:kinsoku/>
        <w:overflowPunct/>
        <w:bidi w:val="0"/>
        <w:snapToGrid w:val="0"/>
        <w:spacing w:line="360" w:lineRule="auto"/>
        <w:ind w:firstLine="420" w:firstLineChars="200"/>
        <w:outlineLvl w:val="9"/>
        <w:rPr>
          <w:rFonts w:hAnsi="宋体" w:cs="宋体"/>
          <w:color w:val="auto"/>
        </w:rPr>
      </w:pPr>
      <w:r>
        <w:rPr>
          <w:rFonts w:hint="eastAsia" w:hAnsi="宋体" w:cs="宋体"/>
          <w:color w:val="auto"/>
        </w:rPr>
        <w:t>（2）大写金额和小写金额不一致的，以大写金额为准；</w:t>
      </w:r>
    </w:p>
    <w:p w14:paraId="4D51655A">
      <w:pPr>
        <w:pStyle w:val="14"/>
        <w:keepNext w:val="0"/>
        <w:keepLines w:val="0"/>
        <w:pageBreakBefore w:val="0"/>
        <w:kinsoku/>
        <w:overflowPunct/>
        <w:bidi w:val="0"/>
        <w:snapToGrid w:val="0"/>
        <w:spacing w:line="360" w:lineRule="auto"/>
        <w:ind w:firstLine="420" w:firstLineChars="200"/>
        <w:outlineLvl w:val="9"/>
        <w:rPr>
          <w:rFonts w:hAnsi="宋体" w:cs="宋体"/>
          <w:color w:val="auto"/>
        </w:rPr>
      </w:pPr>
      <w:r>
        <w:rPr>
          <w:rFonts w:hint="eastAsia" w:hAnsi="宋体" w:cs="宋体"/>
          <w:color w:val="auto"/>
        </w:rPr>
        <w:t>（3）单价金额小数点或者百分比有明显错位的，以开标一览表的总价为准，并修改单价；</w:t>
      </w:r>
    </w:p>
    <w:p w14:paraId="3EB61D76">
      <w:pPr>
        <w:pStyle w:val="14"/>
        <w:keepNext w:val="0"/>
        <w:keepLines w:val="0"/>
        <w:pageBreakBefore w:val="0"/>
        <w:kinsoku/>
        <w:overflowPunct/>
        <w:bidi w:val="0"/>
        <w:snapToGrid w:val="0"/>
        <w:spacing w:line="360" w:lineRule="auto"/>
        <w:ind w:firstLine="420" w:firstLineChars="200"/>
        <w:outlineLvl w:val="9"/>
        <w:rPr>
          <w:rFonts w:hAnsi="宋体" w:cs="宋体"/>
          <w:color w:val="auto"/>
        </w:rPr>
      </w:pPr>
      <w:r>
        <w:rPr>
          <w:rFonts w:hint="eastAsia" w:hAnsi="宋体" w:cs="宋体"/>
          <w:color w:val="auto"/>
        </w:rPr>
        <w:t>（4）总价金额与按单价汇总金额不一致的，以单价金额计算结果为准。</w:t>
      </w:r>
    </w:p>
    <w:p w14:paraId="26BB4A4C">
      <w:pPr>
        <w:pStyle w:val="13"/>
        <w:keepNext w:val="0"/>
        <w:keepLines w:val="0"/>
        <w:pageBreakBefore w:val="0"/>
        <w:kinsoku/>
        <w:overflowPunct/>
        <w:bidi w:val="0"/>
        <w:spacing w:line="360" w:lineRule="auto"/>
        <w:ind w:left="0" w:right="34" w:firstLine="420" w:firstLineChars="200"/>
        <w:outlineLvl w:val="9"/>
        <w:rPr>
          <w:rFonts w:hAnsi="宋体" w:cs="宋体"/>
          <w:color w:val="auto"/>
        </w:rPr>
      </w:pPr>
      <w:r>
        <w:rPr>
          <w:rFonts w:hint="eastAsia" w:hAnsi="宋体" w:cs="宋体"/>
          <w:color w:val="auto"/>
        </w:rPr>
        <w:t>同时出现两种以上不一致的，按照以上（1）－（4）规定的顺序修正。修正后的报价经投标人确认后产生约束力，投标人不确认的，</w:t>
      </w:r>
      <w:r>
        <w:rPr>
          <w:rFonts w:hint="eastAsia" w:hAnsi="宋体" w:cs="宋体"/>
          <w:b/>
          <w:bCs/>
          <w:color w:val="auto"/>
          <w:kern w:val="2"/>
        </w:rPr>
        <w:t>其投标无效</w:t>
      </w:r>
      <w:r>
        <w:rPr>
          <w:rFonts w:hint="eastAsia" w:hAnsi="宋体" w:cs="宋体"/>
          <w:b/>
          <w:bCs/>
          <w:color w:val="auto"/>
        </w:rPr>
        <w:t>。</w:t>
      </w:r>
    </w:p>
    <w:p w14:paraId="5EA7DC8C">
      <w:pPr>
        <w:pStyle w:val="13"/>
        <w:keepNext w:val="0"/>
        <w:keepLines w:val="0"/>
        <w:pageBreakBefore w:val="0"/>
        <w:kinsoku/>
        <w:overflowPunct/>
        <w:bidi w:val="0"/>
        <w:spacing w:line="360" w:lineRule="auto"/>
        <w:ind w:left="0" w:right="34" w:firstLine="420" w:firstLineChars="200"/>
        <w:outlineLvl w:val="9"/>
        <w:rPr>
          <w:rFonts w:ascii="宋体" w:hAnsi="宋体" w:cs="宋体"/>
          <w:b/>
          <w:bCs/>
          <w:color w:val="auto"/>
          <w:szCs w:val="21"/>
        </w:rPr>
      </w:pPr>
      <w:r>
        <w:rPr>
          <w:rFonts w:hint="eastAsia" w:ascii="宋体" w:hAnsi="宋体" w:cs="宋体"/>
          <w:color w:val="auto"/>
          <w:szCs w:val="21"/>
        </w:rPr>
        <w:t>4.2经投标人确认修正后的报价若超过采购预算金额或者最高限价，</w:t>
      </w:r>
      <w:r>
        <w:rPr>
          <w:rFonts w:hint="eastAsia" w:ascii="宋体" w:hAnsi="宋体" w:cs="宋体"/>
          <w:b/>
          <w:bCs/>
          <w:color w:val="auto"/>
          <w:szCs w:val="21"/>
        </w:rPr>
        <w:t>投标人的投标文件作无效投标处理。</w:t>
      </w:r>
    </w:p>
    <w:p w14:paraId="68B0A8B8">
      <w:pPr>
        <w:keepNext w:val="0"/>
        <w:keepLines w:val="0"/>
        <w:pageBreakBefore w:val="0"/>
        <w:kinsoku/>
        <w:overflowPunct/>
        <w:bidi w:val="0"/>
        <w:snapToGrid w:val="0"/>
        <w:spacing w:line="360" w:lineRule="auto"/>
        <w:ind w:firstLine="420" w:firstLineChars="200"/>
        <w:outlineLvl w:val="9"/>
        <w:rPr>
          <w:rFonts w:ascii="宋体" w:hAnsi="宋体" w:cs="宋体"/>
          <w:color w:val="auto"/>
          <w:szCs w:val="21"/>
        </w:rPr>
      </w:pPr>
      <w:r>
        <w:rPr>
          <w:rFonts w:hint="eastAsia" w:ascii="宋体" w:hAnsi="宋体" w:cs="宋体"/>
          <w:color w:val="auto"/>
          <w:szCs w:val="21"/>
        </w:rPr>
        <w:t>4.3经投标人确认修正后的报价作为签订合同的依据，并以此报价计算价格分。</w:t>
      </w:r>
    </w:p>
    <w:p w14:paraId="12A8CDB4">
      <w:pPr>
        <w:keepNext w:val="0"/>
        <w:keepLines w:val="0"/>
        <w:pageBreakBefore w:val="0"/>
        <w:kinsoku/>
        <w:overflowPunct/>
        <w:bidi w:val="0"/>
        <w:snapToGrid w:val="0"/>
        <w:spacing w:line="360" w:lineRule="auto"/>
        <w:ind w:firstLine="422" w:firstLineChars="200"/>
        <w:outlineLvl w:val="9"/>
        <w:rPr>
          <w:rFonts w:ascii="宋体" w:hAnsi="宋体" w:cs="宋体"/>
          <w:b/>
          <w:bCs/>
          <w:color w:val="auto"/>
          <w:szCs w:val="21"/>
        </w:rPr>
      </w:pPr>
      <w:r>
        <w:rPr>
          <w:rFonts w:hint="eastAsia" w:ascii="宋体" w:hAnsi="宋体" w:cs="宋体"/>
          <w:b/>
          <w:bCs/>
          <w:color w:val="auto"/>
          <w:szCs w:val="21"/>
        </w:rPr>
        <w:t>5.比较与评价</w:t>
      </w:r>
    </w:p>
    <w:p w14:paraId="3D703F2F">
      <w:pPr>
        <w:pStyle w:val="14"/>
        <w:keepNext w:val="0"/>
        <w:keepLines w:val="0"/>
        <w:pageBreakBefore w:val="0"/>
        <w:kinsoku/>
        <w:overflowPunct/>
        <w:bidi w:val="0"/>
        <w:snapToGrid w:val="0"/>
        <w:spacing w:line="360" w:lineRule="auto"/>
        <w:ind w:firstLine="420" w:firstLineChars="200"/>
        <w:outlineLvl w:val="9"/>
        <w:rPr>
          <w:rFonts w:hint="default" w:hAnsi="宋体" w:eastAsia="宋体" w:cs="宋体"/>
          <w:color w:val="auto"/>
          <w:lang w:val="en-US" w:eastAsia="zh-CN"/>
        </w:rPr>
      </w:pPr>
      <w:r>
        <w:rPr>
          <w:rFonts w:hint="eastAsia" w:hAnsi="宋体" w:cs="宋体"/>
          <w:color w:val="auto"/>
          <w:lang w:val="en-US" w:eastAsia="zh-CN"/>
        </w:rPr>
        <w:t>5.1采用综合评分法的</w:t>
      </w:r>
    </w:p>
    <w:p w14:paraId="0E063134">
      <w:pPr>
        <w:pStyle w:val="14"/>
        <w:keepNext w:val="0"/>
        <w:keepLines w:val="0"/>
        <w:pageBreakBefore w:val="0"/>
        <w:kinsoku/>
        <w:overflowPunct/>
        <w:bidi w:val="0"/>
        <w:snapToGrid w:val="0"/>
        <w:spacing w:line="360" w:lineRule="auto"/>
        <w:ind w:firstLine="420" w:firstLineChars="200"/>
        <w:outlineLvl w:val="9"/>
        <w:rPr>
          <w:rFonts w:hAnsi="宋体" w:cs="宋体"/>
          <w:color w:val="auto"/>
        </w:rPr>
      </w:pPr>
      <w:r>
        <w:rPr>
          <w:rFonts w:hint="eastAsia" w:hAnsi="宋体" w:cs="宋体"/>
          <w:color w:val="auto"/>
        </w:rPr>
        <w:t>（1）评标委员会按照招标文件中规定的评标方法和评标标准，对符合性审查合格的投标文件进行商务和技术评估，综合比较与评价。</w:t>
      </w:r>
    </w:p>
    <w:p w14:paraId="27688F5D">
      <w:pPr>
        <w:pStyle w:val="14"/>
        <w:keepNext w:val="0"/>
        <w:keepLines w:val="0"/>
        <w:pageBreakBefore w:val="0"/>
        <w:kinsoku/>
        <w:overflowPunct/>
        <w:bidi w:val="0"/>
        <w:snapToGrid w:val="0"/>
        <w:spacing w:line="360" w:lineRule="auto"/>
        <w:ind w:firstLine="420" w:firstLineChars="200"/>
        <w:outlineLvl w:val="9"/>
        <w:rPr>
          <w:rFonts w:hAnsi="宋体" w:cs="宋体"/>
          <w:color w:val="auto"/>
        </w:rPr>
      </w:pPr>
      <w:r>
        <w:rPr>
          <w:rFonts w:hint="eastAsia" w:hAnsi="宋体" w:cs="宋体"/>
          <w:color w:val="auto"/>
        </w:rPr>
        <w:t>（2）评标委员会独立对每个投标人的投标文件进行评价，并汇总每个投标人的得分。</w:t>
      </w:r>
    </w:p>
    <w:p w14:paraId="2DFC2EF4">
      <w:pPr>
        <w:pStyle w:val="14"/>
        <w:keepNext w:val="0"/>
        <w:keepLines w:val="0"/>
        <w:pageBreakBefore w:val="0"/>
        <w:kinsoku/>
        <w:overflowPunct/>
        <w:bidi w:val="0"/>
        <w:snapToGrid w:val="0"/>
        <w:spacing w:line="360" w:lineRule="auto"/>
        <w:ind w:firstLine="420" w:firstLineChars="200"/>
        <w:outlineLvl w:val="9"/>
        <w:rPr>
          <w:rFonts w:hAnsi="宋体" w:cs="宋体"/>
          <w:color w:val="auto"/>
        </w:rPr>
      </w:pPr>
      <w:r>
        <w:rPr>
          <w:rFonts w:hint="eastAsia" w:hAnsi="宋体" w:cs="宋体"/>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w:t>
      </w:r>
      <w:r>
        <w:rPr>
          <w:rFonts w:hint="eastAsia" w:hAnsi="宋体" w:cs="宋体"/>
          <w:b/>
          <w:color w:val="auto"/>
        </w:rPr>
        <w:t>评标委员会将其作为无效投标处理</w:t>
      </w:r>
      <w:r>
        <w:rPr>
          <w:rFonts w:hint="eastAsia" w:hAnsi="宋体" w:cs="宋体"/>
          <w:color w:val="auto"/>
        </w:rPr>
        <w:t>。</w:t>
      </w:r>
    </w:p>
    <w:p w14:paraId="0F901B22">
      <w:pPr>
        <w:pStyle w:val="14"/>
        <w:keepNext w:val="0"/>
        <w:keepLines w:val="0"/>
        <w:pageBreakBefore w:val="0"/>
        <w:kinsoku/>
        <w:overflowPunct/>
        <w:bidi w:val="0"/>
        <w:snapToGrid w:val="0"/>
        <w:spacing w:line="360" w:lineRule="auto"/>
        <w:ind w:firstLine="420" w:firstLineChars="200"/>
        <w:outlineLvl w:val="9"/>
        <w:rPr>
          <w:rFonts w:hAnsi="宋体" w:cs="宋体"/>
          <w:color w:val="auto"/>
        </w:rPr>
      </w:pPr>
      <w:r>
        <w:rPr>
          <w:rFonts w:hint="eastAsia" w:hAnsi="宋体" w:cs="宋体"/>
          <w:color w:val="auto"/>
        </w:rPr>
        <w:t>（3）评标委员会按照招标文件中规定的评标方法和标准计算各投标人的报价得分。在计算过程中，不得去掉最高报价或者最低报价。</w:t>
      </w:r>
    </w:p>
    <w:p w14:paraId="3928493B">
      <w:pPr>
        <w:pStyle w:val="14"/>
        <w:keepNext w:val="0"/>
        <w:keepLines w:val="0"/>
        <w:pageBreakBefore w:val="0"/>
        <w:kinsoku/>
        <w:overflowPunct/>
        <w:bidi w:val="0"/>
        <w:snapToGrid w:val="0"/>
        <w:spacing w:line="360" w:lineRule="auto"/>
        <w:ind w:firstLine="420" w:firstLineChars="200"/>
        <w:outlineLvl w:val="9"/>
        <w:rPr>
          <w:rFonts w:hAnsi="宋体" w:cs="宋体"/>
          <w:color w:val="auto"/>
        </w:rPr>
      </w:pPr>
      <w:r>
        <w:rPr>
          <w:rFonts w:hint="eastAsia" w:hAnsi="宋体" w:cs="宋体"/>
          <w:color w:val="auto"/>
        </w:rPr>
        <w:t>（4）各投标人的得分为所有评委的有效评分的算术平均数。</w:t>
      </w:r>
    </w:p>
    <w:p w14:paraId="30F38B4C">
      <w:pPr>
        <w:pStyle w:val="14"/>
        <w:keepNext w:val="0"/>
        <w:keepLines w:val="0"/>
        <w:pageBreakBefore w:val="0"/>
        <w:kinsoku/>
        <w:overflowPunct/>
        <w:bidi w:val="0"/>
        <w:snapToGrid w:val="0"/>
        <w:spacing w:line="360" w:lineRule="auto"/>
        <w:ind w:firstLine="420" w:firstLineChars="200"/>
        <w:outlineLvl w:val="9"/>
        <w:rPr>
          <w:rFonts w:hAnsi="宋体" w:cs="宋体"/>
          <w:color w:val="auto"/>
        </w:rPr>
      </w:pPr>
      <w:r>
        <w:rPr>
          <w:rFonts w:hint="eastAsia" w:hAnsi="宋体" w:cs="宋体"/>
          <w:color w:val="auto"/>
        </w:rPr>
        <w:t>（5）评标委员会按照招标文件中的规定推荐中标候选人。</w:t>
      </w:r>
    </w:p>
    <w:p w14:paraId="4E743467">
      <w:pPr>
        <w:pStyle w:val="13"/>
        <w:keepNext w:val="0"/>
        <w:keepLines w:val="0"/>
        <w:pageBreakBefore w:val="0"/>
        <w:kinsoku/>
        <w:overflowPunct/>
        <w:bidi w:val="0"/>
        <w:spacing w:line="360" w:lineRule="auto"/>
        <w:ind w:left="0" w:right="34" w:firstLine="420" w:firstLineChars="200"/>
        <w:outlineLvl w:val="9"/>
        <w:rPr>
          <w:rFonts w:hint="eastAsia" w:ascii="宋体" w:hAnsi="宋体" w:eastAsia="宋体" w:cs="宋体"/>
          <w:color w:val="auto"/>
        </w:rPr>
      </w:pPr>
      <w:r>
        <w:rPr>
          <w:rFonts w:hint="eastAsia" w:hAnsi="宋体" w:cs="宋体"/>
          <w:color w:val="auto"/>
        </w:rPr>
        <w:t>（6）起草并签署评标报告。评标委员会根据评标委员会成员签字的原始评标记录和评标结果编写评标报告。评标委员会成员</w:t>
      </w:r>
      <w:r>
        <w:rPr>
          <w:rFonts w:hint="eastAsia" w:ascii="宋体" w:hAnsi="宋体" w:eastAsia="宋体" w:cs="宋体"/>
          <w:color w:val="auto"/>
        </w:rPr>
        <w:t>均应当在评标报告上签字，对自己的评标意见承担法律责任。对评标过程中需要共同认定的事项存在争议的，应当按照少数服从多数的原则</w:t>
      </w:r>
      <w:r>
        <w:rPr>
          <w:rFonts w:hint="eastAsia" w:ascii="宋体" w:hAnsi="宋体" w:eastAsia="宋体" w:cs="宋体"/>
          <w:color w:val="auto"/>
          <w:lang w:eastAsia="zh-CN"/>
        </w:rPr>
        <w:t>作出</w:t>
      </w:r>
      <w:r>
        <w:rPr>
          <w:rFonts w:hint="eastAsia" w:ascii="宋体" w:hAnsi="宋体" w:eastAsia="宋体" w:cs="宋体"/>
          <w:color w:val="auto"/>
        </w:rPr>
        <w:t>结论。持不同意见的评标委员会应当在评标报告上签署不同意见及理由，否则视为同意评标报告。</w:t>
      </w:r>
    </w:p>
    <w:p w14:paraId="706BF409">
      <w:pPr>
        <w:pStyle w:val="13"/>
        <w:keepNext w:val="0"/>
        <w:keepLines w:val="0"/>
        <w:pageBreakBefore w:val="0"/>
        <w:kinsoku/>
        <w:overflowPunct/>
        <w:bidi w:val="0"/>
        <w:spacing w:line="360" w:lineRule="auto"/>
        <w:ind w:left="0" w:right="34" w:firstLine="420" w:firstLineChars="200"/>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t>5.2采用最低评标价法的</w:t>
      </w:r>
    </w:p>
    <w:p w14:paraId="7661E6C4">
      <w:pPr>
        <w:snapToGrid w:val="0"/>
        <w:spacing w:line="360" w:lineRule="auto"/>
        <w:ind w:firstLine="424" w:firstLineChars="202"/>
        <w:jc w:val="left"/>
        <w:rPr>
          <w:rFonts w:hint="eastAsia" w:ascii="宋体" w:hAnsi="宋体"/>
          <w:szCs w:val="21"/>
        </w:rPr>
      </w:pPr>
      <w:r>
        <w:rPr>
          <w:rFonts w:hint="eastAsia" w:ascii="宋体" w:hAnsi="宋体" w:eastAsia="宋体" w:cs="宋体"/>
          <w:color w:val="auto"/>
          <w:lang w:val="en-US" w:eastAsia="zh-CN"/>
        </w:rPr>
        <w:t>（1）</w:t>
      </w:r>
      <w:r>
        <w:rPr>
          <w:rFonts w:hint="eastAsia" w:ascii="宋体" w:hAnsi="宋体"/>
          <w:szCs w:val="21"/>
        </w:rPr>
        <w:t>评标委员会按照招标文件中规定的评标方法及评标标准，对符合性审查合格的投标文件报价进行比较。</w:t>
      </w:r>
    </w:p>
    <w:p w14:paraId="5B188EA6">
      <w:pPr>
        <w:snapToGrid w:val="0"/>
        <w:spacing w:line="360" w:lineRule="auto"/>
        <w:ind w:firstLine="424" w:firstLineChars="202"/>
        <w:jc w:val="left"/>
        <w:rPr>
          <w:rFonts w:hint="eastAsia" w:ascii="宋体" w:hAnsi="宋体"/>
          <w:b/>
          <w:szCs w:val="21"/>
        </w:rPr>
      </w:pPr>
      <w:r>
        <w:rPr>
          <w:rFonts w:hint="eastAsia" w:ascii="宋体" w:hAnsi="宋体"/>
          <w:szCs w:val="21"/>
        </w:rPr>
        <w:t>（2）评标委员会认为投标人的报价明显低于其他通过符合性审查投标人的报价，有可能影响产品质量或者不能诚信履约的，应当要求其在评标现场合理的时间内提供书面说明，必要时提交相关证明材料；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b/>
          <w:szCs w:val="21"/>
        </w:rPr>
        <w:t>投标人不能证明其报价合理性的，评标委员会将其作为无效投标处理。</w:t>
      </w:r>
    </w:p>
    <w:p w14:paraId="7254068D">
      <w:pPr>
        <w:snapToGrid w:val="0"/>
        <w:spacing w:line="360" w:lineRule="auto"/>
        <w:ind w:firstLine="424" w:firstLineChars="202"/>
        <w:jc w:val="left"/>
        <w:rPr>
          <w:rFonts w:hint="eastAsia" w:ascii="宋体" w:hAnsi="宋体"/>
          <w:szCs w:val="21"/>
        </w:rPr>
      </w:pPr>
      <w:r>
        <w:rPr>
          <w:rFonts w:hint="eastAsia" w:ascii="宋体" w:hAnsi="宋体"/>
          <w:szCs w:val="21"/>
        </w:rPr>
        <w:t>（3）评标委员会按照招标文件中的规定推荐中标候选人。</w:t>
      </w:r>
    </w:p>
    <w:p w14:paraId="311D5624">
      <w:pPr>
        <w:pStyle w:val="13"/>
        <w:keepNext w:val="0"/>
        <w:keepLines w:val="0"/>
        <w:pageBreakBefore w:val="0"/>
        <w:kinsoku/>
        <w:overflowPunct/>
        <w:bidi w:val="0"/>
        <w:spacing w:line="360" w:lineRule="auto"/>
        <w:ind w:left="0" w:right="34" w:firstLine="420" w:firstLineChars="200"/>
        <w:outlineLvl w:val="9"/>
        <w:rPr>
          <w:rFonts w:hint="eastAsia" w:hAnsi="宋体" w:eastAsia="宋体" w:cs="宋体"/>
          <w:color w:val="auto"/>
          <w:lang w:val="en-US" w:eastAsia="zh-CN"/>
        </w:rPr>
      </w:pPr>
      <w:r>
        <w:rPr>
          <w:rFonts w:hint="eastAsia" w:ascii="宋体" w:hAnsi="宋体"/>
          <w:szCs w:val="21"/>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r>
        <w:rPr>
          <w:rFonts w:hint="eastAsia" w:ascii="宋体" w:hAnsi="宋体"/>
          <w:szCs w:val="21"/>
          <w:lang w:eastAsia="zh-CN"/>
        </w:rPr>
        <w:t>。</w:t>
      </w:r>
    </w:p>
    <w:p w14:paraId="49F93251">
      <w:pPr>
        <w:pStyle w:val="13"/>
        <w:keepNext w:val="0"/>
        <w:keepLines w:val="0"/>
        <w:pageBreakBefore w:val="0"/>
        <w:kinsoku/>
        <w:overflowPunct/>
        <w:bidi w:val="0"/>
        <w:spacing w:line="360" w:lineRule="auto"/>
        <w:ind w:left="0"/>
        <w:jc w:val="center"/>
        <w:outlineLvl w:val="9"/>
        <w:rPr>
          <w:rFonts w:hint="eastAsia" w:ascii="宋体" w:hAnsi="宋体" w:cs="宋体"/>
          <w:b/>
          <w:bCs/>
          <w:color w:val="auto"/>
          <w:szCs w:val="21"/>
        </w:rPr>
      </w:pPr>
    </w:p>
    <w:p w14:paraId="1EE3EF57">
      <w:pPr>
        <w:pStyle w:val="13"/>
        <w:keepNext w:val="0"/>
        <w:keepLines w:val="0"/>
        <w:pageBreakBefore w:val="0"/>
        <w:kinsoku/>
        <w:overflowPunct/>
        <w:bidi w:val="0"/>
        <w:spacing w:line="360" w:lineRule="auto"/>
        <w:ind w:left="0"/>
        <w:jc w:val="center"/>
        <w:outlineLvl w:val="9"/>
        <w:rPr>
          <w:rFonts w:hint="eastAsia" w:ascii="宋体" w:hAnsi="宋体" w:cs="宋体"/>
          <w:b/>
          <w:bCs/>
          <w:color w:val="auto"/>
          <w:szCs w:val="21"/>
        </w:rPr>
      </w:pPr>
      <w:r>
        <w:rPr>
          <w:rFonts w:hint="eastAsia" w:ascii="宋体" w:hAnsi="宋体" w:cs="宋体"/>
          <w:b/>
          <w:bCs/>
          <w:color w:val="auto"/>
          <w:szCs w:val="21"/>
        </w:rPr>
        <w:t>三、评标标准（综合评分法，计分方法按四舍五入取至百分位）</w:t>
      </w:r>
    </w:p>
    <w:tbl>
      <w:tblPr>
        <w:tblStyle w:val="25"/>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8"/>
        <w:gridCol w:w="1063"/>
        <w:gridCol w:w="1779"/>
        <w:gridCol w:w="6062"/>
      </w:tblGrid>
      <w:tr w14:paraId="178E0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054CAF4">
            <w:pPr>
              <w:keepNext w:val="0"/>
              <w:keepLines w:val="0"/>
              <w:pageBreakBefore w:val="0"/>
              <w:kinsoku/>
              <w:overflowPunct/>
              <w:bidi w:val="0"/>
              <w:spacing w:line="360" w:lineRule="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序号</w:t>
            </w:r>
          </w:p>
        </w:tc>
        <w:tc>
          <w:tcPr>
            <w:tcW w:w="1476"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1C0D1E05">
            <w:pPr>
              <w:keepNext w:val="0"/>
              <w:keepLines w:val="0"/>
              <w:pageBreakBefore w:val="0"/>
              <w:kinsoku/>
              <w:overflowPunct/>
              <w:bidi w:val="0"/>
              <w:spacing w:line="360" w:lineRule="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评分因素</w:t>
            </w:r>
          </w:p>
        </w:tc>
        <w:tc>
          <w:tcPr>
            <w:tcW w:w="31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4B884F9">
            <w:pPr>
              <w:keepNext w:val="0"/>
              <w:keepLines w:val="0"/>
              <w:pageBreakBefore w:val="0"/>
              <w:kinsoku/>
              <w:overflowPunct/>
              <w:bidi w:val="0"/>
              <w:spacing w:line="360" w:lineRule="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评分因素</w:t>
            </w:r>
          </w:p>
        </w:tc>
      </w:tr>
      <w:tr w14:paraId="5267A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4"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3CC1C">
            <w:pPr>
              <w:keepNext w:val="0"/>
              <w:keepLines w:val="0"/>
              <w:pageBreakBefore w:val="0"/>
              <w:kinsoku/>
              <w:overflowPunct/>
              <w:bidi w:val="0"/>
              <w:spacing w:line="360" w:lineRule="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C51C0">
            <w:pPr>
              <w:keepNext w:val="0"/>
              <w:keepLines w:val="0"/>
              <w:pageBreakBefore w:val="0"/>
              <w:kinsoku/>
              <w:overflowPunct/>
              <w:bidi w:val="0"/>
              <w:spacing w:line="360" w:lineRule="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价格分（10分）</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4E2D1">
            <w:pPr>
              <w:keepNext w:val="0"/>
              <w:keepLines w:val="0"/>
              <w:pageBreakBefore w:val="0"/>
              <w:kinsoku/>
              <w:overflowPunct/>
              <w:bidi w:val="0"/>
              <w:spacing w:line="360" w:lineRule="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价格分（10分）</w:t>
            </w:r>
          </w:p>
        </w:tc>
        <w:tc>
          <w:tcPr>
            <w:tcW w:w="3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416F7">
            <w:pPr>
              <w:keepNext w:val="0"/>
              <w:keepLines w:val="0"/>
              <w:pageBreakBefore w:val="0"/>
              <w:kinsoku/>
              <w:overflowPunct/>
              <w:bidi w:val="0"/>
              <w:spacing w:line="360" w:lineRule="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符合《政府采购促进中小企业发展管理办法》（财库〔2020〕46号）的规定条件且按该办法中规定的格式提供了《中小企业声明函》的小型和微型企业，对投标价给予10%的扣除，扣除后的价格为评标价，即评标价=投标价×（1-10%）；</w:t>
            </w:r>
          </w:p>
          <w:p w14:paraId="369B15BD">
            <w:pPr>
              <w:keepNext w:val="0"/>
              <w:keepLines w:val="0"/>
              <w:pageBreakBefore w:val="0"/>
              <w:kinsoku/>
              <w:overflowPunct/>
              <w:bidi w:val="0"/>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14166533">
            <w:pPr>
              <w:keepNext w:val="0"/>
              <w:keepLines w:val="0"/>
              <w:pageBreakBefore w:val="0"/>
              <w:kinsoku/>
              <w:overflowPunct/>
              <w:bidi w:val="0"/>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14:paraId="0728B716">
            <w:pPr>
              <w:keepNext w:val="0"/>
              <w:keepLines w:val="0"/>
              <w:pageBreakBefore w:val="0"/>
              <w:kinsoku/>
              <w:overflowPunct/>
              <w:bidi w:val="0"/>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根据《政府采购促进中小企业发展管理办法》（财库〔2020〕46号）第</w:t>
            </w:r>
            <w:r>
              <w:rPr>
                <w:rFonts w:hint="eastAsia" w:ascii="宋体" w:hAnsi="宋体" w:cs="宋体"/>
                <w:b w:val="0"/>
                <w:bCs/>
                <w:color w:val="auto"/>
                <w:sz w:val="21"/>
                <w:szCs w:val="21"/>
                <w:highlight w:val="none"/>
                <w:lang w:val="en-US" w:eastAsia="zh-CN"/>
              </w:rPr>
              <w:t>九</w:t>
            </w:r>
            <w:r>
              <w:rPr>
                <w:rFonts w:hint="eastAsia" w:ascii="宋体" w:hAnsi="宋体" w:eastAsia="宋体" w:cs="宋体"/>
                <w:b w:val="0"/>
                <w:bCs/>
                <w:color w:val="auto"/>
                <w:sz w:val="21"/>
                <w:szCs w:val="21"/>
                <w:highlight w:val="none"/>
                <w:lang w:val="en-US" w:eastAsia="zh-CN"/>
              </w:rPr>
              <w:t>条规定及财库〔2022〕19号 关于进一步加大政府采购支持中小企业力度的通知</w:t>
            </w:r>
            <w:r>
              <w:rPr>
                <w:rFonts w:hint="eastAsia" w:ascii="宋体" w:hAnsi="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val="en-US" w:eastAsia="zh-CN"/>
              </w:rPr>
              <w:t>接受大中型企业与小微企业组成联合体或者允许大中型企业向一家或者多家小微企业分包的采购项目，对于分包意向协议约定小微企业的合同份额占到合同总金额30%以上的，采购人、采购代理机构应当对联合体或者大中型企业的报价给予</w:t>
            </w:r>
            <w:r>
              <w:rPr>
                <w:rFonts w:hint="eastAsia" w:ascii="宋体" w:hAnsi="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u w:val="single"/>
                <w:lang w:val="en-US" w:eastAsia="zh-CN"/>
              </w:rPr>
              <w:t>%</w:t>
            </w:r>
            <w:r>
              <w:rPr>
                <w:rFonts w:hint="eastAsia" w:ascii="宋体" w:hAnsi="宋体" w:cs="宋体"/>
                <w:b w:val="0"/>
                <w:bCs/>
                <w:color w:val="auto"/>
                <w:sz w:val="21"/>
                <w:szCs w:val="21"/>
                <w:highlight w:val="none"/>
                <w:u w:val="single"/>
                <w:lang w:val="en-US" w:eastAsia="zh-CN"/>
              </w:rPr>
              <w:t>（范围为4%-6%）</w:t>
            </w:r>
            <w:r>
              <w:rPr>
                <w:rFonts w:hint="eastAsia" w:ascii="宋体" w:hAnsi="宋体" w:eastAsia="宋体" w:cs="宋体"/>
                <w:b w:val="0"/>
                <w:bCs/>
                <w:color w:val="auto"/>
                <w:sz w:val="21"/>
                <w:szCs w:val="21"/>
                <w:highlight w:val="none"/>
                <w:lang w:val="en-US" w:eastAsia="zh-CN"/>
              </w:rPr>
              <w:t>的扣除，用扣除后的价格参加评审</w:t>
            </w:r>
            <w:r>
              <w:rPr>
                <w:rFonts w:hint="eastAsia" w:ascii="宋体" w:hAnsi="宋体" w:cs="宋体"/>
                <w:b w:val="0"/>
                <w:bCs/>
                <w:color w:val="auto"/>
                <w:sz w:val="21"/>
                <w:szCs w:val="21"/>
                <w:highlight w:val="none"/>
                <w:lang w:val="en-US" w:eastAsia="zh-CN"/>
              </w:rPr>
              <w:t>，即评标价=投标价×（1-4%）。</w:t>
            </w:r>
            <w:r>
              <w:rPr>
                <w:rFonts w:hint="eastAsia" w:ascii="宋体" w:hAnsi="宋体" w:eastAsia="宋体" w:cs="宋体"/>
                <w:b w:val="0"/>
                <w:bCs/>
                <w:color w:val="auto"/>
                <w:sz w:val="21"/>
                <w:szCs w:val="21"/>
                <w:highlight w:val="none"/>
                <w:lang w:val="en-US" w:eastAsia="zh-CN"/>
              </w:rPr>
              <w:t>除上述情况外，评标价=投标价。</w:t>
            </w:r>
            <w:r>
              <w:rPr>
                <w:rFonts w:hint="eastAsia" w:ascii="宋体" w:hAnsi="宋体" w:eastAsia="宋体" w:cs="宋体"/>
                <w:b w:val="0"/>
                <w:bCs/>
                <w:color w:val="auto"/>
                <w:sz w:val="21"/>
                <w:szCs w:val="21"/>
                <w:highlight w:val="none"/>
                <w:lang w:val="en-US" w:eastAsia="zh-CN"/>
              </w:rPr>
              <w:br w:type="textWrapping"/>
            </w:r>
            <w:r>
              <w:rPr>
                <w:rFonts w:hint="eastAsia" w:ascii="宋体" w:hAnsi="宋体" w:eastAsia="宋体" w:cs="宋体"/>
                <w:b w:val="0"/>
                <w:bCs/>
                <w:color w:val="auto"/>
                <w:sz w:val="21"/>
                <w:szCs w:val="21"/>
                <w:highlight w:val="none"/>
                <w:lang w:val="en-US" w:eastAsia="zh-CN"/>
              </w:rPr>
              <w:t>（2）以进入评标的最低的评标价为10分。</w:t>
            </w:r>
            <w:r>
              <w:rPr>
                <w:rFonts w:hint="eastAsia" w:ascii="宋体" w:hAnsi="宋体" w:eastAsia="宋体" w:cs="宋体"/>
                <w:b w:val="0"/>
                <w:bCs/>
                <w:color w:val="auto"/>
                <w:sz w:val="21"/>
                <w:szCs w:val="21"/>
                <w:highlight w:val="none"/>
                <w:lang w:val="en-US" w:eastAsia="zh-CN"/>
              </w:rPr>
              <w:br w:type="textWrapping"/>
            </w:r>
            <w:r>
              <w:rPr>
                <w:rFonts w:hint="eastAsia" w:ascii="宋体" w:hAnsi="宋体" w:eastAsia="宋体" w:cs="宋体"/>
                <w:b w:val="0"/>
                <w:bCs/>
                <w:color w:val="auto"/>
                <w:sz w:val="21"/>
                <w:szCs w:val="21"/>
                <w:highlight w:val="none"/>
                <w:lang w:val="en-US" w:eastAsia="zh-CN"/>
              </w:rPr>
              <w:t>（3）某投标人价格分 = 投标人最低评标价/某投标人评标价×10分</w:t>
            </w:r>
          </w:p>
        </w:tc>
      </w:tr>
      <w:tr w14:paraId="38AA5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8" w:hRule="atLeast"/>
        </w:trPr>
        <w:tc>
          <w:tcPr>
            <w:tcW w:w="3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E5DAB2">
            <w:pPr>
              <w:keepNext w:val="0"/>
              <w:keepLines w:val="0"/>
              <w:pageBreakBefore w:val="0"/>
              <w:kinsoku/>
              <w:overflowPunct/>
              <w:bidi w:val="0"/>
              <w:spacing w:line="360" w:lineRule="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D64325">
            <w:pPr>
              <w:keepNext w:val="0"/>
              <w:keepLines w:val="0"/>
              <w:pageBreakBefore w:val="0"/>
              <w:kinsoku/>
              <w:overflowPunct/>
              <w:bidi w:val="0"/>
              <w:spacing w:line="360" w:lineRule="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技术分（73分）</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36DBB">
            <w:pPr>
              <w:keepNext w:val="0"/>
              <w:keepLines w:val="0"/>
              <w:pageBreakBefore w:val="0"/>
              <w:kinsoku/>
              <w:overflowPunct/>
              <w:bidi w:val="0"/>
              <w:spacing w:line="360" w:lineRule="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（1）现状及需求理解（满分12分）</w:t>
            </w:r>
          </w:p>
        </w:tc>
        <w:tc>
          <w:tcPr>
            <w:tcW w:w="3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6E9F7">
            <w:pPr>
              <w:keepNext w:val="0"/>
              <w:keepLines w:val="0"/>
              <w:pageBreakBefore w:val="0"/>
              <w:kinsoku/>
              <w:overflowPunct/>
              <w:bidi w:val="0"/>
              <w:spacing w:line="360" w:lineRule="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评委根据投标人对本项目现状理解情况（包括运维资产情况、规章制度等）、项目需求分析及对质效型运维的理解进行独立评审。</w:t>
            </w:r>
            <w:r>
              <w:rPr>
                <w:rFonts w:hint="eastAsia" w:ascii="宋体" w:hAnsi="宋体" w:eastAsia="宋体" w:cs="宋体"/>
                <w:b w:val="0"/>
                <w:bCs/>
                <w:color w:val="auto"/>
                <w:sz w:val="21"/>
                <w:szCs w:val="21"/>
                <w:highlight w:val="none"/>
                <w:lang w:val="en-US" w:eastAsia="zh-CN"/>
              </w:rPr>
              <w:br w:type="textWrapping"/>
            </w:r>
            <w:r>
              <w:rPr>
                <w:rFonts w:hint="eastAsia" w:ascii="宋体" w:hAnsi="宋体" w:eastAsia="宋体" w:cs="宋体"/>
                <w:b w:val="0"/>
                <w:bCs/>
                <w:color w:val="auto"/>
                <w:sz w:val="21"/>
                <w:szCs w:val="21"/>
                <w:highlight w:val="none"/>
                <w:lang w:val="en-US" w:eastAsia="zh-CN"/>
              </w:rPr>
              <w:t>一档（2分）：对本项目现状了解简单、不贴合客户实际情况。对本项目需求分析简单，对数字法院运维进行了简单阐述，基本符合采购人的服务需求。</w:t>
            </w:r>
            <w:r>
              <w:rPr>
                <w:rFonts w:hint="eastAsia" w:ascii="宋体" w:hAnsi="宋体" w:eastAsia="宋体" w:cs="宋体"/>
                <w:b w:val="0"/>
                <w:bCs/>
                <w:color w:val="auto"/>
                <w:sz w:val="21"/>
                <w:szCs w:val="21"/>
                <w:highlight w:val="none"/>
                <w:lang w:val="en-US" w:eastAsia="zh-CN"/>
              </w:rPr>
              <w:br w:type="textWrapping"/>
            </w:r>
            <w:r>
              <w:rPr>
                <w:rFonts w:hint="eastAsia" w:ascii="宋体" w:hAnsi="宋体" w:eastAsia="宋体" w:cs="宋体"/>
                <w:b w:val="0"/>
                <w:bCs/>
                <w:color w:val="auto"/>
                <w:sz w:val="21"/>
                <w:szCs w:val="21"/>
                <w:highlight w:val="none"/>
                <w:lang w:val="en-US" w:eastAsia="zh-CN"/>
              </w:rPr>
              <w:t>二档（6分）：对本项目现状理解不够全面、详细，比较贴合实际情况。对本项目需求分析比较详细，对数字法院运维阐述不够全面、详细，仅对质效型运维体系搭建、质效型运维架构设计、质效型运维主要内容、质效型运维基本特征、质效型运维实现路径等部分内容进行了阐述。</w:t>
            </w:r>
            <w:r>
              <w:rPr>
                <w:rFonts w:hint="eastAsia" w:ascii="宋体" w:hAnsi="宋体" w:eastAsia="宋体" w:cs="宋体"/>
                <w:b w:val="0"/>
                <w:bCs/>
                <w:color w:val="auto"/>
                <w:sz w:val="21"/>
                <w:szCs w:val="21"/>
                <w:highlight w:val="none"/>
                <w:lang w:val="en-US" w:eastAsia="zh-CN"/>
              </w:rPr>
              <w:br w:type="textWrapping"/>
            </w:r>
            <w:r>
              <w:rPr>
                <w:rFonts w:hint="eastAsia" w:ascii="宋体" w:hAnsi="宋体" w:eastAsia="宋体" w:cs="宋体"/>
                <w:b w:val="0"/>
                <w:bCs/>
                <w:color w:val="auto"/>
                <w:sz w:val="21"/>
                <w:szCs w:val="21"/>
                <w:highlight w:val="none"/>
                <w:lang w:val="en-US" w:eastAsia="zh-CN"/>
              </w:rPr>
              <w:t>三档（12分）：对本项目现状理解全面、详细、贴合客户实际情况。对本项目需求进行了详细分析，充分理解质效型运维体系，对“三位一体”质效型运维进行阐述，包括对质效型运维体系搭建、质效型运维架构设计、质效型运维主要内容、质效型运维基本特征、质效型运维实现路径等，且提供质效型运维法标。</w:t>
            </w:r>
            <w:r>
              <w:rPr>
                <w:rFonts w:hint="eastAsia" w:ascii="宋体" w:hAnsi="宋体" w:eastAsia="宋体" w:cs="宋体"/>
                <w:b w:val="0"/>
                <w:bCs/>
                <w:color w:val="auto"/>
                <w:sz w:val="21"/>
                <w:szCs w:val="21"/>
                <w:highlight w:val="none"/>
                <w:lang w:val="en-US" w:eastAsia="zh-CN"/>
              </w:rPr>
              <w:br w:type="textWrapping"/>
            </w:r>
            <w:r>
              <w:rPr>
                <w:rFonts w:hint="eastAsia" w:ascii="宋体" w:hAnsi="宋体" w:eastAsia="宋体" w:cs="宋体"/>
                <w:b w:val="0"/>
                <w:bCs/>
                <w:color w:val="auto"/>
                <w:sz w:val="21"/>
                <w:szCs w:val="21"/>
                <w:highlight w:val="none"/>
                <w:lang w:val="en-US" w:eastAsia="zh-CN"/>
              </w:rPr>
              <w:t>注：不提供数字法院运维的理解或不满足一档不得分。</w:t>
            </w:r>
          </w:p>
        </w:tc>
      </w:tr>
      <w:tr w14:paraId="693A6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4"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DE44C">
            <w:pPr>
              <w:keepNext w:val="0"/>
              <w:keepLines w:val="0"/>
              <w:pageBreakBefore w:val="0"/>
              <w:kinsoku/>
              <w:overflowPunct/>
              <w:bidi w:val="0"/>
              <w:spacing w:line="360" w:lineRule="auto"/>
              <w:rPr>
                <w:rFonts w:hint="eastAsia" w:ascii="宋体" w:hAnsi="宋体" w:eastAsia="宋体" w:cs="宋体"/>
                <w:b w:val="0"/>
                <w:bCs/>
                <w:color w:val="auto"/>
                <w:sz w:val="21"/>
                <w:szCs w:val="21"/>
                <w:highlight w:val="none"/>
                <w:lang w:val="en-US" w:eastAsia="zh-CN"/>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DDBB8">
            <w:pPr>
              <w:keepNext w:val="0"/>
              <w:keepLines w:val="0"/>
              <w:pageBreakBefore w:val="0"/>
              <w:kinsoku/>
              <w:overflowPunct/>
              <w:bidi w:val="0"/>
              <w:spacing w:line="360" w:lineRule="auto"/>
              <w:rPr>
                <w:rFonts w:hint="eastAsia" w:ascii="宋体" w:hAnsi="宋体" w:eastAsia="宋体" w:cs="宋体"/>
                <w:b w:val="0"/>
                <w:bCs/>
                <w:color w:val="auto"/>
                <w:sz w:val="21"/>
                <w:szCs w:val="21"/>
                <w:highlight w:val="none"/>
                <w:lang w:val="en-US" w:eastAsia="zh-CN"/>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16C75">
            <w:pPr>
              <w:keepNext w:val="0"/>
              <w:keepLines w:val="0"/>
              <w:pageBreakBefore w:val="0"/>
              <w:kinsoku/>
              <w:overflowPunct/>
              <w:bidi w:val="0"/>
              <w:spacing w:line="360" w:lineRule="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（2）运维服务方案（满分16分）</w:t>
            </w:r>
          </w:p>
        </w:tc>
        <w:tc>
          <w:tcPr>
            <w:tcW w:w="3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E15BA">
            <w:pPr>
              <w:keepNext w:val="0"/>
              <w:keepLines w:val="0"/>
              <w:pageBreakBefore w:val="0"/>
              <w:kinsoku/>
              <w:overflowPunct/>
              <w:bidi w:val="0"/>
              <w:spacing w:line="360" w:lineRule="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运维服务方案包含运维管理、服务全区系统运维、两中心数据机房运维服务、高院机关运维服务、安全运维服务、专项服务保障、系统业务运营等内容。</w:t>
            </w:r>
            <w:r>
              <w:rPr>
                <w:rFonts w:hint="eastAsia" w:ascii="宋体" w:hAnsi="宋体" w:eastAsia="宋体" w:cs="宋体"/>
                <w:b w:val="0"/>
                <w:bCs/>
                <w:color w:val="auto"/>
                <w:sz w:val="21"/>
                <w:szCs w:val="21"/>
                <w:highlight w:val="none"/>
                <w:lang w:val="en-US" w:eastAsia="zh-CN"/>
              </w:rPr>
              <w:br w:type="textWrapping"/>
            </w:r>
            <w:r>
              <w:rPr>
                <w:rFonts w:hint="eastAsia" w:ascii="宋体" w:hAnsi="宋体" w:eastAsia="宋体" w:cs="宋体"/>
                <w:b w:val="0"/>
                <w:bCs/>
                <w:color w:val="auto"/>
                <w:sz w:val="21"/>
                <w:szCs w:val="21"/>
                <w:highlight w:val="none"/>
                <w:lang w:val="en-US" w:eastAsia="zh-CN"/>
              </w:rPr>
              <w:t>一档（5分）：运维方案包含运维现状、运维服务范围、运维服务内容、运维工作量、运维规范等，内容详细全面、贴合项目实际情况，基本满足采购需求。</w:t>
            </w:r>
            <w:r>
              <w:rPr>
                <w:rFonts w:hint="eastAsia" w:ascii="宋体" w:hAnsi="宋体" w:eastAsia="宋体" w:cs="宋体"/>
                <w:b w:val="0"/>
                <w:bCs/>
                <w:color w:val="auto"/>
                <w:sz w:val="21"/>
                <w:szCs w:val="21"/>
                <w:highlight w:val="none"/>
                <w:lang w:val="en-US" w:eastAsia="zh-CN"/>
              </w:rPr>
              <w:br w:type="textWrapping"/>
            </w:r>
            <w:r>
              <w:rPr>
                <w:rFonts w:hint="eastAsia" w:ascii="宋体" w:hAnsi="宋体" w:eastAsia="宋体" w:cs="宋体"/>
                <w:b w:val="0"/>
                <w:bCs/>
                <w:color w:val="auto"/>
                <w:sz w:val="21"/>
                <w:szCs w:val="21"/>
                <w:highlight w:val="none"/>
                <w:lang w:val="en-US" w:eastAsia="zh-CN"/>
              </w:rPr>
              <w:t>二档（10分）：在满足一档的基础上，运维服务方案包括：运维管理制度、运维服务流程、服务目录与服务级别管理协议、资产配置管理等，内容详细全面、贴合项目实际情况，满足采购需求。</w:t>
            </w:r>
            <w:r>
              <w:rPr>
                <w:rFonts w:hint="eastAsia" w:ascii="宋体" w:hAnsi="宋体" w:eastAsia="宋体" w:cs="宋体"/>
                <w:b w:val="0"/>
                <w:bCs/>
                <w:color w:val="auto"/>
                <w:sz w:val="21"/>
                <w:szCs w:val="21"/>
                <w:highlight w:val="none"/>
                <w:lang w:val="en-US" w:eastAsia="zh-CN"/>
              </w:rPr>
              <w:br w:type="textWrapping"/>
            </w:r>
            <w:r>
              <w:rPr>
                <w:rFonts w:hint="eastAsia" w:ascii="宋体" w:hAnsi="宋体" w:eastAsia="宋体" w:cs="宋体"/>
                <w:b w:val="0"/>
                <w:bCs/>
                <w:color w:val="auto"/>
                <w:sz w:val="21"/>
                <w:szCs w:val="21"/>
                <w:highlight w:val="none"/>
                <w:lang w:val="en-US" w:eastAsia="zh-CN"/>
              </w:rPr>
              <w:t>三档（16分）：在满足二档的基础上，质效运维管理方案详细全面，运维服务的各专业有详细的巡检记录样例，贴合项目实际情况，完全满足采购需求，并有针对性。</w:t>
            </w:r>
          </w:p>
        </w:tc>
      </w:tr>
      <w:tr w14:paraId="6374D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3BD0F">
            <w:pPr>
              <w:keepNext w:val="0"/>
              <w:keepLines w:val="0"/>
              <w:pageBreakBefore w:val="0"/>
              <w:kinsoku/>
              <w:overflowPunct/>
              <w:bidi w:val="0"/>
              <w:spacing w:line="360" w:lineRule="auto"/>
              <w:rPr>
                <w:rFonts w:hint="eastAsia" w:ascii="宋体" w:hAnsi="宋体" w:eastAsia="宋体" w:cs="宋体"/>
                <w:b w:val="0"/>
                <w:bCs/>
                <w:color w:val="auto"/>
                <w:sz w:val="21"/>
                <w:szCs w:val="21"/>
                <w:highlight w:val="none"/>
                <w:lang w:val="en-US" w:eastAsia="zh-CN"/>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BD3F7">
            <w:pPr>
              <w:keepNext w:val="0"/>
              <w:keepLines w:val="0"/>
              <w:pageBreakBefore w:val="0"/>
              <w:kinsoku/>
              <w:overflowPunct/>
              <w:bidi w:val="0"/>
              <w:spacing w:line="360" w:lineRule="auto"/>
              <w:rPr>
                <w:rFonts w:hint="eastAsia" w:ascii="宋体" w:hAnsi="宋体" w:eastAsia="宋体" w:cs="宋体"/>
                <w:b w:val="0"/>
                <w:bCs/>
                <w:color w:val="auto"/>
                <w:sz w:val="21"/>
                <w:szCs w:val="21"/>
                <w:highlight w:val="none"/>
                <w:lang w:val="en-US" w:eastAsia="zh-CN"/>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89D17">
            <w:pPr>
              <w:keepNext w:val="0"/>
              <w:keepLines w:val="0"/>
              <w:pageBreakBefore w:val="0"/>
              <w:kinsoku/>
              <w:overflowPunct/>
              <w:bidi w:val="0"/>
              <w:spacing w:line="360" w:lineRule="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（3）运维质效分析报告（满分</w:t>
            </w:r>
            <w:r>
              <w:rPr>
                <w:rFonts w:hint="eastAsia" w:ascii="宋体" w:hAnsi="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lang w:val="en-US" w:eastAsia="zh-CN"/>
              </w:rPr>
              <w:t>分）</w:t>
            </w:r>
          </w:p>
        </w:tc>
        <w:tc>
          <w:tcPr>
            <w:tcW w:w="3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A3CE4">
            <w:pPr>
              <w:keepNext w:val="0"/>
              <w:keepLines w:val="0"/>
              <w:pageBreakBefore w:val="0"/>
              <w:kinsoku/>
              <w:overflowPunct/>
              <w:bidi w:val="0"/>
              <w:spacing w:line="360" w:lineRule="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本次运维项目，除正常运维工作外，需提供详细的质效报告，内容包含：基础设施运行质效、应用系统运行质效、数据资源管理质效、信息安全管理质效、运维管理运行质效、存在问题及推进建议。投标人需提供运维质效分析报告样例且能够提供其他单位的认可证明材料，提供样例内容符合全部6项要求的得</w:t>
            </w:r>
            <w:r>
              <w:rPr>
                <w:rFonts w:hint="eastAsia" w:ascii="宋体" w:hAnsi="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lang w:val="en-US" w:eastAsia="zh-CN"/>
              </w:rPr>
              <w:t>分；提供样例内容符合其中4项的得4分；提供样例内容符合其中2项的得2分；不提供不得分。</w:t>
            </w:r>
          </w:p>
        </w:tc>
      </w:tr>
      <w:tr w14:paraId="7E204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3667E">
            <w:pPr>
              <w:keepNext w:val="0"/>
              <w:keepLines w:val="0"/>
              <w:pageBreakBefore w:val="0"/>
              <w:kinsoku/>
              <w:overflowPunct/>
              <w:bidi w:val="0"/>
              <w:spacing w:line="360" w:lineRule="auto"/>
              <w:rPr>
                <w:rFonts w:hint="eastAsia" w:ascii="宋体" w:hAnsi="宋体" w:eastAsia="宋体" w:cs="宋体"/>
                <w:b w:val="0"/>
                <w:bCs/>
                <w:color w:val="auto"/>
                <w:sz w:val="21"/>
                <w:szCs w:val="21"/>
                <w:highlight w:val="none"/>
                <w:lang w:val="en-US" w:eastAsia="zh-CN"/>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15F4F">
            <w:pPr>
              <w:keepNext w:val="0"/>
              <w:keepLines w:val="0"/>
              <w:pageBreakBefore w:val="0"/>
              <w:kinsoku/>
              <w:overflowPunct/>
              <w:bidi w:val="0"/>
              <w:spacing w:line="360" w:lineRule="auto"/>
              <w:rPr>
                <w:rFonts w:hint="eastAsia" w:ascii="宋体" w:hAnsi="宋体" w:eastAsia="宋体" w:cs="宋体"/>
                <w:b w:val="0"/>
                <w:bCs/>
                <w:color w:val="auto"/>
                <w:sz w:val="21"/>
                <w:szCs w:val="21"/>
                <w:highlight w:val="none"/>
                <w:lang w:val="en-US" w:eastAsia="zh-CN"/>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90C5B">
            <w:pPr>
              <w:keepNext w:val="0"/>
              <w:keepLines w:val="0"/>
              <w:pageBreakBefore w:val="0"/>
              <w:kinsoku/>
              <w:overflowPunct/>
              <w:bidi w:val="0"/>
              <w:spacing w:line="360" w:lineRule="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（4）可视化运维工具（满分4分）</w:t>
            </w:r>
          </w:p>
        </w:tc>
        <w:tc>
          <w:tcPr>
            <w:tcW w:w="3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9BA04">
            <w:pPr>
              <w:keepNext w:val="0"/>
              <w:keepLines w:val="0"/>
              <w:pageBreakBefore w:val="0"/>
              <w:kinsoku/>
              <w:overflowPunct/>
              <w:bidi w:val="0"/>
              <w:spacing w:line="360" w:lineRule="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提供符合最高法院十四五规划要求的可视化运维工具截图，功能包含基础设施管理、应用管理、数据管理、安全管理，每具备一项截图内容得1分，本项满分4分。</w:t>
            </w:r>
          </w:p>
        </w:tc>
      </w:tr>
      <w:tr w14:paraId="67198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6"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4A111">
            <w:pPr>
              <w:keepNext w:val="0"/>
              <w:keepLines w:val="0"/>
              <w:pageBreakBefore w:val="0"/>
              <w:kinsoku/>
              <w:overflowPunct/>
              <w:bidi w:val="0"/>
              <w:spacing w:line="360" w:lineRule="auto"/>
              <w:rPr>
                <w:rFonts w:hint="eastAsia" w:ascii="宋体" w:hAnsi="宋体" w:eastAsia="宋体" w:cs="宋体"/>
                <w:b w:val="0"/>
                <w:bCs/>
                <w:color w:val="auto"/>
                <w:sz w:val="21"/>
                <w:szCs w:val="21"/>
                <w:highlight w:val="none"/>
                <w:lang w:val="en-US" w:eastAsia="zh-CN"/>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CD63B">
            <w:pPr>
              <w:keepNext w:val="0"/>
              <w:keepLines w:val="0"/>
              <w:pageBreakBefore w:val="0"/>
              <w:kinsoku/>
              <w:overflowPunct/>
              <w:bidi w:val="0"/>
              <w:spacing w:line="360" w:lineRule="auto"/>
              <w:rPr>
                <w:rFonts w:hint="eastAsia" w:ascii="宋体" w:hAnsi="宋体" w:eastAsia="宋体" w:cs="宋体"/>
                <w:b w:val="0"/>
                <w:bCs/>
                <w:color w:val="auto"/>
                <w:sz w:val="21"/>
                <w:szCs w:val="21"/>
                <w:highlight w:val="none"/>
                <w:lang w:val="en-US" w:eastAsia="zh-CN"/>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2648B">
            <w:pPr>
              <w:keepNext w:val="0"/>
              <w:keepLines w:val="0"/>
              <w:pageBreakBefore w:val="0"/>
              <w:kinsoku/>
              <w:overflowPunct/>
              <w:bidi w:val="0"/>
              <w:spacing w:line="360" w:lineRule="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（5）质量保障及培训服务（满分9分）</w:t>
            </w:r>
          </w:p>
        </w:tc>
        <w:tc>
          <w:tcPr>
            <w:tcW w:w="3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EB920">
            <w:pPr>
              <w:keepNext w:val="0"/>
              <w:keepLines w:val="0"/>
              <w:pageBreakBefore w:val="0"/>
              <w:kinsoku/>
              <w:overflowPunct/>
              <w:bidi w:val="0"/>
              <w:spacing w:line="360" w:lineRule="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评委根据投标人提供的质量保障方案及培训服务方案进行独立评审。</w:t>
            </w:r>
            <w:r>
              <w:rPr>
                <w:rFonts w:hint="eastAsia" w:ascii="宋体" w:hAnsi="宋体" w:eastAsia="宋体" w:cs="宋体"/>
                <w:b w:val="0"/>
                <w:bCs/>
                <w:color w:val="auto"/>
                <w:sz w:val="21"/>
                <w:szCs w:val="21"/>
                <w:highlight w:val="none"/>
                <w:lang w:val="en-US" w:eastAsia="zh-CN"/>
              </w:rPr>
              <w:br w:type="textWrapping"/>
            </w:r>
            <w:r>
              <w:rPr>
                <w:rFonts w:hint="eastAsia" w:ascii="宋体" w:hAnsi="宋体" w:eastAsia="宋体" w:cs="宋体"/>
                <w:b w:val="0"/>
                <w:bCs/>
                <w:color w:val="auto"/>
                <w:sz w:val="21"/>
                <w:szCs w:val="21"/>
                <w:highlight w:val="none"/>
                <w:lang w:val="en-US" w:eastAsia="zh-CN"/>
              </w:rPr>
              <w:t>1）质量保障方案，包括运维服务保障措施、应急保障方案、服务质量保障措施等，每具备一项内容且完全满足采购人需求的，得2分，最多得6分。</w:t>
            </w:r>
            <w:r>
              <w:rPr>
                <w:rFonts w:hint="eastAsia" w:ascii="宋体" w:hAnsi="宋体" w:eastAsia="宋体" w:cs="宋体"/>
                <w:b w:val="0"/>
                <w:bCs/>
                <w:color w:val="auto"/>
                <w:sz w:val="21"/>
                <w:szCs w:val="21"/>
                <w:highlight w:val="none"/>
                <w:lang w:val="en-US" w:eastAsia="zh-CN"/>
              </w:rPr>
              <w:br w:type="textWrapping"/>
            </w:r>
            <w:r>
              <w:rPr>
                <w:rFonts w:hint="eastAsia" w:ascii="宋体" w:hAnsi="宋体" w:eastAsia="宋体" w:cs="宋体"/>
                <w:b w:val="0"/>
                <w:bCs/>
                <w:color w:val="auto"/>
                <w:sz w:val="21"/>
                <w:szCs w:val="21"/>
                <w:highlight w:val="none"/>
                <w:lang w:val="en-US" w:eastAsia="zh-CN"/>
              </w:rPr>
              <w:t>2）培训服务方案，包含但不限于培训内容、培训团队、培训计划等，每具备一项内容且完全满足采购人需求的，得1分，最多得3分。</w:t>
            </w:r>
            <w:r>
              <w:rPr>
                <w:rFonts w:hint="eastAsia" w:ascii="宋体" w:hAnsi="宋体" w:eastAsia="宋体" w:cs="宋体"/>
                <w:b w:val="0"/>
                <w:bCs/>
                <w:color w:val="auto"/>
                <w:sz w:val="21"/>
                <w:szCs w:val="21"/>
                <w:highlight w:val="none"/>
                <w:lang w:val="en-US" w:eastAsia="zh-CN"/>
              </w:rPr>
              <w:br w:type="textWrapping"/>
            </w:r>
            <w:r>
              <w:rPr>
                <w:rFonts w:hint="eastAsia" w:ascii="宋体" w:hAnsi="宋体" w:eastAsia="宋体" w:cs="宋体"/>
                <w:b w:val="0"/>
                <w:bCs/>
                <w:color w:val="auto"/>
                <w:sz w:val="21"/>
                <w:szCs w:val="21"/>
                <w:highlight w:val="none"/>
                <w:lang w:val="en-US" w:eastAsia="zh-CN"/>
              </w:rPr>
              <w:t>注：不提供方案内容不得分。</w:t>
            </w:r>
          </w:p>
        </w:tc>
      </w:tr>
      <w:tr w14:paraId="4005D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7F1A2">
            <w:pPr>
              <w:keepNext w:val="0"/>
              <w:keepLines w:val="0"/>
              <w:pageBreakBefore w:val="0"/>
              <w:kinsoku/>
              <w:overflowPunct/>
              <w:bidi w:val="0"/>
              <w:spacing w:line="360" w:lineRule="auto"/>
              <w:rPr>
                <w:rFonts w:hint="eastAsia" w:ascii="宋体" w:hAnsi="宋体" w:eastAsia="宋体" w:cs="宋体"/>
                <w:b w:val="0"/>
                <w:bCs/>
                <w:color w:val="auto"/>
                <w:sz w:val="21"/>
                <w:szCs w:val="21"/>
                <w:highlight w:val="none"/>
                <w:lang w:val="en-US" w:eastAsia="zh-CN"/>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F40A7">
            <w:pPr>
              <w:keepNext w:val="0"/>
              <w:keepLines w:val="0"/>
              <w:pageBreakBefore w:val="0"/>
              <w:kinsoku/>
              <w:overflowPunct/>
              <w:bidi w:val="0"/>
              <w:spacing w:line="360" w:lineRule="auto"/>
              <w:rPr>
                <w:rFonts w:hint="eastAsia" w:ascii="宋体" w:hAnsi="宋体" w:eastAsia="宋体" w:cs="宋体"/>
                <w:b w:val="0"/>
                <w:bCs/>
                <w:color w:val="auto"/>
                <w:sz w:val="21"/>
                <w:szCs w:val="21"/>
                <w:highlight w:val="none"/>
                <w:lang w:val="en-US" w:eastAsia="zh-CN"/>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55047">
            <w:pPr>
              <w:keepNext w:val="0"/>
              <w:keepLines w:val="0"/>
              <w:pageBreakBefore w:val="0"/>
              <w:kinsoku/>
              <w:overflowPunct/>
              <w:bidi w:val="0"/>
              <w:spacing w:line="360" w:lineRule="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（6）项目负责人技术能力（满分</w:t>
            </w:r>
            <w:r>
              <w:rPr>
                <w:rFonts w:hint="eastAsia" w:ascii="宋体" w:hAnsi="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lang w:val="en-US" w:eastAsia="zh-CN"/>
              </w:rPr>
              <w:t>分）</w:t>
            </w:r>
          </w:p>
        </w:tc>
        <w:tc>
          <w:tcPr>
            <w:tcW w:w="3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C4B42">
            <w:pPr>
              <w:keepNext w:val="0"/>
              <w:keepLines w:val="0"/>
              <w:pageBreakBefore w:val="0"/>
              <w:kinsoku/>
              <w:overflowPunct/>
              <w:bidi w:val="0"/>
              <w:spacing w:line="360" w:lineRule="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投标人运维团队中项目负责人，具有人力资源和社会保障厅颁发的高级工程师职称（电子信息）证书、人力资源和社会保障部颁发的高级信息系统项目管理师、中国电子技术标准化研究院颁发的IT服务项目经理证书，每有一项得2分，满分</w:t>
            </w:r>
            <w:r>
              <w:rPr>
                <w:rFonts w:hint="eastAsia" w:ascii="宋体" w:hAnsi="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lang w:val="en-US" w:eastAsia="zh-CN"/>
              </w:rPr>
              <w:t>分。</w:t>
            </w:r>
            <w:r>
              <w:rPr>
                <w:rFonts w:hint="eastAsia" w:ascii="宋体" w:hAnsi="宋体" w:eastAsia="宋体" w:cs="宋体"/>
                <w:b w:val="0"/>
                <w:bCs/>
                <w:color w:val="auto"/>
                <w:sz w:val="21"/>
                <w:szCs w:val="21"/>
                <w:highlight w:val="none"/>
                <w:lang w:val="en-US" w:eastAsia="zh-CN"/>
              </w:rPr>
              <w:br w:type="textWrapping"/>
            </w:r>
            <w:r>
              <w:rPr>
                <w:rFonts w:hint="eastAsia" w:ascii="宋体" w:hAnsi="宋体" w:eastAsia="宋体" w:cs="宋体"/>
                <w:b w:val="0"/>
                <w:bCs/>
                <w:color w:val="auto"/>
                <w:sz w:val="21"/>
                <w:szCs w:val="21"/>
                <w:highlight w:val="none"/>
                <w:lang w:val="en-US" w:eastAsia="zh-CN"/>
              </w:rPr>
              <w:t>注：提供证书扫描件或复印件及近三个月内任意一个月在本单位缴纳的社保证明</w:t>
            </w:r>
          </w:p>
        </w:tc>
      </w:tr>
      <w:tr w14:paraId="36A73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6"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9B3F5">
            <w:pPr>
              <w:keepNext w:val="0"/>
              <w:keepLines w:val="0"/>
              <w:pageBreakBefore w:val="0"/>
              <w:kinsoku/>
              <w:overflowPunct/>
              <w:bidi w:val="0"/>
              <w:spacing w:line="360" w:lineRule="auto"/>
              <w:rPr>
                <w:rFonts w:hint="eastAsia" w:ascii="宋体" w:hAnsi="宋体" w:eastAsia="宋体" w:cs="宋体"/>
                <w:b w:val="0"/>
                <w:bCs/>
                <w:color w:val="auto"/>
                <w:sz w:val="21"/>
                <w:szCs w:val="21"/>
                <w:highlight w:val="none"/>
                <w:lang w:val="en-US" w:eastAsia="zh-CN"/>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36119">
            <w:pPr>
              <w:keepNext w:val="0"/>
              <w:keepLines w:val="0"/>
              <w:pageBreakBefore w:val="0"/>
              <w:kinsoku/>
              <w:overflowPunct/>
              <w:bidi w:val="0"/>
              <w:spacing w:line="360" w:lineRule="auto"/>
              <w:rPr>
                <w:rFonts w:hint="eastAsia" w:ascii="宋体" w:hAnsi="宋体" w:eastAsia="宋体" w:cs="宋体"/>
                <w:b w:val="0"/>
                <w:bCs/>
                <w:color w:val="auto"/>
                <w:sz w:val="21"/>
                <w:szCs w:val="21"/>
                <w:highlight w:val="none"/>
                <w:lang w:val="en-US" w:eastAsia="zh-CN"/>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97B80">
            <w:pPr>
              <w:keepNext w:val="0"/>
              <w:keepLines w:val="0"/>
              <w:pageBreakBefore w:val="0"/>
              <w:kinsoku/>
              <w:overflowPunct/>
              <w:bidi w:val="0"/>
              <w:spacing w:line="360" w:lineRule="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（7）技术团队能力（满分20分）</w:t>
            </w:r>
          </w:p>
        </w:tc>
        <w:tc>
          <w:tcPr>
            <w:tcW w:w="3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F40EA">
            <w:pPr>
              <w:keepNext w:val="0"/>
              <w:keepLines w:val="0"/>
              <w:pageBreakBefore w:val="0"/>
              <w:kinsoku/>
              <w:overflowPunct/>
              <w:bidi w:val="0"/>
              <w:spacing w:line="360" w:lineRule="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投标人技术团队具有下列证书的（项目负责人除外）：</w:t>
            </w:r>
            <w:r>
              <w:rPr>
                <w:rFonts w:hint="eastAsia" w:ascii="宋体" w:hAnsi="宋体" w:eastAsia="宋体" w:cs="宋体"/>
                <w:b w:val="0"/>
                <w:bCs/>
                <w:color w:val="auto"/>
                <w:sz w:val="21"/>
                <w:szCs w:val="21"/>
                <w:highlight w:val="none"/>
                <w:lang w:val="en-US" w:eastAsia="zh-CN"/>
              </w:rPr>
              <w:br w:type="textWrapping"/>
            </w:r>
            <w:r>
              <w:rPr>
                <w:rFonts w:hint="eastAsia" w:ascii="宋体" w:hAnsi="宋体" w:eastAsia="宋体" w:cs="宋体"/>
                <w:b w:val="0"/>
                <w:bCs/>
                <w:color w:val="auto"/>
                <w:sz w:val="21"/>
                <w:szCs w:val="21"/>
                <w:highlight w:val="none"/>
                <w:lang w:val="en-US" w:eastAsia="zh-CN"/>
              </w:rPr>
              <w:t>1）技术负责人具有高级数据库管理工程师证书、高级软件工程师证书、高级系统架构设计师证书、CISAW信息安全保障人员认证证书（安全软件）的，每有一项得1分，满分4分。</w:t>
            </w:r>
            <w:r>
              <w:rPr>
                <w:rFonts w:hint="eastAsia" w:ascii="宋体" w:hAnsi="宋体" w:eastAsia="宋体" w:cs="宋体"/>
                <w:b w:val="0"/>
                <w:bCs/>
                <w:color w:val="auto"/>
                <w:sz w:val="21"/>
                <w:szCs w:val="21"/>
                <w:highlight w:val="none"/>
                <w:lang w:val="en-US" w:eastAsia="zh-CN"/>
              </w:rPr>
              <w:br w:type="textWrapping"/>
            </w:r>
            <w:r>
              <w:rPr>
                <w:rFonts w:hint="eastAsia" w:ascii="宋体" w:hAnsi="宋体" w:eastAsia="宋体" w:cs="宋体"/>
                <w:b w:val="0"/>
                <w:bCs/>
                <w:color w:val="auto"/>
                <w:sz w:val="21"/>
                <w:szCs w:val="21"/>
                <w:highlight w:val="none"/>
                <w:lang w:val="en-US" w:eastAsia="zh-CN"/>
              </w:rPr>
              <w:t>2）网络安全运维负责人具有高级信息系统项目管理师证书、CISAW信息安全保障人员认证证书（安全集成）证书、ITIL证书，每有一项得1分，满分3分。</w:t>
            </w:r>
            <w:r>
              <w:rPr>
                <w:rFonts w:hint="eastAsia" w:ascii="宋体" w:hAnsi="宋体" w:eastAsia="宋体" w:cs="宋体"/>
                <w:b w:val="0"/>
                <w:bCs/>
                <w:color w:val="auto"/>
                <w:sz w:val="21"/>
                <w:szCs w:val="21"/>
                <w:highlight w:val="none"/>
                <w:lang w:val="en-US" w:eastAsia="zh-CN"/>
              </w:rPr>
              <w:br w:type="textWrapping"/>
            </w:r>
            <w:r>
              <w:rPr>
                <w:rFonts w:hint="eastAsia" w:ascii="宋体" w:hAnsi="宋体" w:eastAsia="宋体" w:cs="宋体"/>
                <w:b w:val="0"/>
                <w:bCs/>
                <w:color w:val="auto"/>
                <w:sz w:val="21"/>
                <w:szCs w:val="21"/>
                <w:highlight w:val="none"/>
                <w:lang w:val="en-US" w:eastAsia="zh-CN"/>
              </w:rPr>
              <w:t>3）一张网运维（高院驻点）技术主管具有高级信息系统项目管理师证书、高级系统架构设计师证书、高级系统分析师证书、软件设计师证书，每有一项得1分，满分4分。</w:t>
            </w:r>
            <w:r>
              <w:rPr>
                <w:rFonts w:hint="eastAsia" w:ascii="宋体" w:hAnsi="宋体" w:eastAsia="宋体" w:cs="宋体"/>
                <w:b w:val="0"/>
                <w:bCs/>
                <w:color w:val="auto"/>
                <w:sz w:val="21"/>
                <w:szCs w:val="21"/>
                <w:highlight w:val="none"/>
                <w:lang w:val="en-US" w:eastAsia="zh-CN"/>
              </w:rPr>
              <w:br w:type="textWrapping"/>
            </w:r>
            <w:r>
              <w:rPr>
                <w:rFonts w:hint="eastAsia" w:ascii="宋体" w:hAnsi="宋体" w:eastAsia="宋体" w:cs="宋体"/>
                <w:b w:val="0"/>
                <w:bCs/>
                <w:color w:val="auto"/>
                <w:sz w:val="21"/>
                <w:szCs w:val="21"/>
                <w:highlight w:val="none"/>
                <w:lang w:val="en-US" w:eastAsia="zh-CN"/>
              </w:rPr>
              <w:t>4）中心机房及网络运维负责人具有注册信息安全工程师（CISP-CISE）证书、数据中心（机房）运维管理工程师证书、数据中心（机房）规划设计工程师证书、智能建筑弱电高级工程师证书，每有一项得1分，满分4分。</w:t>
            </w:r>
            <w:r>
              <w:rPr>
                <w:rFonts w:hint="eastAsia" w:ascii="宋体" w:hAnsi="宋体" w:eastAsia="宋体" w:cs="宋体"/>
                <w:b w:val="0"/>
                <w:bCs/>
                <w:color w:val="auto"/>
                <w:sz w:val="21"/>
                <w:szCs w:val="21"/>
                <w:highlight w:val="none"/>
                <w:lang w:val="en-US" w:eastAsia="zh-CN"/>
              </w:rPr>
              <w:br w:type="textWrapping"/>
            </w:r>
            <w:r>
              <w:rPr>
                <w:rFonts w:hint="eastAsia" w:ascii="宋体" w:hAnsi="宋体" w:eastAsia="宋体" w:cs="宋体"/>
                <w:b w:val="0"/>
                <w:bCs/>
                <w:color w:val="auto"/>
                <w:sz w:val="21"/>
                <w:szCs w:val="21"/>
                <w:highlight w:val="none"/>
                <w:lang w:val="en-US" w:eastAsia="zh-CN"/>
              </w:rPr>
              <w:t>5）高院机关运维负责人具有高级信息系统项目管理师证书、注册信息安全专业人员证书（CISP-CISE）、ITSS-IT服务项目经理证书，每有一项得1分，满分3分。</w:t>
            </w:r>
            <w:r>
              <w:rPr>
                <w:rFonts w:hint="eastAsia" w:ascii="宋体" w:hAnsi="宋体" w:eastAsia="宋体" w:cs="宋体"/>
                <w:b w:val="0"/>
                <w:bCs/>
                <w:color w:val="auto"/>
                <w:sz w:val="21"/>
                <w:szCs w:val="21"/>
                <w:highlight w:val="none"/>
                <w:lang w:val="en-US" w:eastAsia="zh-CN"/>
              </w:rPr>
              <w:br w:type="textWrapping"/>
            </w:r>
            <w:r>
              <w:rPr>
                <w:rFonts w:hint="eastAsia" w:ascii="宋体" w:hAnsi="宋体" w:eastAsia="宋体" w:cs="宋体"/>
                <w:b w:val="0"/>
                <w:bCs/>
                <w:color w:val="auto"/>
                <w:sz w:val="21"/>
                <w:szCs w:val="21"/>
                <w:highlight w:val="none"/>
                <w:lang w:val="en-US" w:eastAsia="zh-CN"/>
              </w:rPr>
              <w:t>6）本地保留系统</w:t>
            </w:r>
            <w:r>
              <w:rPr>
                <w:rFonts w:hint="eastAsia" w:ascii="宋体" w:hAnsi="宋体" w:cs="宋体"/>
                <w:b w:val="0"/>
                <w:bCs/>
                <w:color w:val="auto"/>
                <w:sz w:val="21"/>
                <w:szCs w:val="21"/>
                <w:highlight w:val="none"/>
                <w:lang w:val="en-US" w:eastAsia="zh-CN"/>
              </w:rPr>
              <w:t>运维</w:t>
            </w:r>
            <w:r>
              <w:rPr>
                <w:rFonts w:hint="eastAsia" w:ascii="宋体" w:hAnsi="宋体" w:eastAsia="宋体" w:cs="宋体"/>
                <w:b w:val="0"/>
                <w:bCs/>
                <w:color w:val="auto"/>
                <w:sz w:val="21"/>
                <w:szCs w:val="21"/>
                <w:highlight w:val="none"/>
                <w:lang w:val="en-US" w:eastAsia="zh-CN"/>
              </w:rPr>
              <w:t>负责人具有高级信息系统项目管理师证书、软件设计师证书的，每有一项得1分，满分2分。</w:t>
            </w:r>
            <w:r>
              <w:rPr>
                <w:rFonts w:hint="eastAsia" w:ascii="宋体" w:hAnsi="宋体" w:eastAsia="宋体" w:cs="宋体"/>
                <w:b w:val="0"/>
                <w:bCs/>
                <w:color w:val="auto"/>
                <w:sz w:val="21"/>
                <w:szCs w:val="21"/>
                <w:highlight w:val="none"/>
                <w:lang w:val="en-US" w:eastAsia="zh-CN"/>
              </w:rPr>
              <w:br w:type="textWrapping"/>
            </w:r>
            <w:r>
              <w:rPr>
                <w:rFonts w:hint="eastAsia" w:ascii="宋体" w:hAnsi="宋体" w:eastAsia="宋体" w:cs="宋体"/>
                <w:b w:val="0"/>
                <w:bCs/>
                <w:color w:val="auto"/>
                <w:sz w:val="21"/>
                <w:szCs w:val="21"/>
                <w:highlight w:val="none"/>
                <w:lang w:val="en-US" w:eastAsia="zh-CN"/>
              </w:rPr>
              <w:t>注：以上人员不重复计分，须提供证书复印件及近三个月内任意一个月在本单位缴纳的社保证明，不按招标文件要求提供的不得分。</w:t>
            </w:r>
          </w:p>
        </w:tc>
      </w:tr>
      <w:tr w14:paraId="77563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4" w:hRule="atLeast"/>
        </w:trPr>
        <w:tc>
          <w:tcPr>
            <w:tcW w:w="3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A10F06">
            <w:pPr>
              <w:keepNext w:val="0"/>
              <w:keepLines w:val="0"/>
              <w:pageBreakBefore w:val="0"/>
              <w:kinsoku/>
              <w:overflowPunct/>
              <w:bidi w:val="0"/>
              <w:spacing w:line="360" w:lineRule="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8138EA">
            <w:pPr>
              <w:keepNext w:val="0"/>
              <w:keepLines w:val="0"/>
              <w:pageBreakBefore w:val="0"/>
              <w:kinsoku/>
              <w:overflowPunct/>
              <w:bidi w:val="0"/>
              <w:spacing w:line="360" w:lineRule="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商务分（17分）</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6EB45">
            <w:pPr>
              <w:keepNext w:val="0"/>
              <w:keepLines w:val="0"/>
              <w:pageBreakBefore w:val="0"/>
              <w:kinsoku/>
              <w:overflowPunct/>
              <w:bidi w:val="0"/>
              <w:spacing w:line="360" w:lineRule="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（1）投标人综合实力（满分12分）</w:t>
            </w:r>
          </w:p>
        </w:tc>
        <w:tc>
          <w:tcPr>
            <w:tcW w:w="3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96FBE">
            <w:pPr>
              <w:keepNext w:val="0"/>
              <w:keepLines w:val="0"/>
              <w:pageBreakBefore w:val="0"/>
              <w:kinsoku/>
              <w:overflowPunct/>
              <w:bidi w:val="0"/>
              <w:spacing w:line="360" w:lineRule="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1）投标人具备中国网络安全审查技术与认证中心(CCRC)颁发的信息安全服务资质证书（信息系统安全运维服务资质）一级得4分，二级得2分，三级得1分，不提供不得分，满分4分。</w:t>
            </w:r>
            <w:r>
              <w:rPr>
                <w:rFonts w:hint="eastAsia" w:ascii="宋体" w:hAnsi="宋体" w:eastAsia="宋体" w:cs="宋体"/>
                <w:b w:val="0"/>
                <w:bCs/>
                <w:color w:val="auto"/>
                <w:sz w:val="21"/>
                <w:szCs w:val="21"/>
                <w:highlight w:val="none"/>
                <w:lang w:val="en-US" w:eastAsia="zh-CN"/>
              </w:rPr>
              <w:br w:type="textWrapping"/>
            </w:r>
            <w:r>
              <w:rPr>
                <w:rFonts w:hint="eastAsia" w:ascii="宋体" w:hAnsi="宋体" w:eastAsia="宋体" w:cs="宋体"/>
                <w:b w:val="0"/>
                <w:bCs/>
                <w:color w:val="auto"/>
                <w:sz w:val="21"/>
                <w:szCs w:val="21"/>
                <w:highlight w:val="none"/>
                <w:lang w:val="en-US" w:eastAsia="zh-CN"/>
              </w:rPr>
              <w:t>2）投标人具备中国网络安全审查技术与认证中心(CCRC)颁发的信息安全服务资质证书（信息安全应急处理服务资质）一级得4分，二级得2分，三级得1分，不提供不得分，满分4分。</w:t>
            </w:r>
            <w:r>
              <w:rPr>
                <w:rFonts w:hint="eastAsia" w:ascii="宋体" w:hAnsi="宋体" w:eastAsia="宋体" w:cs="宋体"/>
                <w:b w:val="0"/>
                <w:bCs/>
                <w:color w:val="auto"/>
                <w:sz w:val="21"/>
                <w:szCs w:val="21"/>
                <w:highlight w:val="none"/>
                <w:lang w:val="en-US" w:eastAsia="zh-CN"/>
              </w:rPr>
              <w:br w:type="textWrapping"/>
            </w:r>
            <w:r>
              <w:rPr>
                <w:rFonts w:hint="eastAsia" w:ascii="宋体" w:hAnsi="宋体" w:eastAsia="宋体" w:cs="宋体"/>
                <w:b w:val="0"/>
                <w:bCs/>
                <w:color w:val="auto"/>
                <w:sz w:val="21"/>
                <w:szCs w:val="21"/>
                <w:highlight w:val="none"/>
                <w:lang w:val="en-US" w:eastAsia="zh-CN"/>
              </w:rPr>
              <w:t>3）投标人具备信息系统建设和服务能力等级证书（CS5）得4分，CS4及CS3级得2分，CS2级及以下得1分，不提供不得分，满分4分。</w:t>
            </w:r>
            <w:r>
              <w:rPr>
                <w:rFonts w:hint="eastAsia" w:ascii="宋体" w:hAnsi="宋体" w:eastAsia="宋体" w:cs="宋体"/>
                <w:b w:val="0"/>
                <w:bCs/>
                <w:color w:val="auto"/>
                <w:sz w:val="21"/>
                <w:szCs w:val="21"/>
                <w:highlight w:val="none"/>
                <w:lang w:val="en-US" w:eastAsia="zh-CN"/>
              </w:rPr>
              <w:br w:type="textWrapping"/>
            </w:r>
            <w:r>
              <w:rPr>
                <w:rFonts w:hint="eastAsia" w:ascii="宋体" w:hAnsi="宋体" w:eastAsia="宋体" w:cs="宋体"/>
                <w:b w:val="0"/>
                <w:bCs/>
                <w:color w:val="auto"/>
                <w:sz w:val="21"/>
                <w:szCs w:val="21"/>
                <w:highlight w:val="none"/>
                <w:lang w:val="en-US" w:eastAsia="zh-CN"/>
              </w:rPr>
              <w:t>注：投标文件中提供相应证书扫描件。</w:t>
            </w:r>
          </w:p>
        </w:tc>
      </w:tr>
      <w:tr w14:paraId="449F9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77D93">
            <w:pPr>
              <w:keepNext w:val="0"/>
              <w:keepLines w:val="0"/>
              <w:pageBreakBefore w:val="0"/>
              <w:kinsoku/>
              <w:overflowPunct/>
              <w:bidi w:val="0"/>
              <w:spacing w:line="360" w:lineRule="auto"/>
              <w:rPr>
                <w:rFonts w:hint="eastAsia" w:ascii="宋体" w:hAnsi="宋体" w:eastAsia="宋体" w:cs="宋体"/>
                <w:b w:val="0"/>
                <w:bCs/>
                <w:color w:val="auto"/>
                <w:sz w:val="21"/>
                <w:szCs w:val="21"/>
                <w:highlight w:val="none"/>
                <w:lang w:val="en-US" w:eastAsia="zh-CN"/>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D0A73">
            <w:pPr>
              <w:keepNext w:val="0"/>
              <w:keepLines w:val="0"/>
              <w:pageBreakBefore w:val="0"/>
              <w:kinsoku/>
              <w:overflowPunct/>
              <w:bidi w:val="0"/>
              <w:spacing w:line="360" w:lineRule="auto"/>
              <w:rPr>
                <w:rFonts w:hint="eastAsia" w:ascii="宋体" w:hAnsi="宋体" w:eastAsia="宋体" w:cs="宋体"/>
                <w:b w:val="0"/>
                <w:bCs/>
                <w:color w:val="auto"/>
                <w:sz w:val="21"/>
                <w:szCs w:val="21"/>
                <w:highlight w:val="none"/>
                <w:lang w:val="en-US" w:eastAsia="zh-CN"/>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2EE1C">
            <w:pPr>
              <w:keepNext w:val="0"/>
              <w:keepLines w:val="0"/>
              <w:pageBreakBefore w:val="0"/>
              <w:kinsoku/>
              <w:overflowPunct/>
              <w:bidi w:val="0"/>
              <w:spacing w:line="360" w:lineRule="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（2）类似业绩情况（满分5分）</w:t>
            </w:r>
          </w:p>
        </w:tc>
        <w:tc>
          <w:tcPr>
            <w:tcW w:w="3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DA573">
            <w:pPr>
              <w:keepNext w:val="0"/>
              <w:keepLines w:val="0"/>
              <w:pageBreakBefore w:val="0"/>
              <w:kinsoku/>
              <w:overflowPunct/>
              <w:bidi w:val="0"/>
              <w:spacing w:line="360" w:lineRule="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投标人自2022年1月1日以来具有类似项目业绩的，每个业绩得1分，满分5分。（提供</w:t>
            </w:r>
            <w:r>
              <w:rPr>
                <w:rFonts w:hint="eastAsia" w:ascii="宋体" w:hAnsi="宋体" w:cs="宋体"/>
                <w:b w:val="0"/>
                <w:bCs/>
                <w:color w:val="auto"/>
                <w:sz w:val="21"/>
                <w:szCs w:val="21"/>
                <w:highlight w:val="none"/>
                <w:lang w:val="en-US" w:eastAsia="zh-CN"/>
              </w:rPr>
              <w:t>中标通知书或合同复印件并加盖单位公章，</w:t>
            </w:r>
            <w:r>
              <w:rPr>
                <w:rFonts w:hint="eastAsia" w:ascii="宋体" w:hAnsi="宋体" w:eastAsia="宋体" w:cs="宋体"/>
                <w:b w:val="0"/>
                <w:bCs/>
                <w:color w:val="auto"/>
                <w:sz w:val="21"/>
                <w:szCs w:val="21"/>
                <w:highlight w:val="none"/>
                <w:lang w:val="en-US" w:eastAsia="zh-CN"/>
              </w:rPr>
              <w:t>不提供</w:t>
            </w:r>
            <w:r>
              <w:rPr>
                <w:rFonts w:hint="eastAsia" w:ascii="宋体" w:hAnsi="宋体" w:cs="宋体"/>
                <w:b w:val="0"/>
                <w:bCs/>
                <w:color w:val="auto"/>
                <w:sz w:val="21"/>
                <w:szCs w:val="21"/>
                <w:highlight w:val="none"/>
                <w:lang w:val="en-US" w:eastAsia="zh-CN"/>
              </w:rPr>
              <w:t>或不按要求提供证明材料</w:t>
            </w:r>
            <w:r>
              <w:rPr>
                <w:rFonts w:hint="eastAsia" w:ascii="宋体" w:hAnsi="宋体" w:eastAsia="宋体" w:cs="宋体"/>
                <w:b w:val="0"/>
                <w:bCs/>
                <w:color w:val="auto"/>
                <w:sz w:val="21"/>
                <w:szCs w:val="21"/>
                <w:highlight w:val="none"/>
                <w:lang w:val="en-US" w:eastAsia="zh-CN"/>
              </w:rPr>
              <w:t>不得分）</w:t>
            </w:r>
          </w:p>
        </w:tc>
      </w:tr>
    </w:tbl>
    <w:p w14:paraId="252A6F7D">
      <w:pPr>
        <w:pStyle w:val="14"/>
        <w:spacing w:line="360" w:lineRule="auto"/>
        <w:rPr>
          <w:rFonts w:hint="eastAsia" w:hAnsi="宋体"/>
          <w:bCs/>
          <w:sz w:val="21"/>
        </w:rPr>
      </w:pPr>
      <w:r>
        <w:rPr>
          <w:rFonts w:hint="eastAsia" w:hAnsi="宋体"/>
          <w:bCs/>
          <w:sz w:val="21"/>
        </w:rPr>
        <w:t>注：计分方法按四舍五入取至百分位</w:t>
      </w:r>
    </w:p>
    <w:p w14:paraId="7F1607EE">
      <w:pPr>
        <w:keepNext w:val="0"/>
        <w:keepLines w:val="0"/>
        <w:pageBreakBefore w:val="0"/>
        <w:kinsoku/>
        <w:overflowPunct/>
        <w:bidi w:val="0"/>
        <w:spacing w:line="360" w:lineRule="auto"/>
        <w:rPr>
          <w:rFonts w:hint="eastAsia" w:hAnsi="宋体" w:cs="宋体"/>
          <w:b/>
          <w:color w:val="auto"/>
          <w:szCs w:val="21"/>
          <w:lang w:val="en-US" w:eastAsia="zh-CN"/>
        </w:rPr>
      </w:pPr>
    </w:p>
    <w:p w14:paraId="72B2888B">
      <w:pPr>
        <w:keepNext w:val="0"/>
        <w:keepLines w:val="0"/>
        <w:pageBreakBefore w:val="0"/>
        <w:kinsoku/>
        <w:overflowPunct/>
        <w:bidi w:val="0"/>
        <w:spacing w:line="360" w:lineRule="auto"/>
        <w:jc w:val="center"/>
        <w:rPr>
          <w:rFonts w:hAnsi="宋体" w:cs="宋体"/>
          <w:b/>
          <w:color w:val="auto"/>
          <w:szCs w:val="21"/>
        </w:rPr>
      </w:pPr>
      <w:r>
        <w:rPr>
          <w:rFonts w:hint="eastAsia" w:hAnsi="宋体" w:cs="宋体"/>
          <w:b/>
          <w:color w:val="auto"/>
          <w:szCs w:val="21"/>
          <w:lang w:val="en-US" w:eastAsia="zh-CN"/>
        </w:rPr>
        <w:t>四</w:t>
      </w:r>
      <w:r>
        <w:rPr>
          <w:rFonts w:hint="eastAsia" w:hAnsi="宋体" w:cs="宋体"/>
          <w:b/>
          <w:color w:val="auto"/>
          <w:szCs w:val="21"/>
        </w:rPr>
        <w:t>、中标候选人推荐原则</w:t>
      </w:r>
    </w:p>
    <w:p w14:paraId="549F275B">
      <w:pPr>
        <w:pStyle w:val="14"/>
        <w:keepNext w:val="0"/>
        <w:keepLines w:val="0"/>
        <w:pageBreakBefore w:val="0"/>
        <w:shd w:val="clear" w:color="auto" w:fill="auto"/>
        <w:kinsoku/>
        <w:overflowPunct/>
        <w:bidi w:val="0"/>
        <w:spacing w:line="360" w:lineRule="auto"/>
        <w:contextualSpacing/>
        <w:rPr>
          <w:rFonts w:hint="eastAsia" w:hAnsi="宋体"/>
          <w:b/>
          <w:bCs/>
          <w:color w:val="auto"/>
          <w:sz w:val="21"/>
          <w:szCs w:val="21"/>
          <w:highlight w:val="none"/>
          <w:shd w:val="clear" w:color="auto" w:fill="auto"/>
        </w:rPr>
      </w:pPr>
      <w:r>
        <w:rPr>
          <w:rFonts w:hint="eastAsia" w:hAnsi="宋体"/>
          <w:b/>
          <w:bCs/>
          <w:color w:val="auto"/>
          <w:sz w:val="21"/>
          <w:szCs w:val="21"/>
          <w:highlight w:val="none"/>
          <w:shd w:val="clear" w:color="auto" w:fill="auto"/>
        </w:rPr>
        <w:t>综合评分法</w:t>
      </w:r>
    </w:p>
    <w:p w14:paraId="45D57A6F">
      <w:pPr>
        <w:pStyle w:val="14"/>
        <w:keepNext w:val="0"/>
        <w:keepLines w:val="0"/>
        <w:pageBreakBefore w:val="0"/>
        <w:shd w:val="clear" w:color="auto" w:fill="auto"/>
        <w:kinsoku/>
        <w:overflowPunct/>
        <w:bidi w:val="0"/>
        <w:spacing w:line="360" w:lineRule="auto"/>
        <w:ind w:firstLine="420" w:firstLineChars="200"/>
        <w:contextualSpacing/>
        <w:rPr>
          <w:rFonts w:hAnsi="宋体"/>
          <w:color w:val="auto"/>
          <w:sz w:val="21"/>
          <w:highlight w:val="none"/>
          <w:shd w:val="clear" w:color="auto" w:fill="auto"/>
        </w:rPr>
      </w:pPr>
      <w:r>
        <w:rPr>
          <w:rFonts w:hint="eastAsia" w:hAnsi="宋体"/>
          <w:color w:val="auto"/>
          <w:sz w:val="21"/>
          <w:highlight w:val="none"/>
          <w:shd w:val="clear" w:color="auto" w:fill="auto"/>
        </w:rPr>
        <w:t>1</w:t>
      </w:r>
      <w:r>
        <w:rPr>
          <w:rFonts w:hAnsi="宋体"/>
          <w:color w:val="auto"/>
          <w:sz w:val="21"/>
          <w:highlight w:val="none"/>
          <w:shd w:val="clear" w:color="auto" w:fill="auto"/>
        </w:rPr>
        <w:t>.</w:t>
      </w:r>
      <w:r>
        <w:rPr>
          <w:rFonts w:hint="eastAsia" w:hAnsi="宋体"/>
          <w:color w:val="auto"/>
          <w:sz w:val="21"/>
          <w:highlight w:val="none"/>
          <w:shd w:val="clear" w:color="auto" w:fill="auto"/>
        </w:rPr>
        <w:t>评标委员会根据原始评标记录和评标结果编写评标报告，并通过电子交易平台向采购人、采购代理机构提交。</w:t>
      </w:r>
    </w:p>
    <w:p w14:paraId="73ED2FD5">
      <w:pPr>
        <w:pStyle w:val="14"/>
        <w:keepNext w:val="0"/>
        <w:keepLines w:val="0"/>
        <w:pageBreakBefore w:val="0"/>
        <w:shd w:val="clear" w:color="auto" w:fill="auto"/>
        <w:kinsoku/>
        <w:overflowPunct/>
        <w:bidi w:val="0"/>
        <w:spacing w:line="360" w:lineRule="auto"/>
        <w:ind w:firstLine="420" w:firstLineChars="200"/>
        <w:contextualSpacing/>
        <w:rPr>
          <w:rFonts w:hAnsi="宋体" w:cs="宋体"/>
          <w:color w:val="auto"/>
          <w:szCs w:val="21"/>
        </w:rPr>
      </w:pPr>
      <w:r>
        <w:rPr>
          <w:rFonts w:hint="eastAsia" w:hAnsi="宋体"/>
          <w:color w:val="auto"/>
          <w:sz w:val="21"/>
          <w:highlight w:val="none"/>
          <w:shd w:val="clear" w:color="auto" w:fill="auto"/>
        </w:rPr>
        <w:t>2</w:t>
      </w:r>
      <w:r>
        <w:rPr>
          <w:rFonts w:hAnsi="宋体"/>
          <w:color w:val="auto"/>
          <w:sz w:val="21"/>
          <w:highlight w:val="none"/>
          <w:shd w:val="clear" w:color="auto" w:fill="auto"/>
        </w:rPr>
        <w:t>.</w:t>
      </w:r>
      <w:r>
        <w:rPr>
          <w:rFonts w:hint="eastAsia" w:hAnsi="宋体"/>
          <w:color w:val="auto"/>
          <w:sz w:val="21"/>
          <w:highlight w:val="none"/>
          <w:shd w:val="clear" w:color="auto" w:fill="auto"/>
        </w:rPr>
        <w:t>评标委员会将根据综合评分由高到低排列次序（综合评分相同时，得分相同的，依次</w:t>
      </w:r>
      <w:r>
        <w:rPr>
          <w:rFonts w:hint="eastAsia" w:ascii="宋体" w:hAnsi="宋体" w:eastAsia="宋体" w:cs="宋体"/>
          <w:color w:val="auto"/>
          <w:szCs w:val="21"/>
          <w:highlight w:val="none"/>
          <w:shd w:val="clear" w:color="auto" w:fill="auto"/>
        </w:rPr>
        <w:t>按投标报价低的优先、政策分得分高的优先、技术评分高的优先、商务评分高的优先、故障响应时间短优先</w:t>
      </w:r>
      <w:r>
        <w:rPr>
          <w:rFonts w:hint="eastAsia" w:ascii="宋体" w:hAnsi="宋体" w:cs="宋体"/>
          <w:color w:val="auto"/>
          <w:szCs w:val="21"/>
          <w:highlight w:val="none"/>
          <w:shd w:val="clear" w:color="auto" w:fill="auto"/>
          <w:lang w:eastAsia="zh-CN"/>
        </w:rPr>
        <w:t>、</w:t>
      </w:r>
      <w:r>
        <w:rPr>
          <w:rFonts w:hint="eastAsia" w:ascii="宋体" w:hAnsi="宋体" w:eastAsia="宋体" w:cs="宋体"/>
          <w:color w:val="auto"/>
          <w:szCs w:val="21"/>
          <w:highlight w:val="none"/>
          <w:shd w:val="clear" w:color="auto" w:fill="auto"/>
        </w:rPr>
        <w:t>保修期长优先、</w:t>
      </w:r>
      <w:r>
        <w:rPr>
          <w:rFonts w:hint="eastAsia" w:ascii="宋体" w:hAnsi="宋体"/>
          <w:szCs w:val="21"/>
        </w:rPr>
        <w:t>拟投入人员数量多</w:t>
      </w:r>
      <w:r>
        <w:rPr>
          <w:rFonts w:hint="eastAsia" w:ascii="宋体" w:hAnsi="宋体" w:eastAsia="宋体" w:cs="宋体"/>
          <w:color w:val="auto"/>
          <w:szCs w:val="21"/>
          <w:highlight w:val="none"/>
          <w:shd w:val="clear" w:color="auto" w:fill="auto"/>
        </w:rPr>
        <w:t>优先</w:t>
      </w:r>
      <w:r>
        <w:rPr>
          <w:rFonts w:hint="eastAsia" w:hAnsi="宋体"/>
          <w:color w:val="auto"/>
          <w:sz w:val="21"/>
          <w:highlight w:val="none"/>
          <w:shd w:val="clear" w:color="auto" w:fill="auto"/>
        </w:rPr>
        <w:t>顺序排列）推荐中标候选人。中标候选人不超过3个。招标人应当确定评审委员会推荐排名第一中标候选人为中标人。排名第一的中标候选人放弃中标、因不可抗力提出不能履行合同，或者招标文件规定应当提交履约保证金而在规定的期限内未能提交的，招标人可以确定排名第二的中标候选人为中标人。排名第二的中标候选人因前款规定的同样原因不能签订合同的，招标人可以确定排名第三的中标候选人为中标人，其余以此类推。招标人也可以决定重新招标。</w:t>
      </w:r>
    </w:p>
    <w:p w14:paraId="2B3C8FE0">
      <w:pPr>
        <w:keepNext w:val="0"/>
        <w:keepLines w:val="0"/>
        <w:pageBreakBefore w:val="0"/>
        <w:kinsoku/>
        <w:overflowPunct/>
        <w:bidi w:val="0"/>
        <w:spacing w:line="360" w:lineRule="auto"/>
        <w:rPr>
          <w:rFonts w:ascii="宋体" w:hAnsi="宋体" w:cs="宋体"/>
          <w:color w:val="auto"/>
          <w:szCs w:val="21"/>
        </w:rPr>
      </w:pPr>
      <w:r>
        <w:rPr>
          <w:rFonts w:hint="eastAsia" w:ascii="宋体" w:hAnsi="宋体" w:cs="宋体"/>
          <w:color w:val="auto"/>
          <w:szCs w:val="21"/>
        </w:rPr>
        <w:br w:type="page"/>
      </w:r>
    </w:p>
    <w:p w14:paraId="28A4FB2E">
      <w:pPr>
        <w:pStyle w:val="23"/>
        <w:keepNext w:val="0"/>
        <w:keepLines w:val="0"/>
        <w:pageBreakBefore w:val="0"/>
        <w:kinsoku/>
        <w:overflowPunct/>
        <w:bidi w:val="0"/>
        <w:spacing w:line="360" w:lineRule="auto"/>
        <w:ind w:firstLine="0" w:firstLineChars="0"/>
        <w:jc w:val="center"/>
        <w:outlineLvl w:val="0"/>
        <w:rPr>
          <w:rFonts w:hAnsi="宋体" w:cs="宋体"/>
          <w:b/>
          <w:bCs/>
          <w:color w:val="auto"/>
          <w:sz w:val="32"/>
          <w:szCs w:val="32"/>
        </w:rPr>
      </w:pPr>
      <w:bookmarkStart w:id="161" w:name="_Toc16844"/>
      <w:r>
        <w:rPr>
          <w:rFonts w:hint="eastAsia" w:hAnsi="宋体" w:cs="宋体"/>
          <w:b/>
          <w:bCs/>
          <w:color w:val="auto"/>
          <w:sz w:val="32"/>
          <w:szCs w:val="32"/>
        </w:rPr>
        <w:t xml:space="preserve">第五章  </w:t>
      </w:r>
      <w:r>
        <w:rPr>
          <w:rFonts w:hint="eastAsia" w:hAnsi="宋体" w:cs="宋体"/>
          <w:b/>
          <w:bCs/>
          <w:color w:val="auto"/>
          <w:sz w:val="32"/>
          <w:szCs w:val="32"/>
          <w:lang w:val="en-US" w:eastAsia="zh-CN"/>
        </w:rPr>
        <w:t>投标</w:t>
      </w:r>
      <w:r>
        <w:rPr>
          <w:rFonts w:hint="eastAsia" w:hAnsi="宋体" w:cs="宋体"/>
          <w:b/>
          <w:bCs/>
          <w:color w:val="auto"/>
          <w:sz w:val="32"/>
          <w:szCs w:val="32"/>
        </w:rPr>
        <w:t>文件格式</w:t>
      </w:r>
      <w:bookmarkEnd w:id="161"/>
    </w:p>
    <w:p w14:paraId="482295E2">
      <w:pPr>
        <w:keepNext w:val="0"/>
        <w:keepLines w:val="0"/>
        <w:pageBreakBefore w:val="0"/>
        <w:kinsoku/>
        <w:overflowPunct/>
        <w:bidi w:val="0"/>
        <w:snapToGrid w:val="0"/>
        <w:spacing w:before="50" w:after="50" w:line="360" w:lineRule="auto"/>
        <w:outlineLvl w:val="9"/>
        <w:rPr>
          <w:rFonts w:ascii="宋体" w:hAnsi="宋体" w:cs="宋体"/>
          <w:b/>
          <w:bCs/>
          <w:color w:val="auto"/>
          <w:sz w:val="24"/>
          <w:szCs w:val="20"/>
        </w:rPr>
      </w:pPr>
      <w:bookmarkStart w:id="162" w:name="_Toc254970697"/>
      <w:bookmarkStart w:id="163" w:name="_Toc254970556"/>
      <w:bookmarkStart w:id="164" w:name="_Toc19686835"/>
      <w:r>
        <w:rPr>
          <w:rFonts w:hint="eastAsia" w:ascii="宋体" w:hAnsi="宋体" w:cs="宋体"/>
          <w:b/>
          <w:bCs/>
          <w:color w:val="auto"/>
          <w:sz w:val="24"/>
        </w:rPr>
        <w:t>一、投标文件外层包装封面格式</w:t>
      </w:r>
      <w:bookmarkEnd w:id="162"/>
      <w:bookmarkEnd w:id="163"/>
      <w:bookmarkEnd w:id="164"/>
      <w:r>
        <w:rPr>
          <w:rFonts w:hint="eastAsia" w:ascii="宋体" w:hAnsi="宋体" w:cs="宋体"/>
          <w:b/>
          <w:color w:val="auto"/>
          <w:sz w:val="24"/>
        </w:rPr>
        <w:t xml:space="preserve"> </w:t>
      </w:r>
    </w:p>
    <w:p w14:paraId="35FA6256">
      <w:pPr>
        <w:keepNext w:val="0"/>
        <w:keepLines w:val="0"/>
        <w:pageBreakBefore w:val="0"/>
        <w:kinsoku/>
        <w:overflowPunct/>
        <w:bidi w:val="0"/>
        <w:snapToGrid w:val="0"/>
        <w:spacing w:before="120" w:beforeLines="50" w:after="50" w:line="360" w:lineRule="auto"/>
        <w:jc w:val="center"/>
        <w:rPr>
          <w:rFonts w:ascii="宋体" w:hAnsi="宋体" w:cs="宋体"/>
          <w:bCs/>
          <w:color w:val="auto"/>
          <w:sz w:val="24"/>
          <w:szCs w:val="20"/>
        </w:rPr>
      </w:pPr>
    </w:p>
    <w:p w14:paraId="6B571E2C">
      <w:pPr>
        <w:keepNext w:val="0"/>
        <w:keepLines w:val="0"/>
        <w:pageBreakBefore w:val="0"/>
        <w:kinsoku/>
        <w:overflowPunct/>
        <w:bidi w:val="0"/>
        <w:snapToGrid w:val="0"/>
        <w:spacing w:before="120" w:beforeLines="50" w:after="50" w:line="360" w:lineRule="auto"/>
        <w:jc w:val="center"/>
        <w:rPr>
          <w:rFonts w:ascii="宋体" w:hAnsi="宋体" w:cs="宋体"/>
          <w:bCs/>
          <w:color w:val="auto"/>
          <w:sz w:val="32"/>
          <w:szCs w:val="32"/>
        </w:rPr>
      </w:pPr>
      <w:r>
        <w:rPr>
          <w:rFonts w:hint="eastAsia" w:ascii="宋体" w:hAnsi="宋体" w:cs="宋体"/>
          <w:bCs/>
          <w:color w:val="auto"/>
          <w:sz w:val="32"/>
          <w:szCs w:val="32"/>
        </w:rPr>
        <w:t>投 标 文 件</w:t>
      </w:r>
    </w:p>
    <w:p w14:paraId="6114ED64">
      <w:pPr>
        <w:keepNext w:val="0"/>
        <w:keepLines w:val="0"/>
        <w:pageBreakBefore w:val="0"/>
        <w:kinsoku/>
        <w:overflowPunct/>
        <w:bidi w:val="0"/>
        <w:snapToGrid w:val="0"/>
        <w:spacing w:before="120" w:beforeLines="50" w:after="50" w:line="360" w:lineRule="auto"/>
        <w:rPr>
          <w:rFonts w:ascii="宋体" w:hAnsi="宋体" w:cs="宋体"/>
          <w:bCs/>
          <w:color w:val="auto"/>
          <w:sz w:val="24"/>
          <w:szCs w:val="20"/>
        </w:rPr>
      </w:pPr>
    </w:p>
    <w:p w14:paraId="1E8B0F9A">
      <w:pPr>
        <w:keepNext w:val="0"/>
        <w:keepLines w:val="0"/>
        <w:pageBreakBefore w:val="0"/>
        <w:kinsoku/>
        <w:overflowPunct/>
        <w:bidi w:val="0"/>
        <w:snapToGrid w:val="0"/>
        <w:spacing w:before="120" w:beforeLines="50" w:after="50" w:line="360" w:lineRule="auto"/>
        <w:rPr>
          <w:rFonts w:ascii="宋体" w:hAnsi="宋体" w:cs="宋体"/>
          <w:bCs/>
          <w:color w:val="auto"/>
          <w:sz w:val="24"/>
          <w:szCs w:val="20"/>
        </w:rPr>
      </w:pPr>
    </w:p>
    <w:p w14:paraId="4C51E84D">
      <w:pPr>
        <w:keepNext w:val="0"/>
        <w:keepLines w:val="0"/>
        <w:pageBreakBefore w:val="0"/>
        <w:kinsoku/>
        <w:overflowPunct/>
        <w:bidi w:val="0"/>
        <w:snapToGrid w:val="0"/>
        <w:spacing w:before="120" w:beforeLines="50" w:after="50" w:line="360" w:lineRule="auto"/>
        <w:rPr>
          <w:rFonts w:ascii="宋体" w:hAnsi="宋体" w:cs="宋体"/>
          <w:bCs/>
          <w:color w:val="auto"/>
          <w:sz w:val="24"/>
          <w:szCs w:val="20"/>
        </w:rPr>
      </w:pPr>
    </w:p>
    <w:p w14:paraId="2F14E92C">
      <w:pPr>
        <w:keepNext w:val="0"/>
        <w:keepLines w:val="0"/>
        <w:pageBreakBefore w:val="0"/>
        <w:kinsoku/>
        <w:overflowPunct/>
        <w:bidi w:val="0"/>
        <w:snapToGrid w:val="0"/>
        <w:spacing w:before="120" w:beforeLines="50" w:after="50" w:line="360" w:lineRule="auto"/>
        <w:ind w:firstLine="360" w:firstLineChars="150"/>
        <w:rPr>
          <w:rFonts w:ascii="宋体" w:hAnsi="宋体" w:cs="宋体"/>
          <w:bCs/>
          <w:color w:val="auto"/>
          <w:sz w:val="24"/>
        </w:rPr>
      </w:pPr>
      <w:r>
        <w:rPr>
          <w:rFonts w:hint="eastAsia" w:ascii="宋体" w:hAnsi="宋体" w:cs="宋体"/>
          <w:bCs/>
          <w:color w:val="auto"/>
          <w:sz w:val="24"/>
        </w:rPr>
        <w:t>项目名称：</w:t>
      </w:r>
    </w:p>
    <w:p w14:paraId="5056F7DD">
      <w:pPr>
        <w:keepNext w:val="0"/>
        <w:keepLines w:val="0"/>
        <w:pageBreakBefore w:val="0"/>
        <w:kinsoku/>
        <w:overflowPunct/>
        <w:bidi w:val="0"/>
        <w:snapToGrid w:val="0"/>
        <w:spacing w:before="120" w:beforeLines="50" w:after="50" w:line="360" w:lineRule="auto"/>
        <w:ind w:firstLine="360" w:firstLineChars="150"/>
        <w:rPr>
          <w:rFonts w:ascii="宋体" w:hAnsi="宋体" w:cs="宋体"/>
          <w:bCs/>
          <w:color w:val="auto"/>
          <w:sz w:val="24"/>
          <w:szCs w:val="20"/>
        </w:rPr>
      </w:pPr>
    </w:p>
    <w:p w14:paraId="3E293714">
      <w:pPr>
        <w:keepNext w:val="0"/>
        <w:keepLines w:val="0"/>
        <w:pageBreakBefore w:val="0"/>
        <w:kinsoku/>
        <w:overflowPunct/>
        <w:bidi w:val="0"/>
        <w:snapToGrid w:val="0"/>
        <w:spacing w:before="120" w:beforeLines="50" w:after="50" w:line="360" w:lineRule="auto"/>
        <w:ind w:firstLine="360" w:firstLineChars="150"/>
        <w:rPr>
          <w:rFonts w:ascii="宋体" w:hAnsi="宋体" w:cs="宋体"/>
          <w:bCs/>
          <w:color w:val="auto"/>
          <w:sz w:val="24"/>
        </w:rPr>
      </w:pPr>
      <w:r>
        <w:rPr>
          <w:rFonts w:hint="eastAsia" w:ascii="宋体" w:hAnsi="宋体" w:cs="宋体"/>
          <w:bCs/>
          <w:color w:val="auto"/>
          <w:sz w:val="24"/>
        </w:rPr>
        <w:t>项目编号：</w:t>
      </w:r>
    </w:p>
    <w:p w14:paraId="58FEADDC">
      <w:pPr>
        <w:keepNext w:val="0"/>
        <w:keepLines w:val="0"/>
        <w:pageBreakBefore w:val="0"/>
        <w:kinsoku/>
        <w:overflowPunct/>
        <w:bidi w:val="0"/>
        <w:snapToGrid w:val="0"/>
        <w:spacing w:before="120" w:beforeLines="50" w:after="50" w:line="360" w:lineRule="auto"/>
        <w:rPr>
          <w:rFonts w:ascii="宋体" w:hAnsi="宋体" w:cs="宋体"/>
          <w:bCs/>
          <w:color w:val="auto"/>
          <w:sz w:val="24"/>
          <w:szCs w:val="20"/>
        </w:rPr>
      </w:pPr>
    </w:p>
    <w:p w14:paraId="122C6F6D">
      <w:pPr>
        <w:keepNext w:val="0"/>
        <w:keepLines w:val="0"/>
        <w:pageBreakBefore w:val="0"/>
        <w:kinsoku/>
        <w:overflowPunct/>
        <w:bidi w:val="0"/>
        <w:snapToGrid w:val="0"/>
        <w:spacing w:before="120" w:beforeLines="50" w:after="50" w:line="360" w:lineRule="auto"/>
        <w:ind w:firstLine="360" w:firstLineChars="150"/>
        <w:rPr>
          <w:rFonts w:ascii="宋体" w:hAnsi="宋体" w:cs="宋体"/>
          <w:bCs/>
          <w:color w:val="auto"/>
          <w:sz w:val="24"/>
          <w:szCs w:val="20"/>
        </w:rPr>
      </w:pPr>
      <w:r>
        <w:rPr>
          <w:rFonts w:hint="eastAsia" w:ascii="宋体" w:hAnsi="宋体" w:cs="宋体"/>
          <w:bCs/>
          <w:color w:val="auto"/>
          <w:sz w:val="24"/>
          <w:szCs w:val="20"/>
        </w:rPr>
        <w:t>投标人名称：</w:t>
      </w:r>
    </w:p>
    <w:p w14:paraId="70C1A235">
      <w:pPr>
        <w:keepNext w:val="0"/>
        <w:keepLines w:val="0"/>
        <w:pageBreakBefore w:val="0"/>
        <w:kinsoku/>
        <w:overflowPunct/>
        <w:bidi w:val="0"/>
        <w:snapToGrid w:val="0"/>
        <w:spacing w:before="120" w:beforeLines="50" w:after="50" w:line="360" w:lineRule="auto"/>
        <w:ind w:firstLine="360" w:firstLineChars="150"/>
        <w:rPr>
          <w:rFonts w:ascii="宋体" w:hAnsi="宋体" w:cs="宋体"/>
          <w:bCs/>
          <w:color w:val="auto"/>
          <w:sz w:val="24"/>
          <w:szCs w:val="20"/>
        </w:rPr>
      </w:pPr>
    </w:p>
    <w:p w14:paraId="23B5C5A3">
      <w:pPr>
        <w:keepNext w:val="0"/>
        <w:keepLines w:val="0"/>
        <w:pageBreakBefore w:val="0"/>
        <w:kinsoku/>
        <w:overflowPunct/>
        <w:bidi w:val="0"/>
        <w:snapToGrid w:val="0"/>
        <w:spacing w:before="120" w:beforeLines="50" w:after="50" w:line="360" w:lineRule="auto"/>
        <w:ind w:firstLine="360" w:firstLineChars="150"/>
        <w:rPr>
          <w:rFonts w:ascii="宋体" w:hAnsi="宋体" w:cs="宋体"/>
          <w:bCs/>
          <w:color w:val="auto"/>
          <w:sz w:val="24"/>
          <w:szCs w:val="20"/>
        </w:rPr>
      </w:pPr>
      <w:r>
        <w:rPr>
          <w:rFonts w:hint="eastAsia" w:ascii="宋体" w:hAnsi="宋体" w:cs="宋体"/>
          <w:bCs/>
          <w:color w:val="auto"/>
          <w:sz w:val="24"/>
          <w:szCs w:val="20"/>
        </w:rPr>
        <w:t>投标人地址：</w:t>
      </w:r>
    </w:p>
    <w:p w14:paraId="533215D1">
      <w:pPr>
        <w:keepNext w:val="0"/>
        <w:keepLines w:val="0"/>
        <w:pageBreakBefore w:val="0"/>
        <w:kinsoku/>
        <w:overflowPunct/>
        <w:bidi w:val="0"/>
        <w:snapToGrid w:val="0"/>
        <w:spacing w:before="120" w:beforeLines="50" w:after="50" w:line="360" w:lineRule="auto"/>
        <w:ind w:firstLine="360" w:firstLineChars="150"/>
        <w:rPr>
          <w:rFonts w:ascii="宋体" w:hAnsi="宋体" w:cs="宋体"/>
          <w:bCs/>
          <w:color w:val="auto"/>
          <w:sz w:val="24"/>
          <w:szCs w:val="20"/>
        </w:rPr>
      </w:pPr>
    </w:p>
    <w:p w14:paraId="18D29FA8">
      <w:pPr>
        <w:keepNext w:val="0"/>
        <w:keepLines w:val="0"/>
        <w:pageBreakBefore w:val="0"/>
        <w:kinsoku/>
        <w:overflowPunct/>
        <w:bidi w:val="0"/>
        <w:snapToGrid w:val="0"/>
        <w:spacing w:before="120" w:beforeLines="50" w:after="50" w:line="360" w:lineRule="auto"/>
        <w:ind w:firstLine="360" w:firstLineChars="150"/>
        <w:jc w:val="center"/>
        <w:rPr>
          <w:rFonts w:ascii="宋体" w:hAnsi="宋体" w:cs="宋体"/>
          <w:bCs/>
          <w:color w:val="auto"/>
          <w:sz w:val="24"/>
        </w:rPr>
      </w:pPr>
      <w:r>
        <w:rPr>
          <w:rFonts w:hint="eastAsia" w:ascii="宋体" w:hAnsi="宋体" w:cs="宋体"/>
          <w:bCs/>
          <w:color w:val="auto"/>
          <w:sz w:val="24"/>
          <w:szCs w:val="20"/>
        </w:rPr>
        <w:t>开标时启封</w:t>
      </w:r>
    </w:p>
    <w:p w14:paraId="1E7DF7B0">
      <w:pPr>
        <w:keepNext w:val="0"/>
        <w:keepLines w:val="0"/>
        <w:pageBreakBefore w:val="0"/>
        <w:kinsoku/>
        <w:overflowPunct/>
        <w:bidi w:val="0"/>
        <w:snapToGrid w:val="0"/>
        <w:spacing w:before="120" w:beforeLines="50" w:after="50" w:line="360" w:lineRule="auto"/>
        <w:ind w:firstLine="4080" w:firstLineChars="1700"/>
        <w:rPr>
          <w:rFonts w:ascii="宋体" w:hAnsi="宋体" w:cs="宋体"/>
          <w:bCs/>
          <w:color w:val="auto"/>
          <w:sz w:val="24"/>
          <w:szCs w:val="20"/>
        </w:rPr>
      </w:pPr>
    </w:p>
    <w:p w14:paraId="3DF032F2">
      <w:pPr>
        <w:keepNext w:val="0"/>
        <w:keepLines w:val="0"/>
        <w:pageBreakBefore w:val="0"/>
        <w:kinsoku/>
        <w:overflowPunct/>
        <w:bidi w:val="0"/>
        <w:snapToGrid w:val="0"/>
        <w:spacing w:before="120" w:beforeLines="50" w:after="50" w:line="360" w:lineRule="auto"/>
        <w:ind w:firstLine="645"/>
        <w:jc w:val="left"/>
        <w:rPr>
          <w:rFonts w:ascii="宋体" w:hAnsi="宋体" w:cs="宋体"/>
          <w:bCs/>
          <w:color w:val="auto"/>
          <w:sz w:val="24"/>
          <w:szCs w:val="20"/>
        </w:rPr>
      </w:pPr>
      <w:r>
        <w:rPr>
          <w:rFonts w:hint="eastAsia" w:ascii="宋体" w:hAnsi="宋体" w:cs="宋体"/>
          <w:bCs/>
          <w:color w:val="auto"/>
          <w:sz w:val="24"/>
        </w:rPr>
        <w:t xml:space="preserve">                        年    月    日</w:t>
      </w:r>
    </w:p>
    <w:p w14:paraId="4ABD7C97">
      <w:pPr>
        <w:keepNext w:val="0"/>
        <w:keepLines w:val="0"/>
        <w:pageBreakBefore w:val="0"/>
        <w:kinsoku/>
        <w:overflowPunct/>
        <w:bidi w:val="0"/>
        <w:snapToGrid w:val="0"/>
        <w:spacing w:before="120" w:beforeLines="50" w:after="50" w:line="360" w:lineRule="auto"/>
        <w:jc w:val="center"/>
        <w:outlineLvl w:val="9"/>
        <w:rPr>
          <w:rFonts w:ascii="宋体" w:hAnsi="宋体" w:cs="宋体"/>
          <w:color w:val="auto"/>
        </w:rPr>
      </w:pPr>
    </w:p>
    <w:p w14:paraId="1B44C469">
      <w:pPr>
        <w:keepNext w:val="0"/>
        <w:keepLines w:val="0"/>
        <w:pageBreakBefore w:val="0"/>
        <w:kinsoku/>
        <w:overflowPunct/>
        <w:bidi w:val="0"/>
        <w:spacing w:line="360" w:lineRule="auto"/>
        <w:rPr>
          <w:rFonts w:ascii="宋体" w:hAnsi="宋体" w:cs="宋体"/>
          <w:color w:val="auto"/>
          <w:szCs w:val="21"/>
        </w:rPr>
      </w:pPr>
      <w:r>
        <w:rPr>
          <w:rFonts w:hint="eastAsia" w:ascii="宋体" w:hAnsi="宋体" w:cs="宋体"/>
          <w:color w:val="auto"/>
          <w:szCs w:val="21"/>
        </w:rPr>
        <w:br w:type="page"/>
      </w:r>
    </w:p>
    <w:p w14:paraId="43A20D63">
      <w:pPr>
        <w:keepNext w:val="0"/>
        <w:keepLines w:val="0"/>
        <w:pageBreakBefore w:val="0"/>
        <w:kinsoku/>
        <w:overflowPunct/>
        <w:bidi w:val="0"/>
        <w:snapToGrid w:val="0"/>
        <w:spacing w:before="120" w:beforeLines="50" w:after="50" w:line="360" w:lineRule="auto"/>
        <w:outlineLvl w:val="9"/>
        <w:rPr>
          <w:rFonts w:ascii="宋体" w:hAnsi="宋体" w:cs="宋体"/>
          <w:b/>
          <w:bCs/>
          <w:color w:val="auto"/>
          <w:sz w:val="24"/>
        </w:rPr>
      </w:pPr>
      <w:bookmarkStart w:id="165" w:name="_Toc19686836"/>
      <w:r>
        <w:rPr>
          <w:rFonts w:hint="eastAsia" w:ascii="宋体" w:hAnsi="宋体" w:cs="宋体"/>
          <w:b/>
          <w:bCs/>
          <w:color w:val="auto"/>
          <w:sz w:val="24"/>
        </w:rPr>
        <w:t>二、资格证明文件格式</w:t>
      </w:r>
    </w:p>
    <w:p w14:paraId="6188A295">
      <w:pPr>
        <w:keepNext w:val="0"/>
        <w:keepLines w:val="0"/>
        <w:pageBreakBefore w:val="0"/>
        <w:numPr>
          <w:ilvl w:val="2"/>
          <w:numId w:val="0"/>
        </w:numPr>
        <w:kinsoku/>
        <w:overflowPunct/>
        <w:bidi w:val="0"/>
        <w:snapToGrid w:val="0"/>
        <w:spacing w:before="120" w:beforeLines="50" w:after="50" w:line="360" w:lineRule="auto"/>
        <w:jc w:val="left"/>
        <w:rPr>
          <w:rFonts w:hint="eastAsia" w:ascii="宋体" w:hAnsi="宋体" w:eastAsia="宋体" w:cs="宋体"/>
          <w:bCs/>
          <w:color w:val="auto"/>
          <w:sz w:val="32"/>
          <w:szCs w:val="20"/>
          <w:lang w:eastAsia="zh-CN"/>
        </w:rPr>
      </w:pPr>
      <w:r>
        <w:rPr>
          <w:rFonts w:ascii="宋体" w:hAnsi="宋体" w:cs="宋体"/>
          <w:b/>
          <w:color w:val="auto"/>
          <w:sz w:val="24"/>
        </w:rPr>
        <w:t>1.</w:t>
      </w:r>
      <w:r>
        <w:rPr>
          <w:rFonts w:hint="eastAsia" w:ascii="宋体" w:hAnsi="宋体" w:cs="宋体"/>
          <w:b/>
          <w:color w:val="auto"/>
          <w:sz w:val="24"/>
        </w:rPr>
        <w:t>资格证明文件封面格式：</w:t>
      </w:r>
    </w:p>
    <w:p w14:paraId="2DEFFA3F">
      <w:pPr>
        <w:keepNext w:val="0"/>
        <w:keepLines w:val="0"/>
        <w:pageBreakBefore w:val="0"/>
        <w:kinsoku/>
        <w:overflowPunct/>
        <w:bidi w:val="0"/>
        <w:snapToGrid w:val="0"/>
        <w:spacing w:before="120" w:beforeLines="50" w:after="50" w:line="360" w:lineRule="auto"/>
        <w:rPr>
          <w:rFonts w:ascii="宋体" w:hAnsi="宋体" w:cs="宋体"/>
          <w:color w:val="auto"/>
          <w:sz w:val="24"/>
          <w:szCs w:val="20"/>
        </w:rPr>
      </w:pPr>
    </w:p>
    <w:p w14:paraId="2F9E297D">
      <w:pPr>
        <w:keepNext w:val="0"/>
        <w:keepLines w:val="0"/>
        <w:pageBreakBefore w:val="0"/>
        <w:shd w:val="clear" w:color="auto" w:fill="auto"/>
        <w:kinsoku/>
        <w:overflowPunct/>
        <w:bidi w:val="0"/>
        <w:snapToGrid w:val="0"/>
        <w:spacing w:before="120" w:beforeLines="50" w:after="50" w:line="360" w:lineRule="auto"/>
        <w:jc w:val="center"/>
        <w:rPr>
          <w:rFonts w:hint="eastAsia" w:ascii="宋体" w:hAnsi="宋体" w:cs="宋体"/>
          <w:bCs/>
          <w:color w:val="auto"/>
          <w:sz w:val="32"/>
          <w:szCs w:val="32"/>
        </w:rPr>
      </w:pPr>
      <w:r>
        <w:rPr>
          <w:rFonts w:hint="eastAsia" w:ascii="宋体" w:hAnsi="宋体" w:eastAsia="方正小标宋简体"/>
          <w:bCs/>
          <w:color w:val="auto"/>
          <w:sz w:val="48"/>
          <w:szCs w:val="48"/>
          <w:highlight w:val="none"/>
          <w:shd w:val="clear" w:color="auto" w:fill="auto"/>
        </w:rPr>
        <w:t>电子投标文件</w:t>
      </w:r>
    </w:p>
    <w:p w14:paraId="3CF79613">
      <w:pPr>
        <w:keepNext w:val="0"/>
        <w:keepLines w:val="0"/>
        <w:pageBreakBefore w:val="0"/>
        <w:kinsoku/>
        <w:overflowPunct/>
        <w:bidi w:val="0"/>
        <w:snapToGrid w:val="0"/>
        <w:spacing w:before="120" w:beforeLines="50" w:after="50" w:line="360" w:lineRule="auto"/>
        <w:jc w:val="center"/>
        <w:rPr>
          <w:rFonts w:ascii="宋体" w:hAnsi="宋体" w:cs="宋体"/>
          <w:bCs/>
          <w:color w:val="auto"/>
          <w:sz w:val="24"/>
          <w:szCs w:val="20"/>
        </w:rPr>
      </w:pPr>
      <w:r>
        <w:rPr>
          <w:rFonts w:hint="eastAsia" w:ascii="宋体" w:hAnsi="宋体" w:cs="宋体"/>
          <w:bCs/>
          <w:color w:val="auto"/>
          <w:sz w:val="32"/>
          <w:szCs w:val="32"/>
        </w:rPr>
        <w:t>资格证明文件</w:t>
      </w:r>
    </w:p>
    <w:p w14:paraId="4B391745">
      <w:pPr>
        <w:keepNext w:val="0"/>
        <w:keepLines w:val="0"/>
        <w:pageBreakBefore w:val="0"/>
        <w:kinsoku/>
        <w:overflowPunct/>
        <w:bidi w:val="0"/>
        <w:snapToGrid w:val="0"/>
        <w:spacing w:before="120" w:beforeLines="50" w:after="50" w:line="360" w:lineRule="auto"/>
        <w:rPr>
          <w:rFonts w:ascii="宋体" w:hAnsi="宋体" w:cs="宋体"/>
          <w:bCs/>
          <w:color w:val="auto"/>
          <w:sz w:val="24"/>
          <w:szCs w:val="20"/>
        </w:rPr>
      </w:pPr>
    </w:p>
    <w:p w14:paraId="20245A4B">
      <w:pPr>
        <w:keepNext w:val="0"/>
        <w:keepLines w:val="0"/>
        <w:pageBreakBefore w:val="0"/>
        <w:kinsoku/>
        <w:overflowPunct/>
        <w:bidi w:val="0"/>
        <w:snapToGrid w:val="0"/>
        <w:spacing w:before="120" w:beforeLines="50" w:after="50" w:line="360" w:lineRule="auto"/>
        <w:ind w:firstLine="540" w:firstLineChars="225"/>
        <w:rPr>
          <w:rFonts w:ascii="宋体" w:hAnsi="宋体" w:cs="宋体"/>
          <w:bCs/>
          <w:color w:val="auto"/>
          <w:sz w:val="24"/>
        </w:rPr>
      </w:pPr>
      <w:r>
        <w:rPr>
          <w:rFonts w:hint="eastAsia" w:ascii="宋体" w:hAnsi="宋体" w:cs="宋体"/>
          <w:bCs/>
          <w:color w:val="auto"/>
          <w:sz w:val="24"/>
        </w:rPr>
        <w:t>项目名称：</w:t>
      </w:r>
    </w:p>
    <w:p w14:paraId="56EABB2E">
      <w:pPr>
        <w:keepNext w:val="0"/>
        <w:keepLines w:val="0"/>
        <w:pageBreakBefore w:val="0"/>
        <w:kinsoku/>
        <w:overflowPunct/>
        <w:bidi w:val="0"/>
        <w:snapToGrid w:val="0"/>
        <w:spacing w:before="120" w:beforeLines="50" w:after="50" w:line="360" w:lineRule="auto"/>
        <w:ind w:firstLine="540" w:firstLineChars="225"/>
        <w:rPr>
          <w:rFonts w:ascii="宋体" w:hAnsi="宋体" w:cs="宋体"/>
          <w:bCs/>
          <w:color w:val="auto"/>
          <w:sz w:val="24"/>
          <w:szCs w:val="20"/>
        </w:rPr>
      </w:pPr>
    </w:p>
    <w:p w14:paraId="5CBD89BF">
      <w:pPr>
        <w:keepNext w:val="0"/>
        <w:keepLines w:val="0"/>
        <w:pageBreakBefore w:val="0"/>
        <w:kinsoku/>
        <w:overflowPunct/>
        <w:bidi w:val="0"/>
        <w:snapToGrid w:val="0"/>
        <w:spacing w:before="120" w:beforeLines="50" w:after="50" w:line="360" w:lineRule="auto"/>
        <w:ind w:firstLine="540" w:firstLineChars="225"/>
        <w:rPr>
          <w:rFonts w:ascii="宋体" w:hAnsi="宋体" w:cs="宋体"/>
          <w:bCs/>
          <w:color w:val="auto"/>
          <w:sz w:val="24"/>
        </w:rPr>
      </w:pPr>
      <w:r>
        <w:rPr>
          <w:rFonts w:hint="eastAsia" w:ascii="宋体" w:hAnsi="宋体" w:cs="宋体"/>
          <w:bCs/>
          <w:color w:val="auto"/>
          <w:sz w:val="24"/>
        </w:rPr>
        <w:t>项目编号：</w:t>
      </w:r>
    </w:p>
    <w:p w14:paraId="1A57E4AD">
      <w:pPr>
        <w:keepNext w:val="0"/>
        <w:keepLines w:val="0"/>
        <w:pageBreakBefore w:val="0"/>
        <w:kinsoku/>
        <w:overflowPunct/>
        <w:bidi w:val="0"/>
        <w:snapToGrid w:val="0"/>
        <w:spacing w:before="120" w:beforeLines="50" w:after="50" w:line="360" w:lineRule="auto"/>
        <w:ind w:firstLine="540" w:firstLineChars="225"/>
        <w:rPr>
          <w:rFonts w:ascii="宋体" w:hAnsi="宋体" w:cs="宋体"/>
          <w:bCs/>
          <w:color w:val="auto"/>
          <w:sz w:val="24"/>
          <w:szCs w:val="20"/>
        </w:rPr>
      </w:pPr>
      <w:r>
        <w:rPr>
          <w:rFonts w:hint="eastAsia" w:ascii="宋体" w:hAnsi="宋体" w:cs="宋体"/>
          <w:bCs/>
          <w:color w:val="auto"/>
          <w:sz w:val="24"/>
        </w:rPr>
        <w:t xml:space="preserve"> </w:t>
      </w:r>
    </w:p>
    <w:p w14:paraId="4476804E">
      <w:pPr>
        <w:pStyle w:val="8"/>
        <w:keepNext w:val="0"/>
        <w:keepLines w:val="0"/>
        <w:pageBreakBefore w:val="0"/>
        <w:kinsoku/>
        <w:overflowPunct/>
        <w:bidi w:val="0"/>
        <w:snapToGrid w:val="0"/>
        <w:spacing w:before="50" w:after="50" w:line="360" w:lineRule="auto"/>
        <w:ind w:firstLine="540" w:firstLineChars="225"/>
        <w:rPr>
          <w:rFonts w:ascii="宋体" w:hAnsi="宋体" w:cs="宋体"/>
          <w:bCs/>
          <w:color w:val="auto"/>
          <w:sz w:val="24"/>
          <w:szCs w:val="24"/>
        </w:rPr>
      </w:pPr>
      <w:r>
        <w:rPr>
          <w:rFonts w:hint="eastAsia" w:ascii="宋体" w:hAnsi="宋体" w:cs="宋体"/>
          <w:bCs/>
          <w:color w:val="auto"/>
          <w:sz w:val="24"/>
          <w:szCs w:val="24"/>
        </w:rPr>
        <w:t>投标人名称：</w:t>
      </w:r>
    </w:p>
    <w:p w14:paraId="33AF027C">
      <w:pPr>
        <w:pStyle w:val="8"/>
        <w:keepNext w:val="0"/>
        <w:keepLines w:val="0"/>
        <w:pageBreakBefore w:val="0"/>
        <w:kinsoku/>
        <w:overflowPunct/>
        <w:bidi w:val="0"/>
        <w:snapToGrid w:val="0"/>
        <w:spacing w:before="50" w:after="50" w:line="360" w:lineRule="auto"/>
        <w:ind w:firstLine="540" w:firstLineChars="225"/>
        <w:rPr>
          <w:rFonts w:ascii="宋体" w:hAnsi="宋体" w:cs="宋体"/>
          <w:bCs/>
          <w:color w:val="auto"/>
          <w:sz w:val="24"/>
          <w:szCs w:val="24"/>
        </w:rPr>
      </w:pPr>
    </w:p>
    <w:p w14:paraId="6D7A2AA3">
      <w:pPr>
        <w:pStyle w:val="8"/>
        <w:keepNext w:val="0"/>
        <w:keepLines w:val="0"/>
        <w:pageBreakBefore w:val="0"/>
        <w:kinsoku/>
        <w:overflowPunct/>
        <w:bidi w:val="0"/>
        <w:snapToGrid w:val="0"/>
        <w:spacing w:before="50" w:after="50" w:line="360" w:lineRule="auto"/>
        <w:ind w:firstLine="540" w:firstLineChars="225"/>
        <w:rPr>
          <w:rFonts w:ascii="宋体" w:hAnsi="宋体" w:cs="宋体"/>
          <w:bCs/>
          <w:color w:val="auto"/>
          <w:sz w:val="24"/>
          <w:szCs w:val="24"/>
        </w:rPr>
      </w:pPr>
      <w:r>
        <w:rPr>
          <w:rFonts w:hint="eastAsia" w:ascii="宋体" w:hAnsi="宋体" w:cs="宋体"/>
          <w:bCs/>
          <w:color w:val="auto"/>
          <w:sz w:val="24"/>
          <w:szCs w:val="24"/>
        </w:rPr>
        <w:t>投标人地址：</w:t>
      </w:r>
    </w:p>
    <w:p w14:paraId="5A0B5AC2">
      <w:pPr>
        <w:pStyle w:val="8"/>
        <w:keepNext w:val="0"/>
        <w:keepLines w:val="0"/>
        <w:pageBreakBefore w:val="0"/>
        <w:kinsoku/>
        <w:overflowPunct/>
        <w:bidi w:val="0"/>
        <w:snapToGrid w:val="0"/>
        <w:spacing w:before="50" w:after="50" w:line="360" w:lineRule="auto"/>
        <w:ind w:firstLine="960" w:firstLineChars="400"/>
        <w:rPr>
          <w:rFonts w:ascii="宋体" w:hAnsi="宋体" w:cs="宋体"/>
          <w:bCs/>
          <w:color w:val="auto"/>
          <w:sz w:val="24"/>
          <w:szCs w:val="24"/>
        </w:rPr>
      </w:pPr>
    </w:p>
    <w:p w14:paraId="5208172F">
      <w:pPr>
        <w:keepNext w:val="0"/>
        <w:keepLines w:val="0"/>
        <w:pageBreakBefore w:val="0"/>
        <w:kinsoku/>
        <w:overflowPunct/>
        <w:bidi w:val="0"/>
        <w:snapToGrid w:val="0"/>
        <w:spacing w:before="120" w:beforeLines="50" w:after="50" w:line="360" w:lineRule="auto"/>
        <w:ind w:firstLine="645"/>
        <w:jc w:val="center"/>
        <w:rPr>
          <w:rFonts w:ascii="宋体" w:hAnsi="宋体" w:cs="宋体"/>
          <w:color w:val="auto"/>
          <w:sz w:val="24"/>
        </w:rPr>
      </w:pPr>
      <w:r>
        <w:rPr>
          <w:rFonts w:hint="eastAsia" w:ascii="宋体" w:hAnsi="宋体" w:cs="宋体"/>
          <w:color w:val="auto"/>
          <w:sz w:val="24"/>
        </w:rPr>
        <w:t xml:space="preserve">                        年  月  日</w:t>
      </w:r>
    </w:p>
    <w:p w14:paraId="30066D24">
      <w:pPr>
        <w:keepNext w:val="0"/>
        <w:keepLines w:val="0"/>
        <w:pageBreakBefore w:val="0"/>
        <w:kinsoku/>
        <w:overflowPunct/>
        <w:bidi w:val="0"/>
        <w:snapToGrid w:val="0"/>
        <w:spacing w:before="120" w:beforeLines="50" w:after="50" w:line="360" w:lineRule="auto"/>
        <w:rPr>
          <w:rFonts w:ascii="宋体" w:hAnsi="宋体" w:cs="宋体"/>
          <w:color w:val="auto"/>
          <w:sz w:val="24"/>
          <w:szCs w:val="20"/>
        </w:rPr>
      </w:pPr>
      <w:r>
        <w:rPr>
          <w:rFonts w:hint="eastAsia" w:ascii="宋体" w:hAnsi="宋体" w:cs="宋体"/>
          <w:color w:val="auto"/>
          <w:sz w:val="24"/>
          <w:szCs w:val="20"/>
        </w:rPr>
        <w:t xml:space="preserve"> </w:t>
      </w:r>
    </w:p>
    <w:p w14:paraId="1B0D4B26">
      <w:pPr>
        <w:keepNext w:val="0"/>
        <w:keepLines w:val="0"/>
        <w:pageBreakBefore w:val="0"/>
        <w:kinsoku/>
        <w:overflowPunct/>
        <w:bidi w:val="0"/>
        <w:snapToGrid w:val="0"/>
        <w:spacing w:before="120" w:beforeLines="50" w:after="50" w:line="360" w:lineRule="auto"/>
        <w:rPr>
          <w:rFonts w:ascii="宋体" w:hAnsi="宋体" w:cs="宋体"/>
          <w:color w:val="auto"/>
          <w:sz w:val="24"/>
          <w:szCs w:val="20"/>
        </w:rPr>
      </w:pPr>
    </w:p>
    <w:p w14:paraId="139D1364">
      <w:pPr>
        <w:keepNext w:val="0"/>
        <w:keepLines w:val="0"/>
        <w:pageBreakBefore w:val="0"/>
        <w:kinsoku/>
        <w:overflowPunct/>
        <w:bidi w:val="0"/>
        <w:spacing w:line="360" w:lineRule="auto"/>
        <w:rPr>
          <w:rFonts w:ascii="宋体" w:hAnsi="宋体" w:cs="宋体"/>
          <w:b/>
          <w:bCs/>
          <w:color w:val="auto"/>
          <w:sz w:val="24"/>
        </w:rPr>
      </w:pPr>
      <w:r>
        <w:rPr>
          <w:rFonts w:hint="eastAsia" w:ascii="宋体" w:hAnsi="宋体" w:cs="宋体"/>
          <w:b/>
          <w:bCs/>
          <w:color w:val="auto"/>
          <w:sz w:val="24"/>
        </w:rPr>
        <w:br w:type="page"/>
      </w:r>
    </w:p>
    <w:p w14:paraId="6B285AF6">
      <w:pPr>
        <w:keepNext w:val="0"/>
        <w:keepLines w:val="0"/>
        <w:pageBreakBefore w:val="0"/>
        <w:kinsoku/>
        <w:overflowPunct/>
        <w:bidi w:val="0"/>
        <w:spacing w:line="360" w:lineRule="auto"/>
        <w:rPr>
          <w:rFonts w:ascii="宋体" w:hAnsi="宋体" w:cs="宋体"/>
          <w:b/>
          <w:bCs/>
          <w:color w:val="auto"/>
          <w:sz w:val="24"/>
        </w:rPr>
      </w:pPr>
    </w:p>
    <w:p w14:paraId="2AF1269F">
      <w:pPr>
        <w:keepNext w:val="0"/>
        <w:keepLines w:val="0"/>
        <w:pageBreakBefore w:val="0"/>
        <w:kinsoku/>
        <w:overflowPunct/>
        <w:bidi w:val="0"/>
        <w:spacing w:line="360" w:lineRule="auto"/>
        <w:rPr>
          <w:rFonts w:hint="eastAsia" w:ascii="宋体" w:hAnsi="宋体" w:eastAsia="宋体" w:cs="宋体"/>
          <w:color w:val="auto"/>
          <w:szCs w:val="21"/>
        </w:rPr>
      </w:pPr>
      <w:r>
        <w:rPr>
          <w:rFonts w:hint="eastAsia" w:ascii="宋体" w:hAnsi="宋体" w:eastAsia="宋体" w:cs="宋体"/>
          <w:b/>
          <w:bCs/>
          <w:color w:val="auto"/>
          <w:szCs w:val="21"/>
          <w:lang w:val="en-US" w:eastAsia="zh-CN"/>
        </w:rPr>
        <w:t>2.</w:t>
      </w:r>
      <w:r>
        <w:rPr>
          <w:rFonts w:hint="eastAsia" w:ascii="宋体" w:hAnsi="宋体" w:eastAsia="宋体" w:cs="宋体"/>
          <w:b/>
          <w:bCs/>
          <w:color w:val="auto"/>
          <w:szCs w:val="21"/>
        </w:rPr>
        <w:t>资格证明文件目录（</w:t>
      </w:r>
      <w:r>
        <w:rPr>
          <w:rFonts w:hint="eastAsia" w:ascii="宋体" w:hAnsi="宋体" w:eastAsia="宋体" w:cs="宋体"/>
          <w:color w:val="auto"/>
          <w:szCs w:val="21"/>
        </w:rPr>
        <w:t>根据招标文件规定及投标人提供的材料自行编写目录。）</w:t>
      </w:r>
    </w:p>
    <w:p w14:paraId="253B45BF">
      <w:pPr>
        <w:keepNext w:val="0"/>
        <w:keepLines w:val="0"/>
        <w:pageBreakBefore w:val="0"/>
        <w:kinsoku/>
        <w:overflowPunct/>
        <w:bidi w:val="0"/>
        <w:spacing w:line="360" w:lineRule="auto"/>
        <w:rPr>
          <w:rFonts w:ascii="宋体" w:hAnsi="宋体" w:cs="宋体"/>
          <w:color w:val="auto"/>
          <w:szCs w:val="21"/>
        </w:rPr>
      </w:pPr>
    </w:p>
    <w:p w14:paraId="089ED629">
      <w:pPr>
        <w:keepNext w:val="0"/>
        <w:keepLines w:val="0"/>
        <w:pageBreakBefore w:val="0"/>
        <w:kinsoku/>
        <w:overflowPunct/>
        <w:bidi w:val="0"/>
        <w:spacing w:line="360" w:lineRule="auto"/>
        <w:rPr>
          <w:rFonts w:ascii="宋体" w:hAnsi="宋体" w:cs="宋体"/>
          <w:b/>
          <w:bCs/>
          <w:color w:val="auto"/>
          <w:sz w:val="24"/>
        </w:rPr>
      </w:pPr>
      <w:r>
        <w:rPr>
          <w:rFonts w:hint="eastAsia" w:ascii="宋体" w:hAnsi="宋体" w:cs="宋体"/>
          <w:b/>
          <w:bCs/>
          <w:color w:val="auto"/>
          <w:sz w:val="24"/>
        </w:rPr>
        <w:br w:type="page"/>
      </w:r>
    </w:p>
    <w:p w14:paraId="4EDB4A55">
      <w:pPr>
        <w:keepNext w:val="0"/>
        <w:keepLines w:val="0"/>
        <w:pageBreakBefore w:val="0"/>
        <w:kinsoku/>
        <w:overflowPunct/>
        <w:bidi w:val="0"/>
        <w:snapToGrid w:val="0"/>
        <w:spacing w:before="120" w:beforeLines="50" w:after="50" w:line="360" w:lineRule="auto"/>
        <w:jc w:val="left"/>
        <w:rPr>
          <w:rFonts w:ascii="宋体" w:hAnsi="宋体" w:cs="宋体"/>
          <w:b/>
          <w:color w:val="auto"/>
          <w:sz w:val="24"/>
        </w:rPr>
      </w:pPr>
      <w:r>
        <w:rPr>
          <w:rFonts w:hint="eastAsia" w:ascii="宋体" w:hAnsi="宋体" w:cs="宋体"/>
          <w:b/>
          <w:color w:val="auto"/>
          <w:sz w:val="24"/>
          <w:lang w:val="en-US" w:eastAsia="zh-CN"/>
        </w:rPr>
        <w:t>3</w:t>
      </w:r>
      <w:r>
        <w:rPr>
          <w:rFonts w:hint="eastAsia" w:ascii="宋体" w:hAnsi="宋体" w:cs="宋体"/>
          <w:b/>
          <w:color w:val="auto"/>
          <w:sz w:val="24"/>
        </w:rPr>
        <w:t>.</w:t>
      </w:r>
      <w:r>
        <w:rPr>
          <w:rFonts w:hint="eastAsia" w:ascii="宋体" w:hAnsi="宋体" w:cs="宋体"/>
          <w:b/>
          <w:color w:val="auto"/>
          <w:sz w:val="28"/>
          <w:szCs w:val="28"/>
        </w:rPr>
        <w:t>投标人直接控股、管理关系信息表</w:t>
      </w:r>
    </w:p>
    <w:p w14:paraId="767C33A0">
      <w:pPr>
        <w:keepNext w:val="0"/>
        <w:keepLines w:val="0"/>
        <w:pageBreakBefore w:val="0"/>
        <w:kinsoku/>
        <w:overflowPunct/>
        <w:bidi w:val="0"/>
        <w:snapToGrid w:val="0"/>
        <w:spacing w:before="50" w:after="120" w:afterLines="50" w:line="360" w:lineRule="auto"/>
        <w:jc w:val="center"/>
        <w:rPr>
          <w:rFonts w:ascii="宋体" w:hAnsi="宋体" w:cs="宋体"/>
          <w:b/>
          <w:color w:val="auto"/>
          <w:sz w:val="28"/>
          <w:szCs w:val="28"/>
        </w:rPr>
      </w:pPr>
    </w:p>
    <w:p w14:paraId="696085BF">
      <w:pPr>
        <w:keepNext w:val="0"/>
        <w:keepLines w:val="0"/>
        <w:pageBreakBefore w:val="0"/>
        <w:kinsoku/>
        <w:overflowPunct/>
        <w:bidi w:val="0"/>
        <w:snapToGrid w:val="0"/>
        <w:spacing w:before="50" w:after="120" w:afterLines="50" w:line="360" w:lineRule="auto"/>
        <w:jc w:val="center"/>
        <w:rPr>
          <w:rFonts w:ascii="宋体" w:hAnsi="宋体" w:cs="宋体"/>
          <w:b/>
          <w:color w:val="auto"/>
          <w:sz w:val="28"/>
          <w:szCs w:val="28"/>
        </w:rPr>
      </w:pPr>
      <w:r>
        <w:rPr>
          <w:rFonts w:hint="eastAsia" w:ascii="宋体" w:hAnsi="宋体" w:cs="宋体"/>
          <w:b/>
          <w:color w:val="auto"/>
          <w:sz w:val="28"/>
          <w:szCs w:val="28"/>
        </w:rPr>
        <w:t>投标人直接控股股东信息表</w:t>
      </w:r>
    </w:p>
    <w:p w14:paraId="27387913">
      <w:pPr>
        <w:pStyle w:val="23"/>
        <w:keepNext w:val="0"/>
        <w:keepLines w:val="0"/>
        <w:pageBreakBefore w:val="0"/>
        <w:kinsoku/>
        <w:overflowPunct/>
        <w:bidi w:val="0"/>
        <w:spacing w:line="360" w:lineRule="auto"/>
        <w:ind w:firstLine="220"/>
        <w:rPr>
          <w:color w:val="auto"/>
        </w:rPr>
      </w:pPr>
    </w:p>
    <w:tbl>
      <w:tblPr>
        <w:tblStyle w:val="25"/>
        <w:tblW w:w="9203" w:type="dxa"/>
        <w:jc w:val="center"/>
        <w:shd w:val="clear" w:color="auto" w:fill="FBFBFB"/>
        <w:tblLayout w:type="fixed"/>
        <w:tblCellMar>
          <w:top w:w="0" w:type="dxa"/>
          <w:left w:w="0" w:type="dxa"/>
          <w:bottom w:w="0" w:type="dxa"/>
          <w:right w:w="0" w:type="dxa"/>
        </w:tblCellMar>
      </w:tblPr>
      <w:tblGrid>
        <w:gridCol w:w="729"/>
        <w:gridCol w:w="2379"/>
        <w:gridCol w:w="1275"/>
        <w:gridCol w:w="3859"/>
        <w:gridCol w:w="961"/>
      </w:tblGrid>
      <w:tr w14:paraId="7B6EDEE0">
        <w:tblPrEx>
          <w:shd w:val="clear" w:color="auto" w:fill="FBFBFB"/>
          <w:tblCellMar>
            <w:top w:w="0" w:type="dxa"/>
            <w:left w:w="0" w:type="dxa"/>
            <w:bottom w:w="0" w:type="dxa"/>
            <w:right w:w="0" w:type="dxa"/>
          </w:tblCellMar>
        </w:tblPrEx>
        <w:trPr>
          <w:tblHeader/>
          <w:jc w:val="center"/>
        </w:trPr>
        <w:tc>
          <w:tcPr>
            <w:tcW w:w="72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D5F2540">
            <w:pPr>
              <w:keepNext w:val="0"/>
              <w:keepLines w:val="0"/>
              <w:pageBreakBefore w:val="0"/>
              <w:widowControl/>
              <w:kinsoku/>
              <w:overflowPunct/>
              <w:bidi w:val="0"/>
              <w:spacing w:line="360" w:lineRule="auto"/>
              <w:contextualSpacing/>
              <w:jc w:val="center"/>
              <w:rPr>
                <w:rFonts w:ascii="宋体" w:hAnsi="宋体" w:cs="宋体"/>
                <w:b/>
                <w:bCs/>
                <w:color w:val="auto"/>
                <w:kern w:val="0"/>
                <w:sz w:val="24"/>
              </w:rPr>
            </w:pPr>
            <w:r>
              <w:rPr>
                <w:rFonts w:hint="eastAsia" w:ascii="宋体" w:hAnsi="宋体" w:cs="宋体"/>
                <w:b/>
                <w:bCs/>
                <w:color w:val="auto"/>
                <w:kern w:val="0"/>
                <w:sz w:val="24"/>
              </w:rPr>
              <w:t>序号</w:t>
            </w:r>
          </w:p>
        </w:tc>
        <w:tc>
          <w:tcPr>
            <w:tcW w:w="237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425B6FD">
            <w:pPr>
              <w:keepNext w:val="0"/>
              <w:keepLines w:val="0"/>
              <w:pageBreakBefore w:val="0"/>
              <w:widowControl/>
              <w:kinsoku/>
              <w:overflowPunct/>
              <w:bidi w:val="0"/>
              <w:spacing w:line="360" w:lineRule="auto"/>
              <w:contextualSpacing/>
              <w:jc w:val="center"/>
              <w:rPr>
                <w:rFonts w:ascii="宋体" w:hAnsi="宋体" w:cs="宋体"/>
                <w:b/>
                <w:bCs/>
                <w:color w:val="auto"/>
                <w:kern w:val="0"/>
                <w:sz w:val="24"/>
              </w:rPr>
            </w:pPr>
            <w:r>
              <w:rPr>
                <w:rFonts w:hint="eastAsia" w:ascii="宋体" w:hAnsi="宋体" w:cs="宋体"/>
                <w:b/>
                <w:bCs/>
                <w:color w:val="auto"/>
                <w:kern w:val="0"/>
                <w:sz w:val="24"/>
              </w:rPr>
              <w:t>直接控股股东名称</w:t>
            </w:r>
          </w:p>
        </w:tc>
        <w:tc>
          <w:tcPr>
            <w:tcW w:w="127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CA62A05">
            <w:pPr>
              <w:keepNext w:val="0"/>
              <w:keepLines w:val="0"/>
              <w:pageBreakBefore w:val="0"/>
              <w:widowControl/>
              <w:kinsoku/>
              <w:overflowPunct/>
              <w:bidi w:val="0"/>
              <w:spacing w:line="360" w:lineRule="auto"/>
              <w:contextualSpacing/>
              <w:jc w:val="center"/>
              <w:rPr>
                <w:rFonts w:hint="eastAsia" w:ascii="宋体" w:hAnsi="宋体" w:eastAsia="宋体" w:cs="宋体"/>
                <w:b/>
                <w:bCs/>
                <w:color w:val="auto"/>
                <w:kern w:val="0"/>
                <w:sz w:val="24"/>
                <w:lang w:eastAsia="zh-CN"/>
              </w:rPr>
            </w:pPr>
            <w:r>
              <w:rPr>
                <w:rFonts w:hint="eastAsia" w:ascii="宋体" w:hAnsi="宋体" w:cs="宋体"/>
                <w:b/>
                <w:bCs/>
                <w:color w:val="auto"/>
                <w:kern w:val="0"/>
                <w:sz w:val="24"/>
              </w:rPr>
              <w:t>出资比例</w:t>
            </w:r>
            <w:r>
              <w:rPr>
                <w:rFonts w:hint="eastAsia" w:ascii="宋体" w:hAnsi="宋体" w:cs="宋体"/>
                <w:b/>
                <w:bCs/>
                <w:color w:val="auto"/>
                <w:kern w:val="0"/>
                <w:sz w:val="24"/>
                <w:lang w:eastAsia="zh-CN"/>
              </w:rPr>
              <w:t>（</w:t>
            </w:r>
            <w:r>
              <w:rPr>
                <w:rFonts w:hint="eastAsia" w:ascii="宋体" w:hAnsi="宋体" w:cs="宋体"/>
                <w:b/>
                <w:bCs/>
                <w:color w:val="auto"/>
                <w:kern w:val="0"/>
                <w:sz w:val="24"/>
                <w:lang w:val="en-US" w:eastAsia="zh-CN"/>
              </w:rPr>
              <w:t>%</w:t>
            </w:r>
            <w:r>
              <w:rPr>
                <w:rFonts w:hint="eastAsia" w:ascii="宋体" w:hAnsi="宋体" w:cs="宋体"/>
                <w:b/>
                <w:bCs/>
                <w:color w:val="auto"/>
                <w:kern w:val="0"/>
                <w:sz w:val="24"/>
                <w:lang w:eastAsia="zh-CN"/>
              </w:rPr>
              <w:t>）</w:t>
            </w:r>
          </w:p>
        </w:tc>
        <w:tc>
          <w:tcPr>
            <w:tcW w:w="38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D45C6C8">
            <w:pPr>
              <w:keepNext w:val="0"/>
              <w:keepLines w:val="0"/>
              <w:pageBreakBefore w:val="0"/>
              <w:widowControl/>
              <w:kinsoku/>
              <w:overflowPunct/>
              <w:bidi w:val="0"/>
              <w:spacing w:line="360" w:lineRule="auto"/>
              <w:contextualSpacing/>
              <w:jc w:val="center"/>
              <w:rPr>
                <w:rFonts w:ascii="宋体" w:hAnsi="宋体" w:cs="宋体"/>
                <w:b/>
                <w:bCs/>
                <w:color w:val="auto"/>
                <w:kern w:val="0"/>
                <w:sz w:val="24"/>
              </w:rPr>
            </w:pPr>
            <w:r>
              <w:rPr>
                <w:rFonts w:hint="eastAsia" w:ascii="宋体" w:hAnsi="宋体" w:cs="宋体"/>
                <w:b/>
                <w:bCs/>
                <w:color w:val="auto"/>
                <w:kern w:val="0"/>
                <w:sz w:val="24"/>
              </w:rPr>
              <w:t>身份证号码或者统一社会信用代码</w:t>
            </w:r>
          </w:p>
        </w:tc>
        <w:tc>
          <w:tcPr>
            <w:tcW w:w="961"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7A1A9AF">
            <w:pPr>
              <w:keepNext w:val="0"/>
              <w:keepLines w:val="0"/>
              <w:pageBreakBefore w:val="0"/>
              <w:widowControl/>
              <w:kinsoku/>
              <w:overflowPunct/>
              <w:bidi w:val="0"/>
              <w:spacing w:line="360" w:lineRule="auto"/>
              <w:contextualSpacing/>
              <w:jc w:val="center"/>
              <w:rPr>
                <w:rFonts w:ascii="宋体" w:hAnsi="宋体" w:cs="宋体"/>
                <w:b/>
                <w:bCs/>
                <w:color w:val="auto"/>
                <w:kern w:val="0"/>
                <w:sz w:val="24"/>
              </w:rPr>
            </w:pPr>
            <w:r>
              <w:rPr>
                <w:rFonts w:hint="eastAsia" w:ascii="宋体" w:hAnsi="宋体" w:cs="宋体"/>
                <w:b/>
                <w:bCs/>
                <w:color w:val="auto"/>
                <w:kern w:val="0"/>
                <w:sz w:val="24"/>
              </w:rPr>
              <w:t>备注</w:t>
            </w:r>
          </w:p>
        </w:tc>
      </w:tr>
      <w:tr w14:paraId="3945F20D">
        <w:tblPrEx>
          <w:tblCellMar>
            <w:top w:w="0" w:type="dxa"/>
            <w:left w:w="0" w:type="dxa"/>
            <w:bottom w:w="0" w:type="dxa"/>
            <w:right w:w="0" w:type="dxa"/>
          </w:tblCellMar>
        </w:tblPrEx>
        <w:trPr>
          <w:jc w:val="center"/>
        </w:trPr>
        <w:tc>
          <w:tcPr>
            <w:tcW w:w="72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33022FE">
            <w:pPr>
              <w:keepNext w:val="0"/>
              <w:keepLines w:val="0"/>
              <w:pageBreakBefore w:val="0"/>
              <w:widowControl/>
              <w:kinsoku/>
              <w:overflowPunct/>
              <w:bidi w:val="0"/>
              <w:spacing w:line="360" w:lineRule="auto"/>
              <w:contextualSpacing/>
              <w:jc w:val="center"/>
              <w:rPr>
                <w:rFonts w:ascii="宋体" w:hAnsi="宋体" w:cs="宋体"/>
                <w:color w:val="auto"/>
                <w:kern w:val="0"/>
                <w:sz w:val="24"/>
              </w:rPr>
            </w:pPr>
            <w:r>
              <w:rPr>
                <w:rFonts w:hint="eastAsia" w:ascii="宋体" w:hAnsi="宋体" w:cs="宋体"/>
                <w:color w:val="auto"/>
                <w:kern w:val="0"/>
                <w:sz w:val="24"/>
              </w:rPr>
              <w:t>1</w:t>
            </w:r>
          </w:p>
        </w:tc>
        <w:tc>
          <w:tcPr>
            <w:tcW w:w="237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019C33C">
            <w:pPr>
              <w:keepNext w:val="0"/>
              <w:keepLines w:val="0"/>
              <w:pageBreakBefore w:val="0"/>
              <w:widowControl/>
              <w:kinsoku/>
              <w:overflowPunct/>
              <w:bidi w:val="0"/>
              <w:spacing w:line="360" w:lineRule="auto"/>
              <w:contextualSpacing/>
              <w:jc w:val="center"/>
              <w:rPr>
                <w:rFonts w:ascii="宋体" w:hAnsi="宋体" w:cs="宋体"/>
                <w:color w:val="auto"/>
                <w:kern w:val="0"/>
                <w:sz w:val="24"/>
              </w:rPr>
            </w:pPr>
          </w:p>
        </w:tc>
        <w:tc>
          <w:tcPr>
            <w:tcW w:w="127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16050F3">
            <w:pPr>
              <w:keepNext w:val="0"/>
              <w:keepLines w:val="0"/>
              <w:pageBreakBefore w:val="0"/>
              <w:widowControl/>
              <w:kinsoku/>
              <w:overflowPunct/>
              <w:bidi w:val="0"/>
              <w:spacing w:line="360" w:lineRule="auto"/>
              <w:contextualSpacing/>
              <w:jc w:val="center"/>
              <w:rPr>
                <w:rFonts w:ascii="宋体" w:hAnsi="宋体" w:cs="宋体"/>
                <w:color w:val="auto"/>
                <w:kern w:val="0"/>
                <w:sz w:val="24"/>
              </w:rPr>
            </w:pPr>
          </w:p>
        </w:tc>
        <w:tc>
          <w:tcPr>
            <w:tcW w:w="38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4C521C8">
            <w:pPr>
              <w:keepNext w:val="0"/>
              <w:keepLines w:val="0"/>
              <w:pageBreakBefore w:val="0"/>
              <w:widowControl/>
              <w:kinsoku/>
              <w:overflowPunct/>
              <w:bidi w:val="0"/>
              <w:spacing w:line="360" w:lineRule="auto"/>
              <w:contextualSpacing/>
              <w:jc w:val="center"/>
              <w:rPr>
                <w:rFonts w:ascii="宋体" w:hAnsi="宋体" w:cs="宋体"/>
                <w:color w:val="auto"/>
                <w:kern w:val="0"/>
                <w:sz w:val="24"/>
              </w:rPr>
            </w:pPr>
          </w:p>
        </w:tc>
        <w:tc>
          <w:tcPr>
            <w:tcW w:w="961"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470537F">
            <w:pPr>
              <w:keepNext w:val="0"/>
              <w:keepLines w:val="0"/>
              <w:pageBreakBefore w:val="0"/>
              <w:widowControl/>
              <w:kinsoku/>
              <w:overflowPunct/>
              <w:bidi w:val="0"/>
              <w:spacing w:line="360" w:lineRule="auto"/>
              <w:contextualSpacing/>
              <w:jc w:val="center"/>
              <w:rPr>
                <w:rFonts w:ascii="宋体" w:hAnsi="宋体" w:cs="宋体"/>
                <w:color w:val="auto"/>
                <w:kern w:val="0"/>
                <w:sz w:val="24"/>
              </w:rPr>
            </w:pPr>
          </w:p>
        </w:tc>
      </w:tr>
      <w:tr w14:paraId="3A226508">
        <w:tblPrEx>
          <w:shd w:val="clear" w:color="auto" w:fill="FBFBFB"/>
          <w:tblCellMar>
            <w:top w:w="0" w:type="dxa"/>
            <w:left w:w="0" w:type="dxa"/>
            <w:bottom w:w="0" w:type="dxa"/>
            <w:right w:w="0" w:type="dxa"/>
          </w:tblCellMar>
        </w:tblPrEx>
        <w:trPr>
          <w:jc w:val="center"/>
        </w:trPr>
        <w:tc>
          <w:tcPr>
            <w:tcW w:w="72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68562C0">
            <w:pPr>
              <w:keepNext w:val="0"/>
              <w:keepLines w:val="0"/>
              <w:pageBreakBefore w:val="0"/>
              <w:widowControl/>
              <w:kinsoku/>
              <w:overflowPunct/>
              <w:bidi w:val="0"/>
              <w:spacing w:line="360" w:lineRule="auto"/>
              <w:contextualSpacing/>
              <w:jc w:val="center"/>
              <w:rPr>
                <w:rFonts w:ascii="宋体" w:hAnsi="宋体" w:cs="宋体"/>
                <w:color w:val="auto"/>
                <w:kern w:val="0"/>
                <w:sz w:val="24"/>
              </w:rPr>
            </w:pPr>
            <w:r>
              <w:rPr>
                <w:rFonts w:hint="eastAsia" w:ascii="宋体" w:hAnsi="宋体" w:cs="宋体"/>
                <w:color w:val="auto"/>
                <w:kern w:val="0"/>
                <w:sz w:val="24"/>
              </w:rPr>
              <w:t>2</w:t>
            </w:r>
          </w:p>
        </w:tc>
        <w:tc>
          <w:tcPr>
            <w:tcW w:w="237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5F619BE">
            <w:pPr>
              <w:keepNext w:val="0"/>
              <w:keepLines w:val="0"/>
              <w:pageBreakBefore w:val="0"/>
              <w:widowControl/>
              <w:kinsoku/>
              <w:overflowPunct/>
              <w:bidi w:val="0"/>
              <w:spacing w:line="360" w:lineRule="auto"/>
              <w:contextualSpacing/>
              <w:jc w:val="center"/>
              <w:rPr>
                <w:rFonts w:ascii="宋体" w:hAnsi="宋体" w:cs="宋体"/>
                <w:color w:val="auto"/>
                <w:kern w:val="0"/>
                <w:sz w:val="24"/>
              </w:rPr>
            </w:pPr>
          </w:p>
        </w:tc>
        <w:tc>
          <w:tcPr>
            <w:tcW w:w="127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951D5CC">
            <w:pPr>
              <w:keepNext w:val="0"/>
              <w:keepLines w:val="0"/>
              <w:pageBreakBefore w:val="0"/>
              <w:widowControl/>
              <w:kinsoku/>
              <w:overflowPunct/>
              <w:bidi w:val="0"/>
              <w:spacing w:line="360" w:lineRule="auto"/>
              <w:contextualSpacing/>
              <w:jc w:val="center"/>
              <w:rPr>
                <w:rFonts w:ascii="宋体" w:hAnsi="宋体" w:cs="宋体"/>
                <w:color w:val="auto"/>
                <w:kern w:val="0"/>
                <w:sz w:val="24"/>
              </w:rPr>
            </w:pPr>
          </w:p>
        </w:tc>
        <w:tc>
          <w:tcPr>
            <w:tcW w:w="38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22B11D4">
            <w:pPr>
              <w:keepNext w:val="0"/>
              <w:keepLines w:val="0"/>
              <w:pageBreakBefore w:val="0"/>
              <w:widowControl/>
              <w:kinsoku/>
              <w:overflowPunct/>
              <w:bidi w:val="0"/>
              <w:spacing w:line="360" w:lineRule="auto"/>
              <w:contextualSpacing/>
              <w:jc w:val="center"/>
              <w:rPr>
                <w:rFonts w:ascii="宋体" w:hAnsi="宋体" w:cs="宋体"/>
                <w:color w:val="auto"/>
                <w:kern w:val="0"/>
                <w:sz w:val="24"/>
              </w:rPr>
            </w:pPr>
          </w:p>
        </w:tc>
        <w:tc>
          <w:tcPr>
            <w:tcW w:w="961"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14AC57F">
            <w:pPr>
              <w:keepNext w:val="0"/>
              <w:keepLines w:val="0"/>
              <w:pageBreakBefore w:val="0"/>
              <w:widowControl/>
              <w:kinsoku/>
              <w:overflowPunct/>
              <w:bidi w:val="0"/>
              <w:spacing w:line="360" w:lineRule="auto"/>
              <w:contextualSpacing/>
              <w:jc w:val="center"/>
              <w:rPr>
                <w:rFonts w:ascii="宋体" w:hAnsi="宋体" w:cs="宋体"/>
                <w:color w:val="auto"/>
                <w:kern w:val="0"/>
                <w:sz w:val="24"/>
              </w:rPr>
            </w:pPr>
          </w:p>
        </w:tc>
      </w:tr>
      <w:tr w14:paraId="1C4581E9">
        <w:tblPrEx>
          <w:shd w:val="clear" w:color="auto" w:fill="FBFBFB"/>
          <w:tblCellMar>
            <w:top w:w="0" w:type="dxa"/>
            <w:left w:w="0" w:type="dxa"/>
            <w:bottom w:w="0" w:type="dxa"/>
            <w:right w:w="0" w:type="dxa"/>
          </w:tblCellMar>
        </w:tblPrEx>
        <w:trPr>
          <w:jc w:val="center"/>
        </w:trPr>
        <w:tc>
          <w:tcPr>
            <w:tcW w:w="72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11DE1D6">
            <w:pPr>
              <w:keepNext w:val="0"/>
              <w:keepLines w:val="0"/>
              <w:pageBreakBefore w:val="0"/>
              <w:widowControl/>
              <w:kinsoku/>
              <w:overflowPunct/>
              <w:bidi w:val="0"/>
              <w:spacing w:line="360" w:lineRule="auto"/>
              <w:contextualSpacing/>
              <w:jc w:val="center"/>
              <w:rPr>
                <w:rFonts w:ascii="宋体" w:hAnsi="宋体" w:cs="宋体"/>
                <w:color w:val="auto"/>
                <w:kern w:val="0"/>
                <w:sz w:val="24"/>
              </w:rPr>
            </w:pPr>
            <w:r>
              <w:rPr>
                <w:rFonts w:hint="eastAsia" w:ascii="宋体" w:hAnsi="宋体" w:cs="宋体"/>
                <w:color w:val="auto"/>
                <w:kern w:val="0"/>
                <w:sz w:val="24"/>
              </w:rPr>
              <w:t>3</w:t>
            </w:r>
          </w:p>
        </w:tc>
        <w:tc>
          <w:tcPr>
            <w:tcW w:w="237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9FBE785">
            <w:pPr>
              <w:keepNext w:val="0"/>
              <w:keepLines w:val="0"/>
              <w:pageBreakBefore w:val="0"/>
              <w:widowControl/>
              <w:kinsoku/>
              <w:overflowPunct/>
              <w:bidi w:val="0"/>
              <w:spacing w:line="360" w:lineRule="auto"/>
              <w:contextualSpacing/>
              <w:jc w:val="center"/>
              <w:rPr>
                <w:rFonts w:ascii="宋体" w:hAnsi="宋体" w:cs="宋体"/>
                <w:color w:val="auto"/>
                <w:kern w:val="0"/>
                <w:sz w:val="24"/>
              </w:rPr>
            </w:pPr>
          </w:p>
        </w:tc>
        <w:tc>
          <w:tcPr>
            <w:tcW w:w="127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C1D232E">
            <w:pPr>
              <w:keepNext w:val="0"/>
              <w:keepLines w:val="0"/>
              <w:pageBreakBefore w:val="0"/>
              <w:widowControl/>
              <w:kinsoku/>
              <w:overflowPunct/>
              <w:bidi w:val="0"/>
              <w:spacing w:line="360" w:lineRule="auto"/>
              <w:contextualSpacing/>
              <w:jc w:val="center"/>
              <w:rPr>
                <w:rFonts w:ascii="宋体" w:hAnsi="宋体" w:cs="宋体"/>
                <w:color w:val="auto"/>
                <w:kern w:val="0"/>
                <w:sz w:val="24"/>
              </w:rPr>
            </w:pPr>
          </w:p>
        </w:tc>
        <w:tc>
          <w:tcPr>
            <w:tcW w:w="38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C9AE063">
            <w:pPr>
              <w:keepNext w:val="0"/>
              <w:keepLines w:val="0"/>
              <w:pageBreakBefore w:val="0"/>
              <w:widowControl/>
              <w:kinsoku/>
              <w:overflowPunct/>
              <w:bidi w:val="0"/>
              <w:spacing w:line="360" w:lineRule="auto"/>
              <w:contextualSpacing/>
              <w:jc w:val="center"/>
              <w:rPr>
                <w:rFonts w:ascii="宋体" w:hAnsi="宋体" w:cs="宋体"/>
                <w:color w:val="auto"/>
                <w:kern w:val="0"/>
                <w:sz w:val="24"/>
              </w:rPr>
            </w:pPr>
          </w:p>
        </w:tc>
        <w:tc>
          <w:tcPr>
            <w:tcW w:w="961"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30392D4">
            <w:pPr>
              <w:keepNext w:val="0"/>
              <w:keepLines w:val="0"/>
              <w:pageBreakBefore w:val="0"/>
              <w:widowControl/>
              <w:kinsoku/>
              <w:overflowPunct/>
              <w:bidi w:val="0"/>
              <w:spacing w:line="360" w:lineRule="auto"/>
              <w:contextualSpacing/>
              <w:jc w:val="center"/>
              <w:rPr>
                <w:rFonts w:ascii="宋体" w:hAnsi="宋体" w:cs="宋体"/>
                <w:color w:val="auto"/>
                <w:kern w:val="0"/>
                <w:sz w:val="24"/>
              </w:rPr>
            </w:pPr>
          </w:p>
        </w:tc>
      </w:tr>
      <w:tr w14:paraId="558CD394">
        <w:tblPrEx>
          <w:shd w:val="clear" w:color="auto" w:fill="FBFBFB"/>
          <w:tblCellMar>
            <w:top w:w="0" w:type="dxa"/>
            <w:left w:w="0" w:type="dxa"/>
            <w:bottom w:w="0" w:type="dxa"/>
            <w:right w:w="0" w:type="dxa"/>
          </w:tblCellMar>
        </w:tblPrEx>
        <w:trPr>
          <w:jc w:val="center"/>
        </w:trPr>
        <w:tc>
          <w:tcPr>
            <w:tcW w:w="72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49C405C">
            <w:pPr>
              <w:keepNext w:val="0"/>
              <w:keepLines w:val="0"/>
              <w:pageBreakBefore w:val="0"/>
              <w:widowControl/>
              <w:kinsoku/>
              <w:overflowPunct/>
              <w:bidi w:val="0"/>
              <w:spacing w:line="360" w:lineRule="auto"/>
              <w:contextualSpacing/>
              <w:jc w:val="center"/>
              <w:rPr>
                <w:rFonts w:ascii="宋体" w:hAnsi="宋体" w:cs="宋体"/>
                <w:color w:val="auto"/>
                <w:kern w:val="0"/>
                <w:sz w:val="24"/>
              </w:rPr>
            </w:pPr>
            <w:r>
              <w:rPr>
                <w:rFonts w:hint="eastAsia" w:ascii="宋体" w:hAnsi="宋体" w:cs="宋体"/>
                <w:color w:val="auto"/>
                <w:kern w:val="0"/>
                <w:sz w:val="24"/>
              </w:rPr>
              <w:t>……</w:t>
            </w:r>
          </w:p>
        </w:tc>
        <w:tc>
          <w:tcPr>
            <w:tcW w:w="237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610396C">
            <w:pPr>
              <w:keepNext w:val="0"/>
              <w:keepLines w:val="0"/>
              <w:pageBreakBefore w:val="0"/>
              <w:widowControl/>
              <w:kinsoku/>
              <w:overflowPunct/>
              <w:bidi w:val="0"/>
              <w:spacing w:line="360" w:lineRule="auto"/>
              <w:contextualSpacing/>
              <w:jc w:val="center"/>
              <w:rPr>
                <w:rFonts w:ascii="宋体" w:hAnsi="宋体" w:cs="宋体"/>
                <w:color w:val="auto"/>
                <w:kern w:val="0"/>
                <w:sz w:val="24"/>
              </w:rPr>
            </w:pPr>
          </w:p>
        </w:tc>
        <w:tc>
          <w:tcPr>
            <w:tcW w:w="127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6F16F15">
            <w:pPr>
              <w:keepNext w:val="0"/>
              <w:keepLines w:val="0"/>
              <w:pageBreakBefore w:val="0"/>
              <w:widowControl/>
              <w:kinsoku/>
              <w:overflowPunct/>
              <w:bidi w:val="0"/>
              <w:spacing w:line="360" w:lineRule="auto"/>
              <w:contextualSpacing/>
              <w:jc w:val="center"/>
              <w:rPr>
                <w:rFonts w:ascii="宋体" w:hAnsi="宋体" w:cs="宋体"/>
                <w:color w:val="auto"/>
                <w:kern w:val="0"/>
                <w:sz w:val="24"/>
              </w:rPr>
            </w:pPr>
          </w:p>
        </w:tc>
        <w:tc>
          <w:tcPr>
            <w:tcW w:w="38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BFE2B21">
            <w:pPr>
              <w:keepNext w:val="0"/>
              <w:keepLines w:val="0"/>
              <w:pageBreakBefore w:val="0"/>
              <w:widowControl/>
              <w:kinsoku/>
              <w:overflowPunct/>
              <w:bidi w:val="0"/>
              <w:spacing w:line="360" w:lineRule="auto"/>
              <w:contextualSpacing/>
              <w:jc w:val="center"/>
              <w:rPr>
                <w:rFonts w:ascii="宋体" w:hAnsi="宋体" w:cs="宋体"/>
                <w:color w:val="auto"/>
                <w:kern w:val="0"/>
                <w:sz w:val="24"/>
              </w:rPr>
            </w:pPr>
          </w:p>
        </w:tc>
        <w:tc>
          <w:tcPr>
            <w:tcW w:w="961"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5CC6C21">
            <w:pPr>
              <w:keepNext w:val="0"/>
              <w:keepLines w:val="0"/>
              <w:pageBreakBefore w:val="0"/>
              <w:widowControl/>
              <w:kinsoku/>
              <w:overflowPunct/>
              <w:bidi w:val="0"/>
              <w:spacing w:line="360" w:lineRule="auto"/>
              <w:contextualSpacing/>
              <w:jc w:val="center"/>
              <w:rPr>
                <w:rFonts w:ascii="宋体" w:hAnsi="宋体" w:cs="宋体"/>
                <w:color w:val="auto"/>
                <w:kern w:val="0"/>
                <w:sz w:val="24"/>
              </w:rPr>
            </w:pPr>
          </w:p>
        </w:tc>
      </w:tr>
    </w:tbl>
    <w:p w14:paraId="73FEC957">
      <w:pPr>
        <w:keepNext w:val="0"/>
        <w:keepLines w:val="0"/>
        <w:pageBreakBefore w:val="0"/>
        <w:kinsoku/>
        <w:overflowPunct/>
        <w:bidi w:val="0"/>
        <w:spacing w:line="360" w:lineRule="auto"/>
        <w:contextualSpacing/>
        <w:jc w:val="left"/>
        <w:rPr>
          <w:rFonts w:ascii="宋体" w:hAnsi="宋体" w:cs="宋体"/>
          <w:color w:val="auto"/>
          <w:szCs w:val="21"/>
        </w:rPr>
      </w:pPr>
      <w:r>
        <w:rPr>
          <w:rFonts w:hint="eastAsia" w:ascii="宋体" w:hAnsi="宋体" w:cs="宋体"/>
          <w:color w:val="auto"/>
          <w:szCs w:val="21"/>
        </w:rPr>
        <w:t>注：</w:t>
      </w:r>
    </w:p>
    <w:p w14:paraId="3A9E096D">
      <w:pPr>
        <w:keepNext w:val="0"/>
        <w:keepLines w:val="0"/>
        <w:pageBreakBefore w:val="0"/>
        <w:kinsoku/>
        <w:overflowPunct/>
        <w:bidi w:val="0"/>
        <w:spacing w:line="360" w:lineRule="auto"/>
        <w:ind w:firstLine="420" w:firstLineChars="200"/>
        <w:contextualSpacing/>
        <w:jc w:val="left"/>
        <w:rPr>
          <w:rFonts w:ascii="宋体" w:hAnsi="宋体" w:cs="宋体"/>
          <w:color w:val="auto"/>
          <w:szCs w:val="21"/>
        </w:rPr>
      </w:pPr>
      <w:r>
        <w:rPr>
          <w:rFonts w:hint="eastAsia" w:ascii="宋体" w:hAnsi="宋体" w:cs="宋体"/>
          <w:color w:val="auto"/>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8032402">
      <w:pPr>
        <w:keepNext w:val="0"/>
        <w:keepLines w:val="0"/>
        <w:pageBreakBefore w:val="0"/>
        <w:kinsoku/>
        <w:overflowPunct/>
        <w:bidi w:val="0"/>
        <w:spacing w:line="360" w:lineRule="auto"/>
        <w:ind w:firstLine="420" w:firstLineChars="200"/>
        <w:contextualSpacing/>
        <w:jc w:val="left"/>
        <w:rPr>
          <w:rFonts w:ascii="宋体" w:hAnsi="宋体" w:cs="宋体"/>
          <w:color w:val="auto"/>
          <w:szCs w:val="21"/>
        </w:rPr>
      </w:pPr>
      <w:r>
        <w:rPr>
          <w:rFonts w:hint="eastAsia" w:ascii="宋体" w:hAnsi="宋体" w:cs="宋体"/>
          <w:color w:val="auto"/>
          <w:szCs w:val="21"/>
        </w:rPr>
        <w:t>2.本表所指的控股关系仅限于直接控股关系，不包括间接的控股关系。公司实际控制人与公司之间的关系不属于本表所指的直接控股关系。</w:t>
      </w:r>
    </w:p>
    <w:p w14:paraId="7F67B9DD">
      <w:pPr>
        <w:keepNext w:val="0"/>
        <w:keepLines w:val="0"/>
        <w:pageBreakBefore w:val="0"/>
        <w:kinsoku/>
        <w:overflowPunct/>
        <w:bidi w:val="0"/>
        <w:spacing w:line="360" w:lineRule="auto"/>
        <w:ind w:firstLine="420" w:firstLineChars="200"/>
        <w:contextualSpacing/>
        <w:jc w:val="left"/>
        <w:rPr>
          <w:rFonts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lang w:eastAsia="zh-CN"/>
        </w:rPr>
        <w:t>投标人</w:t>
      </w:r>
      <w:r>
        <w:rPr>
          <w:rFonts w:hint="eastAsia" w:ascii="宋体" w:hAnsi="宋体" w:cs="宋体"/>
          <w:color w:val="auto"/>
          <w:szCs w:val="21"/>
        </w:rPr>
        <w:t>不存在直接控股股东的，则在“</w:t>
      </w:r>
      <w:r>
        <w:rPr>
          <w:rFonts w:hint="eastAsia" w:ascii="宋体" w:hAnsi="宋体" w:cs="宋体"/>
          <w:b/>
          <w:bCs/>
          <w:color w:val="auto"/>
          <w:szCs w:val="21"/>
        </w:rPr>
        <w:t>直接控股股东名称</w:t>
      </w:r>
      <w:r>
        <w:rPr>
          <w:rFonts w:hint="eastAsia" w:ascii="宋体" w:hAnsi="宋体" w:cs="宋体"/>
          <w:color w:val="auto"/>
          <w:szCs w:val="21"/>
        </w:rPr>
        <w:t>”填“无”。</w:t>
      </w:r>
    </w:p>
    <w:p w14:paraId="56584323">
      <w:pPr>
        <w:keepNext w:val="0"/>
        <w:keepLines w:val="0"/>
        <w:pageBreakBefore w:val="0"/>
        <w:kinsoku/>
        <w:overflowPunct/>
        <w:bidi w:val="0"/>
        <w:spacing w:line="360" w:lineRule="auto"/>
        <w:ind w:firstLine="420" w:firstLineChars="200"/>
        <w:contextualSpacing/>
        <w:jc w:val="left"/>
        <w:rPr>
          <w:rFonts w:ascii="宋体" w:hAnsi="宋体" w:cs="宋体"/>
          <w:color w:val="auto"/>
          <w:szCs w:val="21"/>
        </w:rPr>
      </w:pPr>
    </w:p>
    <w:p w14:paraId="56E877EF">
      <w:pPr>
        <w:keepNext w:val="0"/>
        <w:keepLines w:val="0"/>
        <w:pageBreakBefore w:val="0"/>
        <w:kinsoku/>
        <w:overflowPunct/>
        <w:bidi w:val="0"/>
        <w:spacing w:line="360" w:lineRule="auto"/>
        <w:ind w:right="480"/>
        <w:contextualSpacing/>
        <w:jc w:val="center"/>
        <w:rPr>
          <w:rFonts w:ascii="宋体" w:hAnsi="宋体" w:cs="宋体"/>
          <w:color w:val="auto"/>
          <w:szCs w:val="21"/>
          <w:u w:val="single"/>
        </w:rPr>
      </w:pPr>
      <w:r>
        <w:rPr>
          <w:rFonts w:hint="eastAsia" w:ascii="宋体" w:hAnsi="宋体" w:cs="宋体"/>
          <w:color w:val="auto"/>
          <w:szCs w:val="21"/>
        </w:rPr>
        <w:t>法定代表人或者委托代理人（</w:t>
      </w:r>
      <w:r>
        <w:rPr>
          <w:rFonts w:hint="eastAsia" w:ascii="宋体" w:hAnsi="宋体" w:cs="宋体"/>
          <w:color w:val="auto"/>
          <w:szCs w:val="21"/>
          <w:lang w:val="en-US" w:eastAsia="zh-CN"/>
        </w:rPr>
        <w:t>签字或者电子签名</w:t>
      </w:r>
      <w:r>
        <w:rPr>
          <w:rFonts w:hint="eastAsia" w:ascii="宋体" w:hAnsi="宋体" w:cs="宋体"/>
          <w:color w:val="auto"/>
          <w:szCs w:val="21"/>
        </w:rPr>
        <w:t>）：</w:t>
      </w:r>
      <w:r>
        <w:rPr>
          <w:rFonts w:hint="eastAsia" w:ascii="宋体" w:hAnsi="宋体" w:cs="宋体"/>
          <w:color w:val="auto"/>
          <w:szCs w:val="21"/>
          <w:u w:val="single"/>
        </w:rPr>
        <w:t xml:space="preserve">          </w:t>
      </w:r>
    </w:p>
    <w:p w14:paraId="13D502AE">
      <w:pPr>
        <w:keepNext w:val="0"/>
        <w:keepLines w:val="0"/>
        <w:pageBreakBefore w:val="0"/>
        <w:kinsoku/>
        <w:overflowPunct/>
        <w:bidi w:val="0"/>
        <w:spacing w:line="360" w:lineRule="auto"/>
        <w:ind w:right="480"/>
        <w:contextualSpacing/>
        <w:jc w:val="center"/>
        <w:rPr>
          <w:rFonts w:ascii="宋体" w:hAnsi="宋体" w:cs="宋体"/>
          <w:color w:val="auto"/>
          <w:szCs w:val="21"/>
        </w:rPr>
      </w:pPr>
      <w:r>
        <w:rPr>
          <w:rFonts w:hint="eastAsia" w:ascii="宋体" w:hAnsi="宋体" w:cs="宋体"/>
          <w:color w:val="auto"/>
          <w:szCs w:val="21"/>
          <w:lang w:val="zh-CN"/>
        </w:rPr>
        <w:t>投标人名称（</w:t>
      </w:r>
      <w:r>
        <w:rPr>
          <w:rFonts w:hint="eastAsia" w:ascii="宋体" w:hAnsi="宋体" w:cs="宋体"/>
          <w:color w:val="auto"/>
          <w:szCs w:val="21"/>
          <w:lang w:val="en-US" w:eastAsia="zh-CN"/>
        </w:rPr>
        <w:t>电子签章</w:t>
      </w:r>
      <w:r>
        <w:rPr>
          <w:rFonts w:hint="eastAsia" w:ascii="宋体" w:hAnsi="宋体" w:cs="宋体"/>
          <w:color w:val="auto"/>
          <w:szCs w:val="21"/>
          <w:lang w:val="zh-CN"/>
        </w:rPr>
        <w:t>）：</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4629C3BD">
      <w:pPr>
        <w:keepNext w:val="0"/>
        <w:keepLines w:val="0"/>
        <w:pageBreakBefore w:val="0"/>
        <w:kinsoku/>
        <w:overflowPunct/>
        <w:bidi w:val="0"/>
        <w:snapToGrid w:val="0"/>
        <w:spacing w:before="120" w:beforeLines="50" w:after="50" w:line="360" w:lineRule="auto"/>
        <w:ind w:right="480" w:firstLine="4830" w:firstLineChars="2300"/>
        <w:rPr>
          <w:rFonts w:ascii="宋体" w:hAnsi="宋体" w:cs="宋体"/>
          <w:color w:val="auto"/>
          <w:szCs w:val="21"/>
        </w:rPr>
      </w:pPr>
      <w:r>
        <w:rPr>
          <w:rFonts w:hint="eastAsia" w:ascii="宋体" w:hAnsi="宋体" w:cs="宋体"/>
          <w:color w:val="auto"/>
          <w:szCs w:val="21"/>
          <w:lang w:val="en-US" w:eastAsia="zh-CN"/>
        </w:rPr>
        <w:t xml:space="preserve">日期：    </w:t>
      </w:r>
      <w:r>
        <w:rPr>
          <w:rFonts w:hint="eastAsia" w:ascii="宋体" w:hAnsi="宋体" w:cs="宋体"/>
          <w:color w:val="auto"/>
          <w:szCs w:val="21"/>
        </w:rPr>
        <w:t>年    月    日</w:t>
      </w:r>
    </w:p>
    <w:p w14:paraId="74B94609">
      <w:pPr>
        <w:keepNext w:val="0"/>
        <w:keepLines w:val="0"/>
        <w:pageBreakBefore w:val="0"/>
        <w:kinsoku/>
        <w:overflowPunct/>
        <w:bidi w:val="0"/>
        <w:spacing w:line="360" w:lineRule="auto"/>
        <w:rPr>
          <w:rFonts w:ascii="宋体" w:hAnsi="宋体" w:cs="宋体"/>
          <w:b/>
          <w:color w:val="auto"/>
          <w:sz w:val="28"/>
          <w:szCs w:val="28"/>
        </w:rPr>
      </w:pPr>
      <w:r>
        <w:rPr>
          <w:rFonts w:hint="eastAsia" w:ascii="宋体" w:hAnsi="宋体" w:cs="宋体"/>
          <w:b/>
          <w:color w:val="auto"/>
          <w:sz w:val="28"/>
          <w:szCs w:val="28"/>
        </w:rPr>
        <w:br w:type="page"/>
      </w:r>
    </w:p>
    <w:p w14:paraId="33E277DD">
      <w:pPr>
        <w:pStyle w:val="16"/>
        <w:keepNext w:val="0"/>
        <w:keepLines w:val="0"/>
        <w:pageBreakBefore w:val="0"/>
        <w:kinsoku/>
        <w:overflowPunct/>
        <w:bidi w:val="0"/>
        <w:spacing w:line="360" w:lineRule="auto"/>
        <w:rPr>
          <w:color w:val="auto"/>
        </w:rPr>
      </w:pPr>
    </w:p>
    <w:p w14:paraId="7C2ECB75">
      <w:pPr>
        <w:keepNext w:val="0"/>
        <w:keepLines w:val="0"/>
        <w:pageBreakBefore w:val="0"/>
        <w:kinsoku/>
        <w:overflowPunct/>
        <w:bidi w:val="0"/>
        <w:snapToGrid w:val="0"/>
        <w:spacing w:line="360" w:lineRule="auto"/>
        <w:jc w:val="center"/>
        <w:rPr>
          <w:rFonts w:ascii="宋体" w:hAnsi="宋体" w:cs="宋体"/>
          <w:color w:val="auto"/>
        </w:rPr>
      </w:pPr>
      <w:r>
        <w:rPr>
          <w:rFonts w:hint="eastAsia" w:ascii="宋体" w:hAnsi="宋体" w:cs="宋体"/>
          <w:b/>
          <w:color w:val="auto"/>
          <w:sz w:val="28"/>
          <w:szCs w:val="28"/>
        </w:rPr>
        <w:t>投标人直接管理关系信息表</w:t>
      </w:r>
    </w:p>
    <w:p w14:paraId="4D44B243">
      <w:pPr>
        <w:keepNext w:val="0"/>
        <w:keepLines w:val="0"/>
        <w:pageBreakBefore w:val="0"/>
        <w:kinsoku/>
        <w:overflowPunct/>
        <w:bidi w:val="0"/>
        <w:snapToGrid w:val="0"/>
        <w:spacing w:line="360" w:lineRule="auto"/>
        <w:jc w:val="center"/>
        <w:rPr>
          <w:rFonts w:ascii="宋体" w:hAnsi="宋体" w:cs="宋体"/>
          <w:b/>
          <w:color w:val="auto"/>
          <w:sz w:val="24"/>
        </w:rPr>
      </w:pPr>
    </w:p>
    <w:tbl>
      <w:tblPr>
        <w:tblStyle w:val="25"/>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59CA85EA">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ACF8437">
            <w:pPr>
              <w:keepNext w:val="0"/>
              <w:keepLines w:val="0"/>
              <w:pageBreakBefore w:val="0"/>
              <w:widowControl/>
              <w:kinsoku/>
              <w:overflowPunct/>
              <w:bidi w:val="0"/>
              <w:spacing w:line="360" w:lineRule="auto"/>
              <w:contextualSpacing/>
              <w:jc w:val="center"/>
              <w:rPr>
                <w:rFonts w:ascii="宋体" w:hAnsi="宋体" w:cs="宋体"/>
                <w:b/>
                <w:bCs/>
                <w:color w:val="auto"/>
                <w:kern w:val="0"/>
                <w:sz w:val="24"/>
              </w:rPr>
            </w:pPr>
            <w:r>
              <w:rPr>
                <w:rFonts w:hint="eastAsia" w:ascii="宋体" w:hAnsi="宋体" w:cs="宋体"/>
                <w:b/>
                <w:bCs/>
                <w:color w:val="auto"/>
                <w:kern w:val="0"/>
                <w:sz w:val="24"/>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3F31B18">
            <w:pPr>
              <w:keepNext w:val="0"/>
              <w:keepLines w:val="0"/>
              <w:pageBreakBefore w:val="0"/>
              <w:widowControl/>
              <w:kinsoku/>
              <w:overflowPunct/>
              <w:bidi w:val="0"/>
              <w:spacing w:line="360" w:lineRule="auto"/>
              <w:contextualSpacing/>
              <w:jc w:val="center"/>
              <w:rPr>
                <w:rFonts w:ascii="宋体" w:hAnsi="宋体" w:cs="宋体"/>
                <w:b/>
                <w:bCs/>
                <w:color w:val="auto"/>
                <w:kern w:val="0"/>
                <w:sz w:val="24"/>
              </w:rPr>
            </w:pPr>
            <w:r>
              <w:rPr>
                <w:rFonts w:hint="eastAsia" w:ascii="宋体" w:hAnsi="宋体" w:cs="宋体"/>
                <w:b/>
                <w:bCs/>
                <w:color w:val="auto"/>
                <w:kern w:val="0"/>
                <w:sz w:val="24"/>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F2C8099">
            <w:pPr>
              <w:keepNext w:val="0"/>
              <w:keepLines w:val="0"/>
              <w:pageBreakBefore w:val="0"/>
              <w:widowControl/>
              <w:kinsoku/>
              <w:overflowPunct/>
              <w:bidi w:val="0"/>
              <w:spacing w:line="360" w:lineRule="auto"/>
              <w:contextualSpacing/>
              <w:jc w:val="center"/>
              <w:rPr>
                <w:rFonts w:ascii="宋体" w:hAnsi="宋体" w:cs="宋体"/>
                <w:b/>
                <w:bCs/>
                <w:color w:val="auto"/>
                <w:kern w:val="0"/>
                <w:sz w:val="24"/>
              </w:rPr>
            </w:pPr>
            <w:r>
              <w:rPr>
                <w:rFonts w:hint="eastAsia" w:ascii="宋体" w:hAnsi="宋体" w:cs="宋体"/>
                <w:b/>
                <w:bCs/>
                <w:color w:val="auto"/>
                <w:kern w:val="0"/>
                <w:sz w:val="24"/>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A7A6DE9">
            <w:pPr>
              <w:keepNext w:val="0"/>
              <w:keepLines w:val="0"/>
              <w:pageBreakBefore w:val="0"/>
              <w:widowControl/>
              <w:kinsoku/>
              <w:overflowPunct/>
              <w:bidi w:val="0"/>
              <w:spacing w:line="360" w:lineRule="auto"/>
              <w:contextualSpacing/>
              <w:jc w:val="center"/>
              <w:rPr>
                <w:rFonts w:ascii="宋体" w:hAnsi="宋体" w:cs="宋体"/>
                <w:b/>
                <w:bCs/>
                <w:color w:val="auto"/>
                <w:kern w:val="0"/>
                <w:sz w:val="24"/>
              </w:rPr>
            </w:pPr>
            <w:r>
              <w:rPr>
                <w:rFonts w:hint="eastAsia" w:ascii="宋体" w:hAnsi="宋体" w:cs="宋体"/>
                <w:b/>
                <w:bCs/>
                <w:color w:val="auto"/>
                <w:kern w:val="0"/>
                <w:sz w:val="24"/>
              </w:rPr>
              <w:t>备注</w:t>
            </w:r>
          </w:p>
        </w:tc>
      </w:tr>
      <w:tr w14:paraId="2586E415">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481CA67">
            <w:pPr>
              <w:keepNext w:val="0"/>
              <w:keepLines w:val="0"/>
              <w:pageBreakBefore w:val="0"/>
              <w:widowControl/>
              <w:kinsoku/>
              <w:overflowPunct/>
              <w:bidi w:val="0"/>
              <w:spacing w:line="360" w:lineRule="auto"/>
              <w:contextualSpacing/>
              <w:jc w:val="center"/>
              <w:rPr>
                <w:rFonts w:ascii="宋体" w:hAnsi="宋体" w:cs="宋体"/>
                <w:color w:val="auto"/>
                <w:kern w:val="0"/>
                <w:sz w:val="24"/>
              </w:rPr>
            </w:pPr>
            <w:r>
              <w:rPr>
                <w:rFonts w:hint="eastAsia" w:ascii="宋体" w:hAnsi="宋体" w:cs="宋体"/>
                <w:color w:val="auto"/>
                <w:kern w:val="0"/>
                <w:sz w:val="24"/>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FD73B3F">
            <w:pPr>
              <w:keepNext w:val="0"/>
              <w:keepLines w:val="0"/>
              <w:pageBreakBefore w:val="0"/>
              <w:widowControl/>
              <w:kinsoku/>
              <w:overflowPunct/>
              <w:bidi w:val="0"/>
              <w:spacing w:line="360" w:lineRule="auto"/>
              <w:contextualSpacing/>
              <w:jc w:val="center"/>
              <w:rPr>
                <w:rFonts w:ascii="宋体" w:hAnsi="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DA3C54C">
            <w:pPr>
              <w:keepNext w:val="0"/>
              <w:keepLines w:val="0"/>
              <w:pageBreakBefore w:val="0"/>
              <w:widowControl/>
              <w:kinsoku/>
              <w:overflowPunct/>
              <w:bidi w:val="0"/>
              <w:spacing w:line="360" w:lineRule="auto"/>
              <w:contextualSpacing/>
              <w:jc w:val="center"/>
              <w:rPr>
                <w:rFonts w:ascii="宋体" w:hAnsi="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D63C9B1">
            <w:pPr>
              <w:keepNext w:val="0"/>
              <w:keepLines w:val="0"/>
              <w:pageBreakBefore w:val="0"/>
              <w:widowControl/>
              <w:kinsoku/>
              <w:overflowPunct/>
              <w:bidi w:val="0"/>
              <w:spacing w:line="360" w:lineRule="auto"/>
              <w:contextualSpacing/>
              <w:jc w:val="center"/>
              <w:rPr>
                <w:rFonts w:ascii="宋体" w:hAnsi="宋体" w:cs="宋体"/>
                <w:color w:val="auto"/>
                <w:kern w:val="0"/>
                <w:sz w:val="24"/>
              </w:rPr>
            </w:pPr>
          </w:p>
        </w:tc>
      </w:tr>
      <w:tr w14:paraId="1EDEC594">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EC9B03C">
            <w:pPr>
              <w:keepNext w:val="0"/>
              <w:keepLines w:val="0"/>
              <w:pageBreakBefore w:val="0"/>
              <w:widowControl/>
              <w:kinsoku/>
              <w:overflowPunct/>
              <w:bidi w:val="0"/>
              <w:spacing w:line="360" w:lineRule="auto"/>
              <w:contextualSpacing/>
              <w:jc w:val="center"/>
              <w:rPr>
                <w:rFonts w:ascii="宋体" w:hAnsi="宋体" w:cs="宋体"/>
                <w:color w:val="auto"/>
                <w:kern w:val="0"/>
                <w:sz w:val="24"/>
              </w:rPr>
            </w:pPr>
            <w:r>
              <w:rPr>
                <w:rFonts w:hint="eastAsia" w:ascii="宋体" w:hAnsi="宋体" w:cs="宋体"/>
                <w:color w:val="auto"/>
                <w:kern w:val="0"/>
                <w:sz w:val="24"/>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C71BD4C">
            <w:pPr>
              <w:keepNext w:val="0"/>
              <w:keepLines w:val="0"/>
              <w:pageBreakBefore w:val="0"/>
              <w:widowControl/>
              <w:kinsoku/>
              <w:overflowPunct/>
              <w:bidi w:val="0"/>
              <w:spacing w:line="360" w:lineRule="auto"/>
              <w:contextualSpacing/>
              <w:jc w:val="center"/>
              <w:rPr>
                <w:rFonts w:ascii="宋体" w:hAnsi="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68202E3">
            <w:pPr>
              <w:keepNext w:val="0"/>
              <w:keepLines w:val="0"/>
              <w:pageBreakBefore w:val="0"/>
              <w:widowControl/>
              <w:kinsoku/>
              <w:overflowPunct/>
              <w:bidi w:val="0"/>
              <w:spacing w:line="360" w:lineRule="auto"/>
              <w:contextualSpacing/>
              <w:jc w:val="center"/>
              <w:rPr>
                <w:rFonts w:ascii="宋体" w:hAnsi="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9658EED">
            <w:pPr>
              <w:keepNext w:val="0"/>
              <w:keepLines w:val="0"/>
              <w:pageBreakBefore w:val="0"/>
              <w:widowControl/>
              <w:kinsoku/>
              <w:overflowPunct/>
              <w:bidi w:val="0"/>
              <w:spacing w:line="360" w:lineRule="auto"/>
              <w:contextualSpacing/>
              <w:jc w:val="center"/>
              <w:rPr>
                <w:rFonts w:ascii="宋体" w:hAnsi="宋体" w:cs="宋体"/>
                <w:color w:val="auto"/>
                <w:kern w:val="0"/>
                <w:sz w:val="24"/>
              </w:rPr>
            </w:pPr>
          </w:p>
        </w:tc>
      </w:tr>
      <w:tr w14:paraId="31C047E5">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8F27244">
            <w:pPr>
              <w:keepNext w:val="0"/>
              <w:keepLines w:val="0"/>
              <w:pageBreakBefore w:val="0"/>
              <w:widowControl/>
              <w:kinsoku/>
              <w:overflowPunct/>
              <w:bidi w:val="0"/>
              <w:spacing w:line="360" w:lineRule="auto"/>
              <w:contextualSpacing/>
              <w:jc w:val="center"/>
              <w:rPr>
                <w:rFonts w:ascii="宋体" w:hAnsi="宋体" w:cs="宋体"/>
                <w:color w:val="auto"/>
                <w:kern w:val="0"/>
                <w:sz w:val="24"/>
              </w:rPr>
            </w:pPr>
            <w:r>
              <w:rPr>
                <w:rFonts w:hint="eastAsia" w:ascii="宋体" w:hAnsi="宋体" w:cs="宋体"/>
                <w:color w:val="auto"/>
                <w:kern w:val="0"/>
                <w:sz w:val="24"/>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20B2735">
            <w:pPr>
              <w:keepNext w:val="0"/>
              <w:keepLines w:val="0"/>
              <w:pageBreakBefore w:val="0"/>
              <w:widowControl/>
              <w:kinsoku/>
              <w:overflowPunct/>
              <w:bidi w:val="0"/>
              <w:spacing w:line="360" w:lineRule="auto"/>
              <w:contextualSpacing/>
              <w:jc w:val="center"/>
              <w:rPr>
                <w:rFonts w:ascii="宋体" w:hAnsi="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4B5C79F">
            <w:pPr>
              <w:keepNext w:val="0"/>
              <w:keepLines w:val="0"/>
              <w:pageBreakBefore w:val="0"/>
              <w:widowControl/>
              <w:kinsoku/>
              <w:overflowPunct/>
              <w:bidi w:val="0"/>
              <w:spacing w:line="360" w:lineRule="auto"/>
              <w:contextualSpacing/>
              <w:jc w:val="center"/>
              <w:rPr>
                <w:rFonts w:ascii="宋体" w:hAnsi="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34D18E2">
            <w:pPr>
              <w:keepNext w:val="0"/>
              <w:keepLines w:val="0"/>
              <w:pageBreakBefore w:val="0"/>
              <w:widowControl/>
              <w:kinsoku/>
              <w:overflowPunct/>
              <w:bidi w:val="0"/>
              <w:spacing w:line="360" w:lineRule="auto"/>
              <w:contextualSpacing/>
              <w:jc w:val="center"/>
              <w:rPr>
                <w:rFonts w:ascii="宋体" w:hAnsi="宋体" w:cs="宋体"/>
                <w:color w:val="auto"/>
                <w:kern w:val="0"/>
                <w:sz w:val="24"/>
              </w:rPr>
            </w:pPr>
          </w:p>
        </w:tc>
      </w:tr>
      <w:tr w14:paraId="46973A94">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D28A961">
            <w:pPr>
              <w:keepNext w:val="0"/>
              <w:keepLines w:val="0"/>
              <w:pageBreakBefore w:val="0"/>
              <w:widowControl/>
              <w:kinsoku/>
              <w:overflowPunct/>
              <w:bidi w:val="0"/>
              <w:spacing w:line="360" w:lineRule="auto"/>
              <w:contextualSpacing/>
              <w:jc w:val="center"/>
              <w:rPr>
                <w:rFonts w:ascii="宋体" w:hAnsi="宋体" w:cs="宋体"/>
                <w:color w:val="auto"/>
                <w:kern w:val="0"/>
                <w:sz w:val="24"/>
              </w:rPr>
            </w:pPr>
            <w:r>
              <w:rPr>
                <w:rFonts w:hint="eastAsia" w:ascii="宋体" w:hAnsi="宋体" w:cs="宋体"/>
                <w:color w:val="auto"/>
                <w:kern w:val="0"/>
                <w:sz w:val="24"/>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675E998">
            <w:pPr>
              <w:keepNext w:val="0"/>
              <w:keepLines w:val="0"/>
              <w:pageBreakBefore w:val="0"/>
              <w:widowControl/>
              <w:kinsoku/>
              <w:overflowPunct/>
              <w:bidi w:val="0"/>
              <w:spacing w:line="360" w:lineRule="auto"/>
              <w:contextualSpacing/>
              <w:jc w:val="center"/>
              <w:rPr>
                <w:rFonts w:ascii="宋体" w:hAnsi="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D9DAFA6">
            <w:pPr>
              <w:keepNext w:val="0"/>
              <w:keepLines w:val="0"/>
              <w:pageBreakBefore w:val="0"/>
              <w:widowControl/>
              <w:kinsoku/>
              <w:overflowPunct/>
              <w:bidi w:val="0"/>
              <w:spacing w:line="360" w:lineRule="auto"/>
              <w:contextualSpacing/>
              <w:jc w:val="center"/>
              <w:rPr>
                <w:rFonts w:ascii="宋体" w:hAnsi="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9D1E67D">
            <w:pPr>
              <w:keepNext w:val="0"/>
              <w:keepLines w:val="0"/>
              <w:pageBreakBefore w:val="0"/>
              <w:widowControl/>
              <w:kinsoku/>
              <w:overflowPunct/>
              <w:bidi w:val="0"/>
              <w:spacing w:line="360" w:lineRule="auto"/>
              <w:contextualSpacing/>
              <w:jc w:val="center"/>
              <w:rPr>
                <w:rFonts w:ascii="宋体" w:hAnsi="宋体" w:cs="宋体"/>
                <w:color w:val="auto"/>
                <w:kern w:val="0"/>
                <w:sz w:val="24"/>
              </w:rPr>
            </w:pPr>
          </w:p>
        </w:tc>
      </w:tr>
    </w:tbl>
    <w:p w14:paraId="02546B2F">
      <w:pPr>
        <w:keepNext w:val="0"/>
        <w:keepLines w:val="0"/>
        <w:pageBreakBefore w:val="0"/>
        <w:kinsoku/>
        <w:overflowPunct/>
        <w:bidi w:val="0"/>
        <w:spacing w:line="360" w:lineRule="auto"/>
        <w:contextualSpacing/>
        <w:jc w:val="left"/>
        <w:rPr>
          <w:rFonts w:ascii="宋体" w:hAnsi="宋体" w:cs="宋体"/>
          <w:color w:val="auto"/>
          <w:szCs w:val="21"/>
        </w:rPr>
      </w:pPr>
      <w:r>
        <w:rPr>
          <w:rFonts w:hint="eastAsia" w:ascii="宋体" w:hAnsi="宋体" w:cs="宋体"/>
          <w:color w:val="auto"/>
          <w:szCs w:val="21"/>
        </w:rPr>
        <w:t>注：</w:t>
      </w:r>
    </w:p>
    <w:p w14:paraId="18D338DE">
      <w:pPr>
        <w:keepNext w:val="0"/>
        <w:keepLines w:val="0"/>
        <w:pageBreakBefore w:val="0"/>
        <w:kinsoku/>
        <w:overflowPunct/>
        <w:bidi w:val="0"/>
        <w:spacing w:line="360" w:lineRule="auto"/>
        <w:ind w:firstLine="420" w:firstLineChars="200"/>
        <w:contextualSpacing/>
        <w:jc w:val="left"/>
        <w:rPr>
          <w:rFonts w:ascii="宋体" w:hAnsi="宋体" w:cs="宋体"/>
          <w:color w:val="auto"/>
          <w:szCs w:val="21"/>
        </w:rPr>
      </w:pPr>
      <w:r>
        <w:rPr>
          <w:rFonts w:hint="eastAsia" w:ascii="宋体" w:hAnsi="宋体" w:cs="宋体"/>
          <w:color w:val="auto"/>
          <w:szCs w:val="21"/>
        </w:rPr>
        <w:t>1.管理关系：是指不具有出资持股关系的其他单位之间存在的管理与被管理关系，如一些上下级关系的事业单位和团体组织。</w:t>
      </w:r>
    </w:p>
    <w:p w14:paraId="24BFE87F">
      <w:pPr>
        <w:keepNext w:val="0"/>
        <w:keepLines w:val="0"/>
        <w:pageBreakBefore w:val="0"/>
        <w:kinsoku/>
        <w:overflowPunct/>
        <w:bidi w:val="0"/>
        <w:spacing w:line="360" w:lineRule="auto"/>
        <w:ind w:firstLine="420" w:firstLineChars="200"/>
        <w:contextualSpacing/>
        <w:jc w:val="left"/>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pacing w:val="-6"/>
          <w:szCs w:val="21"/>
        </w:rPr>
        <w:t>本表所指的管理关系仅限于直接管理关系，不包括间接的管理关系。</w:t>
      </w:r>
    </w:p>
    <w:p w14:paraId="13E49664">
      <w:pPr>
        <w:keepNext w:val="0"/>
        <w:keepLines w:val="0"/>
        <w:pageBreakBefore w:val="0"/>
        <w:kinsoku/>
        <w:overflowPunct/>
        <w:bidi w:val="0"/>
        <w:spacing w:line="360" w:lineRule="auto"/>
        <w:ind w:firstLine="420" w:firstLineChars="200"/>
        <w:contextualSpacing/>
        <w:jc w:val="left"/>
        <w:rPr>
          <w:rFonts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lang w:eastAsia="zh-CN"/>
        </w:rPr>
        <w:t>投标人</w:t>
      </w:r>
      <w:r>
        <w:rPr>
          <w:rFonts w:hint="eastAsia" w:ascii="宋体" w:hAnsi="宋体" w:cs="宋体"/>
          <w:color w:val="auto"/>
          <w:szCs w:val="21"/>
        </w:rPr>
        <w:t>不存在直接管理关系的，则在“</w:t>
      </w:r>
      <w:r>
        <w:rPr>
          <w:rFonts w:hint="eastAsia" w:ascii="宋体" w:hAnsi="宋体" w:cs="宋体"/>
          <w:b/>
          <w:bCs/>
          <w:color w:val="auto"/>
          <w:szCs w:val="21"/>
        </w:rPr>
        <w:t>直接管理关系单位名称</w:t>
      </w:r>
      <w:r>
        <w:rPr>
          <w:rFonts w:hint="eastAsia" w:ascii="宋体" w:hAnsi="宋体" w:cs="宋体"/>
          <w:color w:val="auto"/>
          <w:szCs w:val="21"/>
        </w:rPr>
        <w:t>”填“无”。</w:t>
      </w:r>
    </w:p>
    <w:p w14:paraId="1BD524CF">
      <w:pPr>
        <w:keepNext w:val="0"/>
        <w:keepLines w:val="0"/>
        <w:pageBreakBefore w:val="0"/>
        <w:kinsoku/>
        <w:overflowPunct/>
        <w:bidi w:val="0"/>
        <w:spacing w:line="360" w:lineRule="auto"/>
        <w:contextualSpacing/>
        <w:jc w:val="left"/>
        <w:rPr>
          <w:rFonts w:ascii="宋体" w:hAnsi="宋体" w:cs="宋体"/>
          <w:color w:val="auto"/>
          <w:szCs w:val="21"/>
        </w:rPr>
      </w:pPr>
    </w:p>
    <w:p w14:paraId="094CE74A">
      <w:pPr>
        <w:keepNext w:val="0"/>
        <w:keepLines w:val="0"/>
        <w:pageBreakBefore w:val="0"/>
        <w:kinsoku/>
        <w:overflowPunct/>
        <w:bidi w:val="0"/>
        <w:spacing w:line="360" w:lineRule="auto"/>
        <w:ind w:right="480"/>
        <w:contextualSpacing/>
        <w:jc w:val="center"/>
        <w:rPr>
          <w:rFonts w:ascii="宋体" w:hAnsi="宋体" w:cs="宋体"/>
          <w:color w:val="auto"/>
          <w:szCs w:val="21"/>
          <w:u w:val="single"/>
        </w:rPr>
      </w:pPr>
      <w:r>
        <w:rPr>
          <w:rFonts w:hint="eastAsia" w:ascii="宋体" w:hAnsi="宋体" w:cs="宋体"/>
          <w:color w:val="auto"/>
          <w:szCs w:val="21"/>
        </w:rPr>
        <w:t>法定代表人或者委托代理人（</w:t>
      </w:r>
      <w:r>
        <w:rPr>
          <w:rFonts w:hint="eastAsia" w:ascii="宋体" w:hAnsi="宋体" w:cs="宋体"/>
          <w:color w:val="auto"/>
          <w:szCs w:val="21"/>
          <w:lang w:val="en-US" w:eastAsia="zh-CN"/>
        </w:rPr>
        <w:t>签字或者电子签名</w:t>
      </w:r>
      <w:r>
        <w:rPr>
          <w:rFonts w:hint="eastAsia" w:ascii="宋体" w:hAnsi="宋体" w:cs="宋体"/>
          <w:color w:val="auto"/>
          <w:szCs w:val="21"/>
        </w:rPr>
        <w:t>）：</w:t>
      </w:r>
      <w:r>
        <w:rPr>
          <w:rFonts w:hint="eastAsia" w:ascii="宋体" w:hAnsi="宋体" w:cs="宋体"/>
          <w:color w:val="auto"/>
          <w:szCs w:val="21"/>
          <w:u w:val="single"/>
        </w:rPr>
        <w:t xml:space="preserve">          </w:t>
      </w:r>
    </w:p>
    <w:p w14:paraId="48EF6755">
      <w:pPr>
        <w:keepNext w:val="0"/>
        <w:keepLines w:val="0"/>
        <w:pageBreakBefore w:val="0"/>
        <w:kinsoku/>
        <w:overflowPunct/>
        <w:bidi w:val="0"/>
        <w:spacing w:line="360" w:lineRule="auto"/>
        <w:ind w:right="480"/>
        <w:contextualSpacing/>
        <w:jc w:val="center"/>
        <w:rPr>
          <w:rFonts w:ascii="宋体" w:hAnsi="宋体" w:cs="宋体"/>
          <w:color w:val="auto"/>
          <w:szCs w:val="21"/>
        </w:rPr>
      </w:pPr>
      <w:r>
        <w:rPr>
          <w:rFonts w:hint="eastAsia" w:ascii="宋体" w:hAnsi="宋体" w:cs="宋体"/>
          <w:color w:val="auto"/>
          <w:szCs w:val="21"/>
          <w:lang w:val="zh-CN"/>
        </w:rPr>
        <w:t>投标人名称（</w:t>
      </w:r>
      <w:r>
        <w:rPr>
          <w:rFonts w:hint="eastAsia" w:ascii="宋体" w:hAnsi="宋体" w:cs="宋体"/>
          <w:color w:val="auto"/>
          <w:szCs w:val="21"/>
          <w:lang w:val="en-US" w:eastAsia="zh-CN"/>
        </w:rPr>
        <w:t>电子签章</w:t>
      </w:r>
      <w:r>
        <w:rPr>
          <w:rFonts w:hint="eastAsia" w:ascii="宋体" w:hAnsi="宋体" w:cs="宋体"/>
          <w:color w:val="auto"/>
          <w:szCs w:val="21"/>
          <w:lang w:val="zh-CN"/>
        </w:rPr>
        <w:t>）：</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43CA8697">
      <w:pPr>
        <w:keepNext w:val="0"/>
        <w:keepLines w:val="0"/>
        <w:pageBreakBefore w:val="0"/>
        <w:kinsoku/>
        <w:overflowPunct/>
        <w:bidi w:val="0"/>
        <w:spacing w:line="360" w:lineRule="auto"/>
        <w:rPr>
          <w:rFonts w:ascii="宋体" w:hAnsi="宋体" w:cs="宋体"/>
          <w:color w:val="auto"/>
          <w:szCs w:val="21"/>
        </w:rPr>
      </w:pPr>
      <w:r>
        <w:rPr>
          <w:rFonts w:hint="eastAsia" w:ascii="宋体" w:hAnsi="宋体" w:cs="宋体"/>
          <w:color w:val="auto"/>
          <w:szCs w:val="21"/>
        </w:rPr>
        <w:t xml:space="preserve">                                                  </w:t>
      </w:r>
      <w:r>
        <w:rPr>
          <w:rFonts w:hint="eastAsia" w:ascii="宋体" w:hAnsi="宋体" w:cs="宋体"/>
          <w:color w:val="auto"/>
          <w:szCs w:val="21"/>
          <w:lang w:val="en-US" w:eastAsia="zh-CN"/>
        </w:rPr>
        <w:t xml:space="preserve">日期：    </w:t>
      </w:r>
      <w:r>
        <w:rPr>
          <w:rFonts w:hint="eastAsia" w:ascii="宋体" w:hAnsi="宋体" w:cs="宋体"/>
          <w:color w:val="auto"/>
          <w:szCs w:val="21"/>
        </w:rPr>
        <w:t>年    月    日</w:t>
      </w:r>
    </w:p>
    <w:p w14:paraId="587995CD">
      <w:pPr>
        <w:keepNext w:val="0"/>
        <w:keepLines w:val="0"/>
        <w:pageBreakBefore w:val="0"/>
        <w:kinsoku/>
        <w:overflowPunct/>
        <w:bidi w:val="0"/>
        <w:snapToGrid w:val="0"/>
        <w:spacing w:line="360" w:lineRule="auto"/>
        <w:ind w:firstLine="482" w:firstLineChars="200"/>
        <w:jc w:val="left"/>
        <w:rPr>
          <w:rFonts w:ascii="宋体" w:hAnsi="宋体" w:cs="宋体"/>
          <w:b/>
          <w:color w:val="auto"/>
          <w:sz w:val="24"/>
          <w:szCs w:val="20"/>
        </w:rPr>
      </w:pPr>
      <w:r>
        <w:rPr>
          <w:rFonts w:hint="eastAsia" w:ascii="宋体" w:hAnsi="宋体" w:cs="宋体"/>
          <w:b/>
          <w:bCs/>
          <w:color w:val="auto"/>
          <w:sz w:val="24"/>
        </w:rPr>
        <w:br w:type="page"/>
      </w:r>
      <w:r>
        <w:rPr>
          <w:rFonts w:hint="eastAsia" w:ascii="宋体" w:hAnsi="宋体" w:cs="宋体"/>
          <w:b/>
          <w:bCs/>
          <w:color w:val="auto"/>
          <w:sz w:val="24"/>
        </w:rPr>
        <w:t>3.</w:t>
      </w:r>
      <w:r>
        <w:rPr>
          <w:rFonts w:hint="eastAsia" w:ascii="宋体" w:hAnsi="宋体" w:cs="宋体"/>
          <w:b/>
          <w:color w:val="auto"/>
          <w:sz w:val="24"/>
        </w:rPr>
        <w:t>投标声明</w:t>
      </w:r>
    </w:p>
    <w:p w14:paraId="5C4BF7D5">
      <w:pPr>
        <w:keepNext w:val="0"/>
        <w:keepLines w:val="0"/>
        <w:pageBreakBefore w:val="0"/>
        <w:kinsoku/>
        <w:overflowPunct/>
        <w:bidi w:val="0"/>
        <w:snapToGrid w:val="0"/>
        <w:spacing w:before="50" w:after="120" w:afterLines="50" w:line="360" w:lineRule="auto"/>
        <w:jc w:val="center"/>
        <w:rPr>
          <w:rFonts w:ascii="宋体" w:hAnsi="宋体" w:cs="宋体"/>
          <w:b/>
          <w:color w:val="auto"/>
          <w:sz w:val="24"/>
        </w:rPr>
      </w:pPr>
      <w:r>
        <w:rPr>
          <w:rFonts w:hint="eastAsia" w:ascii="宋体" w:hAnsi="宋体" w:cs="宋体"/>
          <w:b/>
          <w:color w:val="auto"/>
          <w:sz w:val="24"/>
        </w:rPr>
        <w:t>投标声明</w:t>
      </w:r>
    </w:p>
    <w:p w14:paraId="7F1F1FAB">
      <w:pPr>
        <w:keepNext w:val="0"/>
        <w:keepLines w:val="0"/>
        <w:pageBreakBefore w:val="0"/>
        <w:kinsoku/>
        <w:overflowPunct/>
        <w:bidi w:val="0"/>
        <w:snapToGrid w:val="0"/>
        <w:spacing w:before="50" w:after="120" w:afterLines="50" w:line="360" w:lineRule="auto"/>
        <w:jc w:val="left"/>
        <w:rPr>
          <w:rFonts w:ascii="宋体" w:hAnsi="宋体" w:cs="宋体"/>
          <w:color w:val="auto"/>
          <w:szCs w:val="21"/>
        </w:rPr>
      </w:pPr>
      <w:r>
        <w:rPr>
          <w:rFonts w:hint="eastAsia" w:ascii="宋体" w:hAnsi="宋体" w:cs="宋体"/>
          <w:color w:val="auto"/>
          <w:szCs w:val="21"/>
        </w:rPr>
        <w:t>采购人名称：</w:t>
      </w:r>
      <w:r>
        <w:rPr>
          <w:rFonts w:hint="eastAsia" w:ascii="宋体" w:hAnsi="宋体" w:cs="宋体"/>
          <w:color w:val="auto"/>
          <w:szCs w:val="21"/>
          <w:u w:val="single"/>
        </w:rPr>
        <w:t xml:space="preserve">           </w:t>
      </w:r>
    </w:p>
    <w:p w14:paraId="29350650">
      <w:pPr>
        <w:keepNext w:val="0"/>
        <w:keepLines w:val="0"/>
        <w:pageBreakBefore w:val="0"/>
        <w:kinsoku/>
        <w:overflowPunct/>
        <w:bidi w:val="0"/>
        <w:snapToGrid w:val="0"/>
        <w:spacing w:before="50" w:after="120" w:afterLines="50" w:line="360" w:lineRule="auto"/>
        <w:ind w:firstLine="405"/>
        <w:jc w:val="left"/>
        <w:rPr>
          <w:rFonts w:ascii="宋体" w:hAnsi="宋体" w:cs="宋体"/>
          <w:color w:val="auto"/>
          <w:szCs w:val="21"/>
        </w:rPr>
      </w:pPr>
      <w:r>
        <w:rPr>
          <w:rFonts w:hint="eastAsia" w:ascii="宋体" w:hAnsi="宋体" w:cs="宋体"/>
          <w:color w:val="auto"/>
          <w:szCs w:val="21"/>
        </w:rPr>
        <w:t>我公司参加贵单位组织</w:t>
      </w:r>
      <w:r>
        <w:rPr>
          <w:rFonts w:hint="eastAsia" w:ascii="宋体" w:hAnsi="宋体" w:cs="宋体"/>
          <w:color w:val="auto"/>
          <w:szCs w:val="21"/>
          <w:u w:val="single"/>
        </w:rPr>
        <w:t xml:space="preserve">             </w:t>
      </w:r>
      <w:r>
        <w:rPr>
          <w:rFonts w:hint="eastAsia" w:ascii="宋体" w:hAnsi="宋体" w:cs="宋体"/>
          <w:color w:val="auto"/>
          <w:szCs w:val="21"/>
        </w:rPr>
        <w:t>项目（项目编号：</w:t>
      </w:r>
      <w:r>
        <w:rPr>
          <w:rFonts w:hint="eastAsia" w:ascii="宋体" w:hAnsi="宋体" w:cs="宋体"/>
          <w:color w:val="auto"/>
          <w:szCs w:val="21"/>
          <w:u w:val="single"/>
        </w:rPr>
        <w:t xml:space="preserve">       </w:t>
      </w:r>
      <w:r>
        <w:rPr>
          <w:rFonts w:hint="eastAsia" w:ascii="宋体" w:hAnsi="宋体" w:cs="宋体"/>
          <w:color w:val="auto"/>
          <w:szCs w:val="21"/>
        </w:rPr>
        <w:t>）的政府采购活动。我公司在此郑重声明：</w:t>
      </w:r>
    </w:p>
    <w:p w14:paraId="315F3A9C">
      <w:pPr>
        <w:keepNext w:val="0"/>
        <w:keepLines w:val="0"/>
        <w:pageBreakBefore w:val="0"/>
        <w:kinsoku/>
        <w:overflowPunct/>
        <w:bidi w:val="0"/>
        <w:snapToGrid w:val="0"/>
        <w:spacing w:before="50" w:after="120" w:afterLines="50" w:line="360" w:lineRule="auto"/>
        <w:ind w:firstLine="420" w:firstLineChars="200"/>
        <w:jc w:val="left"/>
        <w:rPr>
          <w:rFonts w:ascii="宋体" w:hAnsi="宋体" w:cs="宋体"/>
          <w:color w:val="auto"/>
          <w:szCs w:val="21"/>
        </w:rPr>
      </w:pPr>
      <w:r>
        <w:rPr>
          <w:rFonts w:hint="eastAsia" w:ascii="宋体" w:hAnsi="宋体" w:cs="宋体"/>
          <w:color w:val="auto"/>
          <w:szCs w:val="21"/>
        </w:rPr>
        <w:t>1.我公司参加本项目的政府采购活动前三年内在经营活动中没有重大违法记录（重大违法记录是指</w:t>
      </w:r>
      <w:r>
        <w:rPr>
          <w:rFonts w:hint="eastAsia" w:ascii="宋体" w:hAnsi="宋体" w:cs="宋体"/>
          <w:color w:val="auto"/>
          <w:szCs w:val="21"/>
          <w:lang w:eastAsia="zh-CN"/>
        </w:rPr>
        <w:t>投标人</w:t>
      </w:r>
      <w:r>
        <w:rPr>
          <w:rFonts w:hint="eastAsia" w:ascii="宋体" w:hAnsi="宋体" w:cs="宋体"/>
          <w:color w:val="auto"/>
          <w:szCs w:val="21"/>
        </w:rPr>
        <w:t>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w:t>
      </w:r>
      <w:r>
        <w:rPr>
          <w:rFonts w:hint="eastAsia" w:ascii="宋体" w:hAnsi="宋体" w:cs="宋体"/>
          <w:color w:val="auto"/>
          <w:szCs w:val="21"/>
          <w:lang w:eastAsia="zh-CN"/>
        </w:rPr>
        <w:t>投标人</w:t>
      </w:r>
      <w:r>
        <w:rPr>
          <w:rFonts w:hint="eastAsia" w:ascii="宋体" w:hAnsi="宋体" w:cs="宋体"/>
          <w:color w:val="auto"/>
          <w:szCs w:val="21"/>
        </w:rPr>
        <w:t>资格条件，我方对此声明负全部法律责任。</w:t>
      </w:r>
    </w:p>
    <w:p w14:paraId="0CB5E7BC">
      <w:pPr>
        <w:keepNext w:val="0"/>
        <w:keepLines w:val="0"/>
        <w:pageBreakBefore w:val="0"/>
        <w:kinsoku/>
        <w:overflowPunct/>
        <w:bidi w:val="0"/>
        <w:snapToGrid w:val="0"/>
        <w:spacing w:before="50" w:after="120" w:afterLines="50" w:line="360" w:lineRule="auto"/>
        <w:ind w:firstLine="420" w:firstLineChars="200"/>
        <w:jc w:val="left"/>
        <w:rPr>
          <w:rFonts w:ascii="宋体" w:hAnsi="宋体" w:cs="宋体"/>
          <w:color w:val="auto"/>
          <w:szCs w:val="21"/>
        </w:rPr>
      </w:pPr>
      <w:r>
        <w:rPr>
          <w:rFonts w:hint="eastAsia" w:ascii="宋体" w:hAnsi="宋体" w:cs="宋体"/>
          <w:color w:val="auto"/>
          <w:szCs w:val="21"/>
        </w:rPr>
        <w:t>2. 我公司不是采购人的附属机构；不是为本次采购项目提供整体设计、规范编制或者项目管理、监理、检测等服务的</w:t>
      </w:r>
      <w:r>
        <w:rPr>
          <w:rFonts w:hint="eastAsia" w:ascii="宋体" w:hAnsi="宋体" w:cs="宋体"/>
          <w:color w:val="auto"/>
          <w:szCs w:val="21"/>
          <w:lang w:eastAsia="zh-CN"/>
        </w:rPr>
        <w:t>投标人</w:t>
      </w:r>
      <w:r>
        <w:rPr>
          <w:rFonts w:hint="eastAsia" w:ascii="宋体" w:hAnsi="宋体" w:cs="宋体"/>
          <w:color w:val="auto"/>
          <w:szCs w:val="21"/>
        </w:rPr>
        <w:t>；在获知本项目采购信息后，与采购人聘请的为此项目提供咨询服务的公司及其附属机构没有任何联系。</w:t>
      </w:r>
    </w:p>
    <w:p w14:paraId="69D4C32E">
      <w:pPr>
        <w:keepNext w:val="0"/>
        <w:keepLines w:val="0"/>
        <w:pageBreakBefore w:val="0"/>
        <w:kinsoku/>
        <w:overflowPunct/>
        <w:bidi w:val="0"/>
        <w:snapToGrid w:val="0"/>
        <w:spacing w:before="50" w:after="120" w:afterLines="50" w:line="360" w:lineRule="auto"/>
        <w:ind w:firstLine="420" w:firstLineChars="200"/>
        <w:jc w:val="left"/>
        <w:rPr>
          <w:rFonts w:ascii="宋体" w:hAnsi="宋体" w:cs="宋体"/>
          <w:color w:val="auto"/>
          <w:szCs w:val="21"/>
        </w:rPr>
      </w:pPr>
      <w:r>
        <w:rPr>
          <w:rFonts w:hint="eastAsia" w:ascii="宋体" w:hAnsi="宋体" w:cs="宋体"/>
          <w:color w:val="auto"/>
          <w:szCs w:val="21"/>
        </w:rPr>
        <w:t>3. 我公司承诺符合《中华人民共和国政府采购法》第二十二条规定：</w:t>
      </w:r>
    </w:p>
    <w:p w14:paraId="59F53806">
      <w:pPr>
        <w:keepNext w:val="0"/>
        <w:keepLines w:val="0"/>
        <w:pageBreakBefore w:val="0"/>
        <w:kinsoku/>
        <w:overflowPunct/>
        <w:bidi w:val="0"/>
        <w:snapToGrid w:val="0"/>
        <w:spacing w:before="50" w:after="120" w:afterLines="50" w:line="360" w:lineRule="auto"/>
        <w:ind w:firstLine="420" w:firstLineChars="200"/>
        <w:jc w:val="left"/>
        <w:rPr>
          <w:rFonts w:ascii="宋体" w:hAnsi="宋体" w:cs="宋体"/>
          <w:color w:val="auto"/>
          <w:szCs w:val="21"/>
        </w:rPr>
      </w:pPr>
      <w:r>
        <w:rPr>
          <w:rFonts w:hint="eastAsia" w:ascii="宋体" w:hAnsi="宋体" w:cs="宋体"/>
          <w:color w:val="auto"/>
          <w:szCs w:val="21"/>
        </w:rPr>
        <w:t>（一）具有独立承担民事责任的能力；</w:t>
      </w:r>
    </w:p>
    <w:p w14:paraId="569DD4AF">
      <w:pPr>
        <w:keepNext w:val="0"/>
        <w:keepLines w:val="0"/>
        <w:pageBreakBefore w:val="0"/>
        <w:kinsoku/>
        <w:overflowPunct/>
        <w:bidi w:val="0"/>
        <w:snapToGrid w:val="0"/>
        <w:spacing w:before="50" w:after="120" w:afterLines="50" w:line="360" w:lineRule="auto"/>
        <w:ind w:firstLine="420" w:firstLineChars="200"/>
        <w:jc w:val="left"/>
        <w:rPr>
          <w:rFonts w:ascii="宋体" w:hAnsi="宋体" w:cs="宋体"/>
          <w:color w:val="auto"/>
          <w:szCs w:val="21"/>
        </w:rPr>
      </w:pPr>
      <w:r>
        <w:rPr>
          <w:rFonts w:hint="eastAsia" w:ascii="宋体" w:hAnsi="宋体" w:cs="宋体"/>
          <w:color w:val="auto"/>
          <w:szCs w:val="21"/>
        </w:rPr>
        <w:t>（二）具有良好的商业信誉和健全的财务会计制度；</w:t>
      </w:r>
    </w:p>
    <w:p w14:paraId="60281489">
      <w:pPr>
        <w:keepNext w:val="0"/>
        <w:keepLines w:val="0"/>
        <w:pageBreakBefore w:val="0"/>
        <w:kinsoku/>
        <w:overflowPunct/>
        <w:bidi w:val="0"/>
        <w:snapToGrid w:val="0"/>
        <w:spacing w:before="50" w:after="120" w:afterLines="50" w:line="360" w:lineRule="auto"/>
        <w:ind w:firstLine="420" w:firstLineChars="200"/>
        <w:jc w:val="left"/>
        <w:rPr>
          <w:rFonts w:ascii="宋体" w:hAnsi="宋体" w:cs="宋体"/>
          <w:color w:val="auto"/>
          <w:szCs w:val="21"/>
        </w:rPr>
      </w:pPr>
      <w:r>
        <w:rPr>
          <w:rFonts w:hint="eastAsia" w:ascii="宋体" w:hAnsi="宋体" w:cs="宋体"/>
          <w:color w:val="auto"/>
          <w:szCs w:val="21"/>
        </w:rPr>
        <w:t>（三）具有履行合同所必需的设备和专业技术能力；</w:t>
      </w:r>
    </w:p>
    <w:p w14:paraId="6878A189">
      <w:pPr>
        <w:keepNext w:val="0"/>
        <w:keepLines w:val="0"/>
        <w:pageBreakBefore w:val="0"/>
        <w:kinsoku/>
        <w:overflowPunct/>
        <w:bidi w:val="0"/>
        <w:snapToGrid w:val="0"/>
        <w:spacing w:before="50" w:after="120" w:afterLines="50" w:line="360" w:lineRule="auto"/>
        <w:ind w:firstLine="420" w:firstLineChars="200"/>
        <w:jc w:val="left"/>
        <w:rPr>
          <w:rFonts w:ascii="宋体" w:hAnsi="宋体" w:cs="宋体"/>
          <w:color w:val="auto"/>
          <w:szCs w:val="21"/>
        </w:rPr>
      </w:pPr>
      <w:r>
        <w:rPr>
          <w:rFonts w:hint="eastAsia" w:ascii="宋体" w:hAnsi="宋体" w:cs="宋体"/>
          <w:color w:val="auto"/>
          <w:szCs w:val="21"/>
        </w:rPr>
        <w:t>（四）有依法缴纳税收和社会保障资金的良好记录；</w:t>
      </w:r>
    </w:p>
    <w:p w14:paraId="26F2ACFF">
      <w:pPr>
        <w:keepNext w:val="0"/>
        <w:keepLines w:val="0"/>
        <w:pageBreakBefore w:val="0"/>
        <w:kinsoku/>
        <w:overflowPunct/>
        <w:bidi w:val="0"/>
        <w:snapToGrid w:val="0"/>
        <w:spacing w:before="50" w:after="120" w:afterLines="50" w:line="360" w:lineRule="auto"/>
        <w:ind w:firstLine="420" w:firstLineChars="200"/>
        <w:jc w:val="left"/>
        <w:rPr>
          <w:rFonts w:ascii="宋体" w:hAnsi="宋体" w:cs="宋体"/>
          <w:color w:val="auto"/>
          <w:szCs w:val="21"/>
        </w:rPr>
      </w:pPr>
      <w:r>
        <w:rPr>
          <w:rFonts w:hint="eastAsia" w:ascii="宋体" w:hAnsi="宋体" w:cs="宋体"/>
          <w:color w:val="auto"/>
          <w:szCs w:val="21"/>
        </w:rPr>
        <w:t>（五）参加政府采购活动前三年内，在经营活动中没有重大违法记录；</w:t>
      </w:r>
    </w:p>
    <w:p w14:paraId="2CDA1035">
      <w:pPr>
        <w:keepNext w:val="0"/>
        <w:keepLines w:val="0"/>
        <w:pageBreakBefore w:val="0"/>
        <w:kinsoku/>
        <w:overflowPunct/>
        <w:bidi w:val="0"/>
        <w:snapToGrid w:val="0"/>
        <w:spacing w:before="50" w:after="120" w:afterLines="50" w:line="360" w:lineRule="auto"/>
        <w:ind w:firstLine="420" w:firstLineChars="200"/>
        <w:jc w:val="left"/>
        <w:rPr>
          <w:rFonts w:ascii="宋体" w:hAnsi="宋体" w:cs="宋体"/>
          <w:color w:val="auto"/>
          <w:szCs w:val="21"/>
        </w:rPr>
      </w:pPr>
      <w:r>
        <w:rPr>
          <w:rFonts w:hint="eastAsia" w:ascii="宋体" w:hAnsi="宋体" w:cs="宋体"/>
          <w:color w:val="auto"/>
          <w:szCs w:val="21"/>
        </w:rPr>
        <w:t>（六）法律、行政法规规定的其他条件。</w:t>
      </w:r>
    </w:p>
    <w:p w14:paraId="5ACFBAD4">
      <w:pPr>
        <w:keepNext w:val="0"/>
        <w:keepLines w:val="0"/>
        <w:pageBreakBefore w:val="0"/>
        <w:kinsoku/>
        <w:overflowPunct/>
        <w:bidi w:val="0"/>
        <w:snapToGrid w:val="0"/>
        <w:spacing w:before="50" w:after="120" w:afterLines="50" w:line="360" w:lineRule="auto"/>
        <w:ind w:firstLine="420" w:firstLineChars="200"/>
        <w:jc w:val="left"/>
        <w:rPr>
          <w:rFonts w:ascii="宋体" w:hAnsi="宋体" w:cs="宋体"/>
          <w:color w:val="auto"/>
          <w:szCs w:val="21"/>
        </w:rPr>
      </w:pPr>
      <w:r>
        <w:rPr>
          <w:rFonts w:hint="eastAsia" w:ascii="宋体" w:hAnsi="宋体" w:cs="宋体"/>
          <w:color w:val="auto"/>
          <w:szCs w:val="21"/>
        </w:rPr>
        <w:t>4. 以上事项如有虚假或隐瞒，我方愿意承担一切后果，并不再寻求任何旨在减轻或免除法律责任的辩解。</w:t>
      </w:r>
    </w:p>
    <w:p w14:paraId="10240AE5">
      <w:pPr>
        <w:keepNext w:val="0"/>
        <w:keepLines w:val="0"/>
        <w:pageBreakBefore w:val="0"/>
        <w:kinsoku/>
        <w:overflowPunct/>
        <w:bidi w:val="0"/>
        <w:snapToGrid w:val="0"/>
        <w:spacing w:before="50" w:after="120" w:afterLines="50" w:line="360" w:lineRule="auto"/>
        <w:ind w:firstLine="420" w:firstLineChars="200"/>
        <w:jc w:val="left"/>
        <w:rPr>
          <w:rFonts w:ascii="宋体" w:hAnsi="宋体" w:cs="宋体"/>
          <w:color w:val="auto"/>
          <w:szCs w:val="21"/>
        </w:rPr>
      </w:pPr>
      <w:r>
        <w:rPr>
          <w:rFonts w:hint="eastAsia" w:ascii="宋体" w:hAnsi="宋体" w:cs="宋体"/>
          <w:color w:val="auto"/>
          <w:szCs w:val="21"/>
        </w:rPr>
        <w:t>特此承诺。</w:t>
      </w:r>
    </w:p>
    <w:p w14:paraId="39411F91">
      <w:pPr>
        <w:keepNext w:val="0"/>
        <w:keepLines w:val="0"/>
        <w:pageBreakBefore w:val="0"/>
        <w:kinsoku/>
        <w:overflowPunct/>
        <w:bidi w:val="0"/>
        <w:snapToGrid w:val="0"/>
        <w:spacing w:before="50" w:after="120" w:afterLines="50" w:line="360" w:lineRule="auto"/>
        <w:jc w:val="left"/>
        <w:rPr>
          <w:rFonts w:ascii="宋体" w:hAnsi="宋体" w:cs="宋体"/>
          <w:color w:val="auto"/>
          <w:szCs w:val="21"/>
        </w:rPr>
      </w:pPr>
      <w:r>
        <w:rPr>
          <w:rFonts w:hint="eastAsia" w:ascii="宋体" w:hAnsi="宋体" w:cs="宋体"/>
          <w:color w:val="auto"/>
          <w:szCs w:val="21"/>
        </w:rPr>
        <w:t xml:space="preserve">                               法定代表人</w:t>
      </w:r>
      <w:r>
        <w:rPr>
          <w:rFonts w:hint="eastAsia" w:ascii="宋体" w:hAnsi="宋体" w:cs="宋体"/>
          <w:color w:val="auto"/>
          <w:szCs w:val="21"/>
          <w:lang w:val="en-US" w:eastAsia="zh-CN"/>
        </w:rPr>
        <w:t>或者委托代理人</w:t>
      </w:r>
      <w:r>
        <w:rPr>
          <w:rFonts w:hint="eastAsia" w:ascii="宋体" w:hAnsi="宋体" w:cs="宋体"/>
          <w:color w:val="auto"/>
          <w:szCs w:val="21"/>
          <w:lang w:eastAsia="zh-CN"/>
        </w:rPr>
        <w:t>（</w:t>
      </w:r>
      <w:r>
        <w:rPr>
          <w:rFonts w:hint="eastAsia" w:ascii="宋体" w:hAnsi="宋体" w:cs="宋体"/>
          <w:color w:val="auto"/>
          <w:szCs w:val="21"/>
        </w:rPr>
        <w:t>签字或者电子签名</w:t>
      </w:r>
      <w:r>
        <w:rPr>
          <w:rFonts w:hint="eastAsia" w:ascii="宋体" w:hAnsi="宋体" w:cs="宋体"/>
          <w:color w:val="auto"/>
          <w:szCs w:val="21"/>
          <w:lang w:eastAsia="zh-CN"/>
        </w:rPr>
        <w:t>）</w:t>
      </w:r>
      <w:r>
        <w:rPr>
          <w:rFonts w:hint="eastAsia" w:ascii="宋体" w:hAnsi="宋体" w:cs="宋体"/>
          <w:color w:val="auto"/>
          <w:szCs w:val="21"/>
        </w:rPr>
        <w:t>：</w:t>
      </w:r>
      <w:r>
        <w:rPr>
          <w:rFonts w:hint="eastAsia" w:ascii="宋体" w:hAnsi="宋体" w:cs="宋体"/>
          <w:color w:val="auto"/>
          <w:szCs w:val="21"/>
          <w:u w:val="single"/>
        </w:rPr>
        <w:t xml:space="preserve">             </w:t>
      </w:r>
    </w:p>
    <w:p w14:paraId="158691DD">
      <w:pPr>
        <w:keepNext w:val="0"/>
        <w:keepLines w:val="0"/>
        <w:pageBreakBefore w:val="0"/>
        <w:kinsoku/>
        <w:overflowPunct/>
        <w:bidi w:val="0"/>
        <w:snapToGrid w:val="0"/>
        <w:spacing w:before="50" w:after="120" w:afterLines="50" w:line="360" w:lineRule="auto"/>
        <w:jc w:val="left"/>
        <w:rPr>
          <w:rFonts w:ascii="宋体" w:hAnsi="宋体" w:cs="宋体"/>
          <w:color w:val="auto"/>
          <w:szCs w:val="21"/>
        </w:rPr>
      </w:pPr>
      <w:r>
        <w:rPr>
          <w:rFonts w:hint="eastAsia" w:ascii="宋体" w:hAnsi="宋体" w:cs="宋体"/>
          <w:color w:val="auto"/>
          <w:szCs w:val="21"/>
        </w:rPr>
        <w:t xml:space="preserve">                                          投标人</w:t>
      </w:r>
      <w:r>
        <w:rPr>
          <w:rFonts w:hint="eastAsia" w:ascii="宋体" w:hAnsi="宋体" w:cs="宋体"/>
          <w:color w:val="auto"/>
          <w:szCs w:val="21"/>
          <w:lang w:val="en-US" w:eastAsia="zh-CN"/>
        </w:rPr>
        <w:t>名称（电子签章）</w:t>
      </w:r>
      <w:r>
        <w:rPr>
          <w:rFonts w:hint="eastAsia" w:ascii="宋体" w:hAnsi="宋体" w:cs="宋体"/>
          <w:color w:val="auto"/>
          <w:szCs w:val="21"/>
        </w:rPr>
        <w:t>：</w:t>
      </w:r>
      <w:r>
        <w:rPr>
          <w:rFonts w:hint="eastAsia" w:ascii="宋体" w:hAnsi="宋体" w:cs="宋体"/>
          <w:color w:val="auto"/>
          <w:szCs w:val="21"/>
          <w:u w:val="single"/>
        </w:rPr>
        <w:t xml:space="preserve">                 </w:t>
      </w:r>
    </w:p>
    <w:p w14:paraId="51A68858">
      <w:pPr>
        <w:keepNext w:val="0"/>
        <w:keepLines w:val="0"/>
        <w:pageBreakBefore w:val="0"/>
        <w:kinsoku/>
        <w:overflowPunct/>
        <w:bidi w:val="0"/>
        <w:snapToGrid w:val="0"/>
        <w:spacing w:before="50" w:after="120" w:afterLines="50" w:line="360" w:lineRule="auto"/>
        <w:jc w:val="left"/>
        <w:rPr>
          <w:rFonts w:ascii="宋体" w:hAnsi="宋体" w:cs="宋体"/>
          <w:color w:val="auto"/>
          <w:szCs w:val="21"/>
        </w:rPr>
      </w:pPr>
      <w:r>
        <w:rPr>
          <w:rFonts w:hint="eastAsia" w:ascii="宋体" w:hAnsi="宋体" w:cs="宋体"/>
          <w:color w:val="auto"/>
          <w:szCs w:val="21"/>
        </w:rPr>
        <w:t xml:space="preserve">                                                 </w:t>
      </w:r>
      <w:r>
        <w:rPr>
          <w:rFonts w:hint="eastAsia" w:ascii="宋体" w:hAnsi="宋体" w:cs="宋体"/>
          <w:color w:val="auto"/>
          <w:szCs w:val="21"/>
          <w:lang w:val="en-US" w:eastAsia="zh-CN"/>
        </w:rPr>
        <w:t xml:space="preserve">日期：    </w:t>
      </w:r>
      <w:r>
        <w:rPr>
          <w:rFonts w:hint="eastAsia" w:ascii="宋体" w:hAnsi="宋体" w:cs="宋体"/>
          <w:color w:val="auto"/>
          <w:szCs w:val="21"/>
        </w:rPr>
        <w:t>年    月    日</w:t>
      </w:r>
    </w:p>
    <w:p w14:paraId="2FA92801">
      <w:pPr>
        <w:spacing w:line="440" w:lineRule="exact"/>
        <w:contextualSpacing/>
        <w:rPr>
          <w:rFonts w:hint="eastAsia" w:ascii="宋体" w:hAnsi="宋体"/>
          <w:b/>
          <w:sz w:val="24"/>
        </w:rPr>
      </w:pPr>
      <w:r>
        <w:rPr>
          <w:rFonts w:hint="eastAsia" w:ascii="宋体" w:hAnsi="宋体"/>
          <w:b/>
          <w:sz w:val="24"/>
        </w:rPr>
        <w:t>注：如为联合体投标，盖章处须加盖联合体牵头人电子签章并由联合体牵头人法定代表人分别签字或者盖章或者电子签名，否则投标无效。</w:t>
      </w:r>
    </w:p>
    <w:p w14:paraId="4176A57D">
      <w:pPr>
        <w:keepNext w:val="0"/>
        <w:keepLines w:val="0"/>
        <w:pageBreakBefore w:val="0"/>
        <w:kinsoku/>
        <w:overflowPunct/>
        <w:bidi w:val="0"/>
        <w:spacing w:line="360" w:lineRule="auto"/>
        <w:rPr>
          <w:rFonts w:ascii="宋体" w:hAnsi="宋体" w:cs="宋体"/>
          <w:b/>
          <w:bCs/>
          <w:color w:val="auto"/>
          <w:sz w:val="24"/>
        </w:rPr>
      </w:pPr>
      <w:r>
        <w:rPr>
          <w:rFonts w:hint="eastAsia" w:ascii="宋体" w:hAnsi="宋体" w:cs="宋体"/>
          <w:b/>
          <w:color w:val="auto"/>
          <w:sz w:val="24"/>
        </w:rPr>
        <w:br w:type="page"/>
      </w:r>
    </w:p>
    <w:p w14:paraId="4FC9D569">
      <w:pPr>
        <w:keepNext w:val="0"/>
        <w:keepLines w:val="0"/>
        <w:pageBreakBefore w:val="0"/>
        <w:kinsoku/>
        <w:overflowPunct/>
        <w:bidi w:val="0"/>
        <w:snapToGrid w:val="0"/>
        <w:spacing w:before="120" w:beforeLines="50" w:after="50" w:line="360" w:lineRule="auto"/>
        <w:outlineLvl w:val="9"/>
        <w:rPr>
          <w:rFonts w:ascii="宋体" w:hAnsi="宋体" w:cs="宋体"/>
          <w:b/>
          <w:bCs/>
          <w:color w:val="auto"/>
          <w:sz w:val="24"/>
        </w:rPr>
      </w:pPr>
      <w:r>
        <w:rPr>
          <w:rFonts w:hint="eastAsia" w:ascii="宋体" w:hAnsi="宋体" w:cs="宋体"/>
          <w:b/>
          <w:bCs/>
          <w:color w:val="auto"/>
          <w:sz w:val="24"/>
        </w:rPr>
        <w:t>三、报价文件格式</w:t>
      </w:r>
      <w:bookmarkEnd w:id="165"/>
    </w:p>
    <w:p w14:paraId="0F472BD9">
      <w:pPr>
        <w:keepNext w:val="0"/>
        <w:keepLines w:val="0"/>
        <w:pageBreakBefore w:val="0"/>
        <w:kinsoku/>
        <w:overflowPunct/>
        <w:bidi w:val="0"/>
        <w:snapToGrid w:val="0"/>
        <w:spacing w:before="120" w:beforeLines="50" w:after="50" w:line="360" w:lineRule="auto"/>
        <w:ind w:left="142"/>
        <w:jc w:val="left"/>
        <w:rPr>
          <w:rFonts w:ascii="宋体" w:hAnsi="宋体" w:cs="宋体"/>
          <w:color w:val="auto"/>
          <w:sz w:val="24"/>
          <w:szCs w:val="20"/>
        </w:rPr>
      </w:pPr>
      <w:r>
        <w:rPr>
          <w:rFonts w:hint="eastAsia" w:ascii="宋体" w:hAnsi="宋体" w:cs="宋体"/>
          <w:b/>
          <w:color w:val="auto"/>
          <w:sz w:val="24"/>
        </w:rPr>
        <w:t>1. 报价文件封面格式：</w:t>
      </w:r>
    </w:p>
    <w:p w14:paraId="494F8041">
      <w:pPr>
        <w:keepNext w:val="0"/>
        <w:keepLines w:val="0"/>
        <w:pageBreakBefore w:val="0"/>
        <w:kinsoku/>
        <w:overflowPunct/>
        <w:bidi w:val="0"/>
        <w:snapToGrid w:val="0"/>
        <w:spacing w:before="120" w:beforeLines="50" w:after="50" w:line="360" w:lineRule="auto"/>
        <w:jc w:val="center"/>
        <w:rPr>
          <w:rFonts w:ascii="宋体" w:hAnsi="宋体" w:cs="宋体"/>
          <w:bCs/>
          <w:color w:val="auto"/>
          <w:sz w:val="32"/>
          <w:szCs w:val="20"/>
        </w:rPr>
      </w:pPr>
      <w:r>
        <w:rPr>
          <w:rFonts w:hint="eastAsia" w:ascii="宋体" w:hAnsi="宋体" w:cs="宋体"/>
          <w:color w:val="auto"/>
          <w:sz w:val="24"/>
        </w:rPr>
        <w:t xml:space="preserve"> </w:t>
      </w:r>
    </w:p>
    <w:p w14:paraId="75D358C4">
      <w:pPr>
        <w:keepNext w:val="0"/>
        <w:keepLines w:val="0"/>
        <w:pageBreakBefore w:val="0"/>
        <w:shd w:val="clear" w:color="auto" w:fill="auto"/>
        <w:kinsoku/>
        <w:overflowPunct/>
        <w:bidi w:val="0"/>
        <w:snapToGrid w:val="0"/>
        <w:spacing w:before="120" w:beforeLines="50" w:after="50" w:line="360" w:lineRule="auto"/>
        <w:jc w:val="center"/>
        <w:rPr>
          <w:rFonts w:ascii="宋体" w:hAnsi="宋体" w:cs="宋体"/>
          <w:bCs/>
          <w:color w:val="auto"/>
          <w:sz w:val="24"/>
          <w:szCs w:val="20"/>
        </w:rPr>
      </w:pPr>
      <w:r>
        <w:rPr>
          <w:rFonts w:hint="eastAsia" w:ascii="宋体" w:hAnsi="宋体" w:eastAsia="方正小标宋简体"/>
          <w:bCs/>
          <w:color w:val="auto"/>
          <w:sz w:val="48"/>
          <w:szCs w:val="48"/>
          <w:highlight w:val="none"/>
          <w:shd w:val="clear" w:color="auto" w:fill="auto"/>
        </w:rPr>
        <w:t>电子投标文件</w:t>
      </w:r>
    </w:p>
    <w:p w14:paraId="193D85D0">
      <w:pPr>
        <w:keepNext w:val="0"/>
        <w:keepLines w:val="0"/>
        <w:pageBreakBefore w:val="0"/>
        <w:kinsoku/>
        <w:overflowPunct/>
        <w:bidi w:val="0"/>
        <w:snapToGrid w:val="0"/>
        <w:spacing w:before="120" w:beforeLines="50" w:after="50" w:line="360" w:lineRule="auto"/>
        <w:jc w:val="center"/>
        <w:rPr>
          <w:rFonts w:ascii="宋体" w:hAnsi="宋体" w:cs="宋体"/>
          <w:b/>
          <w:bCs/>
          <w:color w:val="auto"/>
          <w:sz w:val="32"/>
          <w:szCs w:val="32"/>
        </w:rPr>
      </w:pPr>
      <w:r>
        <w:rPr>
          <w:rFonts w:hint="eastAsia" w:ascii="宋体" w:hAnsi="宋体" w:cs="宋体"/>
          <w:b/>
          <w:bCs/>
          <w:color w:val="auto"/>
          <w:sz w:val="32"/>
          <w:szCs w:val="32"/>
        </w:rPr>
        <w:t>报价文件</w:t>
      </w:r>
    </w:p>
    <w:p w14:paraId="49552BBB">
      <w:pPr>
        <w:keepNext w:val="0"/>
        <w:keepLines w:val="0"/>
        <w:pageBreakBefore w:val="0"/>
        <w:kinsoku/>
        <w:overflowPunct/>
        <w:bidi w:val="0"/>
        <w:snapToGrid w:val="0"/>
        <w:spacing w:before="120" w:beforeLines="50" w:after="50" w:line="360" w:lineRule="auto"/>
        <w:rPr>
          <w:rFonts w:ascii="宋体" w:hAnsi="宋体" w:cs="宋体"/>
          <w:bCs/>
          <w:color w:val="auto"/>
          <w:sz w:val="24"/>
          <w:szCs w:val="20"/>
        </w:rPr>
      </w:pPr>
    </w:p>
    <w:p w14:paraId="4C8A5759">
      <w:pPr>
        <w:keepNext w:val="0"/>
        <w:keepLines w:val="0"/>
        <w:pageBreakBefore w:val="0"/>
        <w:kinsoku/>
        <w:overflowPunct/>
        <w:bidi w:val="0"/>
        <w:snapToGrid w:val="0"/>
        <w:spacing w:before="120" w:beforeLines="50" w:after="50" w:line="360" w:lineRule="auto"/>
        <w:rPr>
          <w:rFonts w:ascii="宋体" w:hAnsi="宋体" w:cs="宋体"/>
          <w:bCs/>
          <w:color w:val="auto"/>
          <w:sz w:val="24"/>
          <w:szCs w:val="20"/>
        </w:rPr>
      </w:pPr>
    </w:p>
    <w:p w14:paraId="7020D25C">
      <w:pPr>
        <w:keepNext w:val="0"/>
        <w:keepLines w:val="0"/>
        <w:pageBreakBefore w:val="0"/>
        <w:kinsoku/>
        <w:overflowPunct/>
        <w:bidi w:val="0"/>
        <w:snapToGrid w:val="0"/>
        <w:spacing w:before="120" w:beforeLines="50" w:after="50" w:line="360" w:lineRule="auto"/>
        <w:ind w:firstLine="360" w:firstLineChars="150"/>
        <w:rPr>
          <w:rFonts w:ascii="宋体" w:hAnsi="宋体" w:cs="宋体"/>
          <w:bCs/>
          <w:color w:val="auto"/>
          <w:sz w:val="24"/>
        </w:rPr>
      </w:pPr>
      <w:r>
        <w:rPr>
          <w:rFonts w:hint="eastAsia" w:ascii="宋体" w:hAnsi="宋体" w:cs="宋体"/>
          <w:bCs/>
          <w:color w:val="auto"/>
          <w:sz w:val="24"/>
        </w:rPr>
        <w:t>项目名称：</w:t>
      </w:r>
    </w:p>
    <w:p w14:paraId="564BEBA3">
      <w:pPr>
        <w:keepNext w:val="0"/>
        <w:keepLines w:val="0"/>
        <w:pageBreakBefore w:val="0"/>
        <w:kinsoku/>
        <w:overflowPunct/>
        <w:bidi w:val="0"/>
        <w:snapToGrid w:val="0"/>
        <w:spacing w:before="120" w:beforeLines="50" w:after="50" w:line="360" w:lineRule="auto"/>
        <w:ind w:firstLine="360" w:firstLineChars="150"/>
        <w:rPr>
          <w:rFonts w:ascii="宋体" w:hAnsi="宋体" w:cs="宋体"/>
          <w:bCs/>
          <w:color w:val="auto"/>
          <w:sz w:val="24"/>
        </w:rPr>
      </w:pPr>
      <w:r>
        <w:rPr>
          <w:rFonts w:hint="eastAsia" w:ascii="宋体" w:hAnsi="宋体" w:cs="宋体"/>
          <w:bCs/>
          <w:color w:val="auto"/>
          <w:sz w:val="24"/>
        </w:rPr>
        <w:t>项目编号：</w:t>
      </w:r>
    </w:p>
    <w:p w14:paraId="7B43D2A1">
      <w:pPr>
        <w:keepNext w:val="0"/>
        <w:keepLines w:val="0"/>
        <w:pageBreakBefore w:val="0"/>
        <w:kinsoku/>
        <w:overflowPunct/>
        <w:bidi w:val="0"/>
        <w:snapToGrid w:val="0"/>
        <w:spacing w:before="120" w:beforeLines="50" w:after="50" w:line="360" w:lineRule="auto"/>
        <w:ind w:firstLine="360" w:firstLineChars="150"/>
        <w:rPr>
          <w:rFonts w:ascii="宋体" w:hAnsi="宋体" w:cs="宋体"/>
          <w:bCs/>
          <w:color w:val="auto"/>
          <w:sz w:val="24"/>
        </w:rPr>
      </w:pPr>
      <w:r>
        <w:rPr>
          <w:rFonts w:hint="eastAsia" w:ascii="宋体" w:hAnsi="宋体" w:cs="宋体"/>
          <w:bCs/>
          <w:color w:val="auto"/>
          <w:sz w:val="24"/>
        </w:rPr>
        <w:t>投标人名称：</w:t>
      </w:r>
    </w:p>
    <w:p w14:paraId="71AE5C6A">
      <w:pPr>
        <w:keepNext w:val="0"/>
        <w:keepLines w:val="0"/>
        <w:pageBreakBefore w:val="0"/>
        <w:kinsoku/>
        <w:overflowPunct/>
        <w:bidi w:val="0"/>
        <w:snapToGrid w:val="0"/>
        <w:spacing w:before="120" w:beforeLines="50" w:after="50" w:line="360" w:lineRule="auto"/>
        <w:ind w:firstLine="360" w:firstLineChars="150"/>
        <w:rPr>
          <w:rFonts w:ascii="宋体" w:hAnsi="宋体" w:cs="宋体"/>
          <w:bCs/>
          <w:color w:val="auto"/>
          <w:sz w:val="24"/>
        </w:rPr>
      </w:pPr>
      <w:r>
        <w:rPr>
          <w:rFonts w:hint="eastAsia" w:ascii="宋体" w:hAnsi="宋体" w:cs="宋体"/>
          <w:bCs/>
          <w:color w:val="auto"/>
          <w:sz w:val="24"/>
        </w:rPr>
        <w:t>投标人地址：</w:t>
      </w:r>
    </w:p>
    <w:p w14:paraId="102E6BEF">
      <w:pPr>
        <w:pStyle w:val="8"/>
        <w:keepNext w:val="0"/>
        <w:keepLines w:val="0"/>
        <w:pageBreakBefore w:val="0"/>
        <w:kinsoku/>
        <w:overflowPunct/>
        <w:bidi w:val="0"/>
        <w:snapToGrid w:val="0"/>
        <w:spacing w:before="50" w:after="50" w:line="360" w:lineRule="auto"/>
        <w:ind w:firstLine="960" w:firstLineChars="400"/>
        <w:rPr>
          <w:rFonts w:ascii="宋体" w:hAnsi="宋体" w:cs="宋体"/>
          <w:bCs/>
          <w:color w:val="auto"/>
          <w:sz w:val="24"/>
          <w:szCs w:val="24"/>
        </w:rPr>
      </w:pPr>
    </w:p>
    <w:p w14:paraId="511EC0BC">
      <w:pPr>
        <w:keepNext w:val="0"/>
        <w:keepLines w:val="0"/>
        <w:pageBreakBefore w:val="0"/>
        <w:kinsoku/>
        <w:overflowPunct/>
        <w:bidi w:val="0"/>
        <w:snapToGrid w:val="0"/>
        <w:spacing w:before="120" w:beforeLines="50" w:after="50" w:line="360" w:lineRule="auto"/>
        <w:jc w:val="center"/>
        <w:rPr>
          <w:rFonts w:ascii="宋体" w:hAnsi="宋体" w:cs="宋体"/>
          <w:color w:val="auto"/>
          <w:sz w:val="30"/>
          <w:szCs w:val="20"/>
        </w:rPr>
      </w:pPr>
      <w:r>
        <w:rPr>
          <w:rFonts w:hint="eastAsia" w:ascii="宋体" w:hAnsi="宋体" w:cs="宋体"/>
          <w:color w:val="auto"/>
          <w:sz w:val="24"/>
        </w:rPr>
        <w:t xml:space="preserve">                                         年  月  日</w:t>
      </w:r>
    </w:p>
    <w:p w14:paraId="3567E081">
      <w:pPr>
        <w:keepNext w:val="0"/>
        <w:keepLines w:val="0"/>
        <w:pageBreakBefore w:val="0"/>
        <w:kinsoku/>
        <w:overflowPunct/>
        <w:bidi w:val="0"/>
        <w:snapToGrid w:val="0"/>
        <w:spacing w:before="50" w:after="120" w:afterLines="50" w:line="360" w:lineRule="auto"/>
        <w:jc w:val="left"/>
        <w:rPr>
          <w:rFonts w:ascii="宋体" w:hAnsi="宋体" w:cs="宋体"/>
          <w:b/>
          <w:color w:val="auto"/>
          <w:sz w:val="24"/>
        </w:rPr>
      </w:pPr>
    </w:p>
    <w:p w14:paraId="435D5CF0">
      <w:pPr>
        <w:keepNext w:val="0"/>
        <w:keepLines w:val="0"/>
        <w:pageBreakBefore w:val="0"/>
        <w:kinsoku/>
        <w:overflowPunct/>
        <w:bidi w:val="0"/>
        <w:spacing w:line="360" w:lineRule="auto"/>
        <w:rPr>
          <w:color w:val="auto"/>
        </w:rPr>
      </w:pPr>
      <w:r>
        <w:rPr>
          <w:rFonts w:hint="eastAsia" w:ascii="宋体" w:hAnsi="宋体" w:cs="宋体"/>
          <w:b/>
          <w:color w:val="auto"/>
          <w:sz w:val="24"/>
        </w:rPr>
        <w:br w:type="page"/>
      </w:r>
    </w:p>
    <w:p w14:paraId="16F8C7E1">
      <w:pPr>
        <w:keepNext w:val="0"/>
        <w:keepLines w:val="0"/>
        <w:pageBreakBefore w:val="0"/>
        <w:kinsoku/>
        <w:overflowPunct/>
        <w:bidi w:val="0"/>
        <w:spacing w:line="360" w:lineRule="auto"/>
        <w:rPr>
          <w:rFonts w:ascii="宋体" w:hAnsi="宋体" w:cs="宋体"/>
          <w:b/>
          <w:color w:val="auto"/>
          <w:sz w:val="24"/>
        </w:rPr>
      </w:pPr>
      <w:r>
        <w:rPr>
          <w:rFonts w:hint="eastAsia" w:ascii="宋体" w:hAnsi="宋体" w:cs="宋体"/>
          <w:bCs/>
          <w:color w:val="auto"/>
          <w:sz w:val="24"/>
          <w:lang w:val="en-US" w:eastAsia="zh-CN"/>
        </w:rPr>
        <w:t>2.</w:t>
      </w:r>
      <w:r>
        <w:rPr>
          <w:rFonts w:hint="eastAsia" w:ascii="宋体" w:hAnsi="宋体" w:cs="宋体"/>
          <w:bCs/>
          <w:color w:val="auto"/>
          <w:sz w:val="24"/>
        </w:rPr>
        <w:t>报价文件目录（根据招标文件规定及投标人提供的材料自行编写目录。）</w:t>
      </w:r>
    </w:p>
    <w:p w14:paraId="23717FB4">
      <w:pPr>
        <w:keepNext w:val="0"/>
        <w:keepLines w:val="0"/>
        <w:pageBreakBefore w:val="0"/>
        <w:kinsoku/>
        <w:overflowPunct/>
        <w:bidi w:val="0"/>
        <w:spacing w:line="360" w:lineRule="auto"/>
        <w:rPr>
          <w:rFonts w:ascii="宋体" w:hAnsi="宋体" w:cs="宋体"/>
          <w:b/>
          <w:color w:val="auto"/>
          <w:sz w:val="24"/>
        </w:rPr>
      </w:pPr>
      <w:r>
        <w:rPr>
          <w:rFonts w:hint="eastAsia" w:ascii="宋体" w:hAnsi="宋体" w:cs="宋体"/>
          <w:b/>
          <w:color w:val="auto"/>
          <w:sz w:val="24"/>
        </w:rPr>
        <w:br w:type="page"/>
      </w:r>
    </w:p>
    <w:p w14:paraId="6BE25728">
      <w:pPr>
        <w:keepNext w:val="0"/>
        <w:keepLines w:val="0"/>
        <w:pageBreakBefore w:val="0"/>
        <w:kinsoku/>
        <w:overflowPunct/>
        <w:bidi w:val="0"/>
        <w:snapToGrid w:val="0"/>
        <w:spacing w:before="120" w:beforeLines="50" w:after="50" w:line="360" w:lineRule="auto"/>
        <w:ind w:left="142"/>
        <w:jc w:val="left"/>
        <w:rPr>
          <w:rFonts w:ascii="宋体" w:hAnsi="宋体" w:cs="宋体"/>
          <w:b/>
          <w:color w:val="auto"/>
          <w:sz w:val="24"/>
        </w:rPr>
      </w:pPr>
      <w:r>
        <w:rPr>
          <w:rFonts w:hint="eastAsia" w:ascii="宋体" w:hAnsi="宋体" w:cs="宋体"/>
          <w:b/>
          <w:color w:val="auto"/>
          <w:sz w:val="24"/>
          <w:lang w:val="en-US" w:eastAsia="zh-CN"/>
        </w:rPr>
        <w:t>3</w:t>
      </w:r>
      <w:r>
        <w:rPr>
          <w:rFonts w:hint="eastAsia" w:ascii="宋体" w:hAnsi="宋体" w:cs="宋体"/>
          <w:b/>
          <w:color w:val="auto"/>
          <w:sz w:val="24"/>
        </w:rPr>
        <w:t>. 投标函格式：</w:t>
      </w:r>
    </w:p>
    <w:p w14:paraId="58121C93">
      <w:pPr>
        <w:keepNext w:val="0"/>
        <w:keepLines w:val="0"/>
        <w:pageBreakBefore w:val="0"/>
        <w:kinsoku/>
        <w:overflowPunct/>
        <w:bidi w:val="0"/>
        <w:snapToGrid w:val="0"/>
        <w:spacing w:before="120" w:beforeLines="50" w:after="50" w:line="360" w:lineRule="auto"/>
        <w:jc w:val="center"/>
        <w:rPr>
          <w:rFonts w:ascii="宋体" w:hAnsi="宋体" w:cs="宋体"/>
          <w:b/>
          <w:color w:val="auto"/>
          <w:sz w:val="32"/>
          <w:szCs w:val="32"/>
        </w:rPr>
      </w:pPr>
      <w:r>
        <w:rPr>
          <w:rFonts w:hint="eastAsia" w:ascii="宋体" w:hAnsi="宋体" w:cs="宋体"/>
          <w:b/>
          <w:color w:val="auto"/>
          <w:sz w:val="32"/>
          <w:szCs w:val="32"/>
        </w:rPr>
        <w:t>投 标 函</w:t>
      </w:r>
    </w:p>
    <w:p w14:paraId="7BFBECC1">
      <w:pPr>
        <w:keepNext w:val="0"/>
        <w:keepLines w:val="0"/>
        <w:pageBreakBefore w:val="0"/>
        <w:kinsoku/>
        <w:overflowPunct/>
        <w:bidi w:val="0"/>
        <w:snapToGrid w:val="0"/>
        <w:spacing w:line="360" w:lineRule="auto"/>
        <w:rPr>
          <w:rFonts w:ascii="宋体" w:hAnsi="宋体" w:cs="宋体"/>
          <w:color w:val="auto"/>
          <w:szCs w:val="21"/>
        </w:rPr>
      </w:pPr>
      <w:r>
        <w:rPr>
          <w:rFonts w:hint="eastAsia" w:ascii="宋体" w:hAnsi="宋体" w:cs="宋体"/>
          <w:color w:val="auto"/>
          <w:szCs w:val="21"/>
        </w:rPr>
        <w:t>致：</w:t>
      </w:r>
      <w:r>
        <w:rPr>
          <w:rFonts w:hint="eastAsia" w:ascii="宋体" w:hAnsi="宋体" w:cs="宋体"/>
          <w:color w:val="auto"/>
          <w:szCs w:val="21"/>
          <w:u w:val="single"/>
        </w:rPr>
        <w:t>采购人名称</w:t>
      </w:r>
      <w:r>
        <w:rPr>
          <w:rFonts w:hint="eastAsia" w:ascii="宋体" w:hAnsi="宋体" w:cs="宋体"/>
          <w:color w:val="auto"/>
          <w:szCs w:val="21"/>
        </w:rPr>
        <w:t>：</w:t>
      </w:r>
    </w:p>
    <w:p w14:paraId="3F872F45">
      <w:pPr>
        <w:keepNext w:val="0"/>
        <w:keepLines w:val="0"/>
        <w:pageBreakBefore w:val="0"/>
        <w:kinsoku/>
        <w:wordWrap w:val="0"/>
        <w:overflowPunct/>
        <w:bidi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根据贵方</w:t>
      </w:r>
      <w:r>
        <w:rPr>
          <w:rFonts w:hint="eastAsia" w:ascii="宋体" w:hAnsi="宋体" w:cs="宋体"/>
          <w:color w:val="auto"/>
          <w:szCs w:val="21"/>
          <w:u w:val="single"/>
        </w:rPr>
        <w:t xml:space="preserve"> 项目名称（项目编号：_</w:t>
      </w:r>
      <w:r>
        <w:rPr>
          <w:rFonts w:hint="eastAsia" w:ascii="宋体" w:hAnsi="宋体" w:cs="宋体"/>
          <w:color w:val="auto"/>
          <w:szCs w:val="21"/>
        </w:rPr>
        <w:t>）的招标公告，签字代表</w:t>
      </w:r>
      <w:r>
        <w:rPr>
          <w:rFonts w:hint="eastAsia" w:ascii="宋体" w:hAnsi="宋体" w:cs="宋体"/>
          <w:color w:val="auto"/>
          <w:szCs w:val="21"/>
          <w:u w:val="single"/>
        </w:rPr>
        <w:t xml:space="preserve">    </w:t>
      </w:r>
      <w:r>
        <w:rPr>
          <w:rFonts w:hint="eastAsia" w:ascii="宋体" w:hAnsi="宋体" w:cs="宋体"/>
          <w:color w:val="auto"/>
          <w:szCs w:val="21"/>
        </w:rPr>
        <w:t>（姓名）经正式授权并代表投标人</w:t>
      </w:r>
      <w:r>
        <w:rPr>
          <w:rFonts w:hint="eastAsia" w:ascii="宋体" w:hAnsi="宋体" w:cs="宋体"/>
          <w:color w:val="auto"/>
          <w:szCs w:val="21"/>
          <w:u w:val="single"/>
        </w:rPr>
        <w:t xml:space="preserve">             </w:t>
      </w:r>
      <w:r>
        <w:rPr>
          <w:rFonts w:hint="eastAsia" w:ascii="宋体" w:hAnsi="宋体" w:cs="宋体"/>
          <w:color w:val="auto"/>
          <w:szCs w:val="21"/>
        </w:rPr>
        <w:t>（投标人名称）提交投标文件。</w:t>
      </w:r>
    </w:p>
    <w:p w14:paraId="729C10EC">
      <w:pPr>
        <w:keepNext w:val="0"/>
        <w:keepLines w:val="0"/>
        <w:pageBreakBefore w:val="0"/>
        <w:kinsoku/>
        <w:wordWrap w:val="0"/>
        <w:overflowPunct/>
        <w:bidi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据此函，签字代表宣布同意如下：</w:t>
      </w:r>
    </w:p>
    <w:p w14:paraId="238A27EC">
      <w:pPr>
        <w:keepNext w:val="0"/>
        <w:keepLines w:val="0"/>
        <w:pageBreakBefore w:val="0"/>
        <w:kinsoku/>
        <w:overflowPunct/>
        <w:bidi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1.我方已详细审查全部“招标文件”，包括修改文件（如有的话）以及全部参考资料和有关附件，已经了解我方对于招标文件、采购过程、采购结果有依法进行询问、质疑、投诉的权利及相关渠道和要求。</w:t>
      </w:r>
    </w:p>
    <w:p w14:paraId="5BC6457F">
      <w:pPr>
        <w:keepNext w:val="0"/>
        <w:keepLines w:val="0"/>
        <w:pageBreakBefore w:val="0"/>
        <w:kinsoku/>
        <w:overflowPunct/>
        <w:bidi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2.我方在投标之前已经与贵方进行了充分的沟通，完全理解并接受招标文件的各项规定和要求，对招标文件的合理性、合法性不再有异议。</w:t>
      </w:r>
    </w:p>
    <w:p w14:paraId="4377E215">
      <w:pPr>
        <w:keepNext w:val="0"/>
        <w:keepLines w:val="0"/>
        <w:pageBreakBefore w:val="0"/>
        <w:kinsoku/>
        <w:overflowPunct/>
        <w:bidi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3.本投标有效期</w:t>
      </w:r>
      <w:r>
        <w:rPr>
          <w:rFonts w:hint="eastAsia" w:ascii="宋体" w:hAnsi="宋体" w:cs="宋体"/>
          <w:color w:val="auto"/>
          <w:szCs w:val="21"/>
          <w:lang w:val="en-US" w:eastAsia="zh-CN"/>
        </w:rPr>
        <w:t>自投标截止之日起</w:t>
      </w:r>
      <w:r>
        <w:rPr>
          <w:rFonts w:hint="eastAsia" w:ascii="宋体" w:hAnsi="宋体" w:cs="宋体"/>
          <w:color w:val="auto"/>
          <w:szCs w:val="21"/>
          <w:u w:val="single"/>
          <w:lang w:val="en-US" w:eastAsia="zh-CN"/>
        </w:rPr>
        <w:t xml:space="preserve">       </w:t>
      </w:r>
      <w:r>
        <w:rPr>
          <w:rFonts w:hint="eastAsia" w:ascii="宋体" w:hAnsi="宋体" w:cs="宋体"/>
          <w:color w:val="auto"/>
          <w:szCs w:val="21"/>
          <w:u w:val="none"/>
          <w:lang w:val="en-US" w:eastAsia="zh-CN"/>
        </w:rPr>
        <w:t>日</w:t>
      </w:r>
      <w:r>
        <w:rPr>
          <w:rFonts w:hint="eastAsia" w:ascii="宋体" w:hAnsi="宋体" w:cs="宋体"/>
          <w:color w:val="auto"/>
          <w:szCs w:val="21"/>
        </w:rPr>
        <w:t>。</w:t>
      </w:r>
    </w:p>
    <w:p w14:paraId="146444B7">
      <w:pPr>
        <w:keepNext w:val="0"/>
        <w:keepLines w:val="0"/>
        <w:pageBreakBefore w:val="0"/>
        <w:kinsoku/>
        <w:overflowPunct/>
        <w:bidi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4.如中标，本投标文件至本项目合同履行完毕止均保持有效，我方将按“招标文件”及政府采购法律、法规的规定履行合同责任和义务。</w:t>
      </w:r>
    </w:p>
    <w:p w14:paraId="0FEADFB1">
      <w:pPr>
        <w:keepNext w:val="0"/>
        <w:keepLines w:val="0"/>
        <w:pageBreakBefore w:val="0"/>
        <w:kinsoku/>
        <w:overflowPunct/>
        <w:bidi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5.我方同意按照贵方要求提供与投标有关的一切数据或资料。</w:t>
      </w:r>
    </w:p>
    <w:p w14:paraId="756299AE">
      <w:pPr>
        <w:keepNext w:val="0"/>
        <w:keepLines w:val="0"/>
        <w:pageBreakBefore w:val="0"/>
        <w:kinsoku/>
        <w:overflowPunct/>
        <w:bidi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6.我方向贵方提交的所有投标文件、资料都是准确的和真实的。</w:t>
      </w:r>
    </w:p>
    <w:p w14:paraId="511FEDC4">
      <w:pPr>
        <w:keepNext w:val="0"/>
        <w:keepLines w:val="0"/>
        <w:pageBreakBefore w:val="0"/>
        <w:kinsoku/>
        <w:overflowPunct/>
        <w:bidi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7.以上事项如有虚假或隐瞒，我方愿意承担一切后果，并不再寻求任何旨在减轻或免除法律责任的辩解。</w:t>
      </w:r>
    </w:p>
    <w:p w14:paraId="4696DF5A">
      <w:pPr>
        <w:keepNext w:val="0"/>
        <w:keepLines w:val="0"/>
        <w:pageBreakBefore w:val="0"/>
        <w:kinsoku/>
        <w:overflowPunct/>
        <w:bidi w:val="0"/>
        <w:spacing w:line="360" w:lineRule="auto"/>
        <w:ind w:firstLine="420" w:firstLineChars="200"/>
        <w:rPr>
          <w:rFonts w:ascii="宋体" w:hAnsi="宋体" w:cs="宋体"/>
          <w:color w:val="auto"/>
          <w:szCs w:val="21"/>
        </w:rPr>
      </w:pPr>
      <w:r>
        <w:rPr>
          <w:rFonts w:hint="eastAsia" w:ascii="宋体" w:hAnsi="宋体" w:cs="宋体"/>
          <w:color w:val="auto"/>
          <w:szCs w:val="21"/>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4DC64605">
      <w:pPr>
        <w:keepNext w:val="0"/>
        <w:keepLines w:val="0"/>
        <w:pageBreakBefore w:val="0"/>
        <w:kinsoku/>
        <w:overflowPunct/>
        <w:bidi w:val="0"/>
        <w:spacing w:line="360" w:lineRule="auto"/>
        <w:ind w:firstLine="420" w:firstLineChars="200"/>
        <w:rPr>
          <w:rFonts w:ascii="宋体" w:hAnsi="宋体" w:cs="宋体"/>
          <w:color w:val="auto"/>
          <w:szCs w:val="21"/>
        </w:rPr>
      </w:pPr>
      <w:r>
        <w:rPr>
          <w:rFonts w:hint="eastAsia" w:ascii="宋体" w:hAnsi="宋体" w:cs="宋体"/>
          <w:color w:val="auto"/>
          <w:szCs w:val="21"/>
        </w:rPr>
        <w:t>□我方本次投标文件</w:t>
      </w:r>
      <w:r>
        <w:rPr>
          <w:rFonts w:hint="eastAsia" w:ascii="宋体" w:hAnsi="宋体" w:cs="宋体"/>
          <w:color w:val="auto"/>
          <w:kern w:val="0"/>
          <w:szCs w:val="21"/>
        </w:rPr>
        <w:t>内容中</w:t>
      </w:r>
      <w:r>
        <w:rPr>
          <w:rFonts w:hint="eastAsia" w:ascii="宋体" w:hAnsi="宋体" w:cs="宋体"/>
          <w:color w:val="auto"/>
          <w:szCs w:val="21"/>
        </w:rPr>
        <w:t>未</w:t>
      </w:r>
      <w:r>
        <w:rPr>
          <w:rFonts w:hint="eastAsia" w:ascii="宋体" w:hAnsi="宋体" w:cs="宋体"/>
          <w:color w:val="auto"/>
          <w:kern w:val="0"/>
          <w:szCs w:val="21"/>
        </w:rPr>
        <w:t>涉及商业秘密；</w:t>
      </w:r>
    </w:p>
    <w:p w14:paraId="55C38445">
      <w:pPr>
        <w:keepNext w:val="0"/>
        <w:keepLines w:val="0"/>
        <w:pageBreakBefore w:val="0"/>
        <w:kinsoku/>
        <w:overflowPunct/>
        <w:bidi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□我方本次投标文件</w:t>
      </w:r>
      <w:r>
        <w:rPr>
          <w:rFonts w:hint="eastAsia" w:ascii="宋体" w:hAnsi="宋体" w:cs="宋体"/>
          <w:color w:val="auto"/>
          <w:kern w:val="0"/>
          <w:szCs w:val="21"/>
        </w:rPr>
        <w:t>涉及商业秘密的内容有：</w:t>
      </w:r>
      <w:r>
        <w:rPr>
          <w:rFonts w:hint="eastAsia" w:ascii="宋体" w:hAnsi="宋体" w:cs="宋体"/>
          <w:color w:val="auto"/>
          <w:kern w:val="0"/>
          <w:szCs w:val="21"/>
          <w:u w:val="single"/>
        </w:rPr>
        <w:t xml:space="preserve">                         </w:t>
      </w:r>
      <w:r>
        <w:rPr>
          <w:rFonts w:hint="eastAsia" w:ascii="宋体" w:hAnsi="宋体" w:cs="宋体"/>
          <w:color w:val="auto"/>
          <w:kern w:val="0"/>
          <w:szCs w:val="21"/>
        </w:rPr>
        <w:t>；</w:t>
      </w:r>
    </w:p>
    <w:p w14:paraId="265373CA">
      <w:pPr>
        <w:keepNext w:val="0"/>
        <w:keepLines w:val="0"/>
        <w:pageBreakBefore w:val="0"/>
        <w:kinsoku/>
        <w:overflowPunct/>
        <w:bidi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9.与本投标有关的一切正式往来信函请寄：</w:t>
      </w:r>
    </w:p>
    <w:p w14:paraId="3BFF4072">
      <w:pPr>
        <w:keepNext w:val="0"/>
        <w:keepLines w:val="0"/>
        <w:pageBreakBefore w:val="0"/>
        <w:kinsoku/>
        <w:overflowPunct/>
        <w:bidi w:val="0"/>
        <w:snapToGrid w:val="0"/>
        <w:spacing w:line="360" w:lineRule="auto"/>
        <w:rPr>
          <w:rFonts w:ascii="宋体" w:hAnsi="宋体" w:cs="宋体"/>
          <w:color w:val="auto"/>
          <w:szCs w:val="21"/>
          <w:u w:val="single"/>
        </w:rPr>
      </w:pPr>
      <w:r>
        <w:rPr>
          <w:rFonts w:hint="eastAsia" w:ascii="宋体" w:hAnsi="宋体" w:cs="宋体"/>
          <w:color w:val="auto"/>
          <w:szCs w:val="21"/>
        </w:rPr>
        <w:t>地址：</w:t>
      </w:r>
      <w:r>
        <w:rPr>
          <w:rFonts w:hint="eastAsia" w:ascii="宋体" w:hAnsi="宋体" w:cs="宋体"/>
          <w:color w:val="auto"/>
          <w:szCs w:val="21"/>
          <w:u w:val="single"/>
        </w:rPr>
        <w:t xml:space="preserve">          </w:t>
      </w:r>
      <w:r>
        <w:rPr>
          <w:rFonts w:hint="eastAsia" w:ascii="宋体" w:hAnsi="宋体" w:cs="宋体"/>
          <w:color w:val="auto"/>
          <w:szCs w:val="21"/>
        </w:rPr>
        <w:t>邮编：</w:t>
      </w:r>
      <w:r>
        <w:rPr>
          <w:rFonts w:hint="eastAsia" w:ascii="宋体" w:hAnsi="宋体" w:cs="宋体"/>
          <w:color w:val="auto"/>
          <w:szCs w:val="21"/>
          <w:u w:val="single"/>
        </w:rPr>
        <w:t xml:space="preserve">            </w:t>
      </w:r>
    </w:p>
    <w:p w14:paraId="6F5B640F">
      <w:pPr>
        <w:keepNext w:val="0"/>
        <w:keepLines w:val="0"/>
        <w:pageBreakBefore w:val="0"/>
        <w:kinsoku/>
        <w:overflowPunct/>
        <w:bidi w:val="0"/>
        <w:snapToGrid w:val="0"/>
        <w:spacing w:line="360" w:lineRule="auto"/>
        <w:rPr>
          <w:rFonts w:hint="default" w:ascii="宋体" w:hAnsi="宋体" w:eastAsia="宋体" w:cs="宋体"/>
          <w:color w:val="auto"/>
          <w:szCs w:val="21"/>
          <w:u w:val="single"/>
          <w:lang w:val="en-US" w:eastAsia="zh-CN"/>
        </w:rPr>
      </w:pPr>
      <w:r>
        <w:rPr>
          <w:rFonts w:hint="eastAsia" w:ascii="宋体" w:hAnsi="宋体" w:cs="宋体"/>
          <w:color w:val="auto"/>
          <w:szCs w:val="21"/>
          <w:lang w:val="en-US" w:eastAsia="zh-CN"/>
        </w:rPr>
        <w:t>联系人：</w:t>
      </w:r>
      <w:r>
        <w:rPr>
          <w:rFonts w:hint="eastAsia" w:ascii="宋体" w:hAnsi="宋体" w:cs="宋体"/>
          <w:color w:val="auto"/>
          <w:szCs w:val="21"/>
          <w:u w:val="single"/>
          <w:lang w:val="en-US" w:eastAsia="zh-CN"/>
        </w:rPr>
        <w:t xml:space="preserve">         </w:t>
      </w:r>
      <w:r>
        <w:rPr>
          <w:rFonts w:hint="eastAsia" w:ascii="宋体" w:hAnsi="宋体" w:cs="宋体"/>
          <w:color w:val="auto"/>
          <w:szCs w:val="21"/>
        </w:rPr>
        <w:t>电话：</w:t>
      </w:r>
      <w:r>
        <w:rPr>
          <w:rFonts w:hint="eastAsia" w:ascii="宋体" w:hAnsi="宋体" w:cs="宋体"/>
          <w:color w:val="auto"/>
          <w:szCs w:val="21"/>
          <w:u w:val="single"/>
        </w:rPr>
        <w:t xml:space="preserve">        </w:t>
      </w:r>
      <w:r>
        <w:rPr>
          <w:rFonts w:hint="eastAsia" w:ascii="宋体" w:hAnsi="宋体" w:cs="宋体"/>
          <w:color w:val="auto"/>
          <w:szCs w:val="21"/>
        </w:rPr>
        <w:t>传真：</w:t>
      </w:r>
      <w:r>
        <w:rPr>
          <w:rFonts w:hint="eastAsia" w:ascii="宋体" w:hAnsi="宋体" w:cs="宋体"/>
          <w:color w:val="auto"/>
          <w:szCs w:val="21"/>
          <w:u w:val="single"/>
        </w:rPr>
        <w:t xml:space="preserve">          </w:t>
      </w:r>
      <w:r>
        <w:rPr>
          <w:rFonts w:hint="eastAsia" w:ascii="宋体" w:hAnsi="宋体" w:cs="宋体"/>
          <w:b w:val="0"/>
          <w:bCs w:val="0"/>
          <w:color w:val="auto"/>
          <w:szCs w:val="21"/>
          <w:u w:val="none"/>
          <w:lang w:val="en-US" w:eastAsia="zh-CN"/>
        </w:rPr>
        <w:t>电子邮箱：</w:t>
      </w:r>
      <w:r>
        <w:rPr>
          <w:rFonts w:hint="eastAsia" w:ascii="宋体" w:hAnsi="宋体" w:cs="宋体"/>
          <w:b w:val="0"/>
          <w:bCs w:val="0"/>
          <w:color w:val="auto"/>
          <w:szCs w:val="21"/>
          <w:u w:val="single"/>
          <w:lang w:val="en-US" w:eastAsia="zh-CN"/>
        </w:rPr>
        <w:t xml:space="preserve">           </w:t>
      </w:r>
    </w:p>
    <w:p w14:paraId="249A1EF3">
      <w:pPr>
        <w:keepNext w:val="0"/>
        <w:keepLines w:val="0"/>
        <w:pageBreakBefore w:val="0"/>
        <w:kinsoku/>
        <w:overflowPunct/>
        <w:bidi w:val="0"/>
        <w:snapToGrid w:val="0"/>
        <w:spacing w:line="360" w:lineRule="auto"/>
        <w:rPr>
          <w:rFonts w:ascii="宋体" w:hAnsi="宋体" w:cs="宋体"/>
          <w:color w:val="auto"/>
          <w:szCs w:val="21"/>
        </w:rPr>
      </w:pPr>
      <w:r>
        <w:rPr>
          <w:rFonts w:hint="eastAsia" w:ascii="宋体" w:hAnsi="宋体" w:cs="宋体"/>
          <w:color w:val="auto"/>
          <w:szCs w:val="21"/>
        </w:rPr>
        <w:t>投标人名称：</w:t>
      </w:r>
      <w:r>
        <w:rPr>
          <w:rFonts w:hint="eastAsia" w:ascii="宋体" w:hAnsi="宋体" w:cs="宋体"/>
          <w:color w:val="auto"/>
          <w:szCs w:val="21"/>
          <w:u w:val="single"/>
        </w:rPr>
        <w:t xml:space="preserve">                </w:t>
      </w:r>
    </w:p>
    <w:p w14:paraId="15225B40">
      <w:pPr>
        <w:keepNext w:val="0"/>
        <w:keepLines w:val="0"/>
        <w:pageBreakBefore w:val="0"/>
        <w:kinsoku/>
        <w:overflowPunct/>
        <w:bidi w:val="0"/>
        <w:snapToGrid w:val="0"/>
        <w:spacing w:line="360" w:lineRule="auto"/>
        <w:jc w:val="left"/>
        <w:rPr>
          <w:rFonts w:ascii="宋体" w:hAnsi="宋体" w:cs="宋体"/>
          <w:color w:val="auto"/>
          <w:szCs w:val="21"/>
        </w:rPr>
      </w:pPr>
      <w:r>
        <w:rPr>
          <w:rFonts w:hint="eastAsia" w:ascii="宋体" w:hAnsi="宋体" w:cs="宋体"/>
          <w:color w:val="auto"/>
          <w:szCs w:val="21"/>
        </w:rPr>
        <w:t>开户银行：</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s="宋体"/>
          <w:color w:val="auto"/>
          <w:szCs w:val="21"/>
          <w:lang w:eastAsia="zh-CN"/>
        </w:rPr>
        <w:t>银行账号</w:t>
      </w:r>
      <w:r>
        <w:rPr>
          <w:rFonts w:hint="eastAsia" w:ascii="宋体" w:hAnsi="宋体" w:cs="宋体"/>
          <w:color w:val="auto"/>
          <w:szCs w:val="21"/>
        </w:rPr>
        <w:t>：</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47D775EF">
      <w:pPr>
        <w:keepNext w:val="0"/>
        <w:keepLines w:val="0"/>
        <w:pageBreakBefore w:val="0"/>
        <w:kinsoku/>
        <w:overflowPunct/>
        <w:bidi w:val="0"/>
        <w:snapToGrid w:val="0"/>
        <w:spacing w:before="50" w:after="120" w:afterLines="50" w:line="360" w:lineRule="auto"/>
        <w:jc w:val="right"/>
        <w:rPr>
          <w:rFonts w:ascii="宋体" w:hAnsi="宋体" w:cs="宋体"/>
          <w:color w:val="auto"/>
          <w:szCs w:val="21"/>
        </w:rPr>
      </w:pPr>
      <w:r>
        <w:rPr>
          <w:rFonts w:hint="eastAsia" w:ascii="宋体" w:hAnsi="宋体" w:cs="宋体"/>
          <w:color w:val="auto"/>
          <w:szCs w:val="21"/>
        </w:rPr>
        <w:t>法定代表人</w:t>
      </w:r>
      <w:r>
        <w:rPr>
          <w:rFonts w:hint="eastAsia" w:ascii="宋体" w:hAnsi="宋体" w:cs="宋体"/>
          <w:color w:val="auto"/>
          <w:szCs w:val="21"/>
          <w:lang w:val="en-US" w:eastAsia="zh-CN"/>
        </w:rPr>
        <w:t>或者委托代理人</w:t>
      </w:r>
      <w:r>
        <w:rPr>
          <w:rFonts w:hint="eastAsia" w:ascii="宋体" w:hAnsi="宋体" w:cs="宋体"/>
          <w:color w:val="auto"/>
          <w:szCs w:val="21"/>
          <w:lang w:eastAsia="zh-CN"/>
        </w:rPr>
        <w:t>（</w:t>
      </w:r>
      <w:r>
        <w:rPr>
          <w:rFonts w:hint="eastAsia" w:ascii="宋体" w:hAnsi="宋体" w:cs="宋体"/>
          <w:color w:val="auto"/>
          <w:szCs w:val="21"/>
        </w:rPr>
        <w:t>签字或者电子签名</w:t>
      </w:r>
      <w:r>
        <w:rPr>
          <w:rFonts w:hint="eastAsia" w:ascii="宋体" w:hAnsi="宋体" w:cs="宋体"/>
          <w:color w:val="auto"/>
          <w:szCs w:val="21"/>
          <w:lang w:eastAsia="zh-CN"/>
        </w:rPr>
        <w:t>）</w:t>
      </w:r>
      <w:r>
        <w:rPr>
          <w:rFonts w:hint="eastAsia" w:ascii="宋体" w:hAnsi="宋体" w:cs="宋体"/>
          <w:color w:val="auto"/>
          <w:szCs w:val="21"/>
        </w:rPr>
        <w:t>：</w:t>
      </w:r>
      <w:r>
        <w:rPr>
          <w:rFonts w:hint="eastAsia" w:ascii="宋体" w:hAnsi="宋体" w:cs="宋体"/>
          <w:color w:val="auto"/>
          <w:szCs w:val="21"/>
          <w:u w:val="single"/>
        </w:rPr>
        <w:t xml:space="preserve">             </w:t>
      </w:r>
    </w:p>
    <w:p w14:paraId="08DC5900">
      <w:pPr>
        <w:keepNext w:val="0"/>
        <w:keepLines w:val="0"/>
        <w:pageBreakBefore w:val="0"/>
        <w:kinsoku/>
        <w:overflowPunct/>
        <w:bidi w:val="0"/>
        <w:snapToGrid w:val="0"/>
        <w:spacing w:before="50" w:after="120" w:afterLines="50" w:line="360" w:lineRule="auto"/>
        <w:jc w:val="right"/>
        <w:rPr>
          <w:rFonts w:ascii="宋体" w:hAnsi="宋体" w:cs="宋体"/>
          <w:color w:val="auto"/>
          <w:szCs w:val="21"/>
        </w:rPr>
      </w:pPr>
      <w:r>
        <w:rPr>
          <w:rFonts w:hint="eastAsia" w:ascii="宋体" w:hAnsi="宋体" w:cs="宋体"/>
          <w:color w:val="auto"/>
          <w:szCs w:val="21"/>
        </w:rPr>
        <w:t xml:space="preserve">                                          投标人</w:t>
      </w:r>
      <w:r>
        <w:rPr>
          <w:rFonts w:hint="eastAsia" w:ascii="宋体" w:hAnsi="宋体" w:cs="宋体"/>
          <w:color w:val="auto"/>
          <w:szCs w:val="21"/>
          <w:lang w:val="en-US" w:eastAsia="zh-CN"/>
        </w:rPr>
        <w:t>名称（电子签章）</w:t>
      </w:r>
      <w:r>
        <w:rPr>
          <w:rFonts w:hint="eastAsia" w:ascii="宋体" w:hAnsi="宋体" w:cs="宋体"/>
          <w:color w:val="auto"/>
          <w:szCs w:val="21"/>
        </w:rPr>
        <w:t>：</w:t>
      </w:r>
      <w:r>
        <w:rPr>
          <w:rFonts w:hint="eastAsia" w:ascii="宋体" w:hAnsi="宋体" w:cs="宋体"/>
          <w:color w:val="auto"/>
          <w:szCs w:val="21"/>
          <w:u w:val="single"/>
        </w:rPr>
        <w:t xml:space="preserve">                 </w:t>
      </w:r>
    </w:p>
    <w:p w14:paraId="3C9547F4">
      <w:pPr>
        <w:keepNext w:val="0"/>
        <w:keepLines w:val="0"/>
        <w:pageBreakBefore w:val="0"/>
        <w:kinsoku/>
        <w:overflowPunct/>
        <w:bidi w:val="0"/>
        <w:snapToGrid w:val="0"/>
        <w:spacing w:before="50" w:after="120" w:afterLines="50" w:line="360" w:lineRule="auto"/>
        <w:jc w:val="right"/>
        <w:rPr>
          <w:rFonts w:ascii="宋体" w:hAnsi="宋体" w:cs="宋体"/>
          <w:color w:val="auto"/>
          <w:szCs w:val="21"/>
        </w:rPr>
      </w:pPr>
      <w:r>
        <w:rPr>
          <w:rFonts w:hint="eastAsia" w:ascii="宋体" w:hAnsi="宋体" w:cs="宋体"/>
          <w:color w:val="auto"/>
          <w:szCs w:val="21"/>
        </w:rPr>
        <w:t xml:space="preserve">                                                 </w:t>
      </w:r>
      <w:r>
        <w:rPr>
          <w:rFonts w:hint="eastAsia" w:ascii="宋体" w:hAnsi="宋体" w:cs="宋体"/>
          <w:color w:val="auto"/>
          <w:szCs w:val="21"/>
          <w:lang w:val="en-US" w:eastAsia="zh-CN"/>
        </w:rPr>
        <w:t xml:space="preserve">日期：    </w:t>
      </w:r>
      <w:r>
        <w:rPr>
          <w:rFonts w:hint="eastAsia" w:ascii="宋体" w:hAnsi="宋体" w:cs="宋体"/>
          <w:color w:val="auto"/>
          <w:szCs w:val="21"/>
        </w:rPr>
        <w:t>年    月    日</w:t>
      </w:r>
    </w:p>
    <w:p w14:paraId="4307939A">
      <w:pPr>
        <w:keepNext w:val="0"/>
        <w:keepLines w:val="0"/>
        <w:pageBreakBefore w:val="0"/>
        <w:kinsoku/>
        <w:overflowPunct/>
        <w:bidi w:val="0"/>
        <w:snapToGrid w:val="0"/>
        <w:spacing w:line="360" w:lineRule="auto"/>
        <w:jc w:val="right"/>
        <w:rPr>
          <w:rFonts w:hint="eastAsia" w:ascii="宋体" w:hAnsi="宋体" w:cs="宋体"/>
          <w:color w:val="auto"/>
          <w:szCs w:val="21"/>
        </w:rPr>
      </w:pPr>
    </w:p>
    <w:p w14:paraId="43BFAB0E">
      <w:pPr>
        <w:keepNext w:val="0"/>
        <w:keepLines w:val="0"/>
        <w:pageBreakBefore w:val="0"/>
        <w:kinsoku/>
        <w:overflowPunct/>
        <w:bidi w:val="0"/>
        <w:spacing w:line="360" w:lineRule="auto"/>
        <w:rPr>
          <w:rFonts w:ascii="宋体" w:hAnsi="宋体" w:cs="宋体"/>
          <w:color w:val="auto"/>
          <w:szCs w:val="21"/>
        </w:rPr>
      </w:pPr>
      <w:r>
        <w:rPr>
          <w:rFonts w:ascii="宋体" w:hAnsi="宋体" w:cs="宋体"/>
          <w:color w:val="auto"/>
          <w:szCs w:val="21"/>
        </w:rPr>
        <w:br w:type="page"/>
      </w:r>
    </w:p>
    <w:p w14:paraId="5C718892">
      <w:pPr>
        <w:keepNext w:val="0"/>
        <w:keepLines w:val="0"/>
        <w:pageBreakBefore w:val="0"/>
        <w:kinsoku/>
        <w:overflowPunct/>
        <w:bidi w:val="0"/>
        <w:snapToGrid w:val="0"/>
        <w:spacing w:before="120" w:beforeLines="50" w:after="50" w:line="360" w:lineRule="auto"/>
        <w:jc w:val="left"/>
        <w:rPr>
          <w:rFonts w:ascii="宋体" w:hAnsi="宋体" w:cs="宋体"/>
          <w:b/>
          <w:color w:val="auto"/>
          <w:sz w:val="24"/>
          <w:szCs w:val="20"/>
        </w:rPr>
      </w:pPr>
      <w:r>
        <w:rPr>
          <w:rFonts w:hint="eastAsia" w:ascii="宋体" w:hAnsi="宋体" w:cs="宋体"/>
          <w:b/>
          <w:color w:val="auto"/>
          <w:sz w:val="24"/>
          <w:lang w:val="en-US" w:eastAsia="zh-CN"/>
        </w:rPr>
        <w:t>4</w:t>
      </w:r>
      <w:r>
        <w:rPr>
          <w:rFonts w:hint="eastAsia" w:ascii="宋体" w:hAnsi="宋体" w:cs="宋体"/>
          <w:b/>
          <w:color w:val="auto"/>
          <w:sz w:val="24"/>
        </w:rPr>
        <w:t>. 开标一览表</w:t>
      </w:r>
    </w:p>
    <w:p w14:paraId="39FB545E">
      <w:pPr>
        <w:keepNext w:val="0"/>
        <w:keepLines w:val="0"/>
        <w:pageBreakBefore w:val="0"/>
        <w:kinsoku/>
        <w:overflowPunct/>
        <w:bidi w:val="0"/>
        <w:snapToGrid w:val="0"/>
        <w:spacing w:before="50" w:after="50" w:line="360" w:lineRule="auto"/>
        <w:jc w:val="center"/>
        <w:rPr>
          <w:rFonts w:ascii="宋体" w:hAnsi="宋体" w:cs="宋体"/>
          <w:b/>
          <w:color w:val="auto"/>
          <w:sz w:val="30"/>
        </w:rPr>
      </w:pPr>
      <w:r>
        <w:rPr>
          <w:rFonts w:hint="eastAsia" w:ascii="宋体" w:hAnsi="宋体" w:cs="宋体"/>
          <w:b/>
          <w:color w:val="auto"/>
          <w:sz w:val="30"/>
        </w:rPr>
        <w:t>开标一览表</w:t>
      </w:r>
    </w:p>
    <w:p w14:paraId="6F71F1F8">
      <w:pPr>
        <w:keepNext w:val="0"/>
        <w:keepLines w:val="0"/>
        <w:pageBreakBefore w:val="0"/>
        <w:kinsoku/>
        <w:overflowPunct/>
        <w:bidi w:val="0"/>
        <w:snapToGrid w:val="0"/>
        <w:spacing w:before="50" w:after="50" w:line="360" w:lineRule="auto"/>
        <w:jc w:val="center"/>
        <w:rPr>
          <w:rFonts w:ascii="宋体" w:hAnsi="宋体" w:cs="宋体"/>
          <w:b/>
          <w:color w:val="auto"/>
          <w:sz w:val="30"/>
          <w:szCs w:val="20"/>
        </w:rPr>
      </w:pPr>
    </w:p>
    <w:p w14:paraId="5ECFCF5D">
      <w:pPr>
        <w:keepNext w:val="0"/>
        <w:keepLines w:val="0"/>
        <w:pageBreakBefore w:val="0"/>
        <w:kinsoku/>
        <w:overflowPunct/>
        <w:bidi w:val="0"/>
        <w:snapToGrid w:val="0"/>
        <w:spacing w:before="50" w:after="50" w:line="360" w:lineRule="auto"/>
        <w:rPr>
          <w:rFonts w:ascii="宋体" w:hAnsi="宋体" w:cs="宋体"/>
          <w:color w:val="auto"/>
          <w:sz w:val="21"/>
          <w:szCs w:val="21"/>
          <w:u w:val="single"/>
        </w:rPr>
      </w:pPr>
      <w:r>
        <w:rPr>
          <w:rFonts w:hint="eastAsia" w:cs="宋体"/>
          <w:color w:val="auto"/>
          <w:sz w:val="21"/>
          <w:szCs w:val="21"/>
        </w:rPr>
        <w:t>项目</w:t>
      </w:r>
      <w:r>
        <w:rPr>
          <w:rFonts w:hint="eastAsia" w:ascii="宋体" w:hAnsi="宋体" w:cs="宋体"/>
          <w:color w:val="auto"/>
          <w:sz w:val="21"/>
          <w:szCs w:val="21"/>
        </w:rPr>
        <w:t>编号：</w:t>
      </w:r>
      <w:r>
        <w:rPr>
          <w:rFonts w:hint="eastAsia" w:ascii="宋体" w:hAnsi="宋体" w:cs="宋体"/>
          <w:color w:val="auto"/>
          <w:sz w:val="21"/>
          <w:szCs w:val="21"/>
          <w:u w:val="single"/>
        </w:rPr>
        <w:t xml:space="preserve">                              </w:t>
      </w:r>
      <w:r>
        <w:rPr>
          <w:rFonts w:hint="eastAsia" w:ascii="宋体" w:hAnsi="宋体" w:cs="宋体"/>
          <w:color w:val="auto"/>
          <w:sz w:val="21"/>
          <w:szCs w:val="21"/>
        </w:rPr>
        <w:t xml:space="preserve">         </w:t>
      </w:r>
    </w:p>
    <w:p w14:paraId="6261B35B">
      <w:pPr>
        <w:keepNext w:val="0"/>
        <w:keepLines w:val="0"/>
        <w:pageBreakBefore w:val="0"/>
        <w:kinsoku/>
        <w:overflowPunct/>
        <w:bidi w:val="0"/>
        <w:snapToGrid w:val="0"/>
        <w:spacing w:before="50" w:after="50" w:line="360" w:lineRule="auto"/>
        <w:rPr>
          <w:rFonts w:hint="eastAsia" w:ascii="宋体" w:hAnsi="宋体" w:cs="宋体"/>
          <w:color w:val="auto"/>
          <w:sz w:val="21"/>
          <w:szCs w:val="21"/>
        </w:rPr>
      </w:pPr>
      <w:r>
        <w:rPr>
          <w:rFonts w:hint="eastAsia" w:cs="宋体"/>
          <w:color w:val="auto"/>
          <w:sz w:val="21"/>
          <w:szCs w:val="21"/>
        </w:rPr>
        <w:t>项目</w:t>
      </w:r>
      <w:r>
        <w:rPr>
          <w:rFonts w:hint="eastAsia" w:ascii="宋体" w:hAnsi="宋体" w:cs="宋体"/>
          <w:color w:val="auto"/>
          <w:sz w:val="21"/>
          <w:szCs w:val="21"/>
        </w:rPr>
        <w:t>名称：</w:t>
      </w:r>
      <w:r>
        <w:rPr>
          <w:rFonts w:hint="eastAsia" w:ascii="宋体" w:hAnsi="宋体" w:cs="宋体"/>
          <w:color w:val="auto"/>
          <w:sz w:val="21"/>
          <w:szCs w:val="21"/>
          <w:u w:val="single"/>
        </w:rPr>
        <w:t xml:space="preserve">                              </w:t>
      </w:r>
      <w:r>
        <w:rPr>
          <w:rFonts w:hint="eastAsia" w:ascii="宋体" w:hAnsi="宋体" w:cs="宋体"/>
          <w:color w:val="auto"/>
          <w:sz w:val="21"/>
          <w:szCs w:val="21"/>
        </w:rPr>
        <w:t xml:space="preserve">       </w:t>
      </w:r>
    </w:p>
    <w:p w14:paraId="2E741176">
      <w:pPr>
        <w:keepNext w:val="0"/>
        <w:keepLines w:val="0"/>
        <w:pageBreakBefore w:val="0"/>
        <w:kinsoku/>
        <w:overflowPunct/>
        <w:bidi w:val="0"/>
        <w:snapToGrid w:val="0"/>
        <w:spacing w:before="50" w:after="50" w:line="360" w:lineRule="auto"/>
        <w:rPr>
          <w:rFonts w:hint="default" w:cs="宋体"/>
          <w:color w:val="auto"/>
          <w:sz w:val="21"/>
          <w:szCs w:val="21"/>
          <w:u w:val="single"/>
          <w:lang w:val="en-US" w:eastAsia="zh-CN"/>
        </w:rPr>
      </w:pPr>
      <w:r>
        <w:rPr>
          <w:rFonts w:hint="eastAsia" w:cs="宋体"/>
          <w:color w:val="auto"/>
          <w:sz w:val="21"/>
          <w:szCs w:val="21"/>
          <w:lang w:val="en-US" w:eastAsia="zh-CN"/>
        </w:rPr>
        <w:t>投标人名称：</w:t>
      </w:r>
      <w:r>
        <w:rPr>
          <w:rFonts w:hint="eastAsia" w:cs="宋体"/>
          <w:color w:val="auto"/>
          <w:sz w:val="21"/>
          <w:szCs w:val="21"/>
          <w:u w:val="single"/>
          <w:lang w:val="en-US" w:eastAsia="zh-CN"/>
        </w:rPr>
        <w:t xml:space="preserve">                       </w:t>
      </w:r>
    </w:p>
    <w:p w14:paraId="334A65BF">
      <w:pPr>
        <w:keepNext w:val="0"/>
        <w:keepLines w:val="0"/>
        <w:pageBreakBefore w:val="0"/>
        <w:kinsoku/>
        <w:overflowPunct/>
        <w:bidi w:val="0"/>
        <w:snapToGrid w:val="0"/>
        <w:spacing w:before="50" w:after="50" w:line="360" w:lineRule="auto"/>
        <w:jc w:val="right"/>
        <w:rPr>
          <w:rFonts w:ascii="宋体" w:hAnsi="宋体" w:cs="宋体"/>
          <w:color w:val="auto"/>
          <w:sz w:val="21"/>
          <w:szCs w:val="21"/>
        </w:rPr>
      </w:pPr>
      <w:r>
        <w:rPr>
          <w:rFonts w:hint="eastAsia" w:ascii="宋体" w:hAnsi="宋体" w:cs="宋体"/>
          <w:color w:val="auto"/>
          <w:sz w:val="21"/>
          <w:szCs w:val="21"/>
        </w:rPr>
        <w:t>单位：元</w:t>
      </w:r>
    </w:p>
    <w:tbl>
      <w:tblPr>
        <w:tblStyle w:val="25"/>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0"/>
        <w:gridCol w:w="2412"/>
        <w:gridCol w:w="1268"/>
        <w:gridCol w:w="4024"/>
        <w:gridCol w:w="1256"/>
      </w:tblGrid>
      <w:tr w14:paraId="4488E3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4093C724">
            <w:pPr>
              <w:shd w:val="clear" w:color="auto" w:fill="auto"/>
              <w:snapToGrid w:val="0"/>
              <w:spacing w:before="50" w:after="50" w:line="360" w:lineRule="exact"/>
              <w:rPr>
                <w:rFonts w:hint="eastAsia" w:ascii="宋体" w:hAnsi="宋体"/>
                <w:color w:val="auto"/>
                <w:szCs w:val="21"/>
                <w:highlight w:val="none"/>
              </w:rPr>
            </w:pPr>
            <w:r>
              <w:rPr>
                <w:rFonts w:hint="eastAsia" w:ascii="宋体" w:hAnsi="宋体"/>
                <w:color w:val="auto"/>
                <w:szCs w:val="21"/>
                <w:highlight w:val="none"/>
              </w:rPr>
              <w:t>序号</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3F30CCA1">
            <w:pPr>
              <w:shd w:val="clear" w:color="auto" w:fill="auto"/>
              <w:snapToGrid w:val="0"/>
              <w:spacing w:before="50" w:after="50" w:line="360" w:lineRule="exact"/>
              <w:jc w:val="center"/>
              <w:rPr>
                <w:rFonts w:hint="eastAsia" w:ascii="宋体" w:hAnsi="宋体"/>
                <w:color w:val="auto"/>
                <w:szCs w:val="21"/>
                <w:highlight w:val="none"/>
              </w:rPr>
            </w:pPr>
            <w:r>
              <w:rPr>
                <w:rFonts w:hint="eastAsia" w:ascii="宋体" w:hAnsi="宋体"/>
                <w:color w:val="auto"/>
                <w:szCs w:val="21"/>
                <w:highlight w:val="none"/>
                <w:lang w:val="en-US" w:eastAsia="zh-CN"/>
              </w:rPr>
              <w:t>标的</w:t>
            </w:r>
            <w:r>
              <w:rPr>
                <w:rFonts w:hint="eastAsia" w:ascii="宋体" w:hAnsi="宋体"/>
                <w:color w:val="auto"/>
                <w:szCs w:val="21"/>
                <w:highlight w:val="none"/>
              </w:rPr>
              <w:t>名称</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7393A417">
            <w:pPr>
              <w:shd w:val="clear" w:color="auto" w:fill="auto"/>
              <w:snapToGrid w:val="0"/>
              <w:spacing w:before="50" w:after="50" w:line="36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数量及单位</w:t>
            </w:r>
          </w:p>
        </w:tc>
        <w:tc>
          <w:tcPr>
            <w:tcW w:w="4024" w:type="dxa"/>
            <w:tcBorders>
              <w:top w:val="single" w:color="auto" w:sz="4" w:space="0"/>
              <w:left w:val="single" w:color="auto" w:sz="4" w:space="0"/>
              <w:bottom w:val="single" w:color="auto" w:sz="4" w:space="0"/>
              <w:right w:val="single" w:color="auto" w:sz="4" w:space="0"/>
            </w:tcBorders>
            <w:noWrap w:val="0"/>
            <w:vAlign w:val="center"/>
          </w:tcPr>
          <w:p w14:paraId="500E5EA2">
            <w:pPr>
              <w:shd w:val="clear" w:color="auto" w:fill="auto"/>
              <w:snapToGrid w:val="0"/>
              <w:spacing w:before="50" w:after="50" w:line="360" w:lineRule="exact"/>
              <w:jc w:val="center"/>
              <w:rPr>
                <w:rFonts w:hint="eastAsia" w:ascii="宋体" w:hAnsi="宋体"/>
                <w:color w:val="auto"/>
                <w:szCs w:val="21"/>
                <w:highlight w:val="none"/>
              </w:rPr>
            </w:pPr>
            <w:r>
              <w:rPr>
                <w:rFonts w:hint="eastAsia" w:ascii="宋体" w:hAnsi="宋体"/>
                <w:color w:val="auto"/>
                <w:szCs w:val="21"/>
                <w:highlight w:val="none"/>
                <w:lang w:val="en-US" w:eastAsia="zh-CN"/>
              </w:rPr>
              <w:t>单项</w:t>
            </w:r>
            <w:r>
              <w:rPr>
                <w:rFonts w:hint="eastAsia" w:ascii="宋体" w:hAnsi="宋体"/>
                <w:color w:val="auto"/>
                <w:szCs w:val="21"/>
                <w:highlight w:val="none"/>
              </w:rPr>
              <w:t>报价（元）</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1BAACC25">
            <w:pPr>
              <w:shd w:val="clear" w:color="auto" w:fill="auto"/>
              <w:snapToGrid w:val="0"/>
              <w:spacing w:before="50" w:after="50" w:line="360" w:lineRule="exact"/>
              <w:jc w:val="center"/>
              <w:rPr>
                <w:rFonts w:hint="eastAsia" w:ascii="宋体" w:hAnsi="宋体"/>
                <w:color w:val="auto"/>
                <w:szCs w:val="21"/>
                <w:highlight w:val="none"/>
              </w:rPr>
            </w:pPr>
            <w:r>
              <w:rPr>
                <w:rFonts w:hint="eastAsia" w:ascii="宋体" w:hAnsi="宋体"/>
                <w:color w:val="auto"/>
                <w:szCs w:val="21"/>
                <w:highlight w:val="none"/>
              </w:rPr>
              <w:t>备注</w:t>
            </w:r>
          </w:p>
        </w:tc>
      </w:tr>
      <w:tr w14:paraId="3F5FE6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741C2CAF">
            <w:pPr>
              <w:shd w:val="clear" w:color="auto" w:fill="auto"/>
              <w:jc w:val="center"/>
              <w:rPr>
                <w:rFonts w:hint="eastAsia"/>
                <w:color w:val="auto"/>
                <w:highlight w:val="none"/>
              </w:rPr>
            </w:pPr>
          </w:p>
        </w:tc>
        <w:tc>
          <w:tcPr>
            <w:tcW w:w="2412" w:type="dxa"/>
            <w:tcBorders>
              <w:top w:val="single" w:color="auto" w:sz="4" w:space="0"/>
              <w:left w:val="single" w:color="auto" w:sz="4" w:space="0"/>
              <w:bottom w:val="single" w:color="auto" w:sz="4" w:space="0"/>
              <w:right w:val="single" w:color="auto" w:sz="4" w:space="0"/>
            </w:tcBorders>
            <w:noWrap w:val="0"/>
            <w:vAlign w:val="center"/>
          </w:tcPr>
          <w:p w14:paraId="55426D1B">
            <w:pPr>
              <w:shd w:val="clear" w:color="auto" w:fill="auto"/>
              <w:jc w:val="center"/>
              <w:rPr>
                <w:rFonts w:hint="eastAsia"/>
                <w:color w:val="auto"/>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14:paraId="30290701">
            <w:pPr>
              <w:shd w:val="clear" w:color="auto" w:fill="auto"/>
              <w:jc w:val="center"/>
              <w:rPr>
                <w:rFonts w:hint="default" w:eastAsia="宋体"/>
                <w:color w:val="auto"/>
                <w:highlight w:val="none"/>
                <w:lang w:val="en-US" w:eastAsia="zh-CN"/>
              </w:rPr>
            </w:pPr>
            <w:r>
              <w:rPr>
                <w:rFonts w:hint="eastAsia"/>
                <w:color w:val="auto"/>
                <w:highlight w:val="none"/>
                <w:lang w:val="en-US" w:eastAsia="zh-CN"/>
              </w:rPr>
              <w:t>1项</w:t>
            </w:r>
          </w:p>
        </w:tc>
        <w:tc>
          <w:tcPr>
            <w:tcW w:w="4024" w:type="dxa"/>
            <w:tcBorders>
              <w:top w:val="single" w:color="auto" w:sz="4" w:space="0"/>
              <w:left w:val="single" w:color="auto" w:sz="4" w:space="0"/>
              <w:bottom w:val="single" w:color="auto" w:sz="4" w:space="0"/>
              <w:right w:val="single" w:color="auto" w:sz="4" w:space="0"/>
            </w:tcBorders>
            <w:noWrap w:val="0"/>
            <w:vAlign w:val="center"/>
          </w:tcPr>
          <w:p w14:paraId="164D66E0">
            <w:pPr>
              <w:shd w:val="clear" w:color="auto" w:fill="auto"/>
              <w:jc w:val="center"/>
              <w:rPr>
                <w:rFonts w:hint="eastAsia"/>
                <w:color w:val="auto"/>
                <w:highlight w:val="none"/>
              </w:rPr>
            </w:pPr>
          </w:p>
        </w:tc>
        <w:tc>
          <w:tcPr>
            <w:tcW w:w="1256" w:type="dxa"/>
            <w:tcBorders>
              <w:top w:val="single" w:color="auto" w:sz="4" w:space="0"/>
              <w:left w:val="single" w:color="auto" w:sz="4" w:space="0"/>
              <w:bottom w:val="single" w:color="auto" w:sz="4" w:space="0"/>
              <w:right w:val="single" w:color="auto" w:sz="4" w:space="0"/>
            </w:tcBorders>
            <w:noWrap w:val="0"/>
            <w:vAlign w:val="center"/>
          </w:tcPr>
          <w:p w14:paraId="767D4B96">
            <w:pPr>
              <w:shd w:val="clear" w:color="auto" w:fill="auto"/>
              <w:jc w:val="center"/>
              <w:rPr>
                <w:rFonts w:hint="eastAsia"/>
                <w:color w:val="auto"/>
                <w:highlight w:val="none"/>
              </w:rPr>
            </w:pPr>
          </w:p>
        </w:tc>
      </w:tr>
      <w:tr w14:paraId="6F02A1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637494F1">
            <w:pPr>
              <w:shd w:val="clear" w:color="auto" w:fill="auto"/>
              <w:jc w:val="center"/>
              <w:rPr>
                <w:rFonts w:hint="eastAsia"/>
                <w:color w:val="auto"/>
                <w:highlight w:val="none"/>
              </w:rPr>
            </w:pPr>
          </w:p>
        </w:tc>
        <w:tc>
          <w:tcPr>
            <w:tcW w:w="2412" w:type="dxa"/>
            <w:tcBorders>
              <w:top w:val="single" w:color="auto" w:sz="4" w:space="0"/>
              <w:left w:val="single" w:color="auto" w:sz="4" w:space="0"/>
              <w:bottom w:val="single" w:color="auto" w:sz="4" w:space="0"/>
              <w:right w:val="single" w:color="auto" w:sz="4" w:space="0"/>
            </w:tcBorders>
            <w:noWrap w:val="0"/>
            <w:vAlign w:val="center"/>
          </w:tcPr>
          <w:p w14:paraId="75B93CE0">
            <w:pPr>
              <w:shd w:val="clear" w:color="auto" w:fill="auto"/>
              <w:jc w:val="center"/>
              <w:rPr>
                <w:rFonts w:hint="eastAsia"/>
                <w:color w:val="auto"/>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14:paraId="7B40322A">
            <w:pPr>
              <w:shd w:val="clear" w:color="auto" w:fill="auto"/>
              <w:jc w:val="center"/>
              <w:rPr>
                <w:rFonts w:hint="eastAsia"/>
                <w:color w:val="auto"/>
                <w:highlight w:val="none"/>
              </w:rPr>
            </w:pPr>
          </w:p>
        </w:tc>
        <w:tc>
          <w:tcPr>
            <w:tcW w:w="4024" w:type="dxa"/>
            <w:tcBorders>
              <w:top w:val="single" w:color="auto" w:sz="4" w:space="0"/>
              <w:left w:val="single" w:color="auto" w:sz="4" w:space="0"/>
              <w:bottom w:val="single" w:color="auto" w:sz="4" w:space="0"/>
              <w:right w:val="single" w:color="auto" w:sz="4" w:space="0"/>
            </w:tcBorders>
            <w:noWrap w:val="0"/>
            <w:vAlign w:val="center"/>
          </w:tcPr>
          <w:p w14:paraId="46A9A45F">
            <w:pPr>
              <w:shd w:val="clear" w:color="auto" w:fill="auto"/>
              <w:jc w:val="center"/>
              <w:rPr>
                <w:rFonts w:hint="eastAsia"/>
                <w:color w:val="auto"/>
                <w:highlight w:val="none"/>
              </w:rPr>
            </w:pPr>
          </w:p>
        </w:tc>
        <w:tc>
          <w:tcPr>
            <w:tcW w:w="1256" w:type="dxa"/>
            <w:tcBorders>
              <w:top w:val="single" w:color="auto" w:sz="4" w:space="0"/>
              <w:left w:val="single" w:color="auto" w:sz="4" w:space="0"/>
              <w:bottom w:val="single" w:color="auto" w:sz="4" w:space="0"/>
              <w:right w:val="single" w:color="auto" w:sz="4" w:space="0"/>
            </w:tcBorders>
            <w:noWrap w:val="0"/>
            <w:vAlign w:val="center"/>
          </w:tcPr>
          <w:p w14:paraId="0EF5A128">
            <w:pPr>
              <w:shd w:val="clear" w:color="auto" w:fill="auto"/>
              <w:jc w:val="center"/>
              <w:rPr>
                <w:rFonts w:hint="eastAsia"/>
                <w:color w:val="auto"/>
                <w:highlight w:val="none"/>
              </w:rPr>
            </w:pPr>
          </w:p>
        </w:tc>
      </w:tr>
      <w:tr w14:paraId="340B32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156CE36A">
            <w:pPr>
              <w:shd w:val="clear" w:color="auto" w:fill="auto"/>
              <w:jc w:val="center"/>
              <w:rPr>
                <w:rFonts w:hint="eastAsia"/>
                <w:color w:val="auto"/>
                <w:highlight w:val="none"/>
              </w:rPr>
            </w:pPr>
          </w:p>
        </w:tc>
        <w:tc>
          <w:tcPr>
            <w:tcW w:w="2412" w:type="dxa"/>
            <w:tcBorders>
              <w:top w:val="single" w:color="auto" w:sz="4" w:space="0"/>
              <w:left w:val="single" w:color="auto" w:sz="4" w:space="0"/>
              <w:bottom w:val="single" w:color="auto" w:sz="4" w:space="0"/>
              <w:right w:val="single" w:color="auto" w:sz="4" w:space="0"/>
            </w:tcBorders>
            <w:noWrap w:val="0"/>
            <w:vAlign w:val="center"/>
          </w:tcPr>
          <w:p w14:paraId="789B8E46">
            <w:pPr>
              <w:shd w:val="clear" w:color="auto" w:fill="auto"/>
              <w:jc w:val="center"/>
              <w:rPr>
                <w:rFonts w:hint="eastAsia"/>
                <w:color w:val="auto"/>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14:paraId="5BCEF2DB">
            <w:pPr>
              <w:shd w:val="clear" w:color="auto" w:fill="auto"/>
              <w:jc w:val="center"/>
              <w:rPr>
                <w:rFonts w:hint="eastAsia"/>
                <w:color w:val="auto"/>
                <w:highlight w:val="none"/>
              </w:rPr>
            </w:pPr>
          </w:p>
        </w:tc>
        <w:tc>
          <w:tcPr>
            <w:tcW w:w="4024" w:type="dxa"/>
            <w:tcBorders>
              <w:top w:val="single" w:color="auto" w:sz="4" w:space="0"/>
              <w:left w:val="single" w:color="auto" w:sz="4" w:space="0"/>
              <w:bottom w:val="single" w:color="auto" w:sz="4" w:space="0"/>
              <w:right w:val="single" w:color="auto" w:sz="4" w:space="0"/>
            </w:tcBorders>
            <w:noWrap w:val="0"/>
            <w:vAlign w:val="center"/>
          </w:tcPr>
          <w:p w14:paraId="3F02A2EB">
            <w:pPr>
              <w:shd w:val="clear" w:color="auto" w:fill="auto"/>
              <w:jc w:val="center"/>
              <w:rPr>
                <w:rFonts w:hint="eastAsia"/>
                <w:color w:val="auto"/>
                <w:highlight w:val="none"/>
              </w:rPr>
            </w:pPr>
          </w:p>
        </w:tc>
        <w:tc>
          <w:tcPr>
            <w:tcW w:w="1256" w:type="dxa"/>
            <w:tcBorders>
              <w:top w:val="single" w:color="auto" w:sz="4" w:space="0"/>
              <w:left w:val="single" w:color="auto" w:sz="4" w:space="0"/>
              <w:bottom w:val="single" w:color="auto" w:sz="4" w:space="0"/>
              <w:right w:val="single" w:color="auto" w:sz="4" w:space="0"/>
            </w:tcBorders>
            <w:noWrap w:val="0"/>
            <w:vAlign w:val="center"/>
          </w:tcPr>
          <w:p w14:paraId="7EF6149F">
            <w:pPr>
              <w:shd w:val="clear" w:color="auto" w:fill="auto"/>
              <w:jc w:val="center"/>
              <w:rPr>
                <w:rFonts w:hint="eastAsia"/>
                <w:color w:val="auto"/>
                <w:highlight w:val="none"/>
              </w:rPr>
            </w:pPr>
          </w:p>
        </w:tc>
      </w:tr>
      <w:tr w14:paraId="06F9C8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7"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3271DD0B">
            <w:pPr>
              <w:shd w:val="clear" w:color="auto" w:fill="auto"/>
              <w:jc w:val="center"/>
              <w:rPr>
                <w:rFonts w:hint="eastAsia"/>
                <w:color w:val="auto"/>
                <w:highlight w:val="none"/>
              </w:rPr>
            </w:pPr>
          </w:p>
        </w:tc>
        <w:tc>
          <w:tcPr>
            <w:tcW w:w="2412" w:type="dxa"/>
            <w:tcBorders>
              <w:top w:val="single" w:color="auto" w:sz="4" w:space="0"/>
              <w:left w:val="single" w:color="auto" w:sz="4" w:space="0"/>
              <w:bottom w:val="single" w:color="auto" w:sz="4" w:space="0"/>
              <w:right w:val="single" w:color="auto" w:sz="4" w:space="0"/>
            </w:tcBorders>
            <w:noWrap w:val="0"/>
            <w:vAlign w:val="center"/>
          </w:tcPr>
          <w:p w14:paraId="21A94250">
            <w:pPr>
              <w:shd w:val="clear" w:color="auto" w:fill="auto"/>
              <w:jc w:val="center"/>
              <w:rPr>
                <w:rFonts w:hint="eastAsia"/>
                <w:color w:val="auto"/>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14:paraId="475DD4BC">
            <w:pPr>
              <w:shd w:val="clear" w:color="auto" w:fill="auto"/>
              <w:jc w:val="center"/>
              <w:rPr>
                <w:rFonts w:hint="eastAsia"/>
                <w:color w:val="auto"/>
                <w:highlight w:val="none"/>
              </w:rPr>
            </w:pPr>
          </w:p>
        </w:tc>
        <w:tc>
          <w:tcPr>
            <w:tcW w:w="4024" w:type="dxa"/>
            <w:tcBorders>
              <w:top w:val="single" w:color="auto" w:sz="4" w:space="0"/>
              <w:left w:val="single" w:color="auto" w:sz="4" w:space="0"/>
              <w:bottom w:val="single" w:color="auto" w:sz="4" w:space="0"/>
              <w:right w:val="single" w:color="auto" w:sz="4" w:space="0"/>
            </w:tcBorders>
            <w:noWrap w:val="0"/>
            <w:vAlign w:val="center"/>
          </w:tcPr>
          <w:p w14:paraId="4ABA0D51">
            <w:pPr>
              <w:shd w:val="clear" w:color="auto" w:fill="auto"/>
              <w:jc w:val="center"/>
              <w:rPr>
                <w:rFonts w:hint="eastAsia"/>
                <w:color w:val="auto"/>
                <w:highlight w:val="none"/>
              </w:rPr>
            </w:pPr>
          </w:p>
        </w:tc>
        <w:tc>
          <w:tcPr>
            <w:tcW w:w="1256" w:type="dxa"/>
            <w:tcBorders>
              <w:top w:val="single" w:color="auto" w:sz="4" w:space="0"/>
              <w:left w:val="single" w:color="auto" w:sz="4" w:space="0"/>
              <w:bottom w:val="single" w:color="auto" w:sz="4" w:space="0"/>
              <w:right w:val="single" w:color="auto" w:sz="4" w:space="0"/>
            </w:tcBorders>
            <w:noWrap w:val="0"/>
            <w:vAlign w:val="center"/>
          </w:tcPr>
          <w:p w14:paraId="5F31C96A">
            <w:pPr>
              <w:shd w:val="clear" w:color="auto" w:fill="auto"/>
              <w:jc w:val="center"/>
              <w:rPr>
                <w:rFonts w:hint="eastAsia"/>
                <w:color w:val="auto"/>
                <w:highlight w:val="none"/>
              </w:rPr>
            </w:pPr>
          </w:p>
        </w:tc>
      </w:tr>
      <w:tr w14:paraId="0B2D65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6F64DE7E">
            <w:pPr>
              <w:shd w:val="clear" w:color="auto" w:fill="auto"/>
              <w:jc w:val="center"/>
              <w:rPr>
                <w:rFonts w:hint="eastAsia"/>
                <w:color w:val="auto"/>
                <w:highlight w:val="none"/>
              </w:rPr>
            </w:pPr>
          </w:p>
        </w:tc>
        <w:tc>
          <w:tcPr>
            <w:tcW w:w="2412" w:type="dxa"/>
            <w:tcBorders>
              <w:top w:val="single" w:color="auto" w:sz="4" w:space="0"/>
              <w:left w:val="single" w:color="auto" w:sz="4" w:space="0"/>
              <w:bottom w:val="single" w:color="auto" w:sz="4" w:space="0"/>
              <w:right w:val="single" w:color="auto" w:sz="4" w:space="0"/>
            </w:tcBorders>
            <w:noWrap w:val="0"/>
            <w:vAlign w:val="center"/>
          </w:tcPr>
          <w:p w14:paraId="19943A5D">
            <w:pPr>
              <w:shd w:val="clear" w:color="auto" w:fill="auto"/>
              <w:jc w:val="center"/>
              <w:rPr>
                <w:rFonts w:hint="eastAsia"/>
                <w:color w:val="auto"/>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14:paraId="5415990E">
            <w:pPr>
              <w:shd w:val="clear" w:color="auto" w:fill="auto"/>
              <w:jc w:val="center"/>
              <w:rPr>
                <w:rFonts w:hint="eastAsia"/>
                <w:color w:val="auto"/>
                <w:highlight w:val="none"/>
              </w:rPr>
            </w:pPr>
          </w:p>
        </w:tc>
        <w:tc>
          <w:tcPr>
            <w:tcW w:w="4024" w:type="dxa"/>
            <w:tcBorders>
              <w:top w:val="single" w:color="auto" w:sz="4" w:space="0"/>
              <w:left w:val="single" w:color="auto" w:sz="4" w:space="0"/>
              <w:bottom w:val="single" w:color="auto" w:sz="4" w:space="0"/>
              <w:right w:val="single" w:color="auto" w:sz="4" w:space="0"/>
            </w:tcBorders>
            <w:noWrap w:val="0"/>
            <w:vAlign w:val="center"/>
          </w:tcPr>
          <w:p w14:paraId="7E26143E">
            <w:pPr>
              <w:shd w:val="clear" w:color="auto" w:fill="auto"/>
              <w:jc w:val="center"/>
              <w:rPr>
                <w:rFonts w:hint="eastAsia"/>
                <w:color w:val="auto"/>
                <w:highlight w:val="none"/>
              </w:rPr>
            </w:pPr>
          </w:p>
        </w:tc>
        <w:tc>
          <w:tcPr>
            <w:tcW w:w="1256" w:type="dxa"/>
            <w:tcBorders>
              <w:top w:val="single" w:color="auto" w:sz="4" w:space="0"/>
              <w:left w:val="single" w:color="auto" w:sz="4" w:space="0"/>
              <w:bottom w:val="single" w:color="auto" w:sz="4" w:space="0"/>
              <w:right w:val="single" w:color="auto" w:sz="4" w:space="0"/>
            </w:tcBorders>
            <w:noWrap w:val="0"/>
            <w:vAlign w:val="center"/>
          </w:tcPr>
          <w:p w14:paraId="53A17857">
            <w:pPr>
              <w:shd w:val="clear" w:color="auto" w:fill="auto"/>
              <w:jc w:val="center"/>
              <w:rPr>
                <w:rFonts w:hint="eastAsia"/>
                <w:color w:val="auto"/>
                <w:highlight w:val="none"/>
              </w:rPr>
            </w:pPr>
          </w:p>
        </w:tc>
      </w:tr>
      <w:tr w14:paraId="081433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7D785BCA">
            <w:pPr>
              <w:shd w:val="clear" w:color="auto" w:fill="auto"/>
              <w:jc w:val="center"/>
              <w:rPr>
                <w:rFonts w:hint="eastAsia"/>
                <w:color w:val="auto"/>
                <w:highlight w:val="none"/>
              </w:rPr>
            </w:pPr>
          </w:p>
        </w:tc>
        <w:tc>
          <w:tcPr>
            <w:tcW w:w="2412" w:type="dxa"/>
            <w:tcBorders>
              <w:top w:val="single" w:color="auto" w:sz="4" w:space="0"/>
              <w:left w:val="single" w:color="auto" w:sz="4" w:space="0"/>
              <w:bottom w:val="single" w:color="auto" w:sz="4" w:space="0"/>
              <w:right w:val="single" w:color="auto" w:sz="4" w:space="0"/>
            </w:tcBorders>
            <w:noWrap w:val="0"/>
            <w:vAlign w:val="center"/>
          </w:tcPr>
          <w:p w14:paraId="521E7055">
            <w:pPr>
              <w:shd w:val="clear" w:color="auto" w:fill="auto"/>
              <w:jc w:val="center"/>
              <w:rPr>
                <w:rFonts w:hint="eastAsia"/>
                <w:color w:val="auto"/>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14:paraId="5237295E">
            <w:pPr>
              <w:shd w:val="clear" w:color="auto" w:fill="auto"/>
              <w:jc w:val="center"/>
              <w:rPr>
                <w:rFonts w:hint="eastAsia"/>
                <w:color w:val="auto"/>
                <w:highlight w:val="none"/>
              </w:rPr>
            </w:pPr>
          </w:p>
        </w:tc>
        <w:tc>
          <w:tcPr>
            <w:tcW w:w="4024" w:type="dxa"/>
            <w:tcBorders>
              <w:top w:val="single" w:color="auto" w:sz="4" w:space="0"/>
              <w:left w:val="single" w:color="auto" w:sz="4" w:space="0"/>
              <w:bottom w:val="single" w:color="auto" w:sz="4" w:space="0"/>
              <w:right w:val="single" w:color="auto" w:sz="4" w:space="0"/>
            </w:tcBorders>
            <w:noWrap w:val="0"/>
            <w:vAlign w:val="center"/>
          </w:tcPr>
          <w:p w14:paraId="0649FC1F">
            <w:pPr>
              <w:shd w:val="clear" w:color="auto" w:fill="auto"/>
              <w:jc w:val="center"/>
              <w:rPr>
                <w:rFonts w:hint="eastAsia"/>
                <w:color w:val="auto"/>
                <w:highlight w:val="none"/>
              </w:rPr>
            </w:pPr>
          </w:p>
        </w:tc>
        <w:tc>
          <w:tcPr>
            <w:tcW w:w="1256" w:type="dxa"/>
            <w:tcBorders>
              <w:top w:val="single" w:color="auto" w:sz="4" w:space="0"/>
              <w:left w:val="single" w:color="auto" w:sz="4" w:space="0"/>
              <w:bottom w:val="single" w:color="auto" w:sz="4" w:space="0"/>
              <w:right w:val="single" w:color="auto" w:sz="4" w:space="0"/>
            </w:tcBorders>
            <w:noWrap w:val="0"/>
            <w:vAlign w:val="center"/>
          </w:tcPr>
          <w:p w14:paraId="31F1813D">
            <w:pPr>
              <w:shd w:val="clear" w:color="auto" w:fill="auto"/>
              <w:jc w:val="center"/>
              <w:rPr>
                <w:rFonts w:hint="eastAsia"/>
                <w:color w:val="auto"/>
                <w:highlight w:val="none"/>
              </w:rPr>
            </w:pPr>
          </w:p>
        </w:tc>
      </w:tr>
      <w:tr w14:paraId="2B8380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3BDFB5D0">
            <w:pPr>
              <w:shd w:val="clear" w:color="auto" w:fill="auto"/>
              <w:jc w:val="center"/>
              <w:rPr>
                <w:rFonts w:hint="eastAsia"/>
                <w:color w:val="auto"/>
                <w:highlight w:val="none"/>
              </w:rPr>
            </w:pPr>
          </w:p>
        </w:tc>
        <w:tc>
          <w:tcPr>
            <w:tcW w:w="2412" w:type="dxa"/>
            <w:tcBorders>
              <w:top w:val="single" w:color="auto" w:sz="4" w:space="0"/>
              <w:left w:val="single" w:color="auto" w:sz="4" w:space="0"/>
              <w:bottom w:val="single" w:color="auto" w:sz="4" w:space="0"/>
              <w:right w:val="single" w:color="auto" w:sz="4" w:space="0"/>
            </w:tcBorders>
            <w:noWrap w:val="0"/>
            <w:vAlign w:val="center"/>
          </w:tcPr>
          <w:p w14:paraId="6204A10C">
            <w:pPr>
              <w:shd w:val="clear" w:color="auto" w:fill="auto"/>
              <w:jc w:val="center"/>
              <w:rPr>
                <w:rFonts w:hint="eastAsia"/>
                <w:color w:val="auto"/>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14:paraId="78EBD39D">
            <w:pPr>
              <w:shd w:val="clear" w:color="auto" w:fill="auto"/>
              <w:jc w:val="center"/>
              <w:rPr>
                <w:rFonts w:hint="eastAsia"/>
                <w:color w:val="auto"/>
                <w:highlight w:val="none"/>
              </w:rPr>
            </w:pPr>
          </w:p>
        </w:tc>
        <w:tc>
          <w:tcPr>
            <w:tcW w:w="4024" w:type="dxa"/>
            <w:tcBorders>
              <w:top w:val="single" w:color="auto" w:sz="4" w:space="0"/>
              <w:left w:val="single" w:color="auto" w:sz="4" w:space="0"/>
              <w:bottom w:val="single" w:color="auto" w:sz="4" w:space="0"/>
              <w:right w:val="single" w:color="auto" w:sz="4" w:space="0"/>
            </w:tcBorders>
            <w:noWrap w:val="0"/>
            <w:vAlign w:val="center"/>
          </w:tcPr>
          <w:p w14:paraId="061E6BD7">
            <w:pPr>
              <w:shd w:val="clear" w:color="auto" w:fill="auto"/>
              <w:jc w:val="center"/>
              <w:rPr>
                <w:rFonts w:hint="eastAsia"/>
                <w:color w:val="auto"/>
                <w:highlight w:val="none"/>
              </w:rPr>
            </w:pPr>
          </w:p>
        </w:tc>
        <w:tc>
          <w:tcPr>
            <w:tcW w:w="1256" w:type="dxa"/>
            <w:tcBorders>
              <w:top w:val="single" w:color="auto" w:sz="4" w:space="0"/>
              <w:left w:val="single" w:color="auto" w:sz="4" w:space="0"/>
              <w:bottom w:val="single" w:color="auto" w:sz="4" w:space="0"/>
              <w:right w:val="single" w:color="auto" w:sz="4" w:space="0"/>
            </w:tcBorders>
            <w:noWrap w:val="0"/>
            <w:vAlign w:val="center"/>
          </w:tcPr>
          <w:p w14:paraId="455B075B">
            <w:pPr>
              <w:shd w:val="clear" w:color="auto" w:fill="auto"/>
              <w:jc w:val="center"/>
              <w:rPr>
                <w:rFonts w:hint="eastAsia"/>
                <w:color w:val="auto"/>
                <w:highlight w:val="none"/>
              </w:rPr>
            </w:pPr>
          </w:p>
        </w:tc>
      </w:tr>
      <w:tr w14:paraId="5C6A41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6C157DBC">
            <w:pPr>
              <w:shd w:val="clear" w:color="auto" w:fill="auto"/>
              <w:jc w:val="center"/>
              <w:rPr>
                <w:rFonts w:hint="default" w:eastAsia="宋体"/>
                <w:color w:val="auto"/>
                <w:highlight w:val="none"/>
                <w:lang w:val="en-US" w:eastAsia="zh-CN"/>
              </w:rPr>
            </w:pPr>
            <w:r>
              <w:rPr>
                <w:rFonts w:hint="eastAsia"/>
                <w:color w:val="auto"/>
                <w:highlight w:val="none"/>
                <w:lang w:val="en-US" w:eastAsia="zh-CN"/>
              </w:rPr>
              <w:t>...</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20E0AEB7">
            <w:pPr>
              <w:shd w:val="clear" w:color="auto" w:fill="auto"/>
              <w:jc w:val="center"/>
              <w:rPr>
                <w:rFonts w:hint="default" w:eastAsia="宋体"/>
                <w:color w:val="auto"/>
                <w:highlight w:val="none"/>
                <w:lang w:val="en-US" w:eastAsia="zh-CN"/>
              </w:rPr>
            </w:pPr>
            <w:r>
              <w:rPr>
                <w:rFonts w:hint="eastAsia"/>
                <w:color w:val="auto"/>
                <w:highlight w:val="none"/>
                <w:lang w:val="en-US" w:eastAsia="zh-CN"/>
              </w:rPr>
              <w:t>...</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172D9F11">
            <w:pPr>
              <w:shd w:val="clear" w:color="auto" w:fill="auto"/>
              <w:jc w:val="center"/>
              <w:rPr>
                <w:rFonts w:hint="default" w:eastAsia="宋体"/>
                <w:color w:val="auto"/>
                <w:highlight w:val="none"/>
                <w:lang w:val="en-US" w:eastAsia="zh-CN"/>
              </w:rPr>
            </w:pPr>
            <w:r>
              <w:rPr>
                <w:rFonts w:hint="eastAsia"/>
                <w:color w:val="auto"/>
                <w:highlight w:val="none"/>
                <w:lang w:val="en-US" w:eastAsia="zh-CN"/>
              </w:rPr>
              <w:t>...</w:t>
            </w:r>
          </w:p>
        </w:tc>
        <w:tc>
          <w:tcPr>
            <w:tcW w:w="4024" w:type="dxa"/>
            <w:tcBorders>
              <w:top w:val="single" w:color="auto" w:sz="4" w:space="0"/>
              <w:left w:val="single" w:color="auto" w:sz="4" w:space="0"/>
              <w:bottom w:val="single" w:color="auto" w:sz="4" w:space="0"/>
              <w:right w:val="single" w:color="auto" w:sz="4" w:space="0"/>
            </w:tcBorders>
            <w:noWrap w:val="0"/>
            <w:vAlign w:val="center"/>
          </w:tcPr>
          <w:p w14:paraId="53C9B99D">
            <w:pPr>
              <w:shd w:val="clear" w:color="auto" w:fill="auto"/>
              <w:jc w:val="center"/>
              <w:rPr>
                <w:rFonts w:hint="default" w:eastAsia="宋体"/>
                <w:color w:val="auto"/>
                <w:highlight w:val="none"/>
                <w:lang w:val="en-US" w:eastAsia="zh-CN"/>
              </w:rPr>
            </w:pPr>
            <w:r>
              <w:rPr>
                <w:rFonts w:hint="eastAsia"/>
                <w:color w:val="auto"/>
                <w:highlight w:val="none"/>
                <w:lang w:val="en-US" w:eastAsia="zh-CN"/>
              </w:rPr>
              <w:t>...</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7B44EE1D">
            <w:pPr>
              <w:shd w:val="clear" w:color="auto" w:fill="auto"/>
              <w:jc w:val="center"/>
              <w:rPr>
                <w:rFonts w:hint="default" w:eastAsia="宋体"/>
                <w:color w:val="auto"/>
                <w:highlight w:val="none"/>
                <w:lang w:val="en-US" w:eastAsia="zh-CN"/>
              </w:rPr>
            </w:pPr>
            <w:r>
              <w:rPr>
                <w:rFonts w:hint="eastAsia"/>
                <w:color w:val="auto"/>
                <w:highlight w:val="none"/>
                <w:lang w:val="en-US" w:eastAsia="zh-CN"/>
              </w:rPr>
              <w:t>...</w:t>
            </w:r>
          </w:p>
        </w:tc>
      </w:tr>
      <w:tr w14:paraId="54715E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4420" w:type="dxa"/>
            <w:gridSpan w:val="3"/>
            <w:tcBorders>
              <w:top w:val="single" w:color="auto" w:sz="4" w:space="0"/>
              <w:left w:val="single" w:color="auto" w:sz="4" w:space="0"/>
              <w:bottom w:val="single" w:color="auto" w:sz="4" w:space="0"/>
              <w:right w:val="single" w:color="auto" w:sz="4" w:space="0"/>
            </w:tcBorders>
            <w:noWrap w:val="0"/>
            <w:vAlign w:val="center"/>
          </w:tcPr>
          <w:p w14:paraId="06EE1B99">
            <w:pPr>
              <w:shd w:val="clear" w:color="auto" w:fill="auto"/>
              <w:jc w:val="center"/>
              <w:rPr>
                <w:rFonts w:hint="eastAsia" w:eastAsia="宋体"/>
                <w:color w:val="auto"/>
                <w:highlight w:val="none"/>
                <w:lang w:val="en-US" w:eastAsia="zh-CN"/>
              </w:rPr>
            </w:pPr>
            <w:r>
              <w:rPr>
                <w:rFonts w:hint="eastAsia"/>
                <w:color w:val="auto"/>
                <w:highlight w:val="none"/>
                <w:lang w:val="en-US" w:eastAsia="zh-CN"/>
              </w:rPr>
              <w:t>合计（元）</w:t>
            </w:r>
          </w:p>
        </w:tc>
        <w:tc>
          <w:tcPr>
            <w:tcW w:w="4024" w:type="dxa"/>
            <w:tcBorders>
              <w:top w:val="single" w:color="auto" w:sz="4" w:space="0"/>
              <w:left w:val="single" w:color="auto" w:sz="4" w:space="0"/>
              <w:bottom w:val="single" w:color="auto" w:sz="4" w:space="0"/>
              <w:right w:val="single" w:color="auto" w:sz="4" w:space="0"/>
            </w:tcBorders>
            <w:noWrap w:val="0"/>
            <w:vAlign w:val="center"/>
          </w:tcPr>
          <w:p w14:paraId="3575D0D5">
            <w:pPr>
              <w:shd w:val="clear" w:color="auto" w:fill="auto"/>
              <w:jc w:val="center"/>
              <w:rPr>
                <w:rFonts w:hint="eastAsia"/>
                <w:color w:val="auto"/>
                <w:highlight w:val="none"/>
              </w:rPr>
            </w:pPr>
          </w:p>
        </w:tc>
        <w:tc>
          <w:tcPr>
            <w:tcW w:w="1256" w:type="dxa"/>
            <w:tcBorders>
              <w:top w:val="single" w:color="auto" w:sz="4" w:space="0"/>
              <w:left w:val="single" w:color="auto" w:sz="4" w:space="0"/>
              <w:bottom w:val="single" w:color="auto" w:sz="4" w:space="0"/>
              <w:right w:val="single" w:color="auto" w:sz="4" w:space="0"/>
            </w:tcBorders>
            <w:noWrap w:val="0"/>
            <w:vAlign w:val="center"/>
          </w:tcPr>
          <w:p w14:paraId="4EC3314C">
            <w:pPr>
              <w:shd w:val="clear" w:color="auto" w:fill="auto"/>
              <w:jc w:val="center"/>
              <w:rPr>
                <w:rFonts w:hint="eastAsia"/>
                <w:color w:val="auto"/>
                <w:highlight w:val="none"/>
              </w:rPr>
            </w:pPr>
          </w:p>
        </w:tc>
      </w:tr>
      <w:tr w14:paraId="29D1C3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noWrap w:val="0"/>
            <w:vAlign w:val="center"/>
          </w:tcPr>
          <w:p w14:paraId="64AC94C0">
            <w:pPr>
              <w:shd w:val="clear" w:color="auto" w:fill="auto"/>
              <w:snapToGrid w:val="0"/>
              <w:spacing w:before="50" w:after="50" w:line="360" w:lineRule="exact"/>
              <w:rPr>
                <w:rFonts w:hint="eastAsia" w:ascii="宋体" w:hAnsi="宋体"/>
                <w:color w:val="auto"/>
                <w:szCs w:val="21"/>
                <w:highlight w:val="none"/>
                <w:u w:val="single"/>
              </w:rPr>
            </w:pPr>
            <w:r>
              <w:rPr>
                <w:rFonts w:hint="eastAsia" w:hAnsi="宋体"/>
                <w:color w:val="auto"/>
                <w:highlight w:val="none"/>
              </w:rPr>
              <w:t>投标总价（</w:t>
            </w:r>
            <w:r>
              <w:rPr>
                <w:rFonts w:hint="eastAsia" w:ascii="宋体" w:hAnsi="宋体"/>
                <w:color w:val="auto"/>
                <w:szCs w:val="21"/>
                <w:highlight w:val="none"/>
              </w:rPr>
              <w:t>合计金额大写）：                               ¥</w:t>
            </w:r>
            <w:r>
              <w:rPr>
                <w:rFonts w:hint="eastAsia" w:ascii="宋体" w:hAnsi="宋体"/>
                <w:color w:val="auto"/>
                <w:szCs w:val="21"/>
                <w:highlight w:val="none"/>
                <w:u w:val="single"/>
              </w:rPr>
              <w:t xml:space="preserve">            </w:t>
            </w:r>
          </w:p>
        </w:tc>
      </w:tr>
    </w:tbl>
    <w:p w14:paraId="2E3D28C4">
      <w:pPr>
        <w:keepNext w:val="0"/>
        <w:keepLines w:val="0"/>
        <w:pageBreakBefore w:val="0"/>
        <w:kinsoku/>
        <w:overflowPunct/>
        <w:bidi w:val="0"/>
        <w:spacing w:line="360" w:lineRule="auto"/>
        <w:rPr>
          <w:rFonts w:ascii="宋体" w:hAnsi="宋体" w:cs="宋体"/>
          <w:color w:val="auto"/>
          <w:szCs w:val="21"/>
        </w:rPr>
      </w:pPr>
    </w:p>
    <w:p w14:paraId="7DA34BAA">
      <w:pPr>
        <w:keepNext w:val="0"/>
        <w:keepLines w:val="0"/>
        <w:pageBreakBefore w:val="0"/>
        <w:shd w:val="clear" w:color="auto" w:fill="auto"/>
        <w:kinsoku/>
        <w:overflowPunct/>
        <w:bidi w:val="0"/>
        <w:snapToGrid w:val="0"/>
        <w:spacing w:line="36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注:</w:t>
      </w:r>
    </w:p>
    <w:p w14:paraId="7E7AAF0D">
      <w:pPr>
        <w:keepNext w:val="0"/>
        <w:keepLines w:val="0"/>
        <w:pageBreakBefore w:val="0"/>
        <w:shd w:val="clear" w:color="auto" w:fill="auto"/>
        <w:kinsoku/>
        <w:overflowPunct/>
        <w:bidi w:val="0"/>
        <w:snapToGrid w:val="0"/>
        <w:spacing w:line="360" w:lineRule="auto"/>
        <w:ind w:firstLine="420" w:firstLineChars="200"/>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1.投标人的开标一览表必须加盖投标人电子签章并由法定代表人或者委托代理人签字或者电子签名，</w:t>
      </w:r>
      <w:r>
        <w:rPr>
          <w:rFonts w:hint="eastAsia" w:ascii="宋体" w:hAnsi="宋体" w:eastAsia="宋体" w:cs="宋体"/>
          <w:b/>
          <w:color w:val="auto"/>
          <w:sz w:val="21"/>
          <w:szCs w:val="21"/>
          <w:highlight w:val="none"/>
          <w:shd w:val="clear" w:color="auto" w:fill="auto"/>
        </w:rPr>
        <w:t>否则其投标作无效标处理</w:t>
      </w:r>
      <w:r>
        <w:rPr>
          <w:rFonts w:hint="eastAsia" w:ascii="宋体" w:hAnsi="宋体" w:eastAsia="宋体" w:cs="宋体"/>
          <w:color w:val="auto"/>
          <w:sz w:val="21"/>
          <w:szCs w:val="21"/>
          <w:highlight w:val="none"/>
          <w:shd w:val="clear" w:color="auto" w:fill="auto"/>
        </w:rPr>
        <w:t>。</w:t>
      </w:r>
    </w:p>
    <w:p w14:paraId="6ADE1036">
      <w:pPr>
        <w:keepNext w:val="0"/>
        <w:keepLines w:val="0"/>
        <w:pageBreakBefore w:val="0"/>
        <w:shd w:val="clear" w:color="auto" w:fill="auto"/>
        <w:kinsoku/>
        <w:overflowPunct/>
        <w:bidi w:val="0"/>
        <w:snapToGrid w:val="0"/>
        <w:spacing w:line="360" w:lineRule="auto"/>
        <w:ind w:firstLine="420" w:firstLineChars="200"/>
        <w:jc w:val="left"/>
        <w:rPr>
          <w:rFonts w:hint="eastAsia" w:ascii="宋体" w:hAnsi="宋体" w:eastAsia="宋体" w:cs="宋体"/>
          <w:b/>
          <w:color w:val="auto"/>
          <w:sz w:val="21"/>
          <w:szCs w:val="21"/>
          <w:highlight w:val="none"/>
          <w:shd w:val="clear" w:color="auto" w:fill="auto"/>
        </w:rPr>
      </w:pPr>
      <w:r>
        <w:rPr>
          <w:rFonts w:hint="eastAsia" w:ascii="宋体" w:hAnsi="宋体" w:eastAsia="宋体" w:cs="宋体"/>
          <w:bCs/>
          <w:color w:val="auto"/>
          <w:sz w:val="21"/>
          <w:szCs w:val="21"/>
          <w:highlight w:val="none"/>
          <w:shd w:val="clear" w:color="auto" w:fill="auto"/>
        </w:rPr>
        <w:t>2.</w:t>
      </w:r>
      <w:r>
        <w:rPr>
          <w:rFonts w:hint="eastAsia" w:ascii="宋体" w:hAnsi="宋体" w:eastAsia="宋体" w:cs="宋体"/>
          <w:color w:val="auto"/>
          <w:sz w:val="21"/>
          <w:szCs w:val="21"/>
          <w:highlight w:val="none"/>
          <w:shd w:val="clear" w:color="auto" w:fill="auto"/>
        </w:rPr>
        <w:t>报价一经涂改，应在涂改处加盖投标人公章或者由法定代表人或者委托代理人签字（或者电子签名）或者盖章</w:t>
      </w:r>
      <w:r>
        <w:rPr>
          <w:rFonts w:hint="eastAsia" w:ascii="宋体" w:hAnsi="宋体" w:eastAsia="宋体" w:cs="宋体"/>
          <w:b/>
          <w:color w:val="auto"/>
          <w:sz w:val="21"/>
          <w:szCs w:val="21"/>
          <w:highlight w:val="none"/>
          <w:shd w:val="clear" w:color="auto" w:fill="auto"/>
        </w:rPr>
        <w:t>，否则其投标作无效标处理。</w:t>
      </w:r>
    </w:p>
    <w:p w14:paraId="5AA80220">
      <w:pPr>
        <w:keepNext w:val="0"/>
        <w:keepLines w:val="0"/>
        <w:pageBreakBefore w:val="0"/>
        <w:shd w:val="clear" w:color="auto" w:fill="auto"/>
        <w:kinsoku/>
        <w:overflowPunct/>
        <w:bidi w:val="0"/>
        <w:snapToGrid w:val="0"/>
        <w:spacing w:line="360" w:lineRule="auto"/>
        <w:ind w:firstLine="420" w:firstLineChars="200"/>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3.投标费用包括项目实施所需的人工费、服务费、运输费、安装调试费、获取及制作标书费、税费及其他一切费用。</w:t>
      </w:r>
    </w:p>
    <w:p w14:paraId="57A8B148">
      <w:pPr>
        <w:keepNext w:val="0"/>
        <w:keepLines w:val="0"/>
        <w:pageBreakBefore w:val="0"/>
        <w:shd w:val="clear" w:color="auto" w:fill="auto"/>
        <w:kinsoku/>
        <w:overflowPunct/>
        <w:bidi w:val="0"/>
        <w:snapToGrid w:val="0"/>
        <w:spacing w:line="360" w:lineRule="auto"/>
        <w:ind w:firstLine="420" w:firstLineChars="200"/>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4.如为联合体投标，“投标人名称”处必须列明联合体各方名称，并标注联合体牵头人名称，</w:t>
      </w:r>
      <w:r>
        <w:rPr>
          <w:rFonts w:hint="eastAsia" w:ascii="宋体" w:hAnsi="宋体" w:eastAsia="宋体" w:cs="宋体"/>
          <w:b/>
          <w:color w:val="auto"/>
          <w:sz w:val="21"/>
          <w:szCs w:val="21"/>
          <w:highlight w:val="none"/>
          <w:shd w:val="clear" w:color="auto" w:fill="auto"/>
        </w:rPr>
        <w:t>否则其投标作无效标处理。</w:t>
      </w:r>
    </w:p>
    <w:p w14:paraId="6910A159">
      <w:pPr>
        <w:keepNext w:val="0"/>
        <w:keepLines w:val="0"/>
        <w:pageBreakBefore w:val="0"/>
        <w:shd w:val="clear" w:color="auto" w:fill="auto"/>
        <w:kinsoku/>
        <w:overflowPunct/>
        <w:bidi w:val="0"/>
        <w:snapToGrid w:val="0"/>
        <w:spacing w:line="360" w:lineRule="auto"/>
        <w:ind w:firstLine="396" w:firstLineChars="200"/>
        <w:jc w:val="left"/>
        <w:rPr>
          <w:rFonts w:hint="eastAsia" w:ascii="宋体" w:hAnsi="宋体" w:eastAsia="宋体" w:cs="宋体"/>
          <w:color w:val="auto"/>
          <w:spacing w:val="-6"/>
          <w:sz w:val="21"/>
          <w:szCs w:val="21"/>
          <w:highlight w:val="none"/>
          <w:shd w:val="clear" w:color="auto" w:fill="auto"/>
        </w:rPr>
      </w:pPr>
      <w:r>
        <w:rPr>
          <w:rFonts w:hint="eastAsia" w:ascii="宋体" w:hAnsi="宋体" w:eastAsia="宋体" w:cs="宋体"/>
          <w:color w:val="auto"/>
          <w:spacing w:val="-6"/>
          <w:sz w:val="21"/>
          <w:szCs w:val="21"/>
          <w:highlight w:val="none"/>
          <w:shd w:val="clear" w:color="auto" w:fill="auto"/>
        </w:rPr>
        <w:t>5.如为联合体投标，盖章处须加盖联合体牵头人电子签章，</w:t>
      </w:r>
      <w:r>
        <w:rPr>
          <w:rFonts w:hint="eastAsia" w:ascii="宋体" w:hAnsi="宋体" w:eastAsia="宋体" w:cs="宋体"/>
          <w:b/>
          <w:color w:val="auto"/>
          <w:spacing w:val="-6"/>
          <w:sz w:val="21"/>
          <w:szCs w:val="21"/>
          <w:highlight w:val="none"/>
          <w:shd w:val="clear" w:color="auto" w:fill="auto"/>
        </w:rPr>
        <w:t>否则其投标作无效标处理。</w:t>
      </w:r>
    </w:p>
    <w:p w14:paraId="17271909">
      <w:pPr>
        <w:keepNext w:val="0"/>
        <w:keepLines w:val="0"/>
        <w:pageBreakBefore w:val="0"/>
        <w:shd w:val="clear" w:color="auto" w:fill="auto"/>
        <w:kinsoku/>
        <w:overflowPunct/>
        <w:bidi w:val="0"/>
        <w:snapToGrid w:val="0"/>
        <w:spacing w:line="360" w:lineRule="auto"/>
        <w:ind w:firstLine="420" w:firstLineChars="200"/>
        <w:rPr>
          <w:rFonts w:hint="eastAsia" w:ascii="宋体" w:hAnsi="宋体" w:eastAsia="宋体" w:cs="宋体"/>
          <w:b/>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6.如有多分标，按分标分别提供开标一览表，</w:t>
      </w:r>
      <w:r>
        <w:rPr>
          <w:rFonts w:hint="eastAsia" w:ascii="宋体" w:hAnsi="宋体" w:eastAsia="宋体" w:cs="宋体"/>
          <w:b/>
          <w:color w:val="auto"/>
          <w:sz w:val="21"/>
          <w:szCs w:val="21"/>
          <w:highlight w:val="none"/>
          <w:shd w:val="clear" w:color="auto" w:fill="auto"/>
        </w:rPr>
        <w:t>否则投标无效。</w:t>
      </w:r>
    </w:p>
    <w:p w14:paraId="423AB50B">
      <w:pPr>
        <w:keepNext w:val="0"/>
        <w:keepLines w:val="0"/>
        <w:pageBreakBefore w:val="0"/>
        <w:shd w:val="clear" w:color="auto" w:fill="auto"/>
        <w:kinsoku/>
        <w:overflowPunct/>
        <w:bidi w:val="0"/>
        <w:snapToGrid w:val="0"/>
        <w:spacing w:line="360" w:lineRule="auto"/>
        <w:ind w:firstLine="420" w:firstLineChars="200"/>
        <w:rPr>
          <w:rFonts w:hint="default" w:ascii="宋体" w:hAnsi="宋体" w:eastAsia="宋体" w:cs="宋体"/>
          <w:b w:val="0"/>
          <w:bCs/>
          <w:color w:val="auto"/>
          <w:sz w:val="21"/>
          <w:szCs w:val="21"/>
          <w:highlight w:val="none"/>
          <w:shd w:val="clear" w:color="auto" w:fill="auto"/>
          <w:lang w:val="en-US" w:eastAsia="zh-CN"/>
        </w:rPr>
      </w:pPr>
      <w:r>
        <w:rPr>
          <w:rFonts w:hint="eastAsia" w:ascii="宋体" w:hAnsi="宋体" w:cs="宋体"/>
          <w:b w:val="0"/>
          <w:bCs/>
          <w:color w:val="auto"/>
          <w:sz w:val="21"/>
          <w:szCs w:val="21"/>
          <w:highlight w:val="none"/>
          <w:shd w:val="clear" w:color="auto" w:fill="auto"/>
          <w:lang w:val="en-US" w:eastAsia="zh-CN"/>
        </w:rPr>
        <w:t>7.以上报价应与“投标报价明细表”中的“投标总价”相一致。</w:t>
      </w:r>
    </w:p>
    <w:p w14:paraId="336F75EA">
      <w:pPr>
        <w:keepNext w:val="0"/>
        <w:keepLines w:val="0"/>
        <w:pageBreakBefore w:val="0"/>
        <w:shd w:val="clear" w:color="auto" w:fill="auto"/>
        <w:kinsoku/>
        <w:overflowPunct/>
        <w:bidi w:val="0"/>
        <w:snapToGrid w:val="0"/>
        <w:spacing w:line="360" w:lineRule="auto"/>
        <w:ind w:left="-2" w:leftChars="-1" w:right="-817" w:rightChars="-38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                                  法定代表人或者委托代理人（签字</w:t>
      </w:r>
      <w:r>
        <w:rPr>
          <w:rFonts w:hint="eastAsia" w:ascii="宋体" w:hAnsi="宋体" w:cs="宋体"/>
          <w:color w:val="auto"/>
          <w:sz w:val="21"/>
          <w:szCs w:val="21"/>
          <w:highlight w:val="none"/>
          <w:shd w:val="clear" w:color="auto" w:fill="auto"/>
          <w:lang w:val="en-US" w:eastAsia="zh-CN"/>
        </w:rPr>
        <w:t>或者</w:t>
      </w:r>
      <w:r>
        <w:rPr>
          <w:rFonts w:hint="eastAsia" w:ascii="宋体" w:hAnsi="宋体" w:eastAsia="宋体" w:cs="宋体"/>
          <w:color w:val="auto"/>
          <w:sz w:val="21"/>
          <w:szCs w:val="21"/>
          <w:highlight w:val="none"/>
          <w:shd w:val="clear" w:color="auto" w:fill="auto"/>
        </w:rPr>
        <w:t xml:space="preserve">电子签名）： </w:t>
      </w:r>
    </w:p>
    <w:p w14:paraId="0044360C">
      <w:pPr>
        <w:keepNext w:val="0"/>
        <w:keepLines w:val="0"/>
        <w:pageBreakBefore w:val="0"/>
        <w:shd w:val="clear" w:color="auto" w:fill="auto"/>
        <w:kinsoku/>
        <w:overflowPunct/>
        <w:bidi w:val="0"/>
        <w:snapToGrid w:val="0"/>
        <w:spacing w:line="360" w:lineRule="auto"/>
        <w:ind w:left="-6" w:leftChars="-15" w:right="-817" w:rightChars="-389" w:hanging="25" w:hangingChars="12"/>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                                  投标人名称（电子签章）：</w:t>
      </w:r>
    </w:p>
    <w:p w14:paraId="50D73FDD">
      <w:pPr>
        <w:keepNext w:val="0"/>
        <w:keepLines w:val="0"/>
        <w:pageBreakBefore w:val="0"/>
        <w:shd w:val="clear" w:color="auto" w:fill="auto"/>
        <w:kinsoku/>
        <w:overflowPunct/>
        <w:bidi w:val="0"/>
        <w:snapToGrid w:val="0"/>
        <w:spacing w:line="360" w:lineRule="auto"/>
        <w:ind w:left="-6" w:leftChars="-15" w:right="-817" w:rightChars="-389" w:hanging="25" w:hangingChars="12"/>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                                  日期：    年   月   日</w:t>
      </w:r>
    </w:p>
    <w:p w14:paraId="6FF027D4">
      <w:pPr>
        <w:rPr>
          <w:rFonts w:hint="eastAsia" w:ascii="宋体" w:hAnsi="宋体" w:cs="宋体"/>
          <w:color w:val="auto"/>
          <w:spacing w:val="-1"/>
          <w:sz w:val="28"/>
          <w:szCs w:val="28"/>
        </w:rPr>
      </w:pPr>
      <w:r>
        <w:rPr>
          <w:rFonts w:hint="eastAsia" w:ascii="宋体" w:hAnsi="宋体" w:cs="宋体"/>
          <w:color w:val="auto"/>
          <w:spacing w:val="-1"/>
          <w:sz w:val="28"/>
          <w:szCs w:val="28"/>
        </w:rPr>
        <w:br w:type="page"/>
      </w:r>
    </w:p>
    <w:p w14:paraId="726ABF94">
      <w:pPr>
        <w:keepNext w:val="0"/>
        <w:keepLines w:val="0"/>
        <w:pageBreakBefore w:val="0"/>
        <w:kinsoku/>
        <w:overflowPunct/>
        <w:bidi w:val="0"/>
        <w:spacing w:line="360" w:lineRule="auto"/>
        <w:rPr>
          <w:rFonts w:ascii="宋体" w:hAnsi="宋体" w:cs="宋体"/>
          <w:b/>
          <w:bCs/>
          <w:color w:val="auto"/>
          <w:sz w:val="24"/>
        </w:rPr>
      </w:pPr>
      <w:bookmarkStart w:id="166" w:name="_Toc19686838"/>
      <w:r>
        <w:rPr>
          <w:rFonts w:hint="eastAsia" w:ascii="宋体" w:hAnsi="宋体" w:cs="宋体"/>
          <w:b/>
          <w:bCs/>
          <w:color w:val="auto"/>
          <w:sz w:val="24"/>
        </w:rPr>
        <w:t>四、商务</w:t>
      </w:r>
      <w:r>
        <w:rPr>
          <w:rFonts w:hint="eastAsia" w:ascii="宋体" w:hAnsi="宋体" w:cs="宋体"/>
          <w:b/>
          <w:bCs/>
          <w:color w:val="auto"/>
          <w:sz w:val="24"/>
          <w:lang w:val="en-US" w:eastAsia="zh-CN"/>
        </w:rPr>
        <w:t>及技术</w:t>
      </w:r>
      <w:r>
        <w:rPr>
          <w:rFonts w:hint="eastAsia" w:ascii="宋体" w:hAnsi="宋体" w:cs="宋体"/>
          <w:b/>
          <w:bCs/>
          <w:color w:val="auto"/>
          <w:sz w:val="24"/>
        </w:rPr>
        <w:t>文件格式</w:t>
      </w:r>
      <w:bookmarkEnd w:id="166"/>
    </w:p>
    <w:p w14:paraId="4C46E375">
      <w:pPr>
        <w:keepNext w:val="0"/>
        <w:keepLines w:val="0"/>
        <w:pageBreakBefore w:val="0"/>
        <w:kinsoku/>
        <w:overflowPunct/>
        <w:bidi w:val="0"/>
        <w:snapToGrid w:val="0"/>
        <w:spacing w:before="120" w:beforeLines="50" w:after="50" w:line="360" w:lineRule="auto"/>
        <w:jc w:val="left"/>
        <w:rPr>
          <w:rFonts w:hint="eastAsia" w:ascii="宋体" w:hAnsi="宋体" w:eastAsia="宋体" w:cs="宋体"/>
          <w:bCs/>
          <w:color w:val="auto"/>
          <w:sz w:val="32"/>
          <w:szCs w:val="20"/>
          <w:lang w:eastAsia="zh-CN"/>
        </w:rPr>
      </w:pPr>
      <w:r>
        <w:rPr>
          <w:rFonts w:hint="eastAsia" w:ascii="宋体" w:hAnsi="宋体" w:cs="宋体"/>
          <w:b/>
          <w:color w:val="auto"/>
          <w:sz w:val="24"/>
        </w:rPr>
        <w:t>1.商务</w:t>
      </w:r>
      <w:r>
        <w:rPr>
          <w:rFonts w:hint="eastAsia" w:ascii="宋体" w:hAnsi="宋体" w:cs="宋体"/>
          <w:b/>
          <w:color w:val="auto"/>
          <w:sz w:val="24"/>
          <w:lang w:val="en-US" w:eastAsia="zh-CN"/>
        </w:rPr>
        <w:t>及技术</w:t>
      </w:r>
      <w:r>
        <w:rPr>
          <w:rFonts w:hint="eastAsia" w:ascii="宋体" w:hAnsi="宋体" w:cs="宋体"/>
          <w:b/>
          <w:color w:val="auto"/>
          <w:sz w:val="24"/>
        </w:rPr>
        <w:t xml:space="preserve">文件封面格式： </w:t>
      </w:r>
    </w:p>
    <w:p w14:paraId="39EAA90C">
      <w:pPr>
        <w:keepNext w:val="0"/>
        <w:keepLines w:val="0"/>
        <w:pageBreakBefore w:val="0"/>
        <w:kinsoku/>
        <w:overflowPunct/>
        <w:bidi w:val="0"/>
        <w:snapToGrid w:val="0"/>
        <w:spacing w:before="120" w:beforeLines="50" w:after="50" w:line="360" w:lineRule="auto"/>
        <w:rPr>
          <w:rFonts w:ascii="宋体" w:hAnsi="宋体" w:cs="宋体"/>
          <w:color w:val="auto"/>
          <w:sz w:val="24"/>
          <w:szCs w:val="20"/>
        </w:rPr>
      </w:pPr>
    </w:p>
    <w:p w14:paraId="7A1B9A90">
      <w:pPr>
        <w:keepNext w:val="0"/>
        <w:keepLines w:val="0"/>
        <w:pageBreakBefore w:val="0"/>
        <w:kinsoku/>
        <w:overflowPunct/>
        <w:bidi w:val="0"/>
        <w:snapToGrid w:val="0"/>
        <w:spacing w:before="120" w:beforeLines="50" w:after="50" w:line="360" w:lineRule="auto"/>
        <w:jc w:val="center"/>
        <w:rPr>
          <w:rFonts w:hint="eastAsia" w:ascii="宋体" w:hAnsi="宋体" w:cs="宋体"/>
          <w:b/>
          <w:bCs w:val="0"/>
          <w:color w:val="auto"/>
          <w:sz w:val="32"/>
          <w:szCs w:val="32"/>
          <w:lang w:val="en-US" w:eastAsia="zh-CN"/>
        </w:rPr>
      </w:pPr>
      <w:r>
        <w:rPr>
          <w:rFonts w:hint="eastAsia" w:ascii="宋体" w:hAnsi="宋体" w:cs="宋体"/>
          <w:b/>
          <w:bCs w:val="0"/>
          <w:color w:val="auto"/>
          <w:sz w:val="32"/>
          <w:szCs w:val="32"/>
          <w:lang w:val="en-US" w:eastAsia="zh-CN"/>
        </w:rPr>
        <w:t>电子投标文件</w:t>
      </w:r>
    </w:p>
    <w:p w14:paraId="4D785135">
      <w:pPr>
        <w:keepNext w:val="0"/>
        <w:keepLines w:val="0"/>
        <w:pageBreakBefore w:val="0"/>
        <w:kinsoku/>
        <w:overflowPunct/>
        <w:bidi w:val="0"/>
        <w:snapToGrid w:val="0"/>
        <w:spacing w:before="120" w:beforeLines="50" w:after="50" w:line="360" w:lineRule="auto"/>
        <w:jc w:val="center"/>
        <w:rPr>
          <w:rFonts w:hint="eastAsia" w:ascii="宋体" w:hAnsi="宋体" w:eastAsia="宋体" w:cs="宋体"/>
          <w:bCs/>
          <w:color w:val="auto"/>
          <w:sz w:val="24"/>
          <w:szCs w:val="20"/>
          <w:lang w:eastAsia="zh-CN"/>
        </w:rPr>
      </w:pPr>
      <w:r>
        <w:rPr>
          <w:rFonts w:hint="eastAsia" w:ascii="宋体" w:hAnsi="宋体" w:cs="宋体"/>
          <w:bCs/>
          <w:color w:val="auto"/>
          <w:sz w:val="32"/>
          <w:szCs w:val="32"/>
        </w:rPr>
        <w:t>商务</w:t>
      </w:r>
      <w:r>
        <w:rPr>
          <w:rFonts w:hint="eastAsia" w:ascii="宋体" w:hAnsi="宋体" w:cs="宋体"/>
          <w:bCs/>
          <w:color w:val="auto"/>
          <w:sz w:val="32"/>
          <w:szCs w:val="32"/>
          <w:lang w:val="en-US" w:eastAsia="zh-CN"/>
        </w:rPr>
        <w:t>及技术</w:t>
      </w:r>
      <w:r>
        <w:rPr>
          <w:rFonts w:hint="eastAsia" w:ascii="宋体" w:hAnsi="宋体" w:cs="宋体"/>
          <w:bCs/>
          <w:color w:val="auto"/>
          <w:sz w:val="32"/>
          <w:szCs w:val="32"/>
        </w:rPr>
        <w:t>文件</w:t>
      </w:r>
    </w:p>
    <w:p w14:paraId="5A4570A1">
      <w:pPr>
        <w:keepNext w:val="0"/>
        <w:keepLines w:val="0"/>
        <w:pageBreakBefore w:val="0"/>
        <w:kinsoku/>
        <w:overflowPunct/>
        <w:bidi w:val="0"/>
        <w:snapToGrid w:val="0"/>
        <w:spacing w:before="120" w:beforeLines="50" w:after="50" w:line="360" w:lineRule="auto"/>
        <w:rPr>
          <w:rFonts w:ascii="宋体" w:hAnsi="宋体" w:cs="宋体"/>
          <w:bCs/>
          <w:color w:val="auto"/>
          <w:sz w:val="24"/>
          <w:szCs w:val="20"/>
        </w:rPr>
      </w:pPr>
    </w:p>
    <w:p w14:paraId="7907F42E">
      <w:pPr>
        <w:keepNext w:val="0"/>
        <w:keepLines w:val="0"/>
        <w:pageBreakBefore w:val="0"/>
        <w:kinsoku/>
        <w:overflowPunct/>
        <w:bidi w:val="0"/>
        <w:snapToGrid w:val="0"/>
        <w:spacing w:before="120" w:beforeLines="50" w:after="50" w:line="360" w:lineRule="auto"/>
        <w:ind w:firstLine="540" w:firstLineChars="225"/>
        <w:rPr>
          <w:rFonts w:ascii="宋体" w:hAnsi="宋体" w:cs="宋体"/>
          <w:bCs/>
          <w:color w:val="auto"/>
          <w:sz w:val="24"/>
        </w:rPr>
      </w:pPr>
      <w:r>
        <w:rPr>
          <w:rFonts w:hint="eastAsia" w:ascii="宋体" w:hAnsi="宋体" w:cs="宋体"/>
          <w:bCs/>
          <w:color w:val="auto"/>
          <w:sz w:val="24"/>
        </w:rPr>
        <w:t>项目名称：</w:t>
      </w:r>
    </w:p>
    <w:p w14:paraId="277D9226">
      <w:pPr>
        <w:keepNext w:val="0"/>
        <w:keepLines w:val="0"/>
        <w:pageBreakBefore w:val="0"/>
        <w:kinsoku/>
        <w:overflowPunct/>
        <w:bidi w:val="0"/>
        <w:snapToGrid w:val="0"/>
        <w:spacing w:before="120" w:beforeLines="50" w:after="50" w:line="360" w:lineRule="auto"/>
        <w:ind w:firstLine="540" w:firstLineChars="225"/>
        <w:rPr>
          <w:rFonts w:ascii="宋体" w:hAnsi="宋体" w:cs="宋体"/>
          <w:bCs/>
          <w:color w:val="auto"/>
          <w:sz w:val="24"/>
          <w:szCs w:val="20"/>
        </w:rPr>
      </w:pPr>
    </w:p>
    <w:p w14:paraId="4BFD0948">
      <w:pPr>
        <w:keepNext w:val="0"/>
        <w:keepLines w:val="0"/>
        <w:pageBreakBefore w:val="0"/>
        <w:kinsoku/>
        <w:overflowPunct/>
        <w:bidi w:val="0"/>
        <w:snapToGrid w:val="0"/>
        <w:spacing w:before="120" w:beforeLines="50" w:after="50" w:line="360" w:lineRule="auto"/>
        <w:ind w:firstLine="540" w:firstLineChars="225"/>
        <w:rPr>
          <w:rFonts w:ascii="宋体" w:hAnsi="宋体" w:cs="宋体"/>
          <w:bCs/>
          <w:color w:val="auto"/>
          <w:sz w:val="24"/>
        </w:rPr>
      </w:pPr>
      <w:r>
        <w:rPr>
          <w:rFonts w:hint="eastAsia" w:ascii="宋体" w:hAnsi="宋体" w:cs="宋体"/>
          <w:bCs/>
          <w:color w:val="auto"/>
          <w:sz w:val="24"/>
        </w:rPr>
        <w:t>项目编号：</w:t>
      </w:r>
    </w:p>
    <w:p w14:paraId="5CAB886E">
      <w:pPr>
        <w:keepNext w:val="0"/>
        <w:keepLines w:val="0"/>
        <w:pageBreakBefore w:val="0"/>
        <w:kinsoku/>
        <w:overflowPunct/>
        <w:bidi w:val="0"/>
        <w:snapToGrid w:val="0"/>
        <w:spacing w:before="120" w:beforeLines="50" w:after="50" w:line="360" w:lineRule="auto"/>
        <w:rPr>
          <w:rFonts w:ascii="宋体" w:hAnsi="宋体" w:cs="宋体"/>
          <w:bCs/>
          <w:color w:val="auto"/>
          <w:sz w:val="24"/>
          <w:szCs w:val="20"/>
        </w:rPr>
      </w:pPr>
    </w:p>
    <w:p w14:paraId="0B8ECFFC">
      <w:pPr>
        <w:pStyle w:val="8"/>
        <w:keepNext w:val="0"/>
        <w:keepLines w:val="0"/>
        <w:pageBreakBefore w:val="0"/>
        <w:kinsoku/>
        <w:overflowPunct/>
        <w:bidi w:val="0"/>
        <w:snapToGrid w:val="0"/>
        <w:spacing w:before="50" w:after="50" w:line="360" w:lineRule="auto"/>
        <w:ind w:firstLine="540" w:firstLineChars="225"/>
        <w:rPr>
          <w:rFonts w:ascii="宋体" w:hAnsi="宋体" w:cs="宋体"/>
          <w:bCs/>
          <w:color w:val="auto"/>
          <w:sz w:val="24"/>
          <w:szCs w:val="24"/>
        </w:rPr>
      </w:pPr>
      <w:r>
        <w:rPr>
          <w:rFonts w:hint="eastAsia" w:ascii="宋体" w:hAnsi="宋体" w:cs="宋体"/>
          <w:bCs/>
          <w:color w:val="auto"/>
          <w:sz w:val="24"/>
          <w:szCs w:val="24"/>
        </w:rPr>
        <w:t>投标人名称：</w:t>
      </w:r>
    </w:p>
    <w:p w14:paraId="5068AD1C">
      <w:pPr>
        <w:pStyle w:val="8"/>
        <w:keepNext w:val="0"/>
        <w:keepLines w:val="0"/>
        <w:pageBreakBefore w:val="0"/>
        <w:kinsoku/>
        <w:overflowPunct/>
        <w:bidi w:val="0"/>
        <w:snapToGrid w:val="0"/>
        <w:spacing w:before="50" w:after="50" w:line="360" w:lineRule="auto"/>
        <w:ind w:firstLine="540" w:firstLineChars="225"/>
        <w:rPr>
          <w:rFonts w:ascii="宋体" w:hAnsi="宋体" w:cs="宋体"/>
          <w:bCs/>
          <w:color w:val="auto"/>
          <w:sz w:val="24"/>
          <w:szCs w:val="24"/>
        </w:rPr>
      </w:pPr>
    </w:p>
    <w:p w14:paraId="766AD8F8">
      <w:pPr>
        <w:pStyle w:val="8"/>
        <w:keepNext w:val="0"/>
        <w:keepLines w:val="0"/>
        <w:pageBreakBefore w:val="0"/>
        <w:kinsoku/>
        <w:overflowPunct/>
        <w:bidi w:val="0"/>
        <w:snapToGrid w:val="0"/>
        <w:spacing w:before="50" w:after="50" w:line="360" w:lineRule="auto"/>
        <w:ind w:firstLine="540" w:firstLineChars="225"/>
        <w:rPr>
          <w:rFonts w:ascii="宋体" w:hAnsi="宋体" w:cs="宋体"/>
          <w:bCs/>
          <w:color w:val="auto"/>
          <w:sz w:val="24"/>
          <w:szCs w:val="24"/>
        </w:rPr>
      </w:pPr>
      <w:r>
        <w:rPr>
          <w:rFonts w:hint="eastAsia" w:ascii="宋体" w:hAnsi="宋体" w:cs="宋体"/>
          <w:bCs/>
          <w:color w:val="auto"/>
          <w:sz w:val="24"/>
          <w:szCs w:val="24"/>
        </w:rPr>
        <w:t>投标人地址：</w:t>
      </w:r>
    </w:p>
    <w:p w14:paraId="6F4AF2F5">
      <w:pPr>
        <w:pStyle w:val="8"/>
        <w:keepNext w:val="0"/>
        <w:keepLines w:val="0"/>
        <w:pageBreakBefore w:val="0"/>
        <w:kinsoku/>
        <w:overflowPunct/>
        <w:bidi w:val="0"/>
        <w:snapToGrid w:val="0"/>
        <w:spacing w:before="50" w:after="50" w:line="360" w:lineRule="auto"/>
        <w:ind w:firstLine="960" w:firstLineChars="400"/>
        <w:rPr>
          <w:rFonts w:ascii="宋体" w:hAnsi="宋体" w:cs="宋体"/>
          <w:bCs/>
          <w:color w:val="auto"/>
          <w:sz w:val="24"/>
          <w:szCs w:val="24"/>
        </w:rPr>
      </w:pPr>
    </w:p>
    <w:p w14:paraId="6FF1CDBF">
      <w:pPr>
        <w:keepNext w:val="0"/>
        <w:keepLines w:val="0"/>
        <w:pageBreakBefore w:val="0"/>
        <w:kinsoku/>
        <w:overflowPunct/>
        <w:bidi w:val="0"/>
        <w:snapToGrid w:val="0"/>
        <w:spacing w:before="120" w:beforeLines="50" w:after="50" w:line="360" w:lineRule="auto"/>
        <w:ind w:firstLine="645"/>
        <w:jc w:val="center"/>
        <w:rPr>
          <w:rFonts w:ascii="宋体" w:hAnsi="宋体" w:cs="宋体"/>
          <w:color w:val="auto"/>
          <w:sz w:val="24"/>
        </w:rPr>
      </w:pPr>
      <w:r>
        <w:rPr>
          <w:rFonts w:hint="eastAsia" w:ascii="宋体" w:hAnsi="宋体" w:cs="宋体"/>
          <w:color w:val="auto"/>
          <w:sz w:val="24"/>
        </w:rPr>
        <w:t xml:space="preserve">                        年  月  日</w:t>
      </w:r>
    </w:p>
    <w:p w14:paraId="5B72C38C">
      <w:pPr>
        <w:keepNext w:val="0"/>
        <w:keepLines w:val="0"/>
        <w:pageBreakBefore w:val="0"/>
        <w:kinsoku/>
        <w:overflowPunct/>
        <w:bidi w:val="0"/>
        <w:snapToGrid w:val="0"/>
        <w:spacing w:before="120" w:beforeLines="50" w:after="50" w:line="360" w:lineRule="auto"/>
        <w:rPr>
          <w:rFonts w:ascii="宋体" w:hAnsi="宋体" w:cs="宋体"/>
          <w:color w:val="auto"/>
          <w:sz w:val="24"/>
          <w:szCs w:val="20"/>
        </w:rPr>
      </w:pPr>
    </w:p>
    <w:p w14:paraId="67937A09">
      <w:pPr>
        <w:keepNext w:val="0"/>
        <w:keepLines w:val="0"/>
        <w:pageBreakBefore w:val="0"/>
        <w:kinsoku/>
        <w:overflowPunct/>
        <w:bidi w:val="0"/>
        <w:spacing w:line="360" w:lineRule="auto"/>
        <w:rPr>
          <w:rFonts w:ascii="宋体" w:hAnsi="宋体" w:cs="宋体"/>
          <w:color w:val="auto"/>
          <w:sz w:val="24"/>
          <w:szCs w:val="20"/>
        </w:rPr>
      </w:pPr>
      <w:r>
        <w:rPr>
          <w:rFonts w:hint="eastAsia" w:ascii="宋体" w:hAnsi="宋体" w:cs="宋体"/>
          <w:color w:val="auto"/>
          <w:sz w:val="24"/>
          <w:szCs w:val="20"/>
        </w:rPr>
        <w:br w:type="page"/>
      </w:r>
    </w:p>
    <w:p w14:paraId="78E746C9">
      <w:pPr>
        <w:keepNext w:val="0"/>
        <w:keepLines w:val="0"/>
        <w:pageBreakBefore w:val="0"/>
        <w:kinsoku/>
        <w:overflowPunct/>
        <w:bidi w:val="0"/>
        <w:spacing w:line="360" w:lineRule="auto"/>
        <w:rPr>
          <w:rFonts w:ascii="宋体" w:hAnsi="宋体" w:cs="宋体"/>
          <w:color w:val="auto"/>
          <w:sz w:val="24"/>
          <w:szCs w:val="20"/>
        </w:rPr>
      </w:pPr>
    </w:p>
    <w:p w14:paraId="7E47DCBC">
      <w:pPr>
        <w:keepNext w:val="0"/>
        <w:keepLines w:val="0"/>
        <w:pageBreakBefore w:val="0"/>
        <w:kinsoku/>
        <w:overflowPunct/>
        <w:bidi w:val="0"/>
        <w:spacing w:line="360" w:lineRule="auto"/>
        <w:rPr>
          <w:rFonts w:ascii="宋体" w:hAnsi="宋体" w:cs="宋体"/>
          <w:color w:val="auto"/>
          <w:sz w:val="24"/>
          <w:szCs w:val="20"/>
        </w:rPr>
      </w:pPr>
      <w:r>
        <w:rPr>
          <w:rFonts w:hint="eastAsia" w:ascii="宋体" w:hAnsi="宋体" w:cs="宋体"/>
          <w:color w:val="auto"/>
          <w:sz w:val="24"/>
          <w:szCs w:val="20"/>
        </w:rPr>
        <w:t>商务</w:t>
      </w:r>
      <w:r>
        <w:rPr>
          <w:rFonts w:hint="eastAsia" w:ascii="宋体" w:hAnsi="宋体" w:cs="宋体"/>
          <w:color w:val="auto"/>
          <w:sz w:val="24"/>
          <w:szCs w:val="20"/>
          <w:lang w:val="en-US" w:eastAsia="zh-CN"/>
        </w:rPr>
        <w:t>及技术</w:t>
      </w:r>
      <w:r>
        <w:rPr>
          <w:rFonts w:hint="eastAsia" w:ascii="宋体" w:hAnsi="宋体" w:cs="宋体"/>
          <w:color w:val="auto"/>
          <w:sz w:val="24"/>
          <w:szCs w:val="20"/>
        </w:rPr>
        <w:t>文件目录（根据招标文件规定及投标人提供的材料自行编写目录。）</w:t>
      </w:r>
    </w:p>
    <w:p w14:paraId="15314CED">
      <w:pPr>
        <w:keepNext w:val="0"/>
        <w:keepLines w:val="0"/>
        <w:pageBreakBefore w:val="0"/>
        <w:kinsoku/>
        <w:overflowPunct/>
        <w:bidi w:val="0"/>
        <w:spacing w:line="360" w:lineRule="auto"/>
        <w:rPr>
          <w:rFonts w:ascii="宋体" w:hAnsi="宋体" w:cs="宋体"/>
          <w:color w:val="auto"/>
          <w:sz w:val="24"/>
          <w:szCs w:val="20"/>
        </w:rPr>
      </w:pPr>
      <w:r>
        <w:rPr>
          <w:rFonts w:hint="eastAsia" w:ascii="宋体" w:hAnsi="宋体" w:cs="宋体"/>
          <w:color w:val="auto"/>
          <w:sz w:val="24"/>
          <w:szCs w:val="20"/>
        </w:rPr>
        <w:br w:type="page"/>
      </w:r>
    </w:p>
    <w:p w14:paraId="227C5126">
      <w:pPr>
        <w:keepNext w:val="0"/>
        <w:keepLines w:val="0"/>
        <w:pageBreakBefore w:val="0"/>
        <w:kinsoku/>
        <w:overflowPunct/>
        <w:bidi w:val="0"/>
        <w:snapToGrid w:val="0"/>
        <w:spacing w:before="120" w:beforeLines="50" w:after="50" w:line="360" w:lineRule="auto"/>
        <w:jc w:val="left"/>
        <w:rPr>
          <w:rFonts w:ascii="宋体" w:hAnsi="宋体" w:cs="宋体"/>
          <w:b/>
          <w:color w:val="auto"/>
          <w:sz w:val="24"/>
        </w:rPr>
      </w:pPr>
      <w:r>
        <w:rPr>
          <w:rFonts w:hint="eastAsia" w:ascii="宋体" w:hAnsi="宋体" w:cs="宋体"/>
          <w:b/>
          <w:color w:val="auto"/>
          <w:sz w:val="24"/>
        </w:rPr>
        <w:t>2.无串通竞标行为的承诺函格式</w:t>
      </w:r>
    </w:p>
    <w:p w14:paraId="6802148E">
      <w:pPr>
        <w:keepNext w:val="0"/>
        <w:keepLines w:val="0"/>
        <w:pageBreakBefore w:val="0"/>
        <w:kinsoku/>
        <w:overflowPunct/>
        <w:bidi w:val="0"/>
        <w:snapToGrid w:val="0"/>
        <w:spacing w:before="120" w:beforeLines="50" w:after="50" w:line="360" w:lineRule="auto"/>
        <w:jc w:val="center"/>
        <w:rPr>
          <w:rFonts w:ascii="宋体" w:hAnsi="宋体" w:cs="宋体"/>
          <w:b/>
          <w:color w:val="auto"/>
          <w:sz w:val="32"/>
          <w:szCs w:val="32"/>
        </w:rPr>
      </w:pPr>
      <w:r>
        <w:rPr>
          <w:rFonts w:hint="eastAsia" w:ascii="宋体" w:hAnsi="宋体" w:cs="宋体"/>
          <w:b/>
          <w:color w:val="auto"/>
          <w:sz w:val="32"/>
          <w:szCs w:val="32"/>
        </w:rPr>
        <w:t>无串通竞标行为的承诺函</w:t>
      </w:r>
    </w:p>
    <w:p w14:paraId="57FE1968">
      <w:pPr>
        <w:keepNext w:val="0"/>
        <w:keepLines w:val="0"/>
        <w:pageBreakBefore w:val="0"/>
        <w:kinsoku/>
        <w:overflowPunct/>
        <w:bidi w:val="0"/>
        <w:snapToGrid w:val="0"/>
        <w:spacing w:before="120" w:beforeLines="50" w:after="50" w:line="360" w:lineRule="auto"/>
        <w:jc w:val="left"/>
        <w:rPr>
          <w:rFonts w:ascii="宋体" w:hAnsi="宋体" w:cs="宋体"/>
          <w:b/>
          <w:color w:val="auto"/>
          <w:sz w:val="21"/>
          <w:szCs w:val="21"/>
        </w:rPr>
      </w:pPr>
      <w:r>
        <w:rPr>
          <w:rFonts w:hint="eastAsia" w:ascii="宋体" w:hAnsi="宋体" w:cs="宋体"/>
          <w:b/>
          <w:color w:val="auto"/>
          <w:sz w:val="21"/>
          <w:szCs w:val="21"/>
        </w:rPr>
        <w:t>一、我公司承诺无下列相互串通投标的情形：</w:t>
      </w:r>
    </w:p>
    <w:p w14:paraId="0813F295">
      <w:pPr>
        <w:keepNext w:val="0"/>
        <w:keepLines w:val="0"/>
        <w:pageBreakBefore w:val="0"/>
        <w:kinsoku/>
        <w:overflowPunct/>
        <w:bidi w:val="0"/>
        <w:snapToGrid w:val="0"/>
        <w:spacing w:before="120" w:beforeLines="50" w:after="50" w:line="360" w:lineRule="auto"/>
        <w:ind w:firstLine="411" w:firstLineChars="196"/>
        <w:jc w:val="left"/>
        <w:rPr>
          <w:rFonts w:ascii="宋体" w:hAnsi="宋体" w:cs="宋体"/>
          <w:color w:val="auto"/>
          <w:sz w:val="21"/>
          <w:szCs w:val="21"/>
        </w:rPr>
      </w:pPr>
      <w:r>
        <w:rPr>
          <w:rFonts w:hint="eastAsia" w:ascii="宋体" w:hAnsi="宋体" w:cs="宋体"/>
          <w:color w:val="auto"/>
          <w:sz w:val="21"/>
          <w:szCs w:val="21"/>
        </w:rPr>
        <w:t>1.不同投标人的投标文件由同一单位或者个人编制；或不同投标人报名的IP地址一致的；</w:t>
      </w:r>
    </w:p>
    <w:p w14:paraId="7EC67C98">
      <w:pPr>
        <w:keepNext w:val="0"/>
        <w:keepLines w:val="0"/>
        <w:pageBreakBefore w:val="0"/>
        <w:kinsoku/>
        <w:overflowPunct/>
        <w:bidi w:val="0"/>
        <w:snapToGrid w:val="0"/>
        <w:spacing w:before="120" w:beforeLines="50" w:after="50" w:line="360" w:lineRule="auto"/>
        <w:ind w:firstLine="411" w:firstLineChars="196"/>
        <w:jc w:val="left"/>
        <w:rPr>
          <w:rFonts w:ascii="宋体" w:hAnsi="宋体" w:cs="宋体"/>
          <w:color w:val="auto"/>
          <w:sz w:val="21"/>
          <w:szCs w:val="21"/>
        </w:rPr>
      </w:pPr>
      <w:r>
        <w:rPr>
          <w:rFonts w:hint="eastAsia" w:ascii="宋体" w:hAnsi="宋体" w:cs="宋体"/>
          <w:color w:val="auto"/>
          <w:sz w:val="21"/>
          <w:szCs w:val="21"/>
        </w:rPr>
        <w:t>2.不同投标人委托同一单位或者个人办理投标事宜；</w:t>
      </w:r>
    </w:p>
    <w:p w14:paraId="6E97C599">
      <w:pPr>
        <w:keepNext w:val="0"/>
        <w:keepLines w:val="0"/>
        <w:pageBreakBefore w:val="0"/>
        <w:kinsoku/>
        <w:overflowPunct/>
        <w:bidi w:val="0"/>
        <w:snapToGrid w:val="0"/>
        <w:spacing w:before="120" w:beforeLines="50" w:after="50" w:line="360" w:lineRule="auto"/>
        <w:ind w:firstLine="411" w:firstLineChars="196"/>
        <w:jc w:val="left"/>
        <w:rPr>
          <w:rFonts w:ascii="宋体" w:hAnsi="宋体" w:cs="宋体"/>
          <w:color w:val="auto"/>
          <w:sz w:val="21"/>
          <w:szCs w:val="21"/>
        </w:rPr>
      </w:pPr>
      <w:r>
        <w:rPr>
          <w:rFonts w:hint="eastAsia" w:ascii="宋体" w:hAnsi="宋体" w:cs="宋体"/>
          <w:color w:val="auto"/>
          <w:sz w:val="21"/>
          <w:szCs w:val="21"/>
        </w:rPr>
        <w:t>3.不同的投标人的投标文件载明的项目管理员为同一个人；</w:t>
      </w:r>
    </w:p>
    <w:p w14:paraId="30E123E5">
      <w:pPr>
        <w:keepNext w:val="0"/>
        <w:keepLines w:val="0"/>
        <w:pageBreakBefore w:val="0"/>
        <w:kinsoku/>
        <w:overflowPunct/>
        <w:bidi w:val="0"/>
        <w:snapToGrid w:val="0"/>
        <w:spacing w:before="120" w:beforeLines="50" w:after="50" w:line="360" w:lineRule="auto"/>
        <w:ind w:firstLine="411" w:firstLineChars="196"/>
        <w:jc w:val="left"/>
        <w:rPr>
          <w:rFonts w:ascii="宋体" w:hAnsi="宋体" w:cs="宋体"/>
          <w:color w:val="auto"/>
          <w:sz w:val="21"/>
          <w:szCs w:val="21"/>
        </w:rPr>
      </w:pPr>
      <w:r>
        <w:rPr>
          <w:rFonts w:hint="eastAsia" w:ascii="宋体" w:hAnsi="宋体" w:cs="宋体"/>
          <w:color w:val="auto"/>
          <w:sz w:val="21"/>
          <w:szCs w:val="21"/>
        </w:rPr>
        <w:t>4.不同投标人的投标文件异常一致或投标报价呈规律性差异；</w:t>
      </w:r>
    </w:p>
    <w:p w14:paraId="4A7518E8">
      <w:pPr>
        <w:keepNext w:val="0"/>
        <w:keepLines w:val="0"/>
        <w:pageBreakBefore w:val="0"/>
        <w:kinsoku/>
        <w:overflowPunct/>
        <w:bidi w:val="0"/>
        <w:snapToGrid w:val="0"/>
        <w:spacing w:before="120" w:beforeLines="50" w:after="50" w:line="360" w:lineRule="auto"/>
        <w:ind w:firstLine="411" w:firstLineChars="196"/>
        <w:jc w:val="left"/>
        <w:rPr>
          <w:rFonts w:ascii="宋体" w:hAnsi="宋体" w:cs="宋体"/>
          <w:color w:val="auto"/>
          <w:sz w:val="21"/>
          <w:szCs w:val="21"/>
        </w:rPr>
      </w:pPr>
      <w:r>
        <w:rPr>
          <w:rFonts w:hint="eastAsia" w:ascii="宋体" w:hAnsi="宋体" w:cs="宋体"/>
          <w:color w:val="auto"/>
          <w:sz w:val="21"/>
          <w:szCs w:val="21"/>
        </w:rPr>
        <w:t>5.不同投标人的投标文件相互混装；</w:t>
      </w:r>
    </w:p>
    <w:p w14:paraId="454D2341">
      <w:pPr>
        <w:keepNext w:val="0"/>
        <w:keepLines w:val="0"/>
        <w:pageBreakBefore w:val="0"/>
        <w:kinsoku/>
        <w:overflowPunct/>
        <w:bidi w:val="0"/>
        <w:snapToGrid w:val="0"/>
        <w:spacing w:before="120" w:beforeLines="50" w:after="50" w:line="360" w:lineRule="auto"/>
        <w:ind w:firstLine="411" w:firstLineChars="196"/>
        <w:jc w:val="left"/>
        <w:rPr>
          <w:rFonts w:ascii="宋体" w:hAnsi="宋体" w:cs="宋体"/>
          <w:color w:val="auto"/>
          <w:sz w:val="21"/>
          <w:szCs w:val="21"/>
        </w:rPr>
      </w:pPr>
      <w:r>
        <w:rPr>
          <w:rFonts w:hint="eastAsia" w:ascii="宋体" w:hAnsi="宋体" w:cs="宋体"/>
          <w:color w:val="auto"/>
          <w:sz w:val="21"/>
          <w:szCs w:val="21"/>
        </w:rPr>
        <w:t>6.不同投标人的投标保证金从同一单位或者个人账户转出。</w:t>
      </w:r>
    </w:p>
    <w:p w14:paraId="4D2B588F">
      <w:pPr>
        <w:keepNext w:val="0"/>
        <w:keepLines w:val="0"/>
        <w:pageBreakBefore w:val="0"/>
        <w:kinsoku/>
        <w:overflowPunct/>
        <w:bidi w:val="0"/>
        <w:snapToGrid w:val="0"/>
        <w:spacing w:before="120" w:beforeLines="50" w:after="50" w:line="360" w:lineRule="auto"/>
        <w:jc w:val="left"/>
        <w:rPr>
          <w:rFonts w:ascii="宋体" w:hAnsi="宋体" w:cs="宋体"/>
          <w:color w:val="auto"/>
          <w:sz w:val="21"/>
          <w:szCs w:val="21"/>
        </w:rPr>
      </w:pPr>
      <w:r>
        <w:rPr>
          <w:rFonts w:hint="eastAsia" w:ascii="宋体" w:hAnsi="宋体" w:cs="宋体"/>
          <w:b/>
          <w:color w:val="auto"/>
          <w:sz w:val="21"/>
          <w:szCs w:val="21"/>
        </w:rPr>
        <w:t>二、我公司承诺无下列恶意串通的情形：</w:t>
      </w:r>
    </w:p>
    <w:p w14:paraId="6F7665EB">
      <w:pPr>
        <w:keepNext w:val="0"/>
        <w:keepLines w:val="0"/>
        <w:pageBreakBefore w:val="0"/>
        <w:kinsoku/>
        <w:overflowPunct/>
        <w:bidi w:val="0"/>
        <w:snapToGrid w:val="0"/>
        <w:spacing w:before="120" w:beforeLines="50" w:after="50" w:line="360" w:lineRule="auto"/>
        <w:ind w:firstLine="411" w:firstLineChars="196"/>
        <w:jc w:val="left"/>
        <w:rPr>
          <w:rFonts w:ascii="宋体" w:hAnsi="宋体" w:cs="宋体"/>
          <w:color w:val="auto"/>
          <w:sz w:val="21"/>
          <w:szCs w:val="21"/>
        </w:rPr>
      </w:pPr>
      <w:r>
        <w:rPr>
          <w:rFonts w:hint="eastAsia" w:ascii="宋体" w:hAnsi="宋体" w:cs="宋体"/>
          <w:color w:val="auto"/>
          <w:sz w:val="21"/>
          <w:szCs w:val="21"/>
        </w:rPr>
        <w:t>1.</w:t>
      </w:r>
      <w:r>
        <w:rPr>
          <w:rFonts w:hint="eastAsia" w:ascii="宋体" w:hAnsi="宋体" w:cs="宋体"/>
          <w:color w:val="auto"/>
          <w:sz w:val="21"/>
          <w:szCs w:val="21"/>
          <w:lang w:eastAsia="zh-CN"/>
        </w:rPr>
        <w:t>投标人</w:t>
      </w:r>
      <w:r>
        <w:rPr>
          <w:rFonts w:hint="eastAsia" w:ascii="宋体" w:hAnsi="宋体" w:cs="宋体"/>
          <w:color w:val="auto"/>
          <w:sz w:val="21"/>
          <w:szCs w:val="21"/>
        </w:rPr>
        <w:t>直接或者间接从采购人或者采购代理机构处获得其他</w:t>
      </w:r>
      <w:r>
        <w:rPr>
          <w:rFonts w:hint="eastAsia" w:ascii="宋体" w:hAnsi="宋体" w:cs="宋体"/>
          <w:color w:val="auto"/>
          <w:sz w:val="21"/>
          <w:szCs w:val="21"/>
          <w:lang w:eastAsia="zh-CN"/>
        </w:rPr>
        <w:t>投标人</w:t>
      </w:r>
      <w:r>
        <w:rPr>
          <w:rFonts w:hint="eastAsia" w:ascii="宋体" w:hAnsi="宋体" w:cs="宋体"/>
          <w:color w:val="auto"/>
          <w:sz w:val="21"/>
          <w:szCs w:val="21"/>
        </w:rPr>
        <w:t>的相关信息并修改其投标文件或者响应文件；</w:t>
      </w:r>
    </w:p>
    <w:p w14:paraId="08B2D67E">
      <w:pPr>
        <w:keepNext w:val="0"/>
        <w:keepLines w:val="0"/>
        <w:pageBreakBefore w:val="0"/>
        <w:kinsoku/>
        <w:overflowPunct/>
        <w:bidi w:val="0"/>
        <w:snapToGrid w:val="0"/>
        <w:spacing w:before="120" w:beforeLines="50" w:after="50" w:line="360" w:lineRule="auto"/>
        <w:ind w:firstLine="411" w:firstLineChars="196"/>
        <w:jc w:val="left"/>
        <w:rPr>
          <w:rFonts w:ascii="宋体" w:hAnsi="宋体" w:cs="宋体"/>
          <w:color w:val="auto"/>
          <w:sz w:val="21"/>
          <w:szCs w:val="21"/>
        </w:rPr>
      </w:pPr>
      <w:r>
        <w:rPr>
          <w:rFonts w:hint="eastAsia" w:ascii="宋体" w:hAnsi="宋体" w:cs="宋体"/>
          <w:color w:val="auto"/>
          <w:sz w:val="21"/>
          <w:szCs w:val="21"/>
        </w:rPr>
        <w:t>2.</w:t>
      </w:r>
      <w:r>
        <w:rPr>
          <w:rFonts w:hint="eastAsia" w:ascii="宋体" w:hAnsi="宋体" w:cs="宋体"/>
          <w:color w:val="auto"/>
          <w:sz w:val="21"/>
          <w:szCs w:val="21"/>
          <w:lang w:eastAsia="zh-CN"/>
        </w:rPr>
        <w:t>投标人</w:t>
      </w:r>
      <w:r>
        <w:rPr>
          <w:rFonts w:hint="eastAsia" w:ascii="宋体" w:hAnsi="宋体" w:cs="宋体"/>
          <w:color w:val="auto"/>
          <w:sz w:val="21"/>
          <w:szCs w:val="21"/>
        </w:rPr>
        <w:t>按照采购人或者采购代理机构的授意撤换、修改投标文件或者响应文件；</w:t>
      </w:r>
    </w:p>
    <w:p w14:paraId="00297412">
      <w:pPr>
        <w:keepNext w:val="0"/>
        <w:keepLines w:val="0"/>
        <w:pageBreakBefore w:val="0"/>
        <w:kinsoku/>
        <w:overflowPunct/>
        <w:bidi w:val="0"/>
        <w:snapToGrid w:val="0"/>
        <w:spacing w:before="120" w:beforeLines="50" w:after="50" w:line="360" w:lineRule="auto"/>
        <w:ind w:firstLine="411" w:firstLineChars="196"/>
        <w:jc w:val="left"/>
        <w:rPr>
          <w:rFonts w:ascii="宋体" w:hAnsi="宋体" w:cs="宋体"/>
          <w:color w:val="auto"/>
          <w:sz w:val="21"/>
          <w:szCs w:val="21"/>
        </w:rPr>
      </w:pPr>
      <w:r>
        <w:rPr>
          <w:rFonts w:hint="eastAsia" w:ascii="宋体" w:hAnsi="宋体" w:cs="宋体"/>
          <w:color w:val="auto"/>
          <w:sz w:val="21"/>
          <w:szCs w:val="21"/>
        </w:rPr>
        <w:t>3.</w:t>
      </w:r>
      <w:r>
        <w:rPr>
          <w:rFonts w:hint="eastAsia" w:ascii="宋体" w:hAnsi="宋体" w:cs="宋体"/>
          <w:color w:val="auto"/>
          <w:sz w:val="21"/>
          <w:szCs w:val="21"/>
          <w:lang w:eastAsia="zh-CN"/>
        </w:rPr>
        <w:t>投标人</w:t>
      </w:r>
      <w:r>
        <w:rPr>
          <w:rFonts w:hint="eastAsia" w:ascii="宋体" w:hAnsi="宋体" w:cs="宋体"/>
          <w:color w:val="auto"/>
          <w:sz w:val="21"/>
          <w:szCs w:val="21"/>
        </w:rPr>
        <w:t>之间协商报价、技术方案等投标文件或者响应文件的实质性内容；</w:t>
      </w:r>
    </w:p>
    <w:p w14:paraId="743CB9F3">
      <w:pPr>
        <w:keepNext w:val="0"/>
        <w:keepLines w:val="0"/>
        <w:pageBreakBefore w:val="0"/>
        <w:kinsoku/>
        <w:overflowPunct/>
        <w:bidi w:val="0"/>
        <w:snapToGrid w:val="0"/>
        <w:spacing w:before="120" w:beforeLines="50" w:after="50" w:line="360" w:lineRule="auto"/>
        <w:ind w:firstLine="411" w:firstLineChars="196"/>
        <w:jc w:val="left"/>
        <w:rPr>
          <w:rFonts w:ascii="宋体" w:hAnsi="宋体" w:cs="宋体"/>
          <w:color w:val="auto"/>
          <w:sz w:val="21"/>
          <w:szCs w:val="21"/>
        </w:rPr>
      </w:pPr>
      <w:r>
        <w:rPr>
          <w:rFonts w:hint="eastAsia" w:ascii="宋体" w:hAnsi="宋体" w:cs="宋体"/>
          <w:color w:val="auto"/>
          <w:sz w:val="21"/>
          <w:szCs w:val="21"/>
        </w:rPr>
        <w:t>4.属于同一集团、协会、商会等组织成员的</w:t>
      </w:r>
      <w:r>
        <w:rPr>
          <w:rFonts w:hint="eastAsia" w:ascii="宋体" w:hAnsi="宋体" w:cs="宋体"/>
          <w:color w:val="auto"/>
          <w:sz w:val="21"/>
          <w:szCs w:val="21"/>
          <w:lang w:eastAsia="zh-CN"/>
        </w:rPr>
        <w:t>投标人</w:t>
      </w:r>
      <w:r>
        <w:rPr>
          <w:rFonts w:hint="eastAsia" w:ascii="宋体" w:hAnsi="宋体" w:cs="宋体"/>
          <w:color w:val="auto"/>
          <w:sz w:val="21"/>
          <w:szCs w:val="21"/>
        </w:rPr>
        <w:t>按照该组织要求协同参加政府采购活动；</w:t>
      </w:r>
    </w:p>
    <w:p w14:paraId="763B724D">
      <w:pPr>
        <w:keepNext w:val="0"/>
        <w:keepLines w:val="0"/>
        <w:pageBreakBefore w:val="0"/>
        <w:kinsoku/>
        <w:overflowPunct/>
        <w:bidi w:val="0"/>
        <w:snapToGrid w:val="0"/>
        <w:spacing w:before="120" w:beforeLines="50" w:after="50" w:line="360" w:lineRule="auto"/>
        <w:ind w:firstLine="411" w:firstLineChars="196"/>
        <w:jc w:val="left"/>
        <w:rPr>
          <w:rFonts w:ascii="宋体" w:hAnsi="宋体" w:cs="宋体"/>
          <w:color w:val="auto"/>
          <w:sz w:val="21"/>
          <w:szCs w:val="21"/>
        </w:rPr>
      </w:pPr>
      <w:r>
        <w:rPr>
          <w:rFonts w:hint="eastAsia" w:ascii="宋体" w:hAnsi="宋体" w:cs="宋体"/>
          <w:color w:val="auto"/>
          <w:sz w:val="21"/>
          <w:szCs w:val="21"/>
        </w:rPr>
        <w:t>5.</w:t>
      </w:r>
      <w:r>
        <w:rPr>
          <w:rFonts w:hint="eastAsia" w:ascii="宋体" w:hAnsi="宋体" w:cs="宋体"/>
          <w:color w:val="auto"/>
          <w:sz w:val="21"/>
          <w:szCs w:val="21"/>
          <w:lang w:eastAsia="zh-CN"/>
        </w:rPr>
        <w:t>投标人</w:t>
      </w:r>
      <w:r>
        <w:rPr>
          <w:rFonts w:hint="eastAsia" w:ascii="宋体" w:hAnsi="宋体" w:cs="宋体"/>
          <w:color w:val="auto"/>
          <w:sz w:val="21"/>
          <w:szCs w:val="21"/>
        </w:rPr>
        <w:t>之间事先约定一致抬高或者压低投标报价，或者在招标项目中事先约定轮流以高价位或者低价位中标，或者事先约定由某一特定</w:t>
      </w:r>
      <w:r>
        <w:rPr>
          <w:rFonts w:hint="eastAsia" w:ascii="宋体" w:hAnsi="宋体" w:cs="宋体"/>
          <w:color w:val="auto"/>
          <w:sz w:val="21"/>
          <w:szCs w:val="21"/>
          <w:lang w:eastAsia="zh-CN"/>
        </w:rPr>
        <w:t>投标人</w:t>
      </w:r>
      <w:r>
        <w:rPr>
          <w:rFonts w:hint="eastAsia" w:ascii="宋体" w:hAnsi="宋体" w:cs="宋体"/>
          <w:color w:val="auto"/>
          <w:sz w:val="21"/>
          <w:szCs w:val="21"/>
        </w:rPr>
        <w:t>中标，然后再参加投标；</w:t>
      </w:r>
    </w:p>
    <w:p w14:paraId="1710C227">
      <w:pPr>
        <w:keepNext w:val="0"/>
        <w:keepLines w:val="0"/>
        <w:pageBreakBefore w:val="0"/>
        <w:kinsoku/>
        <w:overflowPunct/>
        <w:bidi w:val="0"/>
        <w:snapToGrid w:val="0"/>
        <w:spacing w:before="120" w:beforeLines="50" w:after="50" w:line="360" w:lineRule="auto"/>
        <w:ind w:firstLine="411" w:firstLineChars="196"/>
        <w:jc w:val="left"/>
        <w:rPr>
          <w:rFonts w:ascii="宋体" w:hAnsi="宋体" w:cs="宋体"/>
          <w:color w:val="auto"/>
          <w:sz w:val="21"/>
          <w:szCs w:val="21"/>
        </w:rPr>
      </w:pPr>
      <w:r>
        <w:rPr>
          <w:rFonts w:hint="eastAsia" w:ascii="宋体" w:hAnsi="宋体" w:cs="宋体"/>
          <w:color w:val="auto"/>
          <w:sz w:val="21"/>
          <w:szCs w:val="21"/>
        </w:rPr>
        <w:t>6.</w:t>
      </w:r>
      <w:r>
        <w:rPr>
          <w:rFonts w:hint="eastAsia" w:ascii="宋体" w:hAnsi="宋体" w:cs="宋体"/>
          <w:color w:val="auto"/>
          <w:sz w:val="21"/>
          <w:szCs w:val="21"/>
          <w:lang w:eastAsia="zh-CN"/>
        </w:rPr>
        <w:t>投标人</w:t>
      </w:r>
      <w:r>
        <w:rPr>
          <w:rFonts w:hint="eastAsia" w:ascii="宋体" w:hAnsi="宋体" w:cs="宋体"/>
          <w:color w:val="auto"/>
          <w:sz w:val="21"/>
          <w:szCs w:val="21"/>
        </w:rPr>
        <w:t>之间商定部分</w:t>
      </w:r>
      <w:r>
        <w:rPr>
          <w:rFonts w:hint="eastAsia" w:ascii="宋体" w:hAnsi="宋体" w:cs="宋体"/>
          <w:color w:val="auto"/>
          <w:sz w:val="21"/>
          <w:szCs w:val="21"/>
          <w:lang w:eastAsia="zh-CN"/>
        </w:rPr>
        <w:t>投标人</w:t>
      </w:r>
      <w:r>
        <w:rPr>
          <w:rFonts w:hint="eastAsia" w:ascii="宋体" w:hAnsi="宋体" w:cs="宋体"/>
          <w:color w:val="auto"/>
          <w:sz w:val="21"/>
          <w:szCs w:val="21"/>
        </w:rPr>
        <w:t>放弃参加政府采购活动或者放弃中标；</w:t>
      </w:r>
    </w:p>
    <w:p w14:paraId="4867BA45">
      <w:pPr>
        <w:keepNext w:val="0"/>
        <w:keepLines w:val="0"/>
        <w:pageBreakBefore w:val="0"/>
        <w:kinsoku/>
        <w:overflowPunct/>
        <w:bidi w:val="0"/>
        <w:snapToGrid w:val="0"/>
        <w:spacing w:before="120" w:beforeLines="50" w:after="50" w:line="360" w:lineRule="auto"/>
        <w:ind w:firstLine="411" w:firstLineChars="196"/>
        <w:jc w:val="left"/>
        <w:rPr>
          <w:rFonts w:ascii="宋体" w:hAnsi="宋体" w:cs="宋体"/>
          <w:color w:val="auto"/>
          <w:sz w:val="21"/>
          <w:szCs w:val="21"/>
        </w:rPr>
      </w:pPr>
      <w:r>
        <w:rPr>
          <w:rFonts w:hint="eastAsia" w:ascii="宋体" w:hAnsi="宋体" w:cs="宋体"/>
          <w:color w:val="auto"/>
          <w:sz w:val="21"/>
          <w:szCs w:val="21"/>
        </w:rPr>
        <w:t>7.</w:t>
      </w:r>
      <w:r>
        <w:rPr>
          <w:rFonts w:hint="eastAsia" w:ascii="宋体" w:hAnsi="宋体" w:cs="宋体"/>
          <w:color w:val="auto"/>
          <w:sz w:val="21"/>
          <w:szCs w:val="21"/>
          <w:lang w:eastAsia="zh-CN"/>
        </w:rPr>
        <w:t>投标人</w:t>
      </w:r>
      <w:r>
        <w:rPr>
          <w:rFonts w:hint="eastAsia" w:ascii="宋体" w:hAnsi="宋体" w:cs="宋体"/>
          <w:color w:val="auto"/>
          <w:sz w:val="21"/>
          <w:szCs w:val="21"/>
        </w:rPr>
        <w:t>与采购人或者采购代理机构之间、</w:t>
      </w:r>
      <w:r>
        <w:rPr>
          <w:rFonts w:hint="eastAsia" w:ascii="宋体" w:hAnsi="宋体" w:cs="宋体"/>
          <w:color w:val="auto"/>
          <w:sz w:val="21"/>
          <w:szCs w:val="21"/>
          <w:lang w:eastAsia="zh-CN"/>
        </w:rPr>
        <w:t>投标人</w:t>
      </w:r>
      <w:r>
        <w:rPr>
          <w:rFonts w:hint="eastAsia" w:ascii="宋体" w:hAnsi="宋体" w:cs="宋体"/>
          <w:color w:val="auto"/>
          <w:sz w:val="21"/>
          <w:szCs w:val="21"/>
        </w:rPr>
        <w:t>相互之间，为谋求特定</w:t>
      </w:r>
      <w:r>
        <w:rPr>
          <w:rFonts w:hint="eastAsia" w:ascii="宋体" w:hAnsi="宋体" w:cs="宋体"/>
          <w:color w:val="auto"/>
          <w:sz w:val="21"/>
          <w:szCs w:val="21"/>
          <w:lang w:eastAsia="zh-CN"/>
        </w:rPr>
        <w:t>投标人</w:t>
      </w:r>
      <w:r>
        <w:rPr>
          <w:rFonts w:hint="eastAsia" w:ascii="宋体" w:hAnsi="宋体" w:cs="宋体"/>
          <w:color w:val="auto"/>
          <w:sz w:val="21"/>
          <w:szCs w:val="21"/>
        </w:rPr>
        <w:t>中标或者排斥其他</w:t>
      </w:r>
      <w:r>
        <w:rPr>
          <w:rFonts w:hint="eastAsia" w:ascii="宋体" w:hAnsi="宋体" w:cs="宋体"/>
          <w:color w:val="auto"/>
          <w:sz w:val="21"/>
          <w:szCs w:val="21"/>
          <w:lang w:eastAsia="zh-CN"/>
        </w:rPr>
        <w:t>投标人</w:t>
      </w:r>
      <w:r>
        <w:rPr>
          <w:rFonts w:hint="eastAsia" w:ascii="宋体" w:hAnsi="宋体" w:cs="宋体"/>
          <w:color w:val="auto"/>
          <w:sz w:val="21"/>
          <w:szCs w:val="21"/>
        </w:rPr>
        <w:t>的其他串通行为。</w:t>
      </w:r>
    </w:p>
    <w:p w14:paraId="10A36DF7">
      <w:pPr>
        <w:keepNext w:val="0"/>
        <w:keepLines w:val="0"/>
        <w:pageBreakBefore w:val="0"/>
        <w:kinsoku/>
        <w:overflowPunct/>
        <w:bidi w:val="0"/>
        <w:snapToGrid w:val="0"/>
        <w:spacing w:before="120" w:beforeLines="50" w:after="50" w:line="360" w:lineRule="auto"/>
        <w:ind w:firstLine="413" w:firstLineChars="196"/>
        <w:jc w:val="left"/>
        <w:rPr>
          <w:rFonts w:ascii="宋体" w:hAnsi="宋体" w:cs="宋体"/>
          <w:b/>
          <w:color w:val="auto"/>
          <w:sz w:val="21"/>
          <w:szCs w:val="21"/>
        </w:rPr>
      </w:pPr>
      <w:r>
        <w:rPr>
          <w:rFonts w:hint="eastAsia" w:ascii="宋体" w:hAnsi="宋体" w:cs="宋体"/>
          <w:b/>
          <w:color w:val="auto"/>
          <w:sz w:val="21"/>
          <w:szCs w:val="21"/>
        </w:rPr>
        <w:t>以上情形一经核查属实，我方愿意承担一切后果，并不再寻求任何旨在减轻或免除法律责任的辩解。</w:t>
      </w:r>
    </w:p>
    <w:p w14:paraId="26E83825">
      <w:pPr>
        <w:keepNext w:val="0"/>
        <w:keepLines w:val="0"/>
        <w:pageBreakBefore w:val="0"/>
        <w:kinsoku/>
        <w:overflowPunct/>
        <w:bidi w:val="0"/>
        <w:snapToGrid w:val="0"/>
        <w:spacing w:before="120" w:beforeLines="50" w:after="50" w:line="360" w:lineRule="auto"/>
        <w:ind w:firstLine="413" w:firstLineChars="196"/>
        <w:jc w:val="left"/>
        <w:rPr>
          <w:rFonts w:hint="eastAsia" w:ascii="宋体" w:hAnsi="宋体" w:eastAsia="宋体" w:cs="宋体"/>
          <w:color w:val="auto"/>
          <w:sz w:val="21"/>
          <w:szCs w:val="21"/>
          <w:lang w:eastAsia="zh-CN"/>
        </w:rPr>
      </w:pPr>
      <w:r>
        <w:rPr>
          <w:rFonts w:hint="eastAsia" w:ascii="宋体" w:hAnsi="宋体" w:cs="宋体"/>
          <w:b/>
          <w:color w:val="auto"/>
          <w:sz w:val="21"/>
          <w:szCs w:val="21"/>
        </w:rPr>
        <w:t xml:space="preserve">                                          </w:t>
      </w:r>
      <w:r>
        <w:rPr>
          <w:rFonts w:hint="eastAsia" w:hAnsi="宋体"/>
          <w:color w:val="auto"/>
          <w:sz w:val="21"/>
          <w:szCs w:val="21"/>
          <w:highlight w:val="none"/>
          <w:shd w:val="clear" w:color="auto" w:fill="auto"/>
        </w:rPr>
        <w:t>投标人名称（电子签章）</w:t>
      </w:r>
      <w:r>
        <w:rPr>
          <w:rFonts w:hint="eastAsia" w:hAnsi="宋体"/>
          <w:color w:val="auto"/>
          <w:sz w:val="21"/>
          <w:szCs w:val="21"/>
          <w:highlight w:val="none"/>
          <w:shd w:val="clear" w:color="auto" w:fill="auto"/>
          <w:lang w:eastAsia="zh-CN"/>
        </w:rPr>
        <w:t>：</w:t>
      </w:r>
    </w:p>
    <w:p w14:paraId="662CB869">
      <w:pPr>
        <w:keepNext w:val="0"/>
        <w:keepLines w:val="0"/>
        <w:pageBreakBefore w:val="0"/>
        <w:kinsoku/>
        <w:overflowPunct/>
        <w:bidi w:val="0"/>
        <w:snapToGrid w:val="0"/>
        <w:spacing w:before="295" w:after="295" w:line="360" w:lineRule="auto"/>
        <w:rPr>
          <w:rFonts w:ascii="宋体" w:hAnsi="宋体" w:cs="宋体"/>
          <w:color w:val="auto"/>
          <w:sz w:val="24"/>
          <w:szCs w:val="21"/>
        </w:rPr>
      </w:pPr>
      <w:r>
        <w:rPr>
          <w:rFonts w:hint="eastAsia" w:ascii="宋体" w:hAnsi="宋体" w:cs="宋体"/>
          <w:color w:val="auto"/>
          <w:sz w:val="21"/>
          <w:szCs w:val="21"/>
        </w:rPr>
        <w:t xml:space="preserve">                                                </w:t>
      </w:r>
      <w:r>
        <w:rPr>
          <w:rFonts w:hint="eastAsia" w:ascii="宋体" w:hAnsi="宋体" w:cs="宋体"/>
          <w:color w:val="auto"/>
          <w:sz w:val="21"/>
          <w:szCs w:val="21"/>
          <w:u w:val="single"/>
        </w:rPr>
        <w:t xml:space="preserve">      </w:t>
      </w:r>
      <w:r>
        <w:rPr>
          <w:rFonts w:hint="eastAsia" w:ascii="宋体" w:hAnsi="宋体" w:cs="宋体"/>
          <w:color w:val="auto"/>
          <w:sz w:val="21"/>
          <w:szCs w:val="21"/>
        </w:rPr>
        <w:t>年</w:t>
      </w:r>
      <w:r>
        <w:rPr>
          <w:rFonts w:hint="eastAsia" w:ascii="宋体" w:hAnsi="宋体" w:cs="宋体"/>
          <w:color w:val="auto"/>
          <w:sz w:val="21"/>
          <w:szCs w:val="21"/>
          <w:u w:val="single"/>
        </w:rPr>
        <w:t xml:space="preserve">    </w:t>
      </w:r>
      <w:r>
        <w:rPr>
          <w:rFonts w:hint="eastAsia" w:ascii="宋体" w:hAnsi="宋体" w:cs="宋体"/>
          <w:color w:val="auto"/>
          <w:sz w:val="21"/>
          <w:szCs w:val="21"/>
        </w:rPr>
        <w:t>月</w:t>
      </w:r>
      <w:r>
        <w:rPr>
          <w:rFonts w:hint="eastAsia" w:ascii="宋体" w:hAnsi="宋体" w:cs="宋体"/>
          <w:color w:val="auto"/>
          <w:sz w:val="21"/>
          <w:szCs w:val="21"/>
          <w:u w:val="single"/>
        </w:rPr>
        <w:t xml:space="preserve">     </w:t>
      </w:r>
      <w:r>
        <w:rPr>
          <w:rFonts w:hint="eastAsia" w:ascii="宋体" w:hAnsi="宋体" w:cs="宋体"/>
          <w:color w:val="auto"/>
          <w:sz w:val="21"/>
          <w:szCs w:val="21"/>
        </w:rPr>
        <w:t>日</w:t>
      </w:r>
    </w:p>
    <w:p w14:paraId="2B873C13">
      <w:pPr>
        <w:keepNext w:val="0"/>
        <w:keepLines w:val="0"/>
        <w:pageBreakBefore w:val="0"/>
        <w:kinsoku/>
        <w:overflowPunct/>
        <w:bidi w:val="0"/>
        <w:snapToGrid w:val="0"/>
        <w:spacing w:before="50" w:after="120" w:afterLines="50" w:line="360" w:lineRule="auto"/>
        <w:jc w:val="left"/>
        <w:rPr>
          <w:rFonts w:ascii="宋体" w:hAnsi="宋体" w:cs="宋体"/>
          <w:b/>
          <w:color w:val="auto"/>
          <w:sz w:val="24"/>
          <w:szCs w:val="20"/>
        </w:rPr>
      </w:pPr>
      <w:r>
        <w:rPr>
          <w:rFonts w:hint="eastAsia" w:ascii="宋体" w:hAnsi="宋体" w:cs="宋体"/>
          <w:b/>
          <w:color w:val="auto"/>
          <w:sz w:val="24"/>
        </w:rPr>
        <w:br w:type="page"/>
      </w:r>
      <w:r>
        <w:rPr>
          <w:rFonts w:hint="eastAsia" w:ascii="宋体" w:hAnsi="宋体" w:cs="宋体"/>
          <w:b/>
          <w:color w:val="auto"/>
          <w:sz w:val="24"/>
        </w:rPr>
        <w:t>3.法定代表人身份证明</w:t>
      </w:r>
    </w:p>
    <w:p w14:paraId="781975D0">
      <w:pPr>
        <w:keepNext w:val="0"/>
        <w:keepLines w:val="0"/>
        <w:pageBreakBefore w:val="0"/>
        <w:kinsoku/>
        <w:overflowPunct/>
        <w:bidi w:val="0"/>
        <w:spacing w:before="240" w:beforeLines="100" w:after="120" w:afterLines="50" w:line="360" w:lineRule="auto"/>
        <w:ind w:left="540"/>
        <w:jc w:val="center"/>
        <w:rPr>
          <w:rFonts w:ascii="宋体" w:hAnsi="宋体" w:cs="宋体"/>
          <w:b/>
          <w:color w:val="auto"/>
          <w:sz w:val="32"/>
          <w:szCs w:val="32"/>
        </w:rPr>
      </w:pPr>
    </w:p>
    <w:p w14:paraId="4790B1BD">
      <w:pPr>
        <w:keepNext w:val="0"/>
        <w:keepLines w:val="0"/>
        <w:pageBreakBefore w:val="0"/>
        <w:kinsoku/>
        <w:overflowPunct/>
        <w:bidi w:val="0"/>
        <w:spacing w:before="240" w:beforeLines="100" w:after="120" w:afterLines="50" w:line="360" w:lineRule="auto"/>
        <w:ind w:left="540"/>
        <w:jc w:val="center"/>
        <w:rPr>
          <w:rFonts w:ascii="宋体" w:hAnsi="宋体" w:cs="宋体"/>
          <w:color w:val="auto"/>
          <w:sz w:val="24"/>
        </w:rPr>
      </w:pPr>
      <w:r>
        <w:rPr>
          <w:rFonts w:hint="eastAsia" w:ascii="宋体" w:hAnsi="宋体" w:cs="宋体"/>
          <w:b/>
          <w:color w:val="auto"/>
          <w:sz w:val="24"/>
        </w:rPr>
        <w:t>法定代表人身份证明</w:t>
      </w:r>
    </w:p>
    <w:p w14:paraId="7BA82E46">
      <w:pPr>
        <w:keepNext w:val="0"/>
        <w:keepLines w:val="0"/>
        <w:pageBreakBefore w:val="0"/>
        <w:kinsoku/>
        <w:overflowPunct/>
        <w:bidi w:val="0"/>
        <w:spacing w:line="360" w:lineRule="auto"/>
        <w:ind w:left="540"/>
        <w:rPr>
          <w:rFonts w:ascii="宋体" w:hAnsi="宋体" w:cs="宋体"/>
          <w:color w:val="auto"/>
          <w:sz w:val="24"/>
        </w:rPr>
      </w:pPr>
      <w:r>
        <w:rPr>
          <w:rFonts w:hint="eastAsia" w:ascii="宋体" w:hAnsi="宋体" w:cs="宋体"/>
          <w:color w:val="auto"/>
          <w:sz w:val="24"/>
        </w:rPr>
        <w:t>投 标 人：</w:t>
      </w:r>
      <w:r>
        <w:rPr>
          <w:rFonts w:hint="eastAsia" w:ascii="宋体" w:hAnsi="宋体" w:cs="宋体"/>
          <w:color w:val="auto"/>
          <w:sz w:val="24"/>
          <w:u w:val="single"/>
        </w:rPr>
        <w:t xml:space="preserve">                                                        </w:t>
      </w:r>
    </w:p>
    <w:p w14:paraId="4E0EAB68">
      <w:pPr>
        <w:keepNext w:val="0"/>
        <w:keepLines w:val="0"/>
        <w:pageBreakBefore w:val="0"/>
        <w:kinsoku/>
        <w:overflowPunct/>
        <w:bidi w:val="0"/>
        <w:spacing w:line="360" w:lineRule="auto"/>
        <w:ind w:left="540"/>
        <w:rPr>
          <w:rFonts w:ascii="宋体" w:hAnsi="宋体" w:cs="宋体"/>
          <w:color w:val="auto"/>
          <w:sz w:val="24"/>
        </w:rPr>
      </w:pPr>
      <w:r>
        <w:rPr>
          <w:rFonts w:hint="eastAsia" w:ascii="宋体" w:hAnsi="宋体" w:cs="宋体"/>
          <w:color w:val="auto"/>
          <w:sz w:val="24"/>
        </w:rPr>
        <w:t>地    址：</w:t>
      </w:r>
      <w:r>
        <w:rPr>
          <w:rFonts w:hint="eastAsia" w:ascii="宋体" w:hAnsi="宋体" w:cs="宋体"/>
          <w:color w:val="auto"/>
          <w:sz w:val="24"/>
          <w:u w:val="single"/>
        </w:rPr>
        <w:t xml:space="preserve">                                                        </w:t>
      </w:r>
    </w:p>
    <w:p w14:paraId="0B62B20B">
      <w:pPr>
        <w:keepNext w:val="0"/>
        <w:keepLines w:val="0"/>
        <w:pageBreakBefore w:val="0"/>
        <w:kinsoku/>
        <w:overflowPunct/>
        <w:bidi w:val="0"/>
        <w:spacing w:line="360" w:lineRule="auto"/>
        <w:ind w:left="540"/>
        <w:rPr>
          <w:rFonts w:ascii="宋体" w:hAnsi="宋体" w:cs="宋体"/>
          <w:color w:val="auto"/>
          <w:sz w:val="24"/>
        </w:rPr>
      </w:pPr>
      <w:r>
        <w:rPr>
          <w:rFonts w:hint="eastAsia" w:ascii="宋体" w:hAnsi="宋体" w:cs="宋体"/>
          <w:color w:val="auto"/>
          <w:sz w:val="24"/>
        </w:rPr>
        <w:t>姓    名：</w:t>
      </w:r>
      <w:r>
        <w:rPr>
          <w:rFonts w:hint="eastAsia" w:ascii="宋体" w:hAnsi="宋体" w:cs="宋体"/>
          <w:color w:val="auto"/>
          <w:sz w:val="24"/>
          <w:u w:val="single"/>
        </w:rPr>
        <w:t xml:space="preserve">                          </w:t>
      </w:r>
      <w:r>
        <w:rPr>
          <w:rFonts w:hint="eastAsia" w:ascii="宋体" w:hAnsi="宋体" w:cs="宋体"/>
          <w:color w:val="auto"/>
          <w:sz w:val="24"/>
        </w:rPr>
        <w:t>性      别：</w:t>
      </w:r>
      <w:r>
        <w:rPr>
          <w:rFonts w:hint="eastAsia" w:ascii="宋体" w:hAnsi="宋体" w:cs="宋体"/>
          <w:color w:val="auto"/>
          <w:sz w:val="24"/>
          <w:u w:val="single"/>
        </w:rPr>
        <w:t xml:space="preserve">                </w:t>
      </w:r>
    </w:p>
    <w:p w14:paraId="1C969894">
      <w:pPr>
        <w:keepNext w:val="0"/>
        <w:keepLines w:val="0"/>
        <w:pageBreakBefore w:val="0"/>
        <w:kinsoku/>
        <w:overflowPunct/>
        <w:bidi w:val="0"/>
        <w:spacing w:line="360" w:lineRule="auto"/>
        <w:ind w:left="540"/>
        <w:rPr>
          <w:rFonts w:ascii="宋体" w:hAnsi="宋体" w:cs="宋体"/>
          <w:color w:val="auto"/>
          <w:sz w:val="24"/>
          <w:u w:val="single"/>
        </w:rPr>
      </w:pPr>
      <w:r>
        <w:rPr>
          <w:rFonts w:hint="eastAsia" w:ascii="宋体" w:hAnsi="宋体" w:cs="宋体"/>
          <w:color w:val="auto"/>
          <w:sz w:val="24"/>
        </w:rPr>
        <w:t>年    龄：</w:t>
      </w:r>
      <w:r>
        <w:rPr>
          <w:rFonts w:hint="eastAsia" w:ascii="宋体" w:hAnsi="宋体" w:cs="宋体"/>
          <w:color w:val="auto"/>
          <w:sz w:val="24"/>
          <w:u w:val="single"/>
        </w:rPr>
        <w:t xml:space="preserve">                          </w:t>
      </w:r>
      <w:r>
        <w:rPr>
          <w:rFonts w:hint="eastAsia" w:ascii="宋体" w:hAnsi="宋体" w:cs="宋体"/>
          <w:color w:val="auto"/>
          <w:sz w:val="24"/>
        </w:rPr>
        <w:t>职      务：</w:t>
      </w:r>
      <w:r>
        <w:rPr>
          <w:rFonts w:hint="eastAsia" w:ascii="宋体" w:hAnsi="宋体" w:cs="宋体"/>
          <w:color w:val="auto"/>
          <w:sz w:val="24"/>
          <w:u w:val="single"/>
        </w:rPr>
        <w:t xml:space="preserve">                </w:t>
      </w:r>
    </w:p>
    <w:p w14:paraId="05BF1E08">
      <w:pPr>
        <w:keepNext w:val="0"/>
        <w:keepLines w:val="0"/>
        <w:pageBreakBefore w:val="0"/>
        <w:kinsoku/>
        <w:overflowPunct/>
        <w:bidi w:val="0"/>
        <w:spacing w:line="360" w:lineRule="auto"/>
        <w:ind w:left="540"/>
        <w:rPr>
          <w:rFonts w:ascii="宋体" w:hAnsi="宋体" w:cs="宋体"/>
          <w:color w:val="auto"/>
          <w:sz w:val="24"/>
        </w:rPr>
      </w:pPr>
      <w:r>
        <w:rPr>
          <w:rFonts w:hint="eastAsia" w:ascii="宋体" w:hAnsi="宋体" w:cs="宋体"/>
          <w:color w:val="auto"/>
          <w:sz w:val="24"/>
        </w:rPr>
        <w:t>身份证号码：</w:t>
      </w:r>
      <w:r>
        <w:rPr>
          <w:rFonts w:hint="eastAsia" w:ascii="宋体" w:hAnsi="宋体" w:cs="宋体"/>
          <w:color w:val="auto"/>
          <w:sz w:val="24"/>
          <w:u w:val="single"/>
        </w:rPr>
        <w:t xml:space="preserve">                                 </w:t>
      </w:r>
    </w:p>
    <w:p w14:paraId="24B196BE">
      <w:pPr>
        <w:keepNext w:val="0"/>
        <w:keepLines w:val="0"/>
        <w:pageBreakBefore w:val="0"/>
        <w:kinsoku/>
        <w:overflowPunct/>
        <w:bidi w:val="0"/>
        <w:spacing w:line="360" w:lineRule="auto"/>
        <w:ind w:left="540"/>
        <w:rPr>
          <w:rFonts w:ascii="宋体" w:hAnsi="宋体" w:cs="宋体"/>
          <w:color w:val="auto"/>
          <w:sz w:val="24"/>
        </w:rPr>
      </w:pPr>
      <w:r>
        <w:rPr>
          <w:rFonts w:hint="eastAsia" w:ascii="宋体" w:hAnsi="宋体" w:cs="宋体"/>
          <w:color w:val="auto"/>
          <w:sz w:val="24"/>
        </w:rPr>
        <w:t>系</w:t>
      </w:r>
      <w:r>
        <w:rPr>
          <w:rFonts w:hint="eastAsia" w:ascii="宋体" w:hAnsi="宋体" w:cs="宋体"/>
          <w:color w:val="auto"/>
          <w:sz w:val="24"/>
          <w:u w:val="single"/>
        </w:rPr>
        <w:t xml:space="preserve">                                                 </w:t>
      </w:r>
      <w:r>
        <w:rPr>
          <w:rFonts w:hint="eastAsia" w:ascii="宋体" w:hAnsi="宋体" w:cs="宋体"/>
          <w:color w:val="auto"/>
          <w:sz w:val="24"/>
        </w:rPr>
        <w:t>（投标人名称）的法定代表人。</w:t>
      </w:r>
    </w:p>
    <w:p w14:paraId="3E4836BB">
      <w:pPr>
        <w:keepNext w:val="0"/>
        <w:keepLines w:val="0"/>
        <w:pageBreakBefore w:val="0"/>
        <w:kinsoku/>
        <w:overflowPunct/>
        <w:bidi w:val="0"/>
        <w:spacing w:line="360" w:lineRule="auto"/>
        <w:ind w:left="540"/>
        <w:rPr>
          <w:rFonts w:ascii="宋体" w:hAnsi="宋体" w:cs="宋体"/>
          <w:color w:val="auto"/>
          <w:sz w:val="24"/>
        </w:rPr>
      </w:pPr>
      <w:r>
        <w:rPr>
          <w:rFonts w:hint="eastAsia" w:ascii="宋体" w:hAnsi="宋体" w:cs="宋体"/>
          <w:color w:val="auto"/>
          <w:sz w:val="24"/>
        </w:rPr>
        <w:t>特此证明。</w:t>
      </w:r>
    </w:p>
    <w:p w14:paraId="451B7F61">
      <w:pPr>
        <w:keepNext w:val="0"/>
        <w:keepLines w:val="0"/>
        <w:pageBreakBefore w:val="0"/>
        <w:kinsoku/>
        <w:overflowPunct/>
        <w:bidi w:val="0"/>
        <w:spacing w:line="360" w:lineRule="auto"/>
        <w:rPr>
          <w:rFonts w:ascii="宋体" w:hAnsi="宋体" w:cs="宋体"/>
          <w:color w:val="auto"/>
          <w:sz w:val="24"/>
        </w:rPr>
      </w:pPr>
    </w:p>
    <w:p w14:paraId="481982E7">
      <w:pPr>
        <w:keepNext w:val="0"/>
        <w:keepLines w:val="0"/>
        <w:pageBreakBefore w:val="0"/>
        <w:kinsoku/>
        <w:overflowPunct/>
        <w:bidi w:val="0"/>
        <w:spacing w:line="360" w:lineRule="auto"/>
        <w:ind w:left="540"/>
        <w:rPr>
          <w:rFonts w:ascii="宋体" w:hAnsi="宋体" w:cs="宋体"/>
          <w:color w:val="auto"/>
          <w:sz w:val="24"/>
        </w:rPr>
      </w:pPr>
      <w:r>
        <w:rPr>
          <w:rFonts w:hint="eastAsia" w:ascii="宋体" w:hAnsi="宋体" w:cs="宋体"/>
          <w:color w:val="auto"/>
          <w:sz w:val="24"/>
        </w:rPr>
        <w:t>附件：法定代表人有效身份证正反面复印件</w:t>
      </w:r>
    </w:p>
    <w:p w14:paraId="076B58BB">
      <w:pPr>
        <w:keepNext w:val="0"/>
        <w:keepLines w:val="0"/>
        <w:pageBreakBefore w:val="0"/>
        <w:kinsoku/>
        <w:overflowPunct/>
        <w:bidi w:val="0"/>
        <w:spacing w:line="360" w:lineRule="auto"/>
        <w:ind w:left="540"/>
        <w:rPr>
          <w:rFonts w:ascii="宋体" w:hAnsi="宋体" w:cs="宋体"/>
          <w:color w:val="auto"/>
          <w:sz w:val="24"/>
        </w:rPr>
      </w:pPr>
    </w:p>
    <w:p w14:paraId="3D9332D8">
      <w:pPr>
        <w:keepNext w:val="0"/>
        <w:keepLines w:val="0"/>
        <w:pageBreakBefore w:val="0"/>
        <w:kinsoku/>
        <w:wordWrap w:val="0"/>
        <w:overflowPunct/>
        <w:bidi w:val="0"/>
        <w:spacing w:line="360" w:lineRule="auto"/>
        <w:ind w:left="540"/>
        <w:jc w:val="right"/>
        <w:rPr>
          <w:rFonts w:ascii="宋体" w:hAnsi="宋体" w:cs="宋体"/>
          <w:color w:val="auto"/>
          <w:sz w:val="24"/>
        </w:rPr>
      </w:pPr>
      <w:r>
        <w:rPr>
          <w:rFonts w:hint="eastAsia" w:ascii="宋体" w:hAnsi="宋体" w:cs="宋体"/>
          <w:color w:val="auto"/>
          <w:sz w:val="24"/>
        </w:rPr>
        <w:t>投标人：</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color w:val="auto"/>
          <w:sz w:val="24"/>
          <w:highlight w:val="none"/>
          <w:shd w:val="clear" w:color="auto" w:fill="auto"/>
        </w:rPr>
        <w:t>电子签章</w:t>
      </w:r>
      <w:r>
        <w:rPr>
          <w:rFonts w:hint="eastAsia" w:ascii="宋体" w:hAnsi="宋体" w:cs="宋体"/>
          <w:color w:val="auto"/>
          <w:sz w:val="24"/>
        </w:rPr>
        <w:t>）</w:t>
      </w:r>
    </w:p>
    <w:p w14:paraId="71C3287D">
      <w:pPr>
        <w:keepNext w:val="0"/>
        <w:keepLines w:val="0"/>
        <w:pageBreakBefore w:val="0"/>
        <w:kinsoku/>
        <w:overflowPunct/>
        <w:bidi w:val="0"/>
        <w:spacing w:line="360" w:lineRule="auto"/>
        <w:ind w:left="540"/>
        <w:jc w:val="right"/>
        <w:rPr>
          <w:rFonts w:ascii="宋体" w:hAnsi="宋体" w:cs="宋体"/>
          <w:color w:val="auto"/>
          <w:sz w:val="24"/>
        </w:rPr>
      </w:pPr>
    </w:p>
    <w:p w14:paraId="6B579DD0">
      <w:pPr>
        <w:keepNext w:val="0"/>
        <w:keepLines w:val="0"/>
        <w:pageBreakBefore w:val="0"/>
        <w:kinsoku/>
        <w:overflowPunct/>
        <w:bidi w:val="0"/>
        <w:snapToGrid w:val="0"/>
        <w:spacing w:before="120" w:beforeLines="50" w:after="50" w:line="360" w:lineRule="auto"/>
        <w:ind w:left="540"/>
        <w:jc w:val="right"/>
        <w:rPr>
          <w:rFonts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3ACDBA50">
      <w:pPr>
        <w:keepNext w:val="0"/>
        <w:keepLines w:val="0"/>
        <w:pageBreakBefore w:val="0"/>
        <w:kinsoku/>
        <w:overflowPunct/>
        <w:bidi w:val="0"/>
        <w:snapToGrid w:val="0"/>
        <w:spacing w:before="120" w:beforeLines="50" w:after="50" w:line="360" w:lineRule="auto"/>
        <w:jc w:val="center"/>
        <w:rPr>
          <w:rFonts w:ascii="宋体" w:hAnsi="宋体" w:cs="宋体"/>
          <w:b/>
          <w:color w:val="auto"/>
          <w:sz w:val="24"/>
        </w:rPr>
      </w:pPr>
    </w:p>
    <w:p w14:paraId="35D842E7">
      <w:pPr>
        <w:keepNext w:val="0"/>
        <w:keepLines w:val="0"/>
        <w:pageBreakBefore w:val="0"/>
        <w:kinsoku/>
        <w:overflowPunct/>
        <w:bidi w:val="0"/>
        <w:snapToGrid w:val="0"/>
        <w:spacing w:before="120" w:beforeLines="50" w:after="50" w:line="360" w:lineRule="auto"/>
        <w:jc w:val="left"/>
        <w:rPr>
          <w:rFonts w:ascii="宋体" w:hAnsi="宋体" w:cs="宋体"/>
          <w:b/>
          <w:color w:val="auto"/>
          <w:sz w:val="24"/>
          <w:szCs w:val="20"/>
        </w:rPr>
      </w:pPr>
      <w:r>
        <w:rPr>
          <w:rFonts w:hint="eastAsia" w:ascii="宋体" w:hAnsi="宋体" w:cs="宋体"/>
          <w:color w:val="auto"/>
          <w:sz w:val="24"/>
        </w:rPr>
        <w:t>注：自然人投标的无需提供</w:t>
      </w:r>
    </w:p>
    <w:p w14:paraId="774E4595">
      <w:pPr>
        <w:keepNext w:val="0"/>
        <w:keepLines w:val="0"/>
        <w:pageBreakBefore w:val="0"/>
        <w:kinsoku/>
        <w:overflowPunct/>
        <w:bidi w:val="0"/>
        <w:snapToGrid w:val="0"/>
        <w:spacing w:before="120" w:beforeLines="50" w:after="50" w:line="360" w:lineRule="auto"/>
        <w:jc w:val="left"/>
        <w:rPr>
          <w:rFonts w:ascii="宋体" w:hAnsi="宋体" w:cs="宋体"/>
          <w:b/>
          <w:color w:val="auto"/>
          <w:sz w:val="44"/>
          <w:szCs w:val="44"/>
        </w:rPr>
      </w:pPr>
      <w:r>
        <w:rPr>
          <w:rFonts w:hint="eastAsia" w:ascii="宋体" w:hAnsi="宋体" w:cs="宋体"/>
          <w:b/>
          <w:color w:val="auto"/>
          <w:sz w:val="24"/>
        </w:rPr>
        <w:br w:type="page"/>
      </w:r>
      <w:r>
        <w:rPr>
          <w:rFonts w:hint="eastAsia" w:ascii="宋体" w:hAnsi="宋体" w:cs="宋体"/>
          <w:b/>
          <w:color w:val="auto"/>
          <w:sz w:val="24"/>
        </w:rPr>
        <w:t>4.法定代表人授权委托书格式</w:t>
      </w:r>
    </w:p>
    <w:p w14:paraId="7B13F3F3">
      <w:pPr>
        <w:keepNext w:val="0"/>
        <w:keepLines w:val="0"/>
        <w:pageBreakBefore w:val="0"/>
        <w:kinsoku/>
        <w:overflowPunct/>
        <w:bidi w:val="0"/>
        <w:snapToGrid w:val="0"/>
        <w:spacing w:before="120" w:beforeLines="50" w:after="50" w:line="360" w:lineRule="auto"/>
        <w:jc w:val="center"/>
        <w:rPr>
          <w:rFonts w:hint="eastAsia" w:ascii="宋体" w:hAnsi="宋体" w:cs="宋体"/>
          <w:b/>
          <w:color w:val="auto"/>
          <w:sz w:val="24"/>
        </w:rPr>
      </w:pPr>
      <w:r>
        <w:rPr>
          <w:rFonts w:hint="eastAsia" w:ascii="宋体" w:hAnsi="宋体" w:cs="宋体"/>
          <w:b/>
          <w:color w:val="auto"/>
          <w:sz w:val="24"/>
        </w:rPr>
        <w:t>法定代表人授权委托书</w:t>
      </w:r>
    </w:p>
    <w:p w14:paraId="60E0F58B">
      <w:pPr>
        <w:keepNext w:val="0"/>
        <w:keepLines w:val="0"/>
        <w:pageBreakBefore w:val="0"/>
        <w:kinsoku/>
        <w:overflowPunct/>
        <w:bidi w:val="0"/>
        <w:snapToGrid w:val="0"/>
        <w:spacing w:before="120" w:beforeLines="50" w:after="50" w:line="360" w:lineRule="auto"/>
        <w:jc w:val="center"/>
        <w:rPr>
          <w:rFonts w:hint="eastAsia" w:ascii="宋体" w:hAnsi="宋体" w:cs="宋体"/>
          <w:b/>
          <w:color w:val="auto"/>
          <w:sz w:val="24"/>
          <w:lang w:eastAsia="zh-CN"/>
        </w:rPr>
      </w:pPr>
      <w:r>
        <w:rPr>
          <w:rFonts w:hint="eastAsia" w:ascii="宋体" w:hAnsi="宋体" w:cs="宋体"/>
          <w:b/>
          <w:color w:val="auto"/>
          <w:sz w:val="24"/>
          <w:lang w:eastAsia="zh-CN"/>
        </w:rPr>
        <w:t>（</w:t>
      </w:r>
      <w:r>
        <w:rPr>
          <w:rFonts w:hint="eastAsia" w:ascii="宋体" w:hAnsi="宋体" w:cs="宋体"/>
          <w:b/>
          <w:color w:val="auto"/>
          <w:sz w:val="24"/>
          <w:lang w:val="en-US" w:eastAsia="zh-CN"/>
        </w:rPr>
        <w:t>非联合体投标格式</w:t>
      </w:r>
      <w:r>
        <w:rPr>
          <w:rFonts w:hint="eastAsia" w:ascii="宋体" w:hAnsi="宋体" w:cs="宋体"/>
          <w:b/>
          <w:color w:val="auto"/>
          <w:sz w:val="24"/>
          <w:lang w:eastAsia="zh-CN"/>
        </w:rPr>
        <w:t>）</w:t>
      </w:r>
    </w:p>
    <w:p w14:paraId="51457B2D">
      <w:pPr>
        <w:keepNext w:val="0"/>
        <w:keepLines w:val="0"/>
        <w:pageBreakBefore w:val="0"/>
        <w:kinsoku/>
        <w:overflowPunct/>
        <w:bidi w:val="0"/>
        <w:snapToGrid w:val="0"/>
        <w:spacing w:before="120" w:beforeLines="50" w:after="50" w:line="360" w:lineRule="auto"/>
        <w:jc w:val="center"/>
        <w:rPr>
          <w:rFonts w:ascii="宋体" w:hAnsi="宋体" w:cs="宋体"/>
          <w:b/>
          <w:color w:val="auto"/>
          <w:sz w:val="24"/>
        </w:rPr>
      </w:pPr>
      <w:r>
        <w:rPr>
          <w:rFonts w:hint="eastAsia" w:ascii="宋体" w:hAnsi="宋体" w:cs="宋体"/>
          <w:b/>
          <w:color w:val="auto"/>
          <w:sz w:val="24"/>
        </w:rPr>
        <w:t>（如有委托时）</w:t>
      </w:r>
    </w:p>
    <w:p w14:paraId="7D96E5A1">
      <w:pPr>
        <w:keepNext w:val="0"/>
        <w:keepLines w:val="0"/>
        <w:pageBreakBefore w:val="0"/>
        <w:kinsoku/>
        <w:overflowPunct/>
        <w:bidi w:val="0"/>
        <w:snapToGrid w:val="0"/>
        <w:spacing w:before="120" w:beforeLines="50" w:after="50" w:line="360" w:lineRule="auto"/>
        <w:rPr>
          <w:rFonts w:ascii="宋体" w:hAnsi="宋体" w:cs="宋体"/>
          <w:b/>
          <w:bCs/>
          <w:color w:val="auto"/>
          <w:sz w:val="24"/>
        </w:rPr>
      </w:pPr>
      <w:r>
        <w:rPr>
          <w:rFonts w:hint="eastAsia" w:ascii="宋体" w:hAnsi="宋体" w:cs="宋体"/>
          <w:bCs/>
          <w:color w:val="auto"/>
          <w:sz w:val="24"/>
        </w:rPr>
        <w:t>致：</w:t>
      </w:r>
      <w:r>
        <w:rPr>
          <w:rFonts w:hint="eastAsia" w:ascii="宋体" w:hAnsi="宋体" w:cs="宋体"/>
          <w:color w:val="auto"/>
          <w:sz w:val="24"/>
          <w:u w:val="single"/>
        </w:rPr>
        <w:t>采购人名称</w:t>
      </w:r>
      <w:r>
        <w:rPr>
          <w:rFonts w:hint="eastAsia" w:ascii="宋体" w:hAnsi="宋体" w:cs="宋体"/>
          <w:color w:val="auto"/>
          <w:sz w:val="24"/>
        </w:rPr>
        <w:t>：</w:t>
      </w:r>
    </w:p>
    <w:p w14:paraId="021597B3">
      <w:pPr>
        <w:keepNext w:val="0"/>
        <w:keepLines w:val="0"/>
        <w:pageBreakBefore w:val="0"/>
        <w:kinsoku/>
        <w:overflowPunct/>
        <w:bidi w:val="0"/>
        <w:snapToGrid w:val="0"/>
        <w:spacing w:before="120" w:beforeLines="50" w:after="50" w:line="360" w:lineRule="auto"/>
        <w:ind w:firstLine="566" w:firstLineChars="236"/>
        <w:rPr>
          <w:rFonts w:ascii="宋体" w:hAnsi="宋体" w:cs="宋体"/>
          <w:color w:val="auto"/>
          <w:sz w:val="24"/>
        </w:rPr>
      </w:pPr>
      <w:r>
        <w:rPr>
          <w:rFonts w:hint="eastAsia" w:ascii="宋体" w:hAnsi="宋体" w:cs="宋体"/>
          <w:color w:val="auto"/>
          <w:sz w:val="24"/>
        </w:rPr>
        <w:t>我</w:t>
      </w:r>
      <w:r>
        <w:rPr>
          <w:rFonts w:hint="eastAsia" w:ascii="宋体" w:hAnsi="宋体" w:cs="宋体"/>
          <w:color w:val="auto"/>
          <w:sz w:val="24"/>
          <w:u w:val="single"/>
        </w:rPr>
        <w:t xml:space="preserve">       </w:t>
      </w:r>
      <w:r>
        <w:rPr>
          <w:rFonts w:hint="eastAsia" w:ascii="宋体" w:hAnsi="宋体" w:cs="宋体"/>
          <w:color w:val="auto"/>
          <w:sz w:val="24"/>
        </w:rPr>
        <w:t>（姓名）系</w:t>
      </w:r>
      <w:r>
        <w:rPr>
          <w:rFonts w:hint="eastAsia" w:ascii="宋体" w:hAnsi="宋体" w:cs="宋体"/>
          <w:color w:val="auto"/>
          <w:sz w:val="24"/>
          <w:u w:val="single"/>
        </w:rPr>
        <w:t xml:space="preserve">      </w:t>
      </w:r>
      <w:r>
        <w:rPr>
          <w:rFonts w:hint="eastAsia" w:ascii="宋体" w:hAnsi="宋体" w:cs="宋体"/>
          <w:color w:val="auto"/>
          <w:sz w:val="24"/>
        </w:rPr>
        <w:t xml:space="preserve">（投标人名称）的法定代表人，现授权委托本单位在职职工 </w:t>
      </w:r>
      <w:r>
        <w:rPr>
          <w:rFonts w:hint="eastAsia" w:ascii="宋体" w:hAnsi="宋体" w:cs="宋体"/>
          <w:color w:val="auto"/>
          <w:sz w:val="24"/>
          <w:u w:val="single"/>
        </w:rPr>
        <w:t xml:space="preserve">              </w:t>
      </w:r>
      <w:r>
        <w:rPr>
          <w:rFonts w:hint="eastAsia" w:ascii="宋体" w:hAnsi="宋体" w:cs="宋体"/>
          <w:color w:val="auto"/>
          <w:sz w:val="24"/>
        </w:rPr>
        <w:t>（姓名）以我方的名义参加</w:t>
      </w:r>
      <w:r>
        <w:rPr>
          <w:rFonts w:hint="eastAsia" w:ascii="宋体" w:hAnsi="宋体" w:cs="宋体"/>
          <w:color w:val="auto"/>
          <w:sz w:val="24"/>
          <w:u w:val="single"/>
        </w:rPr>
        <w:t xml:space="preserve">              </w:t>
      </w:r>
      <w:r>
        <w:rPr>
          <w:rFonts w:hint="eastAsia" w:ascii="宋体" w:hAnsi="宋体" w:cs="宋体"/>
          <w:color w:val="auto"/>
          <w:sz w:val="24"/>
        </w:rPr>
        <w:t>项目的投标活动，并代表我方全权办理针对上述项目的投标、开标、评标、签约等具体事务和签署相关文件。</w:t>
      </w:r>
    </w:p>
    <w:p w14:paraId="576CB5F9">
      <w:pPr>
        <w:keepNext w:val="0"/>
        <w:keepLines w:val="0"/>
        <w:pageBreakBefore w:val="0"/>
        <w:kinsoku/>
        <w:overflowPunct/>
        <w:bidi w:val="0"/>
        <w:snapToGrid w:val="0"/>
        <w:spacing w:before="120" w:beforeLines="50" w:after="50" w:line="360" w:lineRule="auto"/>
        <w:rPr>
          <w:rFonts w:ascii="宋体" w:hAnsi="宋体" w:cs="宋体"/>
          <w:color w:val="auto"/>
          <w:sz w:val="24"/>
        </w:rPr>
      </w:pPr>
      <w:r>
        <w:rPr>
          <w:rFonts w:hint="eastAsia" w:ascii="宋体" w:hAnsi="宋体" w:cs="宋体"/>
          <w:color w:val="auto"/>
          <w:sz w:val="24"/>
        </w:rPr>
        <w:t xml:space="preserve">    我方对委托代理人的签字事项负全部责任。</w:t>
      </w:r>
    </w:p>
    <w:p w14:paraId="331E8D98">
      <w:pPr>
        <w:keepNext w:val="0"/>
        <w:keepLines w:val="0"/>
        <w:pageBreakBefore w:val="0"/>
        <w:kinsoku/>
        <w:overflowPunct/>
        <w:bidi w:val="0"/>
        <w:snapToGrid w:val="0"/>
        <w:spacing w:before="120" w:beforeLines="50" w:after="50" w:line="360" w:lineRule="auto"/>
        <w:ind w:firstLine="480"/>
        <w:rPr>
          <w:rFonts w:ascii="宋体" w:hAnsi="宋体" w:cs="宋体"/>
          <w:color w:val="auto"/>
          <w:sz w:val="24"/>
        </w:rPr>
      </w:pPr>
      <w:r>
        <w:rPr>
          <w:rFonts w:hint="eastAsia" w:ascii="宋体" w:hAnsi="宋体" w:cs="宋体"/>
          <w:color w:val="auto"/>
          <w:sz w:val="24"/>
          <w:u w:val="single"/>
        </w:rPr>
        <w:t>在撤销授权的书面通知以前，本授权书一直有效。</w:t>
      </w:r>
      <w:r>
        <w:rPr>
          <w:rFonts w:hint="eastAsia" w:ascii="宋体" w:hAnsi="宋体" w:cs="宋体"/>
          <w:color w:val="auto"/>
          <w:sz w:val="24"/>
        </w:rPr>
        <w:t>委托代理人在授权书有效期内签署的所有文件不因授权的撤销而失效。</w:t>
      </w:r>
    </w:p>
    <w:p w14:paraId="14C75669">
      <w:pPr>
        <w:keepNext w:val="0"/>
        <w:keepLines w:val="0"/>
        <w:pageBreakBefore w:val="0"/>
        <w:kinsoku/>
        <w:overflowPunct/>
        <w:bidi w:val="0"/>
        <w:snapToGrid w:val="0"/>
        <w:spacing w:before="120" w:beforeLines="50" w:after="50" w:line="360" w:lineRule="auto"/>
        <w:ind w:firstLine="480"/>
        <w:rPr>
          <w:rFonts w:ascii="宋体" w:hAnsi="宋体" w:cs="宋体"/>
          <w:color w:val="auto"/>
          <w:sz w:val="24"/>
        </w:rPr>
      </w:pPr>
      <w:r>
        <w:rPr>
          <w:rFonts w:hint="eastAsia" w:ascii="宋体" w:hAnsi="宋体" w:cs="宋体"/>
          <w:color w:val="auto"/>
          <w:sz w:val="24"/>
        </w:rPr>
        <w:t>委托代理人无转委托权，特此委托。</w:t>
      </w:r>
    </w:p>
    <w:p w14:paraId="2580BB12">
      <w:pPr>
        <w:keepNext w:val="0"/>
        <w:keepLines w:val="0"/>
        <w:pageBreakBefore w:val="0"/>
        <w:kinsoku/>
        <w:overflowPunct/>
        <w:bidi w:val="0"/>
        <w:snapToGrid w:val="0"/>
        <w:spacing w:before="120" w:beforeLines="50" w:after="50" w:line="360" w:lineRule="auto"/>
        <w:ind w:firstLine="480"/>
        <w:rPr>
          <w:rFonts w:ascii="宋体" w:hAnsi="宋体" w:cs="宋体"/>
          <w:color w:val="auto"/>
          <w:sz w:val="24"/>
        </w:rPr>
      </w:pPr>
      <w:r>
        <w:rPr>
          <w:rFonts w:hint="eastAsia" w:ascii="宋体" w:hAnsi="宋体" w:cs="宋体"/>
          <w:color w:val="auto"/>
          <w:sz w:val="24"/>
        </w:rPr>
        <w:t>附：法定代表人身份证明及委托代理人有效身份证正反面复印件</w:t>
      </w:r>
    </w:p>
    <w:p w14:paraId="6E758D64">
      <w:pPr>
        <w:keepNext w:val="0"/>
        <w:keepLines w:val="0"/>
        <w:pageBreakBefore w:val="0"/>
        <w:kinsoku/>
        <w:overflowPunct/>
        <w:bidi w:val="0"/>
        <w:snapToGrid w:val="0"/>
        <w:spacing w:before="120" w:beforeLines="50" w:after="50" w:line="360" w:lineRule="auto"/>
        <w:rPr>
          <w:rFonts w:ascii="宋体" w:hAnsi="宋体" w:cs="宋体"/>
          <w:color w:val="auto"/>
          <w:sz w:val="24"/>
        </w:rPr>
      </w:pPr>
    </w:p>
    <w:p w14:paraId="110DA390">
      <w:pPr>
        <w:keepNext w:val="0"/>
        <w:keepLines w:val="0"/>
        <w:pageBreakBefore w:val="0"/>
        <w:kinsoku/>
        <w:overflowPunct/>
        <w:bidi w:val="0"/>
        <w:snapToGrid w:val="0"/>
        <w:spacing w:before="120" w:beforeLines="50" w:after="50" w:line="360" w:lineRule="auto"/>
        <w:rPr>
          <w:rFonts w:ascii="宋体" w:hAnsi="宋体" w:cs="宋体"/>
          <w:color w:val="auto"/>
          <w:sz w:val="24"/>
          <w:u w:val="single"/>
        </w:rPr>
      </w:pPr>
      <w:r>
        <w:rPr>
          <w:rFonts w:hint="eastAsia" w:ascii="宋体" w:hAnsi="宋体" w:cs="宋体"/>
          <w:color w:val="auto"/>
          <w:sz w:val="24"/>
        </w:rPr>
        <w:t>委托代理人</w:t>
      </w:r>
      <w:r>
        <w:rPr>
          <w:rFonts w:hint="eastAsia" w:ascii="宋体" w:hAnsi="宋体"/>
          <w:color w:val="auto"/>
          <w:sz w:val="24"/>
          <w:highlight w:val="none"/>
          <w:shd w:val="clear" w:color="auto" w:fill="auto"/>
        </w:rPr>
        <w:t>（签字/电子签名）</w:t>
      </w:r>
      <w:r>
        <w:rPr>
          <w:rFonts w:hint="eastAsia" w:ascii="宋体" w:hAnsi="宋体" w:cs="宋体"/>
          <w:color w:val="auto"/>
          <w:sz w:val="24"/>
        </w:rPr>
        <w:t>：</w:t>
      </w:r>
      <w:r>
        <w:rPr>
          <w:rFonts w:hint="eastAsia" w:ascii="宋体" w:hAnsi="宋体" w:cs="宋体"/>
          <w:color w:val="auto"/>
          <w:sz w:val="24"/>
          <w:u w:val="single"/>
        </w:rPr>
        <w:t xml:space="preserve">              </w:t>
      </w:r>
      <w:r>
        <w:rPr>
          <w:rFonts w:hint="eastAsia" w:ascii="宋体" w:hAnsi="宋体" w:cs="宋体"/>
          <w:color w:val="auto"/>
          <w:sz w:val="24"/>
          <w:u w:val="none"/>
          <w:lang w:val="en-US" w:eastAsia="zh-CN"/>
        </w:rPr>
        <w:t xml:space="preserve">  </w:t>
      </w:r>
    </w:p>
    <w:p w14:paraId="515BAC9B">
      <w:pPr>
        <w:keepNext w:val="0"/>
        <w:keepLines w:val="0"/>
        <w:pageBreakBefore w:val="0"/>
        <w:kinsoku/>
        <w:overflowPunct/>
        <w:bidi w:val="0"/>
        <w:snapToGrid w:val="0"/>
        <w:spacing w:before="120" w:beforeLines="50" w:after="50" w:line="360" w:lineRule="auto"/>
        <w:rPr>
          <w:rFonts w:ascii="宋体" w:hAnsi="宋体" w:cs="宋体"/>
          <w:color w:val="auto"/>
          <w:sz w:val="24"/>
        </w:rPr>
      </w:pPr>
      <w:r>
        <w:rPr>
          <w:rFonts w:hint="eastAsia" w:ascii="宋体" w:hAnsi="宋体" w:cs="宋体"/>
          <w:color w:val="auto"/>
          <w:sz w:val="24"/>
        </w:rPr>
        <w:t>所在部门职务：</w:t>
      </w:r>
      <w:r>
        <w:rPr>
          <w:rFonts w:hint="eastAsia" w:ascii="宋体" w:hAnsi="宋体" w:cs="宋体"/>
          <w:color w:val="auto"/>
          <w:sz w:val="24"/>
          <w:u w:val="single"/>
        </w:rPr>
        <w:t xml:space="preserve">               </w:t>
      </w:r>
      <w:r>
        <w:rPr>
          <w:rFonts w:hint="eastAsia" w:ascii="宋体" w:hAnsi="宋体" w:cs="宋体"/>
          <w:color w:val="auto"/>
          <w:sz w:val="24"/>
        </w:rPr>
        <w:t xml:space="preserve">              </w:t>
      </w:r>
    </w:p>
    <w:p w14:paraId="011DE33D">
      <w:pPr>
        <w:keepNext w:val="0"/>
        <w:keepLines w:val="0"/>
        <w:pageBreakBefore w:val="0"/>
        <w:kinsoku/>
        <w:overflowPunct/>
        <w:bidi w:val="0"/>
        <w:snapToGrid w:val="0"/>
        <w:spacing w:before="120" w:beforeLines="50" w:after="50" w:line="360" w:lineRule="auto"/>
        <w:rPr>
          <w:rFonts w:hint="eastAsia" w:ascii="宋体" w:hAnsi="宋体" w:cs="宋体"/>
          <w:color w:val="auto"/>
          <w:sz w:val="24"/>
          <w:u w:val="none"/>
          <w:lang w:val="en-US" w:eastAsia="zh-CN"/>
        </w:rPr>
      </w:pPr>
      <w:r>
        <w:rPr>
          <w:rFonts w:hint="eastAsia" w:ascii="宋体" w:hAnsi="宋体" w:cs="宋体"/>
          <w:color w:val="auto"/>
          <w:sz w:val="24"/>
        </w:rPr>
        <w:t>委托代理人身份证号码：</w:t>
      </w:r>
      <w:r>
        <w:rPr>
          <w:rFonts w:hint="eastAsia" w:ascii="宋体" w:hAnsi="宋体" w:cs="宋体"/>
          <w:color w:val="auto"/>
          <w:sz w:val="24"/>
          <w:u w:val="single"/>
        </w:rPr>
        <w:t xml:space="preserve">                  </w:t>
      </w:r>
      <w:r>
        <w:rPr>
          <w:rFonts w:hint="eastAsia" w:ascii="宋体" w:hAnsi="宋体" w:cs="宋体"/>
          <w:color w:val="auto"/>
          <w:sz w:val="24"/>
          <w:u w:val="none"/>
          <w:lang w:val="en-US" w:eastAsia="zh-CN"/>
        </w:rPr>
        <w:t xml:space="preserve">   </w:t>
      </w:r>
    </w:p>
    <w:p w14:paraId="5B05C57D">
      <w:pPr>
        <w:keepNext w:val="0"/>
        <w:keepLines w:val="0"/>
        <w:pageBreakBefore w:val="0"/>
        <w:kinsoku/>
        <w:overflowPunct/>
        <w:bidi w:val="0"/>
        <w:snapToGrid w:val="0"/>
        <w:spacing w:before="120" w:beforeLines="50" w:after="50" w:line="360" w:lineRule="auto"/>
        <w:rPr>
          <w:rFonts w:hint="eastAsia" w:ascii="宋体" w:hAnsi="宋体" w:cs="宋体"/>
          <w:color w:val="auto"/>
          <w:sz w:val="24"/>
          <w:u w:val="none"/>
          <w:lang w:val="en-US" w:eastAsia="zh-CN"/>
        </w:rPr>
      </w:pPr>
      <w:r>
        <w:rPr>
          <w:rFonts w:hint="eastAsia" w:ascii="宋体" w:hAnsi="宋体" w:cs="宋体"/>
          <w:color w:val="auto"/>
          <w:sz w:val="24"/>
        </w:rPr>
        <w:t>法定代表人</w:t>
      </w:r>
      <w:r>
        <w:rPr>
          <w:rFonts w:hint="eastAsia" w:ascii="宋体" w:hAnsi="宋体" w:cs="宋体"/>
          <w:color w:val="auto"/>
          <w:sz w:val="24"/>
          <w:lang w:eastAsia="zh-CN"/>
        </w:rPr>
        <w:t>（</w:t>
      </w:r>
      <w:r>
        <w:rPr>
          <w:rFonts w:hint="eastAsia" w:ascii="宋体" w:hAnsi="宋体"/>
          <w:color w:val="auto"/>
          <w:sz w:val="24"/>
          <w:highlight w:val="none"/>
          <w:shd w:val="clear" w:color="auto" w:fill="auto"/>
        </w:rPr>
        <w:t>签字或者盖章或者电子签名</w:t>
      </w:r>
      <w:r>
        <w:rPr>
          <w:rFonts w:hint="eastAsia" w:ascii="宋体" w:hAnsi="宋体"/>
          <w:color w:val="auto"/>
          <w:sz w:val="24"/>
          <w:highlight w:val="none"/>
          <w:shd w:val="clear" w:color="auto" w:fill="auto"/>
          <w:lang w:eastAsia="zh-CN"/>
        </w:rPr>
        <w:t>）</w:t>
      </w:r>
      <w:r>
        <w:rPr>
          <w:rFonts w:hint="eastAsia" w:ascii="宋体" w:hAnsi="宋体" w:cs="宋体"/>
          <w:color w:val="auto"/>
          <w:sz w:val="24"/>
        </w:rPr>
        <w:t>：</w:t>
      </w:r>
      <w:r>
        <w:rPr>
          <w:rFonts w:hint="eastAsia" w:ascii="宋体" w:hAnsi="宋体" w:cs="宋体"/>
          <w:color w:val="auto"/>
          <w:sz w:val="24"/>
          <w:u w:val="single"/>
        </w:rPr>
        <w:t xml:space="preserve">              </w:t>
      </w:r>
    </w:p>
    <w:p w14:paraId="4F8DC383">
      <w:pPr>
        <w:keepNext w:val="0"/>
        <w:keepLines w:val="0"/>
        <w:pageBreakBefore w:val="0"/>
        <w:kinsoku/>
        <w:overflowPunct/>
        <w:bidi w:val="0"/>
        <w:snapToGrid w:val="0"/>
        <w:spacing w:before="120" w:beforeLines="50" w:after="50" w:line="360" w:lineRule="auto"/>
        <w:rPr>
          <w:rFonts w:hint="default" w:ascii="宋体" w:hAnsi="宋体" w:eastAsia="宋体" w:cs="宋体"/>
          <w:color w:val="auto"/>
          <w:sz w:val="24"/>
          <w:u w:val="single"/>
          <w:lang w:val="en-US" w:eastAsia="zh-CN"/>
        </w:rPr>
      </w:pPr>
      <w:r>
        <w:rPr>
          <w:rFonts w:hint="eastAsia" w:ascii="宋体" w:hAnsi="宋体" w:cs="宋体"/>
          <w:color w:val="auto"/>
          <w:sz w:val="24"/>
          <w:u w:val="none"/>
          <w:lang w:val="en-US" w:eastAsia="zh-CN"/>
        </w:rPr>
        <w:t>法定代表人身份证号码：</w:t>
      </w:r>
      <w:r>
        <w:rPr>
          <w:rFonts w:hint="eastAsia" w:ascii="宋体" w:hAnsi="宋体" w:cs="宋体"/>
          <w:color w:val="auto"/>
          <w:sz w:val="24"/>
          <w:u w:val="single"/>
          <w:lang w:val="en-US" w:eastAsia="zh-CN"/>
        </w:rPr>
        <w:t xml:space="preserve">         </w:t>
      </w:r>
    </w:p>
    <w:p w14:paraId="0AAE4F2A">
      <w:pPr>
        <w:keepNext w:val="0"/>
        <w:keepLines w:val="0"/>
        <w:pageBreakBefore w:val="0"/>
        <w:kinsoku/>
        <w:overflowPunct/>
        <w:bidi w:val="0"/>
        <w:snapToGrid w:val="0"/>
        <w:spacing w:before="120" w:beforeLines="50" w:after="50" w:line="360" w:lineRule="auto"/>
        <w:jc w:val="center"/>
        <w:rPr>
          <w:rFonts w:ascii="宋体" w:hAnsi="宋体" w:cs="宋体"/>
          <w:color w:val="auto"/>
          <w:sz w:val="24"/>
        </w:rPr>
      </w:pPr>
      <w:r>
        <w:rPr>
          <w:rFonts w:hint="eastAsia" w:ascii="宋体" w:hAnsi="宋体" w:cs="宋体"/>
          <w:color w:val="auto"/>
          <w:sz w:val="24"/>
        </w:rPr>
        <w:t xml:space="preserve">                                                投标人名称（电子签章）：</w:t>
      </w:r>
    </w:p>
    <w:p w14:paraId="6DE86740">
      <w:pPr>
        <w:keepNext w:val="0"/>
        <w:keepLines w:val="0"/>
        <w:pageBreakBefore w:val="0"/>
        <w:kinsoku/>
        <w:overflowPunct/>
        <w:bidi w:val="0"/>
        <w:snapToGrid w:val="0"/>
        <w:spacing w:before="120" w:beforeLines="50" w:after="50" w:line="360" w:lineRule="auto"/>
        <w:jc w:val="center"/>
        <w:rPr>
          <w:rFonts w:ascii="宋体" w:hAnsi="宋体" w:cs="宋体"/>
          <w:color w:val="auto"/>
          <w:sz w:val="24"/>
        </w:rPr>
      </w:pPr>
      <w:r>
        <w:rPr>
          <w:rFonts w:hint="eastAsia" w:ascii="宋体" w:hAnsi="宋体" w:cs="宋体"/>
          <w:color w:val="auto"/>
          <w:sz w:val="24"/>
        </w:rPr>
        <w:t xml:space="preserve">                                              年    月    日</w:t>
      </w:r>
    </w:p>
    <w:p w14:paraId="247F0189">
      <w:pPr>
        <w:keepNext w:val="0"/>
        <w:keepLines w:val="0"/>
        <w:pageBreakBefore w:val="0"/>
        <w:kinsoku/>
        <w:overflowPunct/>
        <w:bidi w:val="0"/>
        <w:snapToGrid w:val="0"/>
        <w:spacing w:before="50" w:after="120" w:afterLines="50" w:line="360" w:lineRule="auto"/>
        <w:jc w:val="left"/>
        <w:rPr>
          <w:rFonts w:ascii="宋体" w:hAnsi="宋体" w:cs="宋体"/>
          <w:color w:val="auto"/>
          <w:sz w:val="24"/>
        </w:rPr>
      </w:pPr>
      <w:r>
        <w:rPr>
          <w:rFonts w:hint="eastAsia" w:ascii="宋体" w:hAnsi="宋体" w:cs="宋体"/>
          <w:color w:val="auto"/>
          <w:sz w:val="24"/>
        </w:rPr>
        <w:t>注：</w:t>
      </w:r>
    </w:p>
    <w:p w14:paraId="3AEDC7A7">
      <w:pPr>
        <w:keepNext w:val="0"/>
        <w:keepLines w:val="0"/>
        <w:pageBreakBefore w:val="0"/>
        <w:kinsoku/>
        <w:overflowPunct/>
        <w:bidi w:val="0"/>
        <w:snapToGrid w:val="0"/>
        <w:spacing w:before="50" w:after="120" w:afterLines="50" w:line="360" w:lineRule="auto"/>
        <w:jc w:val="left"/>
        <w:rPr>
          <w:rFonts w:ascii="宋体" w:hAnsi="宋体" w:cs="宋体"/>
          <w:color w:val="auto"/>
          <w:sz w:val="24"/>
        </w:rPr>
      </w:pPr>
      <w:r>
        <w:rPr>
          <w:rFonts w:hint="eastAsia" w:ascii="宋体" w:hAnsi="宋体" w:cs="宋体"/>
          <w:color w:val="auto"/>
          <w:sz w:val="24"/>
        </w:rPr>
        <w:t>1.</w:t>
      </w:r>
      <w:bookmarkStart w:id="167" w:name="_Hlk65851555"/>
      <w:bookmarkStart w:id="168" w:name="_Hlk65851620"/>
      <w:r>
        <w:rPr>
          <w:rFonts w:hint="eastAsia" w:ascii="宋体" w:hAnsi="宋体" w:cs="仿宋_GB2312"/>
          <w:sz w:val="24"/>
        </w:rPr>
        <w:t>法定代表人必须在授权委托书上签字或者盖章</w:t>
      </w:r>
      <w:r>
        <w:rPr>
          <w:rFonts w:hint="eastAsia" w:ascii="宋体" w:hAnsi="宋体"/>
          <w:sz w:val="24"/>
        </w:rPr>
        <w:t>或者电子签名</w:t>
      </w:r>
      <w:r>
        <w:rPr>
          <w:rFonts w:hint="eastAsia" w:ascii="宋体" w:hAnsi="宋体" w:cs="仿宋_GB2312"/>
          <w:sz w:val="24"/>
        </w:rPr>
        <w:t>，</w:t>
      </w:r>
      <w:bookmarkEnd w:id="167"/>
      <w:r>
        <w:rPr>
          <w:rFonts w:hint="eastAsia" w:ascii="宋体" w:hAnsi="宋体" w:cs="仿宋_GB2312"/>
          <w:sz w:val="24"/>
        </w:rPr>
        <w:t>委托代理人必须在授权委托书上签字</w:t>
      </w:r>
      <w:r>
        <w:rPr>
          <w:rFonts w:hint="eastAsia" w:ascii="宋体" w:hAnsi="宋体"/>
          <w:sz w:val="24"/>
        </w:rPr>
        <w:t>或者电子签名</w:t>
      </w:r>
      <w:r>
        <w:rPr>
          <w:rFonts w:hint="eastAsia" w:ascii="宋体" w:hAnsi="宋体" w:cs="仿宋_GB2312"/>
          <w:sz w:val="24"/>
        </w:rPr>
        <w:t>，</w:t>
      </w:r>
      <w:r>
        <w:rPr>
          <w:rFonts w:hint="eastAsia" w:ascii="宋体" w:hAnsi="宋体" w:cs="仿宋_GB2312"/>
          <w:b/>
          <w:bCs/>
          <w:sz w:val="24"/>
        </w:rPr>
        <w:t>否则按无效投标处理</w:t>
      </w:r>
      <w:r>
        <w:rPr>
          <w:rFonts w:hint="eastAsia" w:ascii="宋体" w:hAnsi="宋体" w:cs="仿宋_GB2312"/>
          <w:sz w:val="24"/>
        </w:rPr>
        <w:t>；</w:t>
      </w:r>
      <w:bookmarkEnd w:id="168"/>
    </w:p>
    <w:p w14:paraId="1790A8D5">
      <w:pPr>
        <w:keepNext w:val="0"/>
        <w:keepLines w:val="0"/>
        <w:pageBreakBefore w:val="0"/>
        <w:kinsoku/>
        <w:overflowPunct/>
        <w:bidi w:val="0"/>
        <w:snapToGrid w:val="0"/>
        <w:spacing w:before="120" w:beforeLines="50" w:after="50" w:line="360" w:lineRule="auto"/>
        <w:jc w:val="left"/>
        <w:rPr>
          <w:rFonts w:ascii="宋体" w:hAnsi="宋体" w:cs="宋体"/>
          <w:color w:val="auto"/>
          <w:sz w:val="24"/>
        </w:rPr>
      </w:pPr>
      <w:r>
        <w:rPr>
          <w:rFonts w:hint="eastAsia" w:ascii="宋体" w:hAnsi="宋体" w:cs="宋体"/>
          <w:color w:val="auto"/>
          <w:sz w:val="24"/>
        </w:rPr>
        <w:t>2.</w:t>
      </w:r>
      <w:r>
        <w:rPr>
          <w:rFonts w:hint="eastAsia" w:ascii="宋体" w:hAnsi="宋体" w:cs="仿宋_GB2312"/>
          <w:sz w:val="24"/>
        </w:rPr>
        <w:t>法人、其他组织投标时“我方”是指“我单位”，自然人投标时“我方”是指“本人”</w:t>
      </w:r>
      <w:r>
        <w:rPr>
          <w:rFonts w:hint="eastAsia" w:ascii="宋体" w:hAnsi="宋体" w:cs="宋体"/>
          <w:color w:val="auto"/>
          <w:sz w:val="24"/>
        </w:rPr>
        <w:t>。</w:t>
      </w:r>
    </w:p>
    <w:p w14:paraId="36497CF6">
      <w:pPr>
        <w:keepNext w:val="0"/>
        <w:keepLines w:val="0"/>
        <w:pageBreakBefore w:val="0"/>
        <w:kinsoku/>
        <w:overflowPunct/>
        <w:bidi w:val="0"/>
        <w:snapToGrid w:val="0"/>
        <w:spacing w:before="120" w:beforeLines="50" w:after="50" w:line="360" w:lineRule="auto"/>
        <w:jc w:val="left"/>
        <w:rPr>
          <w:rFonts w:ascii="宋体" w:hAnsi="宋体" w:cs="宋体"/>
          <w:color w:val="auto"/>
          <w:sz w:val="24"/>
        </w:rPr>
      </w:pPr>
      <w:r>
        <w:rPr>
          <w:rFonts w:hint="eastAsia" w:ascii="宋体" w:hAnsi="宋体" w:cs="宋体"/>
          <w:b/>
          <w:color w:val="auto"/>
          <w:sz w:val="24"/>
        </w:rPr>
        <w:t>5.商务条款偏离表格式</w:t>
      </w:r>
    </w:p>
    <w:p w14:paraId="1D5BF2DD">
      <w:pPr>
        <w:keepNext w:val="0"/>
        <w:keepLines w:val="0"/>
        <w:pageBreakBefore w:val="0"/>
        <w:kinsoku/>
        <w:overflowPunct/>
        <w:bidi w:val="0"/>
        <w:snapToGrid w:val="0"/>
        <w:spacing w:before="50" w:after="50" w:line="360" w:lineRule="auto"/>
        <w:rPr>
          <w:rFonts w:ascii="宋体" w:hAnsi="宋体" w:cs="宋体"/>
          <w:color w:val="auto"/>
          <w:sz w:val="21"/>
          <w:szCs w:val="21"/>
          <w:u w:val="single"/>
        </w:rPr>
      </w:pPr>
      <w:r>
        <w:rPr>
          <w:rFonts w:hint="eastAsia" w:cs="宋体"/>
          <w:color w:val="auto"/>
          <w:sz w:val="21"/>
          <w:szCs w:val="21"/>
        </w:rPr>
        <w:t>项目</w:t>
      </w:r>
      <w:r>
        <w:rPr>
          <w:rFonts w:hint="eastAsia" w:ascii="宋体" w:hAnsi="宋体" w:cs="宋体"/>
          <w:color w:val="auto"/>
          <w:sz w:val="21"/>
          <w:szCs w:val="21"/>
        </w:rPr>
        <w:t>编号：</w:t>
      </w:r>
      <w:r>
        <w:rPr>
          <w:rFonts w:hint="eastAsia" w:ascii="宋体" w:hAnsi="宋体" w:cs="宋体"/>
          <w:color w:val="auto"/>
          <w:sz w:val="21"/>
          <w:szCs w:val="21"/>
          <w:u w:val="single"/>
        </w:rPr>
        <w:t xml:space="preserve">                              </w:t>
      </w:r>
    </w:p>
    <w:p w14:paraId="4F815AD3">
      <w:pPr>
        <w:keepNext w:val="0"/>
        <w:keepLines w:val="0"/>
        <w:pageBreakBefore w:val="0"/>
        <w:kinsoku/>
        <w:overflowPunct/>
        <w:bidi w:val="0"/>
        <w:snapToGrid w:val="0"/>
        <w:spacing w:before="50" w:line="360" w:lineRule="auto"/>
        <w:jc w:val="left"/>
        <w:rPr>
          <w:rFonts w:ascii="宋体" w:hAnsi="宋体" w:cs="宋体"/>
          <w:color w:val="auto"/>
          <w:sz w:val="21"/>
          <w:szCs w:val="21"/>
          <w:u w:val="single"/>
        </w:rPr>
      </w:pPr>
      <w:r>
        <w:rPr>
          <w:rFonts w:hint="eastAsia" w:cs="宋体"/>
          <w:color w:val="auto"/>
          <w:sz w:val="21"/>
          <w:szCs w:val="21"/>
        </w:rPr>
        <w:t>项目</w:t>
      </w:r>
      <w:r>
        <w:rPr>
          <w:rFonts w:hint="eastAsia" w:ascii="宋体" w:hAnsi="宋体" w:cs="宋体"/>
          <w:color w:val="auto"/>
          <w:sz w:val="21"/>
          <w:szCs w:val="21"/>
        </w:rPr>
        <w:t>名称：</w:t>
      </w:r>
      <w:r>
        <w:rPr>
          <w:rFonts w:hint="eastAsia" w:ascii="宋体" w:hAnsi="宋体" w:cs="宋体"/>
          <w:color w:val="auto"/>
          <w:sz w:val="21"/>
          <w:szCs w:val="21"/>
          <w:u w:val="single"/>
        </w:rPr>
        <w:t xml:space="preserve">                              </w:t>
      </w:r>
    </w:p>
    <w:tbl>
      <w:tblPr>
        <w:tblStyle w:val="25"/>
        <w:tblW w:w="962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81"/>
        <w:gridCol w:w="3717"/>
        <w:gridCol w:w="1961"/>
        <w:gridCol w:w="2267"/>
      </w:tblGrid>
      <w:tr w14:paraId="2602CD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681" w:type="dxa"/>
            <w:tcBorders>
              <w:top w:val="single" w:color="auto" w:sz="4" w:space="0"/>
              <w:left w:val="single" w:color="auto" w:sz="4" w:space="0"/>
              <w:bottom w:val="single" w:color="auto" w:sz="4" w:space="0"/>
              <w:right w:val="single" w:color="auto" w:sz="4" w:space="0"/>
            </w:tcBorders>
            <w:vAlign w:val="top"/>
          </w:tcPr>
          <w:p w14:paraId="75563987">
            <w:pPr>
              <w:keepNext w:val="0"/>
              <w:keepLines w:val="0"/>
              <w:pageBreakBefore w:val="0"/>
              <w:shd w:val="clear" w:color="auto" w:fill="auto"/>
              <w:kinsoku/>
              <w:overflowPunct/>
              <w:bidi w:val="0"/>
              <w:snapToGrid w:val="0"/>
              <w:spacing w:before="120" w:beforeLines="50" w:line="360" w:lineRule="auto"/>
              <w:jc w:val="center"/>
              <w:rPr>
                <w:rFonts w:hint="eastAsia"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项目</w:t>
            </w:r>
          </w:p>
        </w:tc>
        <w:tc>
          <w:tcPr>
            <w:tcW w:w="3717" w:type="dxa"/>
            <w:tcBorders>
              <w:top w:val="single" w:color="auto" w:sz="4" w:space="0"/>
              <w:left w:val="single" w:color="auto" w:sz="4" w:space="0"/>
              <w:bottom w:val="single" w:color="auto" w:sz="4" w:space="0"/>
              <w:right w:val="single" w:color="auto" w:sz="4" w:space="0"/>
            </w:tcBorders>
            <w:vAlign w:val="top"/>
          </w:tcPr>
          <w:p w14:paraId="04A1DFE6">
            <w:pPr>
              <w:keepNext w:val="0"/>
              <w:keepLines w:val="0"/>
              <w:pageBreakBefore w:val="0"/>
              <w:shd w:val="clear" w:color="auto" w:fill="auto"/>
              <w:kinsoku/>
              <w:overflowPunct/>
              <w:bidi w:val="0"/>
              <w:snapToGrid w:val="0"/>
              <w:spacing w:before="120" w:beforeLines="50" w:line="360" w:lineRule="auto"/>
              <w:jc w:val="center"/>
              <w:rPr>
                <w:rFonts w:hint="eastAsia"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招标文件商务要求</w:t>
            </w:r>
          </w:p>
        </w:tc>
        <w:tc>
          <w:tcPr>
            <w:tcW w:w="1961" w:type="dxa"/>
            <w:tcBorders>
              <w:top w:val="single" w:color="auto" w:sz="4" w:space="0"/>
              <w:left w:val="single" w:color="auto" w:sz="4" w:space="0"/>
              <w:bottom w:val="single" w:color="auto" w:sz="4" w:space="0"/>
              <w:right w:val="single" w:color="auto" w:sz="4" w:space="0"/>
            </w:tcBorders>
            <w:vAlign w:val="top"/>
          </w:tcPr>
          <w:p w14:paraId="7D513412">
            <w:pPr>
              <w:keepNext w:val="0"/>
              <w:keepLines w:val="0"/>
              <w:pageBreakBefore w:val="0"/>
              <w:shd w:val="clear" w:color="auto" w:fill="auto"/>
              <w:kinsoku/>
              <w:overflowPunct/>
              <w:bidi w:val="0"/>
              <w:snapToGrid w:val="0"/>
              <w:spacing w:before="120" w:beforeLines="50" w:line="360" w:lineRule="auto"/>
              <w:jc w:val="center"/>
              <w:rPr>
                <w:rFonts w:hint="eastAsia"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投标人的承诺</w:t>
            </w:r>
          </w:p>
        </w:tc>
        <w:tc>
          <w:tcPr>
            <w:tcW w:w="2267" w:type="dxa"/>
            <w:tcBorders>
              <w:top w:val="single" w:color="auto" w:sz="4" w:space="0"/>
              <w:left w:val="single" w:color="auto" w:sz="4" w:space="0"/>
              <w:bottom w:val="single" w:color="auto" w:sz="4" w:space="0"/>
              <w:right w:val="single" w:color="auto" w:sz="4" w:space="0"/>
            </w:tcBorders>
            <w:vAlign w:val="top"/>
          </w:tcPr>
          <w:p w14:paraId="6F6288CF">
            <w:pPr>
              <w:keepNext w:val="0"/>
              <w:keepLines w:val="0"/>
              <w:pageBreakBefore w:val="0"/>
              <w:shd w:val="clear" w:color="auto" w:fill="auto"/>
              <w:kinsoku/>
              <w:overflowPunct/>
              <w:bidi w:val="0"/>
              <w:snapToGrid w:val="0"/>
              <w:spacing w:before="120" w:beforeLines="50" w:line="360" w:lineRule="auto"/>
              <w:jc w:val="center"/>
              <w:rPr>
                <w:rFonts w:hint="eastAsia"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偏离说明</w:t>
            </w:r>
          </w:p>
        </w:tc>
      </w:tr>
      <w:tr w14:paraId="27B7C6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681" w:type="dxa"/>
            <w:tcBorders>
              <w:top w:val="single" w:color="auto" w:sz="4" w:space="0"/>
              <w:left w:val="single" w:color="auto" w:sz="4" w:space="0"/>
              <w:bottom w:val="single" w:color="auto" w:sz="4" w:space="0"/>
              <w:right w:val="single" w:color="auto" w:sz="4" w:space="0"/>
            </w:tcBorders>
            <w:vAlign w:val="center"/>
          </w:tcPr>
          <w:p w14:paraId="0282FD34">
            <w:pPr>
              <w:keepNext w:val="0"/>
              <w:keepLines w:val="0"/>
              <w:pageBreakBefore w:val="0"/>
              <w:shd w:val="clear" w:color="auto" w:fill="auto"/>
              <w:kinsoku/>
              <w:overflowPunct/>
              <w:bidi w:val="0"/>
              <w:snapToGrid w:val="0"/>
              <w:spacing w:line="360" w:lineRule="auto"/>
              <w:jc w:val="center"/>
              <w:rPr>
                <w:rFonts w:hint="default" w:ascii="宋体" w:hAnsi="宋体" w:eastAsia="宋体"/>
                <w:color w:val="auto"/>
                <w:sz w:val="21"/>
                <w:szCs w:val="21"/>
                <w:highlight w:val="none"/>
                <w:shd w:val="clear" w:color="auto" w:fill="auto"/>
                <w:lang w:val="en-US" w:eastAsia="zh-CN"/>
              </w:rPr>
            </w:pPr>
            <w:r>
              <w:rPr>
                <w:rFonts w:hint="eastAsia" w:ascii="宋体" w:hAnsi="宋体"/>
                <w:color w:val="auto"/>
                <w:sz w:val="21"/>
                <w:szCs w:val="21"/>
                <w:highlight w:val="none"/>
                <w:shd w:val="clear" w:color="auto" w:fill="auto"/>
                <w:lang w:val="en-US" w:eastAsia="zh-CN"/>
              </w:rPr>
              <w:t>合同签订期</w:t>
            </w:r>
          </w:p>
        </w:tc>
        <w:tc>
          <w:tcPr>
            <w:tcW w:w="3717" w:type="dxa"/>
            <w:tcBorders>
              <w:top w:val="single" w:color="auto" w:sz="4" w:space="0"/>
              <w:left w:val="single" w:color="auto" w:sz="4" w:space="0"/>
              <w:bottom w:val="single" w:color="auto" w:sz="4" w:space="0"/>
              <w:right w:val="single" w:color="auto" w:sz="4" w:space="0"/>
            </w:tcBorders>
            <w:vAlign w:val="top"/>
          </w:tcPr>
          <w:p w14:paraId="00ECC0FB">
            <w:pPr>
              <w:keepNext w:val="0"/>
              <w:keepLines w:val="0"/>
              <w:pageBreakBefore w:val="0"/>
              <w:shd w:val="clear" w:color="auto" w:fill="auto"/>
              <w:kinsoku/>
              <w:overflowPunct/>
              <w:bidi w:val="0"/>
              <w:snapToGrid w:val="0"/>
              <w:spacing w:before="120" w:beforeLines="50" w:line="360" w:lineRule="auto"/>
              <w:jc w:val="center"/>
              <w:rPr>
                <w:rFonts w:hint="eastAsia" w:ascii="宋体" w:hAnsi="宋体"/>
                <w:color w:val="auto"/>
                <w:sz w:val="21"/>
                <w:szCs w:val="21"/>
                <w:highlight w:val="none"/>
                <w:shd w:val="clear" w:color="auto" w:fill="auto"/>
              </w:rPr>
            </w:pPr>
          </w:p>
        </w:tc>
        <w:tc>
          <w:tcPr>
            <w:tcW w:w="1961" w:type="dxa"/>
            <w:tcBorders>
              <w:top w:val="single" w:color="auto" w:sz="4" w:space="0"/>
              <w:left w:val="single" w:color="auto" w:sz="4" w:space="0"/>
              <w:bottom w:val="single" w:color="auto" w:sz="4" w:space="0"/>
              <w:right w:val="single" w:color="auto" w:sz="4" w:space="0"/>
            </w:tcBorders>
            <w:vAlign w:val="top"/>
          </w:tcPr>
          <w:p w14:paraId="133114B7">
            <w:pPr>
              <w:keepNext w:val="0"/>
              <w:keepLines w:val="0"/>
              <w:pageBreakBefore w:val="0"/>
              <w:shd w:val="clear" w:color="auto" w:fill="auto"/>
              <w:kinsoku/>
              <w:overflowPunct/>
              <w:bidi w:val="0"/>
              <w:snapToGrid w:val="0"/>
              <w:spacing w:before="120" w:beforeLines="50" w:line="360" w:lineRule="auto"/>
              <w:jc w:val="center"/>
              <w:rPr>
                <w:rFonts w:hint="eastAsia" w:ascii="宋体" w:hAnsi="宋体"/>
                <w:color w:val="auto"/>
                <w:sz w:val="21"/>
                <w:szCs w:val="21"/>
                <w:highlight w:val="none"/>
                <w:shd w:val="clear" w:color="auto" w:fill="auto"/>
              </w:rPr>
            </w:pPr>
          </w:p>
        </w:tc>
        <w:tc>
          <w:tcPr>
            <w:tcW w:w="2267" w:type="dxa"/>
            <w:tcBorders>
              <w:top w:val="single" w:color="auto" w:sz="4" w:space="0"/>
              <w:left w:val="single" w:color="auto" w:sz="4" w:space="0"/>
              <w:bottom w:val="single" w:color="auto" w:sz="4" w:space="0"/>
              <w:right w:val="single" w:color="auto" w:sz="4" w:space="0"/>
            </w:tcBorders>
            <w:vAlign w:val="top"/>
          </w:tcPr>
          <w:p w14:paraId="248C6D52">
            <w:pPr>
              <w:keepNext w:val="0"/>
              <w:keepLines w:val="0"/>
              <w:pageBreakBefore w:val="0"/>
              <w:shd w:val="clear" w:color="auto" w:fill="auto"/>
              <w:kinsoku/>
              <w:overflowPunct/>
              <w:bidi w:val="0"/>
              <w:snapToGrid w:val="0"/>
              <w:spacing w:before="120" w:beforeLines="50" w:line="360" w:lineRule="auto"/>
              <w:jc w:val="center"/>
              <w:rPr>
                <w:rFonts w:hint="eastAsia" w:ascii="宋体" w:hAnsi="宋体"/>
                <w:color w:val="auto"/>
                <w:sz w:val="21"/>
                <w:szCs w:val="21"/>
                <w:highlight w:val="none"/>
                <w:shd w:val="clear" w:color="auto" w:fill="auto"/>
              </w:rPr>
            </w:pPr>
          </w:p>
        </w:tc>
      </w:tr>
      <w:tr w14:paraId="27E2FF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681" w:type="dxa"/>
            <w:tcBorders>
              <w:top w:val="single" w:color="auto" w:sz="4" w:space="0"/>
              <w:left w:val="single" w:color="auto" w:sz="4" w:space="0"/>
              <w:bottom w:val="single" w:color="auto" w:sz="4" w:space="0"/>
              <w:right w:val="single" w:color="auto" w:sz="4" w:space="0"/>
            </w:tcBorders>
            <w:vAlign w:val="center"/>
          </w:tcPr>
          <w:p w14:paraId="0A7FC72C">
            <w:pPr>
              <w:keepNext w:val="0"/>
              <w:keepLines w:val="0"/>
              <w:pageBreakBefore w:val="0"/>
              <w:shd w:val="clear" w:color="auto" w:fill="auto"/>
              <w:kinsoku/>
              <w:overflowPunct/>
              <w:bidi w:val="0"/>
              <w:snapToGrid w:val="0"/>
              <w:spacing w:line="360" w:lineRule="auto"/>
              <w:jc w:val="center"/>
              <w:rPr>
                <w:rFonts w:hint="default" w:ascii="宋体" w:hAnsi="宋体" w:eastAsia="宋体"/>
                <w:color w:val="auto"/>
                <w:sz w:val="21"/>
                <w:szCs w:val="21"/>
                <w:highlight w:val="none"/>
                <w:shd w:val="clear" w:color="auto" w:fill="auto"/>
                <w:lang w:val="en-US" w:eastAsia="zh-CN"/>
              </w:rPr>
            </w:pPr>
            <w:r>
              <w:rPr>
                <w:rFonts w:hint="eastAsia" w:ascii="宋体" w:hAnsi="宋体"/>
                <w:color w:val="auto"/>
                <w:sz w:val="21"/>
                <w:szCs w:val="21"/>
                <w:highlight w:val="none"/>
                <w:shd w:val="clear" w:color="auto" w:fill="auto"/>
                <w:lang w:val="en-US" w:eastAsia="zh-CN"/>
              </w:rPr>
              <w:t>服务期限及地点</w:t>
            </w:r>
          </w:p>
        </w:tc>
        <w:tc>
          <w:tcPr>
            <w:tcW w:w="3717" w:type="dxa"/>
            <w:tcBorders>
              <w:top w:val="single" w:color="auto" w:sz="4" w:space="0"/>
              <w:left w:val="single" w:color="auto" w:sz="4" w:space="0"/>
              <w:bottom w:val="single" w:color="auto" w:sz="4" w:space="0"/>
              <w:right w:val="single" w:color="auto" w:sz="4" w:space="0"/>
            </w:tcBorders>
            <w:vAlign w:val="top"/>
          </w:tcPr>
          <w:p w14:paraId="5545A081">
            <w:pPr>
              <w:keepNext w:val="0"/>
              <w:keepLines w:val="0"/>
              <w:pageBreakBefore w:val="0"/>
              <w:shd w:val="clear" w:color="auto" w:fill="auto"/>
              <w:kinsoku/>
              <w:overflowPunct/>
              <w:bidi w:val="0"/>
              <w:snapToGrid w:val="0"/>
              <w:spacing w:before="120" w:beforeLines="50" w:line="360" w:lineRule="auto"/>
              <w:rPr>
                <w:rFonts w:hint="eastAsia" w:ascii="宋体" w:hAnsi="宋体"/>
                <w:color w:val="auto"/>
                <w:sz w:val="21"/>
                <w:szCs w:val="21"/>
                <w:highlight w:val="none"/>
                <w:u w:val="single"/>
                <w:shd w:val="clear" w:color="auto" w:fill="auto"/>
              </w:rPr>
            </w:pPr>
          </w:p>
        </w:tc>
        <w:tc>
          <w:tcPr>
            <w:tcW w:w="1961" w:type="dxa"/>
            <w:tcBorders>
              <w:top w:val="single" w:color="auto" w:sz="4" w:space="0"/>
              <w:left w:val="single" w:color="auto" w:sz="4" w:space="0"/>
              <w:bottom w:val="single" w:color="auto" w:sz="4" w:space="0"/>
              <w:right w:val="single" w:color="auto" w:sz="4" w:space="0"/>
            </w:tcBorders>
            <w:vAlign w:val="top"/>
          </w:tcPr>
          <w:p w14:paraId="211F38AB">
            <w:pPr>
              <w:keepNext w:val="0"/>
              <w:keepLines w:val="0"/>
              <w:pageBreakBefore w:val="0"/>
              <w:shd w:val="clear" w:color="auto" w:fill="auto"/>
              <w:kinsoku/>
              <w:overflowPunct/>
              <w:bidi w:val="0"/>
              <w:snapToGrid w:val="0"/>
              <w:spacing w:before="120" w:beforeLines="50" w:line="360" w:lineRule="auto"/>
              <w:ind w:left="43"/>
              <w:jc w:val="center"/>
              <w:rPr>
                <w:rFonts w:hint="eastAsia" w:ascii="宋体" w:hAnsi="宋体"/>
                <w:color w:val="auto"/>
                <w:sz w:val="21"/>
                <w:szCs w:val="21"/>
                <w:highlight w:val="none"/>
                <w:shd w:val="clear" w:color="auto" w:fill="auto"/>
              </w:rPr>
            </w:pPr>
          </w:p>
        </w:tc>
        <w:tc>
          <w:tcPr>
            <w:tcW w:w="2267" w:type="dxa"/>
            <w:tcBorders>
              <w:top w:val="single" w:color="auto" w:sz="4" w:space="0"/>
              <w:left w:val="single" w:color="auto" w:sz="4" w:space="0"/>
              <w:bottom w:val="single" w:color="auto" w:sz="4" w:space="0"/>
              <w:right w:val="single" w:color="auto" w:sz="4" w:space="0"/>
            </w:tcBorders>
            <w:vAlign w:val="top"/>
          </w:tcPr>
          <w:p w14:paraId="4137D51E">
            <w:pPr>
              <w:keepNext w:val="0"/>
              <w:keepLines w:val="0"/>
              <w:pageBreakBefore w:val="0"/>
              <w:shd w:val="clear" w:color="auto" w:fill="auto"/>
              <w:kinsoku/>
              <w:overflowPunct/>
              <w:bidi w:val="0"/>
              <w:snapToGrid w:val="0"/>
              <w:spacing w:before="120" w:beforeLines="50" w:line="360" w:lineRule="auto"/>
              <w:ind w:left="43"/>
              <w:jc w:val="center"/>
              <w:rPr>
                <w:rFonts w:hint="eastAsia" w:ascii="宋体" w:hAnsi="宋体"/>
                <w:color w:val="auto"/>
                <w:sz w:val="21"/>
                <w:szCs w:val="21"/>
                <w:highlight w:val="none"/>
                <w:shd w:val="clear" w:color="auto" w:fill="auto"/>
              </w:rPr>
            </w:pPr>
          </w:p>
        </w:tc>
      </w:tr>
      <w:tr w14:paraId="25AFCD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681" w:type="dxa"/>
            <w:tcBorders>
              <w:top w:val="single" w:color="auto" w:sz="4" w:space="0"/>
              <w:left w:val="single" w:color="auto" w:sz="4" w:space="0"/>
              <w:bottom w:val="single" w:color="auto" w:sz="4" w:space="0"/>
              <w:right w:val="single" w:color="auto" w:sz="4" w:space="0"/>
            </w:tcBorders>
            <w:vAlign w:val="center"/>
          </w:tcPr>
          <w:p w14:paraId="3ACFD022">
            <w:pPr>
              <w:keepNext w:val="0"/>
              <w:keepLines w:val="0"/>
              <w:pageBreakBefore w:val="0"/>
              <w:shd w:val="clear" w:color="auto" w:fill="auto"/>
              <w:kinsoku/>
              <w:overflowPunct/>
              <w:bidi w:val="0"/>
              <w:spacing w:line="360" w:lineRule="auto"/>
              <w:jc w:val="center"/>
              <w:rPr>
                <w:rFonts w:hint="default" w:ascii="宋体" w:hAnsi="宋体" w:eastAsia="宋体" w:cs="宋体"/>
                <w:color w:val="auto"/>
                <w:sz w:val="21"/>
                <w:szCs w:val="21"/>
                <w:highlight w:val="none"/>
                <w:shd w:val="clear" w:color="auto" w:fill="auto"/>
                <w:lang w:val="en-US" w:eastAsia="zh-CN"/>
              </w:rPr>
            </w:pPr>
            <w:r>
              <w:rPr>
                <w:rFonts w:hint="eastAsia" w:ascii="宋体" w:hAnsi="宋体" w:cs="宋体"/>
                <w:color w:val="auto"/>
                <w:sz w:val="21"/>
                <w:szCs w:val="21"/>
                <w:highlight w:val="none"/>
                <w:shd w:val="clear" w:color="auto" w:fill="auto"/>
                <w:lang w:val="en-US" w:eastAsia="zh-CN"/>
              </w:rPr>
              <w:t>服务人员要求</w:t>
            </w:r>
          </w:p>
        </w:tc>
        <w:tc>
          <w:tcPr>
            <w:tcW w:w="3717" w:type="dxa"/>
            <w:tcBorders>
              <w:top w:val="single" w:color="auto" w:sz="4" w:space="0"/>
              <w:left w:val="single" w:color="auto" w:sz="4" w:space="0"/>
              <w:bottom w:val="single" w:color="auto" w:sz="4" w:space="0"/>
              <w:right w:val="single" w:color="auto" w:sz="4" w:space="0"/>
            </w:tcBorders>
            <w:vAlign w:val="top"/>
          </w:tcPr>
          <w:p w14:paraId="086C9E04">
            <w:pPr>
              <w:keepNext w:val="0"/>
              <w:keepLines w:val="0"/>
              <w:pageBreakBefore w:val="0"/>
              <w:shd w:val="clear" w:color="auto" w:fill="auto"/>
              <w:kinsoku/>
              <w:overflowPunct/>
              <w:bidi w:val="0"/>
              <w:snapToGrid w:val="0"/>
              <w:spacing w:before="120" w:beforeLines="50" w:line="360" w:lineRule="auto"/>
              <w:rPr>
                <w:rFonts w:hint="eastAsia" w:ascii="宋体" w:hAnsi="宋体"/>
                <w:color w:val="auto"/>
                <w:sz w:val="21"/>
                <w:szCs w:val="21"/>
                <w:highlight w:val="none"/>
                <w:u w:val="single"/>
                <w:shd w:val="clear" w:color="auto" w:fill="auto"/>
              </w:rPr>
            </w:pPr>
          </w:p>
        </w:tc>
        <w:tc>
          <w:tcPr>
            <w:tcW w:w="1961" w:type="dxa"/>
            <w:tcBorders>
              <w:top w:val="single" w:color="auto" w:sz="4" w:space="0"/>
              <w:left w:val="single" w:color="auto" w:sz="4" w:space="0"/>
              <w:bottom w:val="single" w:color="auto" w:sz="4" w:space="0"/>
              <w:right w:val="single" w:color="auto" w:sz="4" w:space="0"/>
            </w:tcBorders>
            <w:vAlign w:val="top"/>
          </w:tcPr>
          <w:p w14:paraId="1C131918">
            <w:pPr>
              <w:keepNext w:val="0"/>
              <w:keepLines w:val="0"/>
              <w:pageBreakBefore w:val="0"/>
              <w:shd w:val="clear" w:color="auto" w:fill="auto"/>
              <w:kinsoku/>
              <w:overflowPunct/>
              <w:bidi w:val="0"/>
              <w:snapToGrid w:val="0"/>
              <w:spacing w:before="120" w:beforeLines="50" w:line="360" w:lineRule="auto"/>
              <w:ind w:left="43"/>
              <w:jc w:val="center"/>
              <w:rPr>
                <w:rFonts w:hint="eastAsia" w:ascii="宋体" w:hAnsi="宋体"/>
                <w:color w:val="auto"/>
                <w:sz w:val="21"/>
                <w:szCs w:val="21"/>
                <w:highlight w:val="none"/>
                <w:shd w:val="clear" w:color="auto" w:fill="auto"/>
              </w:rPr>
            </w:pPr>
          </w:p>
        </w:tc>
        <w:tc>
          <w:tcPr>
            <w:tcW w:w="2267" w:type="dxa"/>
            <w:tcBorders>
              <w:top w:val="single" w:color="auto" w:sz="4" w:space="0"/>
              <w:left w:val="single" w:color="auto" w:sz="4" w:space="0"/>
              <w:bottom w:val="single" w:color="auto" w:sz="4" w:space="0"/>
              <w:right w:val="single" w:color="auto" w:sz="4" w:space="0"/>
            </w:tcBorders>
            <w:vAlign w:val="top"/>
          </w:tcPr>
          <w:p w14:paraId="56C0D4CD">
            <w:pPr>
              <w:keepNext w:val="0"/>
              <w:keepLines w:val="0"/>
              <w:pageBreakBefore w:val="0"/>
              <w:shd w:val="clear" w:color="auto" w:fill="auto"/>
              <w:kinsoku/>
              <w:overflowPunct/>
              <w:bidi w:val="0"/>
              <w:snapToGrid w:val="0"/>
              <w:spacing w:before="120" w:beforeLines="50" w:line="360" w:lineRule="auto"/>
              <w:ind w:left="43"/>
              <w:jc w:val="center"/>
              <w:rPr>
                <w:rFonts w:hint="eastAsia" w:ascii="宋体" w:hAnsi="宋体"/>
                <w:color w:val="auto"/>
                <w:sz w:val="21"/>
                <w:szCs w:val="21"/>
                <w:highlight w:val="none"/>
                <w:shd w:val="clear" w:color="auto" w:fill="auto"/>
              </w:rPr>
            </w:pPr>
          </w:p>
        </w:tc>
      </w:tr>
      <w:tr w14:paraId="3FFF88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81" w:type="dxa"/>
            <w:tcBorders>
              <w:top w:val="single" w:color="auto" w:sz="4" w:space="0"/>
              <w:left w:val="single" w:color="auto" w:sz="4" w:space="0"/>
              <w:bottom w:val="single" w:color="auto" w:sz="4" w:space="0"/>
              <w:right w:val="single" w:color="auto" w:sz="4" w:space="0"/>
            </w:tcBorders>
            <w:vAlign w:val="top"/>
          </w:tcPr>
          <w:p w14:paraId="453B8809">
            <w:pPr>
              <w:keepNext w:val="0"/>
              <w:keepLines w:val="0"/>
              <w:pageBreakBefore w:val="0"/>
              <w:shd w:val="clear" w:color="auto" w:fill="auto"/>
              <w:kinsoku/>
              <w:overflowPunct/>
              <w:bidi w:val="0"/>
              <w:snapToGrid w:val="0"/>
              <w:spacing w:before="120" w:beforeLines="50" w:line="360" w:lineRule="auto"/>
              <w:jc w:val="center"/>
              <w:rPr>
                <w:rFonts w:hint="eastAsia"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w:t>
            </w:r>
          </w:p>
        </w:tc>
        <w:tc>
          <w:tcPr>
            <w:tcW w:w="3717" w:type="dxa"/>
            <w:tcBorders>
              <w:top w:val="single" w:color="auto" w:sz="4" w:space="0"/>
              <w:left w:val="single" w:color="auto" w:sz="4" w:space="0"/>
              <w:bottom w:val="single" w:color="auto" w:sz="4" w:space="0"/>
              <w:right w:val="single" w:color="auto" w:sz="4" w:space="0"/>
            </w:tcBorders>
            <w:vAlign w:val="top"/>
          </w:tcPr>
          <w:p w14:paraId="6E3009E3">
            <w:pPr>
              <w:keepNext w:val="0"/>
              <w:keepLines w:val="0"/>
              <w:pageBreakBefore w:val="0"/>
              <w:shd w:val="clear" w:color="auto" w:fill="auto"/>
              <w:kinsoku/>
              <w:overflowPunct/>
              <w:bidi w:val="0"/>
              <w:snapToGrid w:val="0"/>
              <w:spacing w:before="120" w:beforeLines="50" w:line="360" w:lineRule="auto"/>
              <w:jc w:val="center"/>
              <w:rPr>
                <w:rFonts w:hint="eastAsia" w:ascii="宋体" w:hAnsi="宋体"/>
                <w:color w:val="auto"/>
                <w:sz w:val="21"/>
                <w:szCs w:val="21"/>
                <w:highlight w:val="none"/>
                <w:shd w:val="clear" w:color="auto" w:fill="auto"/>
              </w:rPr>
            </w:pPr>
          </w:p>
        </w:tc>
        <w:tc>
          <w:tcPr>
            <w:tcW w:w="1961" w:type="dxa"/>
            <w:tcBorders>
              <w:top w:val="single" w:color="auto" w:sz="4" w:space="0"/>
              <w:left w:val="single" w:color="auto" w:sz="4" w:space="0"/>
              <w:bottom w:val="single" w:color="auto" w:sz="4" w:space="0"/>
              <w:right w:val="single" w:color="auto" w:sz="4" w:space="0"/>
            </w:tcBorders>
            <w:vAlign w:val="top"/>
          </w:tcPr>
          <w:p w14:paraId="06BE6C95">
            <w:pPr>
              <w:keepNext w:val="0"/>
              <w:keepLines w:val="0"/>
              <w:pageBreakBefore w:val="0"/>
              <w:shd w:val="clear" w:color="auto" w:fill="auto"/>
              <w:kinsoku/>
              <w:overflowPunct/>
              <w:bidi w:val="0"/>
              <w:snapToGrid w:val="0"/>
              <w:spacing w:before="120" w:beforeLines="50" w:line="360" w:lineRule="auto"/>
              <w:jc w:val="center"/>
              <w:rPr>
                <w:rFonts w:hint="eastAsia" w:ascii="宋体" w:hAnsi="宋体"/>
                <w:color w:val="auto"/>
                <w:sz w:val="21"/>
                <w:szCs w:val="21"/>
                <w:highlight w:val="none"/>
                <w:shd w:val="clear" w:color="auto" w:fill="auto"/>
              </w:rPr>
            </w:pPr>
          </w:p>
        </w:tc>
        <w:tc>
          <w:tcPr>
            <w:tcW w:w="2267" w:type="dxa"/>
            <w:tcBorders>
              <w:top w:val="single" w:color="auto" w:sz="4" w:space="0"/>
              <w:left w:val="single" w:color="auto" w:sz="4" w:space="0"/>
              <w:bottom w:val="single" w:color="auto" w:sz="4" w:space="0"/>
              <w:right w:val="single" w:color="auto" w:sz="4" w:space="0"/>
            </w:tcBorders>
            <w:vAlign w:val="top"/>
          </w:tcPr>
          <w:p w14:paraId="4001A110">
            <w:pPr>
              <w:keepNext w:val="0"/>
              <w:keepLines w:val="0"/>
              <w:pageBreakBefore w:val="0"/>
              <w:shd w:val="clear" w:color="auto" w:fill="auto"/>
              <w:kinsoku/>
              <w:overflowPunct/>
              <w:bidi w:val="0"/>
              <w:snapToGrid w:val="0"/>
              <w:spacing w:before="120" w:beforeLines="50" w:line="360" w:lineRule="auto"/>
              <w:jc w:val="center"/>
              <w:rPr>
                <w:rFonts w:hint="eastAsia" w:ascii="宋体" w:hAnsi="宋体"/>
                <w:color w:val="auto"/>
                <w:sz w:val="21"/>
                <w:szCs w:val="21"/>
                <w:highlight w:val="none"/>
                <w:shd w:val="clear" w:color="auto" w:fill="auto"/>
              </w:rPr>
            </w:pPr>
          </w:p>
        </w:tc>
      </w:tr>
    </w:tbl>
    <w:p w14:paraId="54BC7F14">
      <w:pPr>
        <w:pStyle w:val="16"/>
        <w:keepNext w:val="0"/>
        <w:keepLines w:val="0"/>
        <w:pageBreakBefore w:val="0"/>
        <w:kinsoku/>
        <w:overflowPunct/>
        <w:bidi w:val="0"/>
        <w:spacing w:line="360" w:lineRule="auto"/>
        <w:rPr>
          <w:color w:val="auto"/>
        </w:rPr>
      </w:pPr>
    </w:p>
    <w:p w14:paraId="0903C253">
      <w:pPr>
        <w:pStyle w:val="14"/>
        <w:keepNext w:val="0"/>
        <w:keepLines w:val="0"/>
        <w:pageBreakBefore w:val="0"/>
        <w:kinsoku/>
        <w:overflowPunct/>
        <w:bidi w:val="0"/>
        <w:spacing w:line="360" w:lineRule="auto"/>
        <w:rPr>
          <w:rFonts w:hint="eastAsia" w:ascii="宋体" w:hAnsi="宋体" w:eastAsia="宋体" w:cs="宋体"/>
          <w:color w:val="auto"/>
          <w:spacing w:val="20"/>
          <w:sz w:val="22"/>
          <w:szCs w:val="18"/>
        </w:rPr>
      </w:pPr>
      <w:r>
        <w:rPr>
          <w:rFonts w:hint="eastAsia" w:ascii="宋体" w:hAnsi="宋体" w:eastAsia="宋体" w:cs="宋体"/>
          <w:color w:val="auto"/>
          <w:spacing w:val="20"/>
          <w:sz w:val="22"/>
          <w:szCs w:val="18"/>
        </w:rPr>
        <w:t>注：</w:t>
      </w:r>
    </w:p>
    <w:p w14:paraId="1FCD33AB">
      <w:pPr>
        <w:keepNext w:val="0"/>
        <w:keepLines w:val="0"/>
        <w:pageBreakBefore w:val="0"/>
        <w:kinsoku/>
        <w:overflowPunct/>
        <w:bidi w:val="0"/>
        <w:snapToGrid w:val="0"/>
        <w:spacing w:before="50" w:after="50" w:line="360" w:lineRule="auto"/>
        <w:rPr>
          <w:rFonts w:hint="eastAsia" w:ascii="宋体" w:hAnsi="宋体" w:eastAsia="宋体" w:cs="宋体"/>
          <w:color w:val="auto"/>
        </w:rPr>
      </w:pPr>
      <w:r>
        <w:rPr>
          <w:rFonts w:hint="eastAsia" w:ascii="宋体" w:hAnsi="宋体" w:eastAsia="宋体" w:cs="宋体"/>
          <w:color w:val="auto"/>
        </w:rPr>
        <w:t>1.说明：应对照招标文件“第二章 采购需求”中的商务要求逐条作明确的投标响应，并作出偏离说明。</w:t>
      </w:r>
    </w:p>
    <w:p w14:paraId="1B3B6274">
      <w:pPr>
        <w:keepNext w:val="0"/>
        <w:keepLines w:val="0"/>
        <w:pageBreakBefore w:val="0"/>
        <w:kinsoku/>
        <w:overflowPunct/>
        <w:bidi w:val="0"/>
        <w:snapToGrid w:val="0"/>
        <w:spacing w:before="50" w:after="50" w:line="360" w:lineRule="auto"/>
        <w:rPr>
          <w:rFonts w:hint="eastAsia" w:ascii="宋体" w:hAnsi="宋体" w:eastAsia="宋体" w:cs="宋体"/>
          <w:color w:val="auto"/>
        </w:rPr>
      </w:pPr>
      <w:r>
        <w:rPr>
          <w:rFonts w:hint="eastAsia" w:ascii="宋体" w:hAnsi="宋体" w:eastAsia="宋体" w:cs="宋体"/>
          <w:color w:val="auto"/>
        </w:rPr>
        <w:t>2.投标人应根据自身的承诺，对照招标文件要求在“偏离说明”中注明“正偏离”、“负偏离”或者“无偏离”。既不属于“正偏离”也不属于“负偏离”即为“无偏离”。</w:t>
      </w:r>
    </w:p>
    <w:p w14:paraId="56821413">
      <w:pPr>
        <w:keepNext w:val="0"/>
        <w:keepLines w:val="0"/>
        <w:pageBreakBefore w:val="0"/>
        <w:kinsoku/>
        <w:overflowPunct/>
        <w:bidi w:val="0"/>
        <w:snapToGrid w:val="0"/>
        <w:spacing w:before="50" w:after="50" w:line="360" w:lineRule="auto"/>
        <w:rPr>
          <w:rFonts w:ascii="宋体" w:hAnsi="宋体" w:cs="宋体"/>
          <w:color w:val="auto"/>
          <w:spacing w:val="20"/>
          <w:sz w:val="24"/>
        </w:rPr>
      </w:pPr>
      <w:r>
        <w:rPr>
          <w:rFonts w:hint="eastAsia" w:ascii="宋体" w:hAnsi="宋体" w:eastAsia="宋体" w:cs="宋体"/>
          <w:color w:val="auto"/>
        </w:rPr>
        <w:t>3.当响应文件的商务内容低于采购文件要求时，</w:t>
      </w:r>
      <w:r>
        <w:rPr>
          <w:rFonts w:hint="eastAsia" w:ascii="宋体" w:hAnsi="宋体" w:eastAsia="宋体" w:cs="宋体"/>
          <w:color w:val="auto"/>
          <w:lang w:eastAsia="zh-CN"/>
        </w:rPr>
        <w:t>投标人</w:t>
      </w:r>
      <w:r>
        <w:rPr>
          <w:rFonts w:hint="eastAsia" w:ascii="宋体" w:hAnsi="宋体" w:eastAsia="宋体" w:cs="宋体"/>
          <w:color w:val="auto"/>
        </w:rPr>
        <w:t>应当如实写明“负偏离”，否则视为虚假应标</w:t>
      </w:r>
      <w:r>
        <w:rPr>
          <w:rFonts w:hint="eastAsia" w:hAnsi="宋体" w:cs="宋体"/>
          <w:color w:val="auto"/>
        </w:rPr>
        <w:t>。</w:t>
      </w:r>
    </w:p>
    <w:p w14:paraId="37F13547">
      <w:pPr>
        <w:keepNext w:val="0"/>
        <w:keepLines w:val="0"/>
        <w:pageBreakBefore w:val="0"/>
        <w:kinsoku/>
        <w:overflowPunct/>
        <w:bidi w:val="0"/>
        <w:snapToGrid w:val="0"/>
        <w:spacing w:before="50" w:after="50" w:line="360" w:lineRule="auto"/>
        <w:rPr>
          <w:rFonts w:ascii="宋体" w:hAnsi="宋体" w:cs="宋体"/>
          <w:color w:val="auto"/>
          <w:sz w:val="24"/>
        </w:rPr>
      </w:pPr>
    </w:p>
    <w:p w14:paraId="08D1CA98">
      <w:pPr>
        <w:keepNext w:val="0"/>
        <w:keepLines w:val="0"/>
        <w:pageBreakBefore w:val="0"/>
        <w:kinsoku/>
        <w:overflowPunct/>
        <w:bidi w:val="0"/>
        <w:snapToGrid w:val="0"/>
        <w:spacing w:before="50" w:after="50" w:line="360" w:lineRule="auto"/>
        <w:rPr>
          <w:rFonts w:ascii="宋体" w:hAnsi="宋体" w:cs="宋体"/>
          <w:color w:val="auto"/>
          <w:spacing w:val="20"/>
          <w:sz w:val="24"/>
          <w:u w:val="single"/>
        </w:rPr>
      </w:pPr>
      <w:r>
        <w:rPr>
          <w:rFonts w:hint="eastAsia" w:ascii="宋体" w:hAnsi="宋体" w:cs="宋体"/>
          <w:color w:val="auto"/>
          <w:sz w:val="24"/>
        </w:rPr>
        <w:t>法定代表人或委托代理人（签字</w:t>
      </w:r>
      <w:r>
        <w:rPr>
          <w:rFonts w:hint="eastAsia" w:ascii="宋体" w:hAnsi="宋体" w:cs="宋体"/>
          <w:color w:val="auto"/>
          <w:sz w:val="24"/>
          <w:lang w:val="en-US" w:eastAsia="zh-CN"/>
        </w:rPr>
        <w:t>或者</w:t>
      </w:r>
      <w:r>
        <w:rPr>
          <w:rFonts w:hint="eastAsia" w:ascii="宋体" w:hAnsi="宋体" w:cs="宋体"/>
          <w:color w:val="auto"/>
          <w:sz w:val="24"/>
        </w:rPr>
        <w:t>电子签名）</w:t>
      </w:r>
      <w:r>
        <w:rPr>
          <w:rFonts w:hint="eastAsia" w:ascii="宋体" w:hAnsi="宋体" w:cs="宋体"/>
          <w:color w:val="auto"/>
          <w:spacing w:val="20"/>
          <w:sz w:val="24"/>
        </w:rPr>
        <w:t>：</w:t>
      </w:r>
      <w:r>
        <w:rPr>
          <w:rFonts w:hint="eastAsia" w:ascii="宋体" w:hAnsi="宋体" w:cs="宋体"/>
          <w:color w:val="auto"/>
          <w:spacing w:val="20"/>
          <w:sz w:val="24"/>
          <w:u w:val="single"/>
        </w:rPr>
        <w:t xml:space="preserve">        </w:t>
      </w:r>
    </w:p>
    <w:p w14:paraId="6E024BC6">
      <w:pPr>
        <w:keepNext w:val="0"/>
        <w:keepLines w:val="0"/>
        <w:pageBreakBefore w:val="0"/>
        <w:kinsoku/>
        <w:overflowPunct/>
        <w:bidi w:val="0"/>
        <w:snapToGrid w:val="0"/>
        <w:spacing w:before="120" w:beforeLines="50" w:line="360" w:lineRule="auto"/>
        <w:rPr>
          <w:rFonts w:ascii="宋体" w:hAnsi="宋体" w:cs="宋体"/>
          <w:color w:val="auto"/>
          <w:spacing w:val="20"/>
          <w:sz w:val="24"/>
        </w:rPr>
      </w:pPr>
      <w:r>
        <w:rPr>
          <w:rFonts w:hint="eastAsia" w:ascii="宋体" w:hAnsi="宋体" w:cs="宋体"/>
          <w:color w:val="auto"/>
          <w:spacing w:val="20"/>
          <w:sz w:val="24"/>
        </w:rPr>
        <w:t>投标人盖</w:t>
      </w:r>
      <w:r>
        <w:rPr>
          <w:rFonts w:hint="eastAsia" w:ascii="宋体" w:hAnsi="宋体"/>
          <w:color w:val="auto"/>
          <w:spacing w:val="20"/>
          <w:sz w:val="24"/>
          <w:highlight w:val="none"/>
          <w:shd w:val="clear" w:color="auto" w:fill="auto"/>
        </w:rPr>
        <w:t>（电子签章）</w:t>
      </w:r>
      <w:r>
        <w:rPr>
          <w:rFonts w:hint="eastAsia" w:ascii="宋体" w:hAnsi="宋体" w:cs="宋体"/>
          <w:color w:val="auto"/>
          <w:spacing w:val="20"/>
          <w:sz w:val="24"/>
        </w:rPr>
        <w:t>：</w:t>
      </w:r>
      <w:r>
        <w:rPr>
          <w:rFonts w:hint="eastAsia" w:ascii="宋体" w:hAnsi="宋体" w:cs="宋体"/>
          <w:color w:val="auto"/>
          <w:spacing w:val="20"/>
          <w:sz w:val="24"/>
          <w:u w:val="single"/>
        </w:rPr>
        <w:t xml:space="preserve">            </w:t>
      </w:r>
      <w:r>
        <w:rPr>
          <w:rFonts w:hint="eastAsia" w:ascii="宋体" w:hAnsi="宋体" w:cs="宋体"/>
          <w:color w:val="auto"/>
          <w:spacing w:val="20"/>
          <w:sz w:val="24"/>
        </w:rPr>
        <w:t xml:space="preserve">   </w:t>
      </w:r>
    </w:p>
    <w:p w14:paraId="09CD19D7">
      <w:pPr>
        <w:keepNext w:val="0"/>
        <w:keepLines w:val="0"/>
        <w:pageBreakBefore w:val="0"/>
        <w:kinsoku/>
        <w:overflowPunct/>
        <w:bidi w:val="0"/>
        <w:snapToGrid w:val="0"/>
        <w:spacing w:before="120" w:beforeLines="50" w:line="360" w:lineRule="auto"/>
        <w:rPr>
          <w:rFonts w:ascii="宋体" w:hAnsi="宋体" w:cs="宋体"/>
          <w:color w:val="auto"/>
          <w:sz w:val="24"/>
          <w:szCs w:val="20"/>
        </w:rPr>
      </w:pPr>
      <w:r>
        <w:rPr>
          <w:rFonts w:hint="eastAsia" w:ascii="宋体" w:hAnsi="宋体" w:cs="宋体"/>
          <w:color w:val="auto"/>
          <w:spacing w:val="20"/>
          <w:sz w:val="24"/>
        </w:rPr>
        <w:t>日  期：</w:t>
      </w:r>
      <w:r>
        <w:rPr>
          <w:rFonts w:hint="eastAsia" w:ascii="宋体" w:hAnsi="宋体" w:cs="宋体"/>
          <w:color w:val="auto"/>
          <w:spacing w:val="20"/>
          <w:sz w:val="24"/>
          <w:u w:val="single"/>
        </w:rPr>
        <w:t xml:space="preserve">        </w:t>
      </w:r>
    </w:p>
    <w:p w14:paraId="7DCF7805">
      <w:pPr>
        <w:keepNext w:val="0"/>
        <w:keepLines w:val="0"/>
        <w:pageBreakBefore w:val="0"/>
        <w:kinsoku/>
        <w:overflowPunct/>
        <w:bidi w:val="0"/>
        <w:snapToGrid w:val="0"/>
        <w:spacing w:before="120" w:beforeLines="50" w:after="50" w:line="360" w:lineRule="auto"/>
        <w:ind w:left="142"/>
        <w:jc w:val="left"/>
        <w:rPr>
          <w:rFonts w:ascii="宋体" w:hAnsi="宋体" w:cs="宋体"/>
          <w:b/>
          <w:color w:val="auto"/>
          <w:sz w:val="24"/>
        </w:rPr>
      </w:pPr>
    </w:p>
    <w:p w14:paraId="11ADF966">
      <w:pPr>
        <w:keepNext w:val="0"/>
        <w:keepLines w:val="0"/>
        <w:pageBreakBefore w:val="0"/>
        <w:kinsoku/>
        <w:overflowPunct/>
        <w:bidi w:val="0"/>
        <w:spacing w:line="360" w:lineRule="auto"/>
        <w:rPr>
          <w:color w:val="auto"/>
        </w:rPr>
      </w:pPr>
      <w:r>
        <w:rPr>
          <w:rFonts w:hint="eastAsia" w:ascii="宋体" w:hAnsi="宋体" w:cs="宋体"/>
          <w:b/>
          <w:color w:val="auto"/>
          <w:sz w:val="24"/>
        </w:rPr>
        <w:br w:type="page"/>
      </w:r>
    </w:p>
    <w:p w14:paraId="23AC0F63">
      <w:pPr>
        <w:keepNext w:val="0"/>
        <w:keepLines w:val="0"/>
        <w:pageBreakBefore w:val="0"/>
        <w:kinsoku/>
        <w:overflowPunct/>
        <w:bidi w:val="0"/>
        <w:snapToGrid w:val="0"/>
        <w:spacing w:before="120" w:beforeLines="50" w:after="50" w:line="360" w:lineRule="auto"/>
        <w:ind w:left="142"/>
        <w:jc w:val="left"/>
        <w:rPr>
          <w:rFonts w:ascii="宋体" w:hAnsi="宋体" w:cs="宋体"/>
          <w:b/>
          <w:color w:val="auto"/>
          <w:sz w:val="24"/>
        </w:rPr>
      </w:pPr>
      <w:r>
        <w:rPr>
          <w:rFonts w:hint="eastAsia" w:ascii="宋体" w:hAnsi="宋体" w:cs="宋体"/>
          <w:b/>
          <w:color w:val="auto"/>
          <w:sz w:val="24"/>
        </w:rPr>
        <w:t>6.投标人业绩证明材料</w:t>
      </w:r>
    </w:p>
    <w:p w14:paraId="53113E8C">
      <w:pPr>
        <w:keepNext w:val="0"/>
        <w:keepLines w:val="0"/>
        <w:pageBreakBefore w:val="0"/>
        <w:kinsoku/>
        <w:overflowPunct/>
        <w:bidi w:val="0"/>
        <w:snapToGrid w:val="0"/>
        <w:spacing w:before="50" w:after="120" w:afterLines="50" w:line="360" w:lineRule="auto"/>
        <w:jc w:val="left"/>
        <w:rPr>
          <w:rFonts w:ascii="宋体" w:hAnsi="宋体" w:cs="宋体"/>
          <w:color w:val="auto"/>
          <w:sz w:val="24"/>
          <w:szCs w:val="20"/>
        </w:rPr>
      </w:pPr>
      <w:r>
        <w:rPr>
          <w:rFonts w:hint="eastAsia" w:ascii="宋体" w:hAnsi="宋体"/>
          <w:color w:val="auto"/>
          <w:sz w:val="24"/>
          <w:highlight w:val="none"/>
          <w:shd w:val="clear" w:color="auto" w:fill="auto"/>
        </w:rPr>
        <w:t>投标人业绩情况一览表格式：</w:t>
      </w:r>
    </w:p>
    <w:tbl>
      <w:tblPr>
        <w:tblStyle w:val="25"/>
        <w:tblW w:w="962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408"/>
        <w:gridCol w:w="1997"/>
        <w:gridCol w:w="1997"/>
        <w:gridCol w:w="3224"/>
      </w:tblGrid>
      <w:tr w14:paraId="1E97DE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408" w:type="dxa"/>
            <w:vMerge w:val="restart"/>
            <w:tcBorders>
              <w:top w:val="single" w:color="auto" w:sz="4" w:space="0"/>
              <w:left w:val="single" w:color="auto" w:sz="4" w:space="0"/>
              <w:bottom w:val="single" w:color="auto" w:sz="4" w:space="0"/>
              <w:right w:val="single" w:color="auto" w:sz="4" w:space="0"/>
            </w:tcBorders>
            <w:vAlign w:val="center"/>
          </w:tcPr>
          <w:p w14:paraId="5D254389">
            <w:pPr>
              <w:keepNext w:val="0"/>
              <w:keepLines w:val="0"/>
              <w:pageBreakBefore w:val="0"/>
              <w:shd w:val="clear" w:color="auto" w:fill="auto"/>
              <w:kinsoku/>
              <w:overflowPunct/>
              <w:bidi w:val="0"/>
              <w:snapToGrid w:val="0"/>
              <w:spacing w:line="360" w:lineRule="auto"/>
              <w:jc w:val="center"/>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采购人名称</w:t>
            </w:r>
          </w:p>
        </w:tc>
        <w:tc>
          <w:tcPr>
            <w:tcW w:w="1997" w:type="dxa"/>
            <w:vMerge w:val="restart"/>
            <w:tcBorders>
              <w:top w:val="single" w:color="auto" w:sz="4" w:space="0"/>
              <w:left w:val="single" w:color="auto" w:sz="4" w:space="0"/>
              <w:bottom w:val="single" w:color="auto" w:sz="4" w:space="0"/>
              <w:right w:val="single" w:color="auto" w:sz="4" w:space="0"/>
            </w:tcBorders>
            <w:vAlign w:val="center"/>
          </w:tcPr>
          <w:p w14:paraId="544116E8">
            <w:pPr>
              <w:keepNext w:val="0"/>
              <w:keepLines w:val="0"/>
              <w:pageBreakBefore w:val="0"/>
              <w:shd w:val="clear" w:color="auto" w:fill="auto"/>
              <w:kinsoku/>
              <w:overflowPunct/>
              <w:bidi w:val="0"/>
              <w:snapToGrid w:val="0"/>
              <w:spacing w:line="360" w:lineRule="auto"/>
              <w:jc w:val="center"/>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项目名称</w:t>
            </w:r>
          </w:p>
        </w:tc>
        <w:tc>
          <w:tcPr>
            <w:tcW w:w="1997" w:type="dxa"/>
            <w:vMerge w:val="restart"/>
            <w:tcBorders>
              <w:top w:val="single" w:color="auto" w:sz="4" w:space="0"/>
              <w:left w:val="single" w:color="auto" w:sz="4" w:space="0"/>
              <w:bottom w:val="single" w:color="auto" w:sz="4" w:space="0"/>
              <w:right w:val="single" w:color="auto" w:sz="4" w:space="0"/>
            </w:tcBorders>
            <w:vAlign w:val="center"/>
          </w:tcPr>
          <w:p w14:paraId="5072FB1C">
            <w:pPr>
              <w:keepNext w:val="0"/>
              <w:keepLines w:val="0"/>
              <w:pageBreakBefore w:val="0"/>
              <w:shd w:val="clear" w:color="auto" w:fill="auto"/>
              <w:kinsoku/>
              <w:overflowPunct/>
              <w:bidi w:val="0"/>
              <w:snapToGrid w:val="0"/>
              <w:spacing w:line="360" w:lineRule="auto"/>
              <w:jc w:val="center"/>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合同金额</w:t>
            </w:r>
          </w:p>
          <w:p w14:paraId="5EA3775F">
            <w:pPr>
              <w:keepNext w:val="0"/>
              <w:keepLines w:val="0"/>
              <w:pageBreakBefore w:val="0"/>
              <w:shd w:val="clear" w:color="auto" w:fill="auto"/>
              <w:kinsoku/>
              <w:overflowPunct/>
              <w:bidi w:val="0"/>
              <w:snapToGrid w:val="0"/>
              <w:spacing w:line="360" w:lineRule="auto"/>
              <w:jc w:val="center"/>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（万元）</w:t>
            </w:r>
          </w:p>
        </w:tc>
        <w:tc>
          <w:tcPr>
            <w:tcW w:w="3224" w:type="dxa"/>
            <w:vMerge w:val="restart"/>
            <w:tcBorders>
              <w:top w:val="single" w:color="auto" w:sz="4" w:space="0"/>
              <w:left w:val="single" w:color="auto" w:sz="4" w:space="0"/>
              <w:bottom w:val="single" w:color="auto" w:sz="4" w:space="0"/>
              <w:right w:val="single" w:color="auto" w:sz="4" w:space="0"/>
            </w:tcBorders>
            <w:vAlign w:val="center"/>
          </w:tcPr>
          <w:p w14:paraId="03C7AB13">
            <w:pPr>
              <w:keepNext w:val="0"/>
              <w:keepLines w:val="0"/>
              <w:pageBreakBefore w:val="0"/>
              <w:shd w:val="clear" w:color="auto" w:fill="auto"/>
              <w:kinsoku/>
              <w:overflowPunct/>
              <w:bidi w:val="0"/>
              <w:snapToGrid w:val="0"/>
              <w:spacing w:line="360" w:lineRule="auto"/>
              <w:jc w:val="center"/>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采购人联系人及</w:t>
            </w:r>
          </w:p>
          <w:p w14:paraId="3ED9C1A5">
            <w:pPr>
              <w:keepNext w:val="0"/>
              <w:keepLines w:val="0"/>
              <w:pageBreakBefore w:val="0"/>
              <w:shd w:val="clear" w:color="auto" w:fill="auto"/>
              <w:kinsoku/>
              <w:overflowPunct/>
              <w:bidi w:val="0"/>
              <w:snapToGrid w:val="0"/>
              <w:spacing w:line="360" w:lineRule="auto"/>
              <w:jc w:val="center"/>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联系电话</w:t>
            </w:r>
          </w:p>
        </w:tc>
      </w:tr>
      <w:tr w14:paraId="5D3CD3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408" w:type="dxa"/>
            <w:vMerge w:val="continue"/>
            <w:tcBorders>
              <w:top w:val="single" w:color="auto" w:sz="4" w:space="0"/>
              <w:left w:val="single" w:color="auto" w:sz="4" w:space="0"/>
              <w:bottom w:val="single" w:color="auto" w:sz="4" w:space="0"/>
              <w:right w:val="single" w:color="auto" w:sz="4" w:space="0"/>
            </w:tcBorders>
            <w:vAlign w:val="center"/>
          </w:tcPr>
          <w:p w14:paraId="260DFE94">
            <w:pPr>
              <w:keepNext w:val="0"/>
              <w:keepLines w:val="0"/>
              <w:pageBreakBefore w:val="0"/>
              <w:shd w:val="clear" w:color="auto" w:fill="auto"/>
              <w:kinsoku/>
              <w:overflowPunct/>
              <w:bidi w:val="0"/>
              <w:spacing w:line="360" w:lineRule="auto"/>
              <w:jc w:val="left"/>
              <w:rPr>
                <w:rFonts w:hint="eastAsia" w:ascii="宋体" w:hAnsi="宋体"/>
                <w:color w:val="auto"/>
                <w:sz w:val="24"/>
                <w:highlight w:val="none"/>
                <w:shd w:val="clear" w:color="auto" w:fill="auto"/>
              </w:rPr>
            </w:pPr>
          </w:p>
        </w:tc>
        <w:tc>
          <w:tcPr>
            <w:tcW w:w="1997" w:type="dxa"/>
            <w:vMerge w:val="continue"/>
            <w:tcBorders>
              <w:top w:val="single" w:color="auto" w:sz="4" w:space="0"/>
              <w:left w:val="single" w:color="auto" w:sz="4" w:space="0"/>
              <w:bottom w:val="single" w:color="auto" w:sz="4" w:space="0"/>
              <w:right w:val="single" w:color="auto" w:sz="4" w:space="0"/>
            </w:tcBorders>
            <w:vAlign w:val="center"/>
          </w:tcPr>
          <w:p w14:paraId="5856743C">
            <w:pPr>
              <w:keepNext w:val="0"/>
              <w:keepLines w:val="0"/>
              <w:pageBreakBefore w:val="0"/>
              <w:shd w:val="clear" w:color="auto" w:fill="auto"/>
              <w:kinsoku/>
              <w:overflowPunct/>
              <w:bidi w:val="0"/>
              <w:spacing w:line="360" w:lineRule="auto"/>
              <w:jc w:val="left"/>
              <w:rPr>
                <w:rFonts w:hint="eastAsia" w:ascii="宋体" w:hAnsi="宋体"/>
                <w:color w:val="auto"/>
                <w:sz w:val="24"/>
                <w:highlight w:val="none"/>
                <w:shd w:val="clear" w:color="auto" w:fill="auto"/>
              </w:rPr>
            </w:pPr>
          </w:p>
        </w:tc>
        <w:tc>
          <w:tcPr>
            <w:tcW w:w="1997" w:type="dxa"/>
            <w:vMerge w:val="continue"/>
            <w:tcBorders>
              <w:top w:val="single" w:color="auto" w:sz="4" w:space="0"/>
              <w:left w:val="single" w:color="auto" w:sz="4" w:space="0"/>
              <w:bottom w:val="single" w:color="auto" w:sz="4" w:space="0"/>
              <w:right w:val="single" w:color="auto" w:sz="4" w:space="0"/>
            </w:tcBorders>
            <w:vAlign w:val="center"/>
          </w:tcPr>
          <w:p w14:paraId="1352613E">
            <w:pPr>
              <w:keepNext w:val="0"/>
              <w:keepLines w:val="0"/>
              <w:pageBreakBefore w:val="0"/>
              <w:shd w:val="clear" w:color="auto" w:fill="auto"/>
              <w:kinsoku/>
              <w:overflowPunct/>
              <w:bidi w:val="0"/>
              <w:spacing w:line="360" w:lineRule="auto"/>
              <w:jc w:val="left"/>
              <w:rPr>
                <w:rFonts w:hint="eastAsia" w:ascii="宋体" w:hAnsi="宋体"/>
                <w:color w:val="auto"/>
                <w:sz w:val="24"/>
                <w:highlight w:val="none"/>
                <w:shd w:val="clear" w:color="auto" w:fill="auto"/>
              </w:rPr>
            </w:pPr>
          </w:p>
        </w:tc>
        <w:tc>
          <w:tcPr>
            <w:tcW w:w="3224" w:type="dxa"/>
            <w:vMerge w:val="continue"/>
            <w:tcBorders>
              <w:top w:val="single" w:color="auto" w:sz="4" w:space="0"/>
              <w:left w:val="single" w:color="auto" w:sz="4" w:space="0"/>
              <w:bottom w:val="single" w:color="auto" w:sz="4" w:space="0"/>
              <w:right w:val="single" w:color="auto" w:sz="4" w:space="0"/>
            </w:tcBorders>
            <w:vAlign w:val="center"/>
          </w:tcPr>
          <w:p w14:paraId="2399DFA1">
            <w:pPr>
              <w:keepNext w:val="0"/>
              <w:keepLines w:val="0"/>
              <w:pageBreakBefore w:val="0"/>
              <w:shd w:val="clear" w:color="auto" w:fill="auto"/>
              <w:kinsoku/>
              <w:overflowPunct/>
              <w:bidi w:val="0"/>
              <w:spacing w:line="360" w:lineRule="auto"/>
              <w:jc w:val="left"/>
              <w:rPr>
                <w:rFonts w:hint="eastAsia" w:ascii="宋体" w:hAnsi="宋体"/>
                <w:color w:val="auto"/>
                <w:sz w:val="24"/>
                <w:highlight w:val="none"/>
                <w:shd w:val="clear" w:color="auto" w:fill="auto"/>
              </w:rPr>
            </w:pPr>
          </w:p>
        </w:tc>
      </w:tr>
      <w:tr w14:paraId="7479CE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408" w:type="dxa"/>
            <w:tcBorders>
              <w:top w:val="single" w:color="auto" w:sz="4" w:space="0"/>
              <w:left w:val="single" w:color="auto" w:sz="4" w:space="0"/>
              <w:bottom w:val="single" w:color="auto" w:sz="4" w:space="0"/>
              <w:right w:val="single" w:color="auto" w:sz="4" w:space="0"/>
            </w:tcBorders>
            <w:vAlign w:val="top"/>
          </w:tcPr>
          <w:p w14:paraId="11869870">
            <w:pPr>
              <w:keepNext w:val="0"/>
              <w:keepLines w:val="0"/>
              <w:pageBreakBefore w:val="0"/>
              <w:shd w:val="clear" w:color="auto" w:fill="auto"/>
              <w:kinsoku/>
              <w:overflowPunct/>
              <w:bidi w:val="0"/>
              <w:snapToGrid w:val="0"/>
              <w:spacing w:line="360" w:lineRule="auto"/>
              <w:jc w:val="left"/>
              <w:rPr>
                <w:rFonts w:hint="eastAsia" w:ascii="宋体" w:hAnsi="宋体"/>
                <w:color w:val="auto"/>
                <w:sz w:val="24"/>
                <w:highlight w:val="none"/>
                <w:shd w:val="clear" w:color="auto" w:fill="auto"/>
              </w:rPr>
            </w:pPr>
          </w:p>
        </w:tc>
        <w:tc>
          <w:tcPr>
            <w:tcW w:w="1997" w:type="dxa"/>
            <w:tcBorders>
              <w:top w:val="single" w:color="auto" w:sz="4" w:space="0"/>
              <w:left w:val="single" w:color="auto" w:sz="4" w:space="0"/>
              <w:bottom w:val="single" w:color="auto" w:sz="4" w:space="0"/>
              <w:right w:val="single" w:color="auto" w:sz="4" w:space="0"/>
            </w:tcBorders>
            <w:vAlign w:val="top"/>
          </w:tcPr>
          <w:p w14:paraId="22942B43">
            <w:pPr>
              <w:keepNext w:val="0"/>
              <w:keepLines w:val="0"/>
              <w:pageBreakBefore w:val="0"/>
              <w:shd w:val="clear" w:color="auto" w:fill="auto"/>
              <w:kinsoku/>
              <w:overflowPunct/>
              <w:bidi w:val="0"/>
              <w:snapToGrid w:val="0"/>
              <w:spacing w:line="360" w:lineRule="auto"/>
              <w:jc w:val="left"/>
              <w:rPr>
                <w:rFonts w:hint="eastAsia" w:ascii="宋体" w:hAnsi="宋体"/>
                <w:color w:val="auto"/>
                <w:sz w:val="24"/>
                <w:highlight w:val="none"/>
                <w:shd w:val="clear" w:color="auto" w:fill="auto"/>
              </w:rPr>
            </w:pPr>
          </w:p>
        </w:tc>
        <w:tc>
          <w:tcPr>
            <w:tcW w:w="1997" w:type="dxa"/>
            <w:tcBorders>
              <w:top w:val="single" w:color="auto" w:sz="4" w:space="0"/>
              <w:left w:val="single" w:color="auto" w:sz="4" w:space="0"/>
              <w:bottom w:val="single" w:color="auto" w:sz="4" w:space="0"/>
              <w:right w:val="single" w:color="auto" w:sz="4" w:space="0"/>
            </w:tcBorders>
            <w:vAlign w:val="top"/>
          </w:tcPr>
          <w:p w14:paraId="6F1DB2CF">
            <w:pPr>
              <w:keepNext w:val="0"/>
              <w:keepLines w:val="0"/>
              <w:pageBreakBefore w:val="0"/>
              <w:shd w:val="clear" w:color="auto" w:fill="auto"/>
              <w:kinsoku/>
              <w:overflowPunct/>
              <w:bidi w:val="0"/>
              <w:snapToGrid w:val="0"/>
              <w:spacing w:line="360" w:lineRule="auto"/>
              <w:jc w:val="left"/>
              <w:rPr>
                <w:rFonts w:hint="eastAsia" w:ascii="宋体" w:hAnsi="宋体"/>
                <w:color w:val="auto"/>
                <w:sz w:val="24"/>
                <w:highlight w:val="none"/>
                <w:shd w:val="clear" w:color="auto" w:fill="auto"/>
              </w:rPr>
            </w:pPr>
          </w:p>
        </w:tc>
        <w:tc>
          <w:tcPr>
            <w:tcW w:w="3224" w:type="dxa"/>
            <w:tcBorders>
              <w:top w:val="single" w:color="auto" w:sz="4" w:space="0"/>
              <w:left w:val="single" w:color="auto" w:sz="4" w:space="0"/>
              <w:bottom w:val="single" w:color="auto" w:sz="4" w:space="0"/>
              <w:right w:val="single" w:color="auto" w:sz="4" w:space="0"/>
            </w:tcBorders>
            <w:vAlign w:val="top"/>
          </w:tcPr>
          <w:p w14:paraId="35F40D77">
            <w:pPr>
              <w:keepNext w:val="0"/>
              <w:keepLines w:val="0"/>
              <w:pageBreakBefore w:val="0"/>
              <w:shd w:val="clear" w:color="auto" w:fill="auto"/>
              <w:kinsoku/>
              <w:overflowPunct/>
              <w:bidi w:val="0"/>
              <w:snapToGrid w:val="0"/>
              <w:spacing w:line="360" w:lineRule="auto"/>
              <w:jc w:val="left"/>
              <w:rPr>
                <w:rFonts w:hint="eastAsia" w:ascii="宋体" w:hAnsi="宋体"/>
                <w:color w:val="auto"/>
                <w:sz w:val="24"/>
                <w:highlight w:val="none"/>
                <w:shd w:val="clear" w:color="auto" w:fill="auto"/>
              </w:rPr>
            </w:pPr>
          </w:p>
        </w:tc>
      </w:tr>
      <w:tr w14:paraId="4EE612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408" w:type="dxa"/>
            <w:tcBorders>
              <w:top w:val="single" w:color="auto" w:sz="4" w:space="0"/>
              <w:left w:val="single" w:color="auto" w:sz="4" w:space="0"/>
              <w:bottom w:val="single" w:color="auto" w:sz="4" w:space="0"/>
              <w:right w:val="single" w:color="auto" w:sz="4" w:space="0"/>
            </w:tcBorders>
            <w:vAlign w:val="top"/>
          </w:tcPr>
          <w:p w14:paraId="364993EE">
            <w:pPr>
              <w:keepNext w:val="0"/>
              <w:keepLines w:val="0"/>
              <w:pageBreakBefore w:val="0"/>
              <w:shd w:val="clear" w:color="auto" w:fill="auto"/>
              <w:kinsoku/>
              <w:overflowPunct/>
              <w:bidi w:val="0"/>
              <w:snapToGrid w:val="0"/>
              <w:spacing w:before="50" w:after="120" w:afterLines="50" w:line="360" w:lineRule="auto"/>
              <w:jc w:val="left"/>
              <w:rPr>
                <w:rFonts w:hint="eastAsia" w:ascii="宋体" w:hAnsi="宋体"/>
                <w:color w:val="auto"/>
                <w:sz w:val="24"/>
                <w:highlight w:val="none"/>
                <w:shd w:val="clear" w:color="auto" w:fill="auto"/>
              </w:rPr>
            </w:pPr>
          </w:p>
        </w:tc>
        <w:tc>
          <w:tcPr>
            <w:tcW w:w="1997" w:type="dxa"/>
            <w:tcBorders>
              <w:top w:val="single" w:color="auto" w:sz="4" w:space="0"/>
              <w:left w:val="single" w:color="auto" w:sz="4" w:space="0"/>
              <w:bottom w:val="single" w:color="auto" w:sz="4" w:space="0"/>
              <w:right w:val="single" w:color="auto" w:sz="4" w:space="0"/>
            </w:tcBorders>
            <w:vAlign w:val="top"/>
          </w:tcPr>
          <w:p w14:paraId="2258EAA3">
            <w:pPr>
              <w:keepNext w:val="0"/>
              <w:keepLines w:val="0"/>
              <w:pageBreakBefore w:val="0"/>
              <w:shd w:val="clear" w:color="auto" w:fill="auto"/>
              <w:kinsoku/>
              <w:overflowPunct/>
              <w:bidi w:val="0"/>
              <w:snapToGrid w:val="0"/>
              <w:spacing w:before="50" w:after="120" w:afterLines="50" w:line="360" w:lineRule="auto"/>
              <w:jc w:val="left"/>
              <w:rPr>
                <w:rFonts w:hint="eastAsia" w:ascii="宋体" w:hAnsi="宋体"/>
                <w:color w:val="auto"/>
                <w:sz w:val="24"/>
                <w:highlight w:val="none"/>
                <w:shd w:val="clear" w:color="auto" w:fill="auto"/>
              </w:rPr>
            </w:pPr>
          </w:p>
        </w:tc>
        <w:tc>
          <w:tcPr>
            <w:tcW w:w="1997" w:type="dxa"/>
            <w:tcBorders>
              <w:top w:val="single" w:color="auto" w:sz="4" w:space="0"/>
              <w:left w:val="single" w:color="auto" w:sz="4" w:space="0"/>
              <w:bottom w:val="single" w:color="auto" w:sz="4" w:space="0"/>
              <w:right w:val="single" w:color="auto" w:sz="4" w:space="0"/>
            </w:tcBorders>
            <w:vAlign w:val="top"/>
          </w:tcPr>
          <w:p w14:paraId="1BF07E1F">
            <w:pPr>
              <w:keepNext w:val="0"/>
              <w:keepLines w:val="0"/>
              <w:pageBreakBefore w:val="0"/>
              <w:shd w:val="clear" w:color="auto" w:fill="auto"/>
              <w:kinsoku/>
              <w:overflowPunct/>
              <w:bidi w:val="0"/>
              <w:snapToGrid w:val="0"/>
              <w:spacing w:before="50" w:after="120" w:afterLines="50" w:line="360" w:lineRule="auto"/>
              <w:jc w:val="left"/>
              <w:rPr>
                <w:rFonts w:hint="eastAsia" w:ascii="宋体" w:hAnsi="宋体"/>
                <w:color w:val="auto"/>
                <w:sz w:val="24"/>
                <w:highlight w:val="none"/>
                <w:shd w:val="clear" w:color="auto" w:fill="auto"/>
              </w:rPr>
            </w:pPr>
          </w:p>
        </w:tc>
        <w:tc>
          <w:tcPr>
            <w:tcW w:w="3224" w:type="dxa"/>
            <w:tcBorders>
              <w:top w:val="single" w:color="auto" w:sz="4" w:space="0"/>
              <w:left w:val="single" w:color="auto" w:sz="4" w:space="0"/>
              <w:bottom w:val="single" w:color="auto" w:sz="4" w:space="0"/>
              <w:right w:val="single" w:color="auto" w:sz="4" w:space="0"/>
            </w:tcBorders>
            <w:vAlign w:val="top"/>
          </w:tcPr>
          <w:p w14:paraId="1624C17C">
            <w:pPr>
              <w:keepNext w:val="0"/>
              <w:keepLines w:val="0"/>
              <w:pageBreakBefore w:val="0"/>
              <w:shd w:val="clear" w:color="auto" w:fill="auto"/>
              <w:kinsoku/>
              <w:overflowPunct/>
              <w:bidi w:val="0"/>
              <w:snapToGrid w:val="0"/>
              <w:spacing w:before="50" w:after="120" w:afterLines="50" w:line="360" w:lineRule="auto"/>
              <w:jc w:val="left"/>
              <w:rPr>
                <w:rFonts w:hint="eastAsia" w:ascii="宋体" w:hAnsi="宋体"/>
                <w:color w:val="auto"/>
                <w:sz w:val="24"/>
                <w:highlight w:val="none"/>
                <w:shd w:val="clear" w:color="auto" w:fill="auto"/>
              </w:rPr>
            </w:pPr>
          </w:p>
        </w:tc>
      </w:tr>
      <w:tr w14:paraId="7C83B5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408" w:type="dxa"/>
            <w:tcBorders>
              <w:top w:val="single" w:color="auto" w:sz="4" w:space="0"/>
              <w:left w:val="single" w:color="auto" w:sz="4" w:space="0"/>
              <w:bottom w:val="single" w:color="auto" w:sz="4" w:space="0"/>
              <w:right w:val="single" w:color="auto" w:sz="4" w:space="0"/>
            </w:tcBorders>
            <w:vAlign w:val="top"/>
          </w:tcPr>
          <w:p w14:paraId="65410831">
            <w:pPr>
              <w:keepNext w:val="0"/>
              <w:keepLines w:val="0"/>
              <w:pageBreakBefore w:val="0"/>
              <w:shd w:val="clear" w:color="auto" w:fill="auto"/>
              <w:kinsoku/>
              <w:overflowPunct/>
              <w:bidi w:val="0"/>
              <w:snapToGrid w:val="0"/>
              <w:spacing w:before="50" w:after="120" w:afterLines="50" w:line="360" w:lineRule="auto"/>
              <w:jc w:val="left"/>
              <w:rPr>
                <w:rFonts w:hint="eastAsia" w:ascii="宋体" w:hAnsi="宋体"/>
                <w:color w:val="auto"/>
                <w:sz w:val="24"/>
                <w:highlight w:val="none"/>
                <w:shd w:val="clear" w:color="auto" w:fill="auto"/>
              </w:rPr>
            </w:pPr>
          </w:p>
        </w:tc>
        <w:tc>
          <w:tcPr>
            <w:tcW w:w="1997" w:type="dxa"/>
            <w:tcBorders>
              <w:top w:val="single" w:color="auto" w:sz="4" w:space="0"/>
              <w:left w:val="single" w:color="auto" w:sz="4" w:space="0"/>
              <w:bottom w:val="single" w:color="auto" w:sz="4" w:space="0"/>
              <w:right w:val="single" w:color="auto" w:sz="4" w:space="0"/>
            </w:tcBorders>
            <w:vAlign w:val="top"/>
          </w:tcPr>
          <w:p w14:paraId="3DAFD433">
            <w:pPr>
              <w:keepNext w:val="0"/>
              <w:keepLines w:val="0"/>
              <w:pageBreakBefore w:val="0"/>
              <w:shd w:val="clear" w:color="auto" w:fill="auto"/>
              <w:kinsoku/>
              <w:overflowPunct/>
              <w:bidi w:val="0"/>
              <w:snapToGrid w:val="0"/>
              <w:spacing w:before="50" w:after="120" w:afterLines="50" w:line="360" w:lineRule="auto"/>
              <w:jc w:val="left"/>
              <w:rPr>
                <w:rFonts w:hint="eastAsia" w:ascii="宋体" w:hAnsi="宋体"/>
                <w:color w:val="auto"/>
                <w:sz w:val="24"/>
                <w:highlight w:val="none"/>
                <w:shd w:val="clear" w:color="auto" w:fill="auto"/>
              </w:rPr>
            </w:pPr>
          </w:p>
        </w:tc>
        <w:tc>
          <w:tcPr>
            <w:tcW w:w="1997" w:type="dxa"/>
            <w:tcBorders>
              <w:top w:val="single" w:color="auto" w:sz="4" w:space="0"/>
              <w:left w:val="single" w:color="auto" w:sz="4" w:space="0"/>
              <w:bottom w:val="single" w:color="auto" w:sz="4" w:space="0"/>
              <w:right w:val="single" w:color="auto" w:sz="4" w:space="0"/>
            </w:tcBorders>
            <w:vAlign w:val="top"/>
          </w:tcPr>
          <w:p w14:paraId="1395413C">
            <w:pPr>
              <w:keepNext w:val="0"/>
              <w:keepLines w:val="0"/>
              <w:pageBreakBefore w:val="0"/>
              <w:shd w:val="clear" w:color="auto" w:fill="auto"/>
              <w:kinsoku/>
              <w:overflowPunct/>
              <w:bidi w:val="0"/>
              <w:snapToGrid w:val="0"/>
              <w:spacing w:before="50" w:after="120" w:afterLines="50" w:line="360" w:lineRule="auto"/>
              <w:jc w:val="left"/>
              <w:rPr>
                <w:rFonts w:hint="eastAsia" w:ascii="宋体" w:hAnsi="宋体"/>
                <w:color w:val="auto"/>
                <w:sz w:val="24"/>
                <w:highlight w:val="none"/>
                <w:shd w:val="clear" w:color="auto" w:fill="auto"/>
              </w:rPr>
            </w:pPr>
          </w:p>
        </w:tc>
        <w:tc>
          <w:tcPr>
            <w:tcW w:w="3224" w:type="dxa"/>
            <w:tcBorders>
              <w:top w:val="single" w:color="auto" w:sz="4" w:space="0"/>
              <w:left w:val="single" w:color="auto" w:sz="4" w:space="0"/>
              <w:bottom w:val="single" w:color="auto" w:sz="4" w:space="0"/>
              <w:right w:val="single" w:color="auto" w:sz="4" w:space="0"/>
            </w:tcBorders>
            <w:vAlign w:val="top"/>
          </w:tcPr>
          <w:p w14:paraId="2DF99712">
            <w:pPr>
              <w:keepNext w:val="0"/>
              <w:keepLines w:val="0"/>
              <w:pageBreakBefore w:val="0"/>
              <w:shd w:val="clear" w:color="auto" w:fill="auto"/>
              <w:kinsoku/>
              <w:overflowPunct/>
              <w:bidi w:val="0"/>
              <w:snapToGrid w:val="0"/>
              <w:spacing w:before="50" w:after="120" w:afterLines="50" w:line="360" w:lineRule="auto"/>
              <w:jc w:val="left"/>
              <w:rPr>
                <w:rFonts w:hint="eastAsia" w:ascii="宋体" w:hAnsi="宋体"/>
                <w:color w:val="auto"/>
                <w:sz w:val="24"/>
                <w:highlight w:val="none"/>
                <w:shd w:val="clear" w:color="auto" w:fill="auto"/>
              </w:rPr>
            </w:pPr>
          </w:p>
        </w:tc>
      </w:tr>
      <w:tr w14:paraId="3A2487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408" w:type="dxa"/>
            <w:tcBorders>
              <w:top w:val="single" w:color="auto" w:sz="4" w:space="0"/>
              <w:left w:val="single" w:color="auto" w:sz="4" w:space="0"/>
              <w:bottom w:val="single" w:color="auto" w:sz="4" w:space="0"/>
              <w:right w:val="single" w:color="auto" w:sz="4" w:space="0"/>
            </w:tcBorders>
            <w:vAlign w:val="top"/>
          </w:tcPr>
          <w:p w14:paraId="25D13C72">
            <w:pPr>
              <w:keepNext w:val="0"/>
              <w:keepLines w:val="0"/>
              <w:pageBreakBefore w:val="0"/>
              <w:shd w:val="clear" w:color="auto" w:fill="auto"/>
              <w:kinsoku/>
              <w:overflowPunct/>
              <w:bidi w:val="0"/>
              <w:snapToGrid w:val="0"/>
              <w:spacing w:before="50" w:after="120" w:afterLines="50" w:line="360" w:lineRule="auto"/>
              <w:jc w:val="left"/>
              <w:rPr>
                <w:rFonts w:hint="eastAsia" w:ascii="宋体" w:hAnsi="宋体"/>
                <w:color w:val="auto"/>
                <w:sz w:val="24"/>
                <w:highlight w:val="none"/>
                <w:shd w:val="clear" w:color="auto" w:fill="auto"/>
              </w:rPr>
            </w:pPr>
          </w:p>
        </w:tc>
        <w:tc>
          <w:tcPr>
            <w:tcW w:w="1997" w:type="dxa"/>
            <w:tcBorders>
              <w:top w:val="single" w:color="auto" w:sz="4" w:space="0"/>
              <w:left w:val="single" w:color="auto" w:sz="4" w:space="0"/>
              <w:bottom w:val="single" w:color="auto" w:sz="4" w:space="0"/>
              <w:right w:val="single" w:color="auto" w:sz="4" w:space="0"/>
            </w:tcBorders>
            <w:vAlign w:val="top"/>
          </w:tcPr>
          <w:p w14:paraId="395EB3C7">
            <w:pPr>
              <w:keepNext w:val="0"/>
              <w:keepLines w:val="0"/>
              <w:pageBreakBefore w:val="0"/>
              <w:shd w:val="clear" w:color="auto" w:fill="auto"/>
              <w:kinsoku/>
              <w:overflowPunct/>
              <w:bidi w:val="0"/>
              <w:snapToGrid w:val="0"/>
              <w:spacing w:before="50" w:after="120" w:afterLines="50" w:line="360" w:lineRule="auto"/>
              <w:jc w:val="left"/>
              <w:rPr>
                <w:rFonts w:hint="eastAsia" w:ascii="宋体" w:hAnsi="宋体"/>
                <w:color w:val="auto"/>
                <w:sz w:val="24"/>
                <w:highlight w:val="none"/>
                <w:shd w:val="clear" w:color="auto" w:fill="auto"/>
              </w:rPr>
            </w:pPr>
          </w:p>
        </w:tc>
        <w:tc>
          <w:tcPr>
            <w:tcW w:w="1997" w:type="dxa"/>
            <w:tcBorders>
              <w:top w:val="single" w:color="auto" w:sz="4" w:space="0"/>
              <w:left w:val="single" w:color="auto" w:sz="4" w:space="0"/>
              <w:bottom w:val="single" w:color="auto" w:sz="4" w:space="0"/>
              <w:right w:val="single" w:color="auto" w:sz="4" w:space="0"/>
            </w:tcBorders>
            <w:vAlign w:val="top"/>
          </w:tcPr>
          <w:p w14:paraId="3791ED51">
            <w:pPr>
              <w:keepNext w:val="0"/>
              <w:keepLines w:val="0"/>
              <w:pageBreakBefore w:val="0"/>
              <w:shd w:val="clear" w:color="auto" w:fill="auto"/>
              <w:kinsoku/>
              <w:overflowPunct/>
              <w:bidi w:val="0"/>
              <w:snapToGrid w:val="0"/>
              <w:spacing w:before="50" w:after="120" w:afterLines="50" w:line="360" w:lineRule="auto"/>
              <w:jc w:val="left"/>
              <w:rPr>
                <w:rFonts w:hint="eastAsia" w:ascii="宋体" w:hAnsi="宋体"/>
                <w:color w:val="auto"/>
                <w:sz w:val="24"/>
                <w:highlight w:val="none"/>
                <w:shd w:val="clear" w:color="auto" w:fill="auto"/>
              </w:rPr>
            </w:pPr>
          </w:p>
        </w:tc>
        <w:tc>
          <w:tcPr>
            <w:tcW w:w="3224" w:type="dxa"/>
            <w:tcBorders>
              <w:top w:val="single" w:color="auto" w:sz="4" w:space="0"/>
              <w:left w:val="single" w:color="auto" w:sz="4" w:space="0"/>
              <w:bottom w:val="single" w:color="auto" w:sz="4" w:space="0"/>
              <w:right w:val="single" w:color="auto" w:sz="4" w:space="0"/>
            </w:tcBorders>
            <w:vAlign w:val="top"/>
          </w:tcPr>
          <w:p w14:paraId="3EA48A9C">
            <w:pPr>
              <w:keepNext w:val="0"/>
              <w:keepLines w:val="0"/>
              <w:pageBreakBefore w:val="0"/>
              <w:shd w:val="clear" w:color="auto" w:fill="auto"/>
              <w:kinsoku/>
              <w:overflowPunct/>
              <w:bidi w:val="0"/>
              <w:snapToGrid w:val="0"/>
              <w:spacing w:before="50" w:after="120" w:afterLines="50" w:line="360" w:lineRule="auto"/>
              <w:jc w:val="left"/>
              <w:rPr>
                <w:rFonts w:hint="eastAsia" w:ascii="宋体" w:hAnsi="宋体"/>
                <w:color w:val="auto"/>
                <w:sz w:val="24"/>
                <w:highlight w:val="none"/>
                <w:shd w:val="clear" w:color="auto" w:fill="auto"/>
              </w:rPr>
            </w:pPr>
          </w:p>
        </w:tc>
      </w:tr>
      <w:tr w14:paraId="06704B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408" w:type="dxa"/>
            <w:tcBorders>
              <w:top w:val="single" w:color="auto" w:sz="4" w:space="0"/>
              <w:left w:val="single" w:color="auto" w:sz="4" w:space="0"/>
              <w:bottom w:val="single" w:color="auto" w:sz="4" w:space="0"/>
              <w:right w:val="single" w:color="auto" w:sz="4" w:space="0"/>
            </w:tcBorders>
            <w:vAlign w:val="top"/>
          </w:tcPr>
          <w:p w14:paraId="085E4504">
            <w:pPr>
              <w:keepNext w:val="0"/>
              <w:keepLines w:val="0"/>
              <w:pageBreakBefore w:val="0"/>
              <w:shd w:val="clear" w:color="auto" w:fill="auto"/>
              <w:kinsoku/>
              <w:overflowPunct/>
              <w:bidi w:val="0"/>
              <w:snapToGrid w:val="0"/>
              <w:spacing w:before="50" w:after="120" w:afterLines="50" w:line="360" w:lineRule="auto"/>
              <w:jc w:val="left"/>
              <w:rPr>
                <w:rFonts w:hint="eastAsia" w:ascii="宋体" w:hAnsi="宋体"/>
                <w:color w:val="auto"/>
                <w:sz w:val="24"/>
                <w:highlight w:val="none"/>
                <w:shd w:val="clear" w:color="auto" w:fill="auto"/>
              </w:rPr>
            </w:pPr>
          </w:p>
        </w:tc>
        <w:tc>
          <w:tcPr>
            <w:tcW w:w="1997" w:type="dxa"/>
            <w:tcBorders>
              <w:top w:val="single" w:color="auto" w:sz="4" w:space="0"/>
              <w:left w:val="single" w:color="auto" w:sz="4" w:space="0"/>
              <w:bottom w:val="single" w:color="auto" w:sz="4" w:space="0"/>
              <w:right w:val="single" w:color="auto" w:sz="4" w:space="0"/>
            </w:tcBorders>
            <w:vAlign w:val="top"/>
          </w:tcPr>
          <w:p w14:paraId="0D92628F">
            <w:pPr>
              <w:keepNext w:val="0"/>
              <w:keepLines w:val="0"/>
              <w:pageBreakBefore w:val="0"/>
              <w:shd w:val="clear" w:color="auto" w:fill="auto"/>
              <w:kinsoku/>
              <w:overflowPunct/>
              <w:bidi w:val="0"/>
              <w:snapToGrid w:val="0"/>
              <w:spacing w:before="50" w:after="120" w:afterLines="50" w:line="360" w:lineRule="auto"/>
              <w:jc w:val="left"/>
              <w:rPr>
                <w:rFonts w:hint="eastAsia" w:ascii="宋体" w:hAnsi="宋体"/>
                <w:color w:val="auto"/>
                <w:sz w:val="24"/>
                <w:highlight w:val="none"/>
                <w:shd w:val="clear" w:color="auto" w:fill="auto"/>
              </w:rPr>
            </w:pPr>
          </w:p>
        </w:tc>
        <w:tc>
          <w:tcPr>
            <w:tcW w:w="1997" w:type="dxa"/>
            <w:tcBorders>
              <w:top w:val="single" w:color="auto" w:sz="4" w:space="0"/>
              <w:left w:val="single" w:color="auto" w:sz="4" w:space="0"/>
              <w:bottom w:val="single" w:color="auto" w:sz="4" w:space="0"/>
              <w:right w:val="single" w:color="auto" w:sz="4" w:space="0"/>
            </w:tcBorders>
            <w:vAlign w:val="top"/>
          </w:tcPr>
          <w:p w14:paraId="79773219">
            <w:pPr>
              <w:keepNext w:val="0"/>
              <w:keepLines w:val="0"/>
              <w:pageBreakBefore w:val="0"/>
              <w:shd w:val="clear" w:color="auto" w:fill="auto"/>
              <w:kinsoku/>
              <w:overflowPunct/>
              <w:bidi w:val="0"/>
              <w:snapToGrid w:val="0"/>
              <w:spacing w:before="50" w:after="120" w:afterLines="50" w:line="360" w:lineRule="auto"/>
              <w:jc w:val="left"/>
              <w:rPr>
                <w:rFonts w:hint="eastAsia" w:ascii="宋体" w:hAnsi="宋体"/>
                <w:color w:val="auto"/>
                <w:sz w:val="24"/>
                <w:highlight w:val="none"/>
                <w:shd w:val="clear" w:color="auto" w:fill="auto"/>
              </w:rPr>
            </w:pPr>
          </w:p>
        </w:tc>
        <w:tc>
          <w:tcPr>
            <w:tcW w:w="3224" w:type="dxa"/>
            <w:tcBorders>
              <w:top w:val="single" w:color="auto" w:sz="4" w:space="0"/>
              <w:left w:val="single" w:color="auto" w:sz="4" w:space="0"/>
              <w:bottom w:val="single" w:color="auto" w:sz="4" w:space="0"/>
              <w:right w:val="single" w:color="auto" w:sz="4" w:space="0"/>
            </w:tcBorders>
            <w:vAlign w:val="top"/>
          </w:tcPr>
          <w:p w14:paraId="68DE183D">
            <w:pPr>
              <w:keepNext w:val="0"/>
              <w:keepLines w:val="0"/>
              <w:pageBreakBefore w:val="0"/>
              <w:shd w:val="clear" w:color="auto" w:fill="auto"/>
              <w:kinsoku/>
              <w:overflowPunct/>
              <w:bidi w:val="0"/>
              <w:snapToGrid w:val="0"/>
              <w:spacing w:before="50" w:after="120" w:afterLines="50" w:line="360" w:lineRule="auto"/>
              <w:jc w:val="left"/>
              <w:rPr>
                <w:rFonts w:hint="eastAsia" w:ascii="宋体" w:hAnsi="宋体"/>
                <w:color w:val="auto"/>
                <w:sz w:val="24"/>
                <w:highlight w:val="none"/>
                <w:shd w:val="clear" w:color="auto" w:fill="auto"/>
              </w:rPr>
            </w:pPr>
          </w:p>
        </w:tc>
      </w:tr>
    </w:tbl>
    <w:p w14:paraId="0E177A86">
      <w:pPr>
        <w:keepNext w:val="0"/>
        <w:keepLines w:val="0"/>
        <w:pageBreakBefore w:val="0"/>
        <w:kinsoku/>
        <w:overflowPunct/>
        <w:bidi w:val="0"/>
        <w:snapToGrid w:val="0"/>
        <w:spacing w:before="50" w:after="50" w:line="360" w:lineRule="auto"/>
        <w:rPr>
          <w:rFonts w:ascii="宋体" w:hAnsi="宋体" w:cs="宋体"/>
          <w:color w:val="auto"/>
          <w:sz w:val="24"/>
        </w:rPr>
      </w:pPr>
      <w:r>
        <w:rPr>
          <w:rFonts w:hint="eastAsia" w:ascii="宋体" w:hAnsi="宋体" w:eastAsia="宋体"/>
          <w:color w:val="auto"/>
          <w:sz w:val="24"/>
          <w:szCs w:val="24"/>
          <w:highlight w:val="none"/>
          <w:shd w:val="clear" w:color="auto" w:fill="auto"/>
        </w:rPr>
        <w:t>注：</w:t>
      </w:r>
      <w:r>
        <w:rPr>
          <w:rFonts w:hint="eastAsia" w:ascii="宋体" w:hAnsi="宋体"/>
          <w:color w:val="auto"/>
          <w:sz w:val="24"/>
          <w:highlight w:val="none"/>
          <w:shd w:val="clear" w:color="auto" w:fill="auto"/>
        </w:rPr>
        <w:t>投标人根据评标标准具体要求附业绩证明材料</w:t>
      </w:r>
    </w:p>
    <w:p w14:paraId="1D4B22C2">
      <w:pPr>
        <w:keepNext w:val="0"/>
        <w:keepLines w:val="0"/>
        <w:pageBreakBefore w:val="0"/>
        <w:kinsoku/>
        <w:overflowPunct/>
        <w:bidi w:val="0"/>
        <w:snapToGrid w:val="0"/>
        <w:spacing w:before="50" w:after="50" w:line="360" w:lineRule="auto"/>
        <w:rPr>
          <w:rFonts w:ascii="宋体" w:hAnsi="宋体" w:cs="宋体"/>
          <w:color w:val="auto"/>
          <w:sz w:val="24"/>
        </w:rPr>
      </w:pPr>
    </w:p>
    <w:p w14:paraId="0F0845A7">
      <w:pPr>
        <w:keepNext w:val="0"/>
        <w:keepLines w:val="0"/>
        <w:pageBreakBefore w:val="0"/>
        <w:kinsoku/>
        <w:overflowPunct/>
        <w:bidi w:val="0"/>
        <w:snapToGrid w:val="0"/>
        <w:spacing w:before="50" w:after="50" w:line="360" w:lineRule="auto"/>
        <w:rPr>
          <w:rFonts w:ascii="宋体" w:hAnsi="宋体" w:cs="宋体"/>
          <w:color w:val="auto"/>
          <w:spacing w:val="20"/>
          <w:sz w:val="24"/>
          <w:u w:val="single"/>
        </w:rPr>
      </w:pPr>
      <w:r>
        <w:rPr>
          <w:rFonts w:hint="eastAsia" w:ascii="宋体" w:hAnsi="宋体" w:cs="宋体"/>
          <w:color w:val="auto"/>
          <w:sz w:val="24"/>
        </w:rPr>
        <w:t>法定代表人或委托代理人（签字</w:t>
      </w:r>
      <w:r>
        <w:rPr>
          <w:rFonts w:hint="eastAsia" w:ascii="宋体" w:hAnsi="宋体" w:cs="宋体"/>
          <w:color w:val="auto"/>
          <w:sz w:val="24"/>
          <w:lang w:val="en-US" w:eastAsia="zh-CN"/>
        </w:rPr>
        <w:t>或者</w:t>
      </w:r>
      <w:r>
        <w:rPr>
          <w:rFonts w:hint="eastAsia" w:ascii="宋体" w:hAnsi="宋体" w:cs="宋体"/>
          <w:color w:val="auto"/>
          <w:sz w:val="24"/>
        </w:rPr>
        <w:t>电子签名）</w:t>
      </w:r>
      <w:r>
        <w:rPr>
          <w:rFonts w:hint="eastAsia" w:ascii="宋体" w:hAnsi="宋体" w:cs="宋体"/>
          <w:color w:val="auto"/>
          <w:spacing w:val="20"/>
          <w:sz w:val="24"/>
        </w:rPr>
        <w:t>：</w:t>
      </w:r>
      <w:r>
        <w:rPr>
          <w:rFonts w:hint="eastAsia" w:ascii="宋体" w:hAnsi="宋体" w:cs="宋体"/>
          <w:color w:val="auto"/>
          <w:spacing w:val="20"/>
          <w:sz w:val="24"/>
          <w:u w:val="single"/>
        </w:rPr>
        <w:t xml:space="preserve">        </w:t>
      </w:r>
    </w:p>
    <w:p w14:paraId="27AA223A">
      <w:pPr>
        <w:keepNext w:val="0"/>
        <w:keepLines w:val="0"/>
        <w:pageBreakBefore w:val="0"/>
        <w:kinsoku/>
        <w:overflowPunct/>
        <w:bidi w:val="0"/>
        <w:snapToGrid w:val="0"/>
        <w:spacing w:before="120" w:beforeLines="50" w:line="360" w:lineRule="auto"/>
        <w:rPr>
          <w:rFonts w:ascii="宋体" w:hAnsi="宋体" w:cs="宋体"/>
          <w:color w:val="auto"/>
          <w:spacing w:val="20"/>
          <w:sz w:val="24"/>
        </w:rPr>
      </w:pPr>
      <w:r>
        <w:rPr>
          <w:rFonts w:hint="eastAsia" w:ascii="宋体" w:hAnsi="宋体" w:cs="宋体"/>
          <w:color w:val="auto"/>
          <w:spacing w:val="20"/>
          <w:sz w:val="24"/>
        </w:rPr>
        <w:t>投标人盖</w:t>
      </w:r>
      <w:r>
        <w:rPr>
          <w:rFonts w:hint="eastAsia" w:ascii="宋体" w:hAnsi="宋体" w:cs="Arial"/>
          <w:color w:val="auto"/>
          <w:sz w:val="24"/>
          <w:highlight w:val="none"/>
          <w:shd w:val="clear" w:color="auto" w:fill="auto"/>
        </w:rPr>
        <w:t>（电子签章）</w:t>
      </w:r>
      <w:r>
        <w:rPr>
          <w:rFonts w:hint="eastAsia" w:ascii="宋体" w:hAnsi="宋体" w:cs="宋体"/>
          <w:color w:val="auto"/>
          <w:spacing w:val="20"/>
          <w:sz w:val="24"/>
        </w:rPr>
        <w:t>：</w:t>
      </w:r>
      <w:r>
        <w:rPr>
          <w:rFonts w:hint="eastAsia" w:ascii="宋体" w:hAnsi="宋体" w:cs="宋体"/>
          <w:color w:val="auto"/>
          <w:spacing w:val="20"/>
          <w:sz w:val="24"/>
          <w:u w:val="single"/>
        </w:rPr>
        <w:t xml:space="preserve">            </w:t>
      </w:r>
      <w:r>
        <w:rPr>
          <w:rFonts w:hint="eastAsia" w:ascii="宋体" w:hAnsi="宋体" w:cs="宋体"/>
          <w:color w:val="auto"/>
          <w:spacing w:val="20"/>
          <w:sz w:val="24"/>
        </w:rPr>
        <w:t xml:space="preserve">   </w:t>
      </w:r>
    </w:p>
    <w:p w14:paraId="1BA637C6">
      <w:pPr>
        <w:keepNext w:val="0"/>
        <w:keepLines w:val="0"/>
        <w:pageBreakBefore w:val="0"/>
        <w:kinsoku/>
        <w:overflowPunct/>
        <w:bidi w:val="0"/>
        <w:spacing w:line="360" w:lineRule="auto"/>
        <w:rPr>
          <w:color w:val="auto"/>
        </w:rPr>
      </w:pPr>
      <w:r>
        <w:rPr>
          <w:rFonts w:hint="eastAsia" w:ascii="宋体" w:hAnsi="宋体" w:cs="宋体"/>
          <w:color w:val="auto"/>
          <w:spacing w:val="20"/>
          <w:sz w:val="24"/>
        </w:rPr>
        <w:t>日  期：</w:t>
      </w:r>
      <w:r>
        <w:rPr>
          <w:rFonts w:hint="eastAsia" w:ascii="宋体" w:hAnsi="宋体" w:cs="宋体"/>
          <w:color w:val="auto"/>
          <w:spacing w:val="20"/>
          <w:sz w:val="24"/>
          <w:u w:val="single"/>
        </w:rPr>
        <w:t xml:space="preserve">        </w:t>
      </w:r>
    </w:p>
    <w:p w14:paraId="138BFA0B">
      <w:pPr>
        <w:pStyle w:val="12"/>
        <w:keepNext w:val="0"/>
        <w:keepLines w:val="0"/>
        <w:pageBreakBefore w:val="0"/>
        <w:kinsoku/>
        <w:overflowPunct/>
        <w:bidi w:val="0"/>
        <w:spacing w:line="360" w:lineRule="auto"/>
        <w:rPr>
          <w:rFonts w:ascii="宋体" w:hAnsi="宋体" w:cs="宋体"/>
          <w:color w:val="auto"/>
          <w:sz w:val="24"/>
        </w:rPr>
        <w:sectPr>
          <w:headerReference r:id="rId11" w:type="first"/>
          <w:footerReference r:id="rId13" w:type="first"/>
          <w:headerReference r:id="rId10" w:type="default"/>
          <w:footerReference r:id="rId12" w:type="default"/>
          <w:pgSz w:w="11906" w:h="16838"/>
          <w:pgMar w:top="1134" w:right="1247" w:bottom="1559" w:left="1247" w:header="851" w:footer="992" w:gutter="0"/>
          <w:pgNumType w:fmt="decimal"/>
          <w:cols w:space="720" w:num="1"/>
          <w:titlePg/>
          <w:docGrid w:linePitch="312" w:charSpace="0"/>
        </w:sectPr>
      </w:pPr>
    </w:p>
    <w:p w14:paraId="34C3C7AC">
      <w:pPr>
        <w:keepNext w:val="0"/>
        <w:keepLines w:val="0"/>
        <w:pageBreakBefore w:val="0"/>
        <w:kinsoku/>
        <w:overflowPunct/>
        <w:bidi w:val="0"/>
        <w:snapToGrid w:val="0"/>
        <w:spacing w:before="50" w:after="156" w:afterLines="50" w:line="360" w:lineRule="auto"/>
        <w:jc w:val="left"/>
        <w:rPr>
          <w:rFonts w:ascii="宋体" w:hAnsi="宋体" w:cs="宋体"/>
          <w:b/>
          <w:color w:val="auto"/>
          <w:sz w:val="24"/>
        </w:rPr>
      </w:pPr>
      <w:r>
        <w:rPr>
          <w:rFonts w:hint="eastAsia" w:ascii="宋体" w:hAnsi="宋体" w:cs="宋体"/>
          <w:b/>
          <w:color w:val="auto"/>
          <w:sz w:val="24"/>
          <w:lang w:val="en-US" w:eastAsia="zh-CN"/>
        </w:rPr>
        <w:t>7</w:t>
      </w:r>
      <w:r>
        <w:rPr>
          <w:rFonts w:hint="eastAsia" w:ascii="宋体" w:hAnsi="宋体" w:cs="宋体"/>
          <w:b/>
          <w:color w:val="auto"/>
          <w:sz w:val="24"/>
        </w:rPr>
        <w:t>.技术</w:t>
      </w:r>
      <w:r>
        <w:rPr>
          <w:rFonts w:hint="eastAsia" w:ascii="宋体" w:hAnsi="宋体" w:cs="宋体"/>
          <w:b/>
          <w:color w:val="auto"/>
          <w:sz w:val="24"/>
          <w:lang w:val="en-US" w:eastAsia="zh-CN"/>
        </w:rPr>
        <w:t>要求</w:t>
      </w:r>
      <w:r>
        <w:rPr>
          <w:rFonts w:hint="eastAsia" w:ascii="宋体" w:hAnsi="宋体" w:cs="宋体"/>
          <w:b/>
          <w:color w:val="auto"/>
          <w:sz w:val="24"/>
        </w:rPr>
        <w:t>偏离表格式</w:t>
      </w:r>
    </w:p>
    <w:p w14:paraId="3B695388">
      <w:pPr>
        <w:keepNext w:val="0"/>
        <w:keepLines w:val="0"/>
        <w:pageBreakBefore w:val="0"/>
        <w:kinsoku/>
        <w:overflowPunct/>
        <w:bidi w:val="0"/>
        <w:snapToGrid w:val="0"/>
        <w:spacing w:before="156" w:beforeLines="50" w:after="50" w:line="360" w:lineRule="auto"/>
        <w:ind w:left="142"/>
        <w:jc w:val="center"/>
        <w:rPr>
          <w:rFonts w:ascii="宋体" w:hAnsi="宋体" w:cs="宋体"/>
          <w:b/>
          <w:color w:val="auto"/>
          <w:sz w:val="24"/>
        </w:rPr>
      </w:pPr>
      <w:r>
        <w:rPr>
          <w:rFonts w:hint="eastAsia" w:ascii="宋体" w:hAnsi="宋体" w:cs="宋体"/>
          <w:b/>
          <w:color w:val="auto"/>
          <w:sz w:val="24"/>
        </w:rPr>
        <w:t>技术需求偏离表</w:t>
      </w:r>
    </w:p>
    <w:p w14:paraId="2B8849AD">
      <w:pPr>
        <w:keepNext w:val="0"/>
        <w:keepLines w:val="0"/>
        <w:pageBreakBefore w:val="0"/>
        <w:kinsoku/>
        <w:overflowPunct/>
        <w:bidi w:val="0"/>
        <w:snapToGrid w:val="0"/>
        <w:spacing w:before="50" w:after="50" w:line="360" w:lineRule="auto"/>
        <w:rPr>
          <w:rFonts w:ascii="宋体" w:hAnsi="宋体" w:cs="宋体"/>
          <w:color w:val="auto"/>
          <w:sz w:val="24"/>
          <w:u w:val="single"/>
        </w:rPr>
      </w:pPr>
      <w:r>
        <w:rPr>
          <w:rFonts w:hint="eastAsia" w:cs="宋体"/>
          <w:color w:val="auto"/>
          <w:sz w:val="24"/>
        </w:rPr>
        <w:t>项目</w:t>
      </w:r>
      <w:r>
        <w:rPr>
          <w:rFonts w:hint="eastAsia" w:ascii="宋体" w:hAnsi="宋体" w:cs="宋体"/>
          <w:color w:val="auto"/>
          <w:sz w:val="24"/>
        </w:rPr>
        <w:t>编号：</w:t>
      </w:r>
      <w:r>
        <w:rPr>
          <w:rFonts w:hint="eastAsia" w:ascii="宋体" w:hAnsi="宋体" w:cs="宋体"/>
          <w:color w:val="auto"/>
          <w:sz w:val="24"/>
          <w:u w:val="single"/>
        </w:rPr>
        <w:t xml:space="preserve">                              </w:t>
      </w:r>
    </w:p>
    <w:p w14:paraId="288DE4EB">
      <w:pPr>
        <w:pStyle w:val="16"/>
        <w:keepNext w:val="0"/>
        <w:keepLines w:val="0"/>
        <w:pageBreakBefore w:val="0"/>
        <w:kinsoku/>
        <w:overflowPunct/>
        <w:bidi w:val="0"/>
        <w:spacing w:line="360" w:lineRule="auto"/>
        <w:rPr>
          <w:rFonts w:hint="eastAsia" w:ascii="宋体" w:hAnsi="宋体" w:eastAsia="宋体" w:cs="宋体"/>
          <w:color w:val="auto"/>
          <w:sz w:val="24"/>
          <w:u w:val="single"/>
          <w:lang w:val="en-US" w:eastAsia="zh-CN"/>
        </w:rPr>
      </w:pPr>
      <w:r>
        <w:rPr>
          <w:rFonts w:hint="eastAsia" w:cs="宋体"/>
          <w:color w:val="auto"/>
          <w:sz w:val="24"/>
        </w:rPr>
        <w:t>项目</w:t>
      </w:r>
      <w:r>
        <w:rPr>
          <w:rFonts w:hint="eastAsia" w:ascii="宋体" w:hAnsi="宋体" w:cs="宋体"/>
          <w:color w:val="auto"/>
          <w:sz w:val="24"/>
        </w:rPr>
        <w:t>名称：</w:t>
      </w:r>
      <w:r>
        <w:rPr>
          <w:rFonts w:hint="eastAsia" w:ascii="宋体" w:hAnsi="宋体" w:cs="宋体"/>
          <w:color w:val="auto"/>
          <w:sz w:val="24"/>
          <w:u w:val="single"/>
        </w:rPr>
        <w:t xml:space="preserve">                              </w:t>
      </w:r>
    </w:p>
    <w:tbl>
      <w:tblPr>
        <w:tblStyle w:val="25"/>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2041"/>
        <w:gridCol w:w="1747"/>
        <w:gridCol w:w="2078"/>
        <w:gridCol w:w="1843"/>
      </w:tblGrid>
      <w:tr w14:paraId="6994E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10" w:type="dxa"/>
            <w:vAlign w:val="center"/>
          </w:tcPr>
          <w:p w14:paraId="2E953023">
            <w:pPr>
              <w:pStyle w:val="14"/>
              <w:keepNext w:val="0"/>
              <w:keepLines w:val="0"/>
              <w:pageBreakBefore w:val="0"/>
              <w:shd w:val="clear" w:color="auto" w:fill="auto"/>
              <w:kinsoku/>
              <w:overflowPunct/>
              <w:bidi w:val="0"/>
              <w:spacing w:line="360" w:lineRule="auto"/>
              <w:jc w:val="center"/>
              <w:rPr>
                <w:rFonts w:hint="eastAsia" w:hAnsi="宋体" w:cs="Courier New"/>
                <w:color w:val="auto"/>
                <w:kern w:val="2"/>
                <w:sz w:val="24"/>
                <w:szCs w:val="24"/>
                <w:highlight w:val="none"/>
                <w:shd w:val="clear" w:color="auto" w:fill="auto"/>
                <w:lang w:val="en-US" w:eastAsia="zh-CN"/>
              </w:rPr>
            </w:pPr>
            <w:r>
              <w:rPr>
                <w:rFonts w:hint="eastAsia" w:hAnsi="宋体" w:cs="Courier New"/>
                <w:color w:val="auto"/>
                <w:kern w:val="2"/>
                <w:sz w:val="24"/>
                <w:szCs w:val="24"/>
                <w:highlight w:val="none"/>
                <w:shd w:val="clear" w:color="auto" w:fill="auto"/>
                <w:lang w:val="en-US" w:eastAsia="zh-CN"/>
              </w:rPr>
              <w:t>项号</w:t>
            </w:r>
          </w:p>
        </w:tc>
        <w:tc>
          <w:tcPr>
            <w:tcW w:w="2041" w:type="dxa"/>
            <w:vAlign w:val="center"/>
          </w:tcPr>
          <w:p w14:paraId="78497B78">
            <w:pPr>
              <w:pStyle w:val="14"/>
              <w:keepNext w:val="0"/>
              <w:keepLines w:val="0"/>
              <w:pageBreakBefore w:val="0"/>
              <w:shd w:val="clear" w:color="auto" w:fill="auto"/>
              <w:kinsoku/>
              <w:overflowPunct/>
              <w:bidi w:val="0"/>
              <w:spacing w:line="360" w:lineRule="auto"/>
              <w:jc w:val="center"/>
              <w:rPr>
                <w:rFonts w:hint="eastAsia" w:hAnsi="宋体" w:cs="Courier New"/>
                <w:color w:val="auto"/>
                <w:kern w:val="2"/>
                <w:sz w:val="24"/>
                <w:szCs w:val="24"/>
                <w:highlight w:val="none"/>
                <w:shd w:val="clear" w:color="auto" w:fill="auto"/>
                <w:lang w:val="en-US" w:eastAsia="zh-CN"/>
              </w:rPr>
            </w:pPr>
            <w:r>
              <w:rPr>
                <w:rFonts w:hint="eastAsia" w:hAnsi="宋体" w:cs="Courier New"/>
                <w:color w:val="auto"/>
                <w:kern w:val="2"/>
                <w:sz w:val="24"/>
                <w:szCs w:val="24"/>
                <w:highlight w:val="none"/>
                <w:shd w:val="clear" w:color="auto" w:fill="auto"/>
                <w:lang w:val="en-US" w:eastAsia="zh-CN"/>
              </w:rPr>
              <w:t>标的名称</w:t>
            </w:r>
          </w:p>
        </w:tc>
        <w:tc>
          <w:tcPr>
            <w:tcW w:w="1747" w:type="dxa"/>
            <w:vAlign w:val="center"/>
          </w:tcPr>
          <w:p w14:paraId="197C435B">
            <w:pPr>
              <w:pStyle w:val="14"/>
              <w:keepNext w:val="0"/>
              <w:keepLines w:val="0"/>
              <w:pageBreakBefore w:val="0"/>
              <w:shd w:val="clear" w:color="auto" w:fill="auto"/>
              <w:kinsoku/>
              <w:overflowPunct/>
              <w:bidi w:val="0"/>
              <w:spacing w:line="360" w:lineRule="auto"/>
              <w:jc w:val="center"/>
              <w:rPr>
                <w:rFonts w:hAnsi="宋体" w:cs="Courier New"/>
                <w:color w:val="auto"/>
                <w:kern w:val="2"/>
                <w:sz w:val="24"/>
                <w:szCs w:val="24"/>
                <w:highlight w:val="none"/>
                <w:shd w:val="clear" w:color="auto" w:fill="auto"/>
                <w:lang w:val="en-US" w:eastAsia="zh-CN"/>
              </w:rPr>
            </w:pPr>
            <w:r>
              <w:rPr>
                <w:rFonts w:hint="eastAsia" w:hAnsi="宋体" w:cs="Courier New"/>
                <w:color w:val="auto"/>
                <w:kern w:val="2"/>
                <w:sz w:val="24"/>
                <w:szCs w:val="24"/>
                <w:highlight w:val="none"/>
                <w:shd w:val="clear" w:color="auto" w:fill="auto"/>
                <w:lang w:val="en-US" w:eastAsia="zh-CN"/>
              </w:rPr>
              <w:t>技术要求</w:t>
            </w:r>
          </w:p>
        </w:tc>
        <w:tc>
          <w:tcPr>
            <w:tcW w:w="2078" w:type="dxa"/>
            <w:vAlign w:val="center"/>
          </w:tcPr>
          <w:p w14:paraId="55E62F15">
            <w:pPr>
              <w:pStyle w:val="14"/>
              <w:keepNext w:val="0"/>
              <w:keepLines w:val="0"/>
              <w:pageBreakBefore w:val="0"/>
              <w:shd w:val="clear" w:color="auto" w:fill="auto"/>
              <w:kinsoku/>
              <w:overflowPunct/>
              <w:bidi w:val="0"/>
              <w:spacing w:line="360" w:lineRule="auto"/>
              <w:jc w:val="center"/>
              <w:rPr>
                <w:rFonts w:hint="eastAsia" w:hAnsi="宋体" w:cs="Courier New"/>
                <w:color w:val="auto"/>
                <w:kern w:val="2"/>
                <w:sz w:val="24"/>
                <w:szCs w:val="24"/>
                <w:highlight w:val="none"/>
                <w:shd w:val="clear" w:color="auto" w:fill="auto"/>
                <w:lang w:val="en-US" w:eastAsia="zh-CN"/>
              </w:rPr>
            </w:pPr>
            <w:r>
              <w:rPr>
                <w:rFonts w:hint="eastAsia" w:hAnsi="宋体" w:cs="Courier New"/>
                <w:color w:val="auto"/>
                <w:kern w:val="2"/>
                <w:sz w:val="24"/>
                <w:szCs w:val="24"/>
                <w:highlight w:val="none"/>
                <w:shd w:val="clear" w:color="auto" w:fill="auto"/>
                <w:lang w:val="en-US" w:eastAsia="zh-CN"/>
              </w:rPr>
              <w:t>投标响应</w:t>
            </w:r>
          </w:p>
        </w:tc>
        <w:tc>
          <w:tcPr>
            <w:tcW w:w="1843" w:type="dxa"/>
            <w:vAlign w:val="center"/>
          </w:tcPr>
          <w:p w14:paraId="35E22BD0">
            <w:pPr>
              <w:pStyle w:val="14"/>
              <w:keepNext w:val="0"/>
              <w:keepLines w:val="0"/>
              <w:pageBreakBefore w:val="0"/>
              <w:shd w:val="clear" w:color="auto" w:fill="auto"/>
              <w:kinsoku/>
              <w:overflowPunct/>
              <w:bidi w:val="0"/>
              <w:spacing w:line="360" w:lineRule="auto"/>
              <w:jc w:val="center"/>
              <w:rPr>
                <w:rFonts w:hint="eastAsia" w:hAnsi="宋体" w:cs="Courier New"/>
                <w:color w:val="auto"/>
                <w:kern w:val="2"/>
                <w:sz w:val="24"/>
                <w:szCs w:val="24"/>
                <w:highlight w:val="none"/>
                <w:shd w:val="clear" w:color="auto" w:fill="auto"/>
                <w:lang w:val="en-US" w:eastAsia="zh-CN"/>
              </w:rPr>
            </w:pPr>
            <w:r>
              <w:rPr>
                <w:rFonts w:hint="eastAsia" w:hAnsi="宋体" w:cs="Courier New"/>
                <w:color w:val="auto"/>
                <w:kern w:val="2"/>
                <w:sz w:val="24"/>
                <w:szCs w:val="24"/>
                <w:highlight w:val="none"/>
                <w:shd w:val="clear" w:color="auto" w:fill="auto"/>
                <w:lang w:val="en-US" w:eastAsia="zh-CN"/>
              </w:rPr>
              <w:t>偏离说明</w:t>
            </w:r>
          </w:p>
        </w:tc>
      </w:tr>
      <w:tr w14:paraId="42EBF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top"/>
          </w:tcPr>
          <w:p w14:paraId="4BCCCA2E">
            <w:pPr>
              <w:pStyle w:val="14"/>
              <w:keepNext w:val="0"/>
              <w:keepLines w:val="0"/>
              <w:pageBreakBefore w:val="0"/>
              <w:shd w:val="clear" w:color="auto" w:fill="auto"/>
              <w:kinsoku/>
              <w:overflowPunct/>
              <w:bidi w:val="0"/>
              <w:spacing w:line="360" w:lineRule="auto"/>
              <w:jc w:val="center"/>
              <w:rPr>
                <w:rFonts w:hint="eastAsia" w:hAnsi="宋体" w:cs="Courier New"/>
                <w:color w:val="auto"/>
                <w:kern w:val="2"/>
                <w:sz w:val="24"/>
                <w:szCs w:val="24"/>
                <w:highlight w:val="none"/>
                <w:shd w:val="clear" w:color="auto" w:fill="auto"/>
                <w:lang w:val="en-US" w:eastAsia="zh-CN"/>
              </w:rPr>
            </w:pPr>
          </w:p>
        </w:tc>
        <w:tc>
          <w:tcPr>
            <w:tcW w:w="2041" w:type="dxa"/>
            <w:vAlign w:val="center"/>
          </w:tcPr>
          <w:p w14:paraId="350EFA79">
            <w:pPr>
              <w:pStyle w:val="14"/>
              <w:keepNext w:val="0"/>
              <w:keepLines w:val="0"/>
              <w:pageBreakBefore w:val="0"/>
              <w:shd w:val="clear" w:color="auto" w:fill="auto"/>
              <w:kinsoku/>
              <w:overflowPunct/>
              <w:bidi w:val="0"/>
              <w:spacing w:line="360" w:lineRule="auto"/>
              <w:jc w:val="center"/>
              <w:rPr>
                <w:rFonts w:hint="eastAsia" w:hAnsi="宋体" w:cs="Courier New"/>
                <w:color w:val="auto"/>
                <w:kern w:val="2"/>
                <w:sz w:val="24"/>
                <w:szCs w:val="24"/>
                <w:highlight w:val="none"/>
                <w:shd w:val="clear" w:color="auto" w:fill="auto"/>
                <w:lang w:val="en-US" w:eastAsia="zh-CN"/>
              </w:rPr>
            </w:pPr>
          </w:p>
        </w:tc>
        <w:tc>
          <w:tcPr>
            <w:tcW w:w="1747" w:type="dxa"/>
            <w:vAlign w:val="center"/>
          </w:tcPr>
          <w:p w14:paraId="30BB57C6">
            <w:pPr>
              <w:pStyle w:val="14"/>
              <w:keepNext w:val="0"/>
              <w:keepLines w:val="0"/>
              <w:pageBreakBefore w:val="0"/>
              <w:shd w:val="clear" w:color="auto" w:fill="auto"/>
              <w:kinsoku/>
              <w:overflowPunct/>
              <w:bidi w:val="0"/>
              <w:spacing w:line="360" w:lineRule="auto"/>
              <w:jc w:val="center"/>
              <w:rPr>
                <w:rFonts w:hint="eastAsia" w:hAnsi="宋体" w:cs="Courier New"/>
                <w:color w:val="auto"/>
                <w:kern w:val="2"/>
                <w:sz w:val="24"/>
                <w:szCs w:val="24"/>
                <w:highlight w:val="none"/>
                <w:shd w:val="clear" w:color="auto" w:fill="auto"/>
                <w:lang w:val="en-US" w:eastAsia="zh-CN"/>
              </w:rPr>
            </w:pPr>
          </w:p>
        </w:tc>
        <w:tc>
          <w:tcPr>
            <w:tcW w:w="2078" w:type="dxa"/>
            <w:vAlign w:val="center"/>
          </w:tcPr>
          <w:p w14:paraId="707C7F50">
            <w:pPr>
              <w:pStyle w:val="14"/>
              <w:keepNext w:val="0"/>
              <w:keepLines w:val="0"/>
              <w:pageBreakBefore w:val="0"/>
              <w:shd w:val="clear" w:color="auto" w:fill="auto"/>
              <w:kinsoku/>
              <w:overflowPunct/>
              <w:bidi w:val="0"/>
              <w:spacing w:line="360" w:lineRule="auto"/>
              <w:jc w:val="center"/>
              <w:rPr>
                <w:rFonts w:hint="eastAsia" w:hAnsi="宋体" w:cs="Courier New"/>
                <w:color w:val="auto"/>
                <w:kern w:val="2"/>
                <w:sz w:val="24"/>
                <w:szCs w:val="24"/>
                <w:highlight w:val="none"/>
                <w:shd w:val="clear" w:color="auto" w:fill="auto"/>
                <w:lang w:val="en-US" w:eastAsia="zh-CN"/>
              </w:rPr>
            </w:pPr>
          </w:p>
        </w:tc>
        <w:tc>
          <w:tcPr>
            <w:tcW w:w="1843" w:type="dxa"/>
            <w:vAlign w:val="center"/>
          </w:tcPr>
          <w:p w14:paraId="53FC8B24">
            <w:pPr>
              <w:pStyle w:val="14"/>
              <w:keepNext w:val="0"/>
              <w:keepLines w:val="0"/>
              <w:pageBreakBefore w:val="0"/>
              <w:shd w:val="clear" w:color="auto" w:fill="auto"/>
              <w:kinsoku/>
              <w:overflowPunct/>
              <w:bidi w:val="0"/>
              <w:spacing w:line="360" w:lineRule="auto"/>
              <w:jc w:val="center"/>
              <w:rPr>
                <w:rFonts w:hint="eastAsia" w:hAnsi="宋体" w:cs="Courier New"/>
                <w:color w:val="auto"/>
                <w:kern w:val="2"/>
                <w:sz w:val="24"/>
                <w:szCs w:val="24"/>
                <w:highlight w:val="none"/>
                <w:shd w:val="clear" w:color="auto" w:fill="auto"/>
                <w:lang w:val="en-US" w:eastAsia="zh-CN"/>
              </w:rPr>
            </w:pPr>
          </w:p>
        </w:tc>
      </w:tr>
      <w:tr w14:paraId="18740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top"/>
          </w:tcPr>
          <w:p w14:paraId="492ACB60">
            <w:pPr>
              <w:pStyle w:val="14"/>
              <w:keepNext w:val="0"/>
              <w:keepLines w:val="0"/>
              <w:pageBreakBefore w:val="0"/>
              <w:shd w:val="clear" w:color="auto" w:fill="auto"/>
              <w:kinsoku/>
              <w:overflowPunct/>
              <w:bidi w:val="0"/>
              <w:spacing w:line="360" w:lineRule="auto"/>
              <w:rPr>
                <w:rFonts w:hint="eastAsia" w:hAnsi="宋体" w:cs="Courier New"/>
                <w:color w:val="auto"/>
                <w:kern w:val="2"/>
                <w:sz w:val="24"/>
                <w:szCs w:val="24"/>
                <w:highlight w:val="none"/>
                <w:shd w:val="clear" w:color="auto" w:fill="auto"/>
                <w:lang w:val="en-US" w:eastAsia="zh-CN"/>
              </w:rPr>
            </w:pPr>
          </w:p>
        </w:tc>
        <w:tc>
          <w:tcPr>
            <w:tcW w:w="2041" w:type="dxa"/>
            <w:vAlign w:val="top"/>
          </w:tcPr>
          <w:p w14:paraId="6C0E0D32">
            <w:pPr>
              <w:pStyle w:val="14"/>
              <w:keepNext w:val="0"/>
              <w:keepLines w:val="0"/>
              <w:pageBreakBefore w:val="0"/>
              <w:shd w:val="clear" w:color="auto" w:fill="auto"/>
              <w:kinsoku/>
              <w:overflowPunct/>
              <w:bidi w:val="0"/>
              <w:spacing w:line="360" w:lineRule="auto"/>
              <w:rPr>
                <w:rFonts w:hint="eastAsia" w:hAnsi="宋体" w:cs="Courier New"/>
                <w:color w:val="auto"/>
                <w:kern w:val="2"/>
                <w:sz w:val="24"/>
                <w:szCs w:val="24"/>
                <w:highlight w:val="none"/>
                <w:shd w:val="clear" w:color="auto" w:fill="auto"/>
                <w:lang w:val="en-US" w:eastAsia="zh-CN"/>
              </w:rPr>
            </w:pPr>
          </w:p>
        </w:tc>
        <w:tc>
          <w:tcPr>
            <w:tcW w:w="1747" w:type="dxa"/>
            <w:vAlign w:val="top"/>
          </w:tcPr>
          <w:p w14:paraId="7EDC38B7">
            <w:pPr>
              <w:pStyle w:val="14"/>
              <w:keepNext w:val="0"/>
              <w:keepLines w:val="0"/>
              <w:pageBreakBefore w:val="0"/>
              <w:shd w:val="clear" w:color="auto" w:fill="auto"/>
              <w:kinsoku/>
              <w:overflowPunct/>
              <w:bidi w:val="0"/>
              <w:spacing w:line="360" w:lineRule="auto"/>
              <w:rPr>
                <w:rFonts w:hint="eastAsia" w:hAnsi="宋体" w:cs="Courier New"/>
                <w:color w:val="auto"/>
                <w:kern w:val="2"/>
                <w:sz w:val="24"/>
                <w:szCs w:val="24"/>
                <w:highlight w:val="none"/>
                <w:shd w:val="clear" w:color="auto" w:fill="auto"/>
                <w:lang w:val="en-US" w:eastAsia="zh-CN"/>
              </w:rPr>
            </w:pPr>
          </w:p>
        </w:tc>
        <w:tc>
          <w:tcPr>
            <w:tcW w:w="2078" w:type="dxa"/>
            <w:vAlign w:val="top"/>
          </w:tcPr>
          <w:p w14:paraId="4B071E73">
            <w:pPr>
              <w:pStyle w:val="14"/>
              <w:keepNext w:val="0"/>
              <w:keepLines w:val="0"/>
              <w:pageBreakBefore w:val="0"/>
              <w:shd w:val="clear" w:color="auto" w:fill="auto"/>
              <w:kinsoku/>
              <w:overflowPunct/>
              <w:bidi w:val="0"/>
              <w:spacing w:line="360" w:lineRule="auto"/>
              <w:rPr>
                <w:rFonts w:hint="eastAsia" w:hAnsi="宋体" w:cs="Courier New"/>
                <w:color w:val="auto"/>
                <w:kern w:val="2"/>
                <w:sz w:val="24"/>
                <w:szCs w:val="24"/>
                <w:highlight w:val="none"/>
                <w:shd w:val="clear" w:color="auto" w:fill="auto"/>
                <w:lang w:val="en-US" w:eastAsia="zh-CN"/>
              </w:rPr>
            </w:pPr>
          </w:p>
        </w:tc>
        <w:tc>
          <w:tcPr>
            <w:tcW w:w="1843" w:type="dxa"/>
            <w:vAlign w:val="top"/>
          </w:tcPr>
          <w:p w14:paraId="2223C591">
            <w:pPr>
              <w:pStyle w:val="14"/>
              <w:keepNext w:val="0"/>
              <w:keepLines w:val="0"/>
              <w:pageBreakBefore w:val="0"/>
              <w:shd w:val="clear" w:color="auto" w:fill="auto"/>
              <w:kinsoku/>
              <w:overflowPunct/>
              <w:bidi w:val="0"/>
              <w:spacing w:line="360" w:lineRule="auto"/>
              <w:rPr>
                <w:rFonts w:hint="eastAsia" w:hAnsi="宋体" w:cs="Courier New"/>
                <w:color w:val="auto"/>
                <w:kern w:val="2"/>
                <w:sz w:val="24"/>
                <w:szCs w:val="24"/>
                <w:highlight w:val="none"/>
                <w:shd w:val="clear" w:color="auto" w:fill="auto"/>
                <w:lang w:val="en-US" w:eastAsia="zh-CN"/>
              </w:rPr>
            </w:pPr>
          </w:p>
        </w:tc>
      </w:tr>
      <w:tr w14:paraId="7638B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top"/>
          </w:tcPr>
          <w:p w14:paraId="1B8859BE">
            <w:pPr>
              <w:pStyle w:val="14"/>
              <w:keepNext w:val="0"/>
              <w:keepLines w:val="0"/>
              <w:pageBreakBefore w:val="0"/>
              <w:shd w:val="clear" w:color="auto" w:fill="auto"/>
              <w:kinsoku/>
              <w:overflowPunct/>
              <w:bidi w:val="0"/>
              <w:spacing w:line="360" w:lineRule="auto"/>
              <w:rPr>
                <w:rFonts w:hint="eastAsia" w:hAnsi="宋体" w:cs="Courier New"/>
                <w:color w:val="auto"/>
                <w:kern w:val="2"/>
                <w:sz w:val="24"/>
                <w:szCs w:val="24"/>
                <w:highlight w:val="none"/>
                <w:shd w:val="clear" w:color="auto" w:fill="auto"/>
                <w:lang w:val="en-US" w:eastAsia="zh-CN"/>
              </w:rPr>
            </w:pPr>
          </w:p>
        </w:tc>
        <w:tc>
          <w:tcPr>
            <w:tcW w:w="2041" w:type="dxa"/>
            <w:vAlign w:val="top"/>
          </w:tcPr>
          <w:p w14:paraId="1B322C09">
            <w:pPr>
              <w:pStyle w:val="14"/>
              <w:keepNext w:val="0"/>
              <w:keepLines w:val="0"/>
              <w:pageBreakBefore w:val="0"/>
              <w:shd w:val="clear" w:color="auto" w:fill="auto"/>
              <w:kinsoku/>
              <w:overflowPunct/>
              <w:bidi w:val="0"/>
              <w:spacing w:line="360" w:lineRule="auto"/>
              <w:rPr>
                <w:rFonts w:hint="eastAsia" w:hAnsi="宋体" w:cs="Courier New"/>
                <w:color w:val="auto"/>
                <w:kern w:val="2"/>
                <w:sz w:val="24"/>
                <w:szCs w:val="24"/>
                <w:highlight w:val="none"/>
                <w:shd w:val="clear" w:color="auto" w:fill="auto"/>
                <w:lang w:val="en-US" w:eastAsia="zh-CN"/>
              </w:rPr>
            </w:pPr>
          </w:p>
        </w:tc>
        <w:tc>
          <w:tcPr>
            <w:tcW w:w="1747" w:type="dxa"/>
            <w:vAlign w:val="top"/>
          </w:tcPr>
          <w:p w14:paraId="0C13CF84">
            <w:pPr>
              <w:pStyle w:val="14"/>
              <w:keepNext w:val="0"/>
              <w:keepLines w:val="0"/>
              <w:pageBreakBefore w:val="0"/>
              <w:shd w:val="clear" w:color="auto" w:fill="auto"/>
              <w:kinsoku/>
              <w:overflowPunct/>
              <w:bidi w:val="0"/>
              <w:spacing w:line="360" w:lineRule="auto"/>
              <w:rPr>
                <w:rFonts w:hint="eastAsia" w:hAnsi="宋体" w:cs="Courier New"/>
                <w:color w:val="auto"/>
                <w:kern w:val="2"/>
                <w:sz w:val="24"/>
                <w:szCs w:val="24"/>
                <w:highlight w:val="none"/>
                <w:shd w:val="clear" w:color="auto" w:fill="auto"/>
                <w:lang w:val="en-US" w:eastAsia="zh-CN"/>
              </w:rPr>
            </w:pPr>
          </w:p>
        </w:tc>
        <w:tc>
          <w:tcPr>
            <w:tcW w:w="2078" w:type="dxa"/>
            <w:vAlign w:val="top"/>
          </w:tcPr>
          <w:p w14:paraId="3A8F8595">
            <w:pPr>
              <w:pStyle w:val="14"/>
              <w:keepNext w:val="0"/>
              <w:keepLines w:val="0"/>
              <w:pageBreakBefore w:val="0"/>
              <w:shd w:val="clear" w:color="auto" w:fill="auto"/>
              <w:kinsoku/>
              <w:overflowPunct/>
              <w:bidi w:val="0"/>
              <w:spacing w:line="360" w:lineRule="auto"/>
              <w:rPr>
                <w:rFonts w:hint="eastAsia" w:hAnsi="宋体" w:cs="Courier New"/>
                <w:color w:val="auto"/>
                <w:kern w:val="2"/>
                <w:sz w:val="24"/>
                <w:szCs w:val="24"/>
                <w:highlight w:val="none"/>
                <w:shd w:val="clear" w:color="auto" w:fill="auto"/>
                <w:lang w:val="en-US" w:eastAsia="zh-CN"/>
              </w:rPr>
            </w:pPr>
          </w:p>
        </w:tc>
        <w:tc>
          <w:tcPr>
            <w:tcW w:w="1843" w:type="dxa"/>
            <w:vAlign w:val="top"/>
          </w:tcPr>
          <w:p w14:paraId="59E71148">
            <w:pPr>
              <w:pStyle w:val="14"/>
              <w:keepNext w:val="0"/>
              <w:keepLines w:val="0"/>
              <w:pageBreakBefore w:val="0"/>
              <w:shd w:val="clear" w:color="auto" w:fill="auto"/>
              <w:kinsoku/>
              <w:overflowPunct/>
              <w:bidi w:val="0"/>
              <w:spacing w:line="360" w:lineRule="auto"/>
              <w:rPr>
                <w:rFonts w:hint="eastAsia" w:hAnsi="宋体" w:cs="Courier New"/>
                <w:color w:val="auto"/>
                <w:kern w:val="2"/>
                <w:sz w:val="24"/>
                <w:szCs w:val="24"/>
                <w:highlight w:val="none"/>
                <w:shd w:val="clear" w:color="auto" w:fill="auto"/>
                <w:lang w:val="en-US" w:eastAsia="zh-CN"/>
              </w:rPr>
            </w:pPr>
          </w:p>
        </w:tc>
      </w:tr>
      <w:tr w14:paraId="26EF7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top"/>
          </w:tcPr>
          <w:p w14:paraId="15F3FB28">
            <w:pPr>
              <w:pStyle w:val="14"/>
              <w:keepNext w:val="0"/>
              <w:keepLines w:val="0"/>
              <w:pageBreakBefore w:val="0"/>
              <w:shd w:val="clear" w:color="auto" w:fill="auto"/>
              <w:kinsoku/>
              <w:overflowPunct/>
              <w:bidi w:val="0"/>
              <w:spacing w:line="360" w:lineRule="auto"/>
              <w:rPr>
                <w:rFonts w:hint="eastAsia" w:hAnsi="宋体" w:cs="Courier New"/>
                <w:color w:val="auto"/>
                <w:kern w:val="2"/>
                <w:sz w:val="24"/>
                <w:szCs w:val="24"/>
                <w:highlight w:val="none"/>
                <w:shd w:val="clear" w:color="auto" w:fill="auto"/>
                <w:lang w:val="en-US" w:eastAsia="zh-CN"/>
              </w:rPr>
            </w:pPr>
          </w:p>
        </w:tc>
        <w:tc>
          <w:tcPr>
            <w:tcW w:w="2041" w:type="dxa"/>
            <w:vAlign w:val="top"/>
          </w:tcPr>
          <w:p w14:paraId="7C832DCB">
            <w:pPr>
              <w:pStyle w:val="14"/>
              <w:keepNext w:val="0"/>
              <w:keepLines w:val="0"/>
              <w:pageBreakBefore w:val="0"/>
              <w:shd w:val="clear" w:color="auto" w:fill="auto"/>
              <w:kinsoku/>
              <w:overflowPunct/>
              <w:bidi w:val="0"/>
              <w:spacing w:line="360" w:lineRule="auto"/>
              <w:rPr>
                <w:rFonts w:hint="eastAsia" w:hAnsi="宋体" w:cs="Courier New"/>
                <w:color w:val="auto"/>
                <w:kern w:val="2"/>
                <w:sz w:val="24"/>
                <w:szCs w:val="24"/>
                <w:highlight w:val="none"/>
                <w:shd w:val="clear" w:color="auto" w:fill="auto"/>
                <w:lang w:val="en-US" w:eastAsia="zh-CN"/>
              </w:rPr>
            </w:pPr>
          </w:p>
        </w:tc>
        <w:tc>
          <w:tcPr>
            <w:tcW w:w="1747" w:type="dxa"/>
            <w:vAlign w:val="top"/>
          </w:tcPr>
          <w:p w14:paraId="2BC7E9BA">
            <w:pPr>
              <w:pStyle w:val="14"/>
              <w:keepNext w:val="0"/>
              <w:keepLines w:val="0"/>
              <w:pageBreakBefore w:val="0"/>
              <w:shd w:val="clear" w:color="auto" w:fill="auto"/>
              <w:kinsoku/>
              <w:overflowPunct/>
              <w:bidi w:val="0"/>
              <w:spacing w:line="360" w:lineRule="auto"/>
              <w:rPr>
                <w:rFonts w:hint="eastAsia" w:hAnsi="宋体" w:cs="Courier New"/>
                <w:color w:val="auto"/>
                <w:kern w:val="2"/>
                <w:sz w:val="24"/>
                <w:szCs w:val="24"/>
                <w:highlight w:val="none"/>
                <w:shd w:val="clear" w:color="auto" w:fill="auto"/>
                <w:lang w:val="en-US" w:eastAsia="zh-CN"/>
              </w:rPr>
            </w:pPr>
          </w:p>
        </w:tc>
        <w:tc>
          <w:tcPr>
            <w:tcW w:w="2078" w:type="dxa"/>
            <w:vAlign w:val="top"/>
          </w:tcPr>
          <w:p w14:paraId="0893C5D5">
            <w:pPr>
              <w:pStyle w:val="14"/>
              <w:keepNext w:val="0"/>
              <w:keepLines w:val="0"/>
              <w:pageBreakBefore w:val="0"/>
              <w:shd w:val="clear" w:color="auto" w:fill="auto"/>
              <w:kinsoku/>
              <w:overflowPunct/>
              <w:bidi w:val="0"/>
              <w:spacing w:line="360" w:lineRule="auto"/>
              <w:rPr>
                <w:rFonts w:hint="eastAsia" w:hAnsi="宋体" w:cs="Courier New"/>
                <w:color w:val="auto"/>
                <w:kern w:val="2"/>
                <w:sz w:val="24"/>
                <w:szCs w:val="24"/>
                <w:highlight w:val="none"/>
                <w:shd w:val="clear" w:color="auto" w:fill="auto"/>
                <w:lang w:val="en-US" w:eastAsia="zh-CN"/>
              </w:rPr>
            </w:pPr>
          </w:p>
        </w:tc>
        <w:tc>
          <w:tcPr>
            <w:tcW w:w="1843" w:type="dxa"/>
            <w:vAlign w:val="top"/>
          </w:tcPr>
          <w:p w14:paraId="55B405BD">
            <w:pPr>
              <w:pStyle w:val="14"/>
              <w:keepNext w:val="0"/>
              <w:keepLines w:val="0"/>
              <w:pageBreakBefore w:val="0"/>
              <w:shd w:val="clear" w:color="auto" w:fill="auto"/>
              <w:kinsoku/>
              <w:overflowPunct/>
              <w:bidi w:val="0"/>
              <w:spacing w:line="360" w:lineRule="auto"/>
              <w:rPr>
                <w:rFonts w:hint="eastAsia" w:hAnsi="宋体" w:cs="Courier New"/>
                <w:color w:val="auto"/>
                <w:kern w:val="2"/>
                <w:sz w:val="24"/>
                <w:szCs w:val="24"/>
                <w:highlight w:val="none"/>
                <w:shd w:val="clear" w:color="auto" w:fill="auto"/>
                <w:lang w:val="en-US" w:eastAsia="zh-CN"/>
              </w:rPr>
            </w:pPr>
          </w:p>
        </w:tc>
      </w:tr>
      <w:tr w14:paraId="6D2FD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top"/>
          </w:tcPr>
          <w:p w14:paraId="4F1E9D01">
            <w:pPr>
              <w:pStyle w:val="14"/>
              <w:keepNext w:val="0"/>
              <w:keepLines w:val="0"/>
              <w:pageBreakBefore w:val="0"/>
              <w:shd w:val="clear" w:color="auto" w:fill="auto"/>
              <w:kinsoku/>
              <w:overflowPunct/>
              <w:bidi w:val="0"/>
              <w:spacing w:line="360" w:lineRule="auto"/>
              <w:rPr>
                <w:rFonts w:hint="eastAsia" w:hAnsi="宋体" w:cs="Courier New"/>
                <w:color w:val="auto"/>
                <w:kern w:val="2"/>
                <w:sz w:val="24"/>
                <w:szCs w:val="24"/>
                <w:highlight w:val="none"/>
                <w:shd w:val="clear" w:color="auto" w:fill="auto"/>
                <w:lang w:val="en-US" w:eastAsia="zh-CN"/>
              </w:rPr>
            </w:pPr>
          </w:p>
        </w:tc>
        <w:tc>
          <w:tcPr>
            <w:tcW w:w="2041" w:type="dxa"/>
            <w:vAlign w:val="top"/>
          </w:tcPr>
          <w:p w14:paraId="108AF2B4">
            <w:pPr>
              <w:pStyle w:val="14"/>
              <w:keepNext w:val="0"/>
              <w:keepLines w:val="0"/>
              <w:pageBreakBefore w:val="0"/>
              <w:shd w:val="clear" w:color="auto" w:fill="auto"/>
              <w:kinsoku/>
              <w:overflowPunct/>
              <w:bidi w:val="0"/>
              <w:spacing w:line="360" w:lineRule="auto"/>
              <w:rPr>
                <w:rFonts w:hint="eastAsia" w:hAnsi="宋体" w:cs="Courier New"/>
                <w:color w:val="auto"/>
                <w:kern w:val="2"/>
                <w:sz w:val="24"/>
                <w:szCs w:val="24"/>
                <w:highlight w:val="none"/>
                <w:shd w:val="clear" w:color="auto" w:fill="auto"/>
                <w:lang w:val="en-US" w:eastAsia="zh-CN"/>
              </w:rPr>
            </w:pPr>
          </w:p>
        </w:tc>
        <w:tc>
          <w:tcPr>
            <w:tcW w:w="1747" w:type="dxa"/>
            <w:vAlign w:val="top"/>
          </w:tcPr>
          <w:p w14:paraId="1EC07504">
            <w:pPr>
              <w:pStyle w:val="14"/>
              <w:keepNext w:val="0"/>
              <w:keepLines w:val="0"/>
              <w:pageBreakBefore w:val="0"/>
              <w:shd w:val="clear" w:color="auto" w:fill="auto"/>
              <w:kinsoku/>
              <w:overflowPunct/>
              <w:bidi w:val="0"/>
              <w:spacing w:line="360" w:lineRule="auto"/>
              <w:rPr>
                <w:rFonts w:hint="eastAsia" w:hAnsi="宋体" w:cs="Courier New"/>
                <w:color w:val="auto"/>
                <w:kern w:val="2"/>
                <w:sz w:val="24"/>
                <w:szCs w:val="24"/>
                <w:highlight w:val="none"/>
                <w:shd w:val="clear" w:color="auto" w:fill="auto"/>
                <w:lang w:val="en-US" w:eastAsia="zh-CN"/>
              </w:rPr>
            </w:pPr>
          </w:p>
        </w:tc>
        <w:tc>
          <w:tcPr>
            <w:tcW w:w="2078" w:type="dxa"/>
            <w:vAlign w:val="top"/>
          </w:tcPr>
          <w:p w14:paraId="21AB90F7">
            <w:pPr>
              <w:pStyle w:val="14"/>
              <w:keepNext w:val="0"/>
              <w:keepLines w:val="0"/>
              <w:pageBreakBefore w:val="0"/>
              <w:shd w:val="clear" w:color="auto" w:fill="auto"/>
              <w:kinsoku/>
              <w:overflowPunct/>
              <w:bidi w:val="0"/>
              <w:spacing w:line="360" w:lineRule="auto"/>
              <w:rPr>
                <w:rFonts w:hint="eastAsia" w:hAnsi="宋体" w:cs="Courier New"/>
                <w:color w:val="auto"/>
                <w:kern w:val="2"/>
                <w:sz w:val="24"/>
                <w:szCs w:val="24"/>
                <w:highlight w:val="none"/>
                <w:shd w:val="clear" w:color="auto" w:fill="auto"/>
                <w:lang w:val="en-US" w:eastAsia="zh-CN"/>
              </w:rPr>
            </w:pPr>
          </w:p>
        </w:tc>
        <w:tc>
          <w:tcPr>
            <w:tcW w:w="1843" w:type="dxa"/>
            <w:vAlign w:val="top"/>
          </w:tcPr>
          <w:p w14:paraId="26ECF9AF">
            <w:pPr>
              <w:pStyle w:val="14"/>
              <w:keepNext w:val="0"/>
              <w:keepLines w:val="0"/>
              <w:pageBreakBefore w:val="0"/>
              <w:shd w:val="clear" w:color="auto" w:fill="auto"/>
              <w:kinsoku/>
              <w:overflowPunct/>
              <w:bidi w:val="0"/>
              <w:spacing w:line="360" w:lineRule="auto"/>
              <w:rPr>
                <w:rFonts w:hint="eastAsia" w:hAnsi="宋体" w:cs="Courier New"/>
                <w:color w:val="auto"/>
                <w:kern w:val="2"/>
                <w:sz w:val="24"/>
                <w:szCs w:val="24"/>
                <w:highlight w:val="none"/>
                <w:shd w:val="clear" w:color="auto" w:fill="auto"/>
                <w:lang w:val="en-US" w:eastAsia="zh-CN"/>
              </w:rPr>
            </w:pPr>
          </w:p>
        </w:tc>
      </w:tr>
      <w:tr w14:paraId="1BAD6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top"/>
          </w:tcPr>
          <w:p w14:paraId="5108862F">
            <w:pPr>
              <w:pStyle w:val="14"/>
              <w:keepNext w:val="0"/>
              <w:keepLines w:val="0"/>
              <w:pageBreakBefore w:val="0"/>
              <w:shd w:val="clear" w:color="auto" w:fill="auto"/>
              <w:kinsoku/>
              <w:overflowPunct/>
              <w:bidi w:val="0"/>
              <w:spacing w:line="360" w:lineRule="auto"/>
              <w:rPr>
                <w:rFonts w:hint="eastAsia" w:hAnsi="宋体" w:cs="Courier New"/>
                <w:color w:val="auto"/>
                <w:kern w:val="2"/>
                <w:sz w:val="24"/>
                <w:szCs w:val="24"/>
                <w:highlight w:val="none"/>
                <w:shd w:val="clear" w:color="auto" w:fill="auto"/>
                <w:lang w:val="en-US" w:eastAsia="zh-CN"/>
              </w:rPr>
            </w:pPr>
          </w:p>
        </w:tc>
        <w:tc>
          <w:tcPr>
            <w:tcW w:w="2041" w:type="dxa"/>
            <w:vAlign w:val="top"/>
          </w:tcPr>
          <w:p w14:paraId="232DB771">
            <w:pPr>
              <w:pStyle w:val="14"/>
              <w:keepNext w:val="0"/>
              <w:keepLines w:val="0"/>
              <w:pageBreakBefore w:val="0"/>
              <w:shd w:val="clear" w:color="auto" w:fill="auto"/>
              <w:kinsoku/>
              <w:overflowPunct/>
              <w:bidi w:val="0"/>
              <w:spacing w:line="360" w:lineRule="auto"/>
              <w:rPr>
                <w:rFonts w:hint="eastAsia" w:hAnsi="宋体" w:cs="Courier New"/>
                <w:color w:val="auto"/>
                <w:kern w:val="2"/>
                <w:sz w:val="24"/>
                <w:szCs w:val="24"/>
                <w:highlight w:val="none"/>
                <w:shd w:val="clear" w:color="auto" w:fill="auto"/>
                <w:lang w:val="en-US" w:eastAsia="zh-CN"/>
              </w:rPr>
            </w:pPr>
          </w:p>
        </w:tc>
        <w:tc>
          <w:tcPr>
            <w:tcW w:w="1747" w:type="dxa"/>
            <w:vAlign w:val="top"/>
          </w:tcPr>
          <w:p w14:paraId="3AC5A7D5">
            <w:pPr>
              <w:pStyle w:val="14"/>
              <w:keepNext w:val="0"/>
              <w:keepLines w:val="0"/>
              <w:pageBreakBefore w:val="0"/>
              <w:shd w:val="clear" w:color="auto" w:fill="auto"/>
              <w:kinsoku/>
              <w:overflowPunct/>
              <w:bidi w:val="0"/>
              <w:spacing w:line="360" w:lineRule="auto"/>
              <w:rPr>
                <w:rFonts w:hint="eastAsia" w:hAnsi="宋体" w:cs="Courier New"/>
                <w:color w:val="auto"/>
                <w:kern w:val="2"/>
                <w:sz w:val="24"/>
                <w:szCs w:val="24"/>
                <w:highlight w:val="none"/>
                <w:shd w:val="clear" w:color="auto" w:fill="auto"/>
                <w:lang w:val="en-US" w:eastAsia="zh-CN"/>
              </w:rPr>
            </w:pPr>
          </w:p>
        </w:tc>
        <w:tc>
          <w:tcPr>
            <w:tcW w:w="2078" w:type="dxa"/>
            <w:vAlign w:val="top"/>
          </w:tcPr>
          <w:p w14:paraId="5BC688E9">
            <w:pPr>
              <w:pStyle w:val="14"/>
              <w:keepNext w:val="0"/>
              <w:keepLines w:val="0"/>
              <w:pageBreakBefore w:val="0"/>
              <w:shd w:val="clear" w:color="auto" w:fill="auto"/>
              <w:kinsoku/>
              <w:overflowPunct/>
              <w:bidi w:val="0"/>
              <w:spacing w:line="360" w:lineRule="auto"/>
              <w:rPr>
                <w:rFonts w:hint="eastAsia" w:hAnsi="宋体" w:cs="Courier New"/>
                <w:color w:val="auto"/>
                <w:kern w:val="2"/>
                <w:sz w:val="24"/>
                <w:szCs w:val="24"/>
                <w:highlight w:val="none"/>
                <w:shd w:val="clear" w:color="auto" w:fill="auto"/>
                <w:lang w:val="en-US" w:eastAsia="zh-CN"/>
              </w:rPr>
            </w:pPr>
          </w:p>
        </w:tc>
        <w:tc>
          <w:tcPr>
            <w:tcW w:w="1843" w:type="dxa"/>
            <w:vAlign w:val="top"/>
          </w:tcPr>
          <w:p w14:paraId="63A7A24F">
            <w:pPr>
              <w:pStyle w:val="14"/>
              <w:keepNext w:val="0"/>
              <w:keepLines w:val="0"/>
              <w:pageBreakBefore w:val="0"/>
              <w:shd w:val="clear" w:color="auto" w:fill="auto"/>
              <w:kinsoku/>
              <w:overflowPunct/>
              <w:bidi w:val="0"/>
              <w:spacing w:line="360" w:lineRule="auto"/>
              <w:rPr>
                <w:rFonts w:hint="eastAsia" w:hAnsi="宋体" w:cs="Courier New"/>
                <w:color w:val="auto"/>
                <w:kern w:val="2"/>
                <w:sz w:val="24"/>
                <w:szCs w:val="24"/>
                <w:highlight w:val="none"/>
                <w:shd w:val="clear" w:color="auto" w:fill="auto"/>
                <w:lang w:val="en-US" w:eastAsia="zh-CN"/>
              </w:rPr>
            </w:pPr>
          </w:p>
        </w:tc>
      </w:tr>
    </w:tbl>
    <w:p w14:paraId="7DC0FBBB">
      <w:pPr>
        <w:pStyle w:val="11"/>
        <w:keepNext w:val="0"/>
        <w:keepLines w:val="0"/>
        <w:pageBreakBefore w:val="0"/>
        <w:kinsoku/>
        <w:overflowPunct/>
        <w:bidi w:val="0"/>
        <w:spacing w:line="360" w:lineRule="auto"/>
        <w:rPr>
          <w:rFonts w:ascii="宋体" w:hAnsi="宋体" w:cs="宋体"/>
          <w:color w:val="auto"/>
        </w:rPr>
      </w:pPr>
    </w:p>
    <w:p w14:paraId="3B7671DB">
      <w:pPr>
        <w:keepNext w:val="0"/>
        <w:keepLines w:val="0"/>
        <w:pageBreakBefore w:val="0"/>
        <w:kinsoku/>
        <w:overflowPunct/>
        <w:bidi w:val="0"/>
        <w:snapToGrid w:val="0"/>
        <w:spacing w:before="50" w:after="50" w:line="360" w:lineRule="auto"/>
        <w:rPr>
          <w:rFonts w:hint="eastAsia" w:ascii="宋体" w:hAnsi="宋体" w:eastAsia="宋体" w:cs="宋体"/>
          <w:color w:val="auto"/>
        </w:rPr>
      </w:pPr>
      <w:r>
        <w:rPr>
          <w:rFonts w:hint="eastAsia" w:ascii="宋体" w:hAnsi="宋体" w:eastAsia="宋体" w:cs="宋体"/>
          <w:color w:val="auto"/>
        </w:rPr>
        <w:t>注：1.说明：应对照招标文件“第二章 采购需求”中的“技术要求”逐条作明确的投标响应，并作出偏离说明。</w:t>
      </w:r>
    </w:p>
    <w:p w14:paraId="485D0530">
      <w:pPr>
        <w:keepNext w:val="0"/>
        <w:keepLines w:val="0"/>
        <w:pageBreakBefore w:val="0"/>
        <w:kinsoku/>
        <w:overflowPunct/>
        <w:bidi w:val="0"/>
        <w:snapToGrid w:val="0"/>
        <w:spacing w:before="50" w:after="50" w:line="360" w:lineRule="auto"/>
        <w:ind w:firstLine="420" w:firstLineChars="200"/>
        <w:rPr>
          <w:rFonts w:hint="eastAsia" w:ascii="宋体" w:hAnsi="宋体" w:eastAsia="宋体" w:cs="宋体"/>
          <w:color w:val="auto"/>
        </w:rPr>
      </w:pPr>
      <w:r>
        <w:rPr>
          <w:rFonts w:hint="eastAsia" w:ascii="宋体" w:hAnsi="宋体" w:eastAsia="宋体" w:cs="宋体"/>
          <w:color w:val="auto"/>
        </w:rPr>
        <w:t>2.投标人对照招标文件技术要求，在“偏离说明”中注明“正偏离”、“负偏离”或者“无偏离”。既不属于“正偏离”也不属于“负偏离”即为“无偏离”。</w:t>
      </w:r>
    </w:p>
    <w:p w14:paraId="08B091AB">
      <w:pPr>
        <w:keepNext w:val="0"/>
        <w:keepLines w:val="0"/>
        <w:pageBreakBefore w:val="0"/>
        <w:kinsoku/>
        <w:overflowPunct/>
        <w:bidi w:val="0"/>
        <w:snapToGrid w:val="0"/>
        <w:spacing w:before="50" w:after="50" w:line="360" w:lineRule="auto"/>
        <w:ind w:firstLine="420" w:firstLineChars="200"/>
        <w:rPr>
          <w:color w:val="auto"/>
        </w:rPr>
      </w:pPr>
      <w:r>
        <w:rPr>
          <w:rFonts w:hint="eastAsia" w:ascii="宋体" w:hAnsi="宋体" w:eastAsia="宋体" w:cs="宋体"/>
          <w:color w:val="auto"/>
        </w:rPr>
        <w:t>3.如技术要求偏离表中的投标响应与佐证材料不一致的，以佐证材料为准。</w:t>
      </w:r>
    </w:p>
    <w:p w14:paraId="65C10E9B">
      <w:pPr>
        <w:keepNext w:val="0"/>
        <w:keepLines w:val="0"/>
        <w:pageBreakBefore w:val="0"/>
        <w:kinsoku/>
        <w:overflowPunct/>
        <w:bidi w:val="0"/>
        <w:snapToGrid w:val="0"/>
        <w:spacing w:before="50" w:after="50" w:line="360" w:lineRule="auto"/>
        <w:rPr>
          <w:rFonts w:ascii="宋体" w:hAnsi="宋体" w:cs="宋体"/>
          <w:color w:val="auto"/>
          <w:spacing w:val="20"/>
          <w:sz w:val="21"/>
          <w:szCs w:val="21"/>
          <w:u w:val="single"/>
        </w:rPr>
      </w:pPr>
      <w:r>
        <w:rPr>
          <w:rFonts w:hint="eastAsia" w:ascii="宋体" w:hAnsi="宋体" w:cs="宋体"/>
          <w:color w:val="auto"/>
          <w:sz w:val="21"/>
          <w:szCs w:val="21"/>
        </w:rPr>
        <w:t>法定代表人或委托代理人</w:t>
      </w:r>
      <w:r>
        <w:rPr>
          <w:rFonts w:hint="eastAsia" w:ascii="宋体" w:hAnsi="宋体" w:cs="宋体"/>
          <w:color w:val="auto"/>
          <w:spacing w:val="20"/>
          <w:sz w:val="21"/>
          <w:szCs w:val="21"/>
        </w:rPr>
        <w:t>（签字</w:t>
      </w:r>
      <w:r>
        <w:rPr>
          <w:rFonts w:hint="eastAsia" w:ascii="宋体" w:hAnsi="宋体" w:cs="宋体"/>
          <w:color w:val="auto"/>
          <w:spacing w:val="20"/>
          <w:sz w:val="21"/>
          <w:szCs w:val="21"/>
          <w:lang w:val="en-US" w:eastAsia="zh-CN"/>
        </w:rPr>
        <w:t>或者</w:t>
      </w:r>
      <w:r>
        <w:rPr>
          <w:rFonts w:hint="eastAsia" w:ascii="宋体" w:hAnsi="宋体" w:cs="宋体"/>
          <w:color w:val="auto"/>
          <w:spacing w:val="20"/>
          <w:sz w:val="21"/>
          <w:szCs w:val="21"/>
        </w:rPr>
        <w:t>电子签名：</w:t>
      </w:r>
      <w:r>
        <w:rPr>
          <w:rFonts w:hint="eastAsia" w:ascii="宋体" w:hAnsi="宋体" w:cs="宋体"/>
          <w:color w:val="auto"/>
          <w:spacing w:val="20"/>
          <w:sz w:val="21"/>
          <w:szCs w:val="21"/>
          <w:u w:val="single"/>
        </w:rPr>
        <w:t xml:space="preserve">        </w:t>
      </w:r>
    </w:p>
    <w:p w14:paraId="34B998DB">
      <w:pPr>
        <w:keepNext w:val="0"/>
        <w:keepLines w:val="0"/>
        <w:pageBreakBefore w:val="0"/>
        <w:kinsoku/>
        <w:overflowPunct/>
        <w:bidi w:val="0"/>
        <w:snapToGrid w:val="0"/>
        <w:spacing w:before="156" w:beforeLines="50" w:line="360" w:lineRule="auto"/>
        <w:rPr>
          <w:rFonts w:ascii="宋体" w:hAnsi="宋体" w:cs="宋体"/>
          <w:color w:val="auto"/>
          <w:spacing w:val="20"/>
          <w:sz w:val="21"/>
          <w:szCs w:val="21"/>
        </w:rPr>
      </w:pPr>
      <w:r>
        <w:rPr>
          <w:rFonts w:hint="eastAsia" w:ascii="宋体" w:hAnsi="宋体" w:cs="宋体"/>
          <w:color w:val="auto"/>
          <w:spacing w:val="20"/>
          <w:sz w:val="21"/>
          <w:szCs w:val="21"/>
        </w:rPr>
        <w:t>投标人盖</w:t>
      </w:r>
      <w:r>
        <w:rPr>
          <w:rFonts w:hint="eastAsia" w:ascii="宋体" w:hAnsi="宋体"/>
          <w:color w:val="auto"/>
          <w:spacing w:val="20"/>
          <w:sz w:val="21"/>
          <w:szCs w:val="21"/>
          <w:highlight w:val="none"/>
          <w:shd w:val="clear" w:color="auto" w:fill="auto"/>
        </w:rPr>
        <w:t>（电子签章）</w:t>
      </w:r>
      <w:r>
        <w:rPr>
          <w:rFonts w:hint="eastAsia" w:ascii="宋体" w:hAnsi="宋体" w:cs="宋体"/>
          <w:color w:val="auto"/>
          <w:spacing w:val="20"/>
          <w:sz w:val="21"/>
          <w:szCs w:val="21"/>
        </w:rPr>
        <w:t>：</w:t>
      </w:r>
      <w:r>
        <w:rPr>
          <w:rFonts w:hint="eastAsia" w:ascii="宋体" w:hAnsi="宋体" w:cs="宋体"/>
          <w:color w:val="auto"/>
          <w:spacing w:val="20"/>
          <w:sz w:val="21"/>
          <w:szCs w:val="21"/>
          <w:u w:val="single"/>
        </w:rPr>
        <w:t xml:space="preserve">            </w:t>
      </w:r>
      <w:r>
        <w:rPr>
          <w:rFonts w:hint="eastAsia" w:ascii="宋体" w:hAnsi="宋体" w:cs="宋体"/>
          <w:color w:val="auto"/>
          <w:spacing w:val="20"/>
          <w:sz w:val="21"/>
          <w:szCs w:val="21"/>
        </w:rPr>
        <w:t xml:space="preserve">   </w:t>
      </w:r>
    </w:p>
    <w:p w14:paraId="16BD21A4">
      <w:pPr>
        <w:keepNext w:val="0"/>
        <w:keepLines w:val="0"/>
        <w:pageBreakBefore w:val="0"/>
        <w:kinsoku/>
        <w:overflowPunct/>
        <w:bidi w:val="0"/>
        <w:spacing w:line="360" w:lineRule="auto"/>
        <w:rPr>
          <w:rFonts w:ascii="宋体" w:hAnsi="宋体" w:cs="宋体"/>
          <w:color w:val="auto"/>
          <w:spacing w:val="20"/>
          <w:sz w:val="21"/>
          <w:szCs w:val="21"/>
          <w:u w:val="single"/>
        </w:rPr>
      </w:pPr>
      <w:r>
        <w:rPr>
          <w:rFonts w:hint="eastAsia" w:ascii="宋体" w:hAnsi="宋体" w:cs="宋体"/>
          <w:color w:val="auto"/>
          <w:spacing w:val="20"/>
          <w:sz w:val="21"/>
          <w:szCs w:val="21"/>
        </w:rPr>
        <w:t>日  期：</w:t>
      </w:r>
      <w:r>
        <w:rPr>
          <w:rFonts w:hint="eastAsia" w:ascii="宋体" w:hAnsi="宋体" w:cs="宋体"/>
          <w:color w:val="auto"/>
          <w:spacing w:val="20"/>
          <w:sz w:val="21"/>
          <w:szCs w:val="21"/>
          <w:u w:val="single"/>
        </w:rPr>
        <w:t xml:space="preserve">        </w:t>
      </w:r>
    </w:p>
    <w:p w14:paraId="2C80ACD8">
      <w:pPr>
        <w:keepNext w:val="0"/>
        <w:keepLines w:val="0"/>
        <w:pageBreakBefore w:val="0"/>
        <w:kinsoku/>
        <w:overflowPunct/>
        <w:bidi w:val="0"/>
        <w:spacing w:line="360" w:lineRule="auto"/>
        <w:rPr>
          <w:rFonts w:hint="eastAsia" w:ascii="宋体" w:hAnsi="宋体" w:cs="宋体"/>
          <w:b/>
          <w:bCs/>
          <w:color w:val="auto"/>
          <w:sz w:val="24"/>
        </w:rPr>
      </w:pPr>
      <w:r>
        <w:rPr>
          <w:rFonts w:hint="eastAsia" w:ascii="宋体" w:hAnsi="宋体" w:cs="宋体"/>
          <w:b/>
          <w:bCs/>
          <w:color w:val="auto"/>
          <w:sz w:val="24"/>
        </w:rPr>
        <w:br w:type="page"/>
      </w:r>
    </w:p>
    <w:p w14:paraId="53D4F872">
      <w:pPr>
        <w:keepNext w:val="0"/>
        <w:keepLines w:val="0"/>
        <w:pageBreakBefore w:val="0"/>
        <w:shd w:val="clear" w:color="auto" w:fill="auto"/>
        <w:kinsoku/>
        <w:overflowPunct/>
        <w:bidi w:val="0"/>
        <w:snapToGrid w:val="0"/>
        <w:spacing w:before="120" w:beforeLines="50" w:after="50" w:line="360" w:lineRule="auto"/>
        <w:ind w:left="142"/>
        <w:jc w:val="left"/>
        <w:rPr>
          <w:rFonts w:hint="eastAsia" w:ascii="宋体" w:hAnsi="宋体"/>
          <w:b/>
          <w:color w:val="auto"/>
          <w:sz w:val="24"/>
          <w:highlight w:val="none"/>
          <w:shd w:val="clear" w:color="auto" w:fill="auto"/>
        </w:rPr>
      </w:pPr>
      <w:r>
        <w:rPr>
          <w:rFonts w:hint="eastAsia" w:ascii="宋体" w:hAnsi="宋体" w:cs="宋体"/>
          <w:b/>
          <w:bCs/>
          <w:color w:val="auto"/>
          <w:sz w:val="24"/>
          <w:lang w:val="en-US" w:eastAsia="zh-CN"/>
        </w:rPr>
        <w:t>8.</w:t>
      </w:r>
      <w:r>
        <w:rPr>
          <w:rFonts w:hint="eastAsia" w:ascii="宋体" w:hAnsi="宋体"/>
          <w:b/>
          <w:color w:val="auto"/>
          <w:sz w:val="24"/>
          <w:highlight w:val="none"/>
          <w:shd w:val="clear" w:color="auto" w:fill="auto"/>
        </w:rPr>
        <w:t>项目实施人员一览表格式</w:t>
      </w:r>
    </w:p>
    <w:p w14:paraId="7D2BECE8">
      <w:pPr>
        <w:keepNext w:val="0"/>
        <w:keepLines w:val="0"/>
        <w:pageBreakBefore w:val="0"/>
        <w:shd w:val="clear" w:color="auto" w:fill="auto"/>
        <w:kinsoku/>
        <w:overflowPunct/>
        <w:bidi w:val="0"/>
        <w:snapToGrid w:val="0"/>
        <w:spacing w:before="120" w:beforeLines="50" w:after="50" w:line="360" w:lineRule="auto"/>
        <w:ind w:left="142"/>
        <w:jc w:val="left"/>
        <w:rPr>
          <w:rFonts w:hint="eastAsia" w:ascii="宋体" w:hAnsi="宋体"/>
          <w:b/>
          <w:color w:val="auto"/>
          <w:sz w:val="24"/>
          <w:highlight w:val="none"/>
          <w:shd w:val="clear" w:color="auto" w:fill="auto"/>
        </w:rPr>
      </w:pPr>
    </w:p>
    <w:p w14:paraId="6E2DB46B">
      <w:pPr>
        <w:keepNext w:val="0"/>
        <w:keepLines w:val="0"/>
        <w:pageBreakBefore w:val="0"/>
        <w:shd w:val="clear" w:color="auto" w:fill="auto"/>
        <w:kinsoku/>
        <w:overflowPunct/>
        <w:bidi w:val="0"/>
        <w:snapToGrid w:val="0"/>
        <w:spacing w:before="120" w:beforeLines="50" w:after="50" w:line="360" w:lineRule="auto"/>
        <w:ind w:left="142"/>
        <w:jc w:val="center"/>
        <w:rPr>
          <w:rFonts w:hint="eastAsia" w:ascii="宋体" w:hAnsi="宋体"/>
          <w:b/>
          <w:color w:val="auto"/>
          <w:sz w:val="32"/>
          <w:szCs w:val="32"/>
          <w:highlight w:val="none"/>
          <w:shd w:val="clear" w:color="auto" w:fill="auto"/>
        </w:rPr>
      </w:pPr>
      <w:r>
        <w:rPr>
          <w:rFonts w:hint="eastAsia" w:ascii="宋体" w:hAnsi="宋体"/>
          <w:b/>
          <w:color w:val="auto"/>
          <w:sz w:val="32"/>
          <w:szCs w:val="32"/>
          <w:highlight w:val="none"/>
          <w:shd w:val="clear" w:color="auto" w:fill="auto"/>
        </w:rPr>
        <w:t>项目实施人员一览表</w:t>
      </w:r>
    </w:p>
    <w:tbl>
      <w:tblPr>
        <w:tblStyle w:val="25"/>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32FCE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5876135">
            <w:pPr>
              <w:keepNext w:val="0"/>
              <w:keepLines w:val="0"/>
              <w:pageBreakBefore w:val="0"/>
              <w:shd w:val="clear" w:color="auto" w:fill="auto"/>
              <w:kinsoku/>
              <w:overflowPunct/>
              <w:bidi w:val="0"/>
              <w:snapToGrid w:val="0"/>
              <w:spacing w:before="50" w:after="120" w:afterLines="50" w:line="360" w:lineRule="auto"/>
              <w:jc w:val="center"/>
              <w:rPr>
                <w:rFonts w:hint="eastAsia" w:ascii="宋体" w:hAnsi="宋体"/>
                <w:color w:val="auto"/>
                <w:sz w:val="24"/>
                <w:szCs w:val="20"/>
                <w:highlight w:val="none"/>
                <w:shd w:val="clear" w:color="auto" w:fill="auto"/>
              </w:rPr>
            </w:pPr>
            <w:r>
              <w:rPr>
                <w:rFonts w:hint="eastAsia" w:ascii="宋体" w:hAnsi="宋体"/>
                <w:color w:val="auto"/>
                <w:sz w:val="24"/>
                <w:szCs w:val="20"/>
                <w:highlight w:val="none"/>
                <w:shd w:val="clear" w:color="auto" w:fill="auto"/>
              </w:rPr>
              <w:t>姓名</w:t>
            </w:r>
          </w:p>
        </w:tc>
        <w:tc>
          <w:tcPr>
            <w:tcW w:w="709" w:type="dxa"/>
            <w:vAlign w:val="center"/>
          </w:tcPr>
          <w:p w14:paraId="4FABF9BD">
            <w:pPr>
              <w:keepNext w:val="0"/>
              <w:keepLines w:val="0"/>
              <w:pageBreakBefore w:val="0"/>
              <w:shd w:val="clear" w:color="auto" w:fill="auto"/>
              <w:kinsoku/>
              <w:overflowPunct/>
              <w:bidi w:val="0"/>
              <w:snapToGrid w:val="0"/>
              <w:spacing w:before="50" w:after="120" w:afterLines="50" w:line="360" w:lineRule="auto"/>
              <w:jc w:val="center"/>
              <w:rPr>
                <w:rFonts w:hint="eastAsia" w:ascii="宋体" w:hAnsi="宋体"/>
                <w:color w:val="auto"/>
                <w:sz w:val="24"/>
                <w:szCs w:val="20"/>
                <w:highlight w:val="none"/>
                <w:shd w:val="clear" w:color="auto" w:fill="auto"/>
              </w:rPr>
            </w:pPr>
            <w:r>
              <w:rPr>
                <w:rFonts w:hint="eastAsia" w:ascii="宋体" w:hAnsi="宋体"/>
                <w:color w:val="auto"/>
                <w:sz w:val="24"/>
                <w:szCs w:val="20"/>
                <w:highlight w:val="none"/>
                <w:shd w:val="clear" w:color="auto" w:fill="auto"/>
              </w:rPr>
              <w:t>职务</w:t>
            </w:r>
          </w:p>
        </w:tc>
        <w:tc>
          <w:tcPr>
            <w:tcW w:w="1701" w:type="dxa"/>
            <w:vAlign w:val="center"/>
          </w:tcPr>
          <w:p w14:paraId="632BA41F">
            <w:pPr>
              <w:keepNext w:val="0"/>
              <w:keepLines w:val="0"/>
              <w:pageBreakBefore w:val="0"/>
              <w:shd w:val="clear" w:color="auto" w:fill="auto"/>
              <w:kinsoku/>
              <w:overflowPunct/>
              <w:bidi w:val="0"/>
              <w:snapToGrid w:val="0"/>
              <w:spacing w:before="50" w:after="120" w:afterLines="50" w:line="360" w:lineRule="auto"/>
              <w:jc w:val="center"/>
              <w:rPr>
                <w:rFonts w:hint="eastAsia" w:ascii="宋体" w:hAnsi="宋体"/>
                <w:color w:val="auto"/>
                <w:sz w:val="24"/>
                <w:szCs w:val="20"/>
                <w:highlight w:val="none"/>
                <w:shd w:val="clear" w:color="auto" w:fill="auto"/>
              </w:rPr>
            </w:pPr>
            <w:r>
              <w:rPr>
                <w:rFonts w:hint="eastAsia" w:ascii="宋体" w:hAnsi="宋体"/>
                <w:color w:val="auto"/>
                <w:sz w:val="24"/>
                <w:szCs w:val="20"/>
                <w:highlight w:val="none"/>
                <w:shd w:val="clear" w:color="auto" w:fill="auto"/>
              </w:rPr>
              <w:t>专业技术资格（职称）或者职业资格或者执业资格证或者其他证书</w:t>
            </w:r>
          </w:p>
        </w:tc>
        <w:tc>
          <w:tcPr>
            <w:tcW w:w="1420" w:type="dxa"/>
            <w:vAlign w:val="center"/>
          </w:tcPr>
          <w:p w14:paraId="10AFF426">
            <w:pPr>
              <w:keepNext w:val="0"/>
              <w:keepLines w:val="0"/>
              <w:pageBreakBefore w:val="0"/>
              <w:shd w:val="clear" w:color="auto" w:fill="auto"/>
              <w:kinsoku/>
              <w:overflowPunct/>
              <w:bidi w:val="0"/>
              <w:snapToGrid w:val="0"/>
              <w:spacing w:before="50" w:after="120" w:afterLines="50" w:line="360" w:lineRule="auto"/>
              <w:jc w:val="center"/>
              <w:rPr>
                <w:rFonts w:hint="eastAsia" w:ascii="宋体" w:hAnsi="宋体"/>
                <w:color w:val="auto"/>
                <w:sz w:val="24"/>
                <w:szCs w:val="20"/>
                <w:highlight w:val="none"/>
                <w:shd w:val="clear" w:color="auto" w:fill="auto"/>
              </w:rPr>
            </w:pPr>
            <w:r>
              <w:rPr>
                <w:rFonts w:hint="eastAsia" w:ascii="宋体" w:hAnsi="宋体"/>
                <w:color w:val="auto"/>
                <w:sz w:val="24"/>
                <w:szCs w:val="20"/>
                <w:highlight w:val="none"/>
                <w:shd w:val="clear" w:color="auto" w:fill="auto"/>
              </w:rPr>
              <w:t>证书编号</w:t>
            </w:r>
          </w:p>
        </w:tc>
        <w:tc>
          <w:tcPr>
            <w:tcW w:w="1698" w:type="dxa"/>
            <w:vAlign w:val="center"/>
          </w:tcPr>
          <w:p w14:paraId="38D35FC1">
            <w:pPr>
              <w:keepNext w:val="0"/>
              <w:keepLines w:val="0"/>
              <w:pageBreakBefore w:val="0"/>
              <w:shd w:val="clear" w:color="auto" w:fill="auto"/>
              <w:kinsoku/>
              <w:overflowPunct/>
              <w:bidi w:val="0"/>
              <w:snapToGrid w:val="0"/>
              <w:spacing w:before="50" w:after="120" w:afterLines="50" w:line="360" w:lineRule="auto"/>
              <w:jc w:val="center"/>
              <w:rPr>
                <w:rFonts w:hint="eastAsia" w:ascii="宋体" w:hAnsi="宋体"/>
                <w:color w:val="auto"/>
                <w:sz w:val="24"/>
                <w:szCs w:val="20"/>
                <w:highlight w:val="none"/>
                <w:shd w:val="clear" w:color="auto" w:fill="auto"/>
              </w:rPr>
            </w:pPr>
            <w:r>
              <w:rPr>
                <w:rFonts w:hint="eastAsia" w:ascii="宋体" w:hAnsi="宋体"/>
                <w:color w:val="auto"/>
                <w:sz w:val="24"/>
                <w:szCs w:val="20"/>
                <w:highlight w:val="none"/>
                <w:shd w:val="clear" w:color="auto" w:fill="auto"/>
              </w:rPr>
              <w:t>参加本单位</w:t>
            </w:r>
          </w:p>
          <w:p w14:paraId="3D388765">
            <w:pPr>
              <w:keepNext w:val="0"/>
              <w:keepLines w:val="0"/>
              <w:pageBreakBefore w:val="0"/>
              <w:shd w:val="clear" w:color="auto" w:fill="auto"/>
              <w:kinsoku/>
              <w:overflowPunct/>
              <w:bidi w:val="0"/>
              <w:snapToGrid w:val="0"/>
              <w:spacing w:before="50" w:after="120" w:afterLines="50" w:line="360" w:lineRule="auto"/>
              <w:jc w:val="center"/>
              <w:rPr>
                <w:rFonts w:hint="eastAsia" w:ascii="宋体" w:hAnsi="宋体"/>
                <w:color w:val="auto"/>
                <w:sz w:val="24"/>
                <w:szCs w:val="20"/>
                <w:highlight w:val="none"/>
                <w:shd w:val="clear" w:color="auto" w:fill="auto"/>
              </w:rPr>
            </w:pPr>
            <w:r>
              <w:rPr>
                <w:rFonts w:hint="eastAsia" w:ascii="宋体" w:hAnsi="宋体"/>
                <w:color w:val="auto"/>
                <w:sz w:val="24"/>
                <w:szCs w:val="20"/>
                <w:highlight w:val="none"/>
                <w:shd w:val="clear" w:color="auto" w:fill="auto"/>
              </w:rPr>
              <w:t>工作时间</w:t>
            </w:r>
          </w:p>
        </w:tc>
        <w:tc>
          <w:tcPr>
            <w:tcW w:w="1843" w:type="dxa"/>
            <w:vAlign w:val="center"/>
          </w:tcPr>
          <w:p w14:paraId="7D59117B">
            <w:pPr>
              <w:keepNext w:val="0"/>
              <w:keepLines w:val="0"/>
              <w:pageBreakBefore w:val="0"/>
              <w:shd w:val="clear" w:color="auto" w:fill="auto"/>
              <w:kinsoku/>
              <w:overflowPunct/>
              <w:bidi w:val="0"/>
              <w:snapToGrid w:val="0"/>
              <w:spacing w:before="50" w:after="120" w:afterLines="50" w:line="360" w:lineRule="auto"/>
              <w:jc w:val="center"/>
              <w:rPr>
                <w:rFonts w:hint="eastAsia" w:ascii="宋体" w:hAnsi="宋体"/>
                <w:color w:val="auto"/>
                <w:sz w:val="24"/>
                <w:szCs w:val="20"/>
                <w:highlight w:val="none"/>
                <w:shd w:val="clear" w:color="auto" w:fill="auto"/>
              </w:rPr>
            </w:pPr>
            <w:r>
              <w:rPr>
                <w:rFonts w:hint="eastAsia" w:ascii="宋体" w:hAnsi="宋体"/>
                <w:color w:val="auto"/>
                <w:sz w:val="24"/>
                <w:szCs w:val="20"/>
                <w:highlight w:val="none"/>
                <w:shd w:val="clear" w:color="auto" w:fill="auto"/>
              </w:rPr>
              <w:t>劳动合同编号</w:t>
            </w:r>
          </w:p>
        </w:tc>
      </w:tr>
      <w:tr w14:paraId="4849A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0CFA182">
            <w:pPr>
              <w:keepNext w:val="0"/>
              <w:keepLines w:val="0"/>
              <w:pageBreakBefore w:val="0"/>
              <w:shd w:val="clear" w:color="auto" w:fill="auto"/>
              <w:kinsoku/>
              <w:overflowPunct/>
              <w:bidi w:val="0"/>
              <w:snapToGrid w:val="0"/>
              <w:spacing w:before="50" w:after="120" w:afterLines="50" w:line="360" w:lineRule="auto"/>
              <w:jc w:val="center"/>
              <w:rPr>
                <w:rFonts w:hint="eastAsia" w:ascii="宋体" w:hAnsi="宋体"/>
                <w:color w:val="auto"/>
                <w:sz w:val="24"/>
                <w:szCs w:val="20"/>
                <w:highlight w:val="none"/>
                <w:shd w:val="clear" w:color="auto" w:fill="auto"/>
              </w:rPr>
            </w:pPr>
          </w:p>
        </w:tc>
        <w:tc>
          <w:tcPr>
            <w:tcW w:w="709" w:type="dxa"/>
            <w:vAlign w:val="center"/>
          </w:tcPr>
          <w:p w14:paraId="33479578">
            <w:pPr>
              <w:keepNext w:val="0"/>
              <w:keepLines w:val="0"/>
              <w:pageBreakBefore w:val="0"/>
              <w:shd w:val="clear" w:color="auto" w:fill="auto"/>
              <w:kinsoku/>
              <w:overflowPunct/>
              <w:bidi w:val="0"/>
              <w:snapToGrid w:val="0"/>
              <w:spacing w:before="50" w:after="120" w:afterLines="50" w:line="360" w:lineRule="auto"/>
              <w:jc w:val="center"/>
              <w:rPr>
                <w:rFonts w:hint="eastAsia" w:ascii="宋体" w:hAnsi="宋体"/>
                <w:color w:val="auto"/>
                <w:sz w:val="24"/>
                <w:szCs w:val="20"/>
                <w:highlight w:val="none"/>
                <w:shd w:val="clear" w:color="auto" w:fill="auto"/>
              </w:rPr>
            </w:pPr>
          </w:p>
        </w:tc>
        <w:tc>
          <w:tcPr>
            <w:tcW w:w="1701" w:type="dxa"/>
            <w:vAlign w:val="center"/>
          </w:tcPr>
          <w:p w14:paraId="2A645A2D">
            <w:pPr>
              <w:keepNext w:val="0"/>
              <w:keepLines w:val="0"/>
              <w:pageBreakBefore w:val="0"/>
              <w:shd w:val="clear" w:color="auto" w:fill="auto"/>
              <w:kinsoku/>
              <w:overflowPunct/>
              <w:bidi w:val="0"/>
              <w:snapToGrid w:val="0"/>
              <w:spacing w:before="50" w:after="120" w:afterLines="50" w:line="360" w:lineRule="auto"/>
              <w:jc w:val="center"/>
              <w:rPr>
                <w:rFonts w:hint="eastAsia" w:ascii="宋体" w:hAnsi="宋体"/>
                <w:color w:val="auto"/>
                <w:sz w:val="24"/>
                <w:szCs w:val="20"/>
                <w:highlight w:val="none"/>
                <w:shd w:val="clear" w:color="auto" w:fill="auto"/>
              </w:rPr>
            </w:pPr>
          </w:p>
        </w:tc>
        <w:tc>
          <w:tcPr>
            <w:tcW w:w="1420" w:type="dxa"/>
            <w:vAlign w:val="center"/>
          </w:tcPr>
          <w:p w14:paraId="015132E0">
            <w:pPr>
              <w:keepNext w:val="0"/>
              <w:keepLines w:val="0"/>
              <w:pageBreakBefore w:val="0"/>
              <w:shd w:val="clear" w:color="auto" w:fill="auto"/>
              <w:kinsoku/>
              <w:overflowPunct/>
              <w:bidi w:val="0"/>
              <w:snapToGrid w:val="0"/>
              <w:spacing w:before="50" w:after="120" w:afterLines="50" w:line="360" w:lineRule="auto"/>
              <w:jc w:val="center"/>
              <w:rPr>
                <w:rFonts w:hint="eastAsia" w:ascii="宋体" w:hAnsi="宋体"/>
                <w:color w:val="auto"/>
                <w:sz w:val="24"/>
                <w:szCs w:val="20"/>
                <w:highlight w:val="none"/>
                <w:shd w:val="clear" w:color="auto" w:fill="auto"/>
              </w:rPr>
            </w:pPr>
          </w:p>
        </w:tc>
        <w:tc>
          <w:tcPr>
            <w:tcW w:w="1698" w:type="dxa"/>
            <w:vAlign w:val="center"/>
          </w:tcPr>
          <w:p w14:paraId="3A52E51A">
            <w:pPr>
              <w:keepNext w:val="0"/>
              <w:keepLines w:val="0"/>
              <w:pageBreakBefore w:val="0"/>
              <w:shd w:val="clear" w:color="auto" w:fill="auto"/>
              <w:kinsoku/>
              <w:overflowPunct/>
              <w:bidi w:val="0"/>
              <w:snapToGrid w:val="0"/>
              <w:spacing w:before="50" w:after="120" w:afterLines="50" w:line="360" w:lineRule="auto"/>
              <w:jc w:val="center"/>
              <w:rPr>
                <w:rFonts w:hint="eastAsia" w:ascii="宋体" w:hAnsi="宋体"/>
                <w:color w:val="auto"/>
                <w:sz w:val="24"/>
                <w:szCs w:val="20"/>
                <w:highlight w:val="none"/>
                <w:shd w:val="clear" w:color="auto" w:fill="auto"/>
              </w:rPr>
            </w:pPr>
          </w:p>
        </w:tc>
        <w:tc>
          <w:tcPr>
            <w:tcW w:w="1843" w:type="dxa"/>
            <w:vAlign w:val="center"/>
          </w:tcPr>
          <w:p w14:paraId="0EB7BA50">
            <w:pPr>
              <w:keepNext w:val="0"/>
              <w:keepLines w:val="0"/>
              <w:pageBreakBefore w:val="0"/>
              <w:shd w:val="clear" w:color="auto" w:fill="auto"/>
              <w:kinsoku/>
              <w:overflowPunct/>
              <w:bidi w:val="0"/>
              <w:snapToGrid w:val="0"/>
              <w:spacing w:before="50" w:after="120" w:afterLines="50" w:line="360" w:lineRule="auto"/>
              <w:jc w:val="center"/>
              <w:rPr>
                <w:rFonts w:hint="eastAsia" w:ascii="宋体" w:hAnsi="宋体"/>
                <w:color w:val="auto"/>
                <w:sz w:val="24"/>
                <w:szCs w:val="20"/>
                <w:highlight w:val="none"/>
                <w:shd w:val="clear" w:color="auto" w:fill="auto"/>
              </w:rPr>
            </w:pPr>
          </w:p>
        </w:tc>
      </w:tr>
      <w:tr w14:paraId="018DC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CE3A00F">
            <w:pPr>
              <w:keepNext w:val="0"/>
              <w:keepLines w:val="0"/>
              <w:pageBreakBefore w:val="0"/>
              <w:shd w:val="clear" w:color="auto" w:fill="auto"/>
              <w:kinsoku/>
              <w:overflowPunct/>
              <w:bidi w:val="0"/>
              <w:snapToGrid w:val="0"/>
              <w:spacing w:before="50" w:after="120" w:afterLines="50" w:line="360" w:lineRule="auto"/>
              <w:jc w:val="center"/>
              <w:rPr>
                <w:rFonts w:hint="eastAsia" w:ascii="宋体" w:hAnsi="宋体"/>
                <w:color w:val="auto"/>
                <w:sz w:val="24"/>
                <w:szCs w:val="20"/>
                <w:highlight w:val="none"/>
                <w:shd w:val="clear" w:color="auto" w:fill="auto"/>
              </w:rPr>
            </w:pPr>
          </w:p>
        </w:tc>
        <w:tc>
          <w:tcPr>
            <w:tcW w:w="709" w:type="dxa"/>
            <w:vAlign w:val="center"/>
          </w:tcPr>
          <w:p w14:paraId="151D57A2">
            <w:pPr>
              <w:keepNext w:val="0"/>
              <w:keepLines w:val="0"/>
              <w:pageBreakBefore w:val="0"/>
              <w:shd w:val="clear" w:color="auto" w:fill="auto"/>
              <w:kinsoku/>
              <w:overflowPunct/>
              <w:bidi w:val="0"/>
              <w:snapToGrid w:val="0"/>
              <w:spacing w:before="50" w:after="120" w:afterLines="50" w:line="360" w:lineRule="auto"/>
              <w:jc w:val="center"/>
              <w:rPr>
                <w:rFonts w:hint="eastAsia" w:ascii="宋体" w:hAnsi="宋体"/>
                <w:color w:val="auto"/>
                <w:sz w:val="24"/>
                <w:szCs w:val="20"/>
                <w:highlight w:val="none"/>
                <w:shd w:val="clear" w:color="auto" w:fill="auto"/>
              </w:rPr>
            </w:pPr>
          </w:p>
        </w:tc>
        <w:tc>
          <w:tcPr>
            <w:tcW w:w="1701" w:type="dxa"/>
            <w:vAlign w:val="center"/>
          </w:tcPr>
          <w:p w14:paraId="0544B673">
            <w:pPr>
              <w:keepNext w:val="0"/>
              <w:keepLines w:val="0"/>
              <w:pageBreakBefore w:val="0"/>
              <w:shd w:val="clear" w:color="auto" w:fill="auto"/>
              <w:kinsoku/>
              <w:overflowPunct/>
              <w:bidi w:val="0"/>
              <w:snapToGrid w:val="0"/>
              <w:spacing w:before="50" w:after="120" w:afterLines="50" w:line="360" w:lineRule="auto"/>
              <w:jc w:val="center"/>
              <w:rPr>
                <w:rFonts w:hint="eastAsia" w:ascii="宋体" w:hAnsi="宋体"/>
                <w:color w:val="auto"/>
                <w:sz w:val="24"/>
                <w:szCs w:val="20"/>
                <w:highlight w:val="none"/>
                <w:shd w:val="clear" w:color="auto" w:fill="auto"/>
              </w:rPr>
            </w:pPr>
          </w:p>
        </w:tc>
        <w:tc>
          <w:tcPr>
            <w:tcW w:w="1420" w:type="dxa"/>
            <w:vAlign w:val="center"/>
          </w:tcPr>
          <w:p w14:paraId="07B27F6E">
            <w:pPr>
              <w:keepNext w:val="0"/>
              <w:keepLines w:val="0"/>
              <w:pageBreakBefore w:val="0"/>
              <w:shd w:val="clear" w:color="auto" w:fill="auto"/>
              <w:kinsoku/>
              <w:overflowPunct/>
              <w:bidi w:val="0"/>
              <w:snapToGrid w:val="0"/>
              <w:spacing w:before="50" w:after="120" w:afterLines="50" w:line="360" w:lineRule="auto"/>
              <w:jc w:val="center"/>
              <w:rPr>
                <w:rFonts w:hint="eastAsia" w:ascii="宋体" w:hAnsi="宋体"/>
                <w:color w:val="auto"/>
                <w:sz w:val="24"/>
                <w:szCs w:val="20"/>
                <w:highlight w:val="none"/>
                <w:shd w:val="clear" w:color="auto" w:fill="auto"/>
              </w:rPr>
            </w:pPr>
          </w:p>
        </w:tc>
        <w:tc>
          <w:tcPr>
            <w:tcW w:w="1698" w:type="dxa"/>
            <w:vAlign w:val="center"/>
          </w:tcPr>
          <w:p w14:paraId="351FF62E">
            <w:pPr>
              <w:keepNext w:val="0"/>
              <w:keepLines w:val="0"/>
              <w:pageBreakBefore w:val="0"/>
              <w:shd w:val="clear" w:color="auto" w:fill="auto"/>
              <w:kinsoku/>
              <w:overflowPunct/>
              <w:bidi w:val="0"/>
              <w:snapToGrid w:val="0"/>
              <w:spacing w:before="50" w:after="120" w:afterLines="50" w:line="360" w:lineRule="auto"/>
              <w:jc w:val="center"/>
              <w:rPr>
                <w:rFonts w:hint="eastAsia" w:ascii="宋体" w:hAnsi="宋体"/>
                <w:color w:val="auto"/>
                <w:sz w:val="24"/>
                <w:szCs w:val="20"/>
                <w:highlight w:val="none"/>
                <w:shd w:val="clear" w:color="auto" w:fill="auto"/>
              </w:rPr>
            </w:pPr>
          </w:p>
        </w:tc>
        <w:tc>
          <w:tcPr>
            <w:tcW w:w="1843" w:type="dxa"/>
            <w:vAlign w:val="center"/>
          </w:tcPr>
          <w:p w14:paraId="6A03EA79">
            <w:pPr>
              <w:keepNext w:val="0"/>
              <w:keepLines w:val="0"/>
              <w:pageBreakBefore w:val="0"/>
              <w:shd w:val="clear" w:color="auto" w:fill="auto"/>
              <w:kinsoku/>
              <w:overflowPunct/>
              <w:bidi w:val="0"/>
              <w:snapToGrid w:val="0"/>
              <w:spacing w:before="50" w:after="120" w:afterLines="50" w:line="360" w:lineRule="auto"/>
              <w:jc w:val="center"/>
              <w:rPr>
                <w:rFonts w:hint="eastAsia" w:ascii="宋体" w:hAnsi="宋体"/>
                <w:color w:val="auto"/>
                <w:sz w:val="24"/>
                <w:szCs w:val="20"/>
                <w:highlight w:val="none"/>
                <w:shd w:val="clear" w:color="auto" w:fill="auto"/>
              </w:rPr>
            </w:pPr>
          </w:p>
        </w:tc>
      </w:tr>
      <w:tr w14:paraId="1D26B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06C29D3">
            <w:pPr>
              <w:keepNext w:val="0"/>
              <w:keepLines w:val="0"/>
              <w:pageBreakBefore w:val="0"/>
              <w:shd w:val="clear" w:color="auto" w:fill="auto"/>
              <w:kinsoku/>
              <w:overflowPunct/>
              <w:bidi w:val="0"/>
              <w:snapToGrid w:val="0"/>
              <w:spacing w:before="50" w:after="120" w:afterLines="50" w:line="360" w:lineRule="auto"/>
              <w:jc w:val="center"/>
              <w:rPr>
                <w:rFonts w:hint="eastAsia" w:ascii="宋体" w:hAnsi="宋体"/>
                <w:color w:val="auto"/>
                <w:sz w:val="24"/>
                <w:szCs w:val="20"/>
                <w:highlight w:val="none"/>
                <w:shd w:val="clear" w:color="auto" w:fill="auto"/>
              </w:rPr>
            </w:pPr>
          </w:p>
        </w:tc>
        <w:tc>
          <w:tcPr>
            <w:tcW w:w="709" w:type="dxa"/>
            <w:vAlign w:val="center"/>
          </w:tcPr>
          <w:p w14:paraId="46B23D5A">
            <w:pPr>
              <w:keepNext w:val="0"/>
              <w:keepLines w:val="0"/>
              <w:pageBreakBefore w:val="0"/>
              <w:shd w:val="clear" w:color="auto" w:fill="auto"/>
              <w:kinsoku/>
              <w:overflowPunct/>
              <w:bidi w:val="0"/>
              <w:snapToGrid w:val="0"/>
              <w:spacing w:before="50" w:after="120" w:afterLines="50" w:line="360" w:lineRule="auto"/>
              <w:jc w:val="center"/>
              <w:rPr>
                <w:rFonts w:hint="eastAsia" w:ascii="宋体" w:hAnsi="宋体"/>
                <w:color w:val="auto"/>
                <w:sz w:val="24"/>
                <w:szCs w:val="20"/>
                <w:highlight w:val="none"/>
                <w:shd w:val="clear" w:color="auto" w:fill="auto"/>
              </w:rPr>
            </w:pPr>
          </w:p>
        </w:tc>
        <w:tc>
          <w:tcPr>
            <w:tcW w:w="1701" w:type="dxa"/>
            <w:vAlign w:val="center"/>
          </w:tcPr>
          <w:p w14:paraId="7FDA69C7">
            <w:pPr>
              <w:keepNext w:val="0"/>
              <w:keepLines w:val="0"/>
              <w:pageBreakBefore w:val="0"/>
              <w:shd w:val="clear" w:color="auto" w:fill="auto"/>
              <w:kinsoku/>
              <w:overflowPunct/>
              <w:bidi w:val="0"/>
              <w:snapToGrid w:val="0"/>
              <w:spacing w:before="50" w:after="120" w:afterLines="50" w:line="360" w:lineRule="auto"/>
              <w:jc w:val="center"/>
              <w:rPr>
                <w:rFonts w:hint="eastAsia" w:ascii="宋体" w:hAnsi="宋体"/>
                <w:color w:val="auto"/>
                <w:sz w:val="24"/>
                <w:szCs w:val="20"/>
                <w:highlight w:val="none"/>
                <w:shd w:val="clear" w:color="auto" w:fill="auto"/>
              </w:rPr>
            </w:pPr>
          </w:p>
        </w:tc>
        <w:tc>
          <w:tcPr>
            <w:tcW w:w="1420" w:type="dxa"/>
            <w:vAlign w:val="center"/>
          </w:tcPr>
          <w:p w14:paraId="3CBE0FE9">
            <w:pPr>
              <w:keepNext w:val="0"/>
              <w:keepLines w:val="0"/>
              <w:pageBreakBefore w:val="0"/>
              <w:shd w:val="clear" w:color="auto" w:fill="auto"/>
              <w:kinsoku/>
              <w:overflowPunct/>
              <w:bidi w:val="0"/>
              <w:snapToGrid w:val="0"/>
              <w:spacing w:before="50" w:after="120" w:afterLines="50" w:line="360" w:lineRule="auto"/>
              <w:jc w:val="center"/>
              <w:rPr>
                <w:rFonts w:hint="eastAsia" w:ascii="宋体" w:hAnsi="宋体"/>
                <w:color w:val="auto"/>
                <w:sz w:val="24"/>
                <w:szCs w:val="20"/>
                <w:highlight w:val="none"/>
                <w:shd w:val="clear" w:color="auto" w:fill="auto"/>
              </w:rPr>
            </w:pPr>
          </w:p>
        </w:tc>
        <w:tc>
          <w:tcPr>
            <w:tcW w:w="1698" w:type="dxa"/>
            <w:vAlign w:val="center"/>
          </w:tcPr>
          <w:p w14:paraId="252D08C9">
            <w:pPr>
              <w:keepNext w:val="0"/>
              <w:keepLines w:val="0"/>
              <w:pageBreakBefore w:val="0"/>
              <w:shd w:val="clear" w:color="auto" w:fill="auto"/>
              <w:kinsoku/>
              <w:overflowPunct/>
              <w:bidi w:val="0"/>
              <w:snapToGrid w:val="0"/>
              <w:spacing w:before="50" w:after="120" w:afterLines="50" w:line="360" w:lineRule="auto"/>
              <w:jc w:val="center"/>
              <w:rPr>
                <w:rFonts w:hint="eastAsia" w:ascii="宋体" w:hAnsi="宋体"/>
                <w:color w:val="auto"/>
                <w:sz w:val="24"/>
                <w:szCs w:val="20"/>
                <w:highlight w:val="none"/>
                <w:shd w:val="clear" w:color="auto" w:fill="auto"/>
              </w:rPr>
            </w:pPr>
          </w:p>
        </w:tc>
        <w:tc>
          <w:tcPr>
            <w:tcW w:w="1843" w:type="dxa"/>
            <w:vAlign w:val="center"/>
          </w:tcPr>
          <w:p w14:paraId="1F80DC80">
            <w:pPr>
              <w:keepNext w:val="0"/>
              <w:keepLines w:val="0"/>
              <w:pageBreakBefore w:val="0"/>
              <w:shd w:val="clear" w:color="auto" w:fill="auto"/>
              <w:kinsoku/>
              <w:overflowPunct/>
              <w:bidi w:val="0"/>
              <w:snapToGrid w:val="0"/>
              <w:spacing w:before="50" w:after="120" w:afterLines="50" w:line="360" w:lineRule="auto"/>
              <w:jc w:val="center"/>
              <w:rPr>
                <w:rFonts w:hint="eastAsia" w:ascii="宋体" w:hAnsi="宋体"/>
                <w:color w:val="auto"/>
                <w:sz w:val="24"/>
                <w:szCs w:val="20"/>
                <w:highlight w:val="none"/>
                <w:shd w:val="clear" w:color="auto" w:fill="auto"/>
              </w:rPr>
            </w:pPr>
          </w:p>
        </w:tc>
      </w:tr>
    </w:tbl>
    <w:p w14:paraId="41D7798B">
      <w:pPr>
        <w:keepNext w:val="0"/>
        <w:keepLines w:val="0"/>
        <w:pageBreakBefore w:val="0"/>
        <w:shd w:val="clear" w:color="auto" w:fill="auto"/>
        <w:kinsoku/>
        <w:overflowPunct/>
        <w:bidi w:val="0"/>
        <w:snapToGrid w:val="0"/>
        <w:spacing w:before="50" w:after="120" w:afterLines="50" w:line="360" w:lineRule="auto"/>
        <w:jc w:val="left"/>
        <w:rPr>
          <w:rFonts w:hint="eastAsia" w:ascii="宋体" w:hAnsi="宋体"/>
          <w:color w:val="auto"/>
          <w:sz w:val="24"/>
          <w:szCs w:val="20"/>
          <w:highlight w:val="none"/>
          <w:shd w:val="clear" w:color="auto" w:fill="auto"/>
        </w:rPr>
      </w:pPr>
    </w:p>
    <w:p w14:paraId="0580479C">
      <w:pPr>
        <w:keepNext w:val="0"/>
        <w:keepLines w:val="0"/>
        <w:pageBreakBefore w:val="0"/>
        <w:shd w:val="clear" w:color="auto" w:fill="auto"/>
        <w:kinsoku/>
        <w:overflowPunct/>
        <w:bidi w:val="0"/>
        <w:spacing w:line="360" w:lineRule="auto"/>
        <w:contextualSpacing/>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注：</w:t>
      </w:r>
    </w:p>
    <w:p w14:paraId="50C7A710">
      <w:pPr>
        <w:keepNext w:val="0"/>
        <w:keepLines w:val="0"/>
        <w:pageBreakBefore w:val="0"/>
        <w:shd w:val="clear" w:color="auto" w:fill="auto"/>
        <w:kinsoku/>
        <w:overflowPunct/>
        <w:bidi w:val="0"/>
        <w:spacing w:line="360" w:lineRule="auto"/>
        <w:contextualSpacing/>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1.在填写时，如本表格不适合投标单位的实际情况，可根据本表格式自行制表填写。</w:t>
      </w:r>
    </w:p>
    <w:p w14:paraId="60441BB3">
      <w:pPr>
        <w:keepNext w:val="0"/>
        <w:keepLines w:val="0"/>
        <w:pageBreakBefore w:val="0"/>
        <w:shd w:val="clear" w:color="auto" w:fill="auto"/>
        <w:kinsoku/>
        <w:overflowPunct/>
        <w:bidi w:val="0"/>
        <w:spacing w:line="360" w:lineRule="auto"/>
        <w:contextualSpacing/>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2.投标人应当附本表所列证书的复印件并加盖投标人公章。</w:t>
      </w:r>
    </w:p>
    <w:p w14:paraId="66ADD6FE">
      <w:pPr>
        <w:keepNext w:val="0"/>
        <w:keepLines w:val="0"/>
        <w:pageBreakBefore w:val="0"/>
        <w:shd w:val="clear" w:color="auto" w:fill="auto"/>
        <w:kinsoku/>
        <w:overflowPunct/>
        <w:bidi w:val="0"/>
        <w:spacing w:line="360" w:lineRule="auto"/>
        <w:contextualSpacing/>
        <w:jc w:val="left"/>
        <w:rPr>
          <w:rFonts w:hint="eastAsia" w:ascii="宋体" w:hAnsi="宋体" w:eastAsia="宋体" w:cs="宋体"/>
          <w:color w:val="auto"/>
          <w:sz w:val="21"/>
          <w:szCs w:val="21"/>
          <w:highlight w:val="none"/>
          <w:shd w:val="clear" w:color="auto" w:fill="auto"/>
        </w:rPr>
      </w:pPr>
    </w:p>
    <w:p w14:paraId="322034B0">
      <w:pPr>
        <w:keepNext w:val="0"/>
        <w:keepLines w:val="0"/>
        <w:pageBreakBefore w:val="0"/>
        <w:shd w:val="clear" w:color="auto" w:fill="auto"/>
        <w:kinsoku/>
        <w:overflowPunct/>
        <w:bidi w:val="0"/>
        <w:spacing w:line="360" w:lineRule="auto"/>
        <w:contextualSpacing/>
        <w:rPr>
          <w:rFonts w:hint="eastAsia" w:ascii="宋体" w:hAnsi="宋体" w:eastAsia="宋体" w:cs="宋体"/>
          <w:color w:val="auto"/>
          <w:spacing w:val="20"/>
          <w:sz w:val="21"/>
          <w:szCs w:val="21"/>
          <w:highlight w:val="none"/>
          <w:u w:val="single"/>
          <w:shd w:val="clear" w:color="auto" w:fill="auto"/>
        </w:rPr>
      </w:pPr>
      <w:r>
        <w:rPr>
          <w:rFonts w:hint="eastAsia" w:ascii="宋体" w:hAnsi="宋体" w:eastAsia="宋体" w:cs="宋体"/>
          <w:color w:val="auto"/>
          <w:sz w:val="21"/>
          <w:szCs w:val="21"/>
          <w:highlight w:val="none"/>
          <w:shd w:val="clear" w:color="auto" w:fill="auto"/>
        </w:rPr>
        <w:t>法定代表人或者委托代理人</w:t>
      </w:r>
      <w:r>
        <w:rPr>
          <w:rFonts w:hint="eastAsia" w:ascii="宋体" w:hAnsi="宋体" w:eastAsia="宋体" w:cs="宋体"/>
          <w:color w:val="auto"/>
          <w:spacing w:val="20"/>
          <w:sz w:val="21"/>
          <w:szCs w:val="21"/>
          <w:highlight w:val="none"/>
          <w:shd w:val="clear" w:color="auto" w:fill="auto"/>
        </w:rPr>
        <w:t>（签字</w:t>
      </w:r>
      <w:r>
        <w:rPr>
          <w:rFonts w:hint="eastAsia" w:ascii="宋体" w:hAnsi="宋体" w:cs="宋体"/>
          <w:color w:val="auto"/>
          <w:spacing w:val="20"/>
          <w:sz w:val="21"/>
          <w:szCs w:val="21"/>
          <w:highlight w:val="none"/>
          <w:shd w:val="clear" w:color="auto" w:fill="auto"/>
          <w:lang w:val="en-US" w:eastAsia="zh-CN"/>
        </w:rPr>
        <w:t>或者</w:t>
      </w:r>
      <w:r>
        <w:rPr>
          <w:rFonts w:hint="eastAsia" w:ascii="宋体" w:hAnsi="宋体" w:eastAsia="宋体" w:cs="宋体"/>
          <w:color w:val="auto"/>
          <w:spacing w:val="20"/>
          <w:sz w:val="21"/>
          <w:szCs w:val="21"/>
          <w:highlight w:val="none"/>
          <w:shd w:val="clear" w:color="auto" w:fill="auto"/>
        </w:rPr>
        <w:t>电子签名）：</w:t>
      </w:r>
      <w:r>
        <w:rPr>
          <w:rFonts w:hint="eastAsia" w:ascii="宋体" w:hAnsi="宋体" w:eastAsia="宋体" w:cs="宋体"/>
          <w:color w:val="auto"/>
          <w:spacing w:val="20"/>
          <w:sz w:val="21"/>
          <w:szCs w:val="21"/>
          <w:highlight w:val="none"/>
          <w:u w:val="single"/>
          <w:shd w:val="clear" w:color="auto" w:fill="auto"/>
        </w:rPr>
        <w:t xml:space="preserve">        </w:t>
      </w:r>
    </w:p>
    <w:p w14:paraId="7528D248">
      <w:pPr>
        <w:keepNext w:val="0"/>
        <w:keepLines w:val="0"/>
        <w:pageBreakBefore w:val="0"/>
        <w:shd w:val="clear" w:color="auto" w:fill="auto"/>
        <w:kinsoku/>
        <w:overflowPunct/>
        <w:bidi w:val="0"/>
        <w:spacing w:line="360" w:lineRule="auto"/>
        <w:contextualSpacing/>
        <w:jc w:val="left"/>
        <w:rPr>
          <w:rFonts w:hint="eastAsia" w:ascii="宋体" w:hAnsi="宋体" w:eastAsia="宋体" w:cs="宋体"/>
          <w:color w:val="auto"/>
          <w:spacing w:val="20"/>
          <w:sz w:val="21"/>
          <w:szCs w:val="21"/>
          <w:highlight w:val="none"/>
          <w:shd w:val="clear" w:color="auto" w:fill="auto"/>
        </w:rPr>
      </w:pPr>
      <w:r>
        <w:rPr>
          <w:rFonts w:hint="eastAsia" w:ascii="宋体" w:hAnsi="宋体" w:eastAsia="宋体" w:cs="宋体"/>
          <w:color w:val="auto"/>
          <w:spacing w:val="20"/>
          <w:sz w:val="21"/>
          <w:szCs w:val="21"/>
          <w:highlight w:val="none"/>
          <w:shd w:val="clear" w:color="auto" w:fill="auto"/>
        </w:rPr>
        <w:t>投标人名称（电子签章）：</w:t>
      </w:r>
      <w:r>
        <w:rPr>
          <w:rFonts w:hint="eastAsia" w:ascii="宋体" w:hAnsi="宋体" w:eastAsia="宋体" w:cs="宋体"/>
          <w:color w:val="auto"/>
          <w:spacing w:val="20"/>
          <w:sz w:val="21"/>
          <w:szCs w:val="21"/>
          <w:highlight w:val="none"/>
          <w:u w:val="single"/>
          <w:shd w:val="clear" w:color="auto" w:fill="auto"/>
        </w:rPr>
        <w:t xml:space="preserve">            </w:t>
      </w:r>
      <w:r>
        <w:rPr>
          <w:rFonts w:hint="eastAsia" w:ascii="宋体" w:hAnsi="宋体" w:eastAsia="宋体" w:cs="宋体"/>
          <w:color w:val="auto"/>
          <w:spacing w:val="20"/>
          <w:sz w:val="21"/>
          <w:szCs w:val="21"/>
          <w:highlight w:val="none"/>
          <w:shd w:val="clear" w:color="auto" w:fill="auto"/>
        </w:rPr>
        <w:t xml:space="preserve">              </w:t>
      </w:r>
    </w:p>
    <w:p w14:paraId="53E30F93">
      <w:pPr>
        <w:keepNext w:val="0"/>
        <w:keepLines w:val="0"/>
        <w:pageBreakBefore w:val="0"/>
        <w:shd w:val="clear" w:color="auto" w:fill="auto"/>
        <w:kinsoku/>
        <w:overflowPunct/>
        <w:bidi w:val="0"/>
        <w:spacing w:line="360" w:lineRule="auto"/>
        <w:contextualSpacing/>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20"/>
          <w:sz w:val="21"/>
          <w:szCs w:val="21"/>
          <w:highlight w:val="none"/>
          <w:shd w:val="clear" w:color="auto" w:fill="auto"/>
        </w:rPr>
        <w:t>日 期：</w:t>
      </w:r>
      <w:r>
        <w:rPr>
          <w:rFonts w:hint="eastAsia" w:ascii="宋体" w:hAnsi="宋体" w:eastAsia="宋体" w:cs="宋体"/>
          <w:color w:val="auto"/>
          <w:spacing w:val="20"/>
          <w:sz w:val="21"/>
          <w:szCs w:val="21"/>
          <w:highlight w:val="none"/>
          <w:u w:val="single"/>
          <w:shd w:val="clear" w:color="auto" w:fill="auto"/>
        </w:rPr>
        <w:t xml:space="preserve">         </w:t>
      </w:r>
    </w:p>
    <w:p w14:paraId="3C6671CF">
      <w:pPr>
        <w:keepNext w:val="0"/>
        <w:keepLines w:val="0"/>
        <w:pageBreakBefore w:val="0"/>
        <w:kinsoku/>
        <w:overflowPunct/>
        <w:bidi w:val="0"/>
        <w:spacing w:line="360" w:lineRule="auto"/>
        <w:rPr>
          <w:rFonts w:hint="eastAsia" w:ascii="宋体" w:hAnsi="宋体" w:cs="宋体"/>
          <w:b/>
          <w:bCs/>
          <w:color w:val="auto"/>
          <w:sz w:val="24"/>
        </w:rPr>
      </w:pPr>
      <w:r>
        <w:rPr>
          <w:rFonts w:hint="eastAsia" w:ascii="宋体" w:hAnsi="宋体" w:cs="宋体"/>
          <w:b/>
          <w:bCs/>
          <w:color w:val="auto"/>
          <w:sz w:val="24"/>
        </w:rPr>
        <w:br w:type="page"/>
      </w:r>
    </w:p>
    <w:p w14:paraId="5853A1FD">
      <w:pPr>
        <w:keepNext w:val="0"/>
        <w:keepLines w:val="0"/>
        <w:pageBreakBefore w:val="0"/>
        <w:kinsoku/>
        <w:overflowPunct/>
        <w:bidi w:val="0"/>
        <w:snapToGrid w:val="0"/>
        <w:spacing w:before="156" w:beforeLines="50" w:after="50" w:line="360" w:lineRule="auto"/>
        <w:outlineLvl w:val="9"/>
        <w:rPr>
          <w:rFonts w:ascii="宋体" w:hAnsi="宋体" w:cs="宋体"/>
          <w:b/>
          <w:bCs/>
          <w:color w:val="auto"/>
          <w:sz w:val="24"/>
        </w:rPr>
      </w:pPr>
      <w:r>
        <w:rPr>
          <w:rFonts w:hint="eastAsia" w:ascii="宋体" w:hAnsi="宋体" w:cs="宋体"/>
          <w:b/>
          <w:bCs/>
          <w:color w:val="auto"/>
          <w:sz w:val="24"/>
        </w:rPr>
        <w:t>六、其他文件格式</w:t>
      </w:r>
    </w:p>
    <w:p w14:paraId="1CDA3708">
      <w:pPr>
        <w:keepNext w:val="0"/>
        <w:keepLines w:val="0"/>
        <w:pageBreakBefore w:val="0"/>
        <w:kinsoku/>
        <w:overflowPunct/>
        <w:bidi w:val="0"/>
        <w:spacing w:line="360" w:lineRule="auto"/>
        <w:jc w:val="center"/>
        <w:rPr>
          <w:rFonts w:hint="eastAsia" w:ascii="宋体" w:hAnsi="宋体" w:cs="宋体"/>
          <w:color w:val="auto"/>
          <w:sz w:val="21"/>
          <w:szCs w:val="21"/>
        </w:rPr>
      </w:pPr>
      <w:r>
        <w:rPr>
          <w:rFonts w:hint="eastAsia" w:ascii="宋体" w:hAnsi="宋体" w:cs="宋体"/>
          <w:color w:val="auto"/>
          <w:sz w:val="21"/>
          <w:szCs w:val="21"/>
        </w:rPr>
        <w:t>中小企业声明函（</w:t>
      </w:r>
      <w:r>
        <w:rPr>
          <w:rFonts w:hint="eastAsia" w:ascii="宋体" w:hAnsi="宋体" w:cs="宋体"/>
          <w:color w:val="auto"/>
          <w:sz w:val="21"/>
          <w:szCs w:val="21"/>
          <w:lang w:val="en-US" w:eastAsia="zh-CN"/>
        </w:rPr>
        <w:t>服务</w:t>
      </w:r>
      <w:r>
        <w:rPr>
          <w:rFonts w:hint="eastAsia" w:ascii="宋体" w:hAnsi="宋体" w:cs="宋体"/>
          <w:color w:val="auto"/>
          <w:sz w:val="21"/>
          <w:szCs w:val="21"/>
        </w:rPr>
        <w:t>）</w:t>
      </w:r>
    </w:p>
    <w:p w14:paraId="0DB4563C">
      <w:pPr>
        <w:keepNext w:val="0"/>
        <w:keepLines w:val="0"/>
        <w:pageBreakBefore w:val="0"/>
        <w:kinsoku/>
        <w:overflowPunct/>
        <w:bidi w:val="0"/>
        <w:spacing w:line="360" w:lineRule="auto"/>
        <w:rPr>
          <w:rFonts w:hint="eastAsia" w:ascii="宋体" w:hAnsi="宋体" w:cs="宋体"/>
          <w:color w:val="auto"/>
          <w:sz w:val="21"/>
          <w:szCs w:val="21"/>
        </w:rPr>
      </w:pPr>
    </w:p>
    <w:p w14:paraId="24AA60C7">
      <w:pPr>
        <w:keepNext w:val="0"/>
        <w:keepLines w:val="0"/>
        <w:pageBreakBefore w:val="0"/>
        <w:kinsoku/>
        <w:overflowPunct/>
        <w:bidi w:val="0"/>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本公司（联合体）郑重声明，根据《政府采购促进中小企业发展管理办法》（财库﹝2020﹞46号）的规定，本公司（联合体）参加</w:t>
      </w:r>
      <w:r>
        <w:rPr>
          <w:rFonts w:hint="eastAsia" w:ascii="宋体" w:hAnsi="宋体" w:cs="宋体"/>
          <w:color w:val="auto"/>
          <w:sz w:val="21"/>
          <w:szCs w:val="21"/>
          <w:u w:val="single"/>
        </w:rPr>
        <w:t>（单位名称）</w:t>
      </w:r>
      <w:r>
        <w:rPr>
          <w:rFonts w:hint="eastAsia" w:ascii="宋体" w:hAnsi="宋体" w:cs="宋体"/>
          <w:color w:val="auto"/>
          <w:sz w:val="21"/>
          <w:szCs w:val="21"/>
        </w:rPr>
        <w:t>的</w:t>
      </w:r>
      <w:r>
        <w:rPr>
          <w:rFonts w:hint="eastAsia" w:ascii="宋体" w:hAnsi="宋体" w:cs="宋体"/>
          <w:color w:val="auto"/>
          <w:sz w:val="21"/>
          <w:szCs w:val="21"/>
          <w:u w:val="single"/>
        </w:rPr>
        <w:t>（项目名称）</w:t>
      </w:r>
      <w:r>
        <w:rPr>
          <w:rFonts w:hint="eastAsia" w:ascii="宋体" w:hAnsi="宋体" w:cs="宋体"/>
          <w:color w:val="auto"/>
          <w:sz w:val="21"/>
          <w:szCs w:val="21"/>
        </w:rPr>
        <w:t>采购活动，服务全部由符合政策要求的中小企业承接。相关企业（含联合体中的中小企业、签订分包意向协议的中小企业）的具体情况如下：</w:t>
      </w:r>
    </w:p>
    <w:p w14:paraId="6761384D">
      <w:pPr>
        <w:keepNext w:val="0"/>
        <w:keepLines w:val="0"/>
        <w:pageBreakBefore w:val="0"/>
        <w:kinsoku/>
        <w:overflowPunct/>
        <w:bidi w:val="0"/>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 xml:space="preserve">1. </w:t>
      </w:r>
      <w:r>
        <w:rPr>
          <w:rFonts w:hint="eastAsia" w:ascii="宋体" w:hAnsi="宋体" w:cs="宋体"/>
          <w:color w:val="auto"/>
          <w:sz w:val="21"/>
          <w:szCs w:val="21"/>
          <w:u w:val="single"/>
          <w:lang w:eastAsia="zh-CN"/>
        </w:rPr>
        <w:t>（</w:t>
      </w:r>
      <w:r>
        <w:rPr>
          <w:rFonts w:hint="eastAsia" w:ascii="宋体" w:hAnsi="宋体" w:cs="宋体"/>
          <w:color w:val="auto"/>
          <w:sz w:val="21"/>
          <w:szCs w:val="21"/>
          <w:u w:val="single"/>
          <w:lang w:val="en-US" w:eastAsia="zh-CN"/>
        </w:rPr>
        <w:t>标的名称</w:t>
      </w:r>
      <w:r>
        <w:rPr>
          <w:rFonts w:hint="eastAsia" w:ascii="宋体" w:hAnsi="宋体" w:cs="宋体"/>
          <w:color w:val="auto"/>
          <w:sz w:val="21"/>
          <w:szCs w:val="21"/>
          <w:u w:val="single"/>
          <w:lang w:eastAsia="zh-CN"/>
        </w:rPr>
        <w:t>）</w:t>
      </w:r>
      <w:r>
        <w:rPr>
          <w:rFonts w:hint="eastAsia" w:ascii="宋体" w:hAnsi="宋体" w:cs="宋体"/>
          <w:color w:val="auto"/>
          <w:sz w:val="21"/>
          <w:szCs w:val="21"/>
        </w:rPr>
        <w:t>，属于</w:t>
      </w:r>
      <w:r>
        <w:rPr>
          <w:rFonts w:hint="eastAsia" w:ascii="宋体" w:hAnsi="宋体" w:cs="宋体"/>
          <w:color w:val="auto"/>
          <w:sz w:val="21"/>
          <w:szCs w:val="21"/>
          <w:u w:val="single"/>
        </w:rPr>
        <w:t>软件和信息技术服务业</w:t>
      </w:r>
      <w:r>
        <w:rPr>
          <w:rFonts w:hint="eastAsia" w:ascii="宋体" w:hAnsi="宋体" w:cs="宋体"/>
          <w:color w:val="auto"/>
          <w:sz w:val="21"/>
          <w:szCs w:val="21"/>
        </w:rPr>
        <w:t>；承接企业为</w:t>
      </w:r>
      <w:r>
        <w:rPr>
          <w:rFonts w:hint="eastAsia" w:ascii="宋体" w:hAnsi="宋体" w:cs="宋体"/>
          <w:color w:val="auto"/>
          <w:sz w:val="21"/>
          <w:szCs w:val="21"/>
          <w:u w:val="single"/>
        </w:rPr>
        <w:t>（企业名称）</w:t>
      </w:r>
      <w:r>
        <w:rPr>
          <w:rFonts w:hint="eastAsia" w:ascii="宋体" w:hAnsi="宋体" w:cs="宋体"/>
          <w:color w:val="auto"/>
          <w:sz w:val="21"/>
          <w:szCs w:val="21"/>
        </w:rPr>
        <w:t>，从业人员</w:t>
      </w:r>
      <w:r>
        <w:rPr>
          <w:rFonts w:hint="eastAsia" w:ascii="宋体" w:hAnsi="宋体" w:cs="宋体"/>
          <w:color w:val="auto"/>
          <w:sz w:val="21"/>
          <w:szCs w:val="21"/>
          <w:u w:val="single"/>
        </w:rPr>
        <w:t xml:space="preserve">  </w:t>
      </w: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rPr>
        <w:t>人，营业收入为</w:t>
      </w:r>
      <w:r>
        <w:rPr>
          <w:rFonts w:hint="eastAsia" w:ascii="宋体" w:hAnsi="宋体" w:cs="宋体"/>
          <w:color w:val="auto"/>
          <w:sz w:val="21"/>
          <w:szCs w:val="21"/>
          <w:u w:val="single"/>
        </w:rPr>
        <w:t xml:space="preserve">      </w:t>
      </w:r>
      <w:r>
        <w:rPr>
          <w:rFonts w:hint="eastAsia" w:ascii="宋体" w:hAnsi="宋体" w:cs="宋体"/>
          <w:color w:val="auto"/>
          <w:sz w:val="21"/>
          <w:szCs w:val="21"/>
        </w:rPr>
        <w:t>万元，资产总额为</w:t>
      </w:r>
      <w:r>
        <w:rPr>
          <w:rFonts w:hint="eastAsia" w:ascii="宋体" w:hAnsi="宋体" w:cs="宋体"/>
          <w:color w:val="auto"/>
          <w:sz w:val="21"/>
          <w:szCs w:val="21"/>
          <w:u w:val="single"/>
        </w:rPr>
        <w:t xml:space="preserve">      </w:t>
      </w:r>
      <w:r>
        <w:rPr>
          <w:rFonts w:hint="eastAsia" w:ascii="宋体" w:hAnsi="宋体" w:cs="宋体"/>
          <w:color w:val="auto"/>
          <w:sz w:val="21"/>
          <w:szCs w:val="21"/>
        </w:rPr>
        <w:t>万元，属于</w:t>
      </w:r>
      <w:r>
        <w:rPr>
          <w:rFonts w:hint="eastAsia" w:ascii="宋体" w:hAnsi="宋体" w:cs="宋体"/>
          <w:color w:val="auto"/>
          <w:sz w:val="21"/>
          <w:szCs w:val="21"/>
          <w:u w:val="single"/>
        </w:rPr>
        <w:t>（中型企业、小型企业、微型企业）</w:t>
      </w:r>
      <w:r>
        <w:rPr>
          <w:rFonts w:hint="eastAsia" w:ascii="宋体" w:hAnsi="宋体" w:cs="宋体"/>
          <w:color w:val="auto"/>
          <w:sz w:val="21"/>
          <w:szCs w:val="21"/>
        </w:rPr>
        <w:t>；</w:t>
      </w:r>
    </w:p>
    <w:p w14:paraId="27A44002">
      <w:pPr>
        <w:keepNext w:val="0"/>
        <w:keepLines w:val="0"/>
        <w:pageBreakBefore w:val="0"/>
        <w:kinsoku/>
        <w:overflowPunct/>
        <w:bidi w:val="0"/>
        <w:spacing w:line="360" w:lineRule="auto"/>
        <w:ind w:firstLine="420" w:firstLineChars="200"/>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2.</w:t>
      </w:r>
      <w:r>
        <w:rPr>
          <w:rFonts w:hint="eastAsia" w:ascii="宋体" w:hAnsi="宋体" w:cs="宋体"/>
          <w:color w:val="auto"/>
          <w:sz w:val="21"/>
          <w:szCs w:val="21"/>
        </w:rPr>
        <w:t xml:space="preserve"> </w:t>
      </w:r>
      <w:r>
        <w:rPr>
          <w:rFonts w:hint="eastAsia" w:ascii="宋体" w:hAnsi="宋体" w:cs="宋体"/>
          <w:color w:val="auto"/>
          <w:sz w:val="21"/>
          <w:szCs w:val="21"/>
          <w:u w:val="single"/>
          <w:lang w:eastAsia="zh-CN"/>
        </w:rPr>
        <w:t>（</w:t>
      </w:r>
      <w:r>
        <w:rPr>
          <w:rFonts w:hint="eastAsia" w:ascii="宋体" w:hAnsi="宋体" w:cs="宋体"/>
          <w:color w:val="auto"/>
          <w:sz w:val="21"/>
          <w:szCs w:val="21"/>
          <w:u w:val="single"/>
          <w:lang w:val="en-US" w:eastAsia="zh-CN"/>
        </w:rPr>
        <w:t>标的名称</w:t>
      </w:r>
      <w:r>
        <w:rPr>
          <w:rFonts w:hint="eastAsia" w:ascii="宋体" w:hAnsi="宋体" w:cs="宋体"/>
          <w:color w:val="auto"/>
          <w:sz w:val="21"/>
          <w:szCs w:val="21"/>
          <w:u w:val="single"/>
          <w:lang w:eastAsia="zh-CN"/>
        </w:rPr>
        <w:t>）</w:t>
      </w:r>
      <w:r>
        <w:rPr>
          <w:rFonts w:hint="eastAsia" w:ascii="宋体" w:hAnsi="宋体" w:cs="宋体"/>
          <w:color w:val="auto"/>
          <w:sz w:val="21"/>
          <w:szCs w:val="21"/>
        </w:rPr>
        <w:t>，属于</w:t>
      </w:r>
      <w:r>
        <w:rPr>
          <w:rFonts w:hint="eastAsia" w:ascii="宋体" w:hAnsi="宋体" w:cs="宋体"/>
          <w:color w:val="auto"/>
          <w:sz w:val="21"/>
          <w:szCs w:val="21"/>
          <w:u w:val="single"/>
        </w:rPr>
        <w:t>软件和信息技术服务业</w:t>
      </w:r>
      <w:r>
        <w:rPr>
          <w:rFonts w:hint="eastAsia" w:ascii="宋体" w:hAnsi="宋体" w:cs="宋体"/>
          <w:color w:val="auto"/>
          <w:sz w:val="21"/>
          <w:szCs w:val="21"/>
        </w:rPr>
        <w:t>；承接企业为</w:t>
      </w:r>
      <w:r>
        <w:rPr>
          <w:rFonts w:hint="eastAsia" w:ascii="宋体" w:hAnsi="宋体" w:cs="宋体"/>
          <w:color w:val="auto"/>
          <w:sz w:val="21"/>
          <w:szCs w:val="21"/>
          <w:u w:val="single"/>
        </w:rPr>
        <w:t>（企业名称）</w:t>
      </w:r>
      <w:r>
        <w:rPr>
          <w:rFonts w:hint="eastAsia" w:ascii="宋体" w:hAnsi="宋体" w:cs="宋体"/>
          <w:color w:val="auto"/>
          <w:sz w:val="21"/>
          <w:szCs w:val="21"/>
        </w:rPr>
        <w:t>，从业人员</w:t>
      </w:r>
      <w:r>
        <w:rPr>
          <w:rFonts w:hint="eastAsia" w:ascii="宋体" w:hAnsi="宋体" w:cs="宋体"/>
          <w:color w:val="auto"/>
          <w:sz w:val="21"/>
          <w:szCs w:val="21"/>
          <w:u w:val="single"/>
        </w:rPr>
        <w:t xml:space="preserve">  </w:t>
      </w: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rPr>
        <w:t>人，营业收入为</w:t>
      </w:r>
      <w:r>
        <w:rPr>
          <w:rFonts w:hint="eastAsia" w:ascii="宋体" w:hAnsi="宋体" w:cs="宋体"/>
          <w:color w:val="auto"/>
          <w:sz w:val="21"/>
          <w:szCs w:val="21"/>
          <w:u w:val="single"/>
        </w:rPr>
        <w:t xml:space="preserve">      </w:t>
      </w:r>
      <w:r>
        <w:rPr>
          <w:rFonts w:hint="eastAsia" w:ascii="宋体" w:hAnsi="宋体" w:cs="宋体"/>
          <w:color w:val="auto"/>
          <w:sz w:val="21"/>
          <w:szCs w:val="21"/>
        </w:rPr>
        <w:t>万元，资产总额为</w:t>
      </w:r>
      <w:r>
        <w:rPr>
          <w:rFonts w:hint="eastAsia" w:ascii="宋体" w:hAnsi="宋体" w:cs="宋体"/>
          <w:color w:val="auto"/>
          <w:sz w:val="21"/>
          <w:szCs w:val="21"/>
          <w:u w:val="single"/>
        </w:rPr>
        <w:t xml:space="preserve">      </w:t>
      </w:r>
      <w:r>
        <w:rPr>
          <w:rFonts w:hint="eastAsia" w:ascii="宋体" w:hAnsi="宋体" w:cs="宋体"/>
          <w:color w:val="auto"/>
          <w:sz w:val="21"/>
          <w:szCs w:val="21"/>
        </w:rPr>
        <w:t>万元，属于</w:t>
      </w:r>
      <w:r>
        <w:rPr>
          <w:rFonts w:hint="eastAsia" w:ascii="宋体" w:hAnsi="宋体" w:cs="宋体"/>
          <w:color w:val="auto"/>
          <w:sz w:val="21"/>
          <w:szCs w:val="21"/>
          <w:u w:val="single"/>
        </w:rPr>
        <w:t>（中型企业、小型企业、微型企业）</w:t>
      </w:r>
      <w:r>
        <w:rPr>
          <w:rFonts w:hint="eastAsia" w:ascii="宋体" w:hAnsi="宋体" w:cs="宋体"/>
          <w:color w:val="auto"/>
          <w:sz w:val="21"/>
          <w:szCs w:val="21"/>
        </w:rPr>
        <w:t>；</w:t>
      </w:r>
    </w:p>
    <w:p w14:paraId="73073A33">
      <w:pPr>
        <w:keepNext w:val="0"/>
        <w:keepLines w:val="0"/>
        <w:pageBreakBefore w:val="0"/>
        <w:kinsoku/>
        <w:overflowPunct/>
        <w:bidi w:val="0"/>
        <w:spacing w:line="360" w:lineRule="auto"/>
        <w:ind w:firstLine="420" w:firstLineChars="200"/>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w:t>
      </w:r>
    </w:p>
    <w:p w14:paraId="7CCC3B68">
      <w:pPr>
        <w:keepNext w:val="0"/>
        <w:keepLines w:val="0"/>
        <w:pageBreakBefore w:val="0"/>
        <w:kinsoku/>
        <w:overflowPunct/>
        <w:bidi w:val="0"/>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以上企业，不属于大企业的分支机构，不存在控股股东为大企业的情形，也不存在与大企业的负责人为同一人的情形。</w:t>
      </w:r>
    </w:p>
    <w:p w14:paraId="323CD59D">
      <w:pPr>
        <w:keepNext w:val="0"/>
        <w:keepLines w:val="0"/>
        <w:pageBreakBefore w:val="0"/>
        <w:kinsoku/>
        <w:overflowPunct/>
        <w:bidi w:val="0"/>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本企业对上述声明内容的真实性负责。如有虚假，将依法承担相应责任。</w:t>
      </w:r>
    </w:p>
    <w:p w14:paraId="5A6B5162">
      <w:pPr>
        <w:keepNext w:val="0"/>
        <w:keepLines w:val="0"/>
        <w:pageBreakBefore w:val="0"/>
        <w:kinsoku/>
        <w:overflowPunct/>
        <w:bidi w:val="0"/>
        <w:spacing w:line="360" w:lineRule="auto"/>
        <w:jc w:val="right"/>
        <w:rPr>
          <w:rFonts w:hint="eastAsia" w:ascii="宋体" w:hAnsi="宋体" w:cs="宋体"/>
          <w:color w:val="auto"/>
          <w:sz w:val="21"/>
          <w:szCs w:val="21"/>
        </w:rPr>
      </w:pPr>
      <w:r>
        <w:rPr>
          <w:rFonts w:hint="eastAsia" w:ascii="宋体" w:hAnsi="宋体" w:cs="宋体"/>
          <w:color w:val="auto"/>
          <w:sz w:val="21"/>
          <w:szCs w:val="21"/>
        </w:rPr>
        <w:t xml:space="preserve">企业名称（电子签章）： </w:t>
      </w:r>
    </w:p>
    <w:p w14:paraId="7B6F2310">
      <w:pPr>
        <w:keepNext w:val="0"/>
        <w:keepLines w:val="0"/>
        <w:pageBreakBefore w:val="0"/>
        <w:kinsoku/>
        <w:overflowPunct/>
        <w:bidi w:val="0"/>
        <w:spacing w:line="360" w:lineRule="auto"/>
        <w:jc w:val="right"/>
        <w:rPr>
          <w:rFonts w:hint="eastAsia" w:ascii="宋体" w:hAnsi="宋体" w:cs="宋体"/>
          <w:color w:val="auto"/>
          <w:sz w:val="21"/>
          <w:szCs w:val="21"/>
        </w:rPr>
      </w:pPr>
      <w:bookmarkStart w:id="170" w:name="_GoBack"/>
      <w:bookmarkEnd w:id="170"/>
      <w:r>
        <w:rPr>
          <w:rFonts w:hint="eastAsia" w:ascii="宋体" w:hAnsi="宋体" w:cs="宋体"/>
          <w:color w:val="auto"/>
          <w:sz w:val="21"/>
          <w:szCs w:val="21"/>
        </w:rPr>
        <w:t>日 期：</w:t>
      </w:r>
    </w:p>
    <w:p w14:paraId="2E570316">
      <w:pPr>
        <w:keepNext w:val="0"/>
        <w:keepLines w:val="0"/>
        <w:pageBreakBefore w:val="0"/>
        <w:kinsoku/>
        <w:overflowPunct/>
        <w:bidi w:val="0"/>
        <w:spacing w:line="360" w:lineRule="auto"/>
        <w:rPr>
          <w:rFonts w:hint="eastAsia" w:ascii="宋体" w:hAnsi="宋体" w:cs="宋体"/>
          <w:color w:val="auto"/>
          <w:sz w:val="21"/>
          <w:szCs w:val="21"/>
        </w:rPr>
      </w:pPr>
      <w:r>
        <w:rPr>
          <w:rFonts w:hint="eastAsia" w:ascii="宋体" w:hAnsi="宋体" w:cs="宋体"/>
          <w:color w:val="auto"/>
          <w:sz w:val="21"/>
          <w:szCs w:val="21"/>
        </w:rPr>
        <w:t xml:space="preserve"> </w:t>
      </w:r>
    </w:p>
    <w:p w14:paraId="18AB9C98">
      <w:pPr>
        <w:keepNext w:val="0"/>
        <w:keepLines w:val="0"/>
        <w:pageBreakBefore w:val="0"/>
        <w:kinsoku/>
        <w:overflowPunct/>
        <w:bidi w:val="0"/>
        <w:spacing w:line="360" w:lineRule="auto"/>
        <w:rPr>
          <w:rFonts w:hint="eastAsia" w:ascii="宋体" w:hAnsi="宋体" w:cs="宋体"/>
          <w:color w:val="auto"/>
          <w:sz w:val="21"/>
          <w:szCs w:val="21"/>
        </w:rPr>
      </w:pPr>
      <w:r>
        <w:rPr>
          <w:rFonts w:hint="eastAsia" w:ascii="宋体" w:hAnsi="宋体" w:cs="宋体"/>
          <w:color w:val="auto"/>
          <w:sz w:val="21"/>
          <w:szCs w:val="21"/>
        </w:rPr>
        <w:t>注：享受《政府采购促进中小企业发展管理办法》（财库〔2020〕46号）规定的中小企业扶持政策的，采购人、采购代理机构应当随中标结果公开中标人的《中小企业声明函》。从业人员、营业收入、资产总额填报上一年度数据，无上一年度数据的新成立企业可不填报。</w:t>
      </w:r>
    </w:p>
    <w:p w14:paraId="7156A04C">
      <w:pPr>
        <w:rPr>
          <w:rFonts w:hint="eastAsia" w:ascii="宋体" w:hAnsi="宋体"/>
          <w:b/>
          <w:color w:val="auto"/>
          <w:sz w:val="24"/>
          <w:highlight w:val="none"/>
        </w:rPr>
      </w:pPr>
      <w:r>
        <w:rPr>
          <w:rFonts w:hint="eastAsia" w:ascii="宋体" w:hAnsi="宋体"/>
          <w:b/>
          <w:color w:val="auto"/>
          <w:sz w:val="24"/>
          <w:highlight w:val="none"/>
        </w:rPr>
        <w:br w:type="page"/>
      </w:r>
    </w:p>
    <w:p w14:paraId="09828FB7">
      <w:pPr>
        <w:spacing w:line="360" w:lineRule="auto"/>
        <w:jc w:val="center"/>
        <w:rPr>
          <w:rFonts w:hint="eastAsia" w:ascii="宋体" w:hAnsi="宋体"/>
          <w:b/>
          <w:color w:val="auto"/>
          <w:sz w:val="24"/>
          <w:highlight w:val="none"/>
        </w:rPr>
      </w:pPr>
      <w:r>
        <w:rPr>
          <w:rFonts w:hint="eastAsia" w:ascii="宋体" w:hAnsi="宋体"/>
          <w:b/>
          <w:color w:val="auto"/>
          <w:sz w:val="24"/>
          <w:highlight w:val="none"/>
        </w:rPr>
        <w:t>分包意向协议书（如有）</w:t>
      </w:r>
    </w:p>
    <w:p w14:paraId="6879AB99">
      <w:pPr>
        <w:spacing w:line="520" w:lineRule="exact"/>
        <w:rPr>
          <w:rFonts w:hint="eastAsia" w:ascii="仿宋" w:hAnsi="仿宋" w:eastAsia="仿宋"/>
          <w:color w:val="auto"/>
          <w:sz w:val="28"/>
          <w:szCs w:val="28"/>
          <w:highlight w:val="none"/>
        </w:rPr>
      </w:pPr>
    </w:p>
    <w:p w14:paraId="3A1D4FA8">
      <w:pPr>
        <w:spacing w:line="520" w:lineRule="exact"/>
        <w:rPr>
          <w:rFonts w:hint="eastAsia" w:ascii="宋体" w:hAnsi="宋体" w:cs="宋体"/>
          <w:color w:val="auto"/>
          <w:szCs w:val="21"/>
          <w:highlight w:val="none"/>
        </w:rPr>
      </w:pPr>
      <w:r>
        <w:rPr>
          <w:rFonts w:hint="eastAsia" w:ascii="宋体" w:hAnsi="宋体" w:cs="宋体"/>
          <w:color w:val="auto"/>
          <w:szCs w:val="21"/>
          <w:highlight w:val="none"/>
        </w:rPr>
        <w:t>分包企业：____________________（投标人）</w:t>
      </w:r>
    </w:p>
    <w:p w14:paraId="02B8FE78">
      <w:pPr>
        <w:spacing w:line="520" w:lineRule="exact"/>
        <w:rPr>
          <w:rFonts w:hint="eastAsia" w:ascii="宋体" w:hAnsi="宋体" w:cs="宋体"/>
          <w:color w:val="auto"/>
          <w:szCs w:val="21"/>
          <w:highlight w:val="none"/>
        </w:rPr>
      </w:pPr>
      <w:r>
        <w:rPr>
          <w:rFonts w:hint="eastAsia" w:ascii="宋体" w:hAnsi="宋体" w:cs="宋体"/>
          <w:color w:val="auto"/>
          <w:szCs w:val="21"/>
          <w:highlight w:val="none"/>
        </w:rPr>
        <w:t>接收分包企业：________________</w:t>
      </w:r>
    </w:p>
    <w:p w14:paraId="52A7B7B5">
      <w:pPr>
        <w:spacing w:line="5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因分包企业参加</w:t>
      </w:r>
      <w:r>
        <w:rPr>
          <w:rFonts w:hint="eastAsia" w:ascii="宋体" w:hAnsi="宋体" w:cs="宋体"/>
          <w:color w:val="auto"/>
          <w:szCs w:val="21"/>
          <w:highlight w:val="none"/>
          <w:u w:val="single"/>
        </w:rPr>
        <w:t xml:space="preserve">    （单位名称）    </w:t>
      </w:r>
      <w:r>
        <w:rPr>
          <w:rFonts w:hint="eastAsia" w:ascii="宋体" w:hAnsi="宋体" w:cs="宋体"/>
          <w:color w:val="auto"/>
          <w:szCs w:val="21"/>
          <w:highlight w:val="none"/>
        </w:rPr>
        <w:t>的</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u w:val="single"/>
          <w:lang w:val="en-US" w:eastAsia="zh-CN"/>
        </w:rPr>
        <w:t>招标</w:t>
      </w:r>
      <w:r>
        <w:rPr>
          <w:rFonts w:hint="eastAsia" w:ascii="宋体" w:hAnsi="宋体" w:cs="宋体"/>
          <w:color w:val="auto"/>
          <w:szCs w:val="21"/>
          <w:highlight w:val="none"/>
        </w:rPr>
        <w:t>活动，现分包企业、接收分包企业就如果分包企业获得</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 xml:space="preserve">合同后的分包事项达成以下分包意向协议： </w:t>
      </w:r>
    </w:p>
    <w:p w14:paraId="0BDB9EE7">
      <w:pPr>
        <w:spacing w:line="5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1、项目总金额的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分包给</w:t>
      </w:r>
      <w:r>
        <w:rPr>
          <w:rFonts w:hint="eastAsia" w:ascii="宋体" w:hAnsi="宋体" w:cs="宋体"/>
          <w:color w:val="auto"/>
          <w:szCs w:val="21"/>
          <w:highlight w:val="none"/>
          <w:u w:val="single"/>
        </w:rPr>
        <w:t xml:space="preserve">  （接收分包企业名称）  </w:t>
      </w:r>
      <w:r>
        <w:rPr>
          <w:rFonts w:hint="eastAsia" w:ascii="宋体" w:hAnsi="宋体" w:cs="宋体"/>
          <w:color w:val="auto"/>
          <w:szCs w:val="21"/>
          <w:highlight w:val="none"/>
        </w:rPr>
        <w:t>，该企业属于</w:t>
      </w:r>
      <w:r>
        <w:rPr>
          <w:rFonts w:hint="eastAsia" w:ascii="宋体" w:hAnsi="宋体" w:cs="宋体"/>
          <w:color w:val="auto"/>
          <w:szCs w:val="21"/>
          <w:highlight w:val="none"/>
          <w:u w:val="single"/>
        </w:rPr>
        <w:t xml:space="preserve">  （中型企业、小型企业、微型企业）  </w:t>
      </w:r>
      <w:r>
        <w:rPr>
          <w:rFonts w:hint="eastAsia" w:ascii="宋体" w:hAnsi="宋体" w:cs="宋体"/>
          <w:color w:val="auto"/>
          <w:szCs w:val="21"/>
          <w:highlight w:val="none"/>
        </w:rPr>
        <w:t>；</w:t>
      </w:r>
    </w:p>
    <w:p w14:paraId="3E32628A">
      <w:pPr>
        <w:spacing w:line="5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2、项目</w:t>
      </w:r>
      <w:r>
        <w:rPr>
          <w:rFonts w:hint="eastAsia" w:ascii="宋体" w:hAnsi="宋体" w:cs="宋体"/>
          <w:color w:val="auto"/>
          <w:szCs w:val="21"/>
          <w:highlight w:val="none"/>
          <w:lang w:val="en-US" w:eastAsia="zh-CN"/>
        </w:rPr>
        <w:t>合同</w:t>
      </w:r>
      <w:r>
        <w:rPr>
          <w:rFonts w:hint="eastAsia" w:ascii="宋体" w:hAnsi="宋体" w:cs="宋体"/>
          <w:color w:val="auto"/>
          <w:szCs w:val="21"/>
          <w:highlight w:val="none"/>
        </w:rPr>
        <w:t>金额的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分包给</w:t>
      </w:r>
      <w:r>
        <w:rPr>
          <w:rFonts w:hint="eastAsia" w:ascii="宋体" w:hAnsi="宋体" w:cs="宋体"/>
          <w:color w:val="auto"/>
          <w:szCs w:val="21"/>
          <w:highlight w:val="none"/>
          <w:u w:val="single"/>
        </w:rPr>
        <w:t xml:space="preserve">  （接收分包企业名称）  </w:t>
      </w:r>
      <w:r>
        <w:rPr>
          <w:rFonts w:hint="eastAsia" w:ascii="宋体" w:hAnsi="宋体" w:cs="宋体"/>
          <w:color w:val="auto"/>
          <w:szCs w:val="21"/>
          <w:highlight w:val="none"/>
        </w:rPr>
        <w:t>，该企业属于</w:t>
      </w:r>
      <w:r>
        <w:rPr>
          <w:rFonts w:hint="eastAsia" w:ascii="宋体" w:hAnsi="宋体" w:cs="宋体"/>
          <w:color w:val="auto"/>
          <w:szCs w:val="21"/>
          <w:highlight w:val="none"/>
          <w:u w:val="single"/>
        </w:rPr>
        <w:t xml:space="preserve">  （中型企业、小型企业、微型企业）  </w:t>
      </w:r>
      <w:r>
        <w:rPr>
          <w:rFonts w:hint="eastAsia" w:ascii="宋体" w:hAnsi="宋体" w:cs="宋体"/>
          <w:color w:val="auto"/>
          <w:szCs w:val="21"/>
          <w:highlight w:val="none"/>
        </w:rPr>
        <w:t>；</w:t>
      </w:r>
    </w:p>
    <w:p w14:paraId="67DD4E35">
      <w:pPr>
        <w:spacing w:line="520" w:lineRule="exact"/>
        <w:ind w:firstLine="630" w:firstLineChars="300"/>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6C12BC29">
      <w:pPr>
        <w:spacing w:line="5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接受分包合同的中小企业和分包企业之间不存在直接控股、管理关系。</w:t>
      </w:r>
    </w:p>
    <w:p w14:paraId="48D8887F">
      <w:pPr>
        <w:spacing w:line="520" w:lineRule="exact"/>
        <w:rPr>
          <w:rFonts w:hint="eastAsia" w:ascii="宋体" w:hAnsi="宋体" w:cs="宋体"/>
          <w:color w:val="auto"/>
          <w:szCs w:val="21"/>
          <w:highlight w:val="none"/>
        </w:rPr>
      </w:pPr>
    </w:p>
    <w:p w14:paraId="7AA98412">
      <w:pPr>
        <w:spacing w:line="520" w:lineRule="exact"/>
        <w:rPr>
          <w:rFonts w:hint="eastAsia" w:ascii="宋体" w:hAnsi="宋体" w:cs="宋体"/>
          <w:color w:val="auto"/>
          <w:szCs w:val="21"/>
          <w:highlight w:val="none"/>
        </w:rPr>
      </w:pPr>
    </w:p>
    <w:p w14:paraId="55958AA1">
      <w:pPr>
        <w:spacing w:line="520" w:lineRule="exact"/>
        <w:rPr>
          <w:rFonts w:hint="eastAsia" w:ascii="宋体" w:hAnsi="宋体" w:cs="宋体"/>
          <w:color w:val="auto"/>
          <w:szCs w:val="21"/>
          <w:highlight w:val="none"/>
        </w:rPr>
      </w:pPr>
    </w:p>
    <w:p w14:paraId="7FB47886">
      <w:pPr>
        <w:spacing w:line="520" w:lineRule="exact"/>
        <w:rPr>
          <w:rFonts w:hint="eastAsia" w:ascii="宋体" w:hAnsi="宋体" w:cs="宋体"/>
          <w:color w:val="auto"/>
          <w:szCs w:val="21"/>
          <w:highlight w:val="none"/>
        </w:rPr>
      </w:pPr>
    </w:p>
    <w:p w14:paraId="78ADBEF5">
      <w:pPr>
        <w:spacing w:line="520" w:lineRule="exact"/>
        <w:rPr>
          <w:rFonts w:hint="eastAsia" w:ascii="宋体" w:hAnsi="宋体" w:cs="宋体"/>
          <w:color w:val="auto"/>
          <w:szCs w:val="21"/>
          <w:highlight w:val="none"/>
        </w:rPr>
      </w:pPr>
      <w:r>
        <w:rPr>
          <w:rFonts w:hint="eastAsia" w:ascii="宋体" w:hAnsi="宋体" w:cs="宋体"/>
          <w:color w:val="auto"/>
          <w:szCs w:val="21"/>
          <w:highlight w:val="none"/>
        </w:rPr>
        <w:t>分包企业名称（</w:t>
      </w:r>
      <w:r>
        <w:rPr>
          <w:rFonts w:hint="eastAsia" w:ascii="宋体" w:hAnsi="宋体" w:cs="宋体"/>
          <w:color w:val="auto"/>
          <w:szCs w:val="21"/>
          <w:highlight w:val="none"/>
          <w:lang w:val="zh-CN"/>
        </w:rPr>
        <w:t>签章</w:t>
      </w:r>
      <w:r>
        <w:rPr>
          <w:rFonts w:hint="eastAsia" w:ascii="宋体" w:hAnsi="宋体" w:cs="宋体"/>
          <w:color w:val="auto"/>
          <w:szCs w:val="21"/>
          <w:highlight w:val="none"/>
        </w:rPr>
        <w:t>）：             接收分包企业名称（</w:t>
      </w:r>
      <w:r>
        <w:rPr>
          <w:rFonts w:hint="eastAsia" w:ascii="宋体" w:hAnsi="宋体" w:cs="宋体"/>
          <w:color w:val="auto"/>
          <w:szCs w:val="21"/>
          <w:highlight w:val="none"/>
          <w:lang w:val="zh-CN"/>
        </w:rPr>
        <w:t>签章</w:t>
      </w:r>
      <w:r>
        <w:rPr>
          <w:rFonts w:hint="eastAsia" w:ascii="宋体" w:hAnsi="宋体" w:cs="宋体"/>
          <w:color w:val="auto"/>
          <w:szCs w:val="21"/>
          <w:highlight w:val="none"/>
        </w:rPr>
        <w:t xml:space="preserve">）： </w:t>
      </w:r>
    </w:p>
    <w:p w14:paraId="47BBD019">
      <w:pPr>
        <w:spacing w:line="520" w:lineRule="exact"/>
        <w:rPr>
          <w:rFonts w:hint="eastAsia" w:ascii="宋体" w:hAnsi="宋体" w:cs="宋体"/>
          <w:color w:val="auto"/>
          <w:szCs w:val="21"/>
          <w:highlight w:val="none"/>
        </w:rPr>
      </w:pPr>
    </w:p>
    <w:p w14:paraId="4FFFC41F">
      <w:pPr>
        <w:spacing w:line="520" w:lineRule="exact"/>
        <w:rPr>
          <w:rFonts w:hint="eastAsia" w:ascii="宋体" w:hAnsi="宋体" w:cs="宋体"/>
          <w:color w:val="auto"/>
          <w:szCs w:val="21"/>
          <w:highlight w:val="none"/>
        </w:rPr>
      </w:pPr>
      <w:r>
        <w:rPr>
          <w:rFonts w:hint="eastAsia" w:ascii="宋体" w:hAnsi="宋体" w:cs="宋体"/>
          <w:color w:val="auto"/>
          <w:szCs w:val="21"/>
          <w:highlight w:val="none"/>
        </w:rPr>
        <w:t xml:space="preserve">日期：                                 日期： </w:t>
      </w:r>
    </w:p>
    <w:p w14:paraId="1B619B74">
      <w:pPr>
        <w:rPr>
          <w:rFonts w:hint="eastAsia" w:ascii="宋体" w:hAnsi="宋体"/>
          <w:b/>
          <w:color w:val="auto"/>
          <w:sz w:val="24"/>
          <w:highlight w:val="none"/>
        </w:rPr>
      </w:pPr>
      <w:r>
        <w:rPr>
          <w:rFonts w:hint="eastAsia" w:ascii="宋体" w:hAnsi="宋体"/>
          <w:b/>
          <w:color w:val="auto"/>
          <w:sz w:val="24"/>
          <w:highlight w:val="none"/>
        </w:rPr>
        <w:br w:type="page"/>
      </w:r>
    </w:p>
    <w:p w14:paraId="1AC965EC">
      <w:pPr>
        <w:spacing w:line="360" w:lineRule="auto"/>
        <w:jc w:val="center"/>
        <w:rPr>
          <w:rFonts w:hint="eastAsia" w:ascii="宋体" w:hAnsi="宋体"/>
          <w:b/>
          <w:color w:val="auto"/>
          <w:sz w:val="24"/>
          <w:highlight w:val="none"/>
        </w:rPr>
      </w:pPr>
      <w:r>
        <w:rPr>
          <w:rFonts w:hint="eastAsia" w:ascii="宋体" w:hAnsi="宋体"/>
          <w:b/>
          <w:color w:val="auto"/>
          <w:sz w:val="24"/>
          <w:highlight w:val="none"/>
        </w:rPr>
        <w:t>分包承诺书（如有）</w:t>
      </w:r>
    </w:p>
    <w:p w14:paraId="536700F9">
      <w:pPr>
        <w:spacing w:line="520" w:lineRule="exact"/>
        <w:rPr>
          <w:rFonts w:hint="eastAsia" w:ascii="仿宋" w:hAnsi="仿宋" w:eastAsia="仿宋"/>
          <w:color w:val="auto"/>
          <w:sz w:val="28"/>
          <w:szCs w:val="28"/>
          <w:highlight w:val="none"/>
        </w:rPr>
      </w:pPr>
    </w:p>
    <w:p w14:paraId="70E8BEF7">
      <w:pPr>
        <w:spacing w:line="5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招标</w:t>
      </w:r>
      <w:r>
        <w:rPr>
          <w:rFonts w:hint="eastAsia" w:ascii="宋体" w:hAnsi="宋体" w:cs="宋体"/>
          <w:color w:val="auto"/>
          <w:szCs w:val="21"/>
          <w:highlight w:val="none"/>
          <w:u w:val="single"/>
        </w:rPr>
        <w:t>人名称）</w:t>
      </w:r>
      <w:r>
        <w:rPr>
          <w:rFonts w:hint="eastAsia" w:ascii="宋体" w:hAnsi="宋体" w:cs="宋体"/>
          <w:color w:val="auto"/>
          <w:szCs w:val="21"/>
          <w:highlight w:val="none"/>
        </w:rPr>
        <w:t>：</w:t>
      </w:r>
    </w:p>
    <w:p w14:paraId="0E8D0903">
      <w:pPr>
        <w:spacing w:line="5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我公司承诺严格按照《政府采购促进中小企业发展管理办法》（财库[2020]46号）规定，并作出以下承诺：（投标人根据自身实际情况勾选）</w:t>
      </w:r>
    </w:p>
    <w:p w14:paraId="42B70237">
      <w:pPr>
        <w:spacing w:line="5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□我公司为中型企业，承诺将本</w:t>
      </w:r>
      <w:r>
        <w:rPr>
          <w:rFonts w:hint="eastAsia" w:ascii="宋体" w:hAnsi="宋体" w:cs="宋体"/>
          <w:color w:val="auto"/>
          <w:szCs w:val="21"/>
          <w:highlight w:val="none"/>
          <w:lang w:val="en-US" w:eastAsia="zh-CN"/>
        </w:rPr>
        <w:t>项目</w:t>
      </w:r>
      <w:r>
        <w:rPr>
          <w:rFonts w:hint="eastAsia" w:ascii="宋体" w:hAnsi="宋体" w:cs="宋体"/>
          <w:color w:val="auto"/>
          <w:szCs w:val="21"/>
          <w:highlight w:val="none"/>
        </w:rPr>
        <w:t>合同金额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%（即合同金额的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olor w:val="auto"/>
          <w:szCs w:val="21"/>
          <w:highlight w:val="none"/>
        </w:rPr>
        <w:t>分包给一家或者多家小微企业</w:t>
      </w:r>
      <w:r>
        <w:rPr>
          <w:rFonts w:hint="eastAsia" w:ascii="宋体" w:hAnsi="宋体" w:cs="宋体"/>
          <w:color w:val="auto"/>
          <w:szCs w:val="21"/>
          <w:highlight w:val="none"/>
        </w:rPr>
        <w:t>，且与接受分包合同的小微企业之间不得存在直接控股、管理关系；</w:t>
      </w:r>
    </w:p>
    <w:p w14:paraId="052DD968">
      <w:pPr>
        <w:spacing w:line="5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□我公司为大型企业，承诺将本</w:t>
      </w:r>
      <w:r>
        <w:rPr>
          <w:rFonts w:hint="eastAsia" w:ascii="宋体" w:hAnsi="宋体" w:cs="宋体"/>
          <w:color w:val="auto"/>
          <w:szCs w:val="21"/>
          <w:highlight w:val="none"/>
          <w:lang w:val="en-US" w:eastAsia="zh-CN"/>
        </w:rPr>
        <w:t>项目</w:t>
      </w:r>
      <w:r>
        <w:rPr>
          <w:rFonts w:hint="eastAsia" w:ascii="宋体" w:hAnsi="宋体" w:cs="宋体"/>
          <w:color w:val="auto"/>
          <w:szCs w:val="21"/>
          <w:highlight w:val="none"/>
        </w:rPr>
        <w:t>合同金额的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%分包给一家或者多家中小微企业，该合同金额的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%中，分包给小微企业的比例为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%（即合同金额的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%），且与接受分包合同的中小微企业之间不得存在直接控股、管理关系；</w:t>
      </w:r>
    </w:p>
    <w:p w14:paraId="173221AB">
      <w:pPr>
        <w:spacing w:line="520" w:lineRule="exact"/>
        <w:ind w:firstLine="420" w:firstLineChars="200"/>
        <w:rPr>
          <w:rFonts w:hint="eastAsia" w:ascii="宋体" w:hAnsi="宋体" w:cs="宋体"/>
          <w:color w:val="auto"/>
          <w:szCs w:val="21"/>
          <w:highlight w:val="none"/>
        </w:rPr>
      </w:pPr>
    </w:p>
    <w:p w14:paraId="129C2A77">
      <w:pPr>
        <w:spacing w:line="5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特此承诺！</w:t>
      </w:r>
    </w:p>
    <w:p w14:paraId="219E7ACC">
      <w:pPr>
        <w:spacing w:line="520" w:lineRule="exact"/>
        <w:rPr>
          <w:rFonts w:hint="eastAsia" w:ascii="宋体" w:hAnsi="宋体" w:cs="宋体"/>
          <w:color w:val="auto"/>
          <w:szCs w:val="21"/>
          <w:highlight w:val="none"/>
        </w:rPr>
      </w:pPr>
    </w:p>
    <w:p w14:paraId="79BA698D">
      <w:pPr>
        <w:spacing w:line="520" w:lineRule="exact"/>
        <w:ind w:firstLine="420" w:firstLineChars="200"/>
        <w:jc w:val="center"/>
        <w:rPr>
          <w:rFonts w:hint="eastAsia" w:ascii="宋体" w:hAnsi="宋体" w:cs="宋体"/>
          <w:color w:val="auto"/>
          <w:szCs w:val="21"/>
          <w:highlight w:val="none"/>
          <w:lang w:val="zh-CN"/>
        </w:rPr>
      </w:pPr>
      <w:r>
        <w:rPr>
          <w:rFonts w:hint="eastAsia" w:ascii="宋体" w:hAnsi="宋体" w:cs="宋体"/>
          <w:color w:val="auto"/>
          <w:szCs w:val="21"/>
          <w:highlight w:val="none"/>
          <w:lang w:val="zh-CN"/>
        </w:rPr>
        <w:t>投标人名称（签章）：</w:t>
      </w:r>
    </w:p>
    <w:p w14:paraId="5A485E07">
      <w:pPr>
        <w:spacing w:line="520" w:lineRule="exact"/>
        <w:ind w:firstLine="420" w:firstLineChars="200"/>
        <w:jc w:val="center"/>
        <w:rPr>
          <w:rFonts w:hint="eastAsia" w:ascii="宋体" w:hAnsi="宋体" w:cs="宋体"/>
          <w:color w:val="auto"/>
          <w:szCs w:val="21"/>
          <w:highlight w:val="none"/>
          <w:lang w:val="zh-CN"/>
        </w:rPr>
      </w:pPr>
      <w:r>
        <w:rPr>
          <w:rFonts w:hint="eastAsia" w:ascii="宋体" w:hAnsi="宋体" w:cs="宋体"/>
          <w:color w:val="auto"/>
          <w:szCs w:val="21"/>
          <w:highlight w:val="none"/>
          <w:lang w:val="zh-CN"/>
        </w:rPr>
        <w:t>日  期：     年   月   日</w:t>
      </w:r>
    </w:p>
    <w:p w14:paraId="6C0A7B0C">
      <w:pPr>
        <w:keepNext w:val="0"/>
        <w:keepLines w:val="0"/>
        <w:pageBreakBefore w:val="0"/>
        <w:kinsoku/>
        <w:overflowPunct/>
        <w:bidi w:val="0"/>
        <w:spacing w:line="360" w:lineRule="auto"/>
        <w:rPr>
          <w:rFonts w:hint="eastAsia" w:ascii="宋体" w:hAnsi="宋体" w:cs="宋体"/>
          <w:color w:val="auto"/>
          <w:sz w:val="36"/>
          <w:szCs w:val="36"/>
        </w:rPr>
      </w:pPr>
      <w:r>
        <w:rPr>
          <w:rFonts w:hint="eastAsia" w:ascii="宋体" w:hAnsi="宋体" w:cs="宋体"/>
          <w:color w:val="auto"/>
          <w:sz w:val="21"/>
          <w:szCs w:val="21"/>
        </w:rPr>
        <w:br w:type="page"/>
      </w:r>
    </w:p>
    <w:p w14:paraId="2FE16D52">
      <w:pPr>
        <w:keepNext w:val="0"/>
        <w:keepLines w:val="0"/>
        <w:pageBreakBefore w:val="0"/>
        <w:shd w:val="clear" w:color="auto" w:fill="auto"/>
        <w:kinsoku/>
        <w:overflowPunct/>
        <w:bidi w:val="0"/>
        <w:snapToGrid w:val="0"/>
        <w:spacing w:before="120" w:beforeLines="50" w:after="50" w:line="360" w:lineRule="auto"/>
        <w:ind w:left="142"/>
        <w:jc w:val="left"/>
        <w:rPr>
          <w:rFonts w:hint="eastAsia" w:ascii="宋体" w:hAnsi="宋体"/>
          <w:b/>
          <w:color w:val="auto"/>
          <w:sz w:val="24"/>
          <w:highlight w:val="none"/>
          <w:shd w:val="clear" w:color="auto" w:fill="auto"/>
        </w:rPr>
      </w:pPr>
      <w:r>
        <w:rPr>
          <w:rFonts w:hint="eastAsia" w:ascii="宋体" w:hAnsi="宋体"/>
          <w:b/>
          <w:color w:val="auto"/>
          <w:sz w:val="24"/>
          <w:highlight w:val="none"/>
          <w:shd w:val="clear" w:color="auto" w:fill="auto"/>
        </w:rPr>
        <w:t>残疾人福利性单位声明函格式</w:t>
      </w:r>
    </w:p>
    <w:p w14:paraId="63E43A4D">
      <w:pPr>
        <w:keepNext w:val="0"/>
        <w:keepLines w:val="0"/>
        <w:pageBreakBefore w:val="0"/>
        <w:shd w:val="clear" w:color="auto" w:fill="auto"/>
        <w:kinsoku/>
        <w:overflowPunct/>
        <w:bidi w:val="0"/>
        <w:spacing w:line="360" w:lineRule="auto"/>
        <w:jc w:val="center"/>
        <w:rPr>
          <w:rFonts w:hint="eastAsia" w:ascii="仿宋_GB2312" w:eastAsia="仿宋_GB2312"/>
          <w:b/>
          <w:color w:val="auto"/>
          <w:spacing w:val="6"/>
          <w:sz w:val="32"/>
          <w:szCs w:val="32"/>
          <w:highlight w:val="none"/>
          <w:shd w:val="clear" w:color="auto" w:fill="auto"/>
        </w:rPr>
      </w:pPr>
    </w:p>
    <w:p w14:paraId="6AF446A1">
      <w:pPr>
        <w:keepNext w:val="0"/>
        <w:keepLines w:val="0"/>
        <w:pageBreakBefore w:val="0"/>
        <w:shd w:val="clear" w:color="auto" w:fill="auto"/>
        <w:kinsoku/>
        <w:overflowPunct/>
        <w:bidi w:val="0"/>
        <w:spacing w:line="360" w:lineRule="auto"/>
        <w:jc w:val="center"/>
        <w:rPr>
          <w:rFonts w:hint="eastAsia" w:ascii="方正小标宋简体" w:hAnsi="方正小标宋简体" w:eastAsia="方正小标宋简体" w:cs="方正小标宋简体"/>
          <w:bCs/>
          <w:color w:val="auto"/>
          <w:spacing w:val="6"/>
          <w:sz w:val="44"/>
          <w:szCs w:val="44"/>
          <w:highlight w:val="none"/>
          <w:shd w:val="clear" w:color="auto" w:fill="auto"/>
        </w:rPr>
      </w:pPr>
      <w:r>
        <w:rPr>
          <w:rFonts w:hint="eastAsia" w:ascii="方正小标宋简体" w:hAnsi="方正小标宋简体" w:eastAsia="方正小标宋简体" w:cs="方正小标宋简体"/>
          <w:bCs/>
          <w:color w:val="auto"/>
          <w:spacing w:val="6"/>
          <w:sz w:val="44"/>
          <w:szCs w:val="44"/>
          <w:highlight w:val="none"/>
          <w:shd w:val="clear" w:color="auto" w:fill="auto"/>
        </w:rPr>
        <w:t>残疾人福利性单位声明函</w:t>
      </w:r>
    </w:p>
    <w:p w14:paraId="70C4B1C0">
      <w:pPr>
        <w:keepNext w:val="0"/>
        <w:keepLines w:val="0"/>
        <w:pageBreakBefore w:val="0"/>
        <w:shd w:val="clear" w:color="auto" w:fill="auto"/>
        <w:kinsoku/>
        <w:overflowPunct/>
        <w:bidi w:val="0"/>
        <w:spacing w:line="360" w:lineRule="auto"/>
        <w:contextualSpacing/>
        <w:rPr>
          <w:rFonts w:ascii="仿宋_GB2312" w:eastAsia="仿宋_GB2312"/>
          <w:bCs/>
          <w:color w:val="auto"/>
          <w:spacing w:val="6"/>
          <w:sz w:val="30"/>
          <w:szCs w:val="30"/>
          <w:highlight w:val="none"/>
          <w:shd w:val="clear" w:color="auto" w:fill="auto"/>
        </w:rPr>
      </w:pPr>
    </w:p>
    <w:p w14:paraId="0739073E">
      <w:pPr>
        <w:keepNext w:val="0"/>
        <w:keepLines w:val="0"/>
        <w:pageBreakBefore w:val="0"/>
        <w:shd w:val="clear" w:color="auto" w:fill="auto"/>
        <w:kinsoku/>
        <w:overflowPunct/>
        <w:bidi w:val="0"/>
        <w:spacing w:line="360" w:lineRule="auto"/>
        <w:ind w:firstLine="504" w:firstLineChars="200"/>
        <w:contextualSpacing/>
        <w:rPr>
          <w:rFonts w:ascii="宋体" w:hAnsi="宋体"/>
          <w:color w:val="auto"/>
          <w:spacing w:val="6"/>
          <w:sz w:val="24"/>
          <w:highlight w:val="none"/>
          <w:shd w:val="clear" w:color="auto" w:fill="auto"/>
        </w:rPr>
      </w:pPr>
      <w:r>
        <w:rPr>
          <w:rFonts w:hint="eastAsia" w:ascii="宋体" w:hAnsi="宋体"/>
          <w:color w:val="auto"/>
          <w:spacing w:val="6"/>
          <w:sz w:val="24"/>
          <w:highlight w:val="none"/>
          <w:shd w:val="clear" w:color="auto" w:fill="auto"/>
        </w:rPr>
        <w:t>本单位郑重声明，根据《财政部 民政部 中国残疾人联合会关于促进残疾人就业政府采购政策的通知》（财库</w:t>
      </w:r>
      <w:r>
        <w:rPr>
          <w:rFonts w:hint="eastAsia" w:ascii="宋体" w:hAnsi="宋体"/>
          <w:color w:val="auto"/>
          <w:sz w:val="24"/>
          <w:highlight w:val="none"/>
          <w:shd w:val="clear" w:color="auto" w:fill="auto"/>
        </w:rPr>
        <w:t>〔2017〕 141</w:t>
      </w:r>
      <w:r>
        <w:rPr>
          <w:rFonts w:hint="eastAsia" w:ascii="宋体" w:hAnsi="宋体"/>
          <w:color w:val="auto"/>
          <w:spacing w:val="6"/>
          <w:sz w:val="24"/>
          <w:highlight w:val="none"/>
          <w:shd w:val="clear" w:color="auto" w:fill="auto"/>
        </w:rPr>
        <w:t>号）的规定，本单位为符合条件的残疾人福利性单位，且本单位参加______单位的______项目采购活动提供本单位制造的货物（由本单位承担工程/提供服务），或者提供其他残</w:t>
      </w:r>
      <w:r>
        <w:rPr>
          <w:rFonts w:hint="eastAsia" w:ascii="宋体" w:hAnsi="宋体"/>
          <w:color w:val="auto"/>
          <w:spacing w:val="-6"/>
          <w:sz w:val="24"/>
          <w:highlight w:val="none"/>
          <w:shd w:val="clear" w:color="auto" w:fill="auto"/>
        </w:rPr>
        <w:t>疾人福利性单位制造的货物（不包括使用非残疾人福利性单位注册商标的货物）。</w:t>
      </w:r>
    </w:p>
    <w:p w14:paraId="65333707">
      <w:pPr>
        <w:keepNext w:val="0"/>
        <w:keepLines w:val="0"/>
        <w:pageBreakBefore w:val="0"/>
        <w:shd w:val="clear" w:color="auto" w:fill="auto"/>
        <w:kinsoku/>
        <w:overflowPunct/>
        <w:bidi w:val="0"/>
        <w:spacing w:line="360" w:lineRule="auto"/>
        <w:ind w:firstLine="504" w:firstLineChars="200"/>
        <w:contextualSpacing/>
        <w:rPr>
          <w:rFonts w:ascii="宋体" w:hAnsi="宋体"/>
          <w:color w:val="auto"/>
          <w:spacing w:val="6"/>
          <w:sz w:val="24"/>
          <w:highlight w:val="none"/>
          <w:shd w:val="clear" w:color="auto" w:fill="auto"/>
        </w:rPr>
      </w:pPr>
      <w:r>
        <w:rPr>
          <w:rFonts w:hint="eastAsia" w:ascii="宋体" w:hAnsi="宋体"/>
          <w:color w:val="auto"/>
          <w:spacing w:val="6"/>
          <w:sz w:val="24"/>
          <w:highlight w:val="none"/>
          <w:shd w:val="clear" w:color="auto" w:fill="auto"/>
        </w:rPr>
        <w:t>本单位对上述声明的真实性负责。如有虚假，将依法承担相应责任。</w:t>
      </w:r>
    </w:p>
    <w:p w14:paraId="3D8C0FD2">
      <w:pPr>
        <w:keepNext w:val="0"/>
        <w:keepLines w:val="0"/>
        <w:pageBreakBefore w:val="0"/>
        <w:shd w:val="clear" w:color="auto" w:fill="auto"/>
        <w:kinsoku/>
        <w:overflowPunct/>
        <w:bidi w:val="0"/>
        <w:spacing w:line="360" w:lineRule="auto"/>
        <w:ind w:firstLine="504" w:firstLineChars="200"/>
        <w:contextualSpacing/>
        <w:rPr>
          <w:rFonts w:ascii="宋体" w:hAnsi="宋体"/>
          <w:color w:val="auto"/>
          <w:spacing w:val="6"/>
          <w:sz w:val="24"/>
          <w:highlight w:val="none"/>
          <w:shd w:val="clear" w:color="auto" w:fill="auto"/>
        </w:rPr>
      </w:pPr>
    </w:p>
    <w:p w14:paraId="138573D4">
      <w:pPr>
        <w:keepNext w:val="0"/>
        <w:keepLines w:val="0"/>
        <w:pageBreakBefore w:val="0"/>
        <w:shd w:val="clear" w:color="auto" w:fill="auto"/>
        <w:kinsoku/>
        <w:overflowPunct/>
        <w:bidi w:val="0"/>
        <w:spacing w:line="360" w:lineRule="auto"/>
        <w:ind w:firstLine="504" w:firstLineChars="200"/>
        <w:contextualSpacing/>
        <w:rPr>
          <w:rFonts w:ascii="宋体" w:hAnsi="宋体"/>
          <w:color w:val="auto"/>
          <w:spacing w:val="6"/>
          <w:sz w:val="24"/>
          <w:highlight w:val="none"/>
          <w:shd w:val="clear" w:color="auto" w:fill="auto"/>
        </w:rPr>
      </w:pPr>
    </w:p>
    <w:p w14:paraId="3460BA9B">
      <w:pPr>
        <w:keepNext w:val="0"/>
        <w:keepLines w:val="0"/>
        <w:pageBreakBefore w:val="0"/>
        <w:shd w:val="clear" w:color="auto" w:fill="auto"/>
        <w:tabs>
          <w:tab w:val="left" w:pos="4860"/>
        </w:tabs>
        <w:kinsoku/>
        <w:overflowPunct/>
        <w:bidi w:val="0"/>
        <w:spacing w:line="360" w:lineRule="auto"/>
        <w:ind w:right="1560" w:firstLine="504" w:firstLineChars="200"/>
        <w:contextualSpacing/>
        <w:jc w:val="right"/>
        <w:rPr>
          <w:rFonts w:ascii="宋体" w:hAnsi="宋体"/>
          <w:color w:val="auto"/>
          <w:spacing w:val="6"/>
          <w:sz w:val="24"/>
          <w:highlight w:val="none"/>
          <w:shd w:val="clear" w:color="auto" w:fill="auto"/>
        </w:rPr>
      </w:pPr>
      <w:r>
        <w:rPr>
          <w:rFonts w:hint="eastAsia" w:ascii="宋体" w:hAnsi="宋体"/>
          <w:color w:val="auto"/>
          <w:spacing w:val="6"/>
          <w:sz w:val="24"/>
          <w:highlight w:val="none"/>
          <w:shd w:val="clear" w:color="auto" w:fill="auto"/>
        </w:rPr>
        <w:t>单位名称（电子签章）：</w:t>
      </w:r>
    </w:p>
    <w:p w14:paraId="2E0FE4F8">
      <w:pPr>
        <w:keepNext w:val="0"/>
        <w:keepLines w:val="0"/>
        <w:pageBreakBefore w:val="0"/>
        <w:kinsoku/>
        <w:overflowPunct/>
        <w:bidi w:val="0"/>
        <w:spacing w:line="360" w:lineRule="auto"/>
        <w:jc w:val="center"/>
        <w:rPr>
          <w:rFonts w:hint="eastAsia" w:ascii="宋体" w:hAnsi="宋体" w:cs="宋体"/>
          <w:color w:val="auto"/>
          <w:sz w:val="36"/>
          <w:szCs w:val="36"/>
        </w:rPr>
      </w:pPr>
      <w:r>
        <w:rPr>
          <w:rFonts w:hint="eastAsia" w:ascii="宋体" w:hAnsi="宋体"/>
          <w:color w:val="auto"/>
          <w:spacing w:val="6"/>
          <w:sz w:val="24"/>
          <w:highlight w:val="none"/>
          <w:shd w:val="clear" w:color="auto" w:fill="auto"/>
        </w:rPr>
        <w:t>日  期：</w:t>
      </w:r>
      <w:r>
        <w:rPr>
          <w:rFonts w:hint="eastAsia" w:ascii="宋体" w:hAnsi="宋体" w:cs="宋体"/>
          <w:color w:val="auto"/>
          <w:sz w:val="36"/>
          <w:szCs w:val="36"/>
        </w:rPr>
        <w:br w:type="page"/>
      </w:r>
    </w:p>
    <w:p w14:paraId="7F0488DB">
      <w:pPr>
        <w:pStyle w:val="14"/>
        <w:keepNext w:val="0"/>
        <w:keepLines w:val="0"/>
        <w:pageBreakBefore w:val="0"/>
        <w:kinsoku/>
        <w:overflowPunct/>
        <w:bidi w:val="0"/>
        <w:spacing w:line="360" w:lineRule="auto"/>
        <w:jc w:val="left"/>
        <w:rPr>
          <w:rFonts w:hint="eastAsia" w:ascii="宋体" w:hAnsi="宋体" w:eastAsia="宋体" w:cs="宋体"/>
          <w:color w:val="auto"/>
          <w:kern w:val="2"/>
          <w:sz w:val="44"/>
          <w:szCs w:val="44"/>
          <w:highlight w:val="none"/>
          <w:lang w:val="en-US" w:eastAsia="zh-CN" w:bidi="ar-SA"/>
        </w:rPr>
      </w:pPr>
      <w:r>
        <w:rPr>
          <w:rFonts w:hint="eastAsia" w:ascii="宋体" w:hAnsi="宋体" w:eastAsia="宋体" w:cs="宋体"/>
          <w:b/>
          <w:color w:val="auto"/>
          <w:sz w:val="24"/>
          <w:highlight w:val="none"/>
          <w:shd w:val="clear" w:color="auto" w:fill="auto"/>
          <w:lang w:val="en-US" w:eastAsia="zh-CN"/>
        </w:rPr>
        <w:t>监狱企业证明文件</w:t>
      </w:r>
    </w:p>
    <w:p w14:paraId="4E141114">
      <w:pPr>
        <w:pStyle w:val="14"/>
        <w:keepNext w:val="0"/>
        <w:keepLines w:val="0"/>
        <w:pageBreakBefore w:val="0"/>
        <w:kinsoku/>
        <w:overflowPunct/>
        <w:bidi w:val="0"/>
        <w:spacing w:line="360" w:lineRule="auto"/>
        <w:ind w:firstLine="482"/>
        <w:jc w:val="center"/>
        <w:rPr>
          <w:rFonts w:hint="eastAsia" w:ascii="宋体" w:hAnsi="宋体" w:eastAsia="宋体" w:cs="宋体"/>
          <w:color w:val="auto"/>
          <w:kern w:val="2"/>
          <w:sz w:val="44"/>
          <w:szCs w:val="44"/>
          <w:highlight w:val="none"/>
          <w:lang w:val="en-US" w:eastAsia="zh-CN" w:bidi="ar-SA"/>
        </w:rPr>
      </w:pPr>
    </w:p>
    <w:p w14:paraId="260E0E94">
      <w:pPr>
        <w:pStyle w:val="14"/>
        <w:keepNext w:val="0"/>
        <w:keepLines w:val="0"/>
        <w:pageBreakBefore w:val="0"/>
        <w:kinsoku/>
        <w:overflowPunct/>
        <w:bidi w:val="0"/>
        <w:spacing w:line="360" w:lineRule="auto"/>
        <w:ind w:firstLine="482"/>
        <w:jc w:val="center"/>
        <w:rPr>
          <w:rFonts w:hint="eastAsia" w:ascii="宋体" w:hAnsi="宋体" w:eastAsia="宋体" w:cs="宋体"/>
          <w:color w:val="auto"/>
          <w:kern w:val="2"/>
          <w:sz w:val="44"/>
          <w:szCs w:val="44"/>
          <w:highlight w:val="none"/>
          <w:lang w:val="en-US" w:eastAsia="zh-CN" w:bidi="ar-SA"/>
        </w:rPr>
      </w:pPr>
      <w:r>
        <w:rPr>
          <w:rFonts w:hint="eastAsia" w:ascii="宋体" w:hAnsi="宋体" w:eastAsia="宋体" w:cs="宋体"/>
          <w:color w:val="auto"/>
          <w:kern w:val="2"/>
          <w:sz w:val="44"/>
          <w:szCs w:val="44"/>
          <w:highlight w:val="none"/>
          <w:lang w:val="en-US" w:eastAsia="zh-CN" w:bidi="ar-SA"/>
        </w:rPr>
        <w:t>监狱企业证明文件</w:t>
      </w:r>
    </w:p>
    <w:p w14:paraId="6A3D912A">
      <w:pPr>
        <w:pStyle w:val="15"/>
        <w:keepNext w:val="0"/>
        <w:keepLines w:val="0"/>
        <w:pageBreakBefore w:val="0"/>
        <w:kinsoku/>
        <w:overflowPunct/>
        <w:bidi w:val="0"/>
        <w:spacing w:line="360" w:lineRule="auto"/>
        <w:ind w:left="5250" w:firstLine="480"/>
        <w:rPr>
          <w:rFonts w:hint="eastAsia" w:ascii="宋体" w:hAnsi="宋体" w:eastAsia="宋体" w:cs="宋体"/>
          <w:color w:val="auto"/>
          <w:kern w:val="0"/>
          <w:highlight w:val="none"/>
        </w:rPr>
      </w:pPr>
    </w:p>
    <w:p w14:paraId="2AF102E7">
      <w:pPr>
        <w:pStyle w:val="14"/>
        <w:keepNext w:val="0"/>
        <w:keepLines w:val="0"/>
        <w:pageBreakBefore w:val="0"/>
        <w:kinsoku/>
        <w:overflowPunct/>
        <w:bidi w:val="0"/>
        <w:spacing w:line="360" w:lineRule="auto"/>
        <w:ind w:firstLine="840" w:firstLineChars="350"/>
        <w:jc w:val="left"/>
        <w:rPr>
          <w:rFonts w:hint="eastAsia" w:ascii="宋体" w:hAnsi="宋体" w:eastAsia="宋体" w:cs="宋体"/>
          <w:color w:val="auto"/>
          <w:kern w:val="2"/>
          <w:sz w:val="24"/>
          <w:szCs w:val="24"/>
          <w:highlight w:val="none"/>
          <w:lang w:val="en-US" w:eastAsia="zh-CN" w:bidi="ar-SA"/>
        </w:rPr>
      </w:pPr>
    </w:p>
    <w:p w14:paraId="16A0E3AC">
      <w:pPr>
        <w:pStyle w:val="14"/>
        <w:keepNext w:val="0"/>
        <w:keepLines w:val="0"/>
        <w:pageBreakBefore w:val="0"/>
        <w:kinsoku/>
        <w:overflowPunct/>
        <w:bidi w:val="0"/>
        <w:spacing w:line="360" w:lineRule="auto"/>
        <w:ind w:firstLine="840" w:firstLineChars="35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按《关于政府采购支持监狱企业发展有关问题的通知》(财库[2014]68 号)认定为监狱企业的，在政府采购活动中，监狱企业视同小型、微型企业。监狱企业参加政府采购活动时，应当提供由省级以上监狱管理局、戒毒管理局(含新疆生产建设兵团)出具的属于监狱企业的证明文件。</w:t>
      </w:r>
    </w:p>
    <w:p w14:paraId="5F4779C9">
      <w:pPr>
        <w:pStyle w:val="14"/>
        <w:keepNext w:val="0"/>
        <w:keepLines w:val="0"/>
        <w:pageBreakBefore w:val="0"/>
        <w:kinsoku/>
        <w:overflowPunct/>
        <w:bidi w:val="0"/>
        <w:spacing w:line="360" w:lineRule="auto"/>
        <w:ind w:firstLine="420"/>
        <w:jc w:val="left"/>
        <w:rPr>
          <w:rFonts w:hint="eastAsia" w:ascii="宋体" w:hAnsi="宋体" w:eastAsia="宋体" w:cs="宋体"/>
          <w:color w:val="auto"/>
          <w:szCs w:val="21"/>
          <w:highlight w:val="none"/>
        </w:rPr>
      </w:pPr>
    </w:p>
    <w:p w14:paraId="23BFE169">
      <w:pPr>
        <w:keepNext w:val="0"/>
        <w:keepLines w:val="0"/>
        <w:pageBreakBefore w:val="0"/>
        <w:shd w:val="clear" w:color="auto" w:fill="auto"/>
        <w:tabs>
          <w:tab w:val="left" w:pos="4860"/>
        </w:tabs>
        <w:kinsoku/>
        <w:overflowPunct/>
        <w:bidi w:val="0"/>
        <w:spacing w:line="360" w:lineRule="auto"/>
        <w:ind w:right="1560" w:firstLine="504" w:firstLineChars="200"/>
        <w:contextualSpacing/>
        <w:jc w:val="right"/>
        <w:rPr>
          <w:rFonts w:ascii="宋体" w:hAnsi="宋体"/>
          <w:color w:val="auto"/>
          <w:spacing w:val="6"/>
          <w:sz w:val="24"/>
          <w:highlight w:val="none"/>
          <w:shd w:val="clear" w:color="auto" w:fill="auto"/>
        </w:rPr>
      </w:pPr>
      <w:r>
        <w:rPr>
          <w:rFonts w:hint="eastAsia" w:ascii="宋体" w:hAnsi="宋体"/>
          <w:color w:val="auto"/>
          <w:spacing w:val="6"/>
          <w:sz w:val="24"/>
          <w:highlight w:val="none"/>
          <w:shd w:val="clear" w:color="auto" w:fill="auto"/>
        </w:rPr>
        <w:t>单位名称（电子签章）：</w:t>
      </w:r>
    </w:p>
    <w:p w14:paraId="1DBDD697">
      <w:pPr>
        <w:pStyle w:val="14"/>
        <w:keepNext w:val="0"/>
        <w:keepLines w:val="0"/>
        <w:pageBreakBefore w:val="0"/>
        <w:kinsoku/>
        <w:overflowPunct/>
        <w:bidi w:val="0"/>
        <w:spacing w:line="360" w:lineRule="auto"/>
        <w:ind w:firstLine="420"/>
        <w:jc w:val="right"/>
        <w:rPr>
          <w:rFonts w:hint="eastAsia" w:ascii="宋体" w:hAnsi="宋体" w:eastAsia="宋体" w:cs="宋体"/>
          <w:color w:val="auto"/>
          <w:szCs w:val="21"/>
          <w:highlight w:val="none"/>
        </w:rPr>
      </w:pPr>
      <w:r>
        <w:rPr>
          <w:rFonts w:hint="eastAsia" w:ascii="宋体" w:hAnsi="宋体"/>
          <w:color w:val="auto"/>
          <w:spacing w:val="6"/>
          <w:sz w:val="24"/>
          <w:highlight w:val="none"/>
          <w:shd w:val="clear" w:color="auto" w:fill="auto"/>
        </w:rPr>
        <w:t>日  期：</w:t>
      </w:r>
    </w:p>
    <w:p w14:paraId="067627D7">
      <w:pPr>
        <w:keepNext w:val="0"/>
        <w:keepLines w:val="0"/>
        <w:pageBreakBefore w:val="0"/>
        <w:kinsoku/>
        <w:overflowPunct/>
        <w:bidi w:val="0"/>
        <w:spacing w:line="360" w:lineRule="auto"/>
        <w:rPr>
          <w:rFonts w:hint="eastAsia" w:ascii="宋体" w:hAnsi="宋体" w:cs="宋体"/>
          <w:color w:val="auto"/>
          <w:sz w:val="36"/>
          <w:szCs w:val="36"/>
        </w:rPr>
      </w:pPr>
      <w:r>
        <w:rPr>
          <w:rFonts w:hint="eastAsia" w:ascii="宋体" w:hAnsi="宋体" w:eastAsia="宋体" w:cs="宋体"/>
          <w:color w:val="auto"/>
          <w:kern w:val="2"/>
          <w:sz w:val="24"/>
          <w:szCs w:val="24"/>
          <w:highlight w:val="none"/>
          <w:lang w:val="en-US" w:eastAsia="zh-CN" w:bidi="ar-SA"/>
        </w:rPr>
        <w:t>说明：成交供应商的监狱企业证明文件随成交结果一并公告。</w:t>
      </w:r>
      <w:r>
        <w:rPr>
          <w:rFonts w:hint="eastAsia" w:ascii="宋体" w:hAnsi="宋体" w:cs="宋体"/>
          <w:color w:val="auto"/>
          <w:sz w:val="36"/>
          <w:szCs w:val="36"/>
        </w:rPr>
        <w:br w:type="page"/>
      </w:r>
    </w:p>
    <w:p w14:paraId="306A50A8">
      <w:pPr>
        <w:keepNext w:val="0"/>
        <w:keepLines w:val="0"/>
        <w:pageBreakBefore w:val="0"/>
        <w:kinsoku/>
        <w:overflowPunct/>
        <w:bidi w:val="0"/>
        <w:spacing w:line="360" w:lineRule="auto"/>
        <w:jc w:val="center"/>
        <w:rPr>
          <w:rFonts w:ascii="宋体" w:hAnsi="宋体" w:cs="宋体"/>
          <w:b/>
          <w:bCs/>
          <w:color w:val="auto"/>
          <w:sz w:val="24"/>
        </w:rPr>
      </w:pPr>
      <w:r>
        <w:rPr>
          <w:rFonts w:hint="eastAsia" w:ascii="宋体" w:hAnsi="宋体" w:cs="宋体"/>
          <w:color w:val="auto"/>
          <w:sz w:val="36"/>
          <w:szCs w:val="36"/>
        </w:rPr>
        <w:t>质疑函（格式）</w:t>
      </w:r>
    </w:p>
    <w:p w14:paraId="1F5DD407">
      <w:pPr>
        <w:pStyle w:val="14"/>
        <w:keepNext w:val="0"/>
        <w:keepLines w:val="0"/>
        <w:pageBreakBefore w:val="0"/>
        <w:kinsoku/>
        <w:overflowPunct/>
        <w:bidi w:val="0"/>
        <w:spacing w:line="360" w:lineRule="auto"/>
        <w:ind w:firstLine="422" w:firstLineChars="200"/>
        <w:contextualSpacing/>
        <w:rPr>
          <w:rFonts w:hAnsi="宋体" w:cs="宋体"/>
          <w:b/>
          <w:bCs/>
          <w:color w:val="auto"/>
          <w:szCs w:val="21"/>
        </w:rPr>
      </w:pPr>
      <w:r>
        <w:rPr>
          <w:rFonts w:hint="eastAsia" w:hAnsi="宋体" w:cs="宋体"/>
          <w:b/>
          <w:bCs/>
          <w:color w:val="auto"/>
          <w:szCs w:val="21"/>
        </w:rPr>
        <w:t>一、质疑</w:t>
      </w:r>
      <w:r>
        <w:rPr>
          <w:rFonts w:hint="eastAsia" w:hAnsi="宋体" w:cs="宋体"/>
          <w:b/>
          <w:bCs/>
          <w:color w:val="auto"/>
          <w:szCs w:val="21"/>
          <w:lang w:eastAsia="zh-CN"/>
        </w:rPr>
        <w:t>投标人</w:t>
      </w:r>
      <w:r>
        <w:rPr>
          <w:rFonts w:hint="eastAsia" w:hAnsi="宋体" w:cs="宋体"/>
          <w:b/>
          <w:bCs/>
          <w:color w:val="auto"/>
          <w:szCs w:val="21"/>
        </w:rPr>
        <w:t>基本信息：</w:t>
      </w:r>
    </w:p>
    <w:p w14:paraId="42917117">
      <w:pPr>
        <w:pStyle w:val="14"/>
        <w:keepNext w:val="0"/>
        <w:keepLines w:val="0"/>
        <w:pageBreakBefore w:val="0"/>
        <w:kinsoku/>
        <w:overflowPunct/>
        <w:bidi w:val="0"/>
        <w:spacing w:line="360" w:lineRule="auto"/>
        <w:ind w:firstLine="420" w:firstLineChars="200"/>
        <w:contextualSpacing/>
        <w:rPr>
          <w:rFonts w:hAnsi="宋体" w:cs="宋体"/>
          <w:bCs/>
          <w:color w:val="auto"/>
          <w:szCs w:val="21"/>
          <w:u w:val="single"/>
        </w:rPr>
      </w:pPr>
      <w:r>
        <w:rPr>
          <w:rFonts w:hint="eastAsia" w:hAnsi="宋体" w:cs="宋体"/>
          <w:bCs/>
          <w:color w:val="auto"/>
          <w:szCs w:val="21"/>
        </w:rPr>
        <w:t>质疑</w:t>
      </w:r>
      <w:r>
        <w:rPr>
          <w:rFonts w:hint="eastAsia" w:hAnsi="宋体" w:cs="宋体"/>
          <w:bCs/>
          <w:color w:val="auto"/>
          <w:szCs w:val="21"/>
          <w:lang w:eastAsia="zh-CN"/>
        </w:rPr>
        <w:t>投标人</w:t>
      </w:r>
      <w:r>
        <w:rPr>
          <w:rFonts w:hint="eastAsia" w:hAnsi="宋体" w:cs="宋体"/>
          <w:bCs/>
          <w:color w:val="auto"/>
          <w:szCs w:val="21"/>
        </w:rPr>
        <w:t>：</w:t>
      </w:r>
      <w:r>
        <w:rPr>
          <w:rFonts w:hint="eastAsia" w:hAnsi="宋体" w:cs="宋体"/>
          <w:bCs/>
          <w:color w:val="auto"/>
          <w:szCs w:val="21"/>
          <w:u w:val="single"/>
        </w:rPr>
        <w:t xml:space="preserve">                                       </w:t>
      </w:r>
      <w:r>
        <w:rPr>
          <w:rFonts w:hint="eastAsia" w:hAnsi="宋体" w:cs="宋体"/>
          <w:bCs/>
          <w:color w:val="auto"/>
          <w:szCs w:val="21"/>
        </w:rPr>
        <w:t xml:space="preserve">                 </w:t>
      </w:r>
    </w:p>
    <w:p w14:paraId="41509B7D">
      <w:pPr>
        <w:pStyle w:val="14"/>
        <w:keepNext w:val="0"/>
        <w:keepLines w:val="0"/>
        <w:pageBreakBefore w:val="0"/>
        <w:kinsoku/>
        <w:overflowPunct/>
        <w:bidi w:val="0"/>
        <w:spacing w:line="360" w:lineRule="auto"/>
        <w:ind w:firstLine="420" w:firstLineChars="200"/>
        <w:contextualSpacing/>
        <w:rPr>
          <w:rFonts w:hAnsi="宋体" w:cs="宋体"/>
          <w:bCs/>
          <w:color w:val="auto"/>
          <w:szCs w:val="21"/>
        </w:rPr>
      </w:pPr>
      <w:r>
        <w:rPr>
          <w:rFonts w:hint="eastAsia" w:hAnsi="宋体" w:cs="宋体"/>
          <w:bCs/>
          <w:color w:val="auto"/>
          <w:szCs w:val="21"/>
        </w:rPr>
        <w:t>地址：</w:t>
      </w:r>
      <w:r>
        <w:rPr>
          <w:rFonts w:hint="eastAsia" w:hAnsi="宋体" w:cs="宋体"/>
          <w:bCs/>
          <w:color w:val="auto"/>
          <w:szCs w:val="21"/>
          <w:u w:val="single"/>
        </w:rPr>
        <w:t xml:space="preserve">                                          </w:t>
      </w:r>
      <w:r>
        <w:rPr>
          <w:rFonts w:hint="eastAsia" w:hAnsi="宋体" w:cs="宋体"/>
          <w:bCs/>
          <w:color w:val="auto"/>
          <w:szCs w:val="21"/>
        </w:rPr>
        <w:t>邮编：</w:t>
      </w:r>
      <w:r>
        <w:rPr>
          <w:rFonts w:hint="eastAsia" w:hAnsi="宋体" w:cs="宋体"/>
          <w:bCs/>
          <w:color w:val="auto"/>
          <w:szCs w:val="21"/>
          <w:u w:val="single"/>
        </w:rPr>
        <w:t xml:space="preserve">                  </w:t>
      </w:r>
      <w:r>
        <w:rPr>
          <w:rFonts w:hint="eastAsia" w:hAnsi="宋体" w:cs="宋体"/>
          <w:bCs/>
          <w:color w:val="auto"/>
          <w:szCs w:val="21"/>
        </w:rPr>
        <w:t xml:space="preserve"> </w:t>
      </w:r>
    </w:p>
    <w:p w14:paraId="177EA277">
      <w:pPr>
        <w:pStyle w:val="14"/>
        <w:keepNext w:val="0"/>
        <w:keepLines w:val="0"/>
        <w:pageBreakBefore w:val="0"/>
        <w:kinsoku/>
        <w:overflowPunct/>
        <w:bidi w:val="0"/>
        <w:spacing w:line="360" w:lineRule="auto"/>
        <w:ind w:firstLine="420" w:firstLineChars="200"/>
        <w:contextualSpacing/>
        <w:rPr>
          <w:rFonts w:hAnsi="宋体" w:cs="宋体"/>
          <w:bCs/>
          <w:color w:val="auto"/>
          <w:szCs w:val="21"/>
        </w:rPr>
      </w:pPr>
      <w:r>
        <w:rPr>
          <w:rFonts w:hint="eastAsia" w:hAnsi="宋体" w:cs="宋体"/>
          <w:bCs/>
          <w:color w:val="auto"/>
          <w:szCs w:val="21"/>
        </w:rPr>
        <w:t>联系人：</w:t>
      </w:r>
      <w:r>
        <w:rPr>
          <w:rFonts w:hint="eastAsia" w:hAnsi="宋体" w:cs="宋体"/>
          <w:bCs/>
          <w:color w:val="auto"/>
          <w:szCs w:val="21"/>
          <w:u w:val="single"/>
        </w:rPr>
        <w:t xml:space="preserve">                     </w:t>
      </w:r>
      <w:r>
        <w:rPr>
          <w:rFonts w:hint="eastAsia" w:hAnsi="宋体" w:cs="宋体"/>
          <w:bCs/>
          <w:color w:val="auto"/>
          <w:szCs w:val="21"/>
        </w:rPr>
        <w:t>联系电话：</w:t>
      </w:r>
      <w:r>
        <w:rPr>
          <w:rFonts w:hint="eastAsia" w:hAnsi="宋体" w:cs="宋体"/>
          <w:bCs/>
          <w:color w:val="auto"/>
          <w:szCs w:val="21"/>
          <w:u w:val="single"/>
        </w:rPr>
        <w:t xml:space="preserve">                 </w:t>
      </w:r>
    </w:p>
    <w:p w14:paraId="1CB6EB62">
      <w:pPr>
        <w:pStyle w:val="14"/>
        <w:keepNext w:val="0"/>
        <w:keepLines w:val="0"/>
        <w:pageBreakBefore w:val="0"/>
        <w:kinsoku/>
        <w:overflowPunct/>
        <w:bidi w:val="0"/>
        <w:spacing w:line="360" w:lineRule="auto"/>
        <w:ind w:firstLine="420" w:firstLineChars="200"/>
        <w:contextualSpacing/>
        <w:rPr>
          <w:rFonts w:hAnsi="宋体" w:cs="宋体"/>
          <w:bCs/>
          <w:color w:val="auto"/>
          <w:szCs w:val="21"/>
        </w:rPr>
      </w:pPr>
      <w:r>
        <w:rPr>
          <w:rFonts w:hint="eastAsia" w:hAnsi="宋体" w:cs="宋体"/>
          <w:bCs/>
          <w:color w:val="auto"/>
          <w:szCs w:val="21"/>
        </w:rPr>
        <w:t>授权代表：</w:t>
      </w:r>
      <w:r>
        <w:rPr>
          <w:rFonts w:hint="eastAsia" w:hAnsi="宋体" w:cs="宋体"/>
          <w:bCs/>
          <w:color w:val="auto"/>
          <w:szCs w:val="21"/>
          <w:u w:val="single"/>
        </w:rPr>
        <w:t xml:space="preserve">                      </w:t>
      </w:r>
    </w:p>
    <w:p w14:paraId="79CFB42F">
      <w:pPr>
        <w:pStyle w:val="14"/>
        <w:keepNext w:val="0"/>
        <w:keepLines w:val="0"/>
        <w:pageBreakBefore w:val="0"/>
        <w:kinsoku/>
        <w:overflowPunct/>
        <w:bidi w:val="0"/>
        <w:spacing w:line="360" w:lineRule="auto"/>
        <w:ind w:firstLine="420" w:firstLineChars="200"/>
        <w:contextualSpacing/>
        <w:rPr>
          <w:rFonts w:hAnsi="宋体" w:cs="宋体"/>
          <w:bCs/>
          <w:color w:val="auto"/>
          <w:szCs w:val="21"/>
          <w:u w:val="single"/>
        </w:rPr>
      </w:pPr>
      <w:r>
        <w:rPr>
          <w:rFonts w:hint="eastAsia" w:hAnsi="宋体" w:cs="宋体"/>
          <w:bCs/>
          <w:color w:val="auto"/>
          <w:szCs w:val="21"/>
        </w:rPr>
        <w:t>联系电话：</w:t>
      </w:r>
      <w:r>
        <w:rPr>
          <w:rFonts w:hint="eastAsia" w:hAnsi="宋体" w:cs="宋体"/>
          <w:bCs/>
          <w:color w:val="auto"/>
          <w:szCs w:val="21"/>
          <w:u w:val="single"/>
        </w:rPr>
        <w:t xml:space="preserve">                      </w:t>
      </w:r>
    </w:p>
    <w:p w14:paraId="77631C59">
      <w:pPr>
        <w:pStyle w:val="14"/>
        <w:keepNext w:val="0"/>
        <w:keepLines w:val="0"/>
        <w:pageBreakBefore w:val="0"/>
        <w:kinsoku/>
        <w:overflowPunct/>
        <w:bidi w:val="0"/>
        <w:spacing w:line="360" w:lineRule="auto"/>
        <w:ind w:firstLine="420" w:firstLineChars="200"/>
        <w:contextualSpacing/>
        <w:rPr>
          <w:rFonts w:hAnsi="宋体" w:cs="宋体"/>
          <w:bCs/>
          <w:color w:val="auto"/>
          <w:szCs w:val="21"/>
        </w:rPr>
      </w:pPr>
      <w:r>
        <w:rPr>
          <w:rFonts w:hint="eastAsia" w:hAnsi="宋体" w:cs="宋体"/>
          <w:bCs/>
          <w:color w:val="auto"/>
          <w:szCs w:val="21"/>
        </w:rPr>
        <w:t>地址：</w:t>
      </w:r>
      <w:r>
        <w:rPr>
          <w:rFonts w:hint="eastAsia" w:hAnsi="宋体" w:cs="宋体"/>
          <w:bCs/>
          <w:color w:val="auto"/>
          <w:szCs w:val="21"/>
          <w:u w:val="single"/>
        </w:rPr>
        <w:t xml:space="preserve">                 </w:t>
      </w:r>
      <w:r>
        <w:rPr>
          <w:rFonts w:hint="eastAsia" w:hAnsi="宋体" w:cs="宋体"/>
          <w:bCs/>
          <w:color w:val="auto"/>
          <w:szCs w:val="21"/>
        </w:rPr>
        <w:t>邮编：</w:t>
      </w:r>
      <w:r>
        <w:rPr>
          <w:rFonts w:hint="eastAsia" w:hAnsi="宋体" w:cs="宋体"/>
          <w:bCs/>
          <w:color w:val="auto"/>
          <w:szCs w:val="21"/>
          <w:u w:val="single"/>
        </w:rPr>
        <w:t xml:space="preserve">                  </w:t>
      </w:r>
      <w:r>
        <w:rPr>
          <w:rFonts w:hint="eastAsia" w:hAnsi="宋体" w:cs="宋体"/>
          <w:bCs/>
          <w:color w:val="auto"/>
          <w:szCs w:val="21"/>
        </w:rPr>
        <w:t xml:space="preserve">     </w:t>
      </w:r>
    </w:p>
    <w:p w14:paraId="60EAC246">
      <w:pPr>
        <w:pStyle w:val="14"/>
        <w:keepNext w:val="0"/>
        <w:keepLines w:val="0"/>
        <w:pageBreakBefore w:val="0"/>
        <w:kinsoku/>
        <w:overflowPunct/>
        <w:bidi w:val="0"/>
        <w:spacing w:line="360" w:lineRule="auto"/>
        <w:ind w:firstLine="422" w:firstLineChars="200"/>
        <w:contextualSpacing/>
        <w:rPr>
          <w:rFonts w:hAnsi="宋体" w:cs="宋体"/>
          <w:b/>
          <w:bCs/>
          <w:color w:val="auto"/>
          <w:szCs w:val="21"/>
        </w:rPr>
      </w:pPr>
      <w:r>
        <w:rPr>
          <w:rFonts w:hint="eastAsia" w:hAnsi="宋体" w:cs="宋体"/>
          <w:b/>
          <w:bCs/>
          <w:color w:val="auto"/>
          <w:szCs w:val="21"/>
        </w:rPr>
        <w:t>二、质疑项目基本情况：</w:t>
      </w:r>
    </w:p>
    <w:p w14:paraId="7D22C32A">
      <w:pPr>
        <w:pStyle w:val="14"/>
        <w:keepNext w:val="0"/>
        <w:keepLines w:val="0"/>
        <w:pageBreakBefore w:val="0"/>
        <w:kinsoku/>
        <w:overflowPunct/>
        <w:bidi w:val="0"/>
        <w:spacing w:line="360" w:lineRule="auto"/>
        <w:ind w:left="25" w:leftChars="12" w:firstLine="413" w:firstLineChars="197"/>
        <w:contextualSpacing/>
        <w:rPr>
          <w:rFonts w:hAnsi="宋体" w:cs="宋体"/>
          <w:color w:val="auto"/>
          <w:szCs w:val="21"/>
        </w:rPr>
      </w:pPr>
      <w:r>
        <w:rPr>
          <w:rFonts w:hint="eastAsia" w:hAnsi="宋体" w:cs="宋体"/>
          <w:bCs/>
          <w:color w:val="auto"/>
          <w:szCs w:val="21"/>
        </w:rPr>
        <w:t>质疑</w:t>
      </w:r>
      <w:r>
        <w:rPr>
          <w:rFonts w:hint="eastAsia" w:hAnsi="宋体" w:cs="宋体"/>
          <w:color w:val="auto"/>
          <w:szCs w:val="21"/>
        </w:rPr>
        <w:t>项目的名称：</w:t>
      </w:r>
      <w:r>
        <w:rPr>
          <w:rFonts w:hint="eastAsia" w:hAnsi="宋体" w:cs="宋体"/>
          <w:bCs/>
          <w:color w:val="auto"/>
          <w:szCs w:val="21"/>
          <w:u w:val="single"/>
        </w:rPr>
        <w:t xml:space="preserve">                                     </w:t>
      </w:r>
    </w:p>
    <w:p w14:paraId="7889A92D">
      <w:pPr>
        <w:pStyle w:val="14"/>
        <w:keepNext w:val="0"/>
        <w:keepLines w:val="0"/>
        <w:pageBreakBefore w:val="0"/>
        <w:kinsoku/>
        <w:overflowPunct/>
        <w:bidi w:val="0"/>
        <w:spacing w:line="360" w:lineRule="auto"/>
        <w:ind w:left="25" w:leftChars="12" w:firstLine="413" w:firstLineChars="197"/>
        <w:contextualSpacing/>
        <w:rPr>
          <w:rFonts w:hAnsi="宋体" w:cs="宋体"/>
          <w:color w:val="auto"/>
          <w:szCs w:val="21"/>
        </w:rPr>
      </w:pPr>
      <w:r>
        <w:rPr>
          <w:rFonts w:hint="eastAsia" w:hAnsi="宋体" w:cs="宋体"/>
          <w:bCs/>
          <w:color w:val="auto"/>
          <w:szCs w:val="21"/>
        </w:rPr>
        <w:t>质疑</w:t>
      </w:r>
      <w:r>
        <w:rPr>
          <w:rFonts w:hint="eastAsia" w:hAnsi="宋体" w:cs="宋体"/>
          <w:color w:val="auto"/>
          <w:szCs w:val="21"/>
        </w:rPr>
        <w:t>项目的编号：</w:t>
      </w:r>
      <w:r>
        <w:rPr>
          <w:rFonts w:hint="eastAsia" w:hAnsi="宋体" w:cs="宋体"/>
          <w:bCs/>
          <w:color w:val="auto"/>
          <w:szCs w:val="21"/>
          <w:u w:val="single"/>
        </w:rPr>
        <w:t xml:space="preserve">                                     </w:t>
      </w:r>
    </w:p>
    <w:p w14:paraId="2761B3BC">
      <w:pPr>
        <w:pStyle w:val="14"/>
        <w:keepNext w:val="0"/>
        <w:keepLines w:val="0"/>
        <w:pageBreakBefore w:val="0"/>
        <w:kinsoku/>
        <w:overflowPunct/>
        <w:bidi w:val="0"/>
        <w:spacing w:line="360" w:lineRule="auto"/>
        <w:ind w:left="25" w:leftChars="12" w:firstLine="413" w:firstLineChars="197"/>
        <w:contextualSpacing/>
        <w:rPr>
          <w:rFonts w:hAnsi="宋体" w:cs="宋体"/>
          <w:color w:val="auto"/>
          <w:szCs w:val="21"/>
        </w:rPr>
      </w:pPr>
      <w:r>
        <w:rPr>
          <w:rFonts w:hint="eastAsia" w:hAnsi="宋体" w:cs="宋体"/>
          <w:color w:val="auto"/>
          <w:szCs w:val="21"/>
        </w:rPr>
        <w:t>采购人名称：</w:t>
      </w:r>
      <w:r>
        <w:rPr>
          <w:rFonts w:hint="eastAsia" w:hAnsi="宋体" w:cs="宋体"/>
          <w:bCs/>
          <w:color w:val="auto"/>
          <w:szCs w:val="21"/>
          <w:u w:val="single"/>
        </w:rPr>
        <w:t xml:space="preserve">                                         </w:t>
      </w:r>
    </w:p>
    <w:p w14:paraId="122E661F">
      <w:pPr>
        <w:pStyle w:val="14"/>
        <w:keepNext w:val="0"/>
        <w:keepLines w:val="0"/>
        <w:pageBreakBefore w:val="0"/>
        <w:kinsoku/>
        <w:overflowPunct/>
        <w:bidi w:val="0"/>
        <w:spacing w:line="360" w:lineRule="auto"/>
        <w:ind w:left="25" w:leftChars="12" w:firstLine="413" w:firstLineChars="197"/>
        <w:contextualSpacing/>
        <w:rPr>
          <w:rFonts w:hAnsi="宋体" w:cs="宋体"/>
          <w:color w:val="auto"/>
          <w:szCs w:val="21"/>
        </w:rPr>
      </w:pPr>
      <w:r>
        <w:rPr>
          <w:rFonts w:hint="eastAsia" w:hAnsi="宋体" w:cs="宋体"/>
          <w:color w:val="auto"/>
          <w:szCs w:val="21"/>
        </w:rPr>
        <w:t>质疑事项：</w:t>
      </w:r>
    </w:p>
    <w:p w14:paraId="710D9644">
      <w:pPr>
        <w:pStyle w:val="14"/>
        <w:keepNext w:val="0"/>
        <w:keepLines w:val="0"/>
        <w:pageBreakBefore w:val="0"/>
        <w:kinsoku/>
        <w:overflowPunct/>
        <w:bidi w:val="0"/>
        <w:spacing w:line="360" w:lineRule="auto"/>
        <w:ind w:left="25" w:leftChars="12" w:firstLine="308" w:firstLineChars="147"/>
        <w:contextualSpacing/>
        <w:rPr>
          <w:rFonts w:hAnsi="宋体" w:cs="宋体"/>
          <w:color w:val="auto"/>
          <w:szCs w:val="21"/>
        </w:rPr>
      </w:pPr>
      <w:r>
        <w:rPr>
          <w:rFonts w:hint="eastAsia" w:hAnsi="宋体" w:cs="宋体"/>
          <w:color w:val="auto"/>
          <w:szCs w:val="21"/>
        </w:rPr>
        <w:t>□采购文件   采购文件获取日期：</w:t>
      </w:r>
      <w:r>
        <w:rPr>
          <w:rFonts w:hint="eastAsia" w:hAnsi="宋体" w:cs="宋体"/>
          <w:bCs/>
          <w:color w:val="auto"/>
          <w:szCs w:val="21"/>
          <w:u w:val="single"/>
        </w:rPr>
        <w:t xml:space="preserve">                                 </w:t>
      </w:r>
    </w:p>
    <w:p w14:paraId="21C58D2E">
      <w:pPr>
        <w:pStyle w:val="14"/>
        <w:keepNext w:val="0"/>
        <w:keepLines w:val="0"/>
        <w:pageBreakBefore w:val="0"/>
        <w:kinsoku/>
        <w:overflowPunct/>
        <w:bidi w:val="0"/>
        <w:spacing w:line="360" w:lineRule="auto"/>
        <w:ind w:left="25" w:leftChars="12" w:firstLine="308" w:firstLineChars="147"/>
        <w:contextualSpacing/>
        <w:rPr>
          <w:rFonts w:hAnsi="宋体" w:cs="宋体"/>
          <w:color w:val="auto"/>
          <w:szCs w:val="21"/>
        </w:rPr>
      </w:pPr>
      <w:r>
        <w:rPr>
          <w:rFonts w:hint="eastAsia" w:hAnsi="宋体" w:cs="宋体"/>
          <w:color w:val="auto"/>
          <w:szCs w:val="21"/>
        </w:rPr>
        <w:t xml:space="preserve">□采购过程   </w:t>
      </w:r>
    </w:p>
    <w:p w14:paraId="1020BE91">
      <w:pPr>
        <w:pStyle w:val="14"/>
        <w:keepNext w:val="0"/>
        <w:keepLines w:val="0"/>
        <w:pageBreakBefore w:val="0"/>
        <w:kinsoku/>
        <w:overflowPunct/>
        <w:bidi w:val="0"/>
        <w:spacing w:line="360" w:lineRule="auto"/>
        <w:ind w:left="25" w:leftChars="12" w:firstLine="308" w:firstLineChars="147"/>
        <w:contextualSpacing/>
        <w:rPr>
          <w:rFonts w:hAnsi="宋体" w:cs="宋体"/>
          <w:bCs/>
          <w:color w:val="auto"/>
          <w:szCs w:val="21"/>
          <w:u w:val="single"/>
        </w:rPr>
      </w:pPr>
      <w:r>
        <w:rPr>
          <w:rFonts w:hint="eastAsia" w:hAnsi="宋体" w:cs="宋体"/>
          <w:color w:val="auto"/>
          <w:szCs w:val="21"/>
        </w:rPr>
        <w:t xml:space="preserve">□成交结果   </w:t>
      </w:r>
    </w:p>
    <w:p w14:paraId="0CF676CA">
      <w:pPr>
        <w:pStyle w:val="14"/>
        <w:keepNext w:val="0"/>
        <w:keepLines w:val="0"/>
        <w:pageBreakBefore w:val="0"/>
        <w:kinsoku/>
        <w:overflowPunct/>
        <w:bidi w:val="0"/>
        <w:spacing w:line="360" w:lineRule="auto"/>
        <w:ind w:left="25" w:leftChars="12" w:firstLine="413" w:firstLineChars="196"/>
        <w:contextualSpacing/>
        <w:rPr>
          <w:rFonts w:hAnsi="宋体" w:cs="宋体"/>
          <w:b/>
          <w:color w:val="auto"/>
          <w:szCs w:val="21"/>
        </w:rPr>
      </w:pPr>
      <w:r>
        <w:rPr>
          <w:rFonts w:hint="eastAsia" w:hAnsi="宋体" w:cs="宋体"/>
          <w:b/>
          <w:color w:val="auto"/>
          <w:szCs w:val="21"/>
        </w:rPr>
        <w:t>三、质疑事项具体内容</w:t>
      </w:r>
    </w:p>
    <w:p w14:paraId="6B6D82AA">
      <w:pPr>
        <w:pStyle w:val="14"/>
        <w:keepNext w:val="0"/>
        <w:keepLines w:val="0"/>
        <w:pageBreakBefore w:val="0"/>
        <w:kinsoku/>
        <w:overflowPunct/>
        <w:bidi w:val="0"/>
        <w:spacing w:line="360" w:lineRule="auto"/>
        <w:ind w:left="25" w:leftChars="12" w:firstLine="413" w:firstLineChars="197"/>
        <w:contextualSpacing/>
        <w:rPr>
          <w:rFonts w:hAnsi="宋体" w:cs="宋体"/>
          <w:color w:val="auto"/>
          <w:szCs w:val="21"/>
        </w:rPr>
      </w:pPr>
      <w:r>
        <w:rPr>
          <w:rFonts w:hint="eastAsia" w:hAnsi="宋体" w:cs="宋体"/>
          <w:color w:val="auto"/>
          <w:szCs w:val="21"/>
        </w:rPr>
        <w:t>质疑事项1：</w:t>
      </w:r>
      <w:r>
        <w:rPr>
          <w:rFonts w:hint="eastAsia" w:hAnsi="宋体" w:cs="宋体"/>
          <w:bCs/>
          <w:color w:val="auto"/>
          <w:szCs w:val="21"/>
          <w:u w:val="single"/>
        </w:rPr>
        <w:t xml:space="preserve">                                                                    </w:t>
      </w:r>
    </w:p>
    <w:p w14:paraId="72C7F3FC">
      <w:pPr>
        <w:pStyle w:val="14"/>
        <w:keepNext w:val="0"/>
        <w:keepLines w:val="0"/>
        <w:pageBreakBefore w:val="0"/>
        <w:kinsoku/>
        <w:overflowPunct/>
        <w:bidi w:val="0"/>
        <w:spacing w:line="360" w:lineRule="auto"/>
        <w:ind w:left="25" w:leftChars="12" w:firstLine="413" w:firstLineChars="197"/>
        <w:contextualSpacing/>
        <w:rPr>
          <w:rFonts w:hAnsi="宋体" w:cs="宋体"/>
          <w:color w:val="auto"/>
          <w:szCs w:val="21"/>
        </w:rPr>
      </w:pPr>
      <w:r>
        <w:rPr>
          <w:rFonts w:hint="eastAsia" w:hAnsi="宋体" w:cs="宋体"/>
          <w:color w:val="auto"/>
          <w:szCs w:val="21"/>
        </w:rPr>
        <w:t>事实依据：</w:t>
      </w:r>
      <w:r>
        <w:rPr>
          <w:rFonts w:hint="eastAsia" w:hAnsi="宋体" w:cs="宋体"/>
          <w:bCs/>
          <w:color w:val="auto"/>
          <w:szCs w:val="21"/>
          <w:u w:val="single"/>
        </w:rPr>
        <w:t xml:space="preserve">                                                                      </w:t>
      </w:r>
    </w:p>
    <w:p w14:paraId="4C46383D">
      <w:pPr>
        <w:pStyle w:val="14"/>
        <w:keepNext w:val="0"/>
        <w:keepLines w:val="0"/>
        <w:pageBreakBefore w:val="0"/>
        <w:kinsoku/>
        <w:overflowPunct/>
        <w:bidi w:val="0"/>
        <w:spacing w:line="360" w:lineRule="auto"/>
        <w:ind w:left="25" w:leftChars="12" w:firstLine="413" w:firstLineChars="197"/>
        <w:contextualSpacing/>
        <w:rPr>
          <w:rFonts w:hAnsi="宋体" w:cs="宋体"/>
          <w:color w:val="auto"/>
          <w:szCs w:val="21"/>
        </w:rPr>
      </w:pPr>
      <w:r>
        <w:rPr>
          <w:rFonts w:hint="eastAsia" w:hAnsi="宋体" w:cs="宋体"/>
          <w:color w:val="auto"/>
          <w:szCs w:val="21"/>
        </w:rPr>
        <w:t>法律依据：</w:t>
      </w:r>
      <w:r>
        <w:rPr>
          <w:rFonts w:hint="eastAsia" w:hAnsi="宋体" w:cs="宋体"/>
          <w:color w:val="auto"/>
          <w:szCs w:val="21"/>
          <w:u w:val="single"/>
        </w:rPr>
        <w:t xml:space="preserve">                                                        </w:t>
      </w:r>
      <w:r>
        <w:rPr>
          <w:rFonts w:hint="eastAsia" w:hAnsi="宋体" w:cs="宋体"/>
          <w:bCs/>
          <w:color w:val="auto"/>
          <w:szCs w:val="21"/>
          <w:u w:val="single"/>
        </w:rPr>
        <w:t xml:space="preserve">               </w:t>
      </w:r>
    </w:p>
    <w:p w14:paraId="32955197">
      <w:pPr>
        <w:pStyle w:val="14"/>
        <w:keepNext w:val="0"/>
        <w:keepLines w:val="0"/>
        <w:pageBreakBefore w:val="0"/>
        <w:kinsoku/>
        <w:overflowPunct/>
        <w:bidi w:val="0"/>
        <w:spacing w:line="360" w:lineRule="auto"/>
        <w:ind w:left="25" w:leftChars="12" w:firstLine="413" w:firstLineChars="197"/>
        <w:contextualSpacing/>
        <w:rPr>
          <w:rFonts w:hAnsi="宋体" w:cs="宋体"/>
          <w:color w:val="auto"/>
          <w:szCs w:val="21"/>
        </w:rPr>
      </w:pPr>
      <w:r>
        <w:rPr>
          <w:rFonts w:hint="eastAsia" w:hAnsi="宋体" w:cs="宋体"/>
          <w:color w:val="auto"/>
          <w:szCs w:val="21"/>
        </w:rPr>
        <w:t>质疑事项2</w:t>
      </w:r>
    </w:p>
    <w:p w14:paraId="643D89ED">
      <w:pPr>
        <w:pStyle w:val="14"/>
        <w:keepNext w:val="0"/>
        <w:keepLines w:val="0"/>
        <w:pageBreakBefore w:val="0"/>
        <w:kinsoku/>
        <w:overflowPunct/>
        <w:bidi w:val="0"/>
        <w:spacing w:line="360" w:lineRule="auto"/>
        <w:ind w:left="25" w:leftChars="12" w:firstLine="413" w:firstLineChars="197"/>
        <w:contextualSpacing/>
        <w:rPr>
          <w:rFonts w:hAnsi="宋体" w:cs="宋体"/>
          <w:color w:val="auto"/>
          <w:szCs w:val="21"/>
        </w:rPr>
      </w:pPr>
      <w:r>
        <w:rPr>
          <w:rFonts w:hint="eastAsia" w:hAnsi="宋体" w:cs="宋体"/>
          <w:color w:val="auto"/>
          <w:szCs w:val="21"/>
        </w:rPr>
        <w:t>……</w:t>
      </w:r>
    </w:p>
    <w:p w14:paraId="3E0FD0F6">
      <w:pPr>
        <w:pStyle w:val="14"/>
        <w:keepNext w:val="0"/>
        <w:keepLines w:val="0"/>
        <w:pageBreakBefore w:val="0"/>
        <w:kinsoku/>
        <w:overflowPunct/>
        <w:bidi w:val="0"/>
        <w:spacing w:line="360" w:lineRule="auto"/>
        <w:ind w:left="25" w:leftChars="12" w:firstLine="413" w:firstLineChars="197"/>
        <w:contextualSpacing/>
        <w:rPr>
          <w:rFonts w:hAnsi="宋体" w:cs="宋体"/>
          <w:color w:val="auto"/>
          <w:szCs w:val="21"/>
        </w:rPr>
      </w:pPr>
      <w:r>
        <w:rPr>
          <w:rFonts w:hint="eastAsia" w:hAnsi="宋体" w:cs="宋体"/>
          <w:color w:val="auto"/>
          <w:szCs w:val="21"/>
        </w:rPr>
        <w:t>四、与质疑事项相关的质疑请求：</w:t>
      </w:r>
    </w:p>
    <w:p w14:paraId="26F64793">
      <w:pPr>
        <w:pStyle w:val="14"/>
        <w:keepNext w:val="0"/>
        <w:keepLines w:val="0"/>
        <w:pageBreakBefore w:val="0"/>
        <w:kinsoku/>
        <w:overflowPunct/>
        <w:bidi w:val="0"/>
        <w:spacing w:line="360" w:lineRule="auto"/>
        <w:ind w:left="25" w:leftChars="12" w:firstLine="413" w:firstLineChars="197"/>
        <w:contextualSpacing/>
        <w:rPr>
          <w:rFonts w:hAnsi="宋体" w:cs="宋体"/>
          <w:color w:val="auto"/>
          <w:szCs w:val="21"/>
        </w:rPr>
      </w:pPr>
      <w:r>
        <w:rPr>
          <w:rFonts w:hint="eastAsia" w:hAnsi="宋体" w:cs="宋体"/>
          <w:color w:val="auto"/>
          <w:szCs w:val="21"/>
        </w:rPr>
        <w:t>请求：</w:t>
      </w:r>
      <w:r>
        <w:rPr>
          <w:rFonts w:hint="eastAsia" w:hAnsi="宋体" w:cs="宋体"/>
          <w:color w:val="auto"/>
          <w:szCs w:val="21"/>
          <w:u w:val="single"/>
        </w:rPr>
        <w:t xml:space="preserve">                                                        </w:t>
      </w:r>
      <w:r>
        <w:rPr>
          <w:rFonts w:hint="eastAsia" w:hAnsi="宋体" w:cs="宋体"/>
          <w:bCs/>
          <w:color w:val="auto"/>
          <w:szCs w:val="21"/>
          <w:u w:val="single"/>
        </w:rPr>
        <w:t xml:space="preserve">              </w:t>
      </w:r>
    </w:p>
    <w:p w14:paraId="547F799C">
      <w:pPr>
        <w:pStyle w:val="14"/>
        <w:keepNext w:val="0"/>
        <w:keepLines w:val="0"/>
        <w:pageBreakBefore w:val="0"/>
        <w:kinsoku/>
        <w:overflowPunct/>
        <w:bidi w:val="0"/>
        <w:spacing w:line="360" w:lineRule="auto"/>
        <w:ind w:left="25" w:leftChars="12" w:firstLine="308" w:firstLineChars="147"/>
        <w:contextualSpacing/>
        <w:rPr>
          <w:rFonts w:hAnsi="宋体" w:cs="宋体"/>
          <w:color w:val="auto"/>
          <w:szCs w:val="21"/>
        </w:rPr>
      </w:pPr>
    </w:p>
    <w:p w14:paraId="2DFBDFA2">
      <w:pPr>
        <w:pStyle w:val="14"/>
        <w:keepNext w:val="0"/>
        <w:keepLines w:val="0"/>
        <w:pageBreakBefore w:val="0"/>
        <w:kinsoku/>
        <w:overflowPunct/>
        <w:bidi w:val="0"/>
        <w:spacing w:line="360" w:lineRule="auto"/>
        <w:ind w:left="25" w:leftChars="12" w:firstLine="413" w:firstLineChars="197"/>
        <w:contextualSpacing/>
        <w:rPr>
          <w:rFonts w:hAnsi="宋体" w:cs="宋体"/>
          <w:color w:val="auto"/>
          <w:szCs w:val="21"/>
        </w:rPr>
      </w:pPr>
      <w:r>
        <w:rPr>
          <w:rFonts w:hint="eastAsia" w:hAnsi="宋体" w:cs="宋体"/>
          <w:color w:val="auto"/>
          <w:szCs w:val="21"/>
        </w:rPr>
        <w:t>签字（签章）：                                  公章：</w:t>
      </w:r>
    </w:p>
    <w:p w14:paraId="0BC823B9">
      <w:pPr>
        <w:pStyle w:val="14"/>
        <w:keepNext w:val="0"/>
        <w:keepLines w:val="0"/>
        <w:pageBreakBefore w:val="0"/>
        <w:kinsoku/>
        <w:overflowPunct/>
        <w:bidi w:val="0"/>
        <w:spacing w:line="360" w:lineRule="auto"/>
        <w:ind w:firstLine="420" w:firstLineChars="200"/>
        <w:contextualSpacing/>
        <w:rPr>
          <w:rFonts w:hAnsi="宋体" w:cs="宋体"/>
          <w:b/>
          <w:color w:val="auto"/>
          <w:szCs w:val="21"/>
        </w:rPr>
      </w:pPr>
      <w:r>
        <w:rPr>
          <w:rFonts w:hint="eastAsia" w:hAnsi="宋体" w:cs="宋体"/>
          <w:color w:val="auto"/>
          <w:szCs w:val="21"/>
        </w:rPr>
        <w:t>日期：</w:t>
      </w:r>
    </w:p>
    <w:p w14:paraId="298EBBA5">
      <w:pPr>
        <w:pStyle w:val="14"/>
        <w:keepNext w:val="0"/>
        <w:keepLines w:val="0"/>
        <w:pageBreakBefore w:val="0"/>
        <w:kinsoku/>
        <w:overflowPunct/>
        <w:bidi w:val="0"/>
        <w:spacing w:line="360" w:lineRule="auto"/>
        <w:contextualSpacing/>
        <w:rPr>
          <w:rFonts w:hAnsi="宋体" w:cs="宋体"/>
          <w:b/>
          <w:color w:val="auto"/>
          <w:szCs w:val="21"/>
        </w:rPr>
      </w:pPr>
      <w:r>
        <w:rPr>
          <w:rFonts w:hint="eastAsia" w:hAnsi="宋体" w:cs="宋体"/>
          <w:b/>
          <w:color w:val="auto"/>
          <w:szCs w:val="21"/>
        </w:rPr>
        <w:t>说明：</w:t>
      </w:r>
    </w:p>
    <w:p w14:paraId="6EF950D5">
      <w:pPr>
        <w:pStyle w:val="14"/>
        <w:keepNext w:val="0"/>
        <w:keepLines w:val="0"/>
        <w:pageBreakBefore w:val="0"/>
        <w:kinsoku/>
        <w:overflowPunct/>
        <w:bidi w:val="0"/>
        <w:spacing w:line="360" w:lineRule="auto"/>
        <w:ind w:left="25" w:leftChars="12" w:firstLine="310" w:firstLineChars="147"/>
        <w:contextualSpacing/>
        <w:rPr>
          <w:rFonts w:hAnsi="宋体" w:cs="宋体"/>
          <w:b/>
          <w:bCs/>
          <w:color w:val="auto"/>
          <w:szCs w:val="21"/>
        </w:rPr>
      </w:pPr>
      <w:r>
        <w:rPr>
          <w:rFonts w:hint="eastAsia" w:hAnsi="宋体" w:cs="宋体"/>
          <w:b/>
          <w:color w:val="auto"/>
          <w:szCs w:val="21"/>
        </w:rPr>
        <w:t>1.</w:t>
      </w:r>
      <w:r>
        <w:rPr>
          <w:rFonts w:hint="eastAsia" w:hAnsi="宋体" w:cs="宋体"/>
          <w:b/>
          <w:color w:val="auto"/>
          <w:szCs w:val="21"/>
          <w:lang w:eastAsia="zh-CN"/>
        </w:rPr>
        <w:t>投标人</w:t>
      </w:r>
      <w:r>
        <w:rPr>
          <w:rFonts w:hint="eastAsia" w:hAnsi="宋体" w:cs="宋体"/>
          <w:b/>
          <w:color w:val="auto"/>
          <w:szCs w:val="21"/>
        </w:rPr>
        <w:t>提出质疑时，应提交质疑函和必要的证明材料</w:t>
      </w:r>
      <w:r>
        <w:rPr>
          <w:rFonts w:hint="eastAsia" w:hAnsi="宋体" w:cs="宋体"/>
          <w:b/>
          <w:bCs/>
          <w:color w:val="auto"/>
          <w:szCs w:val="21"/>
        </w:rPr>
        <w:t>。</w:t>
      </w:r>
    </w:p>
    <w:p w14:paraId="22BA06E6">
      <w:pPr>
        <w:pStyle w:val="14"/>
        <w:keepNext w:val="0"/>
        <w:keepLines w:val="0"/>
        <w:pageBreakBefore w:val="0"/>
        <w:kinsoku/>
        <w:overflowPunct/>
        <w:bidi w:val="0"/>
        <w:spacing w:line="360" w:lineRule="auto"/>
        <w:ind w:left="25" w:leftChars="12" w:firstLine="310" w:firstLineChars="147"/>
        <w:contextualSpacing/>
        <w:rPr>
          <w:rFonts w:hAnsi="宋体" w:cs="宋体"/>
          <w:b/>
          <w:color w:val="auto"/>
          <w:szCs w:val="21"/>
        </w:rPr>
      </w:pPr>
      <w:r>
        <w:rPr>
          <w:rFonts w:hint="eastAsia" w:hAnsi="宋体" w:cs="宋体"/>
          <w:b/>
          <w:color w:val="auto"/>
          <w:szCs w:val="21"/>
        </w:rPr>
        <w:t>2.质疑</w:t>
      </w:r>
      <w:r>
        <w:rPr>
          <w:rFonts w:hint="eastAsia" w:hAnsi="宋体" w:cs="宋体"/>
          <w:b/>
          <w:color w:val="auto"/>
          <w:szCs w:val="21"/>
          <w:lang w:eastAsia="zh-CN"/>
        </w:rPr>
        <w:t>投标人</w:t>
      </w:r>
      <w:r>
        <w:rPr>
          <w:rFonts w:hint="eastAsia" w:hAnsi="宋体" w:cs="宋体"/>
          <w:b/>
          <w:color w:val="auto"/>
          <w:szCs w:val="21"/>
        </w:rPr>
        <w:t>若委托代理人进行质疑的，质疑函应按要求列明“授权代表”的有关内容，并在附件中提交由质疑</w:t>
      </w:r>
      <w:r>
        <w:rPr>
          <w:rFonts w:hint="eastAsia" w:hAnsi="宋体" w:cs="宋体"/>
          <w:b/>
          <w:color w:val="auto"/>
          <w:szCs w:val="21"/>
          <w:lang w:eastAsia="zh-CN"/>
        </w:rPr>
        <w:t>投标人</w:t>
      </w:r>
      <w:r>
        <w:rPr>
          <w:rFonts w:hint="eastAsia" w:hAnsi="宋体" w:cs="宋体"/>
          <w:b/>
          <w:color w:val="auto"/>
          <w:szCs w:val="21"/>
        </w:rPr>
        <w:t>签署的授权委托书。授权委托书应载明代理人的姓名或者名称、代理事项、具体权限、期限和相关事项。</w:t>
      </w:r>
    </w:p>
    <w:p w14:paraId="7E8A63C4">
      <w:pPr>
        <w:pStyle w:val="14"/>
        <w:keepNext w:val="0"/>
        <w:keepLines w:val="0"/>
        <w:pageBreakBefore w:val="0"/>
        <w:kinsoku/>
        <w:overflowPunct/>
        <w:bidi w:val="0"/>
        <w:spacing w:line="360" w:lineRule="auto"/>
        <w:ind w:left="25" w:leftChars="12" w:firstLine="310" w:firstLineChars="147"/>
        <w:contextualSpacing/>
        <w:rPr>
          <w:rFonts w:hAnsi="宋体" w:cs="宋体"/>
          <w:b/>
          <w:color w:val="auto"/>
          <w:szCs w:val="21"/>
        </w:rPr>
      </w:pPr>
      <w:r>
        <w:rPr>
          <w:rFonts w:hint="eastAsia" w:hAnsi="宋体" w:cs="宋体"/>
          <w:b/>
          <w:color w:val="auto"/>
          <w:szCs w:val="21"/>
        </w:rPr>
        <w:t>3.质疑函的质疑事项应具体、明确，并有必要的事实依据和法律依据。</w:t>
      </w:r>
    </w:p>
    <w:p w14:paraId="135CD939">
      <w:pPr>
        <w:pStyle w:val="14"/>
        <w:keepNext w:val="0"/>
        <w:keepLines w:val="0"/>
        <w:pageBreakBefore w:val="0"/>
        <w:kinsoku/>
        <w:overflowPunct/>
        <w:bidi w:val="0"/>
        <w:spacing w:line="360" w:lineRule="auto"/>
        <w:ind w:left="25" w:leftChars="12" w:firstLine="310" w:firstLineChars="147"/>
        <w:contextualSpacing/>
        <w:rPr>
          <w:rFonts w:hAnsi="宋体" w:cs="宋体"/>
          <w:b/>
          <w:color w:val="auto"/>
          <w:szCs w:val="21"/>
        </w:rPr>
      </w:pPr>
      <w:r>
        <w:rPr>
          <w:rFonts w:hint="eastAsia" w:hAnsi="宋体" w:cs="宋体"/>
          <w:b/>
          <w:color w:val="auto"/>
          <w:szCs w:val="21"/>
        </w:rPr>
        <w:t>4.质疑函的质疑请求应与质疑事项相关。</w:t>
      </w:r>
    </w:p>
    <w:p w14:paraId="7C58E27E">
      <w:pPr>
        <w:pStyle w:val="14"/>
        <w:keepNext w:val="0"/>
        <w:keepLines w:val="0"/>
        <w:pageBreakBefore w:val="0"/>
        <w:kinsoku/>
        <w:overflowPunct/>
        <w:bidi w:val="0"/>
        <w:spacing w:line="360" w:lineRule="auto"/>
        <w:ind w:left="25" w:leftChars="12" w:firstLine="310" w:firstLineChars="147"/>
        <w:contextualSpacing/>
        <w:rPr>
          <w:rFonts w:hAnsi="宋体" w:cs="宋体"/>
          <w:b/>
          <w:color w:val="auto"/>
        </w:rPr>
      </w:pPr>
      <w:r>
        <w:rPr>
          <w:rFonts w:hint="eastAsia" w:hAnsi="宋体" w:cs="宋体"/>
          <w:b/>
          <w:color w:val="auto"/>
          <w:szCs w:val="21"/>
        </w:rPr>
        <w:t>5.质疑</w:t>
      </w:r>
      <w:r>
        <w:rPr>
          <w:rFonts w:hint="eastAsia" w:hAnsi="宋体" w:cs="宋体"/>
          <w:b/>
          <w:color w:val="auto"/>
          <w:szCs w:val="21"/>
          <w:lang w:eastAsia="zh-CN"/>
        </w:rPr>
        <w:t>投标人</w:t>
      </w:r>
      <w:r>
        <w:rPr>
          <w:rFonts w:hint="eastAsia" w:hAnsi="宋体" w:cs="宋体"/>
          <w:b/>
          <w:color w:val="auto"/>
          <w:szCs w:val="21"/>
        </w:rPr>
        <w:t>为法人或者其他组织的，质疑函应由法定代表人、主要负责人，或者其授权代表签字或者盖章，并加盖公章。</w:t>
      </w:r>
    </w:p>
    <w:p w14:paraId="70885161">
      <w:pPr>
        <w:keepNext w:val="0"/>
        <w:keepLines w:val="0"/>
        <w:pageBreakBefore w:val="0"/>
        <w:kinsoku/>
        <w:overflowPunct/>
        <w:bidi w:val="0"/>
        <w:spacing w:line="360" w:lineRule="auto"/>
        <w:rPr>
          <w:rFonts w:ascii="宋体" w:hAnsi="宋体" w:cs="宋体"/>
          <w:color w:val="auto"/>
          <w:sz w:val="32"/>
          <w:szCs w:val="32"/>
        </w:rPr>
      </w:pPr>
      <w:r>
        <w:rPr>
          <w:rFonts w:hint="eastAsia" w:ascii="宋体" w:hAnsi="宋体" w:cs="宋体"/>
          <w:color w:val="auto"/>
          <w:sz w:val="32"/>
          <w:szCs w:val="32"/>
        </w:rPr>
        <w:br w:type="page"/>
      </w:r>
    </w:p>
    <w:p w14:paraId="62100B6B">
      <w:pPr>
        <w:keepNext w:val="0"/>
        <w:keepLines w:val="0"/>
        <w:pageBreakBefore w:val="0"/>
        <w:kinsoku/>
        <w:overflowPunct/>
        <w:bidi w:val="0"/>
        <w:spacing w:line="360" w:lineRule="auto"/>
        <w:jc w:val="center"/>
        <w:rPr>
          <w:rFonts w:ascii="宋体" w:hAnsi="宋体" w:cs="宋体"/>
          <w:color w:val="auto"/>
          <w:sz w:val="32"/>
          <w:szCs w:val="32"/>
        </w:rPr>
      </w:pPr>
      <w:r>
        <w:rPr>
          <w:rFonts w:hint="eastAsia" w:ascii="宋体" w:hAnsi="宋体" w:cs="宋体"/>
          <w:color w:val="auto"/>
          <w:sz w:val="32"/>
          <w:szCs w:val="32"/>
        </w:rPr>
        <w:t>投诉书（格式）</w:t>
      </w:r>
    </w:p>
    <w:p w14:paraId="77E83833">
      <w:pPr>
        <w:pStyle w:val="14"/>
        <w:keepNext w:val="0"/>
        <w:keepLines w:val="0"/>
        <w:pageBreakBefore w:val="0"/>
        <w:kinsoku/>
        <w:overflowPunct/>
        <w:bidi w:val="0"/>
        <w:snapToGrid w:val="0"/>
        <w:spacing w:line="360" w:lineRule="auto"/>
        <w:ind w:firstLine="422" w:firstLineChars="200"/>
        <w:rPr>
          <w:rFonts w:hAnsi="宋体" w:cs="宋体"/>
          <w:b/>
          <w:bCs/>
          <w:color w:val="auto"/>
          <w:szCs w:val="21"/>
        </w:rPr>
      </w:pPr>
      <w:r>
        <w:rPr>
          <w:rFonts w:hint="eastAsia" w:hAnsi="宋体" w:cs="宋体"/>
          <w:b/>
          <w:bCs/>
          <w:color w:val="auto"/>
          <w:szCs w:val="21"/>
        </w:rPr>
        <w:t>一、投诉相关主体基本情况：</w:t>
      </w:r>
    </w:p>
    <w:p w14:paraId="55CC8E43">
      <w:pPr>
        <w:pStyle w:val="14"/>
        <w:keepNext w:val="0"/>
        <w:keepLines w:val="0"/>
        <w:pageBreakBefore w:val="0"/>
        <w:kinsoku/>
        <w:overflowPunct/>
        <w:bidi w:val="0"/>
        <w:snapToGrid w:val="0"/>
        <w:spacing w:line="360" w:lineRule="auto"/>
        <w:ind w:firstLine="420" w:firstLineChars="200"/>
        <w:rPr>
          <w:rFonts w:hAnsi="宋体" w:cs="宋体"/>
          <w:bCs/>
          <w:color w:val="auto"/>
          <w:szCs w:val="21"/>
          <w:u w:val="single"/>
        </w:rPr>
      </w:pPr>
      <w:r>
        <w:rPr>
          <w:rFonts w:hint="eastAsia" w:hAnsi="宋体" w:cs="宋体"/>
          <w:bCs/>
          <w:color w:val="auto"/>
          <w:szCs w:val="21"/>
          <w:lang w:eastAsia="zh-CN"/>
        </w:rPr>
        <w:t>投标人</w:t>
      </w:r>
      <w:r>
        <w:rPr>
          <w:rFonts w:hint="eastAsia" w:hAnsi="宋体" w:cs="宋体"/>
          <w:bCs/>
          <w:color w:val="auto"/>
          <w:szCs w:val="21"/>
        </w:rPr>
        <w:t>：</w:t>
      </w:r>
      <w:r>
        <w:rPr>
          <w:rFonts w:hint="eastAsia" w:hAnsi="宋体" w:cs="宋体"/>
          <w:bCs/>
          <w:color w:val="auto"/>
          <w:szCs w:val="21"/>
          <w:u w:val="single"/>
        </w:rPr>
        <w:t xml:space="preserve">                                                                 </w:t>
      </w:r>
      <w:r>
        <w:rPr>
          <w:rFonts w:hint="eastAsia" w:hAnsi="宋体" w:cs="宋体"/>
          <w:bCs/>
          <w:color w:val="auto"/>
          <w:szCs w:val="21"/>
        </w:rPr>
        <w:t xml:space="preserve">      </w:t>
      </w:r>
    </w:p>
    <w:p w14:paraId="1C8D8B21">
      <w:pPr>
        <w:pStyle w:val="14"/>
        <w:keepNext w:val="0"/>
        <w:keepLines w:val="0"/>
        <w:pageBreakBefore w:val="0"/>
        <w:kinsoku/>
        <w:overflowPunct/>
        <w:bidi w:val="0"/>
        <w:snapToGrid w:val="0"/>
        <w:spacing w:line="360" w:lineRule="auto"/>
        <w:ind w:firstLine="420" w:firstLineChars="200"/>
        <w:rPr>
          <w:rFonts w:hAnsi="宋体" w:cs="宋体"/>
          <w:bCs/>
          <w:color w:val="auto"/>
          <w:szCs w:val="21"/>
          <w:u w:val="single"/>
        </w:rPr>
      </w:pPr>
      <w:r>
        <w:rPr>
          <w:rFonts w:hint="eastAsia" w:hAnsi="宋体" w:cs="宋体"/>
          <w:bCs/>
          <w:color w:val="auto"/>
          <w:szCs w:val="21"/>
        </w:rPr>
        <w:t>地址：</w:t>
      </w:r>
      <w:r>
        <w:rPr>
          <w:rFonts w:hint="eastAsia" w:hAnsi="宋体" w:cs="宋体"/>
          <w:bCs/>
          <w:color w:val="auto"/>
          <w:szCs w:val="21"/>
          <w:u w:val="single"/>
        </w:rPr>
        <w:t xml:space="preserve">                                          </w:t>
      </w:r>
    </w:p>
    <w:p w14:paraId="73C14016">
      <w:pPr>
        <w:pStyle w:val="14"/>
        <w:keepNext w:val="0"/>
        <w:keepLines w:val="0"/>
        <w:pageBreakBefore w:val="0"/>
        <w:kinsoku/>
        <w:overflowPunct/>
        <w:bidi w:val="0"/>
        <w:snapToGrid w:val="0"/>
        <w:spacing w:line="360" w:lineRule="auto"/>
        <w:ind w:firstLine="420" w:firstLineChars="200"/>
        <w:rPr>
          <w:rFonts w:hAnsi="宋体" w:cs="宋体"/>
          <w:bCs/>
          <w:color w:val="auto"/>
          <w:szCs w:val="21"/>
          <w:u w:val="single"/>
        </w:rPr>
      </w:pPr>
      <w:r>
        <w:rPr>
          <w:rFonts w:hint="eastAsia" w:hAnsi="宋体" w:cs="宋体"/>
          <w:bCs/>
          <w:color w:val="auto"/>
          <w:szCs w:val="21"/>
        </w:rPr>
        <w:t>邮编：</w:t>
      </w:r>
      <w:r>
        <w:rPr>
          <w:rFonts w:hint="eastAsia" w:hAnsi="宋体" w:cs="宋体"/>
          <w:bCs/>
          <w:color w:val="auto"/>
          <w:szCs w:val="21"/>
          <w:u w:val="single"/>
        </w:rPr>
        <w:t xml:space="preserve">                          </w:t>
      </w:r>
      <w:r>
        <w:rPr>
          <w:rFonts w:hint="eastAsia" w:hAnsi="宋体" w:cs="宋体"/>
          <w:bCs/>
          <w:color w:val="auto"/>
          <w:szCs w:val="21"/>
        </w:rPr>
        <w:t xml:space="preserve">  法定代表人/主要负责人：</w:t>
      </w:r>
      <w:r>
        <w:rPr>
          <w:rFonts w:hint="eastAsia" w:hAnsi="宋体" w:cs="宋体"/>
          <w:bCs/>
          <w:color w:val="auto"/>
          <w:szCs w:val="21"/>
          <w:u w:val="single"/>
        </w:rPr>
        <w:t xml:space="preserve">                       </w:t>
      </w:r>
    </w:p>
    <w:p w14:paraId="6CA1475F">
      <w:pPr>
        <w:pStyle w:val="14"/>
        <w:keepNext w:val="0"/>
        <w:keepLines w:val="0"/>
        <w:pageBreakBefore w:val="0"/>
        <w:kinsoku/>
        <w:overflowPunct/>
        <w:bidi w:val="0"/>
        <w:snapToGrid w:val="0"/>
        <w:spacing w:line="360" w:lineRule="auto"/>
        <w:ind w:firstLine="420" w:firstLineChars="200"/>
        <w:rPr>
          <w:rFonts w:hAnsi="宋体" w:cs="宋体"/>
          <w:bCs/>
          <w:color w:val="auto"/>
          <w:szCs w:val="21"/>
        </w:rPr>
      </w:pPr>
      <w:r>
        <w:rPr>
          <w:rFonts w:hint="eastAsia" w:hAnsi="宋体" w:cs="宋体"/>
          <w:bCs/>
          <w:color w:val="auto"/>
          <w:szCs w:val="21"/>
        </w:rPr>
        <w:t>联系电话：</w:t>
      </w:r>
      <w:r>
        <w:rPr>
          <w:rFonts w:hint="eastAsia" w:hAnsi="宋体" w:cs="宋体"/>
          <w:bCs/>
          <w:color w:val="auto"/>
          <w:szCs w:val="21"/>
          <w:u w:val="single"/>
        </w:rPr>
        <w:t xml:space="preserve">                                         </w:t>
      </w:r>
    </w:p>
    <w:p w14:paraId="1499CEC1">
      <w:pPr>
        <w:pStyle w:val="14"/>
        <w:keepNext w:val="0"/>
        <w:keepLines w:val="0"/>
        <w:pageBreakBefore w:val="0"/>
        <w:kinsoku/>
        <w:overflowPunct/>
        <w:bidi w:val="0"/>
        <w:snapToGrid w:val="0"/>
        <w:spacing w:line="360" w:lineRule="auto"/>
        <w:ind w:firstLine="420" w:firstLineChars="200"/>
        <w:rPr>
          <w:rFonts w:hAnsi="宋体" w:cs="宋体"/>
          <w:bCs/>
          <w:color w:val="auto"/>
          <w:szCs w:val="21"/>
          <w:u w:val="single"/>
        </w:rPr>
      </w:pPr>
      <w:r>
        <w:rPr>
          <w:rFonts w:hint="eastAsia" w:hAnsi="宋体" w:cs="宋体"/>
          <w:bCs/>
          <w:color w:val="auto"/>
          <w:szCs w:val="21"/>
        </w:rPr>
        <w:t>授权代表：</w:t>
      </w:r>
      <w:r>
        <w:rPr>
          <w:rFonts w:hint="eastAsia" w:hAnsi="宋体" w:cs="宋体"/>
          <w:bCs/>
          <w:color w:val="auto"/>
          <w:szCs w:val="21"/>
          <w:u w:val="single"/>
        </w:rPr>
        <w:t xml:space="preserve">                                         </w:t>
      </w:r>
      <w:r>
        <w:rPr>
          <w:rFonts w:hint="eastAsia" w:hAnsi="宋体" w:cs="宋体"/>
          <w:bCs/>
          <w:color w:val="auto"/>
          <w:szCs w:val="21"/>
        </w:rPr>
        <w:t>联系电话：</w:t>
      </w:r>
      <w:r>
        <w:rPr>
          <w:rFonts w:hint="eastAsia" w:hAnsi="宋体" w:cs="宋体"/>
          <w:bCs/>
          <w:color w:val="auto"/>
          <w:szCs w:val="21"/>
          <w:u w:val="single"/>
        </w:rPr>
        <w:t xml:space="preserve">                   </w:t>
      </w:r>
    </w:p>
    <w:p w14:paraId="4AFDCCE8">
      <w:pPr>
        <w:pStyle w:val="14"/>
        <w:keepNext w:val="0"/>
        <w:keepLines w:val="0"/>
        <w:pageBreakBefore w:val="0"/>
        <w:kinsoku/>
        <w:overflowPunct/>
        <w:bidi w:val="0"/>
        <w:snapToGrid w:val="0"/>
        <w:spacing w:line="360" w:lineRule="auto"/>
        <w:ind w:firstLine="420" w:firstLineChars="200"/>
        <w:rPr>
          <w:rFonts w:hAnsi="宋体" w:cs="宋体"/>
          <w:bCs/>
          <w:color w:val="auto"/>
          <w:szCs w:val="21"/>
          <w:u w:val="single"/>
        </w:rPr>
      </w:pPr>
      <w:r>
        <w:rPr>
          <w:rFonts w:hint="eastAsia" w:hAnsi="宋体" w:cs="宋体"/>
          <w:bCs/>
          <w:color w:val="auto"/>
          <w:szCs w:val="21"/>
        </w:rPr>
        <w:t>地址：</w:t>
      </w:r>
      <w:r>
        <w:rPr>
          <w:rFonts w:hint="eastAsia" w:hAnsi="宋体" w:cs="宋体"/>
          <w:bCs/>
          <w:color w:val="auto"/>
          <w:szCs w:val="21"/>
          <w:u w:val="single"/>
        </w:rPr>
        <w:t xml:space="preserve">                                                            </w:t>
      </w:r>
    </w:p>
    <w:p w14:paraId="5AE76F71">
      <w:pPr>
        <w:pStyle w:val="14"/>
        <w:keepNext w:val="0"/>
        <w:keepLines w:val="0"/>
        <w:pageBreakBefore w:val="0"/>
        <w:kinsoku/>
        <w:overflowPunct/>
        <w:bidi w:val="0"/>
        <w:snapToGrid w:val="0"/>
        <w:spacing w:line="360" w:lineRule="auto"/>
        <w:ind w:firstLine="420" w:firstLineChars="200"/>
        <w:rPr>
          <w:rFonts w:hAnsi="宋体" w:cs="宋体"/>
          <w:bCs/>
          <w:color w:val="auto"/>
          <w:szCs w:val="21"/>
        </w:rPr>
      </w:pPr>
      <w:r>
        <w:rPr>
          <w:rFonts w:hint="eastAsia" w:hAnsi="宋体" w:cs="宋体"/>
          <w:bCs/>
          <w:color w:val="auto"/>
          <w:szCs w:val="21"/>
        </w:rPr>
        <w:t>邮编：</w:t>
      </w:r>
      <w:r>
        <w:rPr>
          <w:rFonts w:hint="eastAsia" w:hAnsi="宋体" w:cs="宋体"/>
          <w:bCs/>
          <w:color w:val="auto"/>
          <w:szCs w:val="21"/>
          <w:u w:val="single"/>
        </w:rPr>
        <w:t xml:space="preserve">         </w:t>
      </w:r>
      <w:r>
        <w:rPr>
          <w:rFonts w:hint="eastAsia" w:hAnsi="宋体" w:cs="宋体"/>
          <w:bCs/>
          <w:color w:val="auto"/>
          <w:szCs w:val="21"/>
        </w:rPr>
        <w:t xml:space="preserve">   </w:t>
      </w:r>
    </w:p>
    <w:p w14:paraId="55D2262D">
      <w:pPr>
        <w:pStyle w:val="14"/>
        <w:keepNext w:val="0"/>
        <w:keepLines w:val="0"/>
        <w:pageBreakBefore w:val="0"/>
        <w:kinsoku/>
        <w:overflowPunct/>
        <w:bidi w:val="0"/>
        <w:snapToGrid w:val="0"/>
        <w:spacing w:line="360" w:lineRule="auto"/>
        <w:ind w:firstLine="420" w:firstLineChars="200"/>
        <w:rPr>
          <w:rFonts w:hAnsi="宋体" w:cs="宋体"/>
          <w:bCs/>
          <w:color w:val="auto"/>
          <w:szCs w:val="21"/>
        </w:rPr>
      </w:pPr>
      <w:r>
        <w:rPr>
          <w:rFonts w:hint="eastAsia" w:hAnsi="宋体" w:cs="宋体"/>
          <w:bCs/>
          <w:color w:val="auto"/>
          <w:szCs w:val="21"/>
        </w:rPr>
        <w:t>被投诉人1：</w:t>
      </w:r>
    </w:p>
    <w:p w14:paraId="3D21C7CE">
      <w:pPr>
        <w:pStyle w:val="14"/>
        <w:keepNext w:val="0"/>
        <w:keepLines w:val="0"/>
        <w:pageBreakBefore w:val="0"/>
        <w:kinsoku/>
        <w:overflowPunct/>
        <w:bidi w:val="0"/>
        <w:snapToGrid w:val="0"/>
        <w:spacing w:line="360" w:lineRule="auto"/>
        <w:ind w:firstLine="420" w:firstLineChars="200"/>
        <w:rPr>
          <w:rFonts w:hAnsi="宋体" w:cs="宋体"/>
          <w:bCs/>
          <w:color w:val="auto"/>
          <w:szCs w:val="21"/>
          <w:u w:val="single"/>
        </w:rPr>
      </w:pPr>
      <w:r>
        <w:rPr>
          <w:rFonts w:hint="eastAsia" w:hAnsi="宋体" w:cs="宋体"/>
          <w:bCs/>
          <w:color w:val="auto"/>
          <w:szCs w:val="21"/>
        </w:rPr>
        <w:t>地址：</w:t>
      </w:r>
      <w:r>
        <w:rPr>
          <w:rFonts w:hint="eastAsia" w:hAnsi="宋体" w:cs="宋体"/>
          <w:bCs/>
          <w:color w:val="auto"/>
          <w:szCs w:val="21"/>
          <w:u w:val="single"/>
        </w:rPr>
        <w:t xml:space="preserve">                                                            </w:t>
      </w:r>
    </w:p>
    <w:p w14:paraId="40B37879">
      <w:pPr>
        <w:pStyle w:val="14"/>
        <w:keepNext w:val="0"/>
        <w:keepLines w:val="0"/>
        <w:pageBreakBefore w:val="0"/>
        <w:kinsoku/>
        <w:overflowPunct/>
        <w:bidi w:val="0"/>
        <w:snapToGrid w:val="0"/>
        <w:spacing w:line="360" w:lineRule="auto"/>
        <w:ind w:firstLine="420" w:firstLineChars="200"/>
        <w:rPr>
          <w:rFonts w:hAnsi="宋体" w:cs="宋体"/>
          <w:bCs/>
          <w:color w:val="auto"/>
          <w:szCs w:val="21"/>
        </w:rPr>
      </w:pPr>
      <w:r>
        <w:rPr>
          <w:rFonts w:hint="eastAsia" w:hAnsi="宋体" w:cs="宋体"/>
          <w:bCs/>
          <w:color w:val="auto"/>
          <w:szCs w:val="21"/>
        </w:rPr>
        <w:t>邮编：</w:t>
      </w:r>
      <w:r>
        <w:rPr>
          <w:rFonts w:hint="eastAsia" w:hAnsi="宋体" w:cs="宋体"/>
          <w:bCs/>
          <w:color w:val="auto"/>
          <w:szCs w:val="21"/>
          <w:u w:val="single"/>
        </w:rPr>
        <w:t xml:space="preserve">         </w:t>
      </w:r>
      <w:r>
        <w:rPr>
          <w:rFonts w:hint="eastAsia" w:hAnsi="宋体" w:cs="宋体"/>
          <w:bCs/>
          <w:color w:val="auto"/>
          <w:szCs w:val="21"/>
        </w:rPr>
        <w:t xml:space="preserve">  </w:t>
      </w:r>
    </w:p>
    <w:p w14:paraId="205FCF34">
      <w:pPr>
        <w:pStyle w:val="14"/>
        <w:keepNext w:val="0"/>
        <w:keepLines w:val="0"/>
        <w:pageBreakBefore w:val="0"/>
        <w:kinsoku/>
        <w:overflowPunct/>
        <w:bidi w:val="0"/>
        <w:snapToGrid w:val="0"/>
        <w:spacing w:line="360" w:lineRule="auto"/>
        <w:ind w:firstLine="420" w:firstLineChars="200"/>
        <w:rPr>
          <w:rFonts w:hAnsi="宋体" w:cs="宋体"/>
          <w:bCs/>
          <w:color w:val="auto"/>
          <w:szCs w:val="21"/>
          <w:u w:val="single"/>
        </w:rPr>
      </w:pPr>
      <w:r>
        <w:rPr>
          <w:rFonts w:hint="eastAsia" w:hAnsi="宋体" w:cs="宋体"/>
          <w:bCs/>
          <w:color w:val="auto"/>
          <w:szCs w:val="21"/>
        </w:rPr>
        <w:t>联系人：</w:t>
      </w:r>
      <w:r>
        <w:rPr>
          <w:rFonts w:hint="eastAsia" w:hAnsi="宋体" w:cs="宋体"/>
          <w:bCs/>
          <w:color w:val="auto"/>
          <w:szCs w:val="21"/>
          <w:u w:val="single"/>
        </w:rPr>
        <w:t xml:space="preserve">                                                </w:t>
      </w:r>
      <w:r>
        <w:rPr>
          <w:rFonts w:hint="eastAsia" w:hAnsi="宋体" w:cs="宋体"/>
          <w:bCs/>
          <w:color w:val="auto"/>
          <w:szCs w:val="21"/>
        </w:rPr>
        <w:t>联系电话：</w:t>
      </w:r>
      <w:r>
        <w:rPr>
          <w:rFonts w:hint="eastAsia" w:hAnsi="宋体" w:cs="宋体"/>
          <w:bCs/>
          <w:color w:val="auto"/>
          <w:szCs w:val="21"/>
          <w:u w:val="single"/>
        </w:rPr>
        <w:t xml:space="preserve">                </w:t>
      </w:r>
    </w:p>
    <w:p w14:paraId="0DF5FF34">
      <w:pPr>
        <w:pStyle w:val="14"/>
        <w:keepNext w:val="0"/>
        <w:keepLines w:val="0"/>
        <w:pageBreakBefore w:val="0"/>
        <w:kinsoku/>
        <w:overflowPunct/>
        <w:bidi w:val="0"/>
        <w:snapToGrid w:val="0"/>
        <w:spacing w:line="360" w:lineRule="auto"/>
        <w:ind w:firstLine="420" w:firstLineChars="200"/>
        <w:rPr>
          <w:rFonts w:hAnsi="宋体" w:cs="宋体"/>
          <w:bCs/>
          <w:color w:val="auto"/>
          <w:szCs w:val="21"/>
        </w:rPr>
      </w:pPr>
      <w:r>
        <w:rPr>
          <w:rFonts w:hint="eastAsia" w:hAnsi="宋体" w:cs="宋体"/>
          <w:bCs/>
          <w:color w:val="auto"/>
          <w:szCs w:val="21"/>
        </w:rPr>
        <w:t>被投诉人2：</w:t>
      </w:r>
    </w:p>
    <w:p w14:paraId="79B63C8A">
      <w:pPr>
        <w:pStyle w:val="14"/>
        <w:keepNext w:val="0"/>
        <w:keepLines w:val="0"/>
        <w:pageBreakBefore w:val="0"/>
        <w:kinsoku/>
        <w:overflowPunct/>
        <w:bidi w:val="0"/>
        <w:snapToGrid w:val="0"/>
        <w:spacing w:line="360" w:lineRule="auto"/>
        <w:ind w:firstLine="420" w:firstLineChars="200"/>
        <w:rPr>
          <w:rFonts w:hAnsi="宋体" w:cs="宋体"/>
          <w:bCs/>
          <w:color w:val="auto"/>
          <w:szCs w:val="21"/>
        </w:rPr>
      </w:pPr>
      <w:r>
        <w:rPr>
          <w:rFonts w:hint="eastAsia" w:hAnsi="宋体" w:cs="宋体"/>
          <w:bCs/>
          <w:color w:val="auto"/>
          <w:szCs w:val="21"/>
        </w:rPr>
        <w:t>……</w:t>
      </w:r>
    </w:p>
    <w:p w14:paraId="1DB7C81D">
      <w:pPr>
        <w:pStyle w:val="14"/>
        <w:keepNext w:val="0"/>
        <w:keepLines w:val="0"/>
        <w:pageBreakBefore w:val="0"/>
        <w:kinsoku/>
        <w:overflowPunct/>
        <w:bidi w:val="0"/>
        <w:snapToGrid w:val="0"/>
        <w:spacing w:line="360" w:lineRule="auto"/>
        <w:ind w:firstLine="420" w:firstLineChars="200"/>
        <w:rPr>
          <w:rFonts w:hAnsi="宋体" w:cs="宋体"/>
          <w:bCs/>
          <w:color w:val="auto"/>
          <w:szCs w:val="21"/>
          <w:u w:val="single"/>
        </w:rPr>
      </w:pPr>
      <w:r>
        <w:rPr>
          <w:rFonts w:hint="eastAsia" w:hAnsi="宋体" w:cs="宋体"/>
          <w:bCs/>
          <w:color w:val="auto"/>
          <w:szCs w:val="21"/>
        </w:rPr>
        <w:t>相关</w:t>
      </w:r>
      <w:r>
        <w:rPr>
          <w:rFonts w:hint="eastAsia" w:hAnsi="宋体" w:cs="宋体"/>
          <w:bCs/>
          <w:color w:val="auto"/>
          <w:szCs w:val="21"/>
          <w:lang w:eastAsia="zh-CN"/>
        </w:rPr>
        <w:t>投标人</w:t>
      </w:r>
      <w:r>
        <w:rPr>
          <w:rFonts w:hint="eastAsia" w:hAnsi="宋体" w:cs="宋体"/>
          <w:bCs/>
          <w:color w:val="auto"/>
          <w:szCs w:val="21"/>
        </w:rPr>
        <w:t>：</w:t>
      </w:r>
      <w:r>
        <w:rPr>
          <w:rFonts w:hint="eastAsia" w:hAnsi="宋体" w:cs="宋体"/>
          <w:bCs/>
          <w:color w:val="auto"/>
          <w:szCs w:val="21"/>
          <w:u w:val="single"/>
        </w:rPr>
        <w:t xml:space="preserve">                                                                       </w:t>
      </w:r>
    </w:p>
    <w:p w14:paraId="03707BB7">
      <w:pPr>
        <w:pStyle w:val="14"/>
        <w:keepNext w:val="0"/>
        <w:keepLines w:val="0"/>
        <w:pageBreakBefore w:val="0"/>
        <w:kinsoku/>
        <w:overflowPunct/>
        <w:bidi w:val="0"/>
        <w:snapToGrid w:val="0"/>
        <w:spacing w:line="360" w:lineRule="auto"/>
        <w:ind w:firstLine="420" w:firstLineChars="200"/>
        <w:rPr>
          <w:rFonts w:hAnsi="宋体" w:cs="宋体"/>
          <w:bCs/>
          <w:color w:val="auto"/>
          <w:szCs w:val="21"/>
          <w:u w:val="single"/>
        </w:rPr>
      </w:pPr>
      <w:r>
        <w:rPr>
          <w:rFonts w:hint="eastAsia" w:hAnsi="宋体" w:cs="宋体"/>
          <w:bCs/>
          <w:color w:val="auto"/>
          <w:szCs w:val="21"/>
        </w:rPr>
        <w:t>地址：</w:t>
      </w:r>
      <w:r>
        <w:rPr>
          <w:rFonts w:hint="eastAsia" w:hAnsi="宋体" w:cs="宋体"/>
          <w:bCs/>
          <w:color w:val="auto"/>
          <w:szCs w:val="21"/>
          <w:u w:val="single"/>
        </w:rPr>
        <w:t xml:space="preserve">                                              </w:t>
      </w:r>
      <w:r>
        <w:rPr>
          <w:rFonts w:hint="eastAsia" w:hAnsi="宋体" w:cs="宋体"/>
          <w:bCs/>
          <w:color w:val="auto"/>
          <w:szCs w:val="21"/>
        </w:rPr>
        <w:t>邮编：</w:t>
      </w:r>
      <w:r>
        <w:rPr>
          <w:rFonts w:hint="eastAsia" w:hAnsi="宋体" w:cs="宋体"/>
          <w:bCs/>
          <w:color w:val="auto"/>
          <w:szCs w:val="21"/>
          <w:u w:val="single"/>
        </w:rPr>
        <w:t xml:space="preserve">                         </w:t>
      </w:r>
    </w:p>
    <w:p w14:paraId="1C9ACE0C">
      <w:pPr>
        <w:pStyle w:val="14"/>
        <w:keepNext w:val="0"/>
        <w:keepLines w:val="0"/>
        <w:pageBreakBefore w:val="0"/>
        <w:kinsoku/>
        <w:overflowPunct/>
        <w:bidi w:val="0"/>
        <w:snapToGrid w:val="0"/>
        <w:spacing w:line="360" w:lineRule="auto"/>
        <w:ind w:firstLine="420" w:firstLineChars="200"/>
        <w:rPr>
          <w:rFonts w:hAnsi="宋体" w:cs="宋体"/>
          <w:bCs/>
          <w:color w:val="auto"/>
          <w:szCs w:val="21"/>
        </w:rPr>
      </w:pPr>
      <w:r>
        <w:rPr>
          <w:rFonts w:hint="eastAsia" w:hAnsi="宋体" w:cs="宋体"/>
          <w:bCs/>
          <w:color w:val="auto"/>
          <w:szCs w:val="21"/>
        </w:rPr>
        <w:t>联系人：</w:t>
      </w:r>
      <w:r>
        <w:rPr>
          <w:rFonts w:hint="eastAsia" w:hAnsi="宋体" w:cs="宋体"/>
          <w:bCs/>
          <w:color w:val="auto"/>
          <w:szCs w:val="21"/>
          <w:u w:val="single"/>
        </w:rPr>
        <w:t xml:space="preserve">                                            </w:t>
      </w:r>
      <w:r>
        <w:rPr>
          <w:rFonts w:hint="eastAsia" w:hAnsi="宋体" w:cs="宋体"/>
          <w:bCs/>
          <w:color w:val="auto"/>
          <w:szCs w:val="21"/>
        </w:rPr>
        <w:t>联系电话：</w:t>
      </w:r>
      <w:r>
        <w:rPr>
          <w:rFonts w:hint="eastAsia" w:hAnsi="宋体" w:cs="宋体"/>
          <w:bCs/>
          <w:color w:val="auto"/>
          <w:szCs w:val="21"/>
          <w:u w:val="single"/>
        </w:rPr>
        <w:t xml:space="preserve">                    </w:t>
      </w:r>
    </w:p>
    <w:p w14:paraId="25C98048">
      <w:pPr>
        <w:pStyle w:val="14"/>
        <w:keepNext w:val="0"/>
        <w:keepLines w:val="0"/>
        <w:pageBreakBefore w:val="0"/>
        <w:kinsoku/>
        <w:overflowPunct/>
        <w:bidi w:val="0"/>
        <w:snapToGrid w:val="0"/>
        <w:spacing w:line="360" w:lineRule="auto"/>
        <w:ind w:firstLine="422" w:firstLineChars="200"/>
        <w:rPr>
          <w:rFonts w:hAnsi="宋体" w:cs="宋体"/>
          <w:b/>
          <w:bCs/>
          <w:color w:val="auto"/>
          <w:szCs w:val="21"/>
        </w:rPr>
      </w:pPr>
      <w:r>
        <w:rPr>
          <w:rFonts w:hint="eastAsia" w:hAnsi="宋体" w:cs="宋体"/>
          <w:b/>
          <w:bCs/>
          <w:color w:val="auto"/>
          <w:szCs w:val="21"/>
        </w:rPr>
        <w:t>二、投诉项目基本情况：</w:t>
      </w:r>
    </w:p>
    <w:p w14:paraId="449925F6">
      <w:pPr>
        <w:pStyle w:val="14"/>
        <w:keepNext w:val="0"/>
        <w:keepLines w:val="0"/>
        <w:pageBreakBefore w:val="0"/>
        <w:kinsoku/>
        <w:overflowPunct/>
        <w:bidi w:val="0"/>
        <w:spacing w:line="360" w:lineRule="auto"/>
        <w:ind w:left="25" w:leftChars="12" w:firstLine="413" w:firstLineChars="197"/>
        <w:rPr>
          <w:rFonts w:hAnsi="宋体" w:cs="宋体"/>
          <w:color w:val="auto"/>
          <w:szCs w:val="21"/>
        </w:rPr>
      </w:pPr>
      <w:r>
        <w:rPr>
          <w:rFonts w:hint="eastAsia" w:hAnsi="宋体" w:cs="宋体"/>
          <w:bCs/>
          <w:color w:val="auto"/>
          <w:szCs w:val="21"/>
        </w:rPr>
        <w:t>采购</w:t>
      </w:r>
      <w:r>
        <w:rPr>
          <w:rFonts w:hint="eastAsia" w:hAnsi="宋体" w:cs="宋体"/>
          <w:color w:val="auto"/>
          <w:szCs w:val="21"/>
        </w:rPr>
        <w:t>项目的名称：</w:t>
      </w:r>
      <w:r>
        <w:rPr>
          <w:rFonts w:hint="eastAsia" w:hAnsi="宋体" w:cs="宋体"/>
          <w:bCs/>
          <w:color w:val="auto"/>
          <w:szCs w:val="21"/>
          <w:u w:val="single"/>
        </w:rPr>
        <w:t xml:space="preserve">                                                                   </w:t>
      </w:r>
    </w:p>
    <w:p w14:paraId="6EA7F1A4">
      <w:pPr>
        <w:pStyle w:val="14"/>
        <w:keepNext w:val="0"/>
        <w:keepLines w:val="0"/>
        <w:pageBreakBefore w:val="0"/>
        <w:kinsoku/>
        <w:overflowPunct/>
        <w:bidi w:val="0"/>
        <w:spacing w:line="360" w:lineRule="auto"/>
        <w:ind w:left="25" w:leftChars="12" w:firstLine="413" w:firstLineChars="197"/>
        <w:rPr>
          <w:rFonts w:hAnsi="宋体" w:cs="宋体"/>
          <w:color w:val="auto"/>
          <w:szCs w:val="21"/>
        </w:rPr>
      </w:pPr>
      <w:r>
        <w:rPr>
          <w:rFonts w:hint="eastAsia" w:hAnsi="宋体" w:cs="宋体"/>
          <w:bCs/>
          <w:color w:val="auto"/>
          <w:szCs w:val="21"/>
        </w:rPr>
        <w:t>采购</w:t>
      </w:r>
      <w:r>
        <w:rPr>
          <w:rFonts w:hint="eastAsia" w:hAnsi="宋体" w:cs="宋体"/>
          <w:color w:val="auto"/>
          <w:szCs w:val="21"/>
        </w:rPr>
        <w:t>项目的编号：</w:t>
      </w:r>
      <w:r>
        <w:rPr>
          <w:rFonts w:hint="eastAsia" w:hAnsi="宋体" w:cs="宋体"/>
          <w:bCs/>
          <w:color w:val="auto"/>
          <w:szCs w:val="21"/>
          <w:u w:val="single"/>
        </w:rPr>
        <w:t xml:space="preserve">                                          </w:t>
      </w:r>
    </w:p>
    <w:p w14:paraId="3B42969D">
      <w:pPr>
        <w:pStyle w:val="14"/>
        <w:keepNext w:val="0"/>
        <w:keepLines w:val="0"/>
        <w:pageBreakBefore w:val="0"/>
        <w:kinsoku/>
        <w:overflowPunct/>
        <w:bidi w:val="0"/>
        <w:spacing w:line="360" w:lineRule="auto"/>
        <w:ind w:left="25" w:leftChars="12" w:firstLine="413" w:firstLineChars="197"/>
        <w:rPr>
          <w:rFonts w:hAnsi="宋体" w:cs="宋体"/>
          <w:bCs/>
          <w:color w:val="auto"/>
          <w:szCs w:val="21"/>
          <w:u w:val="single"/>
        </w:rPr>
      </w:pPr>
      <w:r>
        <w:rPr>
          <w:rFonts w:hint="eastAsia" w:hAnsi="宋体" w:cs="宋体"/>
          <w:color w:val="auto"/>
          <w:szCs w:val="21"/>
        </w:rPr>
        <w:t>采购人名称：</w:t>
      </w:r>
      <w:r>
        <w:rPr>
          <w:rFonts w:hint="eastAsia" w:hAnsi="宋体" w:cs="宋体"/>
          <w:bCs/>
          <w:color w:val="auto"/>
          <w:szCs w:val="21"/>
          <w:u w:val="single"/>
        </w:rPr>
        <w:t xml:space="preserve">                                                                        </w:t>
      </w:r>
    </w:p>
    <w:p w14:paraId="41812AB0">
      <w:pPr>
        <w:pStyle w:val="14"/>
        <w:keepNext w:val="0"/>
        <w:keepLines w:val="0"/>
        <w:pageBreakBefore w:val="0"/>
        <w:kinsoku/>
        <w:overflowPunct/>
        <w:bidi w:val="0"/>
        <w:spacing w:line="360" w:lineRule="auto"/>
        <w:ind w:left="25" w:leftChars="12" w:firstLine="413" w:firstLineChars="197"/>
        <w:rPr>
          <w:rFonts w:hAnsi="宋体" w:cs="宋体"/>
          <w:bCs/>
          <w:color w:val="auto"/>
          <w:szCs w:val="21"/>
          <w:u w:val="single"/>
        </w:rPr>
      </w:pPr>
      <w:r>
        <w:rPr>
          <w:rFonts w:hint="eastAsia" w:hAnsi="宋体" w:cs="宋体"/>
          <w:color w:val="auto"/>
          <w:szCs w:val="21"/>
        </w:rPr>
        <w:t>代理机构名称：</w:t>
      </w:r>
      <w:r>
        <w:rPr>
          <w:rFonts w:hint="eastAsia" w:hAnsi="宋体" w:cs="宋体"/>
          <w:bCs/>
          <w:color w:val="auto"/>
          <w:szCs w:val="21"/>
          <w:u w:val="single"/>
        </w:rPr>
        <w:t xml:space="preserve">                                                                      </w:t>
      </w:r>
    </w:p>
    <w:p w14:paraId="33830ED4">
      <w:pPr>
        <w:pStyle w:val="14"/>
        <w:keepNext w:val="0"/>
        <w:keepLines w:val="0"/>
        <w:pageBreakBefore w:val="0"/>
        <w:kinsoku/>
        <w:overflowPunct/>
        <w:bidi w:val="0"/>
        <w:spacing w:line="360" w:lineRule="auto"/>
        <w:ind w:left="25" w:leftChars="12" w:firstLine="413" w:firstLineChars="197"/>
        <w:rPr>
          <w:rFonts w:hAnsi="宋体" w:cs="宋体"/>
          <w:bCs/>
          <w:color w:val="auto"/>
          <w:szCs w:val="21"/>
          <w:u w:val="single"/>
        </w:rPr>
      </w:pPr>
      <w:r>
        <w:rPr>
          <w:rFonts w:hint="eastAsia" w:hAnsi="宋体" w:cs="宋体"/>
          <w:bCs/>
          <w:color w:val="auto"/>
          <w:szCs w:val="21"/>
        </w:rPr>
        <w:t>采购文件公告：</w:t>
      </w:r>
      <w:r>
        <w:rPr>
          <w:rFonts w:hint="eastAsia" w:hAnsi="宋体" w:cs="宋体"/>
          <w:bCs/>
          <w:color w:val="auto"/>
          <w:szCs w:val="21"/>
          <w:u w:val="single"/>
        </w:rPr>
        <w:t>是/否</w:t>
      </w:r>
      <w:r>
        <w:rPr>
          <w:rFonts w:hint="eastAsia" w:hAnsi="宋体" w:cs="宋体"/>
          <w:bCs/>
          <w:color w:val="auto"/>
          <w:szCs w:val="21"/>
        </w:rPr>
        <w:t>公告期限：</w:t>
      </w:r>
      <w:r>
        <w:rPr>
          <w:rFonts w:hint="eastAsia" w:hAnsi="宋体" w:cs="宋体"/>
          <w:bCs/>
          <w:color w:val="auto"/>
          <w:szCs w:val="21"/>
          <w:u w:val="single"/>
        </w:rPr>
        <w:t xml:space="preserve">                                                       </w:t>
      </w:r>
    </w:p>
    <w:p w14:paraId="788B76FA">
      <w:pPr>
        <w:pStyle w:val="14"/>
        <w:keepNext w:val="0"/>
        <w:keepLines w:val="0"/>
        <w:pageBreakBefore w:val="0"/>
        <w:kinsoku/>
        <w:overflowPunct/>
        <w:bidi w:val="0"/>
        <w:spacing w:line="360" w:lineRule="auto"/>
        <w:ind w:left="25" w:leftChars="12" w:firstLine="413" w:firstLineChars="197"/>
        <w:rPr>
          <w:rFonts w:hAnsi="宋体" w:cs="宋体"/>
          <w:b/>
          <w:color w:val="auto"/>
          <w:szCs w:val="21"/>
        </w:rPr>
      </w:pPr>
      <w:r>
        <w:rPr>
          <w:rFonts w:hint="eastAsia" w:hAnsi="宋体" w:cs="宋体"/>
          <w:bCs/>
          <w:color w:val="auto"/>
          <w:szCs w:val="21"/>
        </w:rPr>
        <w:t>采购结果公告：</w:t>
      </w:r>
      <w:r>
        <w:rPr>
          <w:rFonts w:hint="eastAsia" w:hAnsi="宋体" w:cs="宋体"/>
          <w:bCs/>
          <w:color w:val="auto"/>
          <w:szCs w:val="21"/>
          <w:u w:val="single"/>
        </w:rPr>
        <w:t>是/否</w:t>
      </w:r>
      <w:r>
        <w:rPr>
          <w:rFonts w:hint="eastAsia" w:hAnsi="宋体" w:cs="宋体"/>
          <w:bCs/>
          <w:color w:val="auto"/>
          <w:szCs w:val="21"/>
        </w:rPr>
        <w:t>公告期限：</w:t>
      </w:r>
      <w:r>
        <w:rPr>
          <w:rFonts w:hint="eastAsia" w:hAnsi="宋体" w:cs="宋体"/>
          <w:bCs/>
          <w:color w:val="auto"/>
          <w:szCs w:val="21"/>
          <w:u w:val="single"/>
        </w:rPr>
        <w:t xml:space="preserve">                                                       </w:t>
      </w:r>
    </w:p>
    <w:p w14:paraId="58EACD2A">
      <w:pPr>
        <w:pStyle w:val="14"/>
        <w:keepNext w:val="0"/>
        <w:keepLines w:val="0"/>
        <w:pageBreakBefore w:val="0"/>
        <w:kinsoku/>
        <w:overflowPunct/>
        <w:bidi w:val="0"/>
        <w:spacing w:line="360" w:lineRule="auto"/>
        <w:ind w:left="25" w:leftChars="12" w:firstLine="413" w:firstLineChars="196"/>
        <w:rPr>
          <w:rFonts w:hAnsi="宋体" w:cs="宋体"/>
          <w:b/>
          <w:color w:val="auto"/>
          <w:szCs w:val="21"/>
        </w:rPr>
      </w:pPr>
      <w:r>
        <w:rPr>
          <w:rFonts w:hint="eastAsia" w:hAnsi="宋体" w:cs="宋体"/>
          <w:b/>
          <w:color w:val="auto"/>
          <w:szCs w:val="21"/>
        </w:rPr>
        <w:t>三、质疑基本情况</w:t>
      </w:r>
    </w:p>
    <w:p w14:paraId="2C6D849E">
      <w:pPr>
        <w:pStyle w:val="14"/>
        <w:keepNext w:val="0"/>
        <w:keepLines w:val="0"/>
        <w:pageBreakBefore w:val="0"/>
        <w:kinsoku/>
        <w:overflowPunct/>
        <w:bidi w:val="0"/>
        <w:spacing w:line="360" w:lineRule="auto"/>
        <w:ind w:firstLine="420" w:firstLineChars="200"/>
        <w:rPr>
          <w:rFonts w:hAnsi="宋体" w:cs="宋体"/>
          <w:color w:val="auto"/>
          <w:szCs w:val="21"/>
        </w:rPr>
      </w:pPr>
      <w:r>
        <w:rPr>
          <w:rFonts w:hint="eastAsia" w:hAnsi="宋体" w:cs="宋体"/>
          <w:color w:val="auto"/>
          <w:szCs w:val="21"/>
        </w:rPr>
        <w:t>投诉人于</w:t>
      </w:r>
      <w:r>
        <w:rPr>
          <w:rFonts w:hint="eastAsia" w:hAnsi="宋体" w:cs="宋体"/>
          <w:color w:val="auto"/>
          <w:szCs w:val="21"/>
          <w:u w:val="single"/>
        </w:rPr>
        <w:t xml:space="preserve">      </w:t>
      </w:r>
      <w:r>
        <w:rPr>
          <w:rFonts w:hint="eastAsia" w:hAnsi="宋体" w:cs="宋体"/>
          <w:color w:val="auto"/>
          <w:szCs w:val="21"/>
        </w:rPr>
        <w:t>年</w:t>
      </w:r>
      <w:r>
        <w:rPr>
          <w:rFonts w:hint="eastAsia" w:hAnsi="宋体" w:cs="宋体"/>
          <w:color w:val="auto"/>
          <w:szCs w:val="21"/>
          <w:u w:val="single"/>
        </w:rPr>
        <w:t xml:space="preserve">   </w:t>
      </w:r>
      <w:r>
        <w:rPr>
          <w:rFonts w:hint="eastAsia" w:hAnsi="宋体" w:cs="宋体"/>
          <w:color w:val="auto"/>
          <w:szCs w:val="21"/>
        </w:rPr>
        <w:t>月</w:t>
      </w:r>
      <w:r>
        <w:rPr>
          <w:rFonts w:hint="eastAsia" w:hAnsi="宋体" w:cs="宋体"/>
          <w:color w:val="auto"/>
          <w:szCs w:val="21"/>
          <w:u w:val="single"/>
        </w:rPr>
        <w:t xml:space="preserve">   </w:t>
      </w:r>
      <w:r>
        <w:rPr>
          <w:rFonts w:hint="eastAsia" w:hAnsi="宋体" w:cs="宋体"/>
          <w:color w:val="auto"/>
          <w:szCs w:val="21"/>
        </w:rPr>
        <w:t>日，向</w:t>
      </w:r>
      <w:r>
        <w:rPr>
          <w:rFonts w:hint="eastAsia" w:hAnsi="宋体" w:cs="宋体"/>
          <w:color w:val="auto"/>
          <w:szCs w:val="21"/>
          <w:u w:val="single"/>
        </w:rPr>
        <w:t xml:space="preserve">                                </w:t>
      </w:r>
      <w:r>
        <w:rPr>
          <w:rFonts w:hint="eastAsia" w:hAnsi="宋体" w:cs="宋体"/>
          <w:color w:val="auto"/>
          <w:szCs w:val="21"/>
        </w:rPr>
        <w:t>提出质疑，质疑事项为：</w:t>
      </w:r>
    </w:p>
    <w:p w14:paraId="0E4ED838">
      <w:pPr>
        <w:pStyle w:val="14"/>
        <w:keepNext w:val="0"/>
        <w:keepLines w:val="0"/>
        <w:pageBreakBefore w:val="0"/>
        <w:kinsoku/>
        <w:overflowPunct/>
        <w:bidi w:val="0"/>
        <w:spacing w:line="360" w:lineRule="auto"/>
        <w:ind w:firstLine="241"/>
        <w:rPr>
          <w:rFonts w:hAnsi="宋体" w:cs="宋体"/>
          <w:bCs/>
          <w:color w:val="auto"/>
          <w:szCs w:val="21"/>
          <w:u w:val="single"/>
        </w:rPr>
      </w:pPr>
      <w:r>
        <w:rPr>
          <w:rFonts w:hint="eastAsia" w:hAnsi="宋体" w:cs="宋体"/>
          <w:color w:val="auto"/>
          <w:szCs w:val="21"/>
        </w:rPr>
        <w:t xml:space="preserve">    </w:t>
      </w:r>
      <w:r>
        <w:rPr>
          <w:rFonts w:hint="eastAsia" w:hAnsi="宋体" w:cs="宋体"/>
          <w:bCs/>
          <w:color w:val="auto"/>
          <w:szCs w:val="21"/>
          <w:u w:val="single"/>
        </w:rPr>
        <w:t xml:space="preserve">                                                                                </w:t>
      </w:r>
    </w:p>
    <w:p w14:paraId="3EE8678C">
      <w:pPr>
        <w:pStyle w:val="14"/>
        <w:keepNext w:val="0"/>
        <w:keepLines w:val="0"/>
        <w:pageBreakBefore w:val="0"/>
        <w:kinsoku/>
        <w:overflowPunct/>
        <w:bidi w:val="0"/>
        <w:spacing w:line="360" w:lineRule="auto"/>
        <w:ind w:firstLine="241"/>
        <w:rPr>
          <w:rFonts w:hAnsi="宋体" w:cs="宋体"/>
          <w:bCs/>
          <w:color w:val="auto"/>
          <w:szCs w:val="21"/>
          <w:u w:val="single"/>
        </w:rPr>
      </w:pPr>
      <w:r>
        <w:rPr>
          <w:rFonts w:hint="eastAsia" w:hAnsi="宋体" w:cs="宋体"/>
          <w:bCs/>
          <w:color w:val="auto"/>
          <w:szCs w:val="21"/>
        </w:rPr>
        <w:t xml:space="preserve">    </w:t>
      </w:r>
      <w:r>
        <w:rPr>
          <w:rFonts w:hint="eastAsia" w:hAnsi="宋体" w:cs="宋体"/>
          <w:bCs/>
          <w:color w:val="auto"/>
          <w:szCs w:val="21"/>
          <w:u w:val="single"/>
        </w:rPr>
        <w:t xml:space="preserve">                                                                                </w:t>
      </w:r>
    </w:p>
    <w:p w14:paraId="5849BF38">
      <w:pPr>
        <w:pStyle w:val="14"/>
        <w:keepNext w:val="0"/>
        <w:keepLines w:val="0"/>
        <w:pageBreakBefore w:val="0"/>
        <w:kinsoku/>
        <w:overflowPunct/>
        <w:bidi w:val="0"/>
        <w:spacing w:line="360" w:lineRule="auto"/>
        <w:ind w:firstLine="420" w:firstLineChars="200"/>
        <w:rPr>
          <w:rFonts w:hAnsi="宋体" w:cs="宋体"/>
          <w:color w:val="auto"/>
          <w:szCs w:val="21"/>
        </w:rPr>
      </w:pPr>
      <w:r>
        <w:rPr>
          <w:rFonts w:hint="eastAsia" w:hAnsi="宋体" w:cs="宋体"/>
          <w:bCs/>
          <w:color w:val="auto"/>
          <w:szCs w:val="21"/>
          <w:u w:val="single"/>
        </w:rPr>
        <w:t>采购人/代理机构</w:t>
      </w:r>
      <w:r>
        <w:rPr>
          <w:rFonts w:hint="eastAsia" w:hAnsi="宋体" w:cs="宋体"/>
          <w:bCs/>
          <w:color w:val="auto"/>
          <w:szCs w:val="21"/>
        </w:rPr>
        <w:t>于</w:t>
      </w:r>
      <w:r>
        <w:rPr>
          <w:rFonts w:hint="eastAsia" w:hAnsi="宋体" w:cs="宋体"/>
          <w:color w:val="auto"/>
          <w:szCs w:val="21"/>
          <w:u w:val="single"/>
        </w:rPr>
        <w:t xml:space="preserve">      </w:t>
      </w:r>
      <w:r>
        <w:rPr>
          <w:rFonts w:hint="eastAsia" w:hAnsi="宋体" w:cs="宋体"/>
          <w:color w:val="auto"/>
          <w:szCs w:val="21"/>
        </w:rPr>
        <w:t>年</w:t>
      </w:r>
      <w:r>
        <w:rPr>
          <w:rFonts w:hint="eastAsia" w:hAnsi="宋体" w:cs="宋体"/>
          <w:color w:val="auto"/>
          <w:szCs w:val="21"/>
          <w:u w:val="single"/>
        </w:rPr>
        <w:t xml:space="preserve">   </w:t>
      </w:r>
      <w:r>
        <w:rPr>
          <w:rFonts w:hint="eastAsia" w:hAnsi="宋体" w:cs="宋体"/>
          <w:color w:val="auto"/>
          <w:szCs w:val="21"/>
        </w:rPr>
        <w:t>月</w:t>
      </w:r>
      <w:r>
        <w:rPr>
          <w:rFonts w:hint="eastAsia" w:hAnsi="宋体" w:cs="宋体"/>
          <w:color w:val="auto"/>
          <w:szCs w:val="21"/>
          <w:u w:val="single"/>
        </w:rPr>
        <w:t xml:space="preserve">   </w:t>
      </w:r>
      <w:r>
        <w:rPr>
          <w:rFonts w:hint="eastAsia" w:hAnsi="宋体" w:cs="宋体"/>
          <w:color w:val="auto"/>
          <w:szCs w:val="21"/>
        </w:rPr>
        <w:t>日，</w:t>
      </w:r>
      <w:r>
        <w:rPr>
          <w:rFonts w:hint="eastAsia" w:hAnsi="宋体" w:cs="宋体"/>
          <w:bCs/>
          <w:color w:val="auto"/>
          <w:szCs w:val="21"/>
        </w:rPr>
        <w:t>就质疑事项作出了答复/没有在法定期限内作出答复。</w:t>
      </w:r>
    </w:p>
    <w:p w14:paraId="5E2AE68C">
      <w:pPr>
        <w:pStyle w:val="14"/>
        <w:keepNext w:val="0"/>
        <w:keepLines w:val="0"/>
        <w:pageBreakBefore w:val="0"/>
        <w:kinsoku/>
        <w:overflowPunct/>
        <w:bidi w:val="0"/>
        <w:spacing w:line="360" w:lineRule="auto"/>
        <w:ind w:left="25" w:leftChars="12" w:firstLine="413" w:firstLineChars="196"/>
        <w:rPr>
          <w:rFonts w:hAnsi="宋体" w:cs="宋体"/>
          <w:b/>
          <w:color w:val="auto"/>
          <w:szCs w:val="21"/>
        </w:rPr>
      </w:pPr>
      <w:r>
        <w:rPr>
          <w:rFonts w:hint="eastAsia" w:hAnsi="宋体" w:cs="宋体"/>
          <w:b/>
          <w:color w:val="auto"/>
          <w:szCs w:val="21"/>
        </w:rPr>
        <w:t>四、投诉事项具体内容</w:t>
      </w:r>
    </w:p>
    <w:p w14:paraId="0E3A05B0">
      <w:pPr>
        <w:pStyle w:val="14"/>
        <w:keepNext w:val="0"/>
        <w:keepLines w:val="0"/>
        <w:pageBreakBefore w:val="0"/>
        <w:kinsoku/>
        <w:overflowPunct/>
        <w:bidi w:val="0"/>
        <w:spacing w:line="360" w:lineRule="auto"/>
        <w:ind w:left="25" w:leftChars="12" w:firstLine="413" w:firstLineChars="197"/>
        <w:rPr>
          <w:rFonts w:hAnsi="宋体" w:cs="宋体"/>
          <w:bCs/>
          <w:color w:val="auto"/>
          <w:szCs w:val="21"/>
          <w:u w:val="single"/>
        </w:rPr>
      </w:pPr>
      <w:r>
        <w:rPr>
          <w:rFonts w:hint="eastAsia" w:hAnsi="宋体" w:cs="宋体"/>
          <w:color w:val="auto"/>
          <w:szCs w:val="21"/>
        </w:rPr>
        <w:t>投诉事项1：</w:t>
      </w:r>
      <w:r>
        <w:rPr>
          <w:rFonts w:hint="eastAsia" w:hAnsi="宋体" w:cs="宋体"/>
          <w:bCs/>
          <w:color w:val="auto"/>
          <w:szCs w:val="21"/>
          <w:u w:val="single"/>
        </w:rPr>
        <w:t xml:space="preserve">                                                                       </w:t>
      </w:r>
    </w:p>
    <w:p w14:paraId="6D906EE3">
      <w:pPr>
        <w:pStyle w:val="14"/>
        <w:keepNext w:val="0"/>
        <w:keepLines w:val="0"/>
        <w:pageBreakBefore w:val="0"/>
        <w:kinsoku/>
        <w:overflowPunct/>
        <w:bidi w:val="0"/>
        <w:spacing w:line="360" w:lineRule="auto"/>
        <w:ind w:firstLine="420" w:firstLineChars="200"/>
        <w:rPr>
          <w:rFonts w:hAnsi="宋体" w:cs="宋体"/>
          <w:bCs/>
          <w:color w:val="auto"/>
          <w:szCs w:val="21"/>
          <w:u w:val="single"/>
        </w:rPr>
      </w:pPr>
      <w:r>
        <w:rPr>
          <w:rFonts w:hint="eastAsia" w:hAnsi="宋体" w:cs="宋体"/>
          <w:bCs/>
          <w:color w:val="auto"/>
          <w:szCs w:val="21"/>
        </w:rPr>
        <w:t>事实依据：</w:t>
      </w:r>
      <w:r>
        <w:rPr>
          <w:rFonts w:hint="eastAsia" w:hAnsi="宋体" w:cs="宋体"/>
          <w:color w:val="auto"/>
          <w:szCs w:val="21"/>
        </w:rPr>
        <w:t xml:space="preserve"> </w:t>
      </w:r>
      <w:r>
        <w:rPr>
          <w:rFonts w:hint="eastAsia" w:hAnsi="宋体" w:cs="宋体"/>
          <w:bCs/>
          <w:color w:val="auto"/>
          <w:szCs w:val="21"/>
          <w:u w:val="single"/>
        </w:rPr>
        <w:t xml:space="preserve">                                                                        </w:t>
      </w:r>
    </w:p>
    <w:p w14:paraId="5B7BCA3A">
      <w:pPr>
        <w:pStyle w:val="14"/>
        <w:keepNext w:val="0"/>
        <w:keepLines w:val="0"/>
        <w:pageBreakBefore w:val="0"/>
        <w:kinsoku/>
        <w:overflowPunct/>
        <w:bidi w:val="0"/>
        <w:spacing w:line="360" w:lineRule="auto"/>
        <w:ind w:left="25" w:leftChars="12" w:firstLine="413" w:firstLineChars="197"/>
        <w:rPr>
          <w:rFonts w:hAnsi="宋体" w:cs="宋体"/>
          <w:color w:val="auto"/>
          <w:szCs w:val="21"/>
        </w:rPr>
      </w:pPr>
      <w:r>
        <w:rPr>
          <w:rFonts w:hint="eastAsia" w:hAnsi="宋体" w:cs="宋体"/>
          <w:bCs/>
          <w:color w:val="auto"/>
          <w:szCs w:val="21"/>
          <w:u w:val="single"/>
        </w:rPr>
        <w:t xml:space="preserve">                                                                                  </w:t>
      </w:r>
    </w:p>
    <w:p w14:paraId="08673CD9">
      <w:pPr>
        <w:pStyle w:val="14"/>
        <w:keepNext w:val="0"/>
        <w:keepLines w:val="0"/>
        <w:pageBreakBefore w:val="0"/>
        <w:kinsoku/>
        <w:overflowPunct/>
        <w:bidi w:val="0"/>
        <w:spacing w:line="360" w:lineRule="auto"/>
        <w:ind w:firstLine="420" w:firstLineChars="200"/>
        <w:rPr>
          <w:rFonts w:hAnsi="宋体" w:cs="宋体"/>
          <w:bCs/>
          <w:color w:val="auto"/>
          <w:szCs w:val="21"/>
          <w:u w:val="single"/>
        </w:rPr>
      </w:pPr>
      <w:r>
        <w:rPr>
          <w:rFonts w:hint="eastAsia" w:hAnsi="宋体" w:cs="宋体"/>
          <w:bCs/>
          <w:color w:val="auto"/>
          <w:szCs w:val="21"/>
        </w:rPr>
        <w:t>法律依据：</w:t>
      </w:r>
      <w:r>
        <w:rPr>
          <w:rFonts w:hint="eastAsia" w:hAnsi="宋体" w:cs="宋体"/>
          <w:color w:val="auto"/>
          <w:szCs w:val="21"/>
        </w:rPr>
        <w:t xml:space="preserve"> </w:t>
      </w:r>
      <w:r>
        <w:rPr>
          <w:rFonts w:hint="eastAsia" w:hAnsi="宋体" w:cs="宋体"/>
          <w:bCs/>
          <w:color w:val="auto"/>
          <w:szCs w:val="21"/>
          <w:u w:val="single"/>
        </w:rPr>
        <w:t xml:space="preserve">                                                                        </w:t>
      </w:r>
    </w:p>
    <w:p w14:paraId="57271ED1">
      <w:pPr>
        <w:pStyle w:val="14"/>
        <w:keepNext w:val="0"/>
        <w:keepLines w:val="0"/>
        <w:pageBreakBefore w:val="0"/>
        <w:kinsoku/>
        <w:overflowPunct/>
        <w:bidi w:val="0"/>
        <w:spacing w:line="360" w:lineRule="auto"/>
        <w:ind w:left="25" w:leftChars="12" w:firstLine="308" w:firstLineChars="147"/>
        <w:rPr>
          <w:rFonts w:hAnsi="宋体" w:cs="宋体"/>
          <w:bCs/>
          <w:color w:val="auto"/>
          <w:szCs w:val="21"/>
          <w:u w:val="single"/>
        </w:rPr>
      </w:pPr>
      <w:r>
        <w:rPr>
          <w:rFonts w:hint="eastAsia" w:hAnsi="宋体" w:cs="宋体"/>
          <w:bCs/>
          <w:color w:val="auto"/>
          <w:szCs w:val="21"/>
        </w:rPr>
        <w:t xml:space="preserve"> </w:t>
      </w:r>
      <w:r>
        <w:rPr>
          <w:rFonts w:hint="eastAsia" w:hAnsi="宋体" w:cs="宋体"/>
          <w:bCs/>
          <w:color w:val="auto"/>
          <w:szCs w:val="21"/>
          <w:u w:val="single"/>
        </w:rPr>
        <w:t xml:space="preserve">                                                                                   </w:t>
      </w:r>
    </w:p>
    <w:p w14:paraId="6F9EDD05">
      <w:pPr>
        <w:pStyle w:val="14"/>
        <w:keepNext w:val="0"/>
        <w:keepLines w:val="0"/>
        <w:pageBreakBefore w:val="0"/>
        <w:kinsoku/>
        <w:overflowPunct/>
        <w:bidi w:val="0"/>
        <w:spacing w:line="360" w:lineRule="auto"/>
        <w:ind w:left="25" w:leftChars="12" w:firstLine="413" w:firstLineChars="197"/>
        <w:rPr>
          <w:rFonts w:hAnsi="宋体" w:cs="宋体"/>
          <w:bCs/>
          <w:color w:val="auto"/>
          <w:szCs w:val="21"/>
        </w:rPr>
      </w:pPr>
      <w:r>
        <w:rPr>
          <w:rFonts w:hint="eastAsia" w:hAnsi="宋体" w:cs="宋体"/>
          <w:color w:val="auto"/>
          <w:szCs w:val="21"/>
        </w:rPr>
        <w:t xml:space="preserve">投诉事项2  </w:t>
      </w:r>
      <w:r>
        <w:rPr>
          <w:rFonts w:hint="eastAsia" w:hAnsi="宋体" w:cs="宋体"/>
          <w:bCs/>
          <w:color w:val="auto"/>
          <w:szCs w:val="21"/>
        </w:rPr>
        <w:t xml:space="preserve">   </w:t>
      </w:r>
    </w:p>
    <w:p w14:paraId="2006D63E">
      <w:pPr>
        <w:pStyle w:val="14"/>
        <w:keepNext w:val="0"/>
        <w:keepLines w:val="0"/>
        <w:pageBreakBefore w:val="0"/>
        <w:kinsoku/>
        <w:overflowPunct/>
        <w:bidi w:val="0"/>
        <w:spacing w:line="360" w:lineRule="auto"/>
        <w:ind w:left="25" w:leftChars="12" w:firstLine="413" w:firstLineChars="197"/>
        <w:rPr>
          <w:rFonts w:hAnsi="宋体" w:cs="宋体"/>
          <w:bCs/>
          <w:color w:val="auto"/>
          <w:szCs w:val="21"/>
        </w:rPr>
      </w:pPr>
      <w:r>
        <w:rPr>
          <w:rFonts w:hint="eastAsia" w:hAnsi="宋体" w:cs="宋体"/>
          <w:bCs/>
          <w:color w:val="auto"/>
          <w:szCs w:val="21"/>
        </w:rPr>
        <w:t>……</w:t>
      </w:r>
    </w:p>
    <w:p w14:paraId="7165DFE8">
      <w:pPr>
        <w:pStyle w:val="14"/>
        <w:keepNext w:val="0"/>
        <w:keepLines w:val="0"/>
        <w:pageBreakBefore w:val="0"/>
        <w:kinsoku/>
        <w:overflowPunct/>
        <w:bidi w:val="0"/>
        <w:spacing w:line="360" w:lineRule="auto"/>
        <w:ind w:left="25" w:leftChars="12" w:firstLine="413" w:firstLineChars="196"/>
        <w:rPr>
          <w:rFonts w:hAnsi="宋体" w:cs="宋体"/>
          <w:b/>
          <w:color w:val="auto"/>
          <w:szCs w:val="21"/>
        </w:rPr>
      </w:pPr>
      <w:r>
        <w:rPr>
          <w:rFonts w:hint="eastAsia" w:hAnsi="宋体" w:cs="宋体"/>
          <w:b/>
          <w:color w:val="auto"/>
          <w:szCs w:val="21"/>
        </w:rPr>
        <w:t>五、与投诉事项相关的投诉请求：</w:t>
      </w:r>
    </w:p>
    <w:p w14:paraId="69C71719">
      <w:pPr>
        <w:pStyle w:val="14"/>
        <w:keepNext w:val="0"/>
        <w:keepLines w:val="0"/>
        <w:pageBreakBefore w:val="0"/>
        <w:kinsoku/>
        <w:overflowPunct/>
        <w:bidi w:val="0"/>
        <w:spacing w:line="360" w:lineRule="auto"/>
        <w:ind w:left="25" w:leftChars="12" w:firstLine="413" w:firstLineChars="197"/>
        <w:rPr>
          <w:rFonts w:hAnsi="宋体" w:cs="宋体"/>
          <w:color w:val="auto"/>
          <w:szCs w:val="21"/>
        </w:rPr>
      </w:pPr>
      <w:r>
        <w:rPr>
          <w:rFonts w:hint="eastAsia" w:hAnsi="宋体" w:cs="宋体"/>
          <w:color w:val="auto"/>
          <w:szCs w:val="21"/>
        </w:rPr>
        <w:t>请求：</w:t>
      </w:r>
      <w:r>
        <w:rPr>
          <w:rFonts w:hint="eastAsia" w:hAnsi="宋体" w:cs="宋体"/>
          <w:bCs/>
          <w:color w:val="auto"/>
          <w:szCs w:val="21"/>
          <w:u w:val="single"/>
        </w:rPr>
        <w:t xml:space="preserve">                                                                             </w:t>
      </w:r>
    </w:p>
    <w:p w14:paraId="479A562B">
      <w:pPr>
        <w:pStyle w:val="14"/>
        <w:keepNext w:val="0"/>
        <w:keepLines w:val="0"/>
        <w:pageBreakBefore w:val="0"/>
        <w:kinsoku/>
        <w:overflowPunct/>
        <w:bidi w:val="0"/>
        <w:spacing w:line="360" w:lineRule="auto"/>
        <w:ind w:left="25" w:leftChars="12" w:firstLine="308" w:firstLineChars="147"/>
        <w:rPr>
          <w:rFonts w:hAnsi="宋体" w:cs="宋体"/>
          <w:color w:val="auto"/>
          <w:szCs w:val="21"/>
        </w:rPr>
      </w:pPr>
    </w:p>
    <w:p w14:paraId="211EAD76">
      <w:pPr>
        <w:pStyle w:val="14"/>
        <w:keepNext w:val="0"/>
        <w:keepLines w:val="0"/>
        <w:pageBreakBefore w:val="0"/>
        <w:kinsoku/>
        <w:overflowPunct/>
        <w:bidi w:val="0"/>
        <w:spacing w:line="360" w:lineRule="auto"/>
        <w:ind w:left="25" w:leftChars="12" w:firstLine="413" w:firstLineChars="197"/>
        <w:rPr>
          <w:rFonts w:hAnsi="宋体" w:cs="宋体"/>
          <w:color w:val="auto"/>
          <w:szCs w:val="21"/>
        </w:rPr>
      </w:pPr>
      <w:r>
        <w:rPr>
          <w:rFonts w:hint="eastAsia" w:hAnsi="宋体" w:cs="宋体"/>
          <w:color w:val="auto"/>
          <w:szCs w:val="21"/>
        </w:rPr>
        <w:t>签字（签章）：                                       公章：</w:t>
      </w:r>
    </w:p>
    <w:p w14:paraId="7F432724">
      <w:pPr>
        <w:pStyle w:val="14"/>
        <w:keepNext w:val="0"/>
        <w:keepLines w:val="0"/>
        <w:pageBreakBefore w:val="0"/>
        <w:kinsoku/>
        <w:overflowPunct/>
        <w:bidi w:val="0"/>
        <w:spacing w:line="360" w:lineRule="auto"/>
        <w:ind w:left="25" w:leftChars="12" w:firstLine="308" w:firstLineChars="147"/>
        <w:rPr>
          <w:rFonts w:hAnsi="宋体" w:cs="宋体"/>
          <w:color w:val="auto"/>
          <w:szCs w:val="21"/>
        </w:rPr>
      </w:pPr>
    </w:p>
    <w:p w14:paraId="4DAC8BF7">
      <w:pPr>
        <w:pStyle w:val="14"/>
        <w:keepNext w:val="0"/>
        <w:keepLines w:val="0"/>
        <w:pageBreakBefore w:val="0"/>
        <w:kinsoku/>
        <w:overflowPunct/>
        <w:bidi w:val="0"/>
        <w:spacing w:line="360" w:lineRule="auto"/>
        <w:ind w:left="25" w:leftChars="12" w:firstLine="413" w:firstLineChars="197"/>
        <w:rPr>
          <w:rFonts w:hAnsi="宋体" w:cs="宋体"/>
          <w:color w:val="auto"/>
          <w:szCs w:val="21"/>
        </w:rPr>
      </w:pPr>
      <w:r>
        <w:rPr>
          <w:rFonts w:hint="eastAsia" w:hAnsi="宋体" w:cs="宋体"/>
          <w:color w:val="auto"/>
          <w:szCs w:val="21"/>
        </w:rPr>
        <w:t>日期：</w:t>
      </w:r>
    </w:p>
    <w:p w14:paraId="1E651D53">
      <w:pPr>
        <w:pStyle w:val="14"/>
        <w:keepNext w:val="0"/>
        <w:keepLines w:val="0"/>
        <w:pageBreakBefore w:val="0"/>
        <w:kinsoku/>
        <w:overflowPunct/>
        <w:bidi w:val="0"/>
        <w:spacing w:line="360" w:lineRule="auto"/>
        <w:ind w:left="25" w:leftChars="12" w:firstLine="413" w:firstLineChars="197"/>
        <w:rPr>
          <w:rFonts w:hAnsi="宋体" w:cs="宋体"/>
          <w:b/>
          <w:color w:val="auto"/>
          <w:szCs w:val="21"/>
        </w:rPr>
      </w:pPr>
      <w:r>
        <w:rPr>
          <w:rFonts w:hint="eastAsia" w:hAnsi="宋体" w:cs="宋体"/>
          <w:bCs/>
          <w:color w:val="auto"/>
          <w:szCs w:val="21"/>
        </w:rPr>
        <w:t xml:space="preserve">                                                                                 </w:t>
      </w:r>
    </w:p>
    <w:p w14:paraId="39E0F4C4">
      <w:pPr>
        <w:pStyle w:val="14"/>
        <w:keepNext w:val="0"/>
        <w:keepLines w:val="0"/>
        <w:pageBreakBefore w:val="0"/>
        <w:kinsoku/>
        <w:overflowPunct/>
        <w:bidi w:val="0"/>
        <w:snapToGrid w:val="0"/>
        <w:spacing w:line="360" w:lineRule="auto"/>
        <w:rPr>
          <w:rFonts w:hAnsi="宋体" w:cs="宋体"/>
          <w:b/>
          <w:color w:val="auto"/>
          <w:szCs w:val="21"/>
        </w:rPr>
      </w:pPr>
      <w:r>
        <w:rPr>
          <w:rFonts w:hint="eastAsia" w:hAnsi="宋体" w:cs="宋体"/>
          <w:b/>
          <w:color w:val="auto"/>
          <w:szCs w:val="21"/>
        </w:rPr>
        <w:t>说明：</w:t>
      </w:r>
    </w:p>
    <w:p w14:paraId="375819AB">
      <w:pPr>
        <w:pStyle w:val="14"/>
        <w:keepNext w:val="0"/>
        <w:keepLines w:val="0"/>
        <w:pageBreakBefore w:val="0"/>
        <w:kinsoku/>
        <w:overflowPunct/>
        <w:bidi w:val="0"/>
        <w:spacing w:line="360" w:lineRule="auto"/>
        <w:ind w:left="25" w:leftChars="12" w:firstLine="310" w:firstLineChars="147"/>
        <w:rPr>
          <w:rFonts w:hAnsi="宋体" w:cs="宋体"/>
          <w:b/>
          <w:bCs/>
          <w:color w:val="auto"/>
          <w:szCs w:val="21"/>
        </w:rPr>
      </w:pPr>
      <w:r>
        <w:rPr>
          <w:rFonts w:hint="eastAsia" w:hAnsi="宋体" w:cs="宋体"/>
          <w:b/>
          <w:color w:val="auto"/>
          <w:szCs w:val="21"/>
        </w:rPr>
        <w:t>1.投诉人提起投诉时，应当提交投诉书和必要的证明材料，并按照被投诉人和与投诉事项有关的</w:t>
      </w:r>
      <w:r>
        <w:rPr>
          <w:rFonts w:hint="eastAsia" w:hAnsi="宋体" w:cs="宋体"/>
          <w:b/>
          <w:color w:val="auto"/>
          <w:szCs w:val="21"/>
          <w:lang w:eastAsia="zh-CN"/>
        </w:rPr>
        <w:t>投标人</w:t>
      </w:r>
      <w:r>
        <w:rPr>
          <w:rFonts w:hint="eastAsia" w:hAnsi="宋体" w:cs="宋体"/>
          <w:b/>
          <w:color w:val="auto"/>
          <w:szCs w:val="21"/>
        </w:rPr>
        <w:t>数量提供投诉书副本</w:t>
      </w:r>
      <w:r>
        <w:rPr>
          <w:rFonts w:hint="eastAsia" w:hAnsi="宋体" w:cs="宋体"/>
          <w:b/>
          <w:bCs/>
          <w:color w:val="auto"/>
          <w:szCs w:val="21"/>
        </w:rPr>
        <w:t>。</w:t>
      </w:r>
    </w:p>
    <w:p w14:paraId="550A376F">
      <w:pPr>
        <w:pStyle w:val="14"/>
        <w:keepNext w:val="0"/>
        <w:keepLines w:val="0"/>
        <w:pageBreakBefore w:val="0"/>
        <w:kinsoku/>
        <w:overflowPunct/>
        <w:bidi w:val="0"/>
        <w:spacing w:line="360" w:lineRule="auto"/>
        <w:ind w:left="25" w:leftChars="12" w:firstLine="310" w:firstLineChars="147"/>
        <w:rPr>
          <w:rFonts w:hAnsi="宋体" w:cs="宋体"/>
          <w:b/>
          <w:color w:val="auto"/>
          <w:szCs w:val="21"/>
        </w:rPr>
      </w:pPr>
      <w:r>
        <w:rPr>
          <w:rFonts w:hint="eastAsia" w:hAnsi="宋体" w:cs="宋体"/>
          <w:b/>
          <w:color w:val="auto"/>
          <w:szCs w:val="21"/>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77227A3">
      <w:pPr>
        <w:pStyle w:val="14"/>
        <w:keepNext w:val="0"/>
        <w:keepLines w:val="0"/>
        <w:pageBreakBefore w:val="0"/>
        <w:kinsoku/>
        <w:overflowPunct/>
        <w:bidi w:val="0"/>
        <w:spacing w:line="360" w:lineRule="auto"/>
        <w:ind w:left="25" w:leftChars="12" w:firstLine="310" w:firstLineChars="147"/>
        <w:rPr>
          <w:rFonts w:hAnsi="宋体" w:cs="宋体"/>
          <w:b/>
          <w:color w:val="auto"/>
          <w:szCs w:val="21"/>
        </w:rPr>
      </w:pPr>
      <w:r>
        <w:rPr>
          <w:rFonts w:hint="eastAsia" w:hAnsi="宋体" w:cs="宋体"/>
          <w:b/>
          <w:color w:val="auto"/>
          <w:szCs w:val="21"/>
        </w:rPr>
        <w:t>3.投诉书应简要列明质疑事项，质疑函、质疑答复等作为附件材料提供。</w:t>
      </w:r>
    </w:p>
    <w:p w14:paraId="4F24DA6A">
      <w:pPr>
        <w:pStyle w:val="14"/>
        <w:keepNext w:val="0"/>
        <w:keepLines w:val="0"/>
        <w:pageBreakBefore w:val="0"/>
        <w:kinsoku/>
        <w:overflowPunct/>
        <w:bidi w:val="0"/>
        <w:spacing w:line="360" w:lineRule="auto"/>
        <w:ind w:left="25" w:leftChars="12" w:firstLine="310" w:firstLineChars="147"/>
        <w:rPr>
          <w:rFonts w:hAnsi="宋体" w:cs="宋体"/>
          <w:b/>
          <w:color w:val="auto"/>
          <w:szCs w:val="21"/>
        </w:rPr>
      </w:pPr>
      <w:r>
        <w:rPr>
          <w:rFonts w:hint="eastAsia" w:hAnsi="宋体" w:cs="宋体"/>
          <w:b/>
          <w:color w:val="auto"/>
          <w:szCs w:val="21"/>
        </w:rPr>
        <w:t>4.投诉书的投诉事项应具体、明确，并有必要的事实依据和法律依据。</w:t>
      </w:r>
    </w:p>
    <w:p w14:paraId="280A9BDF">
      <w:pPr>
        <w:pStyle w:val="14"/>
        <w:keepNext w:val="0"/>
        <w:keepLines w:val="0"/>
        <w:pageBreakBefore w:val="0"/>
        <w:kinsoku/>
        <w:overflowPunct/>
        <w:bidi w:val="0"/>
        <w:spacing w:line="360" w:lineRule="auto"/>
        <w:ind w:left="25" w:leftChars="12" w:firstLine="310" w:firstLineChars="147"/>
        <w:rPr>
          <w:rFonts w:hAnsi="宋体" w:cs="宋体"/>
          <w:b/>
          <w:color w:val="auto"/>
          <w:szCs w:val="21"/>
        </w:rPr>
      </w:pPr>
      <w:r>
        <w:rPr>
          <w:rFonts w:hint="eastAsia" w:hAnsi="宋体" w:cs="宋体"/>
          <w:b/>
          <w:color w:val="auto"/>
          <w:szCs w:val="21"/>
        </w:rPr>
        <w:t>5.投诉书的投诉请求应与投诉事项相关。</w:t>
      </w:r>
    </w:p>
    <w:p w14:paraId="4B201CE2">
      <w:pPr>
        <w:pStyle w:val="18"/>
        <w:keepNext w:val="0"/>
        <w:keepLines w:val="0"/>
        <w:pageBreakBefore w:val="0"/>
        <w:kinsoku/>
        <w:overflowPunct/>
        <w:bidi w:val="0"/>
        <w:spacing w:line="360" w:lineRule="auto"/>
        <w:jc w:val="left"/>
        <w:rPr>
          <w:rFonts w:ascii="宋体" w:hAnsi="宋体" w:cs="宋体"/>
          <w:b/>
          <w:color w:val="auto"/>
          <w:sz w:val="21"/>
          <w:szCs w:val="21"/>
        </w:rPr>
      </w:pPr>
      <w:r>
        <w:rPr>
          <w:rFonts w:hint="eastAsia" w:ascii="宋体" w:hAnsi="宋体" w:cs="宋体"/>
          <w:b/>
          <w:color w:val="auto"/>
          <w:sz w:val="21"/>
          <w:szCs w:val="21"/>
        </w:rPr>
        <w:t>6.投诉人为法人或者其他组织的，投诉书应由法定代表人、主要负责人，或者其授权代表签字或者盖章，并加盖公章。</w:t>
      </w:r>
    </w:p>
    <w:p w14:paraId="31F4191A">
      <w:pPr>
        <w:keepNext w:val="0"/>
        <w:keepLines w:val="0"/>
        <w:pageBreakBefore w:val="0"/>
        <w:kinsoku/>
        <w:overflowPunct/>
        <w:bidi w:val="0"/>
        <w:spacing w:line="360" w:lineRule="auto"/>
        <w:rPr>
          <w:rFonts w:ascii="宋体" w:hAnsi="宋体" w:cs="宋体"/>
          <w:color w:val="auto"/>
        </w:rPr>
      </w:pPr>
      <w:r>
        <w:rPr>
          <w:rFonts w:hint="eastAsia" w:ascii="宋体" w:hAnsi="宋体" w:cs="宋体"/>
          <w:color w:val="auto"/>
        </w:rPr>
        <w:br w:type="page"/>
      </w:r>
    </w:p>
    <w:p w14:paraId="51CB2D63">
      <w:pPr>
        <w:pStyle w:val="23"/>
        <w:keepNext w:val="0"/>
        <w:keepLines w:val="0"/>
        <w:pageBreakBefore w:val="0"/>
        <w:kinsoku/>
        <w:overflowPunct/>
        <w:bidi w:val="0"/>
        <w:spacing w:line="360" w:lineRule="auto"/>
        <w:ind w:firstLine="0" w:firstLineChars="0"/>
        <w:jc w:val="center"/>
        <w:outlineLvl w:val="0"/>
        <w:rPr>
          <w:rFonts w:hAnsi="宋体" w:cs="宋体"/>
          <w:b/>
          <w:bCs/>
          <w:color w:val="auto"/>
          <w:sz w:val="21"/>
          <w:szCs w:val="21"/>
        </w:rPr>
      </w:pPr>
      <w:bookmarkStart w:id="169" w:name="_Toc25471"/>
      <w:r>
        <w:rPr>
          <w:rFonts w:hint="eastAsia" w:hAnsi="宋体" w:cs="宋体"/>
          <w:b/>
          <w:bCs/>
          <w:color w:val="auto"/>
          <w:sz w:val="21"/>
          <w:szCs w:val="21"/>
        </w:rPr>
        <w:t>第六章  拟定的合同文本</w:t>
      </w:r>
      <w:bookmarkEnd w:id="169"/>
    </w:p>
    <w:p w14:paraId="79A7E377">
      <w:pPr>
        <w:pStyle w:val="16"/>
        <w:keepNext w:val="0"/>
        <w:keepLines w:val="0"/>
        <w:pageBreakBefore w:val="0"/>
        <w:kinsoku/>
        <w:overflowPunct/>
        <w:bidi w:val="0"/>
        <w:spacing w:line="360" w:lineRule="auto"/>
        <w:jc w:val="center"/>
        <w:rPr>
          <w:color w:val="auto"/>
        </w:rPr>
      </w:pPr>
    </w:p>
    <w:tbl>
      <w:tblPr>
        <w:tblStyle w:val="25"/>
        <w:tblW w:w="8522" w:type="dxa"/>
        <w:tblInd w:w="0" w:type="dxa"/>
        <w:tblLayout w:type="fixed"/>
        <w:tblCellMar>
          <w:top w:w="0" w:type="dxa"/>
          <w:left w:w="108" w:type="dxa"/>
          <w:bottom w:w="0" w:type="dxa"/>
          <w:right w:w="108" w:type="dxa"/>
        </w:tblCellMar>
      </w:tblPr>
      <w:tblGrid>
        <w:gridCol w:w="4193"/>
        <w:gridCol w:w="4329"/>
      </w:tblGrid>
      <w:tr w14:paraId="6A01EAC0">
        <w:tblPrEx>
          <w:tblCellMar>
            <w:top w:w="0" w:type="dxa"/>
            <w:left w:w="108" w:type="dxa"/>
            <w:bottom w:w="0" w:type="dxa"/>
            <w:right w:w="108" w:type="dxa"/>
          </w:tblCellMar>
        </w:tblPrEx>
        <w:trPr>
          <w:trHeight w:val="891" w:hRule="atLeast"/>
        </w:trPr>
        <w:tc>
          <w:tcPr>
            <w:tcW w:w="8522" w:type="dxa"/>
            <w:gridSpan w:val="2"/>
            <w:vAlign w:val="center"/>
          </w:tcPr>
          <w:p w14:paraId="75A5433E">
            <w:pPr>
              <w:keepNext w:val="0"/>
              <w:keepLines w:val="0"/>
              <w:pageBreakBefore w:val="0"/>
              <w:shd w:val="clear" w:color="auto" w:fill="auto"/>
              <w:kinsoku/>
              <w:overflowPunct/>
              <w:autoSpaceDE w:val="0"/>
              <w:autoSpaceDN w:val="0"/>
              <w:bidi w:val="0"/>
              <w:adjustRightInd w:val="0"/>
              <w:spacing w:line="360" w:lineRule="auto"/>
              <w:ind w:left="1260" w:hanging="420"/>
              <w:jc w:val="center"/>
              <w:rPr>
                <w:rFonts w:hint="eastAsia" w:ascii="宋体" w:hAnsi="宋体" w:cs="宋体"/>
                <w:color w:val="auto"/>
                <w:kern w:val="0"/>
                <w:sz w:val="32"/>
                <w:szCs w:val="32"/>
                <w:highlight w:val="none"/>
                <w:shd w:val="clear" w:color="auto" w:fill="auto"/>
              </w:rPr>
            </w:pPr>
          </w:p>
          <w:p w14:paraId="20F57751">
            <w:pPr>
              <w:keepNext w:val="0"/>
              <w:keepLines w:val="0"/>
              <w:pageBreakBefore w:val="0"/>
              <w:shd w:val="clear" w:color="auto" w:fill="auto"/>
              <w:kinsoku/>
              <w:wordWrap w:val="0"/>
              <w:overflowPunct/>
              <w:autoSpaceDE w:val="0"/>
              <w:autoSpaceDN w:val="0"/>
              <w:bidi w:val="0"/>
              <w:adjustRightInd w:val="0"/>
              <w:spacing w:line="360" w:lineRule="auto"/>
              <w:ind w:left="1260" w:hanging="420"/>
              <w:rPr>
                <w:rFonts w:hint="eastAsia" w:ascii="宋体" w:hAnsi="宋体" w:cs="宋体"/>
                <w:color w:val="auto"/>
                <w:kern w:val="0"/>
                <w:sz w:val="32"/>
                <w:szCs w:val="32"/>
                <w:highlight w:val="none"/>
                <w:shd w:val="clear" w:color="auto" w:fill="auto"/>
              </w:rPr>
            </w:pPr>
          </w:p>
          <w:p w14:paraId="6F4A179F">
            <w:pPr>
              <w:keepNext w:val="0"/>
              <w:keepLines w:val="0"/>
              <w:pageBreakBefore w:val="0"/>
              <w:shd w:val="clear" w:color="auto" w:fill="auto"/>
              <w:kinsoku/>
              <w:wordWrap w:val="0"/>
              <w:overflowPunct/>
              <w:autoSpaceDE w:val="0"/>
              <w:autoSpaceDN w:val="0"/>
              <w:bidi w:val="0"/>
              <w:adjustRightInd w:val="0"/>
              <w:spacing w:line="360" w:lineRule="auto"/>
              <w:ind w:left="1260" w:hanging="420"/>
              <w:rPr>
                <w:rFonts w:hint="eastAsia" w:ascii="宋体" w:hAnsi="宋体" w:cs="宋体"/>
                <w:color w:val="auto"/>
                <w:kern w:val="0"/>
                <w:sz w:val="32"/>
                <w:szCs w:val="32"/>
                <w:highlight w:val="none"/>
                <w:shd w:val="clear" w:color="auto" w:fill="auto"/>
              </w:rPr>
            </w:pPr>
          </w:p>
          <w:p w14:paraId="3F6795A5">
            <w:pPr>
              <w:keepNext w:val="0"/>
              <w:keepLines w:val="0"/>
              <w:pageBreakBefore w:val="0"/>
              <w:shd w:val="clear" w:color="auto" w:fill="auto"/>
              <w:kinsoku/>
              <w:wordWrap w:val="0"/>
              <w:overflowPunct/>
              <w:autoSpaceDE w:val="0"/>
              <w:autoSpaceDN w:val="0"/>
              <w:bidi w:val="0"/>
              <w:adjustRightInd w:val="0"/>
              <w:spacing w:line="360" w:lineRule="auto"/>
              <w:ind w:left="1260" w:hanging="420"/>
              <w:rPr>
                <w:rFonts w:hint="eastAsia" w:ascii="宋体" w:hAnsi="宋体" w:cs="宋体"/>
                <w:color w:val="auto"/>
                <w:kern w:val="0"/>
                <w:sz w:val="32"/>
                <w:szCs w:val="32"/>
                <w:highlight w:val="none"/>
                <w:shd w:val="clear" w:color="auto" w:fill="auto"/>
              </w:rPr>
            </w:pPr>
          </w:p>
          <w:p w14:paraId="0A2DE6E7">
            <w:pPr>
              <w:keepNext w:val="0"/>
              <w:keepLines w:val="0"/>
              <w:pageBreakBefore w:val="0"/>
              <w:shd w:val="clear" w:color="auto" w:fill="auto"/>
              <w:kinsoku/>
              <w:wordWrap w:val="0"/>
              <w:overflowPunct/>
              <w:autoSpaceDE w:val="0"/>
              <w:autoSpaceDN w:val="0"/>
              <w:bidi w:val="0"/>
              <w:adjustRightInd w:val="0"/>
              <w:spacing w:line="360" w:lineRule="auto"/>
              <w:ind w:firstLine="1440" w:firstLineChars="450"/>
              <w:rPr>
                <w:rFonts w:hint="eastAsia" w:ascii="宋体" w:hAnsi="宋体" w:cs="宋体"/>
                <w:color w:val="auto"/>
                <w:kern w:val="0"/>
                <w:sz w:val="32"/>
                <w:szCs w:val="32"/>
                <w:highlight w:val="none"/>
                <w:shd w:val="clear" w:color="auto" w:fill="auto"/>
              </w:rPr>
            </w:pPr>
            <w:r>
              <w:rPr>
                <w:rFonts w:hint="eastAsia" w:ascii="宋体" w:hAnsi="宋体" w:cs="宋体"/>
                <w:color w:val="auto"/>
                <w:kern w:val="0"/>
                <w:sz w:val="32"/>
                <w:szCs w:val="32"/>
                <w:highlight w:val="none"/>
                <w:shd w:val="clear" w:color="auto" w:fill="auto"/>
              </w:rPr>
              <w:t>合同名称：</w:t>
            </w:r>
          </w:p>
          <w:p w14:paraId="0BC324C3">
            <w:pPr>
              <w:keepNext w:val="0"/>
              <w:keepLines w:val="0"/>
              <w:pageBreakBefore w:val="0"/>
              <w:shd w:val="clear" w:color="auto" w:fill="auto"/>
              <w:kinsoku/>
              <w:wordWrap w:val="0"/>
              <w:overflowPunct/>
              <w:autoSpaceDE w:val="0"/>
              <w:autoSpaceDN w:val="0"/>
              <w:bidi w:val="0"/>
              <w:adjustRightInd w:val="0"/>
              <w:spacing w:line="360" w:lineRule="auto"/>
              <w:ind w:left="1260" w:hanging="420"/>
              <w:rPr>
                <w:rFonts w:hint="eastAsia" w:ascii="宋体" w:hAnsi="宋体" w:cs="宋体"/>
                <w:color w:val="auto"/>
                <w:kern w:val="0"/>
                <w:sz w:val="32"/>
                <w:szCs w:val="32"/>
                <w:highlight w:val="none"/>
                <w:shd w:val="clear" w:color="auto" w:fill="auto"/>
              </w:rPr>
            </w:pPr>
          </w:p>
          <w:p w14:paraId="1E6D7768">
            <w:pPr>
              <w:keepNext w:val="0"/>
              <w:keepLines w:val="0"/>
              <w:pageBreakBefore w:val="0"/>
              <w:shd w:val="clear" w:color="auto" w:fill="auto"/>
              <w:kinsoku/>
              <w:wordWrap w:val="0"/>
              <w:overflowPunct/>
              <w:autoSpaceDE w:val="0"/>
              <w:autoSpaceDN w:val="0"/>
              <w:bidi w:val="0"/>
              <w:adjustRightInd w:val="0"/>
              <w:spacing w:line="360" w:lineRule="auto"/>
              <w:ind w:left="1256" w:leftChars="598" w:firstLine="160" w:firstLineChars="50"/>
              <w:rPr>
                <w:rFonts w:hint="eastAsia" w:ascii="宋体" w:hAnsi="宋体" w:cs="宋体"/>
                <w:color w:val="auto"/>
                <w:kern w:val="0"/>
                <w:sz w:val="32"/>
                <w:szCs w:val="32"/>
                <w:highlight w:val="none"/>
                <w:shd w:val="clear" w:color="auto" w:fill="auto"/>
              </w:rPr>
            </w:pPr>
            <w:r>
              <w:rPr>
                <w:rFonts w:hint="eastAsia" w:ascii="宋体" w:hAnsi="宋体" w:cs="宋体"/>
                <w:color w:val="auto"/>
                <w:kern w:val="0"/>
                <w:sz w:val="32"/>
                <w:szCs w:val="32"/>
                <w:highlight w:val="none"/>
                <w:shd w:val="clear" w:color="auto" w:fill="auto"/>
              </w:rPr>
              <w:t>项目编号：</w:t>
            </w:r>
          </w:p>
          <w:p w14:paraId="558CED5F">
            <w:pPr>
              <w:keepNext w:val="0"/>
              <w:keepLines w:val="0"/>
              <w:pageBreakBefore w:val="0"/>
              <w:shd w:val="clear" w:color="auto" w:fill="auto"/>
              <w:kinsoku/>
              <w:wordWrap w:val="0"/>
              <w:overflowPunct/>
              <w:autoSpaceDE w:val="0"/>
              <w:autoSpaceDN w:val="0"/>
              <w:bidi w:val="0"/>
              <w:adjustRightInd w:val="0"/>
              <w:spacing w:line="360" w:lineRule="auto"/>
              <w:rPr>
                <w:rFonts w:hint="eastAsia" w:ascii="宋体" w:hAnsi="宋体" w:cs="宋体"/>
                <w:color w:val="auto"/>
                <w:kern w:val="0"/>
                <w:sz w:val="32"/>
                <w:szCs w:val="32"/>
                <w:highlight w:val="none"/>
                <w:shd w:val="clear" w:color="auto" w:fill="auto"/>
              </w:rPr>
            </w:pPr>
          </w:p>
        </w:tc>
      </w:tr>
      <w:tr w14:paraId="54689479">
        <w:tblPrEx>
          <w:tblCellMar>
            <w:top w:w="0" w:type="dxa"/>
            <w:left w:w="108" w:type="dxa"/>
            <w:bottom w:w="0" w:type="dxa"/>
            <w:right w:w="108" w:type="dxa"/>
          </w:tblCellMar>
        </w:tblPrEx>
        <w:trPr>
          <w:trHeight w:val="505" w:hRule="atLeast"/>
        </w:trPr>
        <w:tc>
          <w:tcPr>
            <w:tcW w:w="8522" w:type="dxa"/>
            <w:gridSpan w:val="2"/>
            <w:vAlign w:val="center"/>
          </w:tcPr>
          <w:p w14:paraId="50773693">
            <w:pPr>
              <w:keepNext w:val="0"/>
              <w:keepLines w:val="0"/>
              <w:pageBreakBefore w:val="0"/>
              <w:shd w:val="clear" w:color="auto" w:fill="auto"/>
              <w:kinsoku/>
              <w:wordWrap w:val="0"/>
              <w:overflowPunct/>
              <w:autoSpaceDE w:val="0"/>
              <w:autoSpaceDN w:val="0"/>
              <w:bidi w:val="0"/>
              <w:adjustRightInd w:val="0"/>
              <w:spacing w:line="360" w:lineRule="auto"/>
              <w:ind w:firstLine="1440" w:firstLineChars="450"/>
              <w:rPr>
                <w:rFonts w:hint="eastAsia" w:ascii="宋体" w:hAnsi="宋体" w:cs="宋体"/>
                <w:color w:val="auto"/>
                <w:kern w:val="0"/>
                <w:sz w:val="32"/>
                <w:szCs w:val="32"/>
                <w:highlight w:val="none"/>
                <w:shd w:val="clear" w:color="auto" w:fill="auto"/>
              </w:rPr>
            </w:pPr>
            <w:r>
              <w:rPr>
                <w:rFonts w:hint="eastAsia" w:ascii="宋体" w:hAnsi="宋体" w:cs="宋体"/>
                <w:color w:val="auto"/>
                <w:kern w:val="0"/>
                <w:sz w:val="32"/>
                <w:szCs w:val="32"/>
                <w:highlight w:val="none"/>
                <w:shd w:val="clear" w:color="auto" w:fill="auto"/>
              </w:rPr>
              <w:t>采购单位：</w:t>
            </w:r>
            <w:r>
              <w:rPr>
                <w:rFonts w:hint="eastAsia" w:ascii="宋体" w:hAnsi="宋体" w:cs="宋体"/>
                <w:color w:val="auto"/>
                <w:kern w:val="0"/>
                <w:sz w:val="32"/>
                <w:szCs w:val="32"/>
                <w:highlight w:val="none"/>
                <w:shd w:val="clear" w:color="auto" w:fill="auto"/>
                <w:lang w:eastAsia="zh-CN"/>
              </w:rPr>
              <w:t>广西壮族自治区高级人民法院</w:t>
            </w:r>
            <w:r>
              <w:rPr>
                <w:rFonts w:hint="eastAsia" w:ascii="宋体" w:hAnsi="宋体" w:cs="宋体"/>
                <w:color w:val="auto"/>
                <w:kern w:val="0"/>
                <w:sz w:val="32"/>
                <w:szCs w:val="32"/>
                <w:highlight w:val="none"/>
                <w:shd w:val="clear" w:color="auto" w:fill="auto"/>
              </w:rPr>
              <w:t xml:space="preserve"> </w:t>
            </w:r>
          </w:p>
          <w:p w14:paraId="0E55DE4E">
            <w:pPr>
              <w:keepNext w:val="0"/>
              <w:keepLines w:val="0"/>
              <w:pageBreakBefore w:val="0"/>
              <w:shd w:val="clear" w:color="auto" w:fill="auto"/>
              <w:kinsoku/>
              <w:wordWrap w:val="0"/>
              <w:overflowPunct/>
              <w:autoSpaceDE w:val="0"/>
              <w:autoSpaceDN w:val="0"/>
              <w:bidi w:val="0"/>
              <w:adjustRightInd w:val="0"/>
              <w:spacing w:line="360" w:lineRule="auto"/>
              <w:ind w:firstLine="1440" w:firstLineChars="450"/>
              <w:rPr>
                <w:rFonts w:hint="eastAsia" w:ascii="宋体" w:hAnsi="宋体" w:cs="宋体"/>
                <w:color w:val="auto"/>
                <w:kern w:val="0"/>
                <w:sz w:val="32"/>
                <w:szCs w:val="32"/>
                <w:highlight w:val="none"/>
                <w:shd w:val="clear" w:color="auto" w:fill="auto"/>
              </w:rPr>
            </w:pPr>
          </w:p>
        </w:tc>
      </w:tr>
      <w:tr w14:paraId="2499E6FE">
        <w:tblPrEx>
          <w:tblCellMar>
            <w:top w:w="0" w:type="dxa"/>
            <w:left w:w="108" w:type="dxa"/>
            <w:bottom w:w="0" w:type="dxa"/>
            <w:right w:w="108" w:type="dxa"/>
          </w:tblCellMar>
        </w:tblPrEx>
        <w:trPr>
          <w:trHeight w:val="427" w:hRule="atLeast"/>
        </w:trPr>
        <w:tc>
          <w:tcPr>
            <w:tcW w:w="8522" w:type="dxa"/>
            <w:gridSpan w:val="2"/>
            <w:vAlign w:val="center"/>
          </w:tcPr>
          <w:p w14:paraId="5361D10C">
            <w:pPr>
              <w:keepNext w:val="0"/>
              <w:keepLines w:val="0"/>
              <w:pageBreakBefore w:val="0"/>
              <w:shd w:val="clear" w:color="auto" w:fill="auto"/>
              <w:kinsoku/>
              <w:wordWrap w:val="0"/>
              <w:overflowPunct/>
              <w:autoSpaceDE w:val="0"/>
              <w:autoSpaceDN w:val="0"/>
              <w:bidi w:val="0"/>
              <w:adjustRightInd w:val="0"/>
              <w:spacing w:line="360" w:lineRule="auto"/>
              <w:ind w:firstLine="1440" w:firstLineChars="450"/>
              <w:rPr>
                <w:rFonts w:hint="eastAsia" w:ascii="宋体" w:hAnsi="宋体" w:cs="宋体"/>
                <w:color w:val="auto"/>
                <w:kern w:val="0"/>
                <w:sz w:val="32"/>
                <w:szCs w:val="32"/>
                <w:highlight w:val="none"/>
                <w:shd w:val="clear" w:color="auto" w:fill="auto"/>
              </w:rPr>
            </w:pPr>
            <w:r>
              <w:rPr>
                <w:rFonts w:hint="eastAsia" w:ascii="宋体" w:hAnsi="宋体" w:cs="宋体"/>
                <w:color w:val="auto"/>
                <w:kern w:val="0"/>
                <w:sz w:val="32"/>
                <w:szCs w:val="32"/>
                <w:highlight w:val="none"/>
                <w:shd w:val="clear" w:color="auto" w:fill="auto"/>
              </w:rPr>
              <w:t>供 应 商：</w:t>
            </w:r>
          </w:p>
          <w:p w14:paraId="1CFFC566">
            <w:pPr>
              <w:keepNext w:val="0"/>
              <w:keepLines w:val="0"/>
              <w:pageBreakBefore w:val="0"/>
              <w:shd w:val="clear" w:color="auto" w:fill="auto"/>
              <w:kinsoku/>
              <w:wordWrap w:val="0"/>
              <w:overflowPunct/>
              <w:autoSpaceDE w:val="0"/>
              <w:autoSpaceDN w:val="0"/>
              <w:bidi w:val="0"/>
              <w:adjustRightInd w:val="0"/>
              <w:spacing w:line="360" w:lineRule="auto"/>
              <w:ind w:firstLine="1440" w:firstLineChars="450"/>
              <w:rPr>
                <w:rFonts w:hint="eastAsia" w:ascii="宋体" w:hAnsi="宋体" w:cs="宋体"/>
                <w:color w:val="auto"/>
                <w:kern w:val="0"/>
                <w:sz w:val="32"/>
                <w:szCs w:val="32"/>
                <w:highlight w:val="none"/>
                <w:shd w:val="clear" w:color="auto" w:fill="auto"/>
              </w:rPr>
            </w:pPr>
          </w:p>
        </w:tc>
      </w:tr>
      <w:tr w14:paraId="4F8114DA">
        <w:tblPrEx>
          <w:tblCellMar>
            <w:top w:w="0" w:type="dxa"/>
            <w:left w:w="108" w:type="dxa"/>
            <w:bottom w:w="0" w:type="dxa"/>
            <w:right w:w="108" w:type="dxa"/>
          </w:tblCellMar>
        </w:tblPrEx>
        <w:trPr>
          <w:trHeight w:val="894" w:hRule="atLeast"/>
        </w:trPr>
        <w:tc>
          <w:tcPr>
            <w:tcW w:w="4193" w:type="dxa"/>
            <w:vAlign w:val="center"/>
          </w:tcPr>
          <w:p w14:paraId="6669BB60">
            <w:pPr>
              <w:keepNext w:val="0"/>
              <w:keepLines w:val="0"/>
              <w:pageBreakBefore w:val="0"/>
              <w:shd w:val="clear" w:color="auto" w:fill="auto"/>
              <w:kinsoku/>
              <w:wordWrap w:val="0"/>
              <w:overflowPunct/>
              <w:autoSpaceDE w:val="0"/>
              <w:autoSpaceDN w:val="0"/>
              <w:bidi w:val="0"/>
              <w:adjustRightInd w:val="0"/>
              <w:spacing w:line="360" w:lineRule="auto"/>
              <w:ind w:firstLine="1440" w:firstLineChars="450"/>
              <w:rPr>
                <w:rFonts w:hint="eastAsia" w:ascii="宋体" w:hAnsi="宋体" w:cs="宋体"/>
                <w:color w:val="auto"/>
                <w:kern w:val="0"/>
                <w:sz w:val="32"/>
                <w:szCs w:val="32"/>
                <w:highlight w:val="none"/>
                <w:shd w:val="clear" w:color="auto" w:fill="auto"/>
              </w:rPr>
            </w:pPr>
            <w:r>
              <w:rPr>
                <w:rFonts w:hint="eastAsia" w:ascii="宋体" w:hAnsi="宋体" w:cs="宋体"/>
                <w:color w:val="auto"/>
                <w:kern w:val="0"/>
                <w:sz w:val="32"/>
                <w:szCs w:val="32"/>
                <w:highlight w:val="none"/>
                <w:shd w:val="clear" w:color="auto" w:fill="auto"/>
              </w:rPr>
              <w:t>签订时间：</w:t>
            </w:r>
          </w:p>
        </w:tc>
        <w:tc>
          <w:tcPr>
            <w:tcW w:w="4329" w:type="dxa"/>
            <w:vAlign w:val="center"/>
          </w:tcPr>
          <w:p w14:paraId="4429BBA5">
            <w:pPr>
              <w:keepNext w:val="0"/>
              <w:keepLines w:val="0"/>
              <w:pageBreakBefore w:val="0"/>
              <w:shd w:val="clear" w:color="auto" w:fill="auto"/>
              <w:kinsoku/>
              <w:wordWrap w:val="0"/>
              <w:overflowPunct/>
              <w:autoSpaceDE w:val="0"/>
              <w:autoSpaceDN w:val="0"/>
              <w:bidi w:val="0"/>
              <w:adjustRightInd w:val="0"/>
              <w:spacing w:line="360" w:lineRule="auto"/>
              <w:rPr>
                <w:rFonts w:hint="eastAsia" w:ascii="宋体" w:hAnsi="宋体" w:cs="宋体"/>
                <w:color w:val="auto"/>
                <w:kern w:val="0"/>
                <w:sz w:val="32"/>
                <w:szCs w:val="32"/>
                <w:highlight w:val="none"/>
                <w:shd w:val="clear" w:color="auto" w:fill="auto"/>
              </w:rPr>
            </w:pPr>
            <w:r>
              <w:rPr>
                <w:rFonts w:hint="eastAsia" w:ascii="宋体" w:hAnsi="宋体" w:cs="宋体"/>
                <w:color w:val="auto"/>
                <w:kern w:val="0"/>
                <w:sz w:val="32"/>
                <w:szCs w:val="32"/>
                <w:highlight w:val="none"/>
                <w:shd w:val="clear" w:color="auto" w:fill="auto"/>
              </w:rPr>
              <w:t>年    月   日</w:t>
            </w:r>
          </w:p>
        </w:tc>
      </w:tr>
    </w:tbl>
    <w:p w14:paraId="527D5793">
      <w:pPr>
        <w:pStyle w:val="16"/>
        <w:keepNext w:val="0"/>
        <w:keepLines w:val="0"/>
        <w:pageBreakBefore w:val="0"/>
        <w:kinsoku/>
        <w:overflowPunct/>
        <w:bidi w:val="0"/>
        <w:spacing w:line="360" w:lineRule="auto"/>
        <w:rPr>
          <w:color w:val="auto"/>
        </w:rPr>
      </w:pPr>
    </w:p>
    <w:p w14:paraId="43B631EB">
      <w:pPr>
        <w:keepNext w:val="0"/>
        <w:keepLines w:val="0"/>
        <w:pageBreakBefore w:val="0"/>
        <w:kinsoku/>
        <w:overflowPunct/>
        <w:bidi w:val="0"/>
        <w:spacing w:line="360" w:lineRule="auto"/>
        <w:rPr>
          <w:rFonts w:hint="eastAsia"/>
          <w:b/>
          <w:bCs/>
          <w:color w:val="auto"/>
          <w:sz w:val="32"/>
          <w:szCs w:val="32"/>
        </w:rPr>
      </w:pPr>
      <w:r>
        <w:rPr>
          <w:rFonts w:hint="eastAsia"/>
          <w:b/>
          <w:bCs/>
          <w:color w:val="auto"/>
          <w:sz w:val="32"/>
          <w:szCs w:val="32"/>
        </w:rPr>
        <w:br w:type="page"/>
      </w:r>
    </w:p>
    <w:p w14:paraId="18B722DE">
      <w:pPr>
        <w:keepNext w:val="0"/>
        <w:keepLines w:val="0"/>
        <w:pageBreakBefore w:val="0"/>
        <w:kinsoku/>
        <w:overflowPunct/>
        <w:bidi w:val="0"/>
        <w:spacing w:line="360" w:lineRule="auto"/>
        <w:ind w:firstLine="643"/>
        <w:jc w:val="center"/>
        <w:rPr>
          <w:b/>
          <w:bCs/>
          <w:color w:val="auto"/>
          <w:sz w:val="32"/>
          <w:szCs w:val="32"/>
        </w:rPr>
      </w:pPr>
      <w:r>
        <w:rPr>
          <w:rFonts w:hint="eastAsia"/>
          <w:b/>
          <w:bCs/>
          <w:color w:val="auto"/>
          <w:sz w:val="32"/>
          <w:szCs w:val="32"/>
        </w:rPr>
        <w:t>《广西壮族自治区政府采购合同》</w:t>
      </w:r>
    </w:p>
    <w:p w14:paraId="099AD1EF">
      <w:pPr>
        <w:keepNext w:val="0"/>
        <w:keepLines w:val="0"/>
        <w:pageBreakBefore w:val="0"/>
        <w:kinsoku/>
        <w:overflowPunct/>
        <w:bidi w:val="0"/>
        <w:spacing w:line="360" w:lineRule="auto"/>
        <w:ind w:right="480" w:firstLine="5250" w:firstLineChars="2500"/>
        <w:rPr>
          <w:bCs/>
          <w:color w:val="auto"/>
          <w:u w:val="single"/>
        </w:rPr>
      </w:pPr>
      <w:r>
        <w:rPr>
          <w:rFonts w:hint="eastAsia"/>
          <w:bCs/>
          <w:color w:val="auto"/>
        </w:rPr>
        <w:t>合同编号：</w:t>
      </w:r>
    </w:p>
    <w:p w14:paraId="6B8B4C69">
      <w:pPr>
        <w:keepNext w:val="0"/>
        <w:keepLines w:val="0"/>
        <w:pageBreakBefore w:val="0"/>
        <w:kinsoku/>
        <w:overflowPunct/>
        <w:bidi w:val="0"/>
        <w:spacing w:line="360" w:lineRule="auto"/>
        <w:ind w:firstLine="420"/>
        <w:rPr>
          <w:color w:val="auto"/>
        </w:rPr>
      </w:pPr>
    </w:p>
    <w:p w14:paraId="4DDCF171">
      <w:pPr>
        <w:keepNext w:val="0"/>
        <w:keepLines w:val="0"/>
        <w:pageBreakBefore w:val="0"/>
        <w:kinsoku/>
        <w:overflowPunct/>
        <w:bidi w:val="0"/>
        <w:spacing w:line="360" w:lineRule="auto"/>
        <w:ind w:firstLine="420"/>
        <w:rPr>
          <w:color w:val="auto"/>
          <w:u w:val="single"/>
        </w:rPr>
      </w:pPr>
      <w:r>
        <w:rPr>
          <w:rFonts w:hint="eastAsia"/>
          <w:color w:val="auto"/>
        </w:rPr>
        <w:t xml:space="preserve">采购单位（甲方）                                 </w:t>
      </w:r>
      <w:r>
        <w:rPr>
          <w:rFonts w:hint="eastAsia"/>
          <w:color w:val="auto"/>
          <w:spacing w:val="-20"/>
        </w:rPr>
        <w:t>采 购 计 划 号</w:t>
      </w:r>
    </w:p>
    <w:p w14:paraId="7923EA3F">
      <w:pPr>
        <w:keepNext w:val="0"/>
        <w:keepLines w:val="0"/>
        <w:pageBreakBefore w:val="0"/>
        <w:kinsoku/>
        <w:overflowPunct/>
        <w:bidi w:val="0"/>
        <w:spacing w:line="360" w:lineRule="auto"/>
        <w:ind w:firstLine="420"/>
        <w:rPr>
          <w:color w:val="auto"/>
          <w:u w:val="single"/>
        </w:rPr>
      </w:pPr>
      <w:r>
        <w:rPr>
          <w:rFonts w:hint="eastAsia"/>
          <w:color w:val="auto"/>
        </w:rPr>
        <w:t xml:space="preserve">供 应 商（乙方）                                 </w:t>
      </w:r>
      <w:r>
        <w:rPr>
          <w:rFonts w:hint="eastAsia"/>
          <w:color w:val="auto"/>
          <w:spacing w:val="-20"/>
        </w:rPr>
        <w:t>招  标  编  号</w:t>
      </w:r>
    </w:p>
    <w:p w14:paraId="43DD621A">
      <w:pPr>
        <w:keepNext w:val="0"/>
        <w:keepLines w:val="0"/>
        <w:pageBreakBefore w:val="0"/>
        <w:kinsoku/>
        <w:overflowPunct/>
        <w:bidi w:val="0"/>
        <w:spacing w:line="360" w:lineRule="auto"/>
        <w:ind w:firstLine="420"/>
        <w:rPr>
          <w:color w:val="auto"/>
          <w:u w:val="single"/>
        </w:rPr>
      </w:pPr>
      <w:r>
        <w:rPr>
          <w:rFonts w:hint="eastAsia"/>
          <w:color w:val="auto"/>
        </w:rPr>
        <w:t>签  订  地  点                                    签 订 时 间</w:t>
      </w:r>
    </w:p>
    <w:p w14:paraId="4A69673C">
      <w:pPr>
        <w:keepNext w:val="0"/>
        <w:keepLines w:val="0"/>
        <w:pageBreakBefore w:val="0"/>
        <w:kinsoku/>
        <w:overflowPunct/>
        <w:bidi w:val="0"/>
        <w:spacing w:line="360" w:lineRule="auto"/>
        <w:ind w:firstLine="420"/>
        <w:rPr>
          <w:color w:val="auto"/>
        </w:rPr>
      </w:pPr>
    </w:p>
    <w:p w14:paraId="64165490">
      <w:pPr>
        <w:keepNext w:val="0"/>
        <w:keepLines w:val="0"/>
        <w:pageBreakBefore w:val="0"/>
        <w:kinsoku/>
        <w:overflowPunct/>
        <w:bidi w:val="0"/>
        <w:spacing w:line="360" w:lineRule="auto"/>
        <w:ind w:firstLine="420"/>
        <w:rPr>
          <w:color w:val="auto"/>
        </w:rPr>
      </w:pPr>
      <w:r>
        <w:rPr>
          <w:rFonts w:hint="eastAsia"/>
          <w:color w:val="auto"/>
        </w:rPr>
        <w:t>根据《中华人民共和国政府采购法》、《中华人民共和国民法典》等法律、法规规定，按照招投标文件（采购文件）规定条款和中标（成交）中标人承诺，甲乙双方签订本合同。</w:t>
      </w:r>
    </w:p>
    <w:p w14:paraId="01D5DA30">
      <w:pPr>
        <w:keepNext w:val="0"/>
        <w:keepLines w:val="0"/>
        <w:pageBreakBefore w:val="0"/>
        <w:kinsoku/>
        <w:overflowPunct/>
        <w:bidi w:val="0"/>
        <w:spacing w:line="360" w:lineRule="auto"/>
        <w:ind w:firstLine="422"/>
        <w:rPr>
          <w:rFonts w:hint="default" w:eastAsia="宋体"/>
          <w:b/>
          <w:color w:val="auto"/>
          <w:lang w:val="en-US" w:eastAsia="zh-CN"/>
        </w:rPr>
      </w:pPr>
      <w:r>
        <w:rPr>
          <w:rFonts w:hint="eastAsia"/>
          <w:b/>
          <w:color w:val="auto"/>
        </w:rPr>
        <w:t>第一条　合同标的</w:t>
      </w:r>
      <w:r>
        <w:rPr>
          <w:rFonts w:hint="eastAsia"/>
          <w:b/>
          <w:color w:val="auto"/>
          <w:lang w:val="en-US" w:eastAsia="zh-CN"/>
        </w:rPr>
        <w:t>和服务内容</w:t>
      </w:r>
    </w:p>
    <w:p w14:paraId="2881BA13">
      <w:pPr>
        <w:keepNext w:val="0"/>
        <w:keepLines w:val="0"/>
        <w:pageBreakBefore w:val="0"/>
        <w:kinsoku/>
        <w:overflowPunct/>
        <w:bidi w:val="0"/>
        <w:spacing w:line="360" w:lineRule="auto"/>
        <w:ind w:firstLine="420"/>
        <w:rPr>
          <w:rFonts w:hint="default" w:ascii="宋体" w:hAnsi="宋体" w:eastAsia="宋体" w:cs="宋体"/>
          <w:color w:val="auto"/>
          <w:lang w:val="en-US" w:eastAsia="zh-CN"/>
        </w:rPr>
      </w:pPr>
      <w:r>
        <w:rPr>
          <w:rFonts w:hint="eastAsia" w:ascii="宋体" w:hAnsi="宋体" w:eastAsia="宋体" w:cs="宋体"/>
          <w:color w:val="auto"/>
        </w:rPr>
        <w:t>1、</w:t>
      </w:r>
      <w:r>
        <w:rPr>
          <w:rFonts w:hint="eastAsia" w:ascii="宋体" w:hAnsi="宋体" w:cs="宋体"/>
          <w:color w:val="auto"/>
          <w:lang w:val="en-US" w:eastAsia="zh-CN"/>
        </w:rPr>
        <w:t>服务要求一览表</w:t>
      </w:r>
    </w:p>
    <w:tbl>
      <w:tblPr>
        <w:tblStyle w:val="25"/>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46"/>
        <w:gridCol w:w="2114"/>
        <w:gridCol w:w="1477"/>
        <w:gridCol w:w="3171"/>
        <w:gridCol w:w="1111"/>
      </w:tblGrid>
      <w:tr w14:paraId="74E994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379" w:type="pct"/>
            <w:tcBorders>
              <w:top w:val="single" w:color="auto" w:sz="4" w:space="0"/>
              <w:left w:val="single" w:color="auto" w:sz="4" w:space="0"/>
              <w:bottom w:val="single" w:color="auto" w:sz="4" w:space="0"/>
              <w:right w:val="single" w:color="auto" w:sz="4" w:space="0"/>
            </w:tcBorders>
            <w:noWrap w:val="0"/>
            <w:vAlign w:val="center"/>
          </w:tcPr>
          <w:p w14:paraId="3D99E53F">
            <w:pPr>
              <w:shd w:val="clear" w:color="auto" w:fill="auto"/>
              <w:snapToGrid w:val="0"/>
              <w:spacing w:before="50" w:after="50" w:line="360" w:lineRule="exact"/>
              <w:rPr>
                <w:rFonts w:hint="eastAsia" w:ascii="宋体" w:hAnsi="宋体"/>
                <w:color w:val="auto"/>
                <w:szCs w:val="21"/>
                <w:highlight w:val="none"/>
              </w:rPr>
            </w:pPr>
            <w:r>
              <w:rPr>
                <w:rFonts w:hint="eastAsia" w:ascii="宋体" w:hAnsi="宋体"/>
                <w:color w:val="auto"/>
                <w:szCs w:val="21"/>
                <w:highlight w:val="none"/>
              </w:rPr>
              <w:t>序号</w:t>
            </w:r>
          </w:p>
        </w:tc>
        <w:tc>
          <w:tcPr>
            <w:tcW w:w="1241" w:type="pct"/>
            <w:tcBorders>
              <w:top w:val="single" w:color="auto" w:sz="4" w:space="0"/>
              <w:left w:val="single" w:color="auto" w:sz="4" w:space="0"/>
              <w:bottom w:val="single" w:color="auto" w:sz="4" w:space="0"/>
              <w:right w:val="single" w:color="auto" w:sz="4" w:space="0"/>
            </w:tcBorders>
            <w:noWrap w:val="0"/>
            <w:vAlign w:val="center"/>
          </w:tcPr>
          <w:p w14:paraId="76A5B209">
            <w:pPr>
              <w:shd w:val="clear" w:color="auto" w:fill="auto"/>
              <w:snapToGrid w:val="0"/>
              <w:spacing w:before="50" w:after="50" w:line="360" w:lineRule="exact"/>
              <w:jc w:val="center"/>
              <w:rPr>
                <w:rFonts w:hint="eastAsia" w:ascii="宋体" w:hAnsi="宋体"/>
                <w:color w:val="auto"/>
                <w:szCs w:val="21"/>
                <w:highlight w:val="none"/>
              </w:rPr>
            </w:pPr>
            <w:r>
              <w:rPr>
                <w:rFonts w:hint="eastAsia" w:ascii="宋体" w:hAnsi="宋体"/>
                <w:color w:val="auto"/>
                <w:szCs w:val="21"/>
                <w:highlight w:val="none"/>
                <w:lang w:val="en-US" w:eastAsia="zh-CN"/>
              </w:rPr>
              <w:t>标的</w:t>
            </w:r>
            <w:r>
              <w:rPr>
                <w:rFonts w:hint="eastAsia" w:ascii="宋体" w:hAnsi="宋体"/>
                <w:color w:val="auto"/>
                <w:szCs w:val="21"/>
                <w:highlight w:val="none"/>
              </w:rPr>
              <w:t>名称</w:t>
            </w:r>
          </w:p>
        </w:tc>
        <w:tc>
          <w:tcPr>
            <w:tcW w:w="866" w:type="pct"/>
            <w:tcBorders>
              <w:top w:val="single" w:color="auto" w:sz="4" w:space="0"/>
              <w:left w:val="single" w:color="auto" w:sz="4" w:space="0"/>
              <w:bottom w:val="single" w:color="auto" w:sz="4" w:space="0"/>
              <w:right w:val="single" w:color="auto" w:sz="4" w:space="0"/>
            </w:tcBorders>
            <w:noWrap w:val="0"/>
            <w:vAlign w:val="center"/>
          </w:tcPr>
          <w:p w14:paraId="66BCD3FB">
            <w:pPr>
              <w:shd w:val="clear" w:color="auto" w:fill="auto"/>
              <w:snapToGrid w:val="0"/>
              <w:spacing w:before="50" w:after="50" w:line="36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数量及单位</w:t>
            </w:r>
          </w:p>
        </w:tc>
        <w:tc>
          <w:tcPr>
            <w:tcW w:w="1861" w:type="pct"/>
            <w:tcBorders>
              <w:top w:val="single" w:color="auto" w:sz="4" w:space="0"/>
              <w:left w:val="single" w:color="auto" w:sz="4" w:space="0"/>
              <w:bottom w:val="single" w:color="auto" w:sz="4" w:space="0"/>
              <w:right w:val="single" w:color="auto" w:sz="4" w:space="0"/>
            </w:tcBorders>
            <w:noWrap w:val="0"/>
            <w:vAlign w:val="center"/>
          </w:tcPr>
          <w:p w14:paraId="3955F0FB">
            <w:pPr>
              <w:shd w:val="clear" w:color="auto" w:fill="auto"/>
              <w:snapToGrid w:val="0"/>
              <w:spacing w:before="50" w:after="50" w:line="360" w:lineRule="exact"/>
              <w:jc w:val="center"/>
              <w:rPr>
                <w:rFonts w:hint="eastAsia" w:ascii="宋体" w:hAnsi="宋体"/>
                <w:color w:val="auto"/>
                <w:szCs w:val="21"/>
                <w:highlight w:val="none"/>
              </w:rPr>
            </w:pPr>
            <w:r>
              <w:rPr>
                <w:rFonts w:hint="eastAsia" w:ascii="宋体" w:hAnsi="宋体"/>
                <w:color w:val="auto"/>
                <w:szCs w:val="21"/>
                <w:highlight w:val="none"/>
                <w:lang w:val="en-US" w:eastAsia="zh-CN"/>
              </w:rPr>
              <w:t>单项</w:t>
            </w:r>
            <w:r>
              <w:rPr>
                <w:rFonts w:hint="eastAsia" w:ascii="宋体" w:hAnsi="宋体"/>
                <w:color w:val="auto"/>
                <w:szCs w:val="21"/>
                <w:highlight w:val="none"/>
              </w:rPr>
              <w:t>报价（元）</w:t>
            </w:r>
          </w:p>
        </w:tc>
        <w:tc>
          <w:tcPr>
            <w:tcW w:w="650" w:type="pct"/>
            <w:tcBorders>
              <w:top w:val="single" w:color="auto" w:sz="4" w:space="0"/>
              <w:left w:val="single" w:color="auto" w:sz="4" w:space="0"/>
              <w:bottom w:val="single" w:color="auto" w:sz="4" w:space="0"/>
              <w:right w:val="single" w:color="auto" w:sz="4" w:space="0"/>
            </w:tcBorders>
            <w:noWrap w:val="0"/>
            <w:vAlign w:val="center"/>
          </w:tcPr>
          <w:p w14:paraId="49EA6EB0">
            <w:pPr>
              <w:shd w:val="clear" w:color="auto" w:fill="auto"/>
              <w:snapToGrid w:val="0"/>
              <w:spacing w:before="50" w:after="50" w:line="360" w:lineRule="exact"/>
              <w:jc w:val="center"/>
              <w:rPr>
                <w:rFonts w:hint="eastAsia" w:ascii="宋体" w:hAnsi="宋体"/>
                <w:color w:val="auto"/>
                <w:szCs w:val="21"/>
                <w:highlight w:val="none"/>
              </w:rPr>
            </w:pPr>
            <w:r>
              <w:rPr>
                <w:rFonts w:hint="eastAsia" w:ascii="宋体" w:hAnsi="宋体"/>
                <w:color w:val="auto"/>
                <w:szCs w:val="21"/>
                <w:highlight w:val="none"/>
              </w:rPr>
              <w:t>备注</w:t>
            </w:r>
          </w:p>
        </w:tc>
      </w:tr>
      <w:tr w14:paraId="74D932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379" w:type="pct"/>
            <w:tcBorders>
              <w:top w:val="single" w:color="auto" w:sz="4" w:space="0"/>
              <w:left w:val="single" w:color="auto" w:sz="4" w:space="0"/>
              <w:bottom w:val="single" w:color="auto" w:sz="4" w:space="0"/>
              <w:right w:val="single" w:color="auto" w:sz="4" w:space="0"/>
            </w:tcBorders>
            <w:noWrap w:val="0"/>
            <w:vAlign w:val="center"/>
          </w:tcPr>
          <w:p w14:paraId="7683215E">
            <w:pPr>
              <w:shd w:val="clear" w:color="auto" w:fill="auto"/>
              <w:jc w:val="center"/>
              <w:rPr>
                <w:rFonts w:hint="eastAsia"/>
                <w:color w:val="auto"/>
                <w:highlight w:val="none"/>
              </w:rPr>
            </w:pPr>
          </w:p>
        </w:tc>
        <w:tc>
          <w:tcPr>
            <w:tcW w:w="1241" w:type="pct"/>
            <w:tcBorders>
              <w:top w:val="single" w:color="auto" w:sz="4" w:space="0"/>
              <w:left w:val="single" w:color="auto" w:sz="4" w:space="0"/>
              <w:bottom w:val="single" w:color="auto" w:sz="4" w:space="0"/>
              <w:right w:val="single" w:color="auto" w:sz="4" w:space="0"/>
            </w:tcBorders>
            <w:noWrap w:val="0"/>
            <w:vAlign w:val="center"/>
          </w:tcPr>
          <w:p w14:paraId="4B1D0B9F">
            <w:pPr>
              <w:shd w:val="clear" w:color="auto" w:fill="auto"/>
              <w:jc w:val="center"/>
              <w:rPr>
                <w:rFonts w:hint="eastAsia"/>
                <w:color w:val="auto"/>
                <w:highlight w:val="none"/>
              </w:rPr>
            </w:pPr>
          </w:p>
        </w:tc>
        <w:tc>
          <w:tcPr>
            <w:tcW w:w="866" w:type="pct"/>
            <w:tcBorders>
              <w:top w:val="single" w:color="auto" w:sz="4" w:space="0"/>
              <w:left w:val="single" w:color="auto" w:sz="4" w:space="0"/>
              <w:bottom w:val="single" w:color="auto" w:sz="4" w:space="0"/>
              <w:right w:val="single" w:color="auto" w:sz="4" w:space="0"/>
            </w:tcBorders>
            <w:noWrap w:val="0"/>
            <w:vAlign w:val="center"/>
          </w:tcPr>
          <w:p w14:paraId="28058302">
            <w:pPr>
              <w:shd w:val="clear" w:color="auto" w:fill="auto"/>
              <w:jc w:val="center"/>
              <w:rPr>
                <w:rFonts w:hint="default" w:eastAsia="宋体"/>
                <w:color w:val="auto"/>
                <w:highlight w:val="none"/>
                <w:lang w:val="en-US" w:eastAsia="zh-CN"/>
              </w:rPr>
            </w:pPr>
            <w:r>
              <w:rPr>
                <w:rFonts w:hint="eastAsia"/>
                <w:color w:val="auto"/>
                <w:highlight w:val="none"/>
                <w:lang w:val="en-US" w:eastAsia="zh-CN"/>
              </w:rPr>
              <w:t>1项</w:t>
            </w:r>
          </w:p>
        </w:tc>
        <w:tc>
          <w:tcPr>
            <w:tcW w:w="1861" w:type="pct"/>
            <w:tcBorders>
              <w:top w:val="single" w:color="auto" w:sz="4" w:space="0"/>
              <w:left w:val="single" w:color="auto" w:sz="4" w:space="0"/>
              <w:bottom w:val="single" w:color="auto" w:sz="4" w:space="0"/>
              <w:right w:val="single" w:color="auto" w:sz="4" w:space="0"/>
            </w:tcBorders>
            <w:noWrap w:val="0"/>
            <w:vAlign w:val="center"/>
          </w:tcPr>
          <w:p w14:paraId="415E187F">
            <w:pPr>
              <w:shd w:val="clear" w:color="auto" w:fill="auto"/>
              <w:jc w:val="center"/>
              <w:rPr>
                <w:rFonts w:hint="eastAsia"/>
                <w:color w:val="auto"/>
                <w:highlight w:val="none"/>
              </w:rPr>
            </w:pPr>
          </w:p>
        </w:tc>
        <w:tc>
          <w:tcPr>
            <w:tcW w:w="650" w:type="pct"/>
            <w:tcBorders>
              <w:top w:val="single" w:color="auto" w:sz="4" w:space="0"/>
              <w:left w:val="single" w:color="auto" w:sz="4" w:space="0"/>
              <w:bottom w:val="single" w:color="auto" w:sz="4" w:space="0"/>
              <w:right w:val="single" w:color="auto" w:sz="4" w:space="0"/>
            </w:tcBorders>
            <w:noWrap w:val="0"/>
            <w:vAlign w:val="center"/>
          </w:tcPr>
          <w:p w14:paraId="3B88C014">
            <w:pPr>
              <w:shd w:val="clear" w:color="auto" w:fill="auto"/>
              <w:jc w:val="center"/>
              <w:rPr>
                <w:rFonts w:hint="eastAsia"/>
                <w:color w:val="auto"/>
                <w:highlight w:val="none"/>
              </w:rPr>
            </w:pPr>
          </w:p>
        </w:tc>
      </w:tr>
      <w:tr w14:paraId="738892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379" w:type="pct"/>
            <w:tcBorders>
              <w:top w:val="single" w:color="auto" w:sz="4" w:space="0"/>
              <w:left w:val="single" w:color="auto" w:sz="4" w:space="0"/>
              <w:bottom w:val="single" w:color="auto" w:sz="4" w:space="0"/>
              <w:right w:val="single" w:color="auto" w:sz="4" w:space="0"/>
            </w:tcBorders>
            <w:noWrap w:val="0"/>
            <w:vAlign w:val="center"/>
          </w:tcPr>
          <w:p w14:paraId="79F1DFF0">
            <w:pPr>
              <w:shd w:val="clear" w:color="auto" w:fill="auto"/>
              <w:jc w:val="center"/>
              <w:rPr>
                <w:rFonts w:hint="eastAsia"/>
                <w:color w:val="auto"/>
                <w:highlight w:val="none"/>
              </w:rPr>
            </w:pPr>
          </w:p>
        </w:tc>
        <w:tc>
          <w:tcPr>
            <w:tcW w:w="1241" w:type="pct"/>
            <w:tcBorders>
              <w:top w:val="single" w:color="auto" w:sz="4" w:space="0"/>
              <w:left w:val="single" w:color="auto" w:sz="4" w:space="0"/>
              <w:bottom w:val="single" w:color="auto" w:sz="4" w:space="0"/>
              <w:right w:val="single" w:color="auto" w:sz="4" w:space="0"/>
            </w:tcBorders>
            <w:noWrap w:val="0"/>
            <w:vAlign w:val="center"/>
          </w:tcPr>
          <w:p w14:paraId="6EC6D7D2">
            <w:pPr>
              <w:shd w:val="clear" w:color="auto" w:fill="auto"/>
              <w:jc w:val="center"/>
              <w:rPr>
                <w:rFonts w:hint="eastAsia"/>
                <w:color w:val="auto"/>
                <w:highlight w:val="none"/>
              </w:rPr>
            </w:pPr>
          </w:p>
        </w:tc>
        <w:tc>
          <w:tcPr>
            <w:tcW w:w="866" w:type="pct"/>
            <w:tcBorders>
              <w:top w:val="single" w:color="auto" w:sz="4" w:space="0"/>
              <w:left w:val="single" w:color="auto" w:sz="4" w:space="0"/>
              <w:bottom w:val="single" w:color="auto" w:sz="4" w:space="0"/>
              <w:right w:val="single" w:color="auto" w:sz="4" w:space="0"/>
            </w:tcBorders>
            <w:noWrap w:val="0"/>
            <w:vAlign w:val="center"/>
          </w:tcPr>
          <w:p w14:paraId="7DD40E2E">
            <w:pPr>
              <w:shd w:val="clear" w:color="auto" w:fill="auto"/>
              <w:jc w:val="center"/>
              <w:rPr>
                <w:rFonts w:hint="eastAsia"/>
                <w:color w:val="auto"/>
                <w:highlight w:val="none"/>
              </w:rPr>
            </w:pPr>
          </w:p>
        </w:tc>
        <w:tc>
          <w:tcPr>
            <w:tcW w:w="1861" w:type="pct"/>
            <w:tcBorders>
              <w:top w:val="single" w:color="auto" w:sz="4" w:space="0"/>
              <w:left w:val="single" w:color="auto" w:sz="4" w:space="0"/>
              <w:bottom w:val="single" w:color="auto" w:sz="4" w:space="0"/>
              <w:right w:val="single" w:color="auto" w:sz="4" w:space="0"/>
            </w:tcBorders>
            <w:noWrap w:val="0"/>
            <w:vAlign w:val="center"/>
          </w:tcPr>
          <w:p w14:paraId="39EDC0E3">
            <w:pPr>
              <w:shd w:val="clear" w:color="auto" w:fill="auto"/>
              <w:jc w:val="center"/>
              <w:rPr>
                <w:rFonts w:hint="eastAsia"/>
                <w:color w:val="auto"/>
                <w:highlight w:val="none"/>
              </w:rPr>
            </w:pPr>
          </w:p>
        </w:tc>
        <w:tc>
          <w:tcPr>
            <w:tcW w:w="650" w:type="pct"/>
            <w:tcBorders>
              <w:top w:val="single" w:color="auto" w:sz="4" w:space="0"/>
              <w:left w:val="single" w:color="auto" w:sz="4" w:space="0"/>
              <w:bottom w:val="single" w:color="auto" w:sz="4" w:space="0"/>
              <w:right w:val="single" w:color="auto" w:sz="4" w:space="0"/>
            </w:tcBorders>
            <w:noWrap w:val="0"/>
            <w:vAlign w:val="center"/>
          </w:tcPr>
          <w:p w14:paraId="0B3E3CAF">
            <w:pPr>
              <w:shd w:val="clear" w:color="auto" w:fill="auto"/>
              <w:jc w:val="center"/>
              <w:rPr>
                <w:rFonts w:hint="eastAsia"/>
                <w:color w:val="auto"/>
                <w:highlight w:val="none"/>
              </w:rPr>
            </w:pPr>
          </w:p>
        </w:tc>
      </w:tr>
      <w:tr w14:paraId="3D3F5F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379" w:type="pct"/>
            <w:tcBorders>
              <w:top w:val="single" w:color="auto" w:sz="4" w:space="0"/>
              <w:left w:val="single" w:color="auto" w:sz="4" w:space="0"/>
              <w:bottom w:val="single" w:color="auto" w:sz="4" w:space="0"/>
              <w:right w:val="single" w:color="auto" w:sz="4" w:space="0"/>
            </w:tcBorders>
            <w:noWrap w:val="0"/>
            <w:vAlign w:val="center"/>
          </w:tcPr>
          <w:p w14:paraId="37D92F92">
            <w:pPr>
              <w:shd w:val="clear" w:color="auto" w:fill="auto"/>
              <w:jc w:val="center"/>
              <w:rPr>
                <w:rFonts w:hint="eastAsia"/>
                <w:color w:val="auto"/>
                <w:highlight w:val="none"/>
              </w:rPr>
            </w:pPr>
          </w:p>
        </w:tc>
        <w:tc>
          <w:tcPr>
            <w:tcW w:w="1241" w:type="pct"/>
            <w:tcBorders>
              <w:top w:val="single" w:color="auto" w:sz="4" w:space="0"/>
              <w:left w:val="single" w:color="auto" w:sz="4" w:space="0"/>
              <w:bottom w:val="single" w:color="auto" w:sz="4" w:space="0"/>
              <w:right w:val="single" w:color="auto" w:sz="4" w:space="0"/>
            </w:tcBorders>
            <w:noWrap w:val="0"/>
            <w:vAlign w:val="center"/>
          </w:tcPr>
          <w:p w14:paraId="735CD97C">
            <w:pPr>
              <w:shd w:val="clear" w:color="auto" w:fill="auto"/>
              <w:jc w:val="center"/>
              <w:rPr>
                <w:rFonts w:hint="eastAsia"/>
                <w:color w:val="auto"/>
                <w:highlight w:val="none"/>
              </w:rPr>
            </w:pPr>
          </w:p>
        </w:tc>
        <w:tc>
          <w:tcPr>
            <w:tcW w:w="866" w:type="pct"/>
            <w:tcBorders>
              <w:top w:val="single" w:color="auto" w:sz="4" w:space="0"/>
              <w:left w:val="single" w:color="auto" w:sz="4" w:space="0"/>
              <w:bottom w:val="single" w:color="auto" w:sz="4" w:space="0"/>
              <w:right w:val="single" w:color="auto" w:sz="4" w:space="0"/>
            </w:tcBorders>
            <w:noWrap w:val="0"/>
            <w:vAlign w:val="center"/>
          </w:tcPr>
          <w:p w14:paraId="3E6745FA">
            <w:pPr>
              <w:shd w:val="clear" w:color="auto" w:fill="auto"/>
              <w:jc w:val="center"/>
              <w:rPr>
                <w:rFonts w:hint="eastAsia"/>
                <w:color w:val="auto"/>
                <w:highlight w:val="none"/>
              </w:rPr>
            </w:pPr>
          </w:p>
        </w:tc>
        <w:tc>
          <w:tcPr>
            <w:tcW w:w="1861" w:type="pct"/>
            <w:tcBorders>
              <w:top w:val="single" w:color="auto" w:sz="4" w:space="0"/>
              <w:left w:val="single" w:color="auto" w:sz="4" w:space="0"/>
              <w:bottom w:val="single" w:color="auto" w:sz="4" w:space="0"/>
              <w:right w:val="single" w:color="auto" w:sz="4" w:space="0"/>
            </w:tcBorders>
            <w:noWrap w:val="0"/>
            <w:vAlign w:val="center"/>
          </w:tcPr>
          <w:p w14:paraId="1CFD5001">
            <w:pPr>
              <w:shd w:val="clear" w:color="auto" w:fill="auto"/>
              <w:jc w:val="center"/>
              <w:rPr>
                <w:rFonts w:hint="eastAsia"/>
                <w:color w:val="auto"/>
                <w:highlight w:val="none"/>
              </w:rPr>
            </w:pPr>
          </w:p>
        </w:tc>
        <w:tc>
          <w:tcPr>
            <w:tcW w:w="650" w:type="pct"/>
            <w:tcBorders>
              <w:top w:val="single" w:color="auto" w:sz="4" w:space="0"/>
              <w:left w:val="single" w:color="auto" w:sz="4" w:space="0"/>
              <w:bottom w:val="single" w:color="auto" w:sz="4" w:space="0"/>
              <w:right w:val="single" w:color="auto" w:sz="4" w:space="0"/>
            </w:tcBorders>
            <w:noWrap w:val="0"/>
            <w:vAlign w:val="center"/>
          </w:tcPr>
          <w:p w14:paraId="5D8C7EF9">
            <w:pPr>
              <w:shd w:val="clear" w:color="auto" w:fill="auto"/>
              <w:jc w:val="center"/>
              <w:rPr>
                <w:rFonts w:hint="eastAsia"/>
                <w:color w:val="auto"/>
                <w:highlight w:val="none"/>
              </w:rPr>
            </w:pPr>
          </w:p>
        </w:tc>
      </w:tr>
      <w:tr w14:paraId="49BC11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7" w:hRule="atLeast"/>
          <w:jc w:val="center"/>
        </w:trPr>
        <w:tc>
          <w:tcPr>
            <w:tcW w:w="379" w:type="pct"/>
            <w:tcBorders>
              <w:top w:val="single" w:color="auto" w:sz="4" w:space="0"/>
              <w:left w:val="single" w:color="auto" w:sz="4" w:space="0"/>
              <w:bottom w:val="single" w:color="auto" w:sz="4" w:space="0"/>
              <w:right w:val="single" w:color="auto" w:sz="4" w:space="0"/>
            </w:tcBorders>
            <w:noWrap w:val="0"/>
            <w:vAlign w:val="center"/>
          </w:tcPr>
          <w:p w14:paraId="48D1A349">
            <w:pPr>
              <w:shd w:val="clear" w:color="auto" w:fill="auto"/>
              <w:jc w:val="center"/>
              <w:rPr>
                <w:rFonts w:hint="eastAsia"/>
                <w:color w:val="auto"/>
                <w:highlight w:val="none"/>
              </w:rPr>
            </w:pPr>
          </w:p>
        </w:tc>
        <w:tc>
          <w:tcPr>
            <w:tcW w:w="1241" w:type="pct"/>
            <w:tcBorders>
              <w:top w:val="single" w:color="auto" w:sz="4" w:space="0"/>
              <w:left w:val="single" w:color="auto" w:sz="4" w:space="0"/>
              <w:bottom w:val="single" w:color="auto" w:sz="4" w:space="0"/>
              <w:right w:val="single" w:color="auto" w:sz="4" w:space="0"/>
            </w:tcBorders>
            <w:noWrap w:val="0"/>
            <w:vAlign w:val="center"/>
          </w:tcPr>
          <w:p w14:paraId="67519AC8">
            <w:pPr>
              <w:shd w:val="clear" w:color="auto" w:fill="auto"/>
              <w:jc w:val="center"/>
              <w:rPr>
                <w:rFonts w:hint="eastAsia"/>
                <w:color w:val="auto"/>
                <w:highlight w:val="none"/>
              </w:rPr>
            </w:pPr>
          </w:p>
        </w:tc>
        <w:tc>
          <w:tcPr>
            <w:tcW w:w="866" w:type="pct"/>
            <w:tcBorders>
              <w:top w:val="single" w:color="auto" w:sz="4" w:space="0"/>
              <w:left w:val="single" w:color="auto" w:sz="4" w:space="0"/>
              <w:bottom w:val="single" w:color="auto" w:sz="4" w:space="0"/>
              <w:right w:val="single" w:color="auto" w:sz="4" w:space="0"/>
            </w:tcBorders>
            <w:noWrap w:val="0"/>
            <w:vAlign w:val="center"/>
          </w:tcPr>
          <w:p w14:paraId="71F4615D">
            <w:pPr>
              <w:shd w:val="clear" w:color="auto" w:fill="auto"/>
              <w:jc w:val="center"/>
              <w:rPr>
                <w:rFonts w:hint="eastAsia"/>
                <w:color w:val="auto"/>
                <w:highlight w:val="none"/>
              </w:rPr>
            </w:pPr>
          </w:p>
        </w:tc>
        <w:tc>
          <w:tcPr>
            <w:tcW w:w="1861" w:type="pct"/>
            <w:tcBorders>
              <w:top w:val="single" w:color="auto" w:sz="4" w:space="0"/>
              <w:left w:val="single" w:color="auto" w:sz="4" w:space="0"/>
              <w:bottom w:val="single" w:color="auto" w:sz="4" w:space="0"/>
              <w:right w:val="single" w:color="auto" w:sz="4" w:space="0"/>
            </w:tcBorders>
            <w:noWrap w:val="0"/>
            <w:vAlign w:val="center"/>
          </w:tcPr>
          <w:p w14:paraId="2CB9FAF1">
            <w:pPr>
              <w:shd w:val="clear" w:color="auto" w:fill="auto"/>
              <w:jc w:val="center"/>
              <w:rPr>
                <w:rFonts w:hint="eastAsia"/>
                <w:color w:val="auto"/>
                <w:highlight w:val="none"/>
              </w:rPr>
            </w:pPr>
          </w:p>
        </w:tc>
        <w:tc>
          <w:tcPr>
            <w:tcW w:w="650" w:type="pct"/>
            <w:tcBorders>
              <w:top w:val="single" w:color="auto" w:sz="4" w:space="0"/>
              <w:left w:val="single" w:color="auto" w:sz="4" w:space="0"/>
              <w:bottom w:val="single" w:color="auto" w:sz="4" w:space="0"/>
              <w:right w:val="single" w:color="auto" w:sz="4" w:space="0"/>
            </w:tcBorders>
            <w:noWrap w:val="0"/>
            <w:vAlign w:val="center"/>
          </w:tcPr>
          <w:p w14:paraId="551665A6">
            <w:pPr>
              <w:shd w:val="clear" w:color="auto" w:fill="auto"/>
              <w:jc w:val="center"/>
              <w:rPr>
                <w:rFonts w:hint="eastAsia"/>
                <w:color w:val="auto"/>
                <w:highlight w:val="none"/>
              </w:rPr>
            </w:pPr>
          </w:p>
        </w:tc>
      </w:tr>
      <w:tr w14:paraId="43C8DD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379" w:type="pct"/>
            <w:tcBorders>
              <w:top w:val="single" w:color="auto" w:sz="4" w:space="0"/>
              <w:left w:val="single" w:color="auto" w:sz="4" w:space="0"/>
              <w:bottom w:val="single" w:color="auto" w:sz="4" w:space="0"/>
              <w:right w:val="single" w:color="auto" w:sz="4" w:space="0"/>
            </w:tcBorders>
            <w:noWrap w:val="0"/>
            <w:vAlign w:val="center"/>
          </w:tcPr>
          <w:p w14:paraId="3E184A0E">
            <w:pPr>
              <w:shd w:val="clear" w:color="auto" w:fill="auto"/>
              <w:jc w:val="center"/>
              <w:rPr>
                <w:rFonts w:hint="eastAsia"/>
                <w:color w:val="auto"/>
                <w:highlight w:val="none"/>
              </w:rPr>
            </w:pPr>
          </w:p>
        </w:tc>
        <w:tc>
          <w:tcPr>
            <w:tcW w:w="1241" w:type="pct"/>
            <w:tcBorders>
              <w:top w:val="single" w:color="auto" w:sz="4" w:space="0"/>
              <w:left w:val="single" w:color="auto" w:sz="4" w:space="0"/>
              <w:bottom w:val="single" w:color="auto" w:sz="4" w:space="0"/>
              <w:right w:val="single" w:color="auto" w:sz="4" w:space="0"/>
            </w:tcBorders>
            <w:noWrap w:val="0"/>
            <w:vAlign w:val="center"/>
          </w:tcPr>
          <w:p w14:paraId="313C2E90">
            <w:pPr>
              <w:shd w:val="clear" w:color="auto" w:fill="auto"/>
              <w:jc w:val="center"/>
              <w:rPr>
                <w:rFonts w:hint="eastAsia"/>
                <w:color w:val="auto"/>
                <w:highlight w:val="none"/>
              </w:rPr>
            </w:pPr>
          </w:p>
        </w:tc>
        <w:tc>
          <w:tcPr>
            <w:tcW w:w="866" w:type="pct"/>
            <w:tcBorders>
              <w:top w:val="single" w:color="auto" w:sz="4" w:space="0"/>
              <w:left w:val="single" w:color="auto" w:sz="4" w:space="0"/>
              <w:bottom w:val="single" w:color="auto" w:sz="4" w:space="0"/>
              <w:right w:val="single" w:color="auto" w:sz="4" w:space="0"/>
            </w:tcBorders>
            <w:noWrap w:val="0"/>
            <w:vAlign w:val="center"/>
          </w:tcPr>
          <w:p w14:paraId="6D3B9FBC">
            <w:pPr>
              <w:shd w:val="clear" w:color="auto" w:fill="auto"/>
              <w:jc w:val="center"/>
              <w:rPr>
                <w:rFonts w:hint="eastAsia"/>
                <w:color w:val="auto"/>
                <w:highlight w:val="none"/>
              </w:rPr>
            </w:pPr>
          </w:p>
        </w:tc>
        <w:tc>
          <w:tcPr>
            <w:tcW w:w="1861" w:type="pct"/>
            <w:tcBorders>
              <w:top w:val="single" w:color="auto" w:sz="4" w:space="0"/>
              <w:left w:val="single" w:color="auto" w:sz="4" w:space="0"/>
              <w:bottom w:val="single" w:color="auto" w:sz="4" w:space="0"/>
              <w:right w:val="single" w:color="auto" w:sz="4" w:space="0"/>
            </w:tcBorders>
            <w:noWrap w:val="0"/>
            <w:vAlign w:val="center"/>
          </w:tcPr>
          <w:p w14:paraId="3EEE172E">
            <w:pPr>
              <w:shd w:val="clear" w:color="auto" w:fill="auto"/>
              <w:jc w:val="center"/>
              <w:rPr>
                <w:rFonts w:hint="eastAsia"/>
                <w:color w:val="auto"/>
                <w:highlight w:val="none"/>
              </w:rPr>
            </w:pPr>
          </w:p>
        </w:tc>
        <w:tc>
          <w:tcPr>
            <w:tcW w:w="650" w:type="pct"/>
            <w:tcBorders>
              <w:top w:val="single" w:color="auto" w:sz="4" w:space="0"/>
              <w:left w:val="single" w:color="auto" w:sz="4" w:space="0"/>
              <w:bottom w:val="single" w:color="auto" w:sz="4" w:space="0"/>
              <w:right w:val="single" w:color="auto" w:sz="4" w:space="0"/>
            </w:tcBorders>
            <w:noWrap w:val="0"/>
            <w:vAlign w:val="center"/>
          </w:tcPr>
          <w:p w14:paraId="77527E33">
            <w:pPr>
              <w:shd w:val="clear" w:color="auto" w:fill="auto"/>
              <w:jc w:val="center"/>
              <w:rPr>
                <w:rFonts w:hint="eastAsia"/>
                <w:color w:val="auto"/>
                <w:highlight w:val="none"/>
              </w:rPr>
            </w:pPr>
          </w:p>
        </w:tc>
      </w:tr>
      <w:tr w14:paraId="254338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223" w:hRule="atLeast"/>
          <w:jc w:val="center"/>
        </w:trPr>
        <w:tc>
          <w:tcPr>
            <w:tcW w:w="379" w:type="pct"/>
            <w:tcBorders>
              <w:top w:val="single" w:color="auto" w:sz="4" w:space="0"/>
              <w:left w:val="single" w:color="auto" w:sz="4" w:space="0"/>
              <w:bottom w:val="single" w:color="auto" w:sz="4" w:space="0"/>
              <w:right w:val="single" w:color="auto" w:sz="4" w:space="0"/>
            </w:tcBorders>
            <w:noWrap w:val="0"/>
            <w:vAlign w:val="center"/>
          </w:tcPr>
          <w:p w14:paraId="4D243EB5">
            <w:pPr>
              <w:shd w:val="clear" w:color="auto" w:fill="auto"/>
              <w:jc w:val="center"/>
              <w:rPr>
                <w:rFonts w:hint="eastAsia"/>
                <w:color w:val="auto"/>
                <w:highlight w:val="none"/>
              </w:rPr>
            </w:pPr>
          </w:p>
        </w:tc>
        <w:tc>
          <w:tcPr>
            <w:tcW w:w="1241" w:type="pct"/>
            <w:tcBorders>
              <w:top w:val="single" w:color="auto" w:sz="4" w:space="0"/>
              <w:left w:val="single" w:color="auto" w:sz="4" w:space="0"/>
              <w:bottom w:val="single" w:color="auto" w:sz="4" w:space="0"/>
              <w:right w:val="single" w:color="auto" w:sz="4" w:space="0"/>
            </w:tcBorders>
            <w:noWrap w:val="0"/>
            <w:vAlign w:val="center"/>
          </w:tcPr>
          <w:p w14:paraId="1F12860F">
            <w:pPr>
              <w:shd w:val="clear" w:color="auto" w:fill="auto"/>
              <w:jc w:val="center"/>
              <w:rPr>
                <w:rFonts w:hint="eastAsia"/>
                <w:color w:val="auto"/>
                <w:highlight w:val="none"/>
              </w:rPr>
            </w:pPr>
          </w:p>
        </w:tc>
        <w:tc>
          <w:tcPr>
            <w:tcW w:w="866" w:type="pct"/>
            <w:tcBorders>
              <w:top w:val="single" w:color="auto" w:sz="4" w:space="0"/>
              <w:left w:val="single" w:color="auto" w:sz="4" w:space="0"/>
              <w:bottom w:val="single" w:color="auto" w:sz="4" w:space="0"/>
              <w:right w:val="single" w:color="auto" w:sz="4" w:space="0"/>
            </w:tcBorders>
            <w:noWrap w:val="0"/>
            <w:vAlign w:val="center"/>
          </w:tcPr>
          <w:p w14:paraId="26A9B274">
            <w:pPr>
              <w:shd w:val="clear" w:color="auto" w:fill="auto"/>
              <w:jc w:val="center"/>
              <w:rPr>
                <w:rFonts w:hint="eastAsia"/>
                <w:color w:val="auto"/>
                <w:highlight w:val="none"/>
              </w:rPr>
            </w:pPr>
          </w:p>
        </w:tc>
        <w:tc>
          <w:tcPr>
            <w:tcW w:w="1861" w:type="pct"/>
            <w:tcBorders>
              <w:top w:val="single" w:color="auto" w:sz="4" w:space="0"/>
              <w:left w:val="single" w:color="auto" w:sz="4" w:space="0"/>
              <w:bottom w:val="single" w:color="auto" w:sz="4" w:space="0"/>
              <w:right w:val="single" w:color="auto" w:sz="4" w:space="0"/>
            </w:tcBorders>
            <w:noWrap w:val="0"/>
            <w:vAlign w:val="center"/>
          </w:tcPr>
          <w:p w14:paraId="1E3E57C9">
            <w:pPr>
              <w:shd w:val="clear" w:color="auto" w:fill="auto"/>
              <w:jc w:val="center"/>
              <w:rPr>
                <w:rFonts w:hint="eastAsia"/>
                <w:color w:val="auto"/>
                <w:highlight w:val="none"/>
              </w:rPr>
            </w:pPr>
          </w:p>
        </w:tc>
        <w:tc>
          <w:tcPr>
            <w:tcW w:w="650" w:type="pct"/>
            <w:tcBorders>
              <w:top w:val="single" w:color="auto" w:sz="4" w:space="0"/>
              <w:left w:val="single" w:color="auto" w:sz="4" w:space="0"/>
              <w:bottom w:val="single" w:color="auto" w:sz="4" w:space="0"/>
              <w:right w:val="single" w:color="auto" w:sz="4" w:space="0"/>
            </w:tcBorders>
            <w:noWrap w:val="0"/>
            <w:vAlign w:val="center"/>
          </w:tcPr>
          <w:p w14:paraId="14CE9AF0">
            <w:pPr>
              <w:shd w:val="clear" w:color="auto" w:fill="auto"/>
              <w:jc w:val="center"/>
              <w:rPr>
                <w:rFonts w:hint="eastAsia"/>
                <w:color w:val="auto"/>
                <w:highlight w:val="none"/>
              </w:rPr>
            </w:pPr>
          </w:p>
        </w:tc>
      </w:tr>
      <w:tr w14:paraId="424104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223" w:hRule="atLeast"/>
          <w:jc w:val="center"/>
        </w:trPr>
        <w:tc>
          <w:tcPr>
            <w:tcW w:w="379" w:type="pct"/>
            <w:tcBorders>
              <w:top w:val="single" w:color="auto" w:sz="4" w:space="0"/>
              <w:left w:val="single" w:color="auto" w:sz="4" w:space="0"/>
              <w:bottom w:val="single" w:color="auto" w:sz="4" w:space="0"/>
              <w:right w:val="single" w:color="auto" w:sz="4" w:space="0"/>
            </w:tcBorders>
            <w:noWrap w:val="0"/>
            <w:vAlign w:val="center"/>
          </w:tcPr>
          <w:p w14:paraId="0B06F720">
            <w:pPr>
              <w:shd w:val="clear" w:color="auto" w:fill="auto"/>
              <w:jc w:val="center"/>
              <w:rPr>
                <w:rFonts w:hint="eastAsia"/>
                <w:color w:val="auto"/>
                <w:highlight w:val="none"/>
              </w:rPr>
            </w:pPr>
          </w:p>
        </w:tc>
        <w:tc>
          <w:tcPr>
            <w:tcW w:w="1241" w:type="pct"/>
            <w:tcBorders>
              <w:top w:val="single" w:color="auto" w:sz="4" w:space="0"/>
              <w:left w:val="single" w:color="auto" w:sz="4" w:space="0"/>
              <w:bottom w:val="single" w:color="auto" w:sz="4" w:space="0"/>
              <w:right w:val="single" w:color="auto" w:sz="4" w:space="0"/>
            </w:tcBorders>
            <w:noWrap w:val="0"/>
            <w:vAlign w:val="center"/>
          </w:tcPr>
          <w:p w14:paraId="17E96A2D">
            <w:pPr>
              <w:shd w:val="clear" w:color="auto" w:fill="auto"/>
              <w:jc w:val="center"/>
              <w:rPr>
                <w:rFonts w:hint="eastAsia"/>
                <w:color w:val="auto"/>
                <w:highlight w:val="none"/>
              </w:rPr>
            </w:pPr>
          </w:p>
        </w:tc>
        <w:tc>
          <w:tcPr>
            <w:tcW w:w="866" w:type="pct"/>
            <w:tcBorders>
              <w:top w:val="single" w:color="auto" w:sz="4" w:space="0"/>
              <w:left w:val="single" w:color="auto" w:sz="4" w:space="0"/>
              <w:bottom w:val="single" w:color="auto" w:sz="4" w:space="0"/>
              <w:right w:val="single" w:color="auto" w:sz="4" w:space="0"/>
            </w:tcBorders>
            <w:noWrap w:val="0"/>
            <w:vAlign w:val="center"/>
          </w:tcPr>
          <w:p w14:paraId="06F3FD2B">
            <w:pPr>
              <w:shd w:val="clear" w:color="auto" w:fill="auto"/>
              <w:jc w:val="center"/>
              <w:rPr>
                <w:rFonts w:hint="eastAsia"/>
                <w:color w:val="auto"/>
                <w:highlight w:val="none"/>
              </w:rPr>
            </w:pPr>
          </w:p>
        </w:tc>
        <w:tc>
          <w:tcPr>
            <w:tcW w:w="1861" w:type="pct"/>
            <w:tcBorders>
              <w:top w:val="single" w:color="auto" w:sz="4" w:space="0"/>
              <w:left w:val="single" w:color="auto" w:sz="4" w:space="0"/>
              <w:bottom w:val="single" w:color="auto" w:sz="4" w:space="0"/>
              <w:right w:val="single" w:color="auto" w:sz="4" w:space="0"/>
            </w:tcBorders>
            <w:noWrap w:val="0"/>
            <w:vAlign w:val="center"/>
          </w:tcPr>
          <w:p w14:paraId="543EF7D9">
            <w:pPr>
              <w:shd w:val="clear" w:color="auto" w:fill="auto"/>
              <w:jc w:val="center"/>
              <w:rPr>
                <w:rFonts w:hint="eastAsia"/>
                <w:color w:val="auto"/>
                <w:highlight w:val="none"/>
              </w:rPr>
            </w:pPr>
          </w:p>
        </w:tc>
        <w:tc>
          <w:tcPr>
            <w:tcW w:w="650" w:type="pct"/>
            <w:tcBorders>
              <w:top w:val="single" w:color="auto" w:sz="4" w:space="0"/>
              <w:left w:val="single" w:color="auto" w:sz="4" w:space="0"/>
              <w:bottom w:val="single" w:color="auto" w:sz="4" w:space="0"/>
              <w:right w:val="single" w:color="auto" w:sz="4" w:space="0"/>
            </w:tcBorders>
            <w:noWrap w:val="0"/>
            <w:vAlign w:val="center"/>
          </w:tcPr>
          <w:p w14:paraId="1B176D7C">
            <w:pPr>
              <w:shd w:val="clear" w:color="auto" w:fill="auto"/>
              <w:jc w:val="center"/>
              <w:rPr>
                <w:rFonts w:hint="eastAsia"/>
                <w:color w:val="auto"/>
                <w:highlight w:val="none"/>
              </w:rPr>
            </w:pPr>
          </w:p>
        </w:tc>
      </w:tr>
      <w:tr w14:paraId="72C402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223" w:hRule="atLeast"/>
          <w:jc w:val="center"/>
        </w:trPr>
        <w:tc>
          <w:tcPr>
            <w:tcW w:w="379" w:type="pct"/>
            <w:tcBorders>
              <w:top w:val="single" w:color="auto" w:sz="4" w:space="0"/>
              <w:left w:val="single" w:color="auto" w:sz="4" w:space="0"/>
              <w:bottom w:val="single" w:color="auto" w:sz="4" w:space="0"/>
              <w:right w:val="single" w:color="auto" w:sz="4" w:space="0"/>
            </w:tcBorders>
            <w:noWrap w:val="0"/>
            <w:vAlign w:val="center"/>
          </w:tcPr>
          <w:p w14:paraId="55663E77">
            <w:pPr>
              <w:shd w:val="clear" w:color="auto" w:fill="auto"/>
              <w:jc w:val="center"/>
              <w:rPr>
                <w:rFonts w:hint="default" w:eastAsia="宋体"/>
                <w:color w:val="auto"/>
                <w:highlight w:val="none"/>
                <w:lang w:val="en-US" w:eastAsia="zh-CN"/>
              </w:rPr>
            </w:pPr>
            <w:r>
              <w:rPr>
                <w:rFonts w:hint="eastAsia"/>
                <w:color w:val="auto"/>
                <w:highlight w:val="none"/>
                <w:lang w:val="en-US" w:eastAsia="zh-CN"/>
              </w:rPr>
              <w:t>...</w:t>
            </w:r>
          </w:p>
        </w:tc>
        <w:tc>
          <w:tcPr>
            <w:tcW w:w="1241" w:type="pct"/>
            <w:tcBorders>
              <w:top w:val="single" w:color="auto" w:sz="4" w:space="0"/>
              <w:left w:val="single" w:color="auto" w:sz="4" w:space="0"/>
              <w:bottom w:val="single" w:color="auto" w:sz="4" w:space="0"/>
              <w:right w:val="single" w:color="auto" w:sz="4" w:space="0"/>
            </w:tcBorders>
            <w:noWrap w:val="0"/>
            <w:vAlign w:val="center"/>
          </w:tcPr>
          <w:p w14:paraId="679CA91E">
            <w:pPr>
              <w:shd w:val="clear" w:color="auto" w:fill="auto"/>
              <w:jc w:val="center"/>
              <w:rPr>
                <w:rFonts w:hint="default" w:eastAsia="宋体"/>
                <w:color w:val="auto"/>
                <w:highlight w:val="none"/>
                <w:lang w:val="en-US" w:eastAsia="zh-CN"/>
              </w:rPr>
            </w:pPr>
            <w:r>
              <w:rPr>
                <w:rFonts w:hint="eastAsia"/>
                <w:color w:val="auto"/>
                <w:highlight w:val="none"/>
                <w:lang w:val="en-US" w:eastAsia="zh-CN"/>
              </w:rPr>
              <w:t>...</w:t>
            </w:r>
          </w:p>
        </w:tc>
        <w:tc>
          <w:tcPr>
            <w:tcW w:w="866" w:type="pct"/>
            <w:tcBorders>
              <w:top w:val="single" w:color="auto" w:sz="4" w:space="0"/>
              <w:left w:val="single" w:color="auto" w:sz="4" w:space="0"/>
              <w:bottom w:val="single" w:color="auto" w:sz="4" w:space="0"/>
              <w:right w:val="single" w:color="auto" w:sz="4" w:space="0"/>
            </w:tcBorders>
            <w:noWrap w:val="0"/>
            <w:vAlign w:val="center"/>
          </w:tcPr>
          <w:p w14:paraId="2343806E">
            <w:pPr>
              <w:shd w:val="clear" w:color="auto" w:fill="auto"/>
              <w:jc w:val="center"/>
              <w:rPr>
                <w:rFonts w:hint="default" w:eastAsia="宋体"/>
                <w:color w:val="auto"/>
                <w:highlight w:val="none"/>
                <w:lang w:val="en-US" w:eastAsia="zh-CN"/>
              </w:rPr>
            </w:pPr>
            <w:r>
              <w:rPr>
                <w:rFonts w:hint="eastAsia"/>
                <w:color w:val="auto"/>
                <w:highlight w:val="none"/>
                <w:lang w:val="en-US" w:eastAsia="zh-CN"/>
              </w:rPr>
              <w:t>...</w:t>
            </w:r>
          </w:p>
        </w:tc>
        <w:tc>
          <w:tcPr>
            <w:tcW w:w="1861" w:type="pct"/>
            <w:tcBorders>
              <w:top w:val="single" w:color="auto" w:sz="4" w:space="0"/>
              <w:left w:val="single" w:color="auto" w:sz="4" w:space="0"/>
              <w:bottom w:val="single" w:color="auto" w:sz="4" w:space="0"/>
              <w:right w:val="single" w:color="auto" w:sz="4" w:space="0"/>
            </w:tcBorders>
            <w:noWrap w:val="0"/>
            <w:vAlign w:val="center"/>
          </w:tcPr>
          <w:p w14:paraId="5130E768">
            <w:pPr>
              <w:shd w:val="clear" w:color="auto" w:fill="auto"/>
              <w:jc w:val="center"/>
              <w:rPr>
                <w:rFonts w:hint="default" w:eastAsia="宋体"/>
                <w:color w:val="auto"/>
                <w:highlight w:val="none"/>
                <w:lang w:val="en-US" w:eastAsia="zh-CN"/>
              </w:rPr>
            </w:pPr>
            <w:r>
              <w:rPr>
                <w:rFonts w:hint="eastAsia"/>
                <w:color w:val="auto"/>
                <w:highlight w:val="none"/>
                <w:lang w:val="en-US" w:eastAsia="zh-CN"/>
              </w:rPr>
              <w:t>...</w:t>
            </w:r>
          </w:p>
        </w:tc>
        <w:tc>
          <w:tcPr>
            <w:tcW w:w="650" w:type="pct"/>
            <w:tcBorders>
              <w:top w:val="single" w:color="auto" w:sz="4" w:space="0"/>
              <w:left w:val="single" w:color="auto" w:sz="4" w:space="0"/>
              <w:bottom w:val="single" w:color="auto" w:sz="4" w:space="0"/>
              <w:right w:val="single" w:color="auto" w:sz="4" w:space="0"/>
            </w:tcBorders>
            <w:noWrap w:val="0"/>
            <w:vAlign w:val="center"/>
          </w:tcPr>
          <w:p w14:paraId="2A6CCB0D">
            <w:pPr>
              <w:shd w:val="clear" w:color="auto" w:fill="auto"/>
              <w:jc w:val="center"/>
              <w:rPr>
                <w:rFonts w:hint="default" w:eastAsia="宋体"/>
                <w:color w:val="auto"/>
                <w:highlight w:val="none"/>
                <w:lang w:val="en-US" w:eastAsia="zh-CN"/>
              </w:rPr>
            </w:pPr>
            <w:r>
              <w:rPr>
                <w:rFonts w:hint="eastAsia"/>
                <w:color w:val="auto"/>
                <w:highlight w:val="none"/>
                <w:lang w:val="en-US" w:eastAsia="zh-CN"/>
              </w:rPr>
              <w:t>...</w:t>
            </w:r>
          </w:p>
        </w:tc>
      </w:tr>
      <w:tr w14:paraId="5680B1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2487" w:type="pct"/>
            <w:gridSpan w:val="3"/>
            <w:tcBorders>
              <w:top w:val="single" w:color="auto" w:sz="4" w:space="0"/>
              <w:left w:val="single" w:color="auto" w:sz="4" w:space="0"/>
              <w:bottom w:val="single" w:color="auto" w:sz="4" w:space="0"/>
              <w:right w:val="single" w:color="auto" w:sz="4" w:space="0"/>
            </w:tcBorders>
            <w:noWrap w:val="0"/>
            <w:vAlign w:val="center"/>
          </w:tcPr>
          <w:p w14:paraId="3A88A80A">
            <w:pPr>
              <w:shd w:val="clear" w:color="auto" w:fill="auto"/>
              <w:jc w:val="center"/>
              <w:rPr>
                <w:rFonts w:hint="eastAsia" w:eastAsia="宋体"/>
                <w:color w:val="auto"/>
                <w:highlight w:val="none"/>
                <w:lang w:val="en-US" w:eastAsia="zh-CN"/>
              </w:rPr>
            </w:pPr>
            <w:r>
              <w:rPr>
                <w:rFonts w:hint="eastAsia"/>
                <w:color w:val="auto"/>
                <w:highlight w:val="none"/>
                <w:lang w:val="en-US" w:eastAsia="zh-CN"/>
              </w:rPr>
              <w:t>合计（元）</w:t>
            </w:r>
          </w:p>
        </w:tc>
        <w:tc>
          <w:tcPr>
            <w:tcW w:w="1861" w:type="pct"/>
            <w:tcBorders>
              <w:top w:val="single" w:color="auto" w:sz="4" w:space="0"/>
              <w:left w:val="single" w:color="auto" w:sz="4" w:space="0"/>
              <w:bottom w:val="single" w:color="auto" w:sz="4" w:space="0"/>
              <w:right w:val="single" w:color="auto" w:sz="4" w:space="0"/>
            </w:tcBorders>
            <w:noWrap w:val="0"/>
            <w:vAlign w:val="center"/>
          </w:tcPr>
          <w:p w14:paraId="109D2B87">
            <w:pPr>
              <w:shd w:val="clear" w:color="auto" w:fill="auto"/>
              <w:jc w:val="center"/>
              <w:rPr>
                <w:rFonts w:hint="eastAsia"/>
                <w:color w:val="auto"/>
                <w:highlight w:val="none"/>
              </w:rPr>
            </w:pPr>
          </w:p>
        </w:tc>
        <w:tc>
          <w:tcPr>
            <w:tcW w:w="650" w:type="pct"/>
            <w:tcBorders>
              <w:top w:val="single" w:color="auto" w:sz="4" w:space="0"/>
              <w:left w:val="single" w:color="auto" w:sz="4" w:space="0"/>
              <w:bottom w:val="single" w:color="auto" w:sz="4" w:space="0"/>
              <w:right w:val="single" w:color="auto" w:sz="4" w:space="0"/>
            </w:tcBorders>
            <w:noWrap w:val="0"/>
            <w:vAlign w:val="center"/>
          </w:tcPr>
          <w:p w14:paraId="0313D310">
            <w:pPr>
              <w:shd w:val="clear" w:color="auto" w:fill="auto"/>
              <w:jc w:val="center"/>
              <w:rPr>
                <w:rFonts w:hint="eastAsia"/>
                <w:color w:val="auto"/>
                <w:highlight w:val="none"/>
              </w:rPr>
            </w:pPr>
          </w:p>
        </w:tc>
      </w:tr>
      <w:tr w14:paraId="502C56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73"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22EA168B">
            <w:pPr>
              <w:shd w:val="clear" w:color="auto" w:fill="auto"/>
              <w:snapToGrid w:val="0"/>
              <w:spacing w:before="50" w:after="50" w:line="360" w:lineRule="exact"/>
              <w:rPr>
                <w:rFonts w:hint="eastAsia" w:ascii="宋体" w:hAnsi="宋体"/>
                <w:color w:val="auto"/>
                <w:szCs w:val="21"/>
                <w:highlight w:val="none"/>
                <w:u w:val="single"/>
              </w:rPr>
            </w:pPr>
            <w:r>
              <w:rPr>
                <w:rFonts w:hint="eastAsia" w:hAnsi="宋体"/>
                <w:color w:val="auto"/>
                <w:highlight w:val="none"/>
              </w:rPr>
              <w:t>投标总价（</w:t>
            </w:r>
            <w:r>
              <w:rPr>
                <w:rFonts w:hint="eastAsia" w:ascii="宋体" w:hAnsi="宋体"/>
                <w:color w:val="auto"/>
                <w:szCs w:val="21"/>
                <w:highlight w:val="none"/>
              </w:rPr>
              <w:t>合计金额大写）：                               ¥</w:t>
            </w:r>
            <w:r>
              <w:rPr>
                <w:rFonts w:hint="eastAsia" w:ascii="宋体" w:hAnsi="宋体"/>
                <w:color w:val="auto"/>
                <w:szCs w:val="21"/>
                <w:highlight w:val="none"/>
                <w:u w:val="single"/>
              </w:rPr>
              <w:t xml:space="preserve">            </w:t>
            </w:r>
          </w:p>
        </w:tc>
      </w:tr>
    </w:tbl>
    <w:p w14:paraId="283534D5">
      <w:pPr>
        <w:keepNext w:val="0"/>
        <w:keepLines w:val="0"/>
        <w:pageBreakBefore w:val="0"/>
        <w:kinsoku/>
        <w:overflowPunct/>
        <w:bidi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val="en-US" w:eastAsia="zh-CN"/>
        </w:rPr>
        <w:t>.包括但不限于满足本次项目全部采购需求所应提供的服务，以及伴随的货物和工程（如有）的价格，包含投标服务、货物、工程的成本、运输（含保险）、安装（如有）、调试、检验、技术服务、培训、税费等所有费用，具体详见采购需求。（采购需求另有约定的，从其约定。）</w:t>
      </w:r>
    </w:p>
    <w:p w14:paraId="502BBAF6">
      <w:pPr>
        <w:keepNext w:val="0"/>
        <w:keepLines w:val="0"/>
        <w:pageBreakBefore w:val="0"/>
        <w:kinsoku/>
        <w:overflowPunct/>
        <w:bidi w:val="0"/>
        <w:spacing w:line="360" w:lineRule="auto"/>
        <w:ind w:left="-61" w:firstLine="420"/>
        <w:rPr>
          <w:rFonts w:hint="eastAsia" w:ascii="宋体" w:hAnsi="宋体" w:eastAsia="宋体" w:cs="宋体"/>
          <w:b/>
          <w:bCs/>
          <w:color w:val="auto"/>
        </w:rPr>
      </w:pPr>
      <w:r>
        <w:rPr>
          <w:rFonts w:hint="eastAsia" w:ascii="宋体" w:hAnsi="宋体" w:eastAsia="宋体" w:cs="宋体"/>
          <w:b/>
          <w:bCs/>
          <w:color w:val="auto"/>
        </w:rPr>
        <w:t>第二条　质量保证</w:t>
      </w:r>
    </w:p>
    <w:p w14:paraId="04F205F1">
      <w:pPr>
        <w:keepNext w:val="0"/>
        <w:keepLines w:val="0"/>
        <w:pageBreakBefore w:val="0"/>
        <w:kinsoku/>
        <w:overflowPunct/>
        <w:bidi w:val="0"/>
        <w:spacing w:line="360" w:lineRule="auto"/>
        <w:ind w:left="-61" w:firstLine="420"/>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eastAsia="zh-CN"/>
        </w:rPr>
        <w:t>乙方所提供的服务及服务内容必须与响应文件承诺相一致，具有国家强制性标准的，还必须符合国家强制性标准的规定，没有国家强制性标准但有其他强制性标准的，必须符合其他强制性标准的规定</w:t>
      </w:r>
      <w:r>
        <w:rPr>
          <w:rFonts w:hint="eastAsia" w:ascii="宋体" w:hAnsi="宋体" w:cs="宋体"/>
          <w:color w:val="auto"/>
          <w:lang w:eastAsia="zh-CN"/>
        </w:rPr>
        <w:t>。</w:t>
      </w:r>
    </w:p>
    <w:p w14:paraId="064FC6FA">
      <w:pPr>
        <w:keepNext w:val="0"/>
        <w:keepLines w:val="0"/>
        <w:pageBreakBefore w:val="0"/>
        <w:kinsoku/>
        <w:overflowPunct/>
        <w:bidi w:val="0"/>
        <w:spacing w:line="360" w:lineRule="auto"/>
        <w:ind w:left="-61" w:firstLine="420"/>
        <w:rPr>
          <w:rFonts w:hint="eastAsia" w:ascii="宋体" w:hAnsi="宋体" w:eastAsia="宋体" w:cs="宋体"/>
          <w:color w:val="auto"/>
        </w:rPr>
      </w:pPr>
      <w:r>
        <w:rPr>
          <w:rFonts w:hint="eastAsia" w:ascii="宋体" w:hAnsi="宋体" w:eastAsia="宋体" w:cs="宋体"/>
          <w:color w:val="auto"/>
        </w:rPr>
        <w:t>2.乙方必须严格按照</w:t>
      </w:r>
      <w:r>
        <w:rPr>
          <w:rFonts w:hint="eastAsia" w:ascii="宋体" w:hAnsi="宋体" w:cs="宋体"/>
          <w:color w:val="auto"/>
          <w:lang w:val="en-US" w:eastAsia="zh-CN"/>
        </w:rPr>
        <w:t>招标</w:t>
      </w:r>
      <w:r>
        <w:rPr>
          <w:rFonts w:hint="eastAsia" w:ascii="宋体" w:hAnsi="宋体" w:eastAsia="宋体" w:cs="宋体"/>
          <w:color w:val="auto"/>
        </w:rPr>
        <w:t>文件、甲方要求以及对本项目的响应文件</w:t>
      </w:r>
      <w:r>
        <w:rPr>
          <w:rFonts w:hint="eastAsia" w:ascii="宋体" w:hAnsi="宋体" w:eastAsia="宋体" w:cs="宋体"/>
          <w:color w:val="auto"/>
          <w:lang w:eastAsia="zh-CN"/>
        </w:rPr>
        <w:t>实施</w:t>
      </w:r>
      <w:r>
        <w:rPr>
          <w:rFonts w:hint="eastAsia" w:ascii="宋体" w:hAnsi="宋体" w:eastAsia="宋体" w:cs="宋体"/>
          <w:color w:val="auto"/>
        </w:rPr>
        <w:t>，乙方在实施过程中接受甲方的监督和建议，根据与甲方协商的意见进行项目</w:t>
      </w:r>
      <w:r>
        <w:rPr>
          <w:rFonts w:hint="eastAsia" w:ascii="宋体" w:hAnsi="宋体" w:eastAsia="宋体" w:cs="宋体"/>
          <w:color w:val="auto"/>
          <w:lang w:eastAsia="zh-CN"/>
        </w:rPr>
        <w:t>实施地调整</w:t>
      </w:r>
      <w:r>
        <w:rPr>
          <w:rFonts w:hint="eastAsia" w:ascii="宋体" w:hAnsi="宋体" w:eastAsia="宋体" w:cs="宋体"/>
          <w:color w:val="auto"/>
        </w:rPr>
        <w:t>。未经甲方允许，不得改变实施方案。否则将取消乙方承办资格。</w:t>
      </w:r>
    </w:p>
    <w:p w14:paraId="0A2B6C20">
      <w:pPr>
        <w:keepNext w:val="0"/>
        <w:keepLines w:val="0"/>
        <w:pageBreakBefore w:val="0"/>
        <w:kinsoku/>
        <w:overflowPunct/>
        <w:bidi w:val="0"/>
        <w:spacing w:line="360" w:lineRule="auto"/>
        <w:ind w:left="-61" w:firstLine="420"/>
        <w:rPr>
          <w:rFonts w:hint="eastAsia" w:ascii="宋体" w:hAnsi="宋体" w:eastAsia="宋体" w:cs="宋体"/>
          <w:b/>
          <w:bCs/>
          <w:color w:val="auto"/>
        </w:rPr>
      </w:pPr>
      <w:r>
        <w:rPr>
          <w:rFonts w:hint="eastAsia" w:ascii="宋体" w:hAnsi="宋体" w:eastAsia="宋体" w:cs="宋体"/>
          <w:b/>
          <w:bCs/>
          <w:color w:val="auto"/>
        </w:rPr>
        <w:t>第三条　权利保证</w:t>
      </w:r>
    </w:p>
    <w:p w14:paraId="1F41C014">
      <w:pPr>
        <w:keepNext w:val="0"/>
        <w:keepLines w:val="0"/>
        <w:pageBreakBefore w:val="0"/>
        <w:kinsoku/>
        <w:overflowPunct/>
        <w:bidi w:val="0"/>
        <w:spacing w:line="360" w:lineRule="auto"/>
        <w:ind w:left="-61" w:firstLine="420"/>
        <w:rPr>
          <w:rFonts w:hint="eastAsia" w:ascii="宋体" w:hAnsi="宋体" w:eastAsia="宋体" w:cs="宋体"/>
          <w:color w:val="auto"/>
        </w:rPr>
      </w:pPr>
      <w:r>
        <w:rPr>
          <w:rFonts w:hint="eastAsia" w:ascii="宋体" w:hAnsi="宋体" w:eastAsia="宋体" w:cs="宋体"/>
          <w:color w:val="auto"/>
        </w:rPr>
        <w:t>1.乙方应保证所提供服务在使用时不会侵犯任何第三方的专利权、商标权、工业设计权等知识产权及其他合法权利，且所有权、处分权等没有受到任何限制</w:t>
      </w:r>
      <w:r>
        <w:rPr>
          <w:rFonts w:hint="eastAsia" w:ascii="宋体" w:hAnsi="宋体" w:eastAsia="宋体" w:cs="宋体"/>
          <w:color w:val="auto"/>
          <w:lang w:eastAsia="zh-CN"/>
        </w:rPr>
        <w:t>。</w:t>
      </w:r>
    </w:p>
    <w:p w14:paraId="03463063">
      <w:pPr>
        <w:keepNext w:val="0"/>
        <w:keepLines w:val="0"/>
        <w:pageBreakBefore w:val="0"/>
        <w:kinsoku/>
        <w:overflowPunct/>
        <w:bidi w:val="0"/>
        <w:spacing w:line="360" w:lineRule="auto"/>
        <w:ind w:left="-61" w:firstLine="420"/>
        <w:rPr>
          <w:rFonts w:hint="eastAsia" w:ascii="宋体" w:hAnsi="宋体" w:eastAsia="宋体" w:cs="宋体"/>
          <w:color w:val="auto"/>
        </w:rPr>
      </w:pPr>
      <w:r>
        <w:rPr>
          <w:rFonts w:hint="eastAsia" w:ascii="宋体" w:hAnsi="宋体" w:eastAsia="宋体" w:cs="宋体"/>
          <w:color w:val="auto"/>
        </w:rPr>
        <w:t>2.没有甲方事先书面同意，乙方不得将由甲方提供的有关合同或者任何合同条文、规格、计划、图纸、样品或者资料提供</w:t>
      </w:r>
      <w:r>
        <w:rPr>
          <w:rFonts w:hint="eastAsia" w:ascii="宋体" w:hAnsi="宋体" w:eastAsia="宋体" w:cs="宋体"/>
          <w:color w:val="auto"/>
          <w:lang w:eastAsia="zh-CN"/>
        </w:rPr>
        <w:t>给予</w:t>
      </w:r>
      <w:r>
        <w:rPr>
          <w:rFonts w:hint="eastAsia" w:ascii="宋体" w:hAnsi="宋体" w:eastAsia="宋体" w:cs="宋体"/>
          <w:color w:val="auto"/>
        </w:rPr>
        <w:t>履行本合同无关的任何其他人。即使向履行本合同有关的人员提供，也应注意保密并限于履行合同的必需范围。乙方的保密义务持续有效，不因为本合同履行终止、解除或者无效而解除</w:t>
      </w:r>
    </w:p>
    <w:p w14:paraId="20DC62E6">
      <w:pPr>
        <w:keepNext w:val="0"/>
        <w:keepLines w:val="0"/>
        <w:pageBreakBefore w:val="0"/>
        <w:kinsoku/>
        <w:overflowPunct/>
        <w:bidi w:val="0"/>
        <w:spacing w:line="360" w:lineRule="auto"/>
        <w:ind w:left="-61" w:firstLine="420"/>
        <w:rPr>
          <w:rFonts w:hint="eastAsia" w:ascii="宋体" w:hAnsi="宋体" w:eastAsia="宋体" w:cs="宋体"/>
          <w:b/>
          <w:bCs/>
          <w:color w:val="auto"/>
        </w:rPr>
      </w:pPr>
      <w:r>
        <w:rPr>
          <w:rFonts w:hint="eastAsia" w:ascii="宋体" w:hAnsi="宋体" w:eastAsia="宋体" w:cs="宋体"/>
          <w:b/>
          <w:bCs/>
          <w:color w:val="auto"/>
        </w:rPr>
        <w:t>第</w:t>
      </w:r>
      <w:r>
        <w:rPr>
          <w:rFonts w:hint="eastAsia" w:ascii="宋体" w:hAnsi="宋体" w:cs="宋体"/>
          <w:b/>
          <w:bCs/>
          <w:color w:val="auto"/>
          <w:lang w:val="en-US" w:eastAsia="zh-CN"/>
        </w:rPr>
        <w:t>四</w:t>
      </w:r>
      <w:r>
        <w:rPr>
          <w:rFonts w:hint="eastAsia" w:ascii="宋体" w:hAnsi="宋体" w:eastAsia="宋体" w:cs="宋体"/>
          <w:b/>
          <w:bCs/>
          <w:color w:val="auto"/>
        </w:rPr>
        <w:t>条　交付和验收</w:t>
      </w:r>
    </w:p>
    <w:p w14:paraId="6CF3A468">
      <w:pPr>
        <w:keepNext w:val="0"/>
        <w:keepLines w:val="0"/>
        <w:pageBreakBefore w:val="0"/>
        <w:kinsoku/>
        <w:overflowPunct/>
        <w:bidi w:val="0"/>
        <w:spacing w:line="360" w:lineRule="auto"/>
        <w:ind w:left="-61" w:firstLine="420"/>
        <w:rPr>
          <w:rFonts w:hint="eastAsia" w:ascii="宋体" w:hAnsi="宋体" w:eastAsia="宋体" w:cs="宋体"/>
          <w:color w:val="auto"/>
        </w:rPr>
      </w:pPr>
      <w:r>
        <w:rPr>
          <w:rFonts w:hint="eastAsia" w:ascii="宋体" w:hAnsi="宋体" w:eastAsia="宋体" w:cs="宋体"/>
          <w:color w:val="auto"/>
        </w:rPr>
        <w:t>1.</w:t>
      </w:r>
      <w:r>
        <w:rPr>
          <w:rFonts w:hint="eastAsia" w:ascii="宋体" w:hAnsi="宋体" w:cs="宋体"/>
          <w:color w:val="auto"/>
          <w:lang w:val="en-US" w:eastAsia="zh-CN"/>
        </w:rPr>
        <w:t>服务期限</w:t>
      </w:r>
      <w:r>
        <w:rPr>
          <w:rFonts w:hint="eastAsia" w:ascii="宋体" w:hAnsi="宋体" w:eastAsia="宋体" w:cs="宋体"/>
          <w:color w:val="auto"/>
        </w:rPr>
        <w:t>：                 ；</w:t>
      </w:r>
      <w:r>
        <w:rPr>
          <w:rFonts w:hint="eastAsia" w:ascii="宋体" w:hAnsi="宋体" w:cs="宋体"/>
          <w:color w:val="auto"/>
          <w:lang w:val="en-US" w:eastAsia="zh-CN"/>
        </w:rPr>
        <w:t>服务</w:t>
      </w:r>
      <w:r>
        <w:rPr>
          <w:rFonts w:hint="eastAsia" w:ascii="宋体" w:hAnsi="宋体" w:eastAsia="宋体" w:cs="宋体"/>
          <w:color w:val="auto"/>
        </w:rPr>
        <w:t>地点：                          。</w:t>
      </w:r>
    </w:p>
    <w:p w14:paraId="51477043">
      <w:pPr>
        <w:keepNext w:val="0"/>
        <w:keepLines w:val="0"/>
        <w:pageBreakBefore w:val="0"/>
        <w:kinsoku/>
        <w:overflowPunct/>
        <w:bidi w:val="0"/>
        <w:spacing w:line="360" w:lineRule="auto"/>
        <w:ind w:left="-61" w:firstLine="420"/>
        <w:rPr>
          <w:rFonts w:hint="eastAsia" w:ascii="宋体" w:hAnsi="宋体" w:eastAsia="宋体" w:cs="宋体"/>
          <w:color w:val="auto"/>
        </w:rPr>
      </w:pPr>
      <w:r>
        <w:rPr>
          <w:rFonts w:hint="eastAsia" w:ascii="宋体" w:hAnsi="宋体" w:eastAsia="宋体" w:cs="宋体"/>
          <w:color w:val="auto"/>
        </w:rPr>
        <w:t>2.乙方应按响应文件的承诺向甲方提供相应的服务，并提供所服务内容的相关技术资料。</w:t>
      </w:r>
    </w:p>
    <w:p w14:paraId="484F29F6">
      <w:pPr>
        <w:keepNext w:val="0"/>
        <w:keepLines w:val="0"/>
        <w:pageBreakBefore w:val="0"/>
        <w:kinsoku/>
        <w:overflowPunct/>
        <w:bidi w:val="0"/>
        <w:spacing w:line="360" w:lineRule="auto"/>
        <w:ind w:left="-61" w:firstLine="420"/>
        <w:rPr>
          <w:rFonts w:hint="eastAsia" w:ascii="宋体" w:hAnsi="宋体" w:eastAsia="宋体" w:cs="宋体"/>
          <w:color w:val="auto"/>
          <w:lang w:eastAsia="zh-CN"/>
        </w:rPr>
      </w:pPr>
      <w:r>
        <w:rPr>
          <w:rFonts w:hint="eastAsia" w:ascii="宋体" w:hAnsi="宋体" w:eastAsia="宋体" w:cs="宋体"/>
          <w:color w:val="auto"/>
        </w:rPr>
        <w:t>3.乙方提供不符合响应文件和本合同规定的服务成果，甲方有权拒绝接受</w:t>
      </w:r>
      <w:r>
        <w:rPr>
          <w:rFonts w:hint="eastAsia" w:ascii="宋体" w:hAnsi="宋体" w:cs="宋体"/>
          <w:color w:val="auto"/>
          <w:lang w:eastAsia="zh-CN"/>
        </w:rPr>
        <w:t>。</w:t>
      </w:r>
    </w:p>
    <w:p w14:paraId="33B2AD15">
      <w:pPr>
        <w:keepNext w:val="0"/>
        <w:keepLines w:val="0"/>
        <w:pageBreakBefore w:val="0"/>
        <w:kinsoku/>
        <w:overflowPunct/>
        <w:bidi w:val="0"/>
        <w:spacing w:line="360" w:lineRule="auto"/>
        <w:ind w:left="-61" w:firstLine="420"/>
        <w:rPr>
          <w:rFonts w:hint="eastAsia" w:ascii="宋体" w:hAnsi="宋体" w:eastAsia="宋体" w:cs="宋体"/>
          <w:color w:val="auto"/>
          <w:lang w:eastAsia="zh-CN"/>
        </w:rPr>
      </w:pPr>
      <w:r>
        <w:rPr>
          <w:rFonts w:hint="eastAsia" w:ascii="宋体" w:hAnsi="宋体" w:eastAsia="宋体" w:cs="宋体"/>
          <w:color w:val="auto"/>
        </w:rPr>
        <w:t>4.乙方完成服务后应及时书面通知甲方进行验收，甲方应在收到通知后七个工作日内进行验收，逾期不开始验收的，乙方可视同验收合格。验收合格后由甲乙双方签署验收单并加盖采购人公章，甲乙双方各执一份</w:t>
      </w:r>
      <w:r>
        <w:rPr>
          <w:rFonts w:hint="eastAsia" w:ascii="宋体" w:hAnsi="宋体" w:cs="宋体"/>
          <w:color w:val="auto"/>
          <w:lang w:eastAsia="zh-CN"/>
        </w:rPr>
        <w:t>。</w:t>
      </w:r>
    </w:p>
    <w:p w14:paraId="1030D51D">
      <w:pPr>
        <w:keepNext w:val="0"/>
        <w:keepLines w:val="0"/>
        <w:pageBreakBefore w:val="0"/>
        <w:kinsoku/>
        <w:overflowPunct/>
        <w:bidi w:val="0"/>
        <w:spacing w:line="360" w:lineRule="auto"/>
        <w:ind w:left="-61" w:firstLine="420"/>
        <w:rPr>
          <w:rFonts w:hint="eastAsia" w:ascii="宋体" w:hAnsi="宋体" w:eastAsia="宋体" w:cs="宋体"/>
          <w:color w:val="auto"/>
          <w:lang w:eastAsia="zh-CN"/>
        </w:rPr>
      </w:pPr>
      <w:r>
        <w:rPr>
          <w:rFonts w:hint="eastAsia" w:ascii="宋体" w:hAnsi="宋体" w:eastAsia="宋体" w:cs="宋体"/>
          <w:color w:val="auto"/>
        </w:rPr>
        <w:t>5.甲乙双方应按照《广西壮族自治区政府采购项目履约验收管理办法》、双方合同、响应文件验收</w:t>
      </w:r>
      <w:r>
        <w:rPr>
          <w:rFonts w:hint="eastAsia" w:ascii="宋体" w:hAnsi="宋体" w:cs="宋体"/>
          <w:color w:val="auto"/>
          <w:lang w:eastAsia="zh-CN"/>
        </w:rPr>
        <w:t>。</w:t>
      </w:r>
    </w:p>
    <w:p w14:paraId="1916F366">
      <w:pPr>
        <w:keepNext w:val="0"/>
        <w:keepLines w:val="0"/>
        <w:pageBreakBefore w:val="0"/>
        <w:kinsoku/>
        <w:overflowPunct/>
        <w:bidi w:val="0"/>
        <w:spacing w:line="360" w:lineRule="auto"/>
        <w:ind w:left="-61" w:firstLine="420"/>
        <w:rPr>
          <w:rFonts w:hint="eastAsia" w:ascii="宋体" w:hAnsi="宋体" w:cs="宋体"/>
          <w:color w:val="auto"/>
          <w:lang w:eastAsia="zh-CN"/>
        </w:rPr>
      </w:pPr>
      <w:r>
        <w:rPr>
          <w:rFonts w:hint="eastAsia" w:ascii="宋体" w:hAnsi="宋体" w:eastAsia="宋体" w:cs="宋体"/>
          <w:color w:val="auto"/>
        </w:rPr>
        <w:t>6.甲方在初步验收或者最终验收过程中如发现乙方提供的服务成果不满足响应文件及本合同规定的，可暂缓向乙方付款，直到乙方及时完善并提交相应的服务成果且经甲方验收合格后，方可办理付款</w:t>
      </w:r>
      <w:r>
        <w:rPr>
          <w:rFonts w:hint="eastAsia" w:ascii="宋体" w:hAnsi="宋体" w:cs="宋体"/>
          <w:color w:val="auto"/>
          <w:lang w:eastAsia="zh-CN"/>
        </w:rPr>
        <w:t>。</w:t>
      </w:r>
    </w:p>
    <w:p w14:paraId="486450CF">
      <w:pPr>
        <w:keepNext w:val="0"/>
        <w:keepLines w:val="0"/>
        <w:pageBreakBefore w:val="0"/>
        <w:kinsoku/>
        <w:overflowPunct/>
        <w:bidi w:val="0"/>
        <w:spacing w:line="360" w:lineRule="auto"/>
        <w:ind w:left="-61" w:firstLine="420"/>
        <w:rPr>
          <w:rFonts w:hint="default" w:ascii="宋体" w:hAnsi="宋体" w:eastAsia="宋体" w:cs="宋体"/>
          <w:color w:val="auto"/>
          <w:lang w:val="en-US" w:eastAsia="zh-CN"/>
        </w:rPr>
      </w:pPr>
      <w:r>
        <w:rPr>
          <w:rFonts w:hint="eastAsia" w:ascii="宋体" w:hAnsi="宋体" w:cs="宋体"/>
          <w:color w:val="auto"/>
          <w:lang w:val="en-US" w:eastAsia="zh-CN"/>
        </w:rPr>
        <w:t>7.甲方验收时以书面形式提出异议的，乙方应自收到甲方书面异议后五个工作日内及时予以解决，否则甲方有权不出具服务验收合格单。</w:t>
      </w:r>
    </w:p>
    <w:p w14:paraId="391191D2">
      <w:pPr>
        <w:keepNext w:val="0"/>
        <w:keepLines w:val="0"/>
        <w:pageBreakBefore w:val="0"/>
        <w:kinsoku/>
        <w:overflowPunct/>
        <w:bidi w:val="0"/>
        <w:spacing w:line="360" w:lineRule="auto"/>
        <w:ind w:left="-61" w:firstLine="420"/>
        <w:rPr>
          <w:rFonts w:hint="eastAsia" w:ascii="宋体" w:hAnsi="宋体" w:eastAsia="宋体" w:cs="宋体"/>
          <w:b/>
          <w:bCs/>
          <w:color w:val="auto"/>
        </w:rPr>
      </w:pPr>
      <w:r>
        <w:rPr>
          <w:rFonts w:hint="eastAsia" w:ascii="宋体" w:hAnsi="宋体" w:eastAsia="宋体" w:cs="宋体"/>
          <w:b/>
          <w:bCs/>
          <w:color w:val="auto"/>
        </w:rPr>
        <w:t>第</w:t>
      </w:r>
      <w:r>
        <w:rPr>
          <w:rFonts w:hint="eastAsia" w:ascii="宋体" w:hAnsi="宋体" w:cs="宋体"/>
          <w:b/>
          <w:bCs/>
          <w:color w:val="auto"/>
          <w:lang w:val="en-US" w:eastAsia="zh-CN"/>
        </w:rPr>
        <w:t>五</w:t>
      </w:r>
      <w:r>
        <w:rPr>
          <w:rFonts w:hint="eastAsia" w:ascii="宋体" w:hAnsi="宋体" w:eastAsia="宋体" w:cs="宋体"/>
          <w:b/>
          <w:bCs/>
          <w:color w:val="auto"/>
        </w:rPr>
        <w:t>条　</w:t>
      </w:r>
      <w:r>
        <w:rPr>
          <w:rFonts w:hint="eastAsia" w:ascii="宋体" w:hAnsi="宋体" w:cs="宋体"/>
          <w:b/>
          <w:bCs/>
          <w:color w:val="auto"/>
          <w:lang w:val="en-US" w:eastAsia="zh-CN"/>
        </w:rPr>
        <w:t>售后服务及</w:t>
      </w:r>
      <w:r>
        <w:rPr>
          <w:rFonts w:hint="eastAsia" w:ascii="宋体" w:hAnsi="宋体" w:eastAsia="宋体" w:cs="宋体"/>
          <w:b/>
          <w:bCs/>
          <w:color w:val="auto"/>
        </w:rPr>
        <w:t>培训</w:t>
      </w:r>
    </w:p>
    <w:p w14:paraId="33071BD3">
      <w:pPr>
        <w:keepNext w:val="0"/>
        <w:keepLines w:val="0"/>
        <w:pageBreakBefore w:val="0"/>
        <w:kinsoku/>
        <w:overflowPunct/>
        <w:bidi w:val="0"/>
        <w:spacing w:line="360" w:lineRule="auto"/>
        <w:ind w:left="-61" w:firstLine="420"/>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eastAsia="zh-CN"/>
        </w:rPr>
        <w:t>乙方应按照国家有关法律法规为甲方提供相应的售后服务</w:t>
      </w:r>
      <w:r>
        <w:rPr>
          <w:rFonts w:hint="eastAsia" w:ascii="宋体" w:hAnsi="宋体" w:cs="宋体"/>
          <w:color w:val="auto"/>
          <w:lang w:eastAsia="zh-CN"/>
        </w:rPr>
        <w:t>。</w:t>
      </w:r>
    </w:p>
    <w:p w14:paraId="704A27E4">
      <w:pPr>
        <w:keepNext w:val="0"/>
        <w:keepLines w:val="0"/>
        <w:pageBreakBefore w:val="0"/>
        <w:kinsoku/>
        <w:overflowPunct/>
        <w:bidi w:val="0"/>
        <w:spacing w:line="360" w:lineRule="auto"/>
        <w:ind w:left="-61" w:firstLine="420"/>
        <w:rPr>
          <w:rFonts w:hint="eastAsia" w:ascii="宋体" w:hAnsi="宋体" w:eastAsia="宋体" w:cs="宋体"/>
          <w:color w:val="auto"/>
        </w:rPr>
      </w:pPr>
      <w:r>
        <w:rPr>
          <w:rFonts w:hint="eastAsia" w:ascii="宋体" w:hAnsi="宋体" w:cs="宋体"/>
          <w:color w:val="auto"/>
          <w:lang w:val="en-US" w:eastAsia="zh-CN"/>
        </w:rPr>
        <w:t>2.</w:t>
      </w:r>
      <w:r>
        <w:rPr>
          <w:rFonts w:hint="eastAsia" w:ascii="宋体" w:hAnsi="宋体" w:eastAsia="宋体" w:cs="宋体"/>
          <w:color w:val="auto"/>
        </w:rPr>
        <w:t>甲方应提供必要安装条件（如场地、电源、水源等）。</w:t>
      </w:r>
    </w:p>
    <w:p w14:paraId="5017BBED">
      <w:pPr>
        <w:keepNext w:val="0"/>
        <w:keepLines w:val="0"/>
        <w:pageBreakBefore w:val="0"/>
        <w:kinsoku/>
        <w:overflowPunct/>
        <w:bidi w:val="0"/>
        <w:spacing w:line="360" w:lineRule="auto"/>
        <w:ind w:left="-61" w:firstLine="420"/>
        <w:rPr>
          <w:rFonts w:hint="eastAsia" w:ascii="宋体" w:hAnsi="宋体" w:eastAsia="宋体" w:cs="宋体"/>
          <w:color w:val="auto"/>
        </w:rPr>
      </w:pPr>
      <w:r>
        <w:rPr>
          <w:rFonts w:hint="eastAsia" w:ascii="宋体" w:hAnsi="宋体" w:cs="宋体"/>
          <w:color w:val="auto"/>
          <w:lang w:val="en-US" w:eastAsia="zh-CN"/>
        </w:rPr>
        <w:t>3</w:t>
      </w:r>
      <w:r>
        <w:rPr>
          <w:rFonts w:hint="eastAsia" w:ascii="宋体" w:hAnsi="宋体" w:eastAsia="宋体" w:cs="宋体"/>
          <w:color w:val="auto"/>
        </w:rPr>
        <w:t>.</w:t>
      </w:r>
      <w:r>
        <w:rPr>
          <w:rFonts w:hint="eastAsia" w:ascii="宋体" w:hAnsi="宋体" w:cs="宋体"/>
          <w:color w:val="auto"/>
        </w:rPr>
        <w:t>乙方负责甲方有关人员的培训。培训时间、地点：</w:t>
      </w:r>
      <w:r>
        <w:rPr>
          <w:rFonts w:hint="eastAsia" w:ascii="宋体" w:hAnsi="宋体" w:cs="宋体"/>
          <w:color w:val="auto"/>
          <w:u w:val="single"/>
        </w:rPr>
        <w:t>按采购文件内容约定。</w:t>
      </w:r>
      <w:r>
        <w:rPr>
          <w:rFonts w:hint="eastAsia" w:ascii="宋体" w:hAnsi="宋体" w:eastAsia="宋体" w:cs="宋体"/>
          <w:color w:val="auto"/>
        </w:rPr>
        <w:t xml:space="preserve">                   </w:t>
      </w:r>
    </w:p>
    <w:p w14:paraId="61B720D5">
      <w:pPr>
        <w:keepNext w:val="0"/>
        <w:keepLines w:val="0"/>
        <w:pageBreakBefore w:val="0"/>
        <w:kinsoku/>
        <w:overflowPunct/>
        <w:bidi w:val="0"/>
        <w:spacing w:line="360" w:lineRule="auto"/>
        <w:ind w:left="-61" w:firstLine="420"/>
        <w:rPr>
          <w:rFonts w:hint="eastAsia" w:ascii="宋体" w:hAnsi="宋体" w:eastAsia="宋体" w:cs="宋体"/>
          <w:b/>
          <w:bCs/>
          <w:color w:val="auto"/>
        </w:rPr>
      </w:pPr>
      <w:r>
        <w:rPr>
          <w:rFonts w:hint="eastAsia" w:ascii="宋体" w:hAnsi="宋体" w:cs="宋体"/>
          <w:b/>
          <w:bCs/>
          <w:color w:val="auto"/>
          <w:lang w:val="en-US" w:eastAsia="zh-CN"/>
        </w:rPr>
        <w:t>第六</w:t>
      </w:r>
      <w:r>
        <w:rPr>
          <w:rFonts w:hint="eastAsia" w:ascii="宋体" w:hAnsi="宋体" w:eastAsia="宋体" w:cs="宋体"/>
          <w:b/>
          <w:bCs/>
          <w:color w:val="auto"/>
        </w:rPr>
        <w:t>条　付款方式</w:t>
      </w:r>
    </w:p>
    <w:p w14:paraId="633AB184">
      <w:pPr>
        <w:keepNext w:val="0"/>
        <w:keepLines w:val="0"/>
        <w:pageBreakBefore w:val="0"/>
        <w:kinsoku/>
        <w:overflowPunct/>
        <w:bidi w:val="0"/>
        <w:spacing w:line="360" w:lineRule="auto"/>
        <w:ind w:left="-61" w:firstLine="420"/>
        <w:rPr>
          <w:rFonts w:hint="eastAsia" w:ascii="宋体" w:hAnsi="宋体" w:eastAsia="宋体" w:cs="宋体"/>
          <w:color w:val="auto"/>
          <w:lang w:val="en-US" w:eastAsia="zh-CN"/>
        </w:rPr>
      </w:pPr>
      <w:r>
        <w:rPr>
          <w:rFonts w:hint="eastAsia" w:ascii="宋体" w:hAnsi="宋体" w:eastAsia="宋体" w:cs="宋体"/>
          <w:color w:val="auto"/>
          <w:lang w:val="en-US" w:eastAsia="zh-CN"/>
        </w:rPr>
        <w:t>1</w:t>
      </w:r>
      <w:r>
        <w:rPr>
          <w:rFonts w:hint="eastAsia" w:ascii="宋体" w:hAnsi="宋体" w:cs="宋体"/>
          <w:color w:val="auto"/>
          <w:lang w:val="en-US" w:eastAsia="zh-CN"/>
        </w:rPr>
        <w:t>.</w:t>
      </w:r>
      <w:r>
        <w:rPr>
          <w:rFonts w:hint="eastAsia" w:ascii="宋体" w:hAnsi="宋体" w:eastAsia="宋体" w:cs="宋体"/>
          <w:color w:val="auto"/>
          <w:lang w:val="en-US" w:eastAsia="zh-CN"/>
        </w:rPr>
        <w:t>合同签订后10个工作日内支付总结算价的50%，其余合同款按服务时间进度支付一定比例的运维服务费，服务期满后采购人在10个工作日内付清全部合同款的剩余部分。</w:t>
      </w:r>
    </w:p>
    <w:p w14:paraId="310D2368">
      <w:pPr>
        <w:keepNext w:val="0"/>
        <w:keepLines w:val="0"/>
        <w:pageBreakBefore w:val="0"/>
        <w:kinsoku/>
        <w:overflowPunct/>
        <w:bidi w:val="0"/>
        <w:spacing w:line="360" w:lineRule="auto"/>
        <w:ind w:left="-61" w:firstLine="420"/>
        <w:rPr>
          <w:rFonts w:hint="eastAsia" w:ascii="宋体" w:hAnsi="宋体" w:eastAsia="宋体" w:cs="宋体"/>
          <w:color w:val="auto"/>
        </w:rPr>
      </w:pPr>
      <w:r>
        <w:rPr>
          <w:rFonts w:hint="eastAsia" w:ascii="宋体" w:hAnsi="宋体" w:cs="宋体"/>
          <w:color w:val="auto"/>
          <w:lang w:val="en-US" w:eastAsia="zh-CN"/>
        </w:rPr>
        <w:t>2.</w:t>
      </w:r>
      <w:r>
        <w:rPr>
          <w:rFonts w:hint="eastAsia" w:ascii="宋体" w:hAnsi="宋体" w:eastAsia="宋体" w:cs="宋体"/>
          <w:color w:val="auto"/>
          <w:lang w:val="en-US" w:eastAsia="zh-CN"/>
        </w:rPr>
        <w:t>成交人须在每次支付前向采购人提供合法有效的增值税发票，采购人核对无误后在约定时间内完成支付。</w:t>
      </w:r>
    </w:p>
    <w:p w14:paraId="5239F656">
      <w:pPr>
        <w:keepNext w:val="0"/>
        <w:keepLines w:val="0"/>
        <w:pageBreakBefore w:val="0"/>
        <w:kinsoku/>
        <w:overflowPunct/>
        <w:bidi w:val="0"/>
        <w:spacing w:line="360" w:lineRule="auto"/>
        <w:ind w:left="-61" w:firstLine="420"/>
        <w:rPr>
          <w:rFonts w:hint="eastAsia" w:ascii="宋体" w:hAnsi="宋体" w:eastAsia="宋体" w:cs="宋体"/>
          <w:color w:val="auto"/>
          <w:lang w:val="en-US" w:eastAsia="zh-CN"/>
        </w:rPr>
      </w:pPr>
      <w:r>
        <w:rPr>
          <w:rFonts w:hint="eastAsia" w:ascii="宋体" w:hAnsi="宋体" w:cs="宋体"/>
          <w:color w:val="auto"/>
          <w:lang w:val="en-US" w:eastAsia="zh-CN"/>
        </w:rPr>
        <w:t>3.双方往来款采用银行转账方式办理，如有变更修改，以书面通知为准。</w:t>
      </w:r>
    </w:p>
    <w:p w14:paraId="4DC6A8D3">
      <w:pPr>
        <w:keepNext w:val="0"/>
        <w:keepLines w:val="0"/>
        <w:pageBreakBefore w:val="0"/>
        <w:kinsoku/>
        <w:overflowPunct/>
        <w:bidi w:val="0"/>
        <w:spacing w:line="360" w:lineRule="auto"/>
        <w:ind w:left="-61" w:firstLine="42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第</w:t>
      </w:r>
      <w:r>
        <w:rPr>
          <w:rFonts w:hint="eastAsia" w:ascii="宋体" w:hAnsi="宋体" w:cs="宋体"/>
          <w:b/>
          <w:bCs/>
          <w:color w:val="auto"/>
          <w:lang w:val="en-US" w:eastAsia="zh-CN"/>
        </w:rPr>
        <w:t>七</w:t>
      </w:r>
      <w:r>
        <w:rPr>
          <w:rFonts w:hint="eastAsia" w:ascii="宋体" w:hAnsi="宋体" w:eastAsia="宋体" w:cs="宋体"/>
          <w:b/>
          <w:bCs/>
          <w:color w:val="auto"/>
          <w:lang w:val="en-US" w:eastAsia="zh-CN"/>
        </w:rPr>
        <w:t>条　履约保证金</w:t>
      </w:r>
    </w:p>
    <w:p w14:paraId="551C162D">
      <w:pPr>
        <w:keepNext w:val="0"/>
        <w:keepLines w:val="0"/>
        <w:pageBreakBefore w:val="0"/>
        <w:kinsoku/>
        <w:overflowPunct/>
        <w:bidi w:val="0"/>
        <w:spacing w:line="360" w:lineRule="auto"/>
        <w:ind w:left="-61" w:firstLine="420"/>
        <w:rPr>
          <w:rFonts w:hint="default" w:ascii="宋体" w:hAnsi="宋体" w:cs="宋体"/>
          <w:color w:val="auto"/>
          <w:lang w:val="en-US" w:eastAsia="zh-CN"/>
        </w:rPr>
      </w:pPr>
      <w:r>
        <w:rPr>
          <w:rFonts w:hint="eastAsia" w:ascii="宋体" w:hAnsi="宋体" w:cs="宋体"/>
          <w:color w:val="auto"/>
          <w:lang w:val="en-US" w:eastAsia="zh-CN"/>
        </w:rPr>
        <w:t>本项目不收取履约保证金。</w:t>
      </w:r>
    </w:p>
    <w:p w14:paraId="2B5FD47A">
      <w:pPr>
        <w:keepNext w:val="0"/>
        <w:keepLines w:val="0"/>
        <w:pageBreakBefore w:val="0"/>
        <w:kinsoku/>
        <w:overflowPunct/>
        <w:bidi w:val="0"/>
        <w:spacing w:line="360" w:lineRule="auto"/>
        <w:ind w:left="-61" w:firstLine="42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第</w:t>
      </w:r>
      <w:r>
        <w:rPr>
          <w:rFonts w:hint="eastAsia" w:ascii="宋体" w:hAnsi="宋体" w:cs="宋体"/>
          <w:b/>
          <w:bCs/>
          <w:color w:val="auto"/>
          <w:lang w:val="en-US" w:eastAsia="zh-CN"/>
        </w:rPr>
        <w:t>八</w:t>
      </w:r>
      <w:r>
        <w:rPr>
          <w:rFonts w:hint="eastAsia" w:ascii="宋体" w:hAnsi="宋体" w:eastAsia="宋体" w:cs="宋体"/>
          <w:b/>
          <w:bCs/>
          <w:color w:val="auto"/>
          <w:lang w:val="en-US" w:eastAsia="zh-CN"/>
        </w:rPr>
        <w:t>条  税费</w:t>
      </w:r>
    </w:p>
    <w:p w14:paraId="042B3AD5">
      <w:pPr>
        <w:keepNext w:val="0"/>
        <w:keepLines w:val="0"/>
        <w:pageBreakBefore w:val="0"/>
        <w:kinsoku/>
        <w:overflowPunct/>
        <w:bidi w:val="0"/>
        <w:spacing w:line="360" w:lineRule="auto"/>
        <w:ind w:left="-61" w:firstLine="420"/>
        <w:rPr>
          <w:rFonts w:hint="eastAsia" w:ascii="宋体" w:hAnsi="宋体" w:eastAsia="宋体" w:cs="宋体"/>
          <w:color w:val="auto"/>
        </w:rPr>
      </w:pPr>
      <w:r>
        <w:rPr>
          <w:rFonts w:hint="eastAsia" w:ascii="宋体" w:hAnsi="宋体" w:eastAsia="宋体" w:cs="宋体"/>
          <w:color w:val="auto"/>
        </w:rPr>
        <w:t>本合同执行中相关的一切税费均由乙方负担，合同另有约定的除外。</w:t>
      </w:r>
    </w:p>
    <w:p w14:paraId="6507F6AC">
      <w:pPr>
        <w:keepNext w:val="0"/>
        <w:keepLines w:val="0"/>
        <w:pageBreakBefore w:val="0"/>
        <w:kinsoku/>
        <w:overflowPunct/>
        <w:bidi w:val="0"/>
        <w:spacing w:line="360" w:lineRule="auto"/>
        <w:ind w:left="-61" w:firstLine="420"/>
        <w:rPr>
          <w:rFonts w:hint="eastAsia" w:ascii="宋体" w:hAnsi="宋体" w:eastAsia="宋体" w:cs="宋体"/>
          <w:b/>
          <w:bCs/>
          <w:color w:val="auto"/>
        </w:rPr>
      </w:pPr>
      <w:r>
        <w:rPr>
          <w:rFonts w:hint="eastAsia" w:ascii="宋体" w:hAnsi="宋体" w:eastAsia="宋体" w:cs="宋体"/>
          <w:b/>
          <w:bCs/>
          <w:color w:val="auto"/>
        </w:rPr>
        <w:t>第</w:t>
      </w:r>
      <w:r>
        <w:rPr>
          <w:rFonts w:hint="eastAsia" w:ascii="宋体" w:hAnsi="宋体" w:cs="宋体"/>
          <w:b/>
          <w:bCs/>
          <w:color w:val="auto"/>
          <w:lang w:val="en-US" w:eastAsia="zh-CN"/>
        </w:rPr>
        <w:t>九</w:t>
      </w:r>
      <w:r>
        <w:rPr>
          <w:rFonts w:hint="eastAsia" w:ascii="宋体" w:hAnsi="宋体" w:eastAsia="宋体" w:cs="宋体"/>
          <w:b/>
          <w:bCs/>
          <w:color w:val="auto"/>
        </w:rPr>
        <w:t>条  违约责任</w:t>
      </w:r>
    </w:p>
    <w:p w14:paraId="432A073A">
      <w:pPr>
        <w:keepNext w:val="0"/>
        <w:keepLines w:val="0"/>
        <w:pageBreakBefore w:val="0"/>
        <w:kinsoku/>
        <w:overflowPunct/>
        <w:bidi w:val="0"/>
        <w:spacing w:line="360" w:lineRule="auto"/>
        <w:ind w:left="-61" w:firstLine="420"/>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eastAsia="zh-CN"/>
        </w:rPr>
        <w:t>除不可抗力原因外，乙方没有按照合同规定的时间提供服务的，甲方可要求乙方支付违约金。每推迟一天按合同金额的3‰支付违约金，该违约金累计不超过合同金额的10</w:t>
      </w:r>
      <w:r>
        <w:rPr>
          <w:rFonts w:hint="eastAsia" w:ascii="宋体" w:hAnsi="宋体" w:eastAsia="宋体" w:cs="宋体"/>
          <w:color w:val="auto"/>
          <w:lang w:val="en-US" w:eastAsia="zh-CN"/>
        </w:rPr>
        <w:t>%。</w:t>
      </w:r>
    </w:p>
    <w:p w14:paraId="55E11C47">
      <w:pPr>
        <w:keepNext w:val="0"/>
        <w:keepLines w:val="0"/>
        <w:pageBreakBefore w:val="0"/>
        <w:kinsoku/>
        <w:overflowPunct/>
        <w:bidi w:val="0"/>
        <w:spacing w:line="360" w:lineRule="auto"/>
        <w:ind w:left="-61" w:firstLine="420"/>
        <w:rPr>
          <w:rFonts w:hint="eastAsia" w:ascii="宋体" w:hAnsi="宋体" w:eastAsia="宋体" w:cs="宋体"/>
          <w:color w:val="auto"/>
        </w:rPr>
      </w:pPr>
      <w:r>
        <w:rPr>
          <w:rFonts w:hint="eastAsia" w:ascii="宋体" w:hAnsi="宋体" w:eastAsia="宋体" w:cs="宋体"/>
          <w:color w:val="auto"/>
        </w:rPr>
        <w:t>2.乙方提供的货物如侵犯了第三方合法权益而引发的任何纠纷或者诉讼，均由乙方负责交涉并承担全部责任。</w:t>
      </w:r>
    </w:p>
    <w:p w14:paraId="2A01074E">
      <w:pPr>
        <w:keepNext w:val="0"/>
        <w:keepLines w:val="0"/>
        <w:pageBreakBefore w:val="0"/>
        <w:kinsoku/>
        <w:overflowPunct/>
        <w:bidi w:val="0"/>
        <w:spacing w:line="360" w:lineRule="auto"/>
        <w:ind w:left="-61" w:firstLine="420"/>
        <w:rPr>
          <w:rFonts w:hint="eastAsia" w:ascii="宋体" w:hAnsi="宋体" w:eastAsia="宋体" w:cs="宋体"/>
          <w:color w:val="auto"/>
        </w:rPr>
      </w:pPr>
      <w:r>
        <w:rPr>
          <w:rFonts w:hint="eastAsia" w:ascii="宋体" w:hAnsi="宋体" w:eastAsia="宋体" w:cs="宋体"/>
          <w:color w:val="auto"/>
        </w:rPr>
        <w:t>3.</w:t>
      </w:r>
      <w:r>
        <w:rPr>
          <w:rFonts w:hint="eastAsia" w:ascii="宋体" w:hAnsi="宋体" w:eastAsia="宋体" w:cs="宋体"/>
          <w:color w:val="auto"/>
          <w:lang w:eastAsia="zh-CN"/>
        </w:rPr>
        <w:t>甲方延期付款的，每天向乙方偿付延期款额3‰滞纳金，但滞纳金累计不得超过延期款额5%。</w:t>
      </w:r>
    </w:p>
    <w:p w14:paraId="0EA2ED9D">
      <w:pPr>
        <w:keepNext w:val="0"/>
        <w:keepLines w:val="0"/>
        <w:pageBreakBefore w:val="0"/>
        <w:kinsoku/>
        <w:overflowPunct/>
        <w:bidi w:val="0"/>
        <w:spacing w:line="360" w:lineRule="auto"/>
        <w:ind w:left="-61" w:firstLine="420"/>
        <w:rPr>
          <w:rFonts w:hint="eastAsia" w:ascii="宋体" w:hAnsi="宋体" w:eastAsia="宋体" w:cs="宋体"/>
          <w:b/>
          <w:bCs/>
          <w:color w:val="auto"/>
        </w:rPr>
      </w:pPr>
      <w:r>
        <w:rPr>
          <w:rFonts w:hint="eastAsia" w:ascii="宋体" w:hAnsi="宋体" w:eastAsia="宋体" w:cs="宋体"/>
          <w:b/>
          <w:bCs/>
          <w:color w:val="auto"/>
        </w:rPr>
        <w:t>第十条  不可抗力事件处理</w:t>
      </w:r>
    </w:p>
    <w:p w14:paraId="36081AA6">
      <w:pPr>
        <w:keepNext w:val="0"/>
        <w:keepLines w:val="0"/>
        <w:pageBreakBefore w:val="0"/>
        <w:kinsoku/>
        <w:overflowPunct/>
        <w:bidi w:val="0"/>
        <w:spacing w:line="360" w:lineRule="auto"/>
        <w:ind w:left="-61" w:firstLine="420"/>
        <w:rPr>
          <w:rFonts w:hint="eastAsia" w:ascii="宋体" w:hAnsi="宋体" w:eastAsia="宋体" w:cs="宋体"/>
          <w:color w:val="auto"/>
        </w:rPr>
      </w:pPr>
      <w:r>
        <w:rPr>
          <w:rFonts w:hint="eastAsia" w:ascii="宋体" w:hAnsi="宋体" w:eastAsia="宋体" w:cs="宋体"/>
          <w:color w:val="auto"/>
        </w:rPr>
        <w:t>1.在合同有效期内，任何一方因不可抗力事件导致不能履行合同，则合同履行期可延长，其延长期与不可抗力影响期相同。</w:t>
      </w:r>
    </w:p>
    <w:p w14:paraId="05F0E14F">
      <w:pPr>
        <w:keepNext w:val="0"/>
        <w:keepLines w:val="0"/>
        <w:pageBreakBefore w:val="0"/>
        <w:kinsoku/>
        <w:overflowPunct/>
        <w:bidi w:val="0"/>
        <w:spacing w:line="360" w:lineRule="auto"/>
        <w:ind w:left="-61" w:firstLine="420"/>
        <w:rPr>
          <w:rFonts w:hint="eastAsia" w:ascii="宋体" w:hAnsi="宋体" w:eastAsia="宋体" w:cs="宋体"/>
          <w:color w:val="auto"/>
        </w:rPr>
      </w:pPr>
      <w:r>
        <w:rPr>
          <w:rFonts w:hint="eastAsia" w:ascii="宋体" w:hAnsi="宋体" w:eastAsia="宋体" w:cs="宋体"/>
          <w:color w:val="auto"/>
        </w:rPr>
        <w:t>2.不可抗力事件发生后，应立即通知对方，并寄送有关权威机构出具的证明。</w:t>
      </w:r>
    </w:p>
    <w:p w14:paraId="03A5C1CE">
      <w:pPr>
        <w:keepNext w:val="0"/>
        <w:keepLines w:val="0"/>
        <w:pageBreakBefore w:val="0"/>
        <w:kinsoku/>
        <w:overflowPunct/>
        <w:bidi w:val="0"/>
        <w:spacing w:line="360" w:lineRule="auto"/>
        <w:ind w:left="-61" w:firstLine="420"/>
        <w:rPr>
          <w:rFonts w:hint="eastAsia" w:ascii="宋体" w:hAnsi="宋体" w:eastAsia="宋体" w:cs="宋体"/>
          <w:color w:val="auto"/>
        </w:rPr>
      </w:pPr>
      <w:r>
        <w:rPr>
          <w:rFonts w:hint="eastAsia" w:ascii="宋体" w:hAnsi="宋体" w:eastAsia="宋体" w:cs="宋体"/>
          <w:color w:val="auto"/>
        </w:rPr>
        <w:t>3.不可抗力事件延续一百二十天以上，双方应通过友好协商，确定是否继续履行合同。</w:t>
      </w:r>
    </w:p>
    <w:p w14:paraId="4798ECF4">
      <w:pPr>
        <w:keepNext w:val="0"/>
        <w:keepLines w:val="0"/>
        <w:pageBreakBefore w:val="0"/>
        <w:kinsoku/>
        <w:overflowPunct/>
        <w:bidi w:val="0"/>
        <w:spacing w:line="360" w:lineRule="auto"/>
        <w:ind w:left="-61" w:firstLine="420"/>
        <w:rPr>
          <w:rFonts w:hint="eastAsia" w:ascii="宋体" w:hAnsi="宋体" w:eastAsia="宋体" w:cs="宋体"/>
          <w:b/>
          <w:bCs/>
          <w:color w:val="auto"/>
        </w:rPr>
      </w:pPr>
      <w:r>
        <w:rPr>
          <w:rFonts w:hint="eastAsia" w:ascii="宋体" w:hAnsi="宋体" w:eastAsia="宋体" w:cs="宋体"/>
          <w:b/>
          <w:bCs/>
          <w:color w:val="auto"/>
        </w:rPr>
        <w:t>第十</w:t>
      </w:r>
      <w:r>
        <w:rPr>
          <w:rFonts w:hint="eastAsia" w:ascii="宋体" w:hAnsi="宋体" w:cs="宋体"/>
          <w:b/>
          <w:bCs/>
          <w:color w:val="auto"/>
          <w:lang w:val="en-US" w:eastAsia="zh-CN"/>
        </w:rPr>
        <w:t>一</w:t>
      </w:r>
      <w:r>
        <w:rPr>
          <w:rFonts w:hint="eastAsia" w:ascii="宋体" w:hAnsi="宋体" w:eastAsia="宋体" w:cs="宋体"/>
          <w:b/>
          <w:bCs/>
          <w:color w:val="auto"/>
        </w:rPr>
        <w:t>条  合同争议解决</w:t>
      </w:r>
    </w:p>
    <w:p w14:paraId="0C17493D">
      <w:pPr>
        <w:keepNext w:val="0"/>
        <w:keepLines w:val="0"/>
        <w:pageBreakBefore w:val="0"/>
        <w:kinsoku/>
        <w:overflowPunct/>
        <w:bidi w:val="0"/>
        <w:spacing w:line="360" w:lineRule="auto"/>
        <w:ind w:left="-61" w:firstLine="420"/>
        <w:rPr>
          <w:rFonts w:hint="eastAsia" w:ascii="宋体" w:hAnsi="宋体" w:eastAsia="宋体" w:cs="宋体"/>
          <w:color w:val="auto"/>
        </w:rPr>
      </w:pPr>
      <w:r>
        <w:rPr>
          <w:rFonts w:hint="eastAsia" w:ascii="宋体" w:hAnsi="宋体" w:eastAsia="宋体" w:cs="宋体"/>
          <w:color w:val="auto"/>
        </w:rPr>
        <w:t>1.因服务质量问题发生争议的，应邀请国家认可的质量检测机构进行鉴定。服务符合标准的，鉴定费由甲方承担；服务不符合标准的，鉴定费由乙方承担。</w:t>
      </w:r>
    </w:p>
    <w:p w14:paraId="67546418">
      <w:pPr>
        <w:keepNext w:val="0"/>
        <w:keepLines w:val="0"/>
        <w:pageBreakBefore w:val="0"/>
        <w:kinsoku/>
        <w:overflowPunct/>
        <w:bidi w:val="0"/>
        <w:spacing w:line="360" w:lineRule="auto"/>
        <w:ind w:left="-61" w:firstLine="420"/>
        <w:rPr>
          <w:rFonts w:hint="eastAsia" w:ascii="宋体" w:hAnsi="宋体" w:eastAsia="宋体" w:cs="宋体"/>
          <w:color w:val="auto"/>
        </w:rPr>
      </w:pPr>
      <w:r>
        <w:rPr>
          <w:rFonts w:hint="eastAsia" w:ascii="宋体" w:hAnsi="宋体" w:eastAsia="宋体" w:cs="宋体"/>
          <w:color w:val="auto"/>
        </w:rPr>
        <w:t>2.因履行本合同引起的或与本合同有关的争议，甲乙双方应首先通过友好协商解决，如果协商不能解决，可向仲裁委员会申请仲裁或向人民法院提起诉讼。</w:t>
      </w:r>
    </w:p>
    <w:p w14:paraId="4A1DA635">
      <w:pPr>
        <w:keepNext w:val="0"/>
        <w:keepLines w:val="0"/>
        <w:pageBreakBefore w:val="0"/>
        <w:kinsoku/>
        <w:overflowPunct/>
        <w:bidi w:val="0"/>
        <w:spacing w:line="360" w:lineRule="auto"/>
        <w:ind w:left="-61" w:firstLine="420"/>
        <w:rPr>
          <w:rFonts w:hint="eastAsia" w:ascii="宋体" w:hAnsi="宋体" w:eastAsia="宋体" w:cs="宋体"/>
          <w:color w:val="auto"/>
        </w:rPr>
      </w:pPr>
      <w:r>
        <w:rPr>
          <w:rFonts w:hint="eastAsia" w:ascii="宋体" w:hAnsi="宋体" w:eastAsia="宋体" w:cs="宋体"/>
          <w:color w:val="auto"/>
        </w:rPr>
        <w:t>3.诉讼期间，本合同继续履行。</w:t>
      </w:r>
    </w:p>
    <w:p w14:paraId="462B0A8C">
      <w:pPr>
        <w:keepNext w:val="0"/>
        <w:keepLines w:val="0"/>
        <w:pageBreakBefore w:val="0"/>
        <w:kinsoku/>
        <w:overflowPunct/>
        <w:bidi w:val="0"/>
        <w:spacing w:line="360" w:lineRule="auto"/>
        <w:ind w:left="-61" w:firstLine="420"/>
        <w:rPr>
          <w:rFonts w:hint="eastAsia" w:ascii="宋体" w:hAnsi="宋体" w:eastAsia="宋体" w:cs="宋体"/>
          <w:b/>
          <w:bCs/>
          <w:color w:val="auto"/>
          <w:lang w:val="en-US" w:eastAsia="zh-CN"/>
        </w:rPr>
      </w:pPr>
      <w:r>
        <w:rPr>
          <w:rFonts w:hint="eastAsia" w:ascii="宋体" w:hAnsi="宋体" w:eastAsia="宋体" w:cs="宋体"/>
          <w:b/>
          <w:bCs/>
          <w:color w:val="auto"/>
        </w:rPr>
        <w:t>第十</w:t>
      </w:r>
      <w:r>
        <w:rPr>
          <w:rFonts w:hint="eastAsia" w:ascii="宋体" w:hAnsi="宋体" w:cs="宋体"/>
          <w:b/>
          <w:bCs/>
          <w:color w:val="auto"/>
          <w:lang w:val="en-US" w:eastAsia="zh-CN"/>
        </w:rPr>
        <w:t>二</w:t>
      </w:r>
      <w:r>
        <w:rPr>
          <w:rFonts w:hint="eastAsia" w:ascii="宋体" w:hAnsi="宋体" w:eastAsia="宋体" w:cs="宋体"/>
          <w:b/>
          <w:bCs/>
          <w:color w:val="auto"/>
        </w:rPr>
        <w:t xml:space="preserve">条  </w:t>
      </w:r>
      <w:r>
        <w:rPr>
          <w:rFonts w:hint="eastAsia" w:ascii="宋体" w:hAnsi="宋体" w:cs="宋体"/>
          <w:b/>
          <w:bCs/>
          <w:color w:val="auto"/>
          <w:lang w:val="en-US" w:eastAsia="zh-CN"/>
        </w:rPr>
        <w:t>诉讼</w:t>
      </w:r>
    </w:p>
    <w:p w14:paraId="3E0B05FD">
      <w:pPr>
        <w:keepNext w:val="0"/>
        <w:keepLines w:val="0"/>
        <w:pageBreakBefore w:val="0"/>
        <w:kinsoku/>
        <w:overflowPunct/>
        <w:bidi w:val="0"/>
        <w:spacing w:line="360" w:lineRule="auto"/>
        <w:ind w:left="-61" w:firstLine="420"/>
        <w:rPr>
          <w:rFonts w:hint="default" w:ascii="宋体" w:hAnsi="宋体" w:eastAsia="宋体" w:cs="宋体"/>
          <w:b w:val="0"/>
          <w:bCs w:val="0"/>
          <w:color w:val="auto"/>
          <w:lang w:val="en-US" w:eastAsia="zh-CN"/>
        </w:rPr>
      </w:pPr>
      <w:r>
        <w:rPr>
          <w:rFonts w:hint="eastAsia" w:ascii="宋体" w:hAnsi="宋体" w:cs="宋体"/>
          <w:b w:val="0"/>
          <w:bCs w:val="0"/>
          <w:color w:val="auto"/>
          <w:lang w:val="en-US" w:eastAsia="zh-CN"/>
        </w:rPr>
        <w:t>双方在执行合同中所发生的一切争议，应通过协商解决。如协商不能解决，可向仲裁委员会申请仲裁或向人民法院提起诉讼。</w:t>
      </w:r>
    </w:p>
    <w:p w14:paraId="25EB42D3">
      <w:pPr>
        <w:keepNext w:val="0"/>
        <w:keepLines w:val="0"/>
        <w:pageBreakBefore w:val="0"/>
        <w:kinsoku/>
        <w:overflowPunct/>
        <w:bidi w:val="0"/>
        <w:spacing w:line="360" w:lineRule="auto"/>
        <w:ind w:left="-61" w:firstLine="420"/>
        <w:rPr>
          <w:rFonts w:hint="eastAsia" w:ascii="宋体" w:hAnsi="宋体" w:eastAsia="宋体" w:cs="宋体"/>
          <w:b/>
          <w:bCs/>
          <w:color w:val="auto"/>
        </w:rPr>
      </w:pPr>
      <w:r>
        <w:rPr>
          <w:rFonts w:hint="eastAsia" w:ascii="宋体" w:hAnsi="宋体" w:cs="宋体"/>
          <w:b/>
          <w:bCs/>
          <w:color w:val="auto"/>
          <w:lang w:val="en-US" w:eastAsia="zh-CN"/>
        </w:rPr>
        <w:t xml:space="preserve">第十三条  </w:t>
      </w:r>
      <w:r>
        <w:rPr>
          <w:rFonts w:hint="eastAsia" w:ascii="宋体" w:hAnsi="宋体" w:eastAsia="宋体" w:cs="宋体"/>
          <w:b/>
          <w:bCs/>
          <w:color w:val="auto"/>
        </w:rPr>
        <w:t>合同生效及其它</w:t>
      </w:r>
    </w:p>
    <w:p w14:paraId="12FF78FE">
      <w:pPr>
        <w:keepNext w:val="0"/>
        <w:keepLines w:val="0"/>
        <w:pageBreakBefore w:val="0"/>
        <w:kinsoku/>
        <w:overflowPunct/>
        <w:bidi w:val="0"/>
        <w:spacing w:line="360" w:lineRule="auto"/>
        <w:ind w:left="-61" w:firstLine="420"/>
        <w:rPr>
          <w:rFonts w:hint="eastAsia" w:ascii="宋体" w:hAnsi="宋体" w:eastAsia="宋体" w:cs="宋体"/>
          <w:color w:val="auto"/>
        </w:rPr>
      </w:pPr>
      <w:r>
        <w:rPr>
          <w:rFonts w:hint="eastAsia" w:ascii="宋体" w:hAnsi="宋体" w:eastAsia="宋体" w:cs="宋体"/>
          <w:color w:val="auto"/>
        </w:rPr>
        <w:t>1.合同经双方法定代表人或者委托代理人签字并加盖单位公章后生效（委托代理人签字的需后附法定代表人授权委托书，格式自拟）。</w:t>
      </w:r>
    </w:p>
    <w:p w14:paraId="15A326F3">
      <w:pPr>
        <w:keepNext w:val="0"/>
        <w:keepLines w:val="0"/>
        <w:pageBreakBefore w:val="0"/>
        <w:kinsoku/>
        <w:overflowPunct/>
        <w:bidi w:val="0"/>
        <w:spacing w:line="360" w:lineRule="auto"/>
        <w:ind w:left="-61" w:firstLine="420"/>
        <w:rPr>
          <w:rFonts w:hint="eastAsia" w:ascii="宋体" w:hAnsi="宋体" w:eastAsia="宋体" w:cs="宋体"/>
          <w:color w:val="auto"/>
        </w:rPr>
      </w:pPr>
      <w:r>
        <w:rPr>
          <w:rFonts w:hint="eastAsia" w:ascii="宋体" w:hAnsi="宋体" w:eastAsia="宋体" w:cs="宋体"/>
          <w:color w:val="auto"/>
        </w:rPr>
        <w:t>2.合同执行中涉及采购资金和采购内容修改或者补充的，须经财政部门审批，并</w:t>
      </w:r>
      <w:r>
        <w:rPr>
          <w:rFonts w:hint="eastAsia" w:ascii="宋体" w:hAnsi="宋体" w:cs="宋体"/>
          <w:color w:val="auto"/>
          <w:lang w:eastAsia="zh-CN"/>
        </w:rPr>
        <w:t>签订</w:t>
      </w:r>
      <w:r>
        <w:rPr>
          <w:rFonts w:hint="eastAsia" w:ascii="宋体" w:hAnsi="宋体" w:eastAsia="宋体" w:cs="宋体"/>
          <w:color w:val="auto"/>
        </w:rPr>
        <w:t>书面补充协议报财政部门备案，方可作为主合同不可分割的一部分。</w:t>
      </w:r>
    </w:p>
    <w:p w14:paraId="7B2E686D">
      <w:pPr>
        <w:keepNext w:val="0"/>
        <w:keepLines w:val="0"/>
        <w:pageBreakBefore w:val="0"/>
        <w:kinsoku/>
        <w:overflowPunct/>
        <w:bidi w:val="0"/>
        <w:spacing w:line="360" w:lineRule="auto"/>
        <w:ind w:left="-61" w:firstLine="420"/>
        <w:rPr>
          <w:rFonts w:hint="eastAsia" w:ascii="宋体" w:hAnsi="宋体" w:eastAsia="宋体" w:cs="宋体"/>
          <w:color w:val="auto"/>
        </w:rPr>
      </w:pPr>
      <w:r>
        <w:rPr>
          <w:rFonts w:hint="eastAsia" w:ascii="宋体" w:hAnsi="宋体" w:eastAsia="宋体" w:cs="宋体"/>
          <w:color w:val="auto"/>
        </w:rPr>
        <w:t>3.本合同未尽事宜，遵照《中华人民共和国民法典》有关条文执行。</w:t>
      </w:r>
    </w:p>
    <w:p w14:paraId="753F9363">
      <w:pPr>
        <w:keepNext w:val="0"/>
        <w:keepLines w:val="0"/>
        <w:pageBreakBefore w:val="0"/>
        <w:kinsoku/>
        <w:overflowPunct/>
        <w:bidi w:val="0"/>
        <w:spacing w:line="360" w:lineRule="auto"/>
        <w:ind w:left="-61" w:firstLine="420"/>
        <w:rPr>
          <w:rFonts w:hint="eastAsia" w:ascii="宋体" w:hAnsi="宋体" w:eastAsia="宋体" w:cs="宋体"/>
          <w:b/>
          <w:bCs/>
          <w:color w:val="auto"/>
        </w:rPr>
      </w:pPr>
      <w:r>
        <w:rPr>
          <w:rFonts w:hint="eastAsia" w:ascii="宋体" w:hAnsi="宋体" w:eastAsia="宋体" w:cs="宋体"/>
          <w:b/>
          <w:bCs/>
          <w:color w:val="auto"/>
        </w:rPr>
        <w:t>第十</w:t>
      </w:r>
      <w:r>
        <w:rPr>
          <w:rFonts w:hint="eastAsia" w:ascii="宋体" w:hAnsi="宋体" w:cs="宋体"/>
          <w:b/>
          <w:bCs/>
          <w:color w:val="auto"/>
          <w:lang w:val="en-US" w:eastAsia="zh-CN"/>
        </w:rPr>
        <w:t>四</w:t>
      </w:r>
      <w:r>
        <w:rPr>
          <w:rFonts w:hint="eastAsia" w:ascii="宋体" w:hAnsi="宋体" w:eastAsia="宋体" w:cs="宋体"/>
          <w:b/>
          <w:bCs/>
          <w:color w:val="auto"/>
        </w:rPr>
        <w:t>条　合同的变更、终止与转让</w:t>
      </w:r>
    </w:p>
    <w:p w14:paraId="449DF0AB">
      <w:pPr>
        <w:keepNext w:val="0"/>
        <w:keepLines w:val="0"/>
        <w:pageBreakBefore w:val="0"/>
        <w:kinsoku/>
        <w:overflowPunct/>
        <w:bidi w:val="0"/>
        <w:spacing w:line="360" w:lineRule="auto"/>
        <w:ind w:left="-61" w:firstLine="420"/>
        <w:rPr>
          <w:rFonts w:hint="eastAsia" w:ascii="宋体" w:hAnsi="宋体" w:eastAsia="宋体" w:cs="宋体"/>
          <w:color w:val="auto"/>
        </w:rPr>
      </w:pPr>
      <w:r>
        <w:rPr>
          <w:rFonts w:hint="eastAsia" w:ascii="宋体" w:hAnsi="宋体" w:eastAsia="宋体" w:cs="宋体"/>
          <w:color w:val="auto"/>
        </w:rPr>
        <w:t>1.除《中华人民共和国政府采购法》第五十条规定的情形外，本合同一经签订，甲乙双方不得擅自变更、中止或者终止。</w:t>
      </w:r>
    </w:p>
    <w:p w14:paraId="35FD91DB">
      <w:pPr>
        <w:keepNext w:val="0"/>
        <w:keepLines w:val="0"/>
        <w:pageBreakBefore w:val="0"/>
        <w:kinsoku/>
        <w:overflowPunct/>
        <w:bidi w:val="0"/>
        <w:spacing w:line="360" w:lineRule="auto"/>
        <w:ind w:left="-61" w:firstLine="420"/>
        <w:rPr>
          <w:rFonts w:hint="eastAsia" w:ascii="宋体" w:hAnsi="宋体" w:eastAsia="宋体" w:cs="宋体"/>
          <w:color w:val="auto"/>
        </w:rPr>
      </w:pPr>
      <w:r>
        <w:rPr>
          <w:rFonts w:hint="eastAsia" w:ascii="宋体" w:hAnsi="宋体" w:eastAsia="宋体" w:cs="宋体"/>
          <w:color w:val="auto"/>
        </w:rPr>
        <w:t>2.乙方不得擅自转让（无进口资格的供应商委托进口货物除外）其应履行的合同义务。</w:t>
      </w:r>
    </w:p>
    <w:p w14:paraId="58455031">
      <w:pPr>
        <w:keepNext w:val="0"/>
        <w:keepLines w:val="0"/>
        <w:pageBreakBefore w:val="0"/>
        <w:kinsoku/>
        <w:overflowPunct/>
        <w:bidi w:val="0"/>
        <w:spacing w:line="360" w:lineRule="auto"/>
        <w:ind w:left="-61" w:firstLine="420"/>
        <w:rPr>
          <w:rFonts w:hint="eastAsia" w:ascii="宋体" w:hAnsi="宋体" w:eastAsia="宋体" w:cs="宋体"/>
          <w:b/>
          <w:bCs/>
          <w:color w:val="auto"/>
        </w:rPr>
      </w:pPr>
      <w:r>
        <w:rPr>
          <w:rFonts w:hint="eastAsia" w:ascii="宋体" w:hAnsi="宋体" w:eastAsia="宋体" w:cs="宋体"/>
          <w:b/>
          <w:bCs/>
          <w:color w:val="auto"/>
        </w:rPr>
        <w:t>第十</w:t>
      </w:r>
      <w:r>
        <w:rPr>
          <w:rFonts w:hint="eastAsia" w:ascii="宋体" w:hAnsi="宋体" w:cs="宋体"/>
          <w:b/>
          <w:bCs/>
          <w:color w:val="auto"/>
          <w:lang w:val="en-US" w:eastAsia="zh-CN"/>
        </w:rPr>
        <w:t>五</w:t>
      </w:r>
      <w:r>
        <w:rPr>
          <w:rFonts w:hint="eastAsia" w:ascii="宋体" w:hAnsi="宋体" w:eastAsia="宋体" w:cs="宋体"/>
          <w:b/>
          <w:bCs/>
          <w:color w:val="auto"/>
        </w:rPr>
        <w:t>条　本合同书与下列文件一起构成合同文件</w:t>
      </w:r>
    </w:p>
    <w:p w14:paraId="17B254CF">
      <w:pPr>
        <w:keepNext w:val="0"/>
        <w:keepLines w:val="0"/>
        <w:pageBreakBefore w:val="0"/>
        <w:kinsoku/>
        <w:overflowPunct/>
        <w:bidi w:val="0"/>
        <w:spacing w:line="360" w:lineRule="auto"/>
        <w:ind w:left="-61" w:firstLine="420"/>
        <w:rPr>
          <w:rFonts w:hint="eastAsia" w:ascii="宋体" w:hAnsi="宋体" w:eastAsia="宋体" w:cs="宋体"/>
          <w:color w:val="auto"/>
        </w:rPr>
      </w:pPr>
      <w:r>
        <w:rPr>
          <w:rFonts w:hint="eastAsia" w:ascii="宋体" w:hAnsi="宋体" w:eastAsia="宋体" w:cs="宋体"/>
          <w:color w:val="auto"/>
        </w:rPr>
        <w:t>1.中标</w:t>
      </w:r>
      <w:r>
        <w:rPr>
          <w:rFonts w:hint="eastAsia" w:ascii="宋体" w:hAnsi="宋体" w:cs="宋体"/>
          <w:color w:val="auto"/>
          <w:lang w:eastAsia="zh-CN"/>
        </w:rPr>
        <w:t>（</w:t>
      </w:r>
      <w:r>
        <w:rPr>
          <w:rFonts w:hint="eastAsia" w:ascii="宋体" w:hAnsi="宋体" w:cs="宋体"/>
          <w:color w:val="auto"/>
          <w:lang w:val="en-US" w:eastAsia="zh-CN"/>
        </w:rPr>
        <w:t>成交</w:t>
      </w:r>
      <w:r>
        <w:rPr>
          <w:rFonts w:hint="eastAsia" w:ascii="宋体" w:hAnsi="宋体" w:cs="宋体"/>
          <w:color w:val="auto"/>
          <w:lang w:eastAsia="zh-CN"/>
        </w:rPr>
        <w:t>）</w:t>
      </w:r>
      <w:r>
        <w:rPr>
          <w:rFonts w:hint="eastAsia" w:ascii="宋体" w:hAnsi="宋体" w:eastAsia="宋体" w:cs="宋体"/>
          <w:color w:val="auto"/>
        </w:rPr>
        <w:t>通知书；</w:t>
      </w:r>
    </w:p>
    <w:p w14:paraId="3B802924">
      <w:pPr>
        <w:keepNext w:val="0"/>
        <w:keepLines w:val="0"/>
        <w:pageBreakBefore w:val="0"/>
        <w:kinsoku/>
        <w:overflowPunct/>
        <w:bidi w:val="0"/>
        <w:spacing w:line="360" w:lineRule="auto"/>
        <w:ind w:left="-61" w:firstLine="420"/>
        <w:rPr>
          <w:rFonts w:hint="eastAsia" w:ascii="宋体" w:hAnsi="宋体" w:eastAsia="宋体" w:cs="宋体"/>
          <w:color w:val="auto"/>
        </w:rPr>
      </w:pPr>
      <w:r>
        <w:rPr>
          <w:rFonts w:hint="eastAsia" w:ascii="宋体" w:hAnsi="宋体" w:eastAsia="宋体" w:cs="宋体"/>
          <w:color w:val="auto"/>
        </w:rPr>
        <w:t>2.投标函；</w:t>
      </w:r>
    </w:p>
    <w:p w14:paraId="06E69DF4">
      <w:pPr>
        <w:keepNext w:val="0"/>
        <w:keepLines w:val="0"/>
        <w:pageBreakBefore w:val="0"/>
        <w:kinsoku/>
        <w:overflowPunct/>
        <w:bidi w:val="0"/>
        <w:spacing w:line="360" w:lineRule="auto"/>
        <w:ind w:left="-61" w:firstLine="420"/>
        <w:rPr>
          <w:rFonts w:hint="eastAsia" w:ascii="宋体" w:hAnsi="宋体" w:eastAsia="宋体" w:cs="宋体"/>
          <w:color w:val="auto"/>
        </w:rPr>
      </w:pPr>
      <w:r>
        <w:rPr>
          <w:rFonts w:hint="eastAsia" w:ascii="宋体" w:hAnsi="宋体" w:eastAsia="宋体" w:cs="宋体"/>
          <w:color w:val="auto"/>
        </w:rPr>
        <w:t>3.商务偏离表和技术偏离表；</w:t>
      </w:r>
    </w:p>
    <w:p w14:paraId="42ECE47E">
      <w:pPr>
        <w:keepNext w:val="0"/>
        <w:keepLines w:val="0"/>
        <w:pageBreakBefore w:val="0"/>
        <w:kinsoku/>
        <w:overflowPunct/>
        <w:bidi w:val="0"/>
        <w:spacing w:line="360" w:lineRule="auto"/>
        <w:ind w:left="-61" w:firstLine="420"/>
        <w:rPr>
          <w:rFonts w:hint="eastAsia" w:ascii="宋体" w:hAnsi="宋体" w:eastAsia="宋体" w:cs="宋体"/>
          <w:color w:val="auto"/>
        </w:rPr>
      </w:pPr>
      <w:r>
        <w:rPr>
          <w:rFonts w:hint="eastAsia" w:ascii="宋体" w:hAnsi="宋体" w:eastAsia="宋体" w:cs="宋体"/>
          <w:color w:val="auto"/>
        </w:rPr>
        <w:t>4.采购需求；</w:t>
      </w:r>
    </w:p>
    <w:p w14:paraId="5053281C">
      <w:pPr>
        <w:keepNext w:val="0"/>
        <w:keepLines w:val="0"/>
        <w:pageBreakBefore w:val="0"/>
        <w:kinsoku/>
        <w:overflowPunct/>
        <w:bidi w:val="0"/>
        <w:spacing w:line="360" w:lineRule="auto"/>
        <w:ind w:left="-61" w:firstLine="420"/>
        <w:rPr>
          <w:rFonts w:hint="eastAsia" w:ascii="宋体" w:hAnsi="宋体" w:eastAsia="宋体" w:cs="宋体"/>
          <w:color w:val="auto"/>
        </w:rPr>
      </w:pPr>
      <w:r>
        <w:rPr>
          <w:rFonts w:hint="eastAsia" w:ascii="宋体" w:hAnsi="宋体" w:eastAsia="宋体" w:cs="宋体"/>
          <w:color w:val="auto"/>
        </w:rPr>
        <w:t>5.开标一览表；</w:t>
      </w:r>
    </w:p>
    <w:p w14:paraId="53AEFB26">
      <w:pPr>
        <w:keepNext w:val="0"/>
        <w:keepLines w:val="0"/>
        <w:pageBreakBefore w:val="0"/>
        <w:kinsoku/>
        <w:overflowPunct/>
        <w:bidi w:val="0"/>
        <w:spacing w:line="360" w:lineRule="auto"/>
        <w:ind w:left="-61" w:firstLine="420"/>
        <w:rPr>
          <w:rFonts w:hint="eastAsia" w:ascii="宋体" w:hAnsi="宋体" w:eastAsia="宋体" w:cs="宋体"/>
          <w:color w:val="auto"/>
        </w:rPr>
      </w:pPr>
      <w:r>
        <w:rPr>
          <w:rFonts w:hint="eastAsia" w:ascii="宋体" w:hAnsi="宋体" w:eastAsia="宋体" w:cs="宋体"/>
          <w:color w:val="auto"/>
        </w:rPr>
        <w:t>6.其他</w:t>
      </w:r>
      <w:r>
        <w:rPr>
          <w:rFonts w:hint="eastAsia" w:ascii="宋体" w:hAnsi="宋体" w:cs="宋体"/>
          <w:color w:val="auto"/>
          <w:lang w:val="en-US" w:eastAsia="zh-CN"/>
        </w:rPr>
        <w:t xml:space="preserve"> 与本</w:t>
      </w:r>
      <w:r>
        <w:rPr>
          <w:rFonts w:hint="eastAsia" w:ascii="宋体" w:hAnsi="宋体" w:eastAsia="宋体" w:cs="宋体"/>
          <w:color w:val="auto"/>
        </w:rPr>
        <w:t>合同</w:t>
      </w:r>
      <w:r>
        <w:rPr>
          <w:rFonts w:hint="eastAsia" w:ascii="宋体" w:hAnsi="宋体" w:cs="宋体"/>
          <w:color w:val="auto"/>
          <w:lang w:val="en-US" w:eastAsia="zh-CN"/>
        </w:rPr>
        <w:t>相关的资料（如有请提供）</w:t>
      </w:r>
      <w:r>
        <w:rPr>
          <w:rFonts w:hint="eastAsia" w:ascii="宋体" w:hAnsi="宋体" w:eastAsia="宋体" w:cs="宋体"/>
          <w:color w:val="auto"/>
        </w:rPr>
        <w:t>。</w:t>
      </w:r>
    </w:p>
    <w:p w14:paraId="5DB60719">
      <w:pPr>
        <w:keepNext w:val="0"/>
        <w:keepLines w:val="0"/>
        <w:pageBreakBefore w:val="0"/>
        <w:kinsoku/>
        <w:overflowPunct/>
        <w:bidi w:val="0"/>
        <w:spacing w:line="360" w:lineRule="auto"/>
        <w:ind w:left="-61" w:firstLine="420"/>
        <w:rPr>
          <w:rFonts w:hint="eastAsia" w:ascii="宋体" w:hAnsi="宋体" w:eastAsia="宋体" w:cs="宋体"/>
          <w:color w:val="auto"/>
        </w:rPr>
      </w:pPr>
      <w:r>
        <w:rPr>
          <w:rFonts w:hint="eastAsia" w:ascii="宋体" w:hAnsi="宋体" w:cs="宋体"/>
          <w:color w:val="auto"/>
          <w:lang w:val="en-US" w:eastAsia="zh-CN"/>
        </w:rPr>
        <w:t>7</w:t>
      </w:r>
      <w:r>
        <w:rPr>
          <w:rFonts w:hint="eastAsia" w:ascii="宋体" w:hAnsi="宋体" w:eastAsia="宋体" w:cs="宋体"/>
          <w:color w:val="auto"/>
        </w:rPr>
        <w:t>.上述合同文件互相补充和解释。如果合同文件之间存在矛盾或者不一致之处，以上述文件的排列顺序在先者为准。</w:t>
      </w:r>
    </w:p>
    <w:p w14:paraId="4CE75489">
      <w:pPr>
        <w:keepNext w:val="0"/>
        <w:keepLines w:val="0"/>
        <w:pageBreakBefore w:val="0"/>
        <w:kinsoku/>
        <w:overflowPunct/>
        <w:bidi w:val="0"/>
        <w:spacing w:line="360" w:lineRule="auto"/>
        <w:ind w:left="-61" w:firstLine="420"/>
        <w:rPr>
          <w:rFonts w:hint="eastAsia" w:ascii="宋体" w:hAnsi="宋体" w:eastAsia="宋体" w:cs="宋体"/>
          <w:color w:val="auto"/>
        </w:rPr>
      </w:pPr>
      <w:r>
        <w:rPr>
          <w:rFonts w:hint="eastAsia" w:ascii="宋体" w:hAnsi="宋体" w:eastAsia="宋体" w:cs="宋体"/>
          <w:b/>
          <w:bCs/>
          <w:color w:val="auto"/>
        </w:rPr>
        <w:t>第</w:t>
      </w:r>
      <w:r>
        <w:rPr>
          <w:rFonts w:hint="eastAsia" w:ascii="宋体" w:hAnsi="宋体" w:cs="宋体"/>
          <w:b/>
          <w:bCs/>
          <w:color w:val="auto"/>
          <w:lang w:val="en-US" w:eastAsia="zh-CN"/>
        </w:rPr>
        <w:t>十六</w:t>
      </w:r>
      <w:r>
        <w:rPr>
          <w:rFonts w:hint="eastAsia" w:ascii="宋体" w:hAnsi="宋体" w:eastAsia="宋体" w:cs="宋体"/>
          <w:b/>
          <w:bCs/>
          <w:color w:val="auto"/>
        </w:rPr>
        <w:t>条</w:t>
      </w:r>
      <w:r>
        <w:rPr>
          <w:rFonts w:hint="eastAsia" w:ascii="宋体" w:hAnsi="宋体" w:eastAsia="宋体" w:cs="宋体"/>
          <w:color w:val="auto"/>
        </w:rPr>
        <w:t>　本合同一式</w:t>
      </w:r>
      <w:r>
        <w:rPr>
          <w:rFonts w:hint="eastAsia" w:ascii="宋体" w:hAnsi="宋体" w:cs="宋体"/>
          <w:color w:val="auto"/>
          <w:lang w:val="en-US" w:eastAsia="zh-CN"/>
        </w:rPr>
        <w:t>五</w:t>
      </w:r>
      <w:r>
        <w:rPr>
          <w:rFonts w:hint="eastAsia" w:ascii="宋体" w:hAnsi="宋体" w:eastAsia="宋体" w:cs="宋体"/>
          <w:color w:val="auto"/>
        </w:rPr>
        <w:t>份，具有同等法律效力，甲乙双方各</w:t>
      </w:r>
      <w:r>
        <w:rPr>
          <w:rFonts w:hint="eastAsia" w:ascii="宋体" w:hAnsi="宋体" w:eastAsia="宋体" w:cs="宋体"/>
          <w:color w:val="auto"/>
          <w:lang w:eastAsia="zh-CN"/>
        </w:rPr>
        <w:t>二</w:t>
      </w:r>
      <w:r>
        <w:rPr>
          <w:rFonts w:hint="eastAsia" w:ascii="宋体" w:hAnsi="宋体" w:eastAsia="宋体" w:cs="宋体"/>
          <w:color w:val="auto"/>
        </w:rPr>
        <w:t>份</w:t>
      </w:r>
      <w:r>
        <w:rPr>
          <w:rFonts w:hint="eastAsia" w:ascii="宋体" w:hAnsi="宋体" w:eastAsia="宋体" w:cs="宋体"/>
          <w:color w:val="auto"/>
          <w:lang w:eastAsia="zh-CN"/>
        </w:rPr>
        <w:t>，</w:t>
      </w:r>
      <w:r>
        <w:rPr>
          <w:rFonts w:hint="eastAsia" w:ascii="宋体" w:hAnsi="宋体" w:eastAsia="宋体" w:cs="宋体"/>
          <w:color w:val="auto"/>
        </w:rPr>
        <w:t>采购代理机构</w:t>
      </w:r>
      <w:r>
        <w:rPr>
          <w:rFonts w:hint="eastAsia" w:ascii="宋体" w:hAnsi="宋体" w:cs="宋体"/>
          <w:color w:val="auto"/>
          <w:lang w:val="en-US" w:eastAsia="zh-CN"/>
        </w:rPr>
        <w:t>一</w:t>
      </w:r>
      <w:r>
        <w:rPr>
          <w:rFonts w:hint="eastAsia" w:ascii="宋体" w:hAnsi="宋体" w:eastAsia="宋体" w:cs="宋体"/>
          <w:color w:val="auto"/>
        </w:rPr>
        <w:t>份（可根据需要另增加）。</w:t>
      </w:r>
    </w:p>
    <w:p w14:paraId="04D6A415">
      <w:pPr>
        <w:keepNext w:val="0"/>
        <w:keepLines w:val="0"/>
        <w:pageBreakBefore w:val="0"/>
        <w:kinsoku/>
        <w:overflowPunct/>
        <w:bidi w:val="0"/>
        <w:spacing w:line="360" w:lineRule="auto"/>
        <w:ind w:left="-61" w:firstLine="420"/>
        <w:rPr>
          <w:rFonts w:hint="eastAsia" w:ascii="宋体" w:hAnsi="宋体" w:eastAsia="宋体" w:cs="宋体"/>
          <w:color w:val="auto"/>
        </w:rPr>
      </w:pPr>
      <w:r>
        <w:rPr>
          <w:rFonts w:hint="eastAsia" w:ascii="宋体" w:hAnsi="宋体" w:eastAsia="宋体" w:cs="宋体"/>
          <w:color w:val="auto"/>
        </w:rPr>
        <w:t>本合同自签订之日起2个工作日内，甲方应当将采购合同在广西壮族自治区财政厅指定的媒体上公告。</w:t>
      </w:r>
    </w:p>
    <w:p w14:paraId="0C3EA96E">
      <w:pPr>
        <w:keepNext w:val="0"/>
        <w:keepLines w:val="0"/>
        <w:pageBreakBefore w:val="0"/>
        <w:kinsoku/>
        <w:overflowPunct/>
        <w:bidi w:val="0"/>
        <w:spacing w:line="360" w:lineRule="auto"/>
        <w:rPr>
          <w:rFonts w:hint="eastAsia" w:ascii="宋体" w:hAnsi="宋体" w:eastAsia="宋体" w:cs="宋体"/>
          <w:color w:val="auto"/>
        </w:rPr>
      </w:pPr>
    </w:p>
    <w:tbl>
      <w:tblPr>
        <w:tblStyle w:val="25"/>
        <w:tblW w:w="90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5"/>
        <w:gridCol w:w="4515"/>
      </w:tblGrid>
      <w:tr w14:paraId="7A6B4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15" w:type="dxa"/>
            <w:tcBorders>
              <w:top w:val="single" w:color="auto" w:sz="4" w:space="0"/>
              <w:left w:val="single" w:color="auto" w:sz="4" w:space="0"/>
              <w:bottom w:val="single" w:color="auto" w:sz="4" w:space="0"/>
              <w:right w:val="single" w:color="auto" w:sz="4" w:space="0"/>
            </w:tcBorders>
            <w:vAlign w:val="center"/>
          </w:tcPr>
          <w:p w14:paraId="21D9F3E8">
            <w:pPr>
              <w:keepNext w:val="0"/>
              <w:keepLines w:val="0"/>
              <w:pageBreakBefore w:val="0"/>
              <w:kinsoku/>
              <w:overflowPunct/>
              <w:bidi w:val="0"/>
              <w:spacing w:line="360" w:lineRule="auto"/>
              <w:ind w:firstLine="420"/>
              <w:rPr>
                <w:rFonts w:hint="eastAsia" w:ascii="宋体" w:hAnsi="宋体" w:eastAsia="宋体" w:cs="宋体"/>
                <w:color w:val="auto"/>
              </w:rPr>
            </w:pPr>
            <w:r>
              <w:rPr>
                <w:rFonts w:hint="eastAsia" w:ascii="宋体" w:hAnsi="宋体" w:eastAsia="宋体" w:cs="宋体"/>
                <w:color w:val="auto"/>
              </w:rPr>
              <w:t xml:space="preserve">甲方（章）           </w:t>
            </w:r>
          </w:p>
          <w:p w14:paraId="5B28FE81">
            <w:pPr>
              <w:keepNext w:val="0"/>
              <w:keepLines w:val="0"/>
              <w:pageBreakBefore w:val="0"/>
              <w:kinsoku/>
              <w:overflowPunct/>
              <w:bidi w:val="0"/>
              <w:spacing w:line="360" w:lineRule="auto"/>
              <w:ind w:firstLine="420"/>
              <w:rPr>
                <w:rFonts w:hint="eastAsia" w:ascii="宋体" w:hAnsi="宋体" w:eastAsia="宋体" w:cs="宋体"/>
                <w:color w:val="auto"/>
              </w:rPr>
            </w:pPr>
          </w:p>
          <w:p w14:paraId="3419C473">
            <w:pPr>
              <w:keepNext w:val="0"/>
              <w:keepLines w:val="0"/>
              <w:pageBreakBefore w:val="0"/>
              <w:kinsoku/>
              <w:overflowPunct/>
              <w:bidi w:val="0"/>
              <w:spacing w:line="360" w:lineRule="auto"/>
              <w:ind w:firstLine="945" w:firstLineChars="450"/>
              <w:jc w:val="right"/>
              <w:rPr>
                <w:rFonts w:hint="eastAsia" w:ascii="宋体" w:hAnsi="宋体" w:eastAsia="宋体" w:cs="宋体"/>
                <w:color w:val="auto"/>
              </w:rPr>
            </w:pPr>
            <w:r>
              <w:rPr>
                <w:rFonts w:hint="eastAsia" w:ascii="宋体" w:hAnsi="宋体" w:eastAsia="宋体" w:cs="宋体"/>
                <w:color w:val="auto"/>
              </w:rPr>
              <w:t>年   月   日</w:t>
            </w:r>
          </w:p>
        </w:tc>
        <w:tc>
          <w:tcPr>
            <w:tcW w:w="4515" w:type="dxa"/>
            <w:tcBorders>
              <w:top w:val="single" w:color="auto" w:sz="4" w:space="0"/>
              <w:left w:val="single" w:color="auto" w:sz="4" w:space="0"/>
              <w:bottom w:val="single" w:color="auto" w:sz="4" w:space="0"/>
              <w:right w:val="single" w:color="auto" w:sz="4" w:space="0"/>
            </w:tcBorders>
            <w:vAlign w:val="center"/>
          </w:tcPr>
          <w:p w14:paraId="74F8BD86">
            <w:pPr>
              <w:keepNext w:val="0"/>
              <w:keepLines w:val="0"/>
              <w:pageBreakBefore w:val="0"/>
              <w:kinsoku/>
              <w:overflowPunct/>
              <w:bidi w:val="0"/>
              <w:spacing w:line="360" w:lineRule="auto"/>
              <w:ind w:firstLine="420"/>
              <w:rPr>
                <w:rFonts w:hint="eastAsia" w:ascii="宋体" w:hAnsi="宋体" w:eastAsia="宋体" w:cs="宋体"/>
                <w:color w:val="auto"/>
              </w:rPr>
            </w:pPr>
            <w:r>
              <w:rPr>
                <w:rFonts w:hint="eastAsia" w:ascii="宋体" w:hAnsi="宋体" w:eastAsia="宋体" w:cs="宋体"/>
                <w:color w:val="auto"/>
              </w:rPr>
              <w:t xml:space="preserve">乙方（章）              </w:t>
            </w:r>
          </w:p>
          <w:p w14:paraId="5570DD12">
            <w:pPr>
              <w:keepNext w:val="0"/>
              <w:keepLines w:val="0"/>
              <w:pageBreakBefore w:val="0"/>
              <w:kinsoku/>
              <w:overflowPunct/>
              <w:bidi w:val="0"/>
              <w:spacing w:line="360" w:lineRule="auto"/>
              <w:ind w:firstLine="420"/>
              <w:rPr>
                <w:rFonts w:hint="eastAsia" w:ascii="宋体" w:hAnsi="宋体" w:eastAsia="宋体" w:cs="宋体"/>
                <w:color w:val="auto"/>
              </w:rPr>
            </w:pPr>
          </w:p>
          <w:p w14:paraId="76E8EE2D">
            <w:pPr>
              <w:keepNext w:val="0"/>
              <w:keepLines w:val="0"/>
              <w:pageBreakBefore w:val="0"/>
              <w:kinsoku/>
              <w:overflowPunct/>
              <w:bidi w:val="0"/>
              <w:spacing w:line="360" w:lineRule="auto"/>
              <w:ind w:firstLine="420"/>
              <w:jc w:val="right"/>
              <w:rPr>
                <w:rFonts w:hint="eastAsia" w:ascii="宋体" w:hAnsi="宋体" w:eastAsia="宋体" w:cs="宋体"/>
                <w:color w:val="auto"/>
              </w:rPr>
            </w:pPr>
            <w:r>
              <w:rPr>
                <w:rFonts w:hint="eastAsia" w:ascii="宋体" w:hAnsi="宋体" w:eastAsia="宋体" w:cs="宋体"/>
                <w:color w:val="auto"/>
              </w:rPr>
              <w:t xml:space="preserve"> 年   月   日</w:t>
            </w:r>
          </w:p>
        </w:tc>
      </w:tr>
      <w:tr w14:paraId="5EA16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515" w:type="dxa"/>
            <w:tcBorders>
              <w:top w:val="single" w:color="auto" w:sz="4" w:space="0"/>
              <w:left w:val="single" w:color="auto" w:sz="4" w:space="0"/>
              <w:bottom w:val="single" w:color="auto" w:sz="4" w:space="0"/>
              <w:right w:val="single" w:color="auto" w:sz="4" w:space="0"/>
            </w:tcBorders>
            <w:vAlign w:val="center"/>
          </w:tcPr>
          <w:p w14:paraId="7937213D">
            <w:pPr>
              <w:keepNext w:val="0"/>
              <w:keepLines w:val="0"/>
              <w:pageBreakBefore w:val="0"/>
              <w:kinsoku/>
              <w:overflowPunct/>
              <w:bidi w:val="0"/>
              <w:spacing w:line="360" w:lineRule="auto"/>
              <w:ind w:firstLine="420"/>
              <w:rPr>
                <w:rFonts w:hint="eastAsia" w:ascii="宋体" w:hAnsi="宋体" w:eastAsia="宋体" w:cs="宋体"/>
                <w:color w:val="auto"/>
              </w:rPr>
            </w:pPr>
            <w:r>
              <w:rPr>
                <w:rFonts w:hint="eastAsia" w:ascii="宋体" w:hAnsi="宋体" w:eastAsia="宋体" w:cs="宋体"/>
                <w:color w:val="auto"/>
              </w:rPr>
              <w:t>单位地址：</w:t>
            </w:r>
          </w:p>
        </w:tc>
        <w:tc>
          <w:tcPr>
            <w:tcW w:w="4515" w:type="dxa"/>
            <w:tcBorders>
              <w:top w:val="single" w:color="auto" w:sz="4" w:space="0"/>
              <w:left w:val="single" w:color="auto" w:sz="4" w:space="0"/>
              <w:bottom w:val="single" w:color="auto" w:sz="4" w:space="0"/>
              <w:right w:val="single" w:color="auto" w:sz="4" w:space="0"/>
            </w:tcBorders>
            <w:vAlign w:val="center"/>
          </w:tcPr>
          <w:p w14:paraId="39BAA78F">
            <w:pPr>
              <w:keepNext w:val="0"/>
              <w:keepLines w:val="0"/>
              <w:pageBreakBefore w:val="0"/>
              <w:kinsoku/>
              <w:overflowPunct/>
              <w:bidi w:val="0"/>
              <w:spacing w:line="360" w:lineRule="auto"/>
              <w:ind w:firstLine="420"/>
              <w:rPr>
                <w:rFonts w:hint="eastAsia" w:ascii="宋体" w:hAnsi="宋体" w:eastAsia="宋体" w:cs="宋体"/>
                <w:color w:val="auto"/>
              </w:rPr>
            </w:pPr>
            <w:r>
              <w:rPr>
                <w:rFonts w:hint="eastAsia" w:ascii="宋体" w:hAnsi="宋体" w:eastAsia="宋体" w:cs="宋体"/>
                <w:color w:val="auto"/>
              </w:rPr>
              <w:t>单位地址：</w:t>
            </w:r>
          </w:p>
        </w:tc>
      </w:tr>
      <w:tr w14:paraId="3B11D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4515" w:type="dxa"/>
            <w:tcBorders>
              <w:top w:val="single" w:color="auto" w:sz="4" w:space="0"/>
              <w:left w:val="single" w:color="auto" w:sz="4" w:space="0"/>
              <w:bottom w:val="single" w:color="auto" w:sz="4" w:space="0"/>
              <w:right w:val="single" w:color="auto" w:sz="4" w:space="0"/>
            </w:tcBorders>
            <w:vAlign w:val="center"/>
          </w:tcPr>
          <w:p w14:paraId="32F694FE">
            <w:pPr>
              <w:keepNext w:val="0"/>
              <w:keepLines w:val="0"/>
              <w:pageBreakBefore w:val="0"/>
              <w:kinsoku/>
              <w:overflowPunct/>
              <w:bidi w:val="0"/>
              <w:spacing w:line="360" w:lineRule="auto"/>
              <w:ind w:firstLine="420"/>
              <w:rPr>
                <w:rFonts w:hint="eastAsia" w:ascii="宋体" w:hAnsi="宋体" w:eastAsia="宋体" w:cs="宋体"/>
                <w:color w:val="auto"/>
              </w:rPr>
            </w:pPr>
            <w:r>
              <w:rPr>
                <w:rFonts w:hint="eastAsia" w:ascii="宋体" w:hAnsi="宋体" w:eastAsia="宋体" w:cs="宋体"/>
                <w:color w:val="auto"/>
              </w:rPr>
              <w:t>法定代表人：</w:t>
            </w:r>
          </w:p>
        </w:tc>
        <w:tc>
          <w:tcPr>
            <w:tcW w:w="4515" w:type="dxa"/>
            <w:tcBorders>
              <w:top w:val="single" w:color="auto" w:sz="4" w:space="0"/>
              <w:left w:val="single" w:color="auto" w:sz="4" w:space="0"/>
              <w:bottom w:val="single" w:color="auto" w:sz="4" w:space="0"/>
              <w:right w:val="single" w:color="auto" w:sz="4" w:space="0"/>
            </w:tcBorders>
            <w:vAlign w:val="center"/>
          </w:tcPr>
          <w:p w14:paraId="50B05CFE">
            <w:pPr>
              <w:keepNext w:val="0"/>
              <w:keepLines w:val="0"/>
              <w:pageBreakBefore w:val="0"/>
              <w:kinsoku/>
              <w:overflowPunct/>
              <w:bidi w:val="0"/>
              <w:spacing w:line="360" w:lineRule="auto"/>
              <w:ind w:firstLine="420"/>
              <w:rPr>
                <w:rFonts w:hint="eastAsia" w:ascii="宋体" w:hAnsi="宋体" w:eastAsia="宋体" w:cs="宋体"/>
                <w:color w:val="auto"/>
              </w:rPr>
            </w:pPr>
            <w:r>
              <w:rPr>
                <w:rFonts w:hint="eastAsia" w:ascii="宋体" w:hAnsi="宋体" w:eastAsia="宋体" w:cs="宋体"/>
                <w:color w:val="auto"/>
              </w:rPr>
              <w:t>法定代表人</w:t>
            </w:r>
            <w:r>
              <w:rPr>
                <w:rFonts w:hint="eastAsia" w:ascii="宋体" w:hAnsi="宋体" w:cs="宋体"/>
                <w:color w:val="auto"/>
                <w:lang w:eastAsia="zh-CN"/>
              </w:rPr>
              <w:t>（</w:t>
            </w:r>
            <w:r>
              <w:rPr>
                <w:rFonts w:hint="eastAsia" w:ascii="宋体" w:hAnsi="宋体" w:eastAsia="宋体" w:cs="宋体"/>
                <w:color w:val="auto"/>
              </w:rPr>
              <w:t>经营者或自然人）：</w:t>
            </w:r>
          </w:p>
        </w:tc>
      </w:tr>
      <w:tr w14:paraId="3C5C6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4515" w:type="dxa"/>
            <w:tcBorders>
              <w:top w:val="single" w:color="auto" w:sz="4" w:space="0"/>
              <w:left w:val="single" w:color="auto" w:sz="4" w:space="0"/>
              <w:bottom w:val="single" w:color="auto" w:sz="4" w:space="0"/>
              <w:right w:val="single" w:color="auto" w:sz="4" w:space="0"/>
            </w:tcBorders>
            <w:vAlign w:val="center"/>
          </w:tcPr>
          <w:p w14:paraId="6D971D16">
            <w:pPr>
              <w:keepNext w:val="0"/>
              <w:keepLines w:val="0"/>
              <w:pageBreakBefore w:val="0"/>
              <w:kinsoku/>
              <w:overflowPunct/>
              <w:bidi w:val="0"/>
              <w:spacing w:line="360" w:lineRule="auto"/>
              <w:ind w:firstLine="420"/>
              <w:rPr>
                <w:rFonts w:hint="eastAsia" w:ascii="宋体" w:hAnsi="宋体" w:eastAsia="宋体" w:cs="宋体"/>
                <w:color w:val="auto"/>
              </w:rPr>
            </w:pPr>
            <w:r>
              <w:rPr>
                <w:rFonts w:hint="eastAsia" w:ascii="宋体" w:hAnsi="宋体" w:eastAsia="宋体" w:cs="宋体"/>
                <w:color w:val="auto"/>
              </w:rPr>
              <w:t>委托代理人：</w:t>
            </w:r>
          </w:p>
        </w:tc>
        <w:tc>
          <w:tcPr>
            <w:tcW w:w="4515" w:type="dxa"/>
            <w:tcBorders>
              <w:top w:val="single" w:color="auto" w:sz="4" w:space="0"/>
              <w:left w:val="single" w:color="auto" w:sz="4" w:space="0"/>
              <w:bottom w:val="single" w:color="auto" w:sz="4" w:space="0"/>
              <w:right w:val="single" w:color="auto" w:sz="4" w:space="0"/>
            </w:tcBorders>
            <w:vAlign w:val="center"/>
          </w:tcPr>
          <w:p w14:paraId="123ED0AF">
            <w:pPr>
              <w:keepNext w:val="0"/>
              <w:keepLines w:val="0"/>
              <w:pageBreakBefore w:val="0"/>
              <w:kinsoku/>
              <w:overflowPunct/>
              <w:bidi w:val="0"/>
              <w:spacing w:line="360" w:lineRule="auto"/>
              <w:ind w:firstLine="420"/>
              <w:rPr>
                <w:rFonts w:hint="eastAsia" w:ascii="宋体" w:hAnsi="宋体" w:eastAsia="宋体" w:cs="宋体"/>
                <w:color w:val="auto"/>
                <w:lang w:eastAsia="zh-CN"/>
              </w:rPr>
            </w:pPr>
            <w:r>
              <w:rPr>
                <w:rFonts w:hint="eastAsia" w:ascii="宋体" w:hAnsi="宋体" w:eastAsia="宋体" w:cs="宋体"/>
                <w:color w:val="auto"/>
              </w:rPr>
              <w:t>委托代理人</w:t>
            </w:r>
            <w:r>
              <w:rPr>
                <w:rFonts w:hint="eastAsia" w:ascii="宋体" w:hAnsi="宋体" w:cs="宋体"/>
                <w:color w:val="auto"/>
                <w:lang w:eastAsia="zh-CN"/>
              </w:rPr>
              <w:t>：</w:t>
            </w:r>
          </w:p>
        </w:tc>
      </w:tr>
      <w:tr w14:paraId="512BC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5" w:type="dxa"/>
            <w:tcBorders>
              <w:top w:val="single" w:color="auto" w:sz="4" w:space="0"/>
              <w:left w:val="single" w:color="auto" w:sz="4" w:space="0"/>
              <w:bottom w:val="single" w:color="auto" w:sz="4" w:space="0"/>
              <w:right w:val="single" w:color="auto" w:sz="4" w:space="0"/>
            </w:tcBorders>
            <w:vAlign w:val="center"/>
          </w:tcPr>
          <w:p w14:paraId="42AF376B">
            <w:pPr>
              <w:keepNext w:val="0"/>
              <w:keepLines w:val="0"/>
              <w:pageBreakBefore w:val="0"/>
              <w:kinsoku/>
              <w:overflowPunct/>
              <w:bidi w:val="0"/>
              <w:spacing w:line="360" w:lineRule="auto"/>
              <w:ind w:firstLine="420"/>
              <w:rPr>
                <w:rFonts w:hint="eastAsia" w:ascii="宋体" w:hAnsi="宋体" w:eastAsia="宋体" w:cs="宋体"/>
                <w:color w:val="auto"/>
              </w:rPr>
            </w:pPr>
            <w:r>
              <w:rPr>
                <w:rFonts w:hint="eastAsia" w:ascii="宋体" w:hAnsi="宋体" w:eastAsia="宋体" w:cs="宋体"/>
                <w:color w:val="auto"/>
              </w:rPr>
              <w:t>电话：</w:t>
            </w:r>
          </w:p>
        </w:tc>
        <w:tc>
          <w:tcPr>
            <w:tcW w:w="4515" w:type="dxa"/>
            <w:tcBorders>
              <w:top w:val="single" w:color="auto" w:sz="4" w:space="0"/>
              <w:left w:val="single" w:color="auto" w:sz="4" w:space="0"/>
              <w:bottom w:val="single" w:color="auto" w:sz="4" w:space="0"/>
              <w:right w:val="single" w:color="auto" w:sz="4" w:space="0"/>
            </w:tcBorders>
            <w:vAlign w:val="center"/>
          </w:tcPr>
          <w:p w14:paraId="48AB55D0">
            <w:pPr>
              <w:keepNext w:val="0"/>
              <w:keepLines w:val="0"/>
              <w:pageBreakBefore w:val="0"/>
              <w:kinsoku/>
              <w:overflowPunct/>
              <w:bidi w:val="0"/>
              <w:spacing w:line="360" w:lineRule="auto"/>
              <w:ind w:firstLine="420"/>
              <w:rPr>
                <w:rFonts w:hint="eastAsia" w:ascii="宋体" w:hAnsi="宋体" w:eastAsia="宋体" w:cs="宋体"/>
                <w:color w:val="auto"/>
              </w:rPr>
            </w:pPr>
            <w:r>
              <w:rPr>
                <w:rFonts w:hint="eastAsia" w:ascii="宋体" w:hAnsi="宋体" w:eastAsia="宋体" w:cs="宋体"/>
                <w:color w:val="auto"/>
              </w:rPr>
              <w:t>电话：</w:t>
            </w:r>
          </w:p>
        </w:tc>
      </w:tr>
      <w:tr w14:paraId="0C29D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5" w:type="dxa"/>
            <w:tcBorders>
              <w:top w:val="single" w:color="auto" w:sz="4" w:space="0"/>
              <w:left w:val="single" w:color="auto" w:sz="4" w:space="0"/>
              <w:bottom w:val="single" w:color="auto" w:sz="4" w:space="0"/>
              <w:right w:val="single" w:color="auto" w:sz="4" w:space="0"/>
            </w:tcBorders>
            <w:vAlign w:val="center"/>
          </w:tcPr>
          <w:p w14:paraId="1AF3FB2F">
            <w:pPr>
              <w:keepNext w:val="0"/>
              <w:keepLines w:val="0"/>
              <w:pageBreakBefore w:val="0"/>
              <w:kinsoku/>
              <w:overflowPunct/>
              <w:bidi w:val="0"/>
              <w:spacing w:line="360" w:lineRule="auto"/>
              <w:ind w:firstLine="420"/>
              <w:rPr>
                <w:rFonts w:hint="eastAsia" w:ascii="宋体" w:hAnsi="宋体" w:eastAsia="宋体" w:cs="宋体"/>
                <w:color w:val="auto"/>
              </w:rPr>
            </w:pPr>
            <w:r>
              <w:rPr>
                <w:rFonts w:hint="eastAsia" w:ascii="宋体" w:hAnsi="宋体" w:eastAsia="宋体" w:cs="宋体"/>
                <w:color w:val="auto"/>
              </w:rPr>
              <w:t>电子邮箱：</w:t>
            </w:r>
          </w:p>
        </w:tc>
        <w:tc>
          <w:tcPr>
            <w:tcW w:w="4515" w:type="dxa"/>
            <w:tcBorders>
              <w:top w:val="single" w:color="auto" w:sz="4" w:space="0"/>
              <w:left w:val="single" w:color="auto" w:sz="4" w:space="0"/>
              <w:bottom w:val="single" w:color="auto" w:sz="4" w:space="0"/>
              <w:right w:val="single" w:color="auto" w:sz="4" w:space="0"/>
            </w:tcBorders>
            <w:vAlign w:val="center"/>
          </w:tcPr>
          <w:p w14:paraId="36DFA186">
            <w:pPr>
              <w:keepNext w:val="0"/>
              <w:keepLines w:val="0"/>
              <w:pageBreakBefore w:val="0"/>
              <w:kinsoku/>
              <w:overflowPunct/>
              <w:bidi w:val="0"/>
              <w:spacing w:line="360" w:lineRule="auto"/>
              <w:ind w:firstLine="420"/>
              <w:rPr>
                <w:rFonts w:hint="eastAsia" w:ascii="宋体" w:hAnsi="宋体" w:eastAsia="宋体" w:cs="宋体"/>
                <w:color w:val="auto"/>
              </w:rPr>
            </w:pPr>
            <w:r>
              <w:rPr>
                <w:rFonts w:hint="eastAsia" w:ascii="宋体" w:hAnsi="宋体" w:eastAsia="宋体" w:cs="宋体"/>
                <w:color w:val="auto"/>
              </w:rPr>
              <w:t>电子邮箱：</w:t>
            </w:r>
          </w:p>
        </w:tc>
      </w:tr>
      <w:tr w14:paraId="3755E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15" w:type="dxa"/>
            <w:tcBorders>
              <w:top w:val="single" w:color="auto" w:sz="4" w:space="0"/>
              <w:left w:val="single" w:color="auto" w:sz="4" w:space="0"/>
              <w:bottom w:val="single" w:color="auto" w:sz="4" w:space="0"/>
              <w:right w:val="single" w:color="auto" w:sz="4" w:space="0"/>
            </w:tcBorders>
            <w:vAlign w:val="center"/>
          </w:tcPr>
          <w:p w14:paraId="1CE405F1">
            <w:pPr>
              <w:keepNext w:val="0"/>
              <w:keepLines w:val="0"/>
              <w:pageBreakBefore w:val="0"/>
              <w:kinsoku/>
              <w:overflowPunct/>
              <w:bidi w:val="0"/>
              <w:spacing w:line="360" w:lineRule="auto"/>
              <w:ind w:firstLine="420"/>
              <w:rPr>
                <w:rFonts w:hint="eastAsia" w:ascii="宋体" w:hAnsi="宋体" w:eastAsia="宋体" w:cs="宋体"/>
                <w:color w:val="auto"/>
              </w:rPr>
            </w:pPr>
            <w:r>
              <w:rPr>
                <w:rFonts w:hint="eastAsia" w:ascii="宋体" w:hAnsi="宋体" w:eastAsia="宋体" w:cs="宋体"/>
                <w:color w:val="auto"/>
              </w:rPr>
              <w:t>开户银行：</w:t>
            </w:r>
          </w:p>
        </w:tc>
        <w:tc>
          <w:tcPr>
            <w:tcW w:w="4515" w:type="dxa"/>
            <w:tcBorders>
              <w:top w:val="single" w:color="auto" w:sz="4" w:space="0"/>
              <w:left w:val="single" w:color="auto" w:sz="4" w:space="0"/>
              <w:bottom w:val="single" w:color="auto" w:sz="4" w:space="0"/>
              <w:right w:val="single" w:color="auto" w:sz="4" w:space="0"/>
            </w:tcBorders>
            <w:vAlign w:val="center"/>
          </w:tcPr>
          <w:p w14:paraId="06B1B300">
            <w:pPr>
              <w:keepNext w:val="0"/>
              <w:keepLines w:val="0"/>
              <w:pageBreakBefore w:val="0"/>
              <w:kinsoku/>
              <w:overflowPunct/>
              <w:bidi w:val="0"/>
              <w:spacing w:line="360" w:lineRule="auto"/>
              <w:ind w:firstLine="420"/>
              <w:rPr>
                <w:rFonts w:hint="eastAsia" w:ascii="宋体" w:hAnsi="宋体" w:eastAsia="宋体" w:cs="宋体"/>
                <w:color w:val="auto"/>
              </w:rPr>
            </w:pPr>
            <w:r>
              <w:rPr>
                <w:rFonts w:hint="eastAsia" w:ascii="宋体" w:hAnsi="宋体" w:eastAsia="宋体" w:cs="宋体"/>
                <w:color w:val="auto"/>
              </w:rPr>
              <w:t>开户银行：</w:t>
            </w:r>
          </w:p>
        </w:tc>
      </w:tr>
      <w:tr w14:paraId="0B748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515" w:type="dxa"/>
            <w:tcBorders>
              <w:top w:val="single" w:color="auto" w:sz="4" w:space="0"/>
              <w:left w:val="single" w:color="auto" w:sz="4" w:space="0"/>
              <w:bottom w:val="single" w:color="auto" w:sz="4" w:space="0"/>
              <w:right w:val="single" w:color="auto" w:sz="4" w:space="0"/>
            </w:tcBorders>
            <w:vAlign w:val="center"/>
          </w:tcPr>
          <w:p w14:paraId="7C4CD2B7">
            <w:pPr>
              <w:keepNext w:val="0"/>
              <w:keepLines w:val="0"/>
              <w:pageBreakBefore w:val="0"/>
              <w:kinsoku/>
              <w:overflowPunct/>
              <w:bidi w:val="0"/>
              <w:spacing w:line="360" w:lineRule="auto"/>
              <w:ind w:firstLine="420"/>
              <w:rPr>
                <w:rFonts w:hint="eastAsia" w:ascii="宋体" w:hAnsi="宋体" w:eastAsia="宋体" w:cs="宋体"/>
                <w:color w:val="auto"/>
              </w:rPr>
            </w:pPr>
            <w:r>
              <w:rPr>
                <w:rFonts w:hint="eastAsia" w:ascii="宋体" w:hAnsi="宋体" w:eastAsia="宋体" w:cs="宋体"/>
                <w:color w:val="auto"/>
              </w:rPr>
              <w:t>账号：</w:t>
            </w:r>
          </w:p>
        </w:tc>
        <w:tc>
          <w:tcPr>
            <w:tcW w:w="4515" w:type="dxa"/>
            <w:tcBorders>
              <w:top w:val="single" w:color="auto" w:sz="4" w:space="0"/>
              <w:left w:val="single" w:color="auto" w:sz="4" w:space="0"/>
              <w:bottom w:val="single" w:color="auto" w:sz="4" w:space="0"/>
              <w:right w:val="single" w:color="auto" w:sz="4" w:space="0"/>
            </w:tcBorders>
            <w:vAlign w:val="center"/>
          </w:tcPr>
          <w:p w14:paraId="56BB3920">
            <w:pPr>
              <w:keepNext w:val="0"/>
              <w:keepLines w:val="0"/>
              <w:pageBreakBefore w:val="0"/>
              <w:kinsoku/>
              <w:overflowPunct/>
              <w:bidi w:val="0"/>
              <w:spacing w:line="360" w:lineRule="auto"/>
              <w:ind w:firstLine="420"/>
              <w:rPr>
                <w:rFonts w:hint="eastAsia" w:ascii="宋体" w:hAnsi="宋体" w:eastAsia="宋体" w:cs="宋体"/>
                <w:color w:val="auto"/>
              </w:rPr>
            </w:pPr>
            <w:r>
              <w:rPr>
                <w:rFonts w:hint="eastAsia" w:ascii="宋体" w:hAnsi="宋体" w:eastAsia="宋体" w:cs="宋体"/>
                <w:color w:val="auto"/>
              </w:rPr>
              <w:t>账号：</w:t>
            </w:r>
          </w:p>
        </w:tc>
      </w:tr>
      <w:tr w14:paraId="2EC96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515" w:type="dxa"/>
            <w:tcBorders>
              <w:top w:val="single" w:color="auto" w:sz="4" w:space="0"/>
              <w:left w:val="single" w:color="auto" w:sz="4" w:space="0"/>
              <w:bottom w:val="single" w:color="auto" w:sz="4" w:space="0"/>
              <w:right w:val="single" w:color="auto" w:sz="4" w:space="0"/>
            </w:tcBorders>
            <w:vAlign w:val="center"/>
          </w:tcPr>
          <w:p w14:paraId="76B9245D">
            <w:pPr>
              <w:keepNext w:val="0"/>
              <w:keepLines w:val="0"/>
              <w:pageBreakBefore w:val="0"/>
              <w:kinsoku/>
              <w:overflowPunct/>
              <w:bidi w:val="0"/>
              <w:spacing w:line="360" w:lineRule="auto"/>
              <w:ind w:firstLine="420"/>
              <w:rPr>
                <w:rFonts w:hint="eastAsia" w:ascii="宋体" w:hAnsi="宋体" w:eastAsia="宋体" w:cs="宋体"/>
                <w:color w:val="auto"/>
              </w:rPr>
            </w:pPr>
            <w:r>
              <w:rPr>
                <w:rFonts w:hint="eastAsia" w:ascii="宋体" w:hAnsi="宋体" w:eastAsia="宋体" w:cs="宋体"/>
                <w:color w:val="auto"/>
              </w:rPr>
              <w:t>纳税人识别号或统一社会信用代码：</w:t>
            </w:r>
          </w:p>
        </w:tc>
        <w:tc>
          <w:tcPr>
            <w:tcW w:w="4515" w:type="dxa"/>
            <w:tcBorders>
              <w:top w:val="single" w:color="auto" w:sz="4" w:space="0"/>
              <w:left w:val="single" w:color="auto" w:sz="4" w:space="0"/>
              <w:bottom w:val="single" w:color="auto" w:sz="4" w:space="0"/>
              <w:right w:val="single" w:color="auto" w:sz="4" w:space="0"/>
            </w:tcBorders>
            <w:vAlign w:val="center"/>
          </w:tcPr>
          <w:p w14:paraId="4945B7B1">
            <w:pPr>
              <w:keepNext w:val="0"/>
              <w:keepLines w:val="0"/>
              <w:pageBreakBefore w:val="0"/>
              <w:kinsoku/>
              <w:overflowPunct/>
              <w:bidi w:val="0"/>
              <w:spacing w:line="360" w:lineRule="auto"/>
              <w:ind w:firstLine="420"/>
              <w:rPr>
                <w:rFonts w:hint="eastAsia" w:ascii="宋体" w:hAnsi="宋体" w:eastAsia="宋体" w:cs="宋体"/>
                <w:color w:val="auto"/>
              </w:rPr>
            </w:pPr>
            <w:r>
              <w:rPr>
                <w:rFonts w:hint="eastAsia" w:ascii="宋体" w:hAnsi="宋体" w:eastAsia="宋体" w:cs="宋体"/>
                <w:color w:val="auto"/>
              </w:rPr>
              <w:t>纳税人识别号或统一社会信用代码：</w:t>
            </w:r>
          </w:p>
        </w:tc>
      </w:tr>
      <w:tr w14:paraId="0B9C3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15" w:type="dxa"/>
            <w:tcBorders>
              <w:top w:val="single" w:color="auto" w:sz="4" w:space="0"/>
              <w:left w:val="single" w:color="auto" w:sz="4" w:space="0"/>
              <w:bottom w:val="single" w:color="auto" w:sz="4" w:space="0"/>
              <w:right w:val="single" w:color="auto" w:sz="4" w:space="0"/>
            </w:tcBorders>
            <w:vAlign w:val="center"/>
          </w:tcPr>
          <w:p w14:paraId="1797EE24">
            <w:pPr>
              <w:keepNext w:val="0"/>
              <w:keepLines w:val="0"/>
              <w:pageBreakBefore w:val="0"/>
              <w:kinsoku/>
              <w:overflowPunct/>
              <w:bidi w:val="0"/>
              <w:spacing w:line="360" w:lineRule="auto"/>
              <w:ind w:firstLine="420"/>
              <w:rPr>
                <w:rFonts w:hint="eastAsia" w:ascii="宋体" w:hAnsi="宋体" w:eastAsia="宋体" w:cs="宋体"/>
                <w:color w:val="auto"/>
              </w:rPr>
            </w:pPr>
            <w:r>
              <w:rPr>
                <w:rFonts w:hint="eastAsia" w:ascii="宋体" w:hAnsi="宋体" w:eastAsia="宋体" w:cs="宋体"/>
                <w:color w:val="auto"/>
              </w:rPr>
              <w:t>邮政编码：</w:t>
            </w:r>
          </w:p>
        </w:tc>
        <w:tc>
          <w:tcPr>
            <w:tcW w:w="4515" w:type="dxa"/>
            <w:tcBorders>
              <w:top w:val="single" w:color="auto" w:sz="4" w:space="0"/>
              <w:left w:val="single" w:color="auto" w:sz="4" w:space="0"/>
              <w:bottom w:val="single" w:color="auto" w:sz="4" w:space="0"/>
              <w:right w:val="single" w:color="auto" w:sz="4" w:space="0"/>
            </w:tcBorders>
            <w:vAlign w:val="center"/>
          </w:tcPr>
          <w:p w14:paraId="31698B8D">
            <w:pPr>
              <w:keepNext w:val="0"/>
              <w:keepLines w:val="0"/>
              <w:pageBreakBefore w:val="0"/>
              <w:kinsoku/>
              <w:overflowPunct/>
              <w:bidi w:val="0"/>
              <w:spacing w:line="360" w:lineRule="auto"/>
              <w:ind w:firstLine="420"/>
              <w:rPr>
                <w:rFonts w:hint="eastAsia" w:ascii="宋体" w:hAnsi="宋体" w:eastAsia="宋体" w:cs="宋体"/>
                <w:color w:val="auto"/>
              </w:rPr>
            </w:pPr>
            <w:r>
              <w:rPr>
                <w:rFonts w:hint="eastAsia" w:ascii="宋体" w:hAnsi="宋体" w:eastAsia="宋体" w:cs="宋体"/>
                <w:color w:val="auto"/>
              </w:rPr>
              <w:t>邮政编码：</w:t>
            </w:r>
          </w:p>
        </w:tc>
      </w:tr>
    </w:tbl>
    <w:p w14:paraId="2424E8E6">
      <w:pPr>
        <w:pStyle w:val="13"/>
        <w:keepNext w:val="0"/>
        <w:keepLines w:val="0"/>
        <w:pageBreakBefore w:val="0"/>
        <w:kinsoku/>
        <w:overflowPunct/>
        <w:bidi w:val="0"/>
        <w:spacing w:line="360" w:lineRule="auto"/>
        <w:ind w:left="0"/>
        <w:rPr>
          <w:b/>
          <w:color w:val="auto"/>
          <w:szCs w:val="21"/>
        </w:rPr>
      </w:pPr>
      <w:r>
        <w:rPr>
          <w:rFonts w:hint="eastAsia"/>
          <w:b/>
          <w:color w:val="auto"/>
          <w:szCs w:val="21"/>
        </w:rPr>
        <w:t>附件1</w:t>
      </w:r>
    </w:p>
    <w:p w14:paraId="2FD27CD5">
      <w:pPr>
        <w:keepNext w:val="0"/>
        <w:keepLines w:val="0"/>
        <w:pageBreakBefore w:val="0"/>
        <w:kinsoku/>
        <w:overflowPunct/>
        <w:bidi w:val="0"/>
        <w:adjustRightInd w:val="0"/>
        <w:spacing w:line="360" w:lineRule="auto"/>
        <w:ind w:firstLine="640" w:firstLineChars="200"/>
        <w:jc w:val="center"/>
        <w:rPr>
          <w:rFonts w:ascii="宋体" w:hAnsi="宋体" w:cs="宋体"/>
          <w:color w:val="auto"/>
          <w:sz w:val="32"/>
          <w:szCs w:val="32"/>
        </w:rPr>
      </w:pPr>
      <w:r>
        <w:rPr>
          <w:rFonts w:hint="eastAsia" w:ascii="宋体" w:hAnsi="宋体" w:cs="宋体"/>
          <w:color w:val="auto"/>
          <w:sz w:val="32"/>
          <w:szCs w:val="32"/>
        </w:rPr>
        <w:t>广西壮族自治区政府采购项目合同验收书（格式）</w:t>
      </w:r>
    </w:p>
    <w:p w14:paraId="2226BE5F">
      <w:pPr>
        <w:keepNext w:val="0"/>
        <w:keepLines w:val="0"/>
        <w:pageBreakBefore w:val="0"/>
        <w:kinsoku/>
        <w:overflowPunct/>
        <w:bidi w:val="0"/>
        <w:adjustRightInd w:val="0"/>
        <w:spacing w:line="360" w:lineRule="auto"/>
        <w:ind w:firstLine="480" w:firstLineChars="200"/>
        <w:rPr>
          <w:rFonts w:ascii="宋体" w:hAnsi="宋体" w:cs="宋体"/>
          <w:color w:val="auto"/>
          <w:szCs w:val="21"/>
        </w:rPr>
      </w:pPr>
      <w:r>
        <w:rPr>
          <w:rFonts w:hint="eastAsia" w:ascii="宋体" w:hAnsi="宋体" w:cs="宋体"/>
          <w:color w:val="auto"/>
          <w:sz w:val="24"/>
        </w:rPr>
        <w:t>根据政府采购项目</w:t>
      </w:r>
      <w:r>
        <w:rPr>
          <w:rFonts w:hint="eastAsia" w:ascii="宋体" w:hAnsi="宋体" w:cs="宋体"/>
          <w:color w:val="auto"/>
          <w:sz w:val="24"/>
          <w:u w:val="single"/>
        </w:rPr>
        <w:t>（采购合同编号：</w:t>
      </w:r>
      <w:r>
        <w:rPr>
          <w:rFonts w:hint="eastAsia" w:ascii="宋体" w:hAnsi="宋体" w:cs="宋体"/>
          <w:color w:val="auto"/>
          <w:sz w:val="24"/>
          <w:u w:val="single"/>
        </w:rPr>
        <w:softHyphen/>
      </w:r>
      <w:r>
        <w:rPr>
          <w:rFonts w:hint="eastAsia" w:ascii="宋体" w:hAnsi="宋体" w:cs="宋体"/>
          <w:color w:val="auto"/>
          <w:sz w:val="24"/>
          <w:u w:val="single"/>
        </w:rPr>
        <w:t xml:space="preserve"> ）</w:t>
      </w:r>
      <w:r>
        <w:rPr>
          <w:rFonts w:hint="eastAsia" w:ascii="宋体" w:hAnsi="宋体" w:cs="宋体"/>
          <w:color w:val="auto"/>
          <w:sz w:val="24"/>
        </w:rPr>
        <w:t>的约定，我单位对</w:t>
      </w:r>
      <w:r>
        <w:rPr>
          <w:rFonts w:hint="eastAsia" w:ascii="宋体" w:hAnsi="宋体" w:cs="宋体"/>
          <w:color w:val="auto"/>
          <w:sz w:val="24"/>
          <w:u w:val="single"/>
        </w:rPr>
        <w:t>（ 项目名称 ）</w:t>
      </w:r>
      <w:r>
        <w:rPr>
          <w:rFonts w:hint="eastAsia" w:ascii="宋体" w:hAnsi="宋体" w:cs="宋体"/>
          <w:color w:val="auto"/>
          <w:sz w:val="24"/>
        </w:rPr>
        <w:t>政府采购项目中标（或成交）</w:t>
      </w:r>
      <w:r>
        <w:rPr>
          <w:rFonts w:hint="eastAsia" w:ascii="宋体" w:hAnsi="宋体" w:cs="宋体"/>
          <w:color w:val="auto"/>
          <w:sz w:val="24"/>
          <w:lang w:eastAsia="zh-CN"/>
        </w:rPr>
        <w:t>投标人</w:t>
      </w:r>
      <w:r>
        <w:rPr>
          <w:rFonts w:hint="eastAsia" w:ascii="宋体" w:hAnsi="宋体" w:cs="宋体"/>
          <w:color w:val="auto"/>
          <w:sz w:val="24"/>
          <w:u w:val="single"/>
        </w:rPr>
        <w:t>（ 公司名称 ）</w:t>
      </w:r>
      <w:r>
        <w:rPr>
          <w:rFonts w:hint="eastAsia" w:ascii="宋体" w:hAnsi="宋体" w:cs="宋体"/>
          <w:color w:val="auto"/>
          <w:sz w:val="24"/>
        </w:rPr>
        <w:t>提供的货物（或工程、服务）进行了验收，验收情况如下：</w:t>
      </w:r>
    </w:p>
    <w:tbl>
      <w:tblPr>
        <w:tblStyle w:val="25"/>
        <w:tblW w:w="8363" w:type="dxa"/>
        <w:jc w:val="center"/>
        <w:tblLayout w:type="fixed"/>
        <w:tblCellMar>
          <w:top w:w="0" w:type="dxa"/>
          <w:left w:w="0" w:type="dxa"/>
          <w:bottom w:w="0" w:type="dxa"/>
          <w:right w:w="0" w:type="dxa"/>
        </w:tblCellMar>
      </w:tblPr>
      <w:tblGrid>
        <w:gridCol w:w="1182"/>
        <w:gridCol w:w="1715"/>
        <w:gridCol w:w="708"/>
        <w:gridCol w:w="552"/>
        <w:gridCol w:w="1330"/>
        <w:gridCol w:w="151"/>
        <w:gridCol w:w="616"/>
        <w:gridCol w:w="2109"/>
      </w:tblGrid>
      <w:tr w14:paraId="4B050DDB">
        <w:tblPrEx>
          <w:tblCellMar>
            <w:top w:w="0" w:type="dxa"/>
            <w:left w:w="0" w:type="dxa"/>
            <w:bottom w:w="0" w:type="dxa"/>
            <w:right w:w="0" w:type="dxa"/>
          </w:tblCellMar>
        </w:tblPrEx>
        <w:trPr>
          <w:trHeight w:val="497" w:hRule="atLeast"/>
          <w:jc w:val="center"/>
        </w:trPr>
        <w:tc>
          <w:tcPr>
            <w:tcW w:w="2897" w:type="dxa"/>
            <w:gridSpan w:val="2"/>
            <w:tcBorders>
              <w:top w:val="single" w:color="auto" w:sz="8" w:space="0"/>
              <w:left w:val="single" w:color="auto" w:sz="8" w:space="0"/>
              <w:bottom w:val="single" w:color="auto" w:sz="8" w:space="0"/>
              <w:right w:val="single" w:color="auto" w:sz="8" w:space="0"/>
            </w:tcBorders>
            <w:vAlign w:val="center"/>
          </w:tcPr>
          <w:p w14:paraId="7559D2DF">
            <w:pPr>
              <w:keepNext w:val="0"/>
              <w:keepLines w:val="0"/>
              <w:pageBreakBefore w:val="0"/>
              <w:widowControl/>
              <w:kinsoku/>
              <w:overflowPunct/>
              <w:bidi w:val="0"/>
              <w:snapToGrid w:val="0"/>
              <w:spacing w:before="100" w:beforeAutospacing="1" w:after="100" w:afterAutospacing="1" w:line="360" w:lineRule="auto"/>
              <w:ind w:firstLine="5"/>
              <w:jc w:val="center"/>
              <w:rPr>
                <w:rFonts w:ascii="宋体" w:hAnsi="宋体" w:cs="宋体"/>
                <w:color w:val="auto"/>
                <w:kern w:val="0"/>
                <w:szCs w:val="21"/>
              </w:rPr>
            </w:pPr>
            <w:r>
              <w:rPr>
                <w:rFonts w:hint="eastAsia" w:ascii="宋体" w:hAnsi="宋体" w:cs="宋体"/>
                <w:color w:val="auto"/>
                <w:kern w:val="0"/>
                <w:szCs w:val="21"/>
              </w:rPr>
              <w:t>验收方式：</w:t>
            </w:r>
          </w:p>
        </w:tc>
        <w:tc>
          <w:tcPr>
            <w:tcW w:w="5466" w:type="dxa"/>
            <w:gridSpan w:val="6"/>
            <w:tcBorders>
              <w:top w:val="single" w:color="auto" w:sz="8" w:space="0"/>
              <w:left w:val="nil"/>
              <w:bottom w:val="single" w:color="auto" w:sz="8" w:space="0"/>
              <w:right w:val="single" w:color="auto" w:sz="8" w:space="0"/>
            </w:tcBorders>
            <w:vAlign w:val="center"/>
          </w:tcPr>
          <w:p w14:paraId="542671BC">
            <w:pPr>
              <w:keepNext w:val="0"/>
              <w:keepLines w:val="0"/>
              <w:pageBreakBefore w:val="0"/>
              <w:widowControl/>
              <w:kinsoku/>
              <w:overflowPunct/>
              <w:bidi w:val="0"/>
              <w:snapToGrid w:val="0"/>
              <w:spacing w:before="100" w:beforeAutospacing="1" w:after="100" w:afterAutospacing="1" w:line="360" w:lineRule="auto"/>
              <w:ind w:firstLine="480"/>
              <w:jc w:val="center"/>
              <w:rPr>
                <w:rFonts w:ascii="宋体" w:hAnsi="宋体" w:cs="宋体"/>
                <w:color w:val="auto"/>
                <w:kern w:val="0"/>
                <w:szCs w:val="21"/>
              </w:rPr>
            </w:pPr>
            <w:r>
              <w:rPr>
                <w:rFonts w:hint="eastAsia" w:ascii="宋体" w:hAnsi="宋体" w:cs="宋体"/>
                <w:color w:val="auto"/>
                <w:kern w:val="0"/>
                <w:szCs w:val="21"/>
              </w:rPr>
              <w:t>□自行验收 □委托验收</w:t>
            </w:r>
          </w:p>
        </w:tc>
      </w:tr>
      <w:tr w14:paraId="08AF800C">
        <w:tblPrEx>
          <w:tblCellMar>
            <w:top w:w="0" w:type="dxa"/>
            <w:left w:w="0" w:type="dxa"/>
            <w:bottom w:w="0" w:type="dxa"/>
            <w:right w:w="0" w:type="dxa"/>
          </w:tblCellMar>
        </w:tblPrEx>
        <w:trPr>
          <w:trHeight w:val="622" w:hRule="atLeast"/>
          <w:jc w:val="center"/>
        </w:trPr>
        <w:tc>
          <w:tcPr>
            <w:tcW w:w="1182" w:type="dxa"/>
            <w:tcBorders>
              <w:top w:val="nil"/>
              <w:left w:val="single" w:color="auto" w:sz="8" w:space="0"/>
              <w:bottom w:val="single" w:color="auto" w:sz="8" w:space="0"/>
              <w:right w:val="single" w:color="auto" w:sz="8" w:space="0"/>
            </w:tcBorders>
            <w:vAlign w:val="center"/>
          </w:tcPr>
          <w:p w14:paraId="745AFE68">
            <w:pPr>
              <w:keepNext w:val="0"/>
              <w:keepLines w:val="0"/>
              <w:pageBreakBefore w:val="0"/>
              <w:widowControl/>
              <w:kinsoku/>
              <w:overflowPunct/>
              <w:bidi w:val="0"/>
              <w:snapToGrid w:val="0"/>
              <w:spacing w:before="100" w:beforeAutospacing="1" w:after="100" w:afterAutospacing="1" w:line="360" w:lineRule="auto"/>
              <w:ind w:firstLine="2"/>
              <w:jc w:val="center"/>
              <w:rPr>
                <w:rFonts w:ascii="宋体" w:hAnsi="宋体" w:cs="宋体"/>
                <w:color w:val="auto"/>
                <w:kern w:val="0"/>
                <w:szCs w:val="21"/>
              </w:rPr>
            </w:pPr>
            <w:r>
              <w:rPr>
                <w:rFonts w:hint="eastAsia" w:ascii="宋体" w:hAnsi="宋体" w:cs="宋体"/>
                <w:color w:val="auto"/>
                <w:kern w:val="0"/>
                <w:szCs w:val="21"/>
              </w:rPr>
              <w:t>序号</w:t>
            </w:r>
          </w:p>
        </w:tc>
        <w:tc>
          <w:tcPr>
            <w:tcW w:w="1715" w:type="dxa"/>
            <w:tcBorders>
              <w:top w:val="nil"/>
              <w:left w:val="nil"/>
              <w:bottom w:val="single" w:color="auto" w:sz="8" w:space="0"/>
              <w:right w:val="single" w:color="auto" w:sz="8" w:space="0"/>
            </w:tcBorders>
            <w:vAlign w:val="center"/>
          </w:tcPr>
          <w:p w14:paraId="5B039964">
            <w:pPr>
              <w:keepNext w:val="0"/>
              <w:keepLines w:val="0"/>
              <w:pageBreakBefore w:val="0"/>
              <w:widowControl/>
              <w:kinsoku/>
              <w:overflowPunct/>
              <w:bidi w:val="0"/>
              <w:snapToGrid w:val="0"/>
              <w:spacing w:before="100" w:beforeAutospacing="1" w:after="100" w:afterAutospacing="1" w:line="360" w:lineRule="auto"/>
              <w:ind w:firstLine="2"/>
              <w:jc w:val="center"/>
              <w:rPr>
                <w:rFonts w:ascii="宋体" w:hAnsi="宋体" w:cs="宋体"/>
                <w:color w:val="auto"/>
                <w:kern w:val="0"/>
                <w:szCs w:val="21"/>
              </w:rPr>
            </w:pPr>
            <w:r>
              <w:rPr>
                <w:rFonts w:hint="eastAsia" w:ascii="宋体" w:hAnsi="宋体" w:cs="宋体"/>
                <w:color w:val="auto"/>
                <w:kern w:val="0"/>
                <w:szCs w:val="21"/>
              </w:rPr>
              <w:t>名 称</w:t>
            </w:r>
          </w:p>
        </w:tc>
        <w:tc>
          <w:tcPr>
            <w:tcW w:w="2590" w:type="dxa"/>
            <w:gridSpan w:val="3"/>
            <w:tcBorders>
              <w:top w:val="nil"/>
              <w:left w:val="nil"/>
              <w:bottom w:val="single" w:color="auto" w:sz="8" w:space="0"/>
              <w:right w:val="single" w:color="auto" w:sz="8" w:space="0"/>
            </w:tcBorders>
            <w:vAlign w:val="center"/>
          </w:tcPr>
          <w:p w14:paraId="38B29E83">
            <w:pPr>
              <w:keepNext w:val="0"/>
              <w:keepLines w:val="0"/>
              <w:pageBreakBefore w:val="0"/>
              <w:widowControl/>
              <w:kinsoku/>
              <w:overflowPunct/>
              <w:bidi w:val="0"/>
              <w:snapToGrid w:val="0"/>
              <w:spacing w:before="100" w:beforeAutospacing="1" w:after="100" w:afterAutospacing="1" w:line="360" w:lineRule="auto"/>
              <w:ind w:firstLine="2"/>
              <w:jc w:val="center"/>
              <w:rPr>
                <w:rFonts w:ascii="宋体" w:hAnsi="宋体" w:cs="宋体"/>
                <w:color w:val="auto"/>
                <w:kern w:val="0"/>
                <w:szCs w:val="21"/>
              </w:rPr>
            </w:pPr>
            <w:r>
              <w:rPr>
                <w:rFonts w:hint="eastAsia" w:ascii="宋体" w:hAnsi="宋体" w:cs="宋体"/>
                <w:color w:val="auto"/>
                <w:kern w:val="0"/>
                <w:szCs w:val="21"/>
              </w:rPr>
              <w:t>货物型号规格、标准及配置等（或服务内容、标准）</w:t>
            </w:r>
          </w:p>
        </w:tc>
        <w:tc>
          <w:tcPr>
            <w:tcW w:w="767" w:type="dxa"/>
            <w:gridSpan w:val="2"/>
            <w:tcBorders>
              <w:top w:val="nil"/>
              <w:left w:val="nil"/>
              <w:bottom w:val="single" w:color="auto" w:sz="8" w:space="0"/>
              <w:right w:val="single" w:color="auto" w:sz="8" w:space="0"/>
            </w:tcBorders>
            <w:vAlign w:val="center"/>
          </w:tcPr>
          <w:p w14:paraId="39B548B2">
            <w:pPr>
              <w:keepNext w:val="0"/>
              <w:keepLines w:val="0"/>
              <w:pageBreakBefore w:val="0"/>
              <w:widowControl/>
              <w:kinsoku/>
              <w:overflowPunct/>
              <w:bidi w:val="0"/>
              <w:snapToGrid w:val="0"/>
              <w:spacing w:before="100" w:beforeAutospacing="1" w:after="100" w:afterAutospacing="1" w:line="360" w:lineRule="auto"/>
              <w:jc w:val="center"/>
              <w:rPr>
                <w:rFonts w:ascii="宋体" w:hAnsi="宋体" w:cs="宋体"/>
                <w:color w:val="auto"/>
                <w:kern w:val="0"/>
                <w:szCs w:val="21"/>
              </w:rPr>
            </w:pPr>
            <w:r>
              <w:rPr>
                <w:rFonts w:hint="eastAsia" w:ascii="宋体" w:hAnsi="宋体" w:cs="宋体"/>
                <w:color w:val="auto"/>
                <w:kern w:val="0"/>
                <w:szCs w:val="21"/>
              </w:rPr>
              <w:t>数量</w:t>
            </w:r>
          </w:p>
        </w:tc>
        <w:tc>
          <w:tcPr>
            <w:tcW w:w="2109" w:type="dxa"/>
            <w:tcBorders>
              <w:top w:val="nil"/>
              <w:left w:val="nil"/>
              <w:bottom w:val="single" w:color="auto" w:sz="8" w:space="0"/>
              <w:right w:val="single" w:color="auto" w:sz="8" w:space="0"/>
            </w:tcBorders>
            <w:vAlign w:val="center"/>
          </w:tcPr>
          <w:p w14:paraId="7B45C90B">
            <w:pPr>
              <w:keepNext w:val="0"/>
              <w:keepLines w:val="0"/>
              <w:pageBreakBefore w:val="0"/>
              <w:widowControl/>
              <w:kinsoku/>
              <w:overflowPunct/>
              <w:bidi w:val="0"/>
              <w:snapToGrid w:val="0"/>
              <w:spacing w:before="100" w:beforeAutospacing="1" w:after="100" w:afterAutospacing="1" w:line="360" w:lineRule="auto"/>
              <w:ind w:firstLine="2"/>
              <w:jc w:val="center"/>
              <w:rPr>
                <w:rFonts w:ascii="宋体" w:hAnsi="宋体" w:cs="宋体"/>
                <w:color w:val="auto"/>
                <w:kern w:val="0"/>
                <w:szCs w:val="21"/>
              </w:rPr>
            </w:pPr>
            <w:r>
              <w:rPr>
                <w:rFonts w:hint="eastAsia" w:ascii="宋体" w:hAnsi="宋体" w:cs="宋体"/>
                <w:color w:val="auto"/>
                <w:kern w:val="0"/>
                <w:szCs w:val="21"/>
              </w:rPr>
              <w:t>金 额</w:t>
            </w:r>
          </w:p>
        </w:tc>
      </w:tr>
      <w:tr w14:paraId="10949BF3">
        <w:tblPrEx>
          <w:tblCellMar>
            <w:top w:w="0" w:type="dxa"/>
            <w:left w:w="0" w:type="dxa"/>
            <w:bottom w:w="0" w:type="dxa"/>
            <w:right w:w="0" w:type="dxa"/>
          </w:tblCellMar>
        </w:tblPrEx>
        <w:trPr>
          <w:trHeight w:val="487" w:hRule="atLeast"/>
          <w:jc w:val="center"/>
        </w:trPr>
        <w:tc>
          <w:tcPr>
            <w:tcW w:w="1182" w:type="dxa"/>
            <w:tcBorders>
              <w:top w:val="nil"/>
              <w:left w:val="single" w:color="auto" w:sz="8" w:space="0"/>
              <w:bottom w:val="single" w:color="auto" w:sz="8" w:space="0"/>
              <w:right w:val="single" w:color="auto" w:sz="8" w:space="0"/>
            </w:tcBorders>
            <w:vAlign w:val="center"/>
          </w:tcPr>
          <w:p w14:paraId="2481541B">
            <w:pPr>
              <w:keepNext w:val="0"/>
              <w:keepLines w:val="0"/>
              <w:pageBreakBefore w:val="0"/>
              <w:widowControl/>
              <w:kinsoku/>
              <w:overflowPunct/>
              <w:bidi w:val="0"/>
              <w:spacing w:before="100" w:beforeAutospacing="1" w:after="100" w:afterAutospacing="1" w:line="360" w:lineRule="auto"/>
              <w:jc w:val="center"/>
              <w:rPr>
                <w:rFonts w:ascii="宋体" w:hAnsi="宋体" w:cs="宋体"/>
                <w:color w:val="auto"/>
                <w:kern w:val="0"/>
                <w:szCs w:val="21"/>
              </w:rPr>
            </w:pPr>
          </w:p>
        </w:tc>
        <w:tc>
          <w:tcPr>
            <w:tcW w:w="1715" w:type="dxa"/>
            <w:tcBorders>
              <w:top w:val="nil"/>
              <w:left w:val="nil"/>
              <w:bottom w:val="single" w:color="auto" w:sz="8" w:space="0"/>
              <w:right w:val="single" w:color="auto" w:sz="8" w:space="0"/>
            </w:tcBorders>
            <w:vAlign w:val="center"/>
          </w:tcPr>
          <w:p w14:paraId="7ED021F1">
            <w:pPr>
              <w:keepNext w:val="0"/>
              <w:keepLines w:val="0"/>
              <w:pageBreakBefore w:val="0"/>
              <w:widowControl/>
              <w:kinsoku/>
              <w:overflowPunct/>
              <w:bidi w:val="0"/>
              <w:spacing w:before="100" w:beforeAutospacing="1" w:after="100" w:afterAutospacing="1" w:line="360" w:lineRule="auto"/>
              <w:jc w:val="center"/>
              <w:rPr>
                <w:rFonts w:ascii="宋体" w:hAnsi="宋体" w:cs="宋体"/>
                <w:color w:val="auto"/>
                <w:kern w:val="0"/>
                <w:szCs w:val="21"/>
              </w:rPr>
            </w:pPr>
          </w:p>
        </w:tc>
        <w:tc>
          <w:tcPr>
            <w:tcW w:w="2590" w:type="dxa"/>
            <w:gridSpan w:val="3"/>
            <w:tcBorders>
              <w:top w:val="nil"/>
              <w:left w:val="nil"/>
              <w:bottom w:val="single" w:color="auto" w:sz="8" w:space="0"/>
              <w:right w:val="single" w:color="auto" w:sz="8" w:space="0"/>
            </w:tcBorders>
            <w:vAlign w:val="center"/>
          </w:tcPr>
          <w:p w14:paraId="6AE9C475">
            <w:pPr>
              <w:keepNext w:val="0"/>
              <w:keepLines w:val="0"/>
              <w:pageBreakBefore w:val="0"/>
              <w:widowControl/>
              <w:kinsoku/>
              <w:overflowPunct/>
              <w:bidi w:val="0"/>
              <w:spacing w:before="100" w:beforeAutospacing="1" w:after="100" w:afterAutospacing="1" w:line="360" w:lineRule="auto"/>
              <w:jc w:val="center"/>
              <w:rPr>
                <w:rFonts w:ascii="宋体" w:hAnsi="宋体" w:cs="宋体"/>
                <w:color w:val="auto"/>
                <w:kern w:val="0"/>
                <w:szCs w:val="21"/>
              </w:rPr>
            </w:pPr>
          </w:p>
        </w:tc>
        <w:tc>
          <w:tcPr>
            <w:tcW w:w="767" w:type="dxa"/>
            <w:gridSpan w:val="2"/>
            <w:tcBorders>
              <w:top w:val="nil"/>
              <w:left w:val="nil"/>
              <w:bottom w:val="single" w:color="auto" w:sz="8" w:space="0"/>
              <w:right w:val="single" w:color="auto" w:sz="8" w:space="0"/>
            </w:tcBorders>
            <w:vAlign w:val="center"/>
          </w:tcPr>
          <w:p w14:paraId="3DBA79C9">
            <w:pPr>
              <w:keepNext w:val="0"/>
              <w:keepLines w:val="0"/>
              <w:pageBreakBefore w:val="0"/>
              <w:widowControl/>
              <w:kinsoku/>
              <w:overflowPunct/>
              <w:bidi w:val="0"/>
              <w:spacing w:before="100" w:beforeAutospacing="1" w:after="100" w:afterAutospacing="1" w:line="360" w:lineRule="auto"/>
              <w:jc w:val="center"/>
              <w:rPr>
                <w:rFonts w:ascii="宋体" w:hAnsi="宋体" w:cs="宋体"/>
                <w:color w:val="auto"/>
                <w:kern w:val="0"/>
                <w:szCs w:val="21"/>
              </w:rPr>
            </w:pPr>
          </w:p>
        </w:tc>
        <w:tc>
          <w:tcPr>
            <w:tcW w:w="2109" w:type="dxa"/>
            <w:tcBorders>
              <w:top w:val="nil"/>
              <w:left w:val="nil"/>
              <w:bottom w:val="single" w:color="auto" w:sz="8" w:space="0"/>
              <w:right w:val="single" w:color="auto" w:sz="8" w:space="0"/>
            </w:tcBorders>
            <w:vAlign w:val="center"/>
          </w:tcPr>
          <w:p w14:paraId="70C3C0E5">
            <w:pPr>
              <w:keepNext w:val="0"/>
              <w:keepLines w:val="0"/>
              <w:pageBreakBefore w:val="0"/>
              <w:widowControl/>
              <w:kinsoku/>
              <w:overflowPunct/>
              <w:bidi w:val="0"/>
              <w:spacing w:before="100" w:beforeAutospacing="1" w:after="100" w:afterAutospacing="1" w:line="360" w:lineRule="auto"/>
              <w:jc w:val="center"/>
              <w:rPr>
                <w:rFonts w:ascii="宋体" w:hAnsi="宋体" w:cs="宋体"/>
                <w:color w:val="auto"/>
                <w:kern w:val="0"/>
                <w:szCs w:val="21"/>
              </w:rPr>
            </w:pPr>
          </w:p>
        </w:tc>
      </w:tr>
      <w:tr w14:paraId="0CE5AE3F">
        <w:tblPrEx>
          <w:tblCellMar>
            <w:top w:w="0" w:type="dxa"/>
            <w:left w:w="0" w:type="dxa"/>
            <w:bottom w:w="0" w:type="dxa"/>
            <w:right w:w="0" w:type="dxa"/>
          </w:tblCellMar>
        </w:tblPrEx>
        <w:trPr>
          <w:trHeight w:val="487" w:hRule="atLeast"/>
          <w:jc w:val="center"/>
        </w:trPr>
        <w:tc>
          <w:tcPr>
            <w:tcW w:w="1182" w:type="dxa"/>
            <w:tcBorders>
              <w:top w:val="nil"/>
              <w:left w:val="single" w:color="auto" w:sz="8" w:space="0"/>
              <w:bottom w:val="single" w:color="auto" w:sz="8" w:space="0"/>
              <w:right w:val="single" w:color="auto" w:sz="8" w:space="0"/>
            </w:tcBorders>
            <w:vAlign w:val="center"/>
          </w:tcPr>
          <w:p w14:paraId="63CE086C">
            <w:pPr>
              <w:keepNext w:val="0"/>
              <w:keepLines w:val="0"/>
              <w:pageBreakBefore w:val="0"/>
              <w:widowControl/>
              <w:kinsoku/>
              <w:overflowPunct/>
              <w:bidi w:val="0"/>
              <w:spacing w:before="100" w:beforeAutospacing="1" w:after="100" w:afterAutospacing="1" w:line="360" w:lineRule="auto"/>
              <w:jc w:val="center"/>
              <w:rPr>
                <w:rFonts w:ascii="宋体" w:hAnsi="宋体" w:cs="宋体"/>
                <w:color w:val="auto"/>
                <w:kern w:val="0"/>
                <w:szCs w:val="21"/>
              </w:rPr>
            </w:pPr>
          </w:p>
        </w:tc>
        <w:tc>
          <w:tcPr>
            <w:tcW w:w="1715" w:type="dxa"/>
            <w:tcBorders>
              <w:top w:val="nil"/>
              <w:left w:val="nil"/>
              <w:bottom w:val="single" w:color="auto" w:sz="8" w:space="0"/>
              <w:right w:val="single" w:color="auto" w:sz="8" w:space="0"/>
            </w:tcBorders>
            <w:vAlign w:val="center"/>
          </w:tcPr>
          <w:p w14:paraId="0486BD05">
            <w:pPr>
              <w:keepNext w:val="0"/>
              <w:keepLines w:val="0"/>
              <w:pageBreakBefore w:val="0"/>
              <w:widowControl/>
              <w:kinsoku/>
              <w:overflowPunct/>
              <w:bidi w:val="0"/>
              <w:spacing w:before="100" w:beforeAutospacing="1" w:after="100" w:afterAutospacing="1" w:line="360" w:lineRule="auto"/>
              <w:jc w:val="center"/>
              <w:rPr>
                <w:rFonts w:ascii="宋体" w:hAnsi="宋体" w:cs="宋体"/>
                <w:color w:val="auto"/>
                <w:kern w:val="0"/>
                <w:szCs w:val="21"/>
              </w:rPr>
            </w:pPr>
          </w:p>
        </w:tc>
        <w:tc>
          <w:tcPr>
            <w:tcW w:w="2590" w:type="dxa"/>
            <w:gridSpan w:val="3"/>
            <w:tcBorders>
              <w:top w:val="nil"/>
              <w:left w:val="nil"/>
              <w:bottom w:val="single" w:color="auto" w:sz="8" w:space="0"/>
              <w:right w:val="single" w:color="auto" w:sz="8" w:space="0"/>
            </w:tcBorders>
            <w:vAlign w:val="center"/>
          </w:tcPr>
          <w:p w14:paraId="756D52F2">
            <w:pPr>
              <w:keepNext w:val="0"/>
              <w:keepLines w:val="0"/>
              <w:pageBreakBefore w:val="0"/>
              <w:widowControl/>
              <w:kinsoku/>
              <w:overflowPunct/>
              <w:bidi w:val="0"/>
              <w:spacing w:before="100" w:beforeAutospacing="1" w:after="100" w:afterAutospacing="1" w:line="360" w:lineRule="auto"/>
              <w:jc w:val="center"/>
              <w:rPr>
                <w:rFonts w:ascii="宋体" w:hAnsi="宋体" w:cs="宋体"/>
                <w:color w:val="auto"/>
                <w:kern w:val="0"/>
                <w:szCs w:val="21"/>
              </w:rPr>
            </w:pPr>
          </w:p>
        </w:tc>
        <w:tc>
          <w:tcPr>
            <w:tcW w:w="767" w:type="dxa"/>
            <w:gridSpan w:val="2"/>
            <w:tcBorders>
              <w:top w:val="nil"/>
              <w:left w:val="nil"/>
              <w:bottom w:val="single" w:color="auto" w:sz="8" w:space="0"/>
              <w:right w:val="single" w:color="auto" w:sz="8" w:space="0"/>
            </w:tcBorders>
            <w:vAlign w:val="center"/>
          </w:tcPr>
          <w:p w14:paraId="6CC26FE5">
            <w:pPr>
              <w:keepNext w:val="0"/>
              <w:keepLines w:val="0"/>
              <w:pageBreakBefore w:val="0"/>
              <w:widowControl/>
              <w:kinsoku/>
              <w:overflowPunct/>
              <w:bidi w:val="0"/>
              <w:spacing w:before="100" w:beforeAutospacing="1" w:after="100" w:afterAutospacing="1" w:line="360" w:lineRule="auto"/>
              <w:jc w:val="center"/>
              <w:rPr>
                <w:rFonts w:ascii="宋体" w:hAnsi="宋体" w:cs="宋体"/>
                <w:color w:val="auto"/>
                <w:kern w:val="0"/>
                <w:szCs w:val="21"/>
              </w:rPr>
            </w:pPr>
          </w:p>
        </w:tc>
        <w:tc>
          <w:tcPr>
            <w:tcW w:w="2109" w:type="dxa"/>
            <w:tcBorders>
              <w:top w:val="nil"/>
              <w:left w:val="nil"/>
              <w:bottom w:val="single" w:color="auto" w:sz="8" w:space="0"/>
              <w:right w:val="single" w:color="auto" w:sz="8" w:space="0"/>
            </w:tcBorders>
            <w:vAlign w:val="center"/>
          </w:tcPr>
          <w:p w14:paraId="3F5D67B6">
            <w:pPr>
              <w:keepNext w:val="0"/>
              <w:keepLines w:val="0"/>
              <w:pageBreakBefore w:val="0"/>
              <w:widowControl/>
              <w:kinsoku/>
              <w:overflowPunct/>
              <w:bidi w:val="0"/>
              <w:spacing w:before="100" w:beforeAutospacing="1" w:after="100" w:afterAutospacing="1" w:line="360" w:lineRule="auto"/>
              <w:jc w:val="center"/>
              <w:rPr>
                <w:rFonts w:ascii="宋体" w:hAnsi="宋体" w:cs="宋体"/>
                <w:color w:val="auto"/>
                <w:kern w:val="0"/>
                <w:szCs w:val="21"/>
              </w:rPr>
            </w:pPr>
          </w:p>
        </w:tc>
      </w:tr>
      <w:tr w14:paraId="279397D4">
        <w:tblPrEx>
          <w:tblCellMar>
            <w:top w:w="0" w:type="dxa"/>
            <w:left w:w="0" w:type="dxa"/>
            <w:bottom w:w="0" w:type="dxa"/>
            <w:right w:w="0" w:type="dxa"/>
          </w:tblCellMar>
        </w:tblPrEx>
        <w:trPr>
          <w:trHeight w:val="487" w:hRule="atLeast"/>
          <w:jc w:val="center"/>
        </w:trPr>
        <w:tc>
          <w:tcPr>
            <w:tcW w:w="5487" w:type="dxa"/>
            <w:gridSpan w:val="5"/>
            <w:tcBorders>
              <w:top w:val="nil"/>
              <w:left w:val="single" w:color="auto" w:sz="8" w:space="0"/>
              <w:bottom w:val="single" w:color="auto" w:sz="8" w:space="0"/>
              <w:right w:val="single" w:color="auto" w:sz="8" w:space="0"/>
            </w:tcBorders>
            <w:vAlign w:val="center"/>
          </w:tcPr>
          <w:p w14:paraId="1EDAB16B">
            <w:pPr>
              <w:keepNext w:val="0"/>
              <w:keepLines w:val="0"/>
              <w:pageBreakBefore w:val="0"/>
              <w:widowControl/>
              <w:kinsoku/>
              <w:overflowPunct/>
              <w:bidi w:val="0"/>
              <w:snapToGrid w:val="0"/>
              <w:spacing w:before="100" w:beforeAutospacing="1" w:after="100" w:afterAutospacing="1" w:line="360" w:lineRule="auto"/>
              <w:ind w:firstLine="5"/>
              <w:jc w:val="center"/>
              <w:rPr>
                <w:rFonts w:ascii="宋体" w:hAnsi="宋体" w:cs="宋体"/>
                <w:color w:val="auto"/>
                <w:kern w:val="0"/>
                <w:szCs w:val="21"/>
              </w:rPr>
            </w:pPr>
            <w:r>
              <w:rPr>
                <w:rFonts w:hint="eastAsia" w:ascii="宋体" w:hAnsi="宋体" w:cs="宋体"/>
                <w:color w:val="auto"/>
                <w:kern w:val="0"/>
                <w:szCs w:val="21"/>
              </w:rPr>
              <w:t>合 计</w:t>
            </w:r>
          </w:p>
        </w:tc>
        <w:tc>
          <w:tcPr>
            <w:tcW w:w="767" w:type="dxa"/>
            <w:gridSpan w:val="2"/>
            <w:tcBorders>
              <w:top w:val="nil"/>
              <w:left w:val="nil"/>
              <w:bottom w:val="single" w:color="auto" w:sz="8" w:space="0"/>
              <w:right w:val="single" w:color="auto" w:sz="8" w:space="0"/>
            </w:tcBorders>
            <w:vAlign w:val="center"/>
          </w:tcPr>
          <w:p w14:paraId="056CCCD9">
            <w:pPr>
              <w:keepNext w:val="0"/>
              <w:keepLines w:val="0"/>
              <w:pageBreakBefore w:val="0"/>
              <w:widowControl/>
              <w:kinsoku/>
              <w:overflowPunct/>
              <w:bidi w:val="0"/>
              <w:spacing w:before="100" w:beforeAutospacing="1" w:after="100" w:afterAutospacing="1" w:line="360" w:lineRule="auto"/>
              <w:jc w:val="center"/>
              <w:rPr>
                <w:rFonts w:ascii="宋体" w:hAnsi="宋体" w:cs="宋体"/>
                <w:color w:val="auto"/>
                <w:kern w:val="0"/>
                <w:szCs w:val="21"/>
              </w:rPr>
            </w:pPr>
          </w:p>
        </w:tc>
        <w:tc>
          <w:tcPr>
            <w:tcW w:w="2109" w:type="dxa"/>
            <w:tcBorders>
              <w:top w:val="nil"/>
              <w:left w:val="nil"/>
              <w:bottom w:val="single" w:color="auto" w:sz="8" w:space="0"/>
              <w:right w:val="single" w:color="auto" w:sz="8" w:space="0"/>
            </w:tcBorders>
            <w:vAlign w:val="center"/>
          </w:tcPr>
          <w:p w14:paraId="1F506880">
            <w:pPr>
              <w:keepNext w:val="0"/>
              <w:keepLines w:val="0"/>
              <w:pageBreakBefore w:val="0"/>
              <w:widowControl/>
              <w:kinsoku/>
              <w:overflowPunct/>
              <w:bidi w:val="0"/>
              <w:spacing w:before="100" w:beforeAutospacing="1" w:after="100" w:afterAutospacing="1" w:line="360" w:lineRule="auto"/>
              <w:jc w:val="center"/>
              <w:rPr>
                <w:rFonts w:ascii="宋体" w:hAnsi="宋体" w:cs="宋体"/>
                <w:color w:val="auto"/>
                <w:kern w:val="0"/>
                <w:szCs w:val="21"/>
              </w:rPr>
            </w:pPr>
          </w:p>
        </w:tc>
      </w:tr>
      <w:tr w14:paraId="5F38A8D7">
        <w:tblPrEx>
          <w:tblCellMar>
            <w:top w:w="0" w:type="dxa"/>
            <w:left w:w="0" w:type="dxa"/>
            <w:bottom w:w="0" w:type="dxa"/>
            <w:right w:w="0" w:type="dxa"/>
          </w:tblCellMar>
        </w:tblPrEx>
        <w:trPr>
          <w:trHeight w:val="641" w:hRule="atLeast"/>
          <w:jc w:val="center"/>
        </w:trPr>
        <w:tc>
          <w:tcPr>
            <w:tcW w:w="8363" w:type="dxa"/>
            <w:gridSpan w:val="8"/>
            <w:tcBorders>
              <w:top w:val="nil"/>
              <w:left w:val="single" w:color="auto" w:sz="8" w:space="0"/>
              <w:bottom w:val="single" w:color="auto" w:sz="8" w:space="0"/>
              <w:right w:val="single" w:color="auto" w:sz="8" w:space="0"/>
            </w:tcBorders>
            <w:vAlign w:val="center"/>
          </w:tcPr>
          <w:p w14:paraId="59AAB0E6">
            <w:pPr>
              <w:keepNext w:val="0"/>
              <w:keepLines w:val="0"/>
              <w:pageBreakBefore w:val="0"/>
              <w:widowControl/>
              <w:kinsoku/>
              <w:overflowPunct/>
              <w:bidi w:val="0"/>
              <w:snapToGrid w:val="0"/>
              <w:spacing w:before="100" w:beforeAutospacing="1" w:after="100" w:afterAutospacing="1" w:line="360" w:lineRule="auto"/>
              <w:ind w:firstLine="2"/>
              <w:jc w:val="left"/>
              <w:rPr>
                <w:rFonts w:ascii="宋体" w:hAnsi="宋体" w:cs="宋体"/>
                <w:color w:val="auto"/>
                <w:kern w:val="0"/>
                <w:szCs w:val="21"/>
              </w:rPr>
            </w:pPr>
            <w:r>
              <w:rPr>
                <w:rFonts w:hint="eastAsia" w:ascii="宋体" w:hAnsi="宋体" w:cs="宋体"/>
                <w:color w:val="auto"/>
                <w:kern w:val="0"/>
                <w:szCs w:val="21"/>
              </w:rPr>
              <w:t>合计大写金额： 亿 仟 佰 拾 万 仟 佰 拾 元</w:t>
            </w:r>
          </w:p>
        </w:tc>
      </w:tr>
      <w:tr w14:paraId="60BFF954">
        <w:tblPrEx>
          <w:tblCellMar>
            <w:top w:w="0" w:type="dxa"/>
            <w:left w:w="0" w:type="dxa"/>
            <w:bottom w:w="0" w:type="dxa"/>
            <w:right w:w="0" w:type="dxa"/>
          </w:tblCellMar>
        </w:tblPrEx>
        <w:trPr>
          <w:trHeight w:val="641" w:hRule="atLeast"/>
          <w:jc w:val="center"/>
        </w:trPr>
        <w:tc>
          <w:tcPr>
            <w:tcW w:w="1182" w:type="dxa"/>
            <w:tcBorders>
              <w:top w:val="nil"/>
              <w:left w:val="single" w:color="auto" w:sz="8" w:space="0"/>
              <w:bottom w:val="single" w:color="auto" w:sz="8" w:space="0"/>
              <w:right w:val="single" w:color="auto" w:sz="8" w:space="0"/>
            </w:tcBorders>
            <w:vAlign w:val="center"/>
          </w:tcPr>
          <w:p w14:paraId="3B72C4BC">
            <w:pPr>
              <w:keepNext w:val="0"/>
              <w:keepLines w:val="0"/>
              <w:pageBreakBefore w:val="0"/>
              <w:widowControl/>
              <w:kinsoku/>
              <w:overflowPunct/>
              <w:bidi w:val="0"/>
              <w:snapToGrid w:val="0"/>
              <w:spacing w:before="100" w:beforeAutospacing="1" w:after="100" w:afterAutospacing="1" w:line="360" w:lineRule="auto"/>
              <w:ind w:firstLine="2"/>
              <w:jc w:val="center"/>
              <w:rPr>
                <w:rFonts w:ascii="宋体" w:hAnsi="宋体" w:cs="宋体"/>
                <w:color w:val="auto"/>
                <w:kern w:val="0"/>
                <w:szCs w:val="21"/>
              </w:rPr>
            </w:pPr>
            <w:r>
              <w:rPr>
                <w:rFonts w:hint="eastAsia" w:ascii="宋体" w:hAnsi="宋体" w:cs="宋体"/>
                <w:color w:val="auto"/>
                <w:kern w:val="0"/>
                <w:szCs w:val="21"/>
              </w:rPr>
              <w:t>实际供货日期</w:t>
            </w:r>
          </w:p>
        </w:tc>
        <w:tc>
          <w:tcPr>
            <w:tcW w:w="2423" w:type="dxa"/>
            <w:gridSpan w:val="2"/>
            <w:tcBorders>
              <w:top w:val="nil"/>
              <w:left w:val="nil"/>
              <w:bottom w:val="single" w:color="auto" w:sz="8" w:space="0"/>
              <w:right w:val="single" w:color="auto" w:sz="8" w:space="0"/>
            </w:tcBorders>
            <w:vAlign w:val="center"/>
          </w:tcPr>
          <w:p w14:paraId="6AF89354">
            <w:pPr>
              <w:keepNext w:val="0"/>
              <w:keepLines w:val="0"/>
              <w:pageBreakBefore w:val="0"/>
              <w:widowControl/>
              <w:kinsoku/>
              <w:overflowPunct/>
              <w:bidi w:val="0"/>
              <w:spacing w:before="100" w:beforeAutospacing="1" w:after="100" w:afterAutospacing="1" w:line="360" w:lineRule="auto"/>
              <w:jc w:val="center"/>
              <w:rPr>
                <w:rFonts w:ascii="宋体" w:hAnsi="宋体" w:cs="宋体"/>
                <w:color w:val="auto"/>
                <w:kern w:val="0"/>
                <w:szCs w:val="21"/>
              </w:rPr>
            </w:pPr>
          </w:p>
        </w:tc>
        <w:tc>
          <w:tcPr>
            <w:tcW w:w="2033" w:type="dxa"/>
            <w:gridSpan w:val="3"/>
            <w:tcBorders>
              <w:top w:val="nil"/>
              <w:left w:val="nil"/>
              <w:bottom w:val="single" w:color="auto" w:sz="8" w:space="0"/>
              <w:right w:val="single" w:color="auto" w:sz="8" w:space="0"/>
            </w:tcBorders>
            <w:vAlign w:val="center"/>
          </w:tcPr>
          <w:p w14:paraId="127823F2">
            <w:pPr>
              <w:keepNext w:val="0"/>
              <w:keepLines w:val="0"/>
              <w:pageBreakBefore w:val="0"/>
              <w:widowControl/>
              <w:kinsoku/>
              <w:overflowPunct/>
              <w:bidi w:val="0"/>
              <w:snapToGrid w:val="0"/>
              <w:spacing w:before="100" w:beforeAutospacing="1" w:after="100" w:afterAutospacing="1" w:line="360" w:lineRule="auto"/>
              <w:ind w:firstLine="46"/>
              <w:jc w:val="center"/>
              <w:rPr>
                <w:rFonts w:ascii="宋体" w:hAnsi="宋体" w:cs="宋体"/>
                <w:color w:val="auto"/>
                <w:kern w:val="0"/>
                <w:szCs w:val="21"/>
              </w:rPr>
            </w:pPr>
            <w:r>
              <w:rPr>
                <w:rFonts w:hint="eastAsia" w:ascii="宋体" w:hAnsi="宋体" w:cs="宋体"/>
                <w:color w:val="auto"/>
                <w:kern w:val="0"/>
                <w:szCs w:val="21"/>
              </w:rPr>
              <w:t>合同交货验收日期</w:t>
            </w:r>
          </w:p>
        </w:tc>
        <w:tc>
          <w:tcPr>
            <w:tcW w:w="2725" w:type="dxa"/>
            <w:gridSpan w:val="2"/>
            <w:tcBorders>
              <w:top w:val="nil"/>
              <w:left w:val="nil"/>
              <w:bottom w:val="single" w:color="auto" w:sz="8" w:space="0"/>
              <w:right w:val="single" w:color="auto" w:sz="8" w:space="0"/>
            </w:tcBorders>
            <w:vAlign w:val="center"/>
          </w:tcPr>
          <w:p w14:paraId="76ED5A05">
            <w:pPr>
              <w:keepNext w:val="0"/>
              <w:keepLines w:val="0"/>
              <w:pageBreakBefore w:val="0"/>
              <w:widowControl/>
              <w:kinsoku/>
              <w:overflowPunct/>
              <w:bidi w:val="0"/>
              <w:spacing w:before="100" w:beforeAutospacing="1" w:after="100" w:afterAutospacing="1" w:line="360" w:lineRule="auto"/>
              <w:jc w:val="center"/>
              <w:rPr>
                <w:rFonts w:ascii="宋体" w:hAnsi="宋体" w:cs="宋体"/>
                <w:color w:val="auto"/>
                <w:kern w:val="0"/>
                <w:szCs w:val="21"/>
              </w:rPr>
            </w:pPr>
          </w:p>
        </w:tc>
      </w:tr>
      <w:tr w14:paraId="38469781">
        <w:tblPrEx>
          <w:tblCellMar>
            <w:top w:w="0" w:type="dxa"/>
            <w:left w:w="0" w:type="dxa"/>
            <w:bottom w:w="0" w:type="dxa"/>
            <w:right w:w="0" w:type="dxa"/>
          </w:tblCellMar>
        </w:tblPrEx>
        <w:trPr>
          <w:trHeight w:val="693" w:hRule="atLeast"/>
          <w:jc w:val="center"/>
        </w:trPr>
        <w:tc>
          <w:tcPr>
            <w:tcW w:w="118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999528C">
            <w:pPr>
              <w:keepNext w:val="0"/>
              <w:keepLines w:val="0"/>
              <w:pageBreakBefore w:val="0"/>
              <w:widowControl/>
              <w:kinsoku/>
              <w:overflowPunct/>
              <w:bidi w:val="0"/>
              <w:snapToGrid w:val="0"/>
              <w:spacing w:before="100" w:beforeAutospacing="1" w:after="100" w:afterAutospacing="1" w:line="360" w:lineRule="auto"/>
              <w:jc w:val="left"/>
              <w:rPr>
                <w:rFonts w:ascii="宋体" w:hAnsi="宋体" w:cs="宋体"/>
                <w:color w:val="auto"/>
                <w:kern w:val="0"/>
                <w:szCs w:val="21"/>
              </w:rPr>
            </w:pPr>
            <w:r>
              <w:rPr>
                <w:rFonts w:hint="eastAsia" w:ascii="宋体" w:hAnsi="宋体" w:cs="宋体"/>
                <w:color w:val="auto"/>
                <w:kern w:val="0"/>
                <w:szCs w:val="21"/>
              </w:rPr>
              <w:t>验收具体内容</w:t>
            </w:r>
          </w:p>
        </w:tc>
        <w:tc>
          <w:tcPr>
            <w:tcW w:w="7181"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78B98DB7">
            <w:pPr>
              <w:keepNext w:val="0"/>
              <w:keepLines w:val="0"/>
              <w:pageBreakBefore w:val="0"/>
              <w:widowControl/>
              <w:kinsoku/>
              <w:overflowPunct/>
              <w:bidi w:val="0"/>
              <w:snapToGrid w:val="0"/>
              <w:spacing w:before="100" w:beforeAutospacing="1" w:after="100" w:afterAutospacing="1" w:line="360" w:lineRule="auto"/>
              <w:jc w:val="left"/>
              <w:rPr>
                <w:rFonts w:ascii="宋体" w:hAnsi="宋体" w:cs="宋体"/>
                <w:color w:val="auto"/>
                <w:kern w:val="0"/>
                <w:szCs w:val="21"/>
              </w:rPr>
            </w:pPr>
            <w:r>
              <w:rPr>
                <w:rFonts w:hint="eastAsia" w:ascii="宋体" w:hAnsi="宋体" w:cs="宋体"/>
                <w:color w:val="auto"/>
                <w:kern w:val="0"/>
                <w:szCs w:val="21"/>
              </w:rPr>
              <w:t>（应按采购合同、采购文件、投标响应文件及验收方案等进行验收；并核对中标或者成交</w:t>
            </w:r>
            <w:r>
              <w:rPr>
                <w:rFonts w:hint="eastAsia" w:ascii="宋体" w:hAnsi="宋体" w:cs="宋体"/>
                <w:color w:val="auto"/>
                <w:kern w:val="0"/>
                <w:szCs w:val="21"/>
                <w:lang w:eastAsia="zh-CN"/>
              </w:rPr>
              <w:t>投标人</w:t>
            </w:r>
            <w:r>
              <w:rPr>
                <w:rFonts w:hint="eastAsia" w:ascii="宋体" w:hAnsi="宋体" w:cs="宋体"/>
                <w:color w:val="auto"/>
                <w:kern w:val="0"/>
                <w:szCs w:val="21"/>
              </w:rPr>
              <w:t>在安装调试等方面是否违反合同约定或服务规范要求、提供的质量保证证明材料是否齐全、应有的配件及附件是否达到合同约定等。可附件）</w:t>
            </w:r>
          </w:p>
        </w:tc>
      </w:tr>
      <w:tr w14:paraId="03A99E55">
        <w:tblPrEx>
          <w:tblCellMar>
            <w:top w:w="0" w:type="dxa"/>
            <w:left w:w="0" w:type="dxa"/>
            <w:bottom w:w="0" w:type="dxa"/>
            <w:right w:w="0" w:type="dxa"/>
          </w:tblCellMar>
        </w:tblPrEx>
        <w:trPr>
          <w:trHeight w:val="645" w:hRule="atLeast"/>
          <w:jc w:val="center"/>
        </w:trPr>
        <w:tc>
          <w:tcPr>
            <w:tcW w:w="118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76A8D9C">
            <w:pPr>
              <w:keepNext w:val="0"/>
              <w:keepLines w:val="0"/>
              <w:pageBreakBefore w:val="0"/>
              <w:widowControl/>
              <w:kinsoku/>
              <w:overflowPunct/>
              <w:bidi w:val="0"/>
              <w:spacing w:before="100" w:beforeAutospacing="1" w:after="100" w:afterAutospacing="1" w:line="360" w:lineRule="auto"/>
              <w:jc w:val="left"/>
              <w:rPr>
                <w:rFonts w:ascii="宋体" w:hAnsi="宋体" w:cs="宋体"/>
                <w:color w:val="auto"/>
                <w:kern w:val="0"/>
                <w:szCs w:val="21"/>
              </w:rPr>
            </w:pPr>
            <w:r>
              <w:rPr>
                <w:rFonts w:hint="eastAsia" w:ascii="宋体" w:hAnsi="宋体" w:cs="宋体"/>
                <w:color w:val="auto"/>
                <w:kern w:val="0"/>
                <w:szCs w:val="21"/>
              </w:rPr>
              <w:t>验收小组意见</w:t>
            </w:r>
          </w:p>
        </w:tc>
        <w:tc>
          <w:tcPr>
            <w:tcW w:w="7181" w:type="dxa"/>
            <w:gridSpan w:val="7"/>
            <w:tcBorders>
              <w:top w:val="nil"/>
              <w:left w:val="nil"/>
              <w:bottom w:val="single" w:color="auto" w:sz="8" w:space="0"/>
              <w:right w:val="single" w:color="auto" w:sz="8" w:space="0"/>
            </w:tcBorders>
            <w:vAlign w:val="center"/>
          </w:tcPr>
          <w:p w14:paraId="047E8A70">
            <w:pPr>
              <w:keepNext w:val="0"/>
              <w:keepLines w:val="0"/>
              <w:pageBreakBefore w:val="0"/>
              <w:widowControl/>
              <w:kinsoku/>
              <w:overflowPunct/>
              <w:bidi w:val="0"/>
              <w:spacing w:before="100" w:beforeAutospacing="1" w:after="100" w:afterAutospacing="1" w:line="360" w:lineRule="auto"/>
              <w:jc w:val="left"/>
              <w:rPr>
                <w:rFonts w:ascii="宋体" w:hAnsi="宋体" w:cs="宋体"/>
                <w:color w:val="auto"/>
                <w:kern w:val="0"/>
                <w:szCs w:val="21"/>
              </w:rPr>
            </w:pPr>
            <w:r>
              <w:rPr>
                <w:rFonts w:hint="eastAsia" w:ascii="宋体" w:hAnsi="宋体" w:cs="宋体"/>
                <w:color w:val="auto"/>
                <w:kern w:val="0"/>
                <w:szCs w:val="21"/>
              </w:rPr>
              <w:t>验收结论性意见：</w:t>
            </w:r>
          </w:p>
        </w:tc>
      </w:tr>
      <w:tr w14:paraId="7996BBD4">
        <w:tblPrEx>
          <w:tblCellMar>
            <w:top w:w="0" w:type="dxa"/>
            <w:left w:w="0" w:type="dxa"/>
            <w:bottom w:w="0" w:type="dxa"/>
            <w:right w:w="0" w:type="dxa"/>
          </w:tblCellMar>
        </w:tblPrEx>
        <w:trPr>
          <w:trHeight w:val="740" w:hRule="atLeast"/>
          <w:jc w:val="center"/>
        </w:trPr>
        <w:tc>
          <w:tcPr>
            <w:tcW w:w="1182" w:type="dxa"/>
            <w:vMerge w:val="continue"/>
            <w:tcBorders>
              <w:top w:val="nil"/>
              <w:left w:val="single" w:color="auto" w:sz="8" w:space="0"/>
              <w:bottom w:val="single" w:color="auto" w:sz="8" w:space="0"/>
              <w:right w:val="single" w:color="auto" w:sz="8" w:space="0"/>
            </w:tcBorders>
            <w:vAlign w:val="center"/>
          </w:tcPr>
          <w:p w14:paraId="411E3B71">
            <w:pPr>
              <w:keepNext w:val="0"/>
              <w:keepLines w:val="0"/>
              <w:pageBreakBefore w:val="0"/>
              <w:widowControl/>
              <w:kinsoku/>
              <w:overflowPunct/>
              <w:bidi w:val="0"/>
              <w:spacing w:line="360" w:lineRule="auto"/>
              <w:jc w:val="left"/>
              <w:rPr>
                <w:rFonts w:ascii="宋体" w:hAnsi="宋体" w:cs="宋体"/>
                <w:color w:val="auto"/>
                <w:kern w:val="0"/>
                <w:szCs w:val="21"/>
              </w:rPr>
            </w:pPr>
          </w:p>
        </w:tc>
        <w:tc>
          <w:tcPr>
            <w:tcW w:w="7181" w:type="dxa"/>
            <w:gridSpan w:val="7"/>
            <w:tcBorders>
              <w:top w:val="nil"/>
              <w:left w:val="nil"/>
              <w:bottom w:val="single" w:color="auto" w:sz="8" w:space="0"/>
              <w:right w:val="single" w:color="auto" w:sz="8" w:space="0"/>
            </w:tcBorders>
            <w:vAlign w:val="center"/>
          </w:tcPr>
          <w:p w14:paraId="501D962E">
            <w:pPr>
              <w:keepNext w:val="0"/>
              <w:keepLines w:val="0"/>
              <w:pageBreakBefore w:val="0"/>
              <w:widowControl/>
              <w:kinsoku/>
              <w:overflowPunct/>
              <w:bidi w:val="0"/>
              <w:spacing w:before="100" w:beforeAutospacing="1" w:after="100" w:afterAutospacing="1" w:line="360" w:lineRule="auto"/>
              <w:ind w:firstLine="96"/>
              <w:jc w:val="left"/>
              <w:rPr>
                <w:rFonts w:ascii="宋体" w:hAnsi="宋体" w:cs="宋体"/>
                <w:color w:val="auto"/>
                <w:kern w:val="0"/>
                <w:szCs w:val="21"/>
              </w:rPr>
            </w:pPr>
            <w:r>
              <w:rPr>
                <w:rFonts w:hint="eastAsia" w:ascii="宋体" w:hAnsi="宋体" w:cs="宋体"/>
                <w:color w:val="auto"/>
                <w:kern w:val="0"/>
                <w:szCs w:val="21"/>
              </w:rPr>
              <w:t>有异议的意见和说明理由：</w:t>
            </w:r>
          </w:p>
          <w:p w14:paraId="07DA6A46">
            <w:pPr>
              <w:keepNext w:val="0"/>
              <w:keepLines w:val="0"/>
              <w:pageBreakBefore w:val="0"/>
              <w:widowControl/>
              <w:kinsoku/>
              <w:overflowPunct/>
              <w:bidi w:val="0"/>
              <w:spacing w:before="100" w:beforeAutospacing="1" w:after="100" w:afterAutospacing="1" w:line="360" w:lineRule="auto"/>
              <w:ind w:firstLine="96"/>
              <w:jc w:val="left"/>
              <w:rPr>
                <w:rFonts w:ascii="宋体" w:hAnsi="宋体" w:cs="宋体"/>
                <w:color w:val="auto"/>
                <w:kern w:val="0"/>
                <w:szCs w:val="21"/>
              </w:rPr>
            </w:pPr>
            <w:r>
              <w:rPr>
                <w:rFonts w:hint="eastAsia" w:ascii="宋体" w:hAnsi="宋体" w:cs="宋体"/>
                <w:color w:val="auto"/>
                <w:kern w:val="0"/>
                <w:szCs w:val="21"/>
              </w:rPr>
              <w:t>签字：</w:t>
            </w:r>
          </w:p>
        </w:tc>
      </w:tr>
      <w:tr w14:paraId="15CBCA82">
        <w:tblPrEx>
          <w:tblCellMar>
            <w:top w:w="0" w:type="dxa"/>
            <w:left w:w="0" w:type="dxa"/>
            <w:bottom w:w="0" w:type="dxa"/>
            <w:right w:w="0" w:type="dxa"/>
          </w:tblCellMar>
        </w:tblPrEx>
        <w:trPr>
          <w:trHeight w:val="507" w:hRule="atLeast"/>
          <w:jc w:val="center"/>
        </w:trPr>
        <w:tc>
          <w:tcPr>
            <w:tcW w:w="8363"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6A5271E">
            <w:pPr>
              <w:keepNext w:val="0"/>
              <w:keepLines w:val="0"/>
              <w:pageBreakBefore w:val="0"/>
              <w:widowControl/>
              <w:kinsoku/>
              <w:overflowPunct/>
              <w:bidi w:val="0"/>
              <w:spacing w:before="100" w:beforeAutospacing="1" w:after="100" w:afterAutospacing="1" w:line="360" w:lineRule="auto"/>
              <w:jc w:val="left"/>
              <w:rPr>
                <w:rFonts w:ascii="宋体" w:hAnsi="宋体" w:cs="宋体"/>
                <w:color w:val="auto"/>
                <w:kern w:val="0"/>
                <w:szCs w:val="21"/>
              </w:rPr>
            </w:pPr>
            <w:r>
              <w:rPr>
                <w:rFonts w:hint="eastAsia" w:ascii="宋体" w:hAnsi="宋体" w:cs="宋体"/>
                <w:color w:val="auto"/>
                <w:kern w:val="0"/>
                <w:szCs w:val="21"/>
              </w:rPr>
              <w:t>验收小组成员签字：</w:t>
            </w:r>
          </w:p>
        </w:tc>
      </w:tr>
      <w:tr w14:paraId="15B19269">
        <w:tblPrEx>
          <w:tblCellMar>
            <w:top w:w="0" w:type="dxa"/>
            <w:left w:w="0" w:type="dxa"/>
            <w:bottom w:w="0" w:type="dxa"/>
            <w:right w:w="0" w:type="dxa"/>
          </w:tblCellMar>
        </w:tblPrEx>
        <w:trPr>
          <w:trHeight w:val="454" w:hRule="atLeast"/>
          <w:jc w:val="center"/>
        </w:trPr>
        <w:tc>
          <w:tcPr>
            <w:tcW w:w="8363"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3FDEF63">
            <w:pPr>
              <w:keepNext w:val="0"/>
              <w:keepLines w:val="0"/>
              <w:pageBreakBefore w:val="0"/>
              <w:widowControl/>
              <w:kinsoku/>
              <w:overflowPunct/>
              <w:bidi w:val="0"/>
              <w:spacing w:line="360" w:lineRule="auto"/>
              <w:jc w:val="left"/>
              <w:rPr>
                <w:rFonts w:ascii="宋体" w:hAnsi="宋体" w:cs="宋体"/>
                <w:color w:val="auto"/>
                <w:kern w:val="0"/>
                <w:szCs w:val="21"/>
              </w:rPr>
            </w:pPr>
            <w:r>
              <w:rPr>
                <w:rFonts w:hint="eastAsia" w:ascii="宋体" w:hAnsi="宋体" w:cs="宋体"/>
                <w:color w:val="auto"/>
                <w:kern w:val="0"/>
                <w:szCs w:val="21"/>
              </w:rPr>
              <w:t>监督人员或其他相关人员签字：</w:t>
            </w:r>
          </w:p>
          <w:p w14:paraId="6A68374C">
            <w:pPr>
              <w:keepNext w:val="0"/>
              <w:keepLines w:val="0"/>
              <w:pageBreakBefore w:val="0"/>
              <w:widowControl/>
              <w:kinsoku/>
              <w:overflowPunct/>
              <w:bidi w:val="0"/>
              <w:spacing w:line="360" w:lineRule="auto"/>
              <w:ind w:firstLine="74"/>
              <w:jc w:val="left"/>
              <w:rPr>
                <w:rFonts w:ascii="宋体" w:hAnsi="宋体" w:cs="宋体"/>
                <w:color w:val="auto"/>
                <w:kern w:val="0"/>
                <w:szCs w:val="21"/>
              </w:rPr>
            </w:pPr>
            <w:r>
              <w:rPr>
                <w:rFonts w:hint="eastAsia" w:ascii="宋体" w:hAnsi="宋体" w:cs="宋体"/>
                <w:color w:val="auto"/>
                <w:kern w:val="0"/>
                <w:szCs w:val="21"/>
              </w:rPr>
              <w:t>或受邀机构的意见（盖章）：</w:t>
            </w:r>
          </w:p>
        </w:tc>
      </w:tr>
      <w:tr w14:paraId="492EFE52">
        <w:tblPrEx>
          <w:tblCellMar>
            <w:top w:w="0" w:type="dxa"/>
            <w:left w:w="0" w:type="dxa"/>
            <w:bottom w:w="0" w:type="dxa"/>
            <w:right w:w="0" w:type="dxa"/>
          </w:tblCellMar>
        </w:tblPrEx>
        <w:trPr>
          <w:trHeight w:val="94" w:hRule="atLeast"/>
          <w:jc w:val="center"/>
        </w:trPr>
        <w:tc>
          <w:tcPr>
            <w:tcW w:w="4157" w:type="dxa"/>
            <w:gridSpan w:val="4"/>
            <w:tcBorders>
              <w:top w:val="nil"/>
              <w:left w:val="single" w:color="auto" w:sz="8" w:space="0"/>
              <w:bottom w:val="single" w:color="auto" w:sz="8" w:space="0"/>
              <w:right w:val="nil"/>
            </w:tcBorders>
            <w:tcMar>
              <w:top w:w="0" w:type="dxa"/>
              <w:left w:w="108" w:type="dxa"/>
              <w:bottom w:w="0" w:type="dxa"/>
              <w:right w:w="108" w:type="dxa"/>
            </w:tcMar>
            <w:vAlign w:val="center"/>
          </w:tcPr>
          <w:p w14:paraId="051E7FDF">
            <w:pPr>
              <w:keepNext w:val="0"/>
              <w:keepLines w:val="0"/>
              <w:pageBreakBefore w:val="0"/>
              <w:widowControl/>
              <w:kinsoku/>
              <w:overflowPunct/>
              <w:bidi w:val="0"/>
              <w:spacing w:before="100" w:beforeAutospacing="1" w:after="100" w:afterAutospacing="1" w:line="360" w:lineRule="auto"/>
              <w:ind w:firstLine="74"/>
              <w:jc w:val="left"/>
              <w:rPr>
                <w:rFonts w:ascii="宋体" w:hAnsi="宋体" w:cs="宋体"/>
                <w:color w:val="auto"/>
                <w:kern w:val="0"/>
                <w:szCs w:val="21"/>
              </w:rPr>
            </w:pPr>
            <w:r>
              <w:rPr>
                <w:rFonts w:hint="eastAsia" w:ascii="宋体" w:hAnsi="宋体" w:cs="宋体"/>
                <w:color w:val="auto"/>
                <w:kern w:val="0"/>
                <w:szCs w:val="21"/>
              </w:rPr>
              <w:t>中标或者成交</w:t>
            </w:r>
            <w:r>
              <w:rPr>
                <w:rFonts w:hint="eastAsia" w:ascii="宋体" w:hAnsi="宋体" w:cs="宋体"/>
                <w:color w:val="auto"/>
                <w:kern w:val="0"/>
                <w:szCs w:val="21"/>
                <w:lang w:eastAsia="zh-CN"/>
              </w:rPr>
              <w:t>投标人</w:t>
            </w:r>
            <w:r>
              <w:rPr>
                <w:rFonts w:hint="eastAsia" w:ascii="宋体" w:hAnsi="宋体" w:cs="宋体"/>
                <w:color w:val="auto"/>
                <w:kern w:val="0"/>
                <w:szCs w:val="21"/>
              </w:rPr>
              <w:t>负责人签字或盖章：</w:t>
            </w:r>
          </w:p>
          <w:p w14:paraId="53691FEE">
            <w:pPr>
              <w:keepNext w:val="0"/>
              <w:keepLines w:val="0"/>
              <w:pageBreakBefore w:val="0"/>
              <w:widowControl/>
              <w:kinsoku/>
              <w:overflowPunct/>
              <w:bidi w:val="0"/>
              <w:spacing w:before="100" w:beforeAutospacing="1" w:after="100" w:afterAutospacing="1" w:line="360" w:lineRule="auto"/>
              <w:jc w:val="left"/>
              <w:rPr>
                <w:rFonts w:ascii="宋体" w:hAnsi="宋体" w:cs="宋体"/>
                <w:color w:val="auto"/>
                <w:kern w:val="0"/>
                <w:szCs w:val="21"/>
              </w:rPr>
            </w:pPr>
            <w:r>
              <w:rPr>
                <w:rFonts w:hint="eastAsia" w:ascii="宋体" w:hAnsi="宋体" w:cs="宋体"/>
                <w:color w:val="auto"/>
                <w:kern w:val="0"/>
                <w:szCs w:val="21"/>
              </w:rPr>
              <w:t>联系电话： 年 月 日</w:t>
            </w:r>
          </w:p>
        </w:tc>
        <w:tc>
          <w:tcPr>
            <w:tcW w:w="4206" w:type="dxa"/>
            <w:gridSpan w:val="4"/>
            <w:tcBorders>
              <w:top w:val="nil"/>
              <w:left w:val="nil"/>
              <w:bottom w:val="single" w:color="auto" w:sz="8" w:space="0"/>
              <w:right w:val="single" w:color="auto" w:sz="8" w:space="0"/>
            </w:tcBorders>
            <w:vAlign w:val="center"/>
          </w:tcPr>
          <w:p w14:paraId="6D0100F5">
            <w:pPr>
              <w:keepNext w:val="0"/>
              <w:keepLines w:val="0"/>
              <w:pageBreakBefore w:val="0"/>
              <w:widowControl/>
              <w:kinsoku/>
              <w:overflowPunct/>
              <w:bidi w:val="0"/>
              <w:spacing w:before="100" w:beforeAutospacing="1" w:after="100" w:afterAutospacing="1" w:line="360" w:lineRule="auto"/>
              <w:jc w:val="left"/>
              <w:rPr>
                <w:rFonts w:ascii="宋体" w:hAnsi="宋体" w:cs="宋体"/>
                <w:color w:val="auto"/>
                <w:kern w:val="0"/>
                <w:szCs w:val="21"/>
              </w:rPr>
            </w:pPr>
            <w:r>
              <w:rPr>
                <w:rFonts w:hint="eastAsia" w:ascii="宋体" w:hAnsi="宋体" w:cs="宋体"/>
                <w:color w:val="auto"/>
                <w:kern w:val="0"/>
                <w:szCs w:val="21"/>
              </w:rPr>
              <w:t>采购人或受托机构的意见（盖章）：</w:t>
            </w:r>
          </w:p>
          <w:p w14:paraId="75DB8999">
            <w:pPr>
              <w:keepNext w:val="0"/>
              <w:keepLines w:val="0"/>
              <w:pageBreakBefore w:val="0"/>
              <w:widowControl/>
              <w:kinsoku/>
              <w:overflowPunct/>
              <w:bidi w:val="0"/>
              <w:spacing w:before="100" w:beforeAutospacing="1" w:after="100" w:afterAutospacing="1" w:line="360" w:lineRule="auto"/>
              <w:jc w:val="left"/>
              <w:rPr>
                <w:rFonts w:ascii="宋体" w:hAnsi="宋体" w:cs="宋体"/>
                <w:color w:val="auto"/>
                <w:kern w:val="0"/>
                <w:szCs w:val="21"/>
              </w:rPr>
            </w:pPr>
            <w:r>
              <w:rPr>
                <w:rFonts w:hint="eastAsia" w:ascii="宋体" w:hAnsi="宋体" w:cs="宋体"/>
                <w:color w:val="auto"/>
                <w:kern w:val="0"/>
                <w:szCs w:val="21"/>
              </w:rPr>
              <w:t>联系电话： 年 月 日</w:t>
            </w:r>
          </w:p>
        </w:tc>
      </w:tr>
    </w:tbl>
    <w:p w14:paraId="1DF48A92">
      <w:pPr>
        <w:keepNext w:val="0"/>
        <w:keepLines w:val="0"/>
        <w:pageBreakBefore w:val="0"/>
        <w:kinsoku/>
        <w:overflowPunct/>
        <w:bidi w:val="0"/>
        <w:spacing w:line="360" w:lineRule="auto"/>
        <w:jc w:val="left"/>
        <w:rPr>
          <w:rFonts w:ascii="宋体" w:hAnsi="宋体" w:cs="宋体"/>
          <w:color w:val="auto"/>
        </w:rPr>
      </w:pPr>
      <w:r>
        <w:rPr>
          <w:rFonts w:hint="eastAsia" w:ascii="宋体" w:hAnsi="宋体" w:cs="宋体"/>
          <w:color w:val="auto"/>
        </w:rPr>
        <w:br w:type="page"/>
      </w:r>
      <w:r>
        <w:rPr>
          <w:rFonts w:hint="eastAsia" w:ascii="宋体" w:hAnsi="宋体" w:cs="宋体"/>
          <w:b/>
          <w:bCs/>
          <w:color w:val="auto"/>
        </w:rPr>
        <w:t>附件2</w:t>
      </w:r>
    </w:p>
    <w:p w14:paraId="2365F88D">
      <w:pPr>
        <w:keepNext w:val="0"/>
        <w:keepLines w:val="0"/>
        <w:pageBreakBefore w:val="0"/>
        <w:kinsoku/>
        <w:overflowPunct/>
        <w:bidi w:val="0"/>
        <w:spacing w:line="360" w:lineRule="auto"/>
        <w:jc w:val="center"/>
        <w:rPr>
          <w:rFonts w:ascii="宋体" w:hAnsi="宋体" w:cs="宋体"/>
          <w:color w:val="auto"/>
          <w:sz w:val="32"/>
          <w:szCs w:val="32"/>
        </w:rPr>
      </w:pPr>
      <w:r>
        <w:rPr>
          <w:rFonts w:hint="eastAsia" w:ascii="宋体" w:hAnsi="宋体" w:cs="宋体"/>
          <w:color w:val="auto"/>
          <w:sz w:val="32"/>
          <w:szCs w:val="32"/>
        </w:rPr>
        <w:t>政府采购项目履约保证金退付意见书（参考）</w:t>
      </w:r>
    </w:p>
    <w:p w14:paraId="6001A556">
      <w:pPr>
        <w:keepNext w:val="0"/>
        <w:keepLines w:val="0"/>
        <w:pageBreakBefore w:val="0"/>
        <w:kinsoku/>
        <w:overflowPunct/>
        <w:bidi w:val="0"/>
        <w:spacing w:line="360" w:lineRule="auto"/>
        <w:jc w:val="center"/>
        <w:rPr>
          <w:rFonts w:ascii="宋体" w:hAnsi="宋体" w:cs="宋体"/>
          <w:color w:val="auto"/>
          <w:sz w:val="36"/>
          <w:szCs w:val="36"/>
        </w:rPr>
      </w:pPr>
    </w:p>
    <w:tbl>
      <w:tblPr>
        <w:tblStyle w:val="25"/>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7614"/>
      </w:tblGrid>
      <w:tr w14:paraId="19F04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906" w:type="dxa"/>
            <w:vMerge w:val="restart"/>
            <w:vAlign w:val="center"/>
          </w:tcPr>
          <w:p w14:paraId="54BB1316">
            <w:pPr>
              <w:keepNext w:val="0"/>
              <w:keepLines w:val="0"/>
              <w:pageBreakBefore w:val="0"/>
              <w:kinsoku/>
              <w:overflowPunct/>
              <w:bidi w:val="0"/>
              <w:spacing w:line="360" w:lineRule="auto"/>
              <w:jc w:val="center"/>
              <w:rPr>
                <w:rFonts w:ascii="宋体" w:hAnsi="宋体" w:cs="宋体"/>
                <w:color w:val="auto"/>
                <w:sz w:val="24"/>
              </w:rPr>
            </w:pPr>
            <w:r>
              <w:rPr>
                <w:rFonts w:hint="eastAsia" w:ascii="宋体" w:hAnsi="宋体" w:cs="宋体"/>
                <w:color w:val="auto"/>
                <w:sz w:val="24"/>
              </w:rPr>
              <w:t>供</w:t>
            </w:r>
          </w:p>
          <w:p w14:paraId="4DD809D3">
            <w:pPr>
              <w:keepNext w:val="0"/>
              <w:keepLines w:val="0"/>
              <w:pageBreakBefore w:val="0"/>
              <w:kinsoku/>
              <w:overflowPunct/>
              <w:bidi w:val="0"/>
              <w:spacing w:line="360" w:lineRule="auto"/>
              <w:jc w:val="center"/>
              <w:rPr>
                <w:rFonts w:ascii="宋体" w:hAnsi="宋体" w:cs="宋体"/>
                <w:color w:val="auto"/>
                <w:sz w:val="24"/>
              </w:rPr>
            </w:pPr>
            <w:r>
              <w:rPr>
                <w:rFonts w:hint="eastAsia" w:ascii="宋体" w:hAnsi="宋体" w:cs="宋体"/>
                <w:color w:val="auto"/>
                <w:sz w:val="24"/>
              </w:rPr>
              <w:t>应</w:t>
            </w:r>
          </w:p>
          <w:p w14:paraId="4123CE9A">
            <w:pPr>
              <w:keepNext w:val="0"/>
              <w:keepLines w:val="0"/>
              <w:pageBreakBefore w:val="0"/>
              <w:kinsoku/>
              <w:overflowPunct/>
              <w:bidi w:val="0"/>
              <w:spacing w:line="360" w:lineRule="auto"/>
              <w:jc w:val="center"/>
              <w:rPr>
                <w:rFonts w:ascii="宋体" w:hAnsi="宋体" w:cs="宋体"/>
                <w:color w:val="auto"/>
                <w:sz w:val="24"/>
              </w:rPr>
            </w:pPr>
            <w:r>
              <w:rPr>
                <w:rFonts w:hint="eastAsia" w:ascii="宋体" w:hAnsi="宋体" w:cs="宋体"/>
                <w:color w:val="auto"/>
                <w:sz w:val="24"/>
              </w:rPr>
              <w:t>商</w:t>
            </w:r>
          </w:p>
          <w:p w14:paraId="23AAA714">
            <w:pPr>
              <w:keepNext w:val="0"/>
              <w:keepLines w:val="0"/>
              <w:pageBreakBefore w:val="0"/>
              <w:kinsoku/>
              <w:overflowPunct/>
              <w:bidi w:val="0"/>
              <w:spacing w:line="360" w:lineRule="auto"/>
              <w:jc w:val="center"/>
              <w:rPr>
                <w:rFonts w:ascii="宋体" w:hAnsi="宋体" w:cs="宋体"/>
                <w:color w:val="auto"/>
                <w:sz w:val="24"/>
              </w:rPr>
            </w:pPr>
            <w:r>
              <w:rPr>
                <w:rFonts w:hint="eastAsia" w:ascii="宋体" w:hAnsi="宋体" w:cs="宋体"/>
                <w:color w:val="auto"/>
                <w:sz w:val="24"/>
              </w:rPr>
              <w:t>申</w:t>
            </w:r>
          </w:p>
          <w:p w14:paraId="62FCE980">
            <w:pPr>
              <w:keepNext w:val="0"/>
              <w:keepLines w:val="0"/>
              <w:pageBreakBefore w:val="0"/>
              <w:kinsoku/>
              <w:overflowPunct/>
              <w:bidi w:val="0"/>
              <w:spacing w:line="360" w:lineRule="auto"/>
              <w:jc w:val="center"/>
              <w:rPr>
                <w:rFonts w:ascii="宋体" w:hAnsi="宋体" w:cs="宋体"/>
                <w:color w:val="auto"/>
                <w:sz w:val="24"/>
              </w:rPr>
            </w:pPr>
            <w:r>
              <w:rPr>
                <w:rFonts w:hint="eastAsia" w:ascii="宋体" w:hAnsi="宋体" w:cs="宋体"/>
                <w:color w:val="auto"/>
                <w:sz w:val="24"/>
              </w:rPr>
              <w:t>请</w:t>
            </w:r>
          </w:p>
        </w:tc>
        <w:tc>
          <w:tcPr>
            <w:tcW w:w="7614" w:type="dxa"/>
            <w:vAlign w:val="center"/>
          </w:tcPr>
          <w:p w14:paraId="6ACDC78E">
            <w:pPr>
              <w:keepNext w:val="0"/>
              <w:keepLines w:val="0"/>
              <w:pageBreakBefore w:val="0"/>
              <w:kinsoku/>
              <w:overflowPunct/>
              <w:bidi w:val="0"/>
              <w:spacing w:line="360" w:lineRule="auto"/>
              <w:rPr>
                <w:rFonts w:ascii="宋体" w:hAnsi="宋体" w:cs="宋体"/>
                <w:color w:val="auto"/>
                <w:sz w:val="24"/>
              </w:rPr>
            </w:pPr>
            <w:r>
              <w:rPr>
                <w:rFonts w:hint="eastAsia" w:ascii="宋体" w:hAnsi="宋体" w:cs="宋体"/>
                <w:color w:val="auto"/>
                <w:sz w:val="24"/>
              </w:rPr>
              <w:t>项目编号：</w:t>
            </w:r>
          </w:p>
        </w:tc>
      </w:tr>
      <w:tr w14:paraId="53581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906" w:type="dxa"/>
            <w:vMerge w:val="continue"/>
            <w:vAlign w:val="center"/>
          </w:tcPr>
          <w:p w14:paraId="5EC7BA65">
            <w:pPr>
              <w:keepNext w:val="0"/>
              <w:keepLines w:val="0"/>
              <w:pageBreakBefore w:val="0"/>
              <w:kinsoku/>
              <w:overflowPunct/>
              <w:bidi w:val="0"/>
              <w:spacing w:line="360" w:lineRule="auto"/>
              <w:rPr>
                <w:rFonts w:ascii="宋体" w:hAnsi="宋体" w:cs="宋体"/>
                <w:color w:val="auto"/>
                <w:sz w:val="24"/>
              </w:rPr>
            </w:pPr>
          </w:p>
        </w:tc>
        <w:tc>
          <w:tcPr>
            <w:tcW w:w="7614" w:type="dxa"/>
            <w:vAlign w:val="center"/>
          </w:tcPr>
          <w:p w14:paraId="0CAE7980">
            <w:pPr>
              <w:keepNext w:val="0"/>
              <w:keepLines w:val="0"/>
              <w:pageBreakBefore w:val="0"/>
              <w:kinsoku/>
              <w:overflowPunct/>
              <w:bidi w:val="0"/>
              <w:spacing w:line="360" w:lineRule="auto"/>
              <w:rPr>
                <w:rFonts w:ascii="宋体" w:hAnsi="宋体" w:cs="宋体"/>
                <w:color w:val="auto"/>
                <w:sz w:val="24"/>
              </w:rPr>
            </w:pPr>
            <w:r>
              <w:rPr>
                <w:rFonts w:hint="eastAsia" w:ascii="宋体" w:hAnsi="宋体" w:cs="宋体"/>
                <w:color w:val="auto"/>
                <w:sz w:val="24"/>
              </w:rPr>
              <w:t>项目名称：</w:t>
            </w:r>
          </w:p>
        </w:tc>
      </w:tr>
      <w:tr w14:paraId="6D172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6" w:type="dxa"/>
            <w:vMerge w:val="continue"/>
          </w:tcPr>
          <w:p w14:paraId="4FBCDBB9">
            <w:pPr>
              <w:keepNext w:val="0"/>
              <w:keepLines w:val="0"/>
              <w:pageBreakBefore w:val="0"/>
              <w:kinsoku/>
              <w:overflowPunct/>
              <w:bidi w:val="0"/>
              <w:spacing w:line="360" w:lineRule="auto"/>
              <w:rPr>
                <w:rFonts w:ascii="宋体" w:hAnsi="宋体" w:cs="宋体"/>
                <w:color w:val="auto"/>
                <w:sz w:val="24"/>
              </w:rPr>
            </w:pPr>
          </w:p>
        </w:tc>
        <w:tc>
          <w:tcPr>
            <w:tcW w:w="7614" w:type="dxa"/>
          </w:tcPr>
          <w:p w14:paraId="709775C4">
            <w:pPr>
              <w:keepNext w:val="0"/>
              <w:keepLines w:val="0"/>
              <w:pageBreakBefore w:val="0"/>
              <w:kinsoku/>
              <w:overflowPunct/>
              <w:bidi w:val="0"/>
              <w:spacing w:line="360" w:lineRule="auto"/>
              <w:rPr>
                <w:rFonts w:ascii="宋体" w:hAnsi="宋体" w:cs="宋体"/>
                <w:color w:val="auto"/>
                <w:sz w:val="24"/>
              </w:rPr>
            </w:pPr>
            <w:r>
              <w:rPr>
                <w:rFonts w:hint="eastAsia" w:ascii="宋体" w:hAnsi="宋体" w:cs="宋体"/>
                <w:color w:val="auto"/>
                <w:sz w:val="24"/>
              </w:rPr>
              <w:t xml:space="preserve">  </w:t>
            </w:r>
          </w:p>
          <w:p w14:paraId="5AC80E73">
            <w:pPr>
              <w:keepNext w:val="0"/>
              <w:keepLines w:val="0"/>
              <w:pageBreakBefore w:val="0"/>
              <w:kinsoku/>
              <w:overflowPunct/>
              <w:bidi w:val="0"/>
              <w:spacing w:line="360" w:lineRule="auto"/>
              <w:ind w:firstLine="480" w:firstLineChars="200"/>
              <w:rPr>
                <w:rFonts w:ascii="宋体" w:hAnsi="宋体" w:cs="宋体"/>
                <w:color w:val="auto"/>
                <w:sz w:val="24"/>
              </w:rPr>
            </w:pPr>
            <w:r>
              <w:rPr>
                <w:rFonts w:hint="eastAsia" w:ascii="宋体" w:hAnsi="宋体" w:cs="宋体"/>
                <w:color w:val="auto"/>
                <w:sz w:val="24"/>
              </w:rPr>
              <w:t>该项目已于</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日验收并交付使用。根据合同规定，该项目的履约保证金期限于</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日已满，请将履约保证金</w:t>
            </w:r>
          </w:p>
          <w:p w14:paraId="071D8ECE">
            <w:pPr>
              <w:keepNext w:val="0"/>
              <w:keepLines w:val="0"/>
              <w:pageBreakBefore w:val="0"/>
              <w:kinsoku/>
              <w:overflowPunct/>
              <w:bidi w:val="0"/>
              <w:spacing w:line="360" w:lineRule="auto"/>
              <w:rPr>
                <w:rFonts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（大写）¥</w:t>
            </w:r>
            <w:r>
              <w:rPr>
                <w:rFonts w:hint="eastAsia" w:ascii="宋体" w:hAnsi="宋体" w:cs="宋体"/>
                <w:color w:val="auto"/>
                <w:sz w:val="24"/>
                <w:u w:val="single"/>
              </w:rPr>
              <w:t xml:space="preserve">          </w:t>
            </w:r>
            <w:r>
              <w:rPr>
                <w:rFonts w:hint="eastAsia" w:ascii="宋体" w:hAnsi="宋体" w:cs="宋体"/>
                <w:color w:val="auto"/>
                <w:sz w:val="24"/>
              </w:rPr>
              <w:t>（小写）退付到达以下账户。</w:t>
            </w:r>
          </w:p>
          <w:p w14:paraId="6E2F5C13">
            <w:pPr>
              <w:keepNext w:val="0"/>
              <w:keepLines w:val="0"/>
              <w:pageBreakBefore w:val="0"/>
              <w:kinsoku/>
              <w:overflowPunct/>
              <w:bidi w:val="0"/>
              <w:spacing w:line="360" w:lineRule="auto"/>
              <w:ind w:firstLine="705"/>
              <w:rPr>
                <w:rFonts w:ascii="宋体" w:hAnsi="宋体" w:cs="宋体"/>
                <w:color w:val="auto"/>
                <w:sz w:val="24"/>
              </w:rPr>
            </w:pPr>
            <w:r>
              <w:rPr>
                <w:rFonts w:hint="eastAsia" w:ascii="宋体" w:hAnsi="宋体" w:cs="宋体"/>
                <w:color w:val="auto"/>
                <w:sz w:val="24"/>
              </w:rPr>
              <w:t>单位名称：</w:t>
            </w:r>
          </w:p>
          <w:p w14:paraId="381BAE1D">
            <w:pPr>
              <w:keepNext w:val="0"/>
              <w:keepLines w:val="0"/>
              <w:pageBreakBefore w:val="0"/>
              <w:kinsoku/>
              <w:overflowPunct/>
              <w:bidi w:val="0"/>
              <w:spacing w:line="360" w:lineRule="auto"/>
              <w:ind w:firstLine="705"/>
              <w:rPr>
                <w:rFonts w:ascii="宋体" w:hAnsi="宋体" w:cs="宋体"/>
                <w:color w:val="auto"/>
                <w:sz w:val="24"/>
              </w:rPr>
            </w:pPr>
            <w:r>
              <w:rPr>
                <w:rFonts w:hint="eastAsia" w:ascii="宋体" w:hAnsi="宋体" w:cs="宋体"/>
                <w:color w:val="auto"/>
                <w:sz w:val="24"/>
              </w:rPr>
              <w:t>开户银行：</w:t>
            </w:r>
          </w:p>
          <w:p w14:paraId="56BC4FA0">
            <w:pPr>
              <w:keepNext w:val="0"/>
              <w:keepLines w:val="0"/>
              <w:pageBreakBefore w:val="0"/>
              <w:kinsoku/>
              <w:overflowPunct/>
              <w:bidi w:val="0"/>
              <w:spacing w:line="360" w:lineRule="auto"/>
              <w:ind w:firstLine="705"/>
              <w:rPr>
                <w:rFonts w:ascii="宋体" w:hAnsi="宋体" w:cs="宋体"/>
                <w:color w:val="auto"/>
                <w:sz w:val="24"/>
              </w:rPr>
            </w:pPr>
            <w:r>
              <w:rPr>
                <w:rFonts w:hint="eastAsia" w:ascii="宋体" w:hAnsi="宋体" w:cs="宋体"/>
                <w:color w:val="auto"/>
                <w:sz w:val="24"/>
              </w:rPr>
              <w:t>帐   号：</w:t>
            </w:r>
          </w:p>
          <w:p w14:paraId="6D769090">
            <w:pPr>
              <w:keepNext w:val="0"/>
              <w:keepLines w:val="0"/>
              <w:pageBreakBefore w:val="0"/>
              <w:kinsoku/>
              <w:overflowPunct/>
              <w:bidi w:val="0"/>
              <w:spacing w:line="360" w:lineRule="auto"/>
              <w:rPr>
                <w:rFonts w:ascii="宋体" w:hAnsi="宋体" w:cs="宋体"/>
                <w:color w:val="auto"/>
                <w:sz w:val="24"/>
              </w:rPr>
            </w:pPr>
            <w:r>
              <w:rPr>
                <w:rFonts w:hint="eastAsia" w:ascii="宋体" w:hAnsi="宋体" w:cs="宋体"/>
                <w:color w:val="auto"/>
                <w:sz w:val="24"/>
              </w:rPr>
              <w:t>联系人及电话：</w:t>
            </w:r>
          </w:p>
          <w:p w14:paraId="7F678123">
            <w:pPr>
              <w:keepNext w:val="0"/>
              <w:keepLines w:val="0"/>
              <w:pageBreakBefore w:val="0"/>
              <w:kinsoku/>
              <w:overflowPunct/>
              <w:bidi w:val="0"/>
              <w:spacing w:line="360" w:lineRule="auto"/>
              <w:rPr>
                <w:rFonts w:ascii="宋体" w:hAnsi="宋体" w:cs="宋体"/>
                <w:color w:val="auto"/>
                <w:sz w:val="24"/>
              </w:rPr>
            </w:pPr>
          </w:p>
          <w:p w14:paraId="7FF63CF1">
            <w:pPr>
              <w:keepNext w:val="0"/>
              <w:keepLines w:val="0"/>
              <w:pageBreakBefore w:val="0"/>
              <w:kinsoku/>
              <w:overflowPunct/>
              <w:bidi w:val="0"/>
              <w:spacing w:line="360" w:lineRule="auto"/>
              <w:jc w:val="center"/>
              <w:rPr>
                <w:rFonts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lang w:eastAsia="zh-CN"/>
              </w:rPr>
              <w:t>投标人</w:t>
            </w:r>
            <w:r>
              <w:rPr>
                <w:rFonts w:hint="eastAsia" w:ascii="宋体" w:hAnsi="宋体" w:cs="宋体"/>
                <w:color w:val="auto"/>
                <w:sz w:val="24"/>
              </w:rPr>
              <w:t>签章：</w:t>
            </w:r>
          </w:p>
          <w:p w14:paraId="45E1B6F1">
            <w:pPr>
              <w:keepNext w:val="0"/>
              <w:keepLines w:val="0"/>
              <w:pageBreakBefore w:val="0"/>
              <w:kinsoku/>
              <w:overflowPunct/>
              <w:bidi w:val="0"/>
              <w:spacing w:line="360" w:lineRule="auto"/>
              <w:jc w:val="center"/>
              <w:rPr>
                <w:rFonts w:ascii="宋体" w:hAnsi="宋体" w:cs="宋体"/>
                <w:color w:val="auto"/>
                <w:sz w:val="24"/>
              </w:rPr>
            </w:pPr>
            <w:r>
              <w:rPr>
                <w:rFonts w:hint="eastAsia" w:ascii="宋体" w:hAnsi="宋体" w:cs="宋体"/>
                <w:color w:val="auto"/>
                <w:sz w:val="24"/>
              </w:rPr>
              <w:t xml:space="preserve">                           年    月     日</w:t>
            </w:r>
          </w:p>
        </w:tc>
      </w:tr>
      <w:tr w14:paraId="4F73E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906" w:type="dxa"/>
            <w:vAlign w:val="center"/>
          </w:tcPr>
          <w:p w14:paraId="2F68A58E">
            <w:pPr>
              <w:keepNext w:val="0"/>
              <w:keepLines w:val="0"/>
              <w:pageBreakBefore w:val="0"/>
              <w:kinsoku/>
              <w:overflowPunct/>
              <w:bidi w:val="0"/>
              <w:spacing w:line="360" w:lineRule="auto"/>
              <w:jc w:val="center"/>
              <w:rPr>
                <w:rFonts w:ascii="宋体" w:hAnsi="宋体" w:cs="宋体"/>
                <w:color w:val="auto"/>
                <w:sz w:val="24"/>
              </w:rPr>
            </w:pPr>
            <w:r>
              <w:rPr>
                <w:rFonts w:hint="eastAsia" w:ascii="宋体" w:hAnsi="宋体" w:cs="宋体"/>
                <w:color w:val="auto"/>
                <w:sz w:val="24"/>
              </w:rPr>
              <w:t>采</w:t>
            </w:r>
          </w:p>
          <w:p w14:paraId="029BA251">
            <w:pPr>
              <w:keepNext w:val="0"/>
              <w:keepLines w:val="0"/>
              <w:pageBreakBefore w:val="0"/>
              <w:kinsoku/>
              <w:overflowPunct/>
              <w:bidi w:val="0"/>
              <w:spacing w:line="360" w:lineRule="auto"/>
              <w:jc w:val="center"/>
              <w:rPr>
                <w:rFonts w:ascii="宋体" w:hAnsi="宋体" w:cs="宋体"/>
                <w:color w:val="auto"/>
                <w:sz w:val="24"/>
              </w:rPr>
            </w:pPr>
            <w:r>
              <w:rPr>
                <w:rFonts w:hint="eastAsia" w:ascii="宋体" w:hAnsi="宋体" w:cs="宋体"/>
                <w:color w:val="auto"/>
                <w:sz w:val="24"/>
              </w:rPr>
              <w:t>购</w:t>
            </w:r>
          </w:p>
          <w:p w14:paraId="2CA6CEC9">
            <w:pPr>
              <w:keepNext w:val="0"/>
              <w:keepLines w:val="0"/>
              <w:pageBreakBefore w:val="0"/>
              <w:kinsoku/>
              <w:overflowPunct/>
              <w:bidi w:val="0"/>
              <w:spacing w:line="360" w:lineRule="auto"/>
              <w:jc w:val="center"/>
              <w:rPr>
                <w:rFonts w:ascii="宋体" w:hAnsi="宋体" w:cs="宋体"/>
                <w:color w:val="auto"/>
                <w:sz w:val="24"/>
              </w:rPr>
            </w:pPr>
            <w:r>
              <w:rPr>
                <w:rFonts w:hint="eastAsia" w:ascii="宋体" w:hAnsi="宋体" w:cs="宋体"/>
                <w:color w:val="auto"/>
                <w:sz w:val="24"/>
              </w:rPr>
              <w:t>人</w:t>
            </w:r>
          </w:p>
          <w:p w14:paraId="73E6F237">
            <w:pPr>
              <w:keepNext w:val="0"/>
              <w:keepLines w:val="0"/>
              <w:pageBreakBefore w:val="0"/>
              <w:kinsoku/>
              <w:overflowPunct/>
              <w:bidi w:val="0"/>
              <w:spacing w:line="360" w:lineRule="auto"/>
              <w:jc w:val="center"/>
              <w:rPr>
                <w:rFonts w:ascii="宋体" w:hAnsi="宋体" w:cs="宋体"/>
                <w:color w:val="auto"/>
                <w:sz w:val="24"/>
              </w:rPr>
            </w:pPr>
            <w:r>
              <w:rPr>
                <w:rFonts w:hint="eastAsia" w:ascii="宋体" w:hAnsi="宋体" w:cs="宋体"/>
                <w:color w:val="auto"/>
                <w:sz w:val="24"/>
              </w:rPr>
              <w:t>意</w:t>
            </w:r>
          </w:p>
          <w:p w14:paraId="700F0E26">
            <w:pPr>
              <w:keepNext w:val="0"/>
              <w:keepLines w:val="0"/>
              <w:pageBreakBefore w:val="0"/>
              <w:kinsoku/>
              <w:overflowPunct/>
              <w:bidi w:val="0"/>
              <w:spacing w:line="360" w:lineRule="auto"/>
              <w:jc w:val="center"/>
              <w:rPr>
                <w:rFonts w:ascii="宋体" w:hAnsi="宋体" w:cs="宋体"/>
                <w:color w:val="auto"/>
                <w:sz w:val="24"/>
              </w:rPr>
            </w:pPr>
            <w:r>
              <w:rPr>
                <w:rFonts w:hint="eastAsia" w:ascii="宋体" w:hAnsi="宋体" w:cs="宋体"/>
                <w:color w:val="auto"/>
                <w:sz w:val="24"/>
              </w:rPr>
              <w:t>见</w:t>
            </w:r>
          </w:p>
        </w:tc>
        <w:tc>
          <w:tcPr>
            <w:tcW w:w="7614" w:type="dxa"/>
          </w:tcPr>
          <w:p w14:paraId="63664354">
            <w:pPr>
              <w:keepNext w:val="0"/>
              <w:keepLines w:val="0"/>
              <w:pageBreakBefore w:val="0"/>
              <w:kinsoku/>
              <w:overflowPunct/>
              <w:bidi w:val="0"/>
              <w:spacing w:line="360" w:lineRule="auto"/>
              <w:rPr>
                <w:rFonts w:ascii="宋体" w:hAnsi="宋体" w:cs="宋体"/>
                <w:color w:val="auto"/>
                <w:sz w:val="24"/>
              </w:rPr>
            </w:pPr>
          </w:p>
          <w:p w14:paraId="6F5E73ED">
            <w:pPr>
              <w:keepNext w:val="0"/>
              <w:keepLines w:val="0"/>
              <w:pageBreakBefore w:val="0"/>
              <w:kinsoku/>
              <w:overflowPunct/>
              <w:bidi w:val="0"/>
              <w:spacing w:line="360" w:lineRule="auto"/>
              <w:rPr>
                <w:rFonts w:ascii="宋体" w:hAnsi="宋体" w:cs="宋体"/>
                <w:color w:val="auto"/>
                <w:sz w:val="24"/>
              </w:rPr>
            </w:pPr>
            <w:r>
              <w:rPr>
                <w:rFonts w:hint="eastAsia" w:ascii="宋体" w:hAnsi="宋体" w:cs="宋体"/>
                <w:color w:val="auto"/>
                <w:sz w:val="24"/>
              </w:rPr>
              <w:t>退付意见：（是否同意退付履约保证金及退付金额）</w:t>
            </w:r>
          </w:p>
          <w:p w14:paraId="1706CA01">
            <w:pPr>
              <w:keepNext w:val="0"/>
              <w:keepLines w:val="0"/>
              <w:pageBreakBefore w:val="0"/>
              <w:kinsoku/>
              <w:overflowPunct/>
              <w:bidi w:val="0"/>
              <w:spacing w:line="360" w:lineRule="auto"/>
              <w:rPr>
                <w:rFonts w:ascii="宋体" w:hAnsi="宋体" w:cs="宋体"/>
                <w:color w:val="auto"/>
                <w:sz w:val="24"/>
              </w:rPr>
            </w:pPr>
          </w:p>
          <w:p w14:paraId="69B050D4">
            <w:pPr>
              <w:keepNext w:val="0"/>
              <w:keepLines w:val="0"/>
              <w:pageBreakBefore w:val="0"/>
              <w:kinsoku/>
              <w:overflowPunct/>
              <w:bidi w:val="0"/>
              <w:spacing w:line="360" w:lineRule="auto"/>
              <w:rPr>
                <w:rFonts w:ascii="宋体" w:hAnsi="宋体" w:cs="宋体"/>
                <w:color w:val="auto"/>
                <w:sz w:val="24"/>
              </w:rPr>
            </w:pPr>
          </w:p>
          <w:p w14:paraId="2F5F7695">
            <w:pPr>
              <w:keepNext w:val="0"/>
              <w:keepLines w:val="0"/>
              <w:pageBreakBefore w:val="0"/>
              <w:kinsoku/>
              <w:overflowPunct/>
              <w:bidi w:val="0"/>
              <w:spacing w:line="360" w:lineRule="auto"/>
              <w:rPr>
                <w:rFonts w:ascii="宋体" w:hAnsi="宋体" w:cs="宋体"/>
                <w:color w:val="auto"/>
                <w:sz w:val="24"/>
              </w:rPr>
            </w:pPr>
          </w:p>
          <w:p w14:paraId="7E7B3EE6">
            <w:pPr>
              <w:keepNext w:val="0"/>
              <w:keepLines w:val="0"/>
              <w:pageBreakBefore w:val="0"/>
              <w:kinsoku/>
              <w:overflowPunct/>
              <w:bidi w:val="0"/>
              <w:spacing w:line="360" w:lineRule="auto"/>
              <w:rPr>
                <w:rFonts w:ascii="宋体" w:hAnsi="宋体" w:cs="宋体"/>
                <w:color w:val="auto"/>
                <w:sz w:val="24"/>
              </w:rPr>
            </w:pPr>
          </w:p>
          <w:p w14:paraId="792DB6FA">
            <w:pPr>
              <w:keepNext w:val="0"/>
              <w:keepLines w:val="0"/>
              <w:pageBreakBefore w:val="0"/>
              <w:kinsoku/>
              <w:overflowPunct/>
              <w:bidi w:val="0"/>
              <w:spacing w:line="360" w:lineRule="auto"/>
              <w:rPr>
                <w:rFonts w:ascii="宋体" w:hAnsi="宋体" w:cs="宋体"/>
                <w:color w:val="auto"/>
                <w:sz w:val="24"/>
              </w:rPr>
            </w:pPr>
          </w:p>
          <w:p w14:paraId="265E9AD3">
            <w:pPr>
              <w:keepNext w:val="0"/>
              <w:keepLines w:val="0"/>
              <w:pageBreakBefore w:val="0"/>
              <w:kinsoku/>
              <w:overflowPunct/>
              <w:bidi w:val="0"/>
              <w:spacing w:line="360" w:lineRule="auto"/>
              <w:rPr>
                <w:rFonts w:ascii="宋体" w:hAnsi="宋体" w:cs="宋体"/>
                <w:color w:val="auto"/>
                <w:sz w:val="24"/>
              </w:rPr>
            </w:pPr>
          </w:p>
          <w:p w14:paraId="7CBCBFCF">
            <w:pPr>
              <w:keepNext w:val="0"/>
              <w:keepLines w:val="0"/>
              <w:pageBreakBefore w:val="0"/>
              <w:kinsoku/>
              <w:overflowPunct/>
              <w:bidi w:val="0"/>
              <w:spacing w:line="360" w:lineRule="auto"/>
              <w:rPr>
                <w:rFonts w:ascii="宋体" w:hAnsi="宋体" w:cs="宋体"/>
                <w:color w:val="auto"/>
                <w:sz w:val="24"/>
              </w:rPr>
            </w:pPr>
          </w:p>
          <w:p w14:paraId="3EE197C2">
            <w:pPr>
              <w:keepNext w:val="0"/>
              <w:keepLines w:val="0"/>
              <w:pageBreakBefore w:val="0"/>
              <w:kinsoku/>
              <w:overflowPunct/>
              <w:bidi w:val="0"/>
              <w:spacing w:line="360" w:lineRule="auto"/>
              <w:rPr>
                <w:rFonts w:ascii="宋体" w:hAnsi="宋体" w:cs="宋体"/>
                <w:color w:val="auto"/>
                <w:sz w:val="24"/>
              </w:rPr>
            </w:pPr>
            <w:r>
              <w:rPr>
                <w:rFonts w:hint="eastAsia" w:ascii="宋体" w:hAnsi="宋体" w:cs="宋体"/>
                <w:color w:val="auto"/>
                <w:sz w:val="24"/>
              </w:rPr>
              <w:t>联系人及电话：                         采购人签章</w:t>
            </w:r>
          </w:p>
          <w:p w14:paraId="2CFEB664">
            <w:pPr>
              <w:keepNext w:val="0"/>
              <w:keepLines w:val="0"/>
              <w:pageBreakBefore w:val="0"/>
              <w:kinsoku/>
              <w:overflowPunct/>
              <w:bidi w:val="0"/>
              <w:spacing w:line="360" w:lineRule="auto"/>
              <w:jc w:val="center"/>
              <w:rPr>
                <w:rFonts w:ascii="宋体" w:hAnsi="宋体" w:cs="宋体"/>
                <w:color w:val="auto"/>
                <w:sz w:val="24"/>
              </w:rPr>
            </w:pPr>
            <w:r>
              <w:rPr>
                <w:rFonts w:hint="eastAsia" w:ascii="宋体" w:hAnsi="宋体" w:cs="宋体"/>
                <w:color w:val="auto"/>
                <w:sz w:val="24"/>
              </w:rPr>
              <w:t xml:space="preserve">                                        年    月     日</w:t>
            </w:r>
          </w:p>
          <w:p w14:paraId="6C994F0D">
            <w:pPr>
              <w:keepNext w:val="0"/>
              <w:keepLines w:val="0"/>
              <w:pageBreakBefore w:val="0"/>
              <w:kinsoku/>
              <w:overflowPunct/>
              <w:bidi w:val="0"/>
              <w:spacing w:line="360" w:lineRule="auto"/>
              <w:jc w:val="center"/>
              <w:rPr>
                <w:rFonts w:ascii="宋体" w:hAnsi="宋体" w:cs="宋体"/>
                <w:color w:val="auto"/>
                <w:sz w:val="24"/>
              </w:rPr>
            </w:pPr>
          </w:p>
        </w:tc>
      </w:tr>
    </w:tbl>
    <w:p w14:paraId="530B37D4">
      <w:pPr>
        <w:pStyle w:val="16"/>
        <w:keepNext w:val="0"/>
        <w:keepLines w:val="0"/>
        <w:pageBreakBefore w:val="0"/>
        <w:kinsoku/>
        <w:overflowPunct/>
        <w:bidi w:val="0"/>
        <w:spacing w:line="360" w:lineRule="auto"/>
        <w:rPr>
          <w:rFonts w:hint="eastAsia" w:ascii="宋体" w:hAnsi="宋体" w:cs="宋体"/>
          <w:b/>
          <w:bCs/>
          <w:color w:val="auto"/>
        </w:rPr>
      </w:pPr>
      <w:r>
        <w:rPr>
          <w:rFonts w:hint="eastAsia" w:ascii="宋体" w:hAnsi="宋体" w:cs="宋体"/>
          <w:b/>
          <w:bCs/>
          <w:color w:val="auto"/>
        </w:rPr>
        <w:t>注：</w:t>
      </w:r>
      <w:r>
        <w:rPr>
          <w:rFonts w:hint="eastAsia" w:ascii="宋体" w:hAnsi="宋体" w:cs="宋体"/>
          <w:b/>
          <w:bCs/>
          <w:color w:val="auto"/>
          <w:lang w:eastAsia="zh-CN"/>
        </w:rPr>
        <w:t>投标人</w:t>
      </w:r>
      <w:r>
        <w:rPr>
          <w:rFonts w:hint="eastAsia" w:ascii="宋体" w:hAnsi="宋体" w:cs="宋体"/>
          <w:b/>
          <w:bCs/>
          <w:color w:val="auto"/>
        </w:rPr>
        <w:t>凭经采购人审批的退付意见书到保证金收取单位办理履约保证金退付事宜。</w:t>
      </w:r>
    </w:p>
    <w:sectPr>
      <w:footerReference r:id="rId1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Wingdings 2">
    <w:altName w:val="Wingdings"/>
    <w:panose1 w:val="05020102010507070707"/>
    <w:charset w:val="02"/>
    <w:family w:val="roman"/>
    <w:pitch w:val="default"/>
    <w:sig w:usb0="00000000" w:usb1="00000000" w:usb2="00000000" w:usb3="00000000" w:csb0="80000000" w:csb1="00000000"/>
  </w:font>
  <w:font w:name="方正小标宋简体">
    <w:altName w:val="黑体"/>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EF05">
    <w:pPr>
      <w:pStyle w:val="16"/>
      <w:ind w:right="54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04170">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91A8A">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F0D99">
    <w:pPr>
      <w:spacing w:line="125" w:lineRule="exact"/>
      <w:ind w:firstLine="4296"/>
      <w:rPr>
        <w:rFonts w:eastAsia="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785CC0">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E785CC0">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3A198">
    <w:pPr>
      <w:pStyle w:val="1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8D6C0C">
                          <w:pPr>
                            <w:pStyle w:val="16"/>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78D6C0C">
                    <w:pPr>
                      <w:pStyle w:val="16"/>
                    </w:pPr>
                    <w:r>
                      <w:fldChar w:fldCharType="begin"/>
                    </w:r>
                    <w:r>
                      <w:instrText xml:space="preserve"> PAGE  \* MERGEFORMAT </w:instrText>
                    </w:r>
                    <w:r>
                      <w:fldChar w:fldCharType="separate"/>
                    </w:r>
                    <w:r>
                      <w:t>37</w:t>
                    </w:r>
                    <w:r>
                      <w:fldChar w:fldCharType="end"/>
                    </w:r>
                  </w:p>
                </w:txbxContent>
              </v:textbox>
            </v:shape>
          </w:pict>
        </mc:Fallback>
      </mc:AlternateContent>
    </w:r>
  </w:p>
  <w:p w14:paraId="35746725">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2629C">
    <w:pPr>
      <w:pStyle w:val="16"/>
      <w:ind w:right="360"/>
      <w:jc w:val="both"/>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8D91BE">
                          <w:pPr>
                            <w:pStyle w:val="16"/>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F8D91BE">
                    <w:pPr>
                      <w:pStyle w:val="16"/>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476D8">
    <w:pPr>
      <w:pStyle w:val="16"/>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2CA9B4">
                          <w:pPr>
                            <w:pStyle w:val="16"/>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32CA9B4">
                    <w:pPr>
                      <w:pStyle w:val="16"/>
                    </w:pPr>
                    <w:r>
                      <w:fldChar w:fldCharType="begin"/>
                    </w:r>
                    <w:r>
                      <w:instrText xml:space="preserve"> PAGE  \* MERGEFORMAT </w:instrText>
                    </w:r>
                    <w:r>
                      <w:fldChar w:fldCharType="separate"/>
                    </w:r>
                    <w:r>
                      <w:t>83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2A55F">
    <w:pPr>
      <w:pStyle w:val="18"/>
    </w:pPr>
    <w:r>
      <w:rPr>
        <w:rFonts w:hint="eastAsia"/>
      </w:rPr>
      <w:t>项目名称：全区法院审判系统运算资源采购项目(项目编号：GXZC2023-C3-002035-GXJA)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388DB">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691D7">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42F27">
    <w:pPr>
      <w:pStyle w:val="1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1009F">
    <w:pPr>
      <w:pStyle w:val="18"/>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C4EADD"/>
    <w:multiLevelType w:val="singleLevel"/>
    <w:tmpl w:val="0FC4EADD"/>
    <w:lvl w:ilvl="0" w:tentative="0">
      <w:start w:val="1"/>
      <w:numFmt w:val="chineseCounting"/>
      <w:suff w:val="nothing"/>
      <w:lvlText w:val="%1、"/>
      <w:lvlJc w:val="left"/>
      <w:rPr>
        <w:rFonts w:hint="eastAsia"/>
      </w:rPr>
    </w:lvl>
  </w:abstractNum>
  <w:abstractNum w:abstractNumId="1">
    <w:nsid w:val="1E931B23"/>
    <w:multiLevelType w:val="multilevel"/>
    <w:tmpl w:val="1E931B2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4FD864E8"/>
    <w:multiLevelType w:val="multilevel"/>
    <w:tmpl w:val="4FD864E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F4129E"/>
    <w:multiLevelType w:val="multilevel"/>
    <w:tmpl w:val="70F4129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3C63797"/>
    <w:multiLevelType w:val="multilevel"/>
    <w:tmpl w:val="73C6379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9C65D73"/>
    <w:multiLevelType w:val="singleLevel"/>
    <w:tmpl w:val="79C65D73"/>
    <w:lvl w:ilvl="0" w:tentative="0">
      <w:start w:val="1"/>
      <w:numFmt w:val="chineseCounting"/>
      <w:suff w:val="nothing"/>
      <w:lvlText w:val="%1、"/>
      <w:lvlJc w:val="left"/>
      <w:rPr>
        <w:rFonts w:hint="eastAsia"/>
      </w:rPr>
    </w:lvl>
  </w:abstractNum>
  <w:abstractNum w:abstractNumId="7">
    <w:nsid w:val="7B3B4789"/>
    <w:multiLevelType w:val="multilevel"/>
    <w:tmpl w:val="7B3B478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6"/>
  </w:num>
  <w:num w:numId="4">
    <w:abstractNumId w:val="5"/>
  </w:num>
  <w:num w:numId="5">
    <w:abstractNumId w:val="1"/>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4NDY1OTRkYjQxMjc0ZjlmZDllNDVkMzRhNmY1N2QifQ=="/>
  </w:docVars>
  <w:rsids>
    <w:rsidRoot w:val="4D5D73B1"/>
    <w:rsid w:val="001113BD"/>
    <w:rsid w:val="002F5A2C"/>
    <w:rsid w:val="00523EB0"/>
    <w:rsid w:val="006C4C8A"/>
    <w:rsid w:val="00894317"/>
    <w:rsid w:val="008B235A"/>
    <w:rsid w:val="00BE1137"/>
    <w:rsid w:val="00C36B5B"/>
    <w:rsid w:val="00CD6A73"/>
    <w:rsid w:val="024B6E08"/>
    <w:rsid w:val="02FA25DD"/>
    <w:rsid w:val="03004097"/>
    <w:rsid w:val="031F2043"/>
    <w:rsid w:val="03485D21"/>
    <w:rsid w:val="03836A76"/>
    <w:rsid w:val="03B64756"/>
    <w:rsid w:val="041617C1"/>
    <w:rsid w:val="048605CC"/>
    <w:rsid w:val="05377B18"/>
    <w:rsid w:val="05B42F17"/>
    <w:rsid w:val="05E70649"/>
    <w:rsid w:val="06F21F49"/>
    <w:rsid w:val="07A82617"/>
    <w:rsid w:val="07C74150"/>
    <w:rsid w:val="07FD7EA5"/>
    <w:rsid w:val="084B2CE5"/>
    <w:rsid w:val="087A64BF"/>
    <w:rsid w:val="089A6EC6"/>
    <w:rsid w:val="08A55462"/>
    <w:rsid w:val="096609CC"/>
    <w:rsid w:val="09734E97"/>
    <w:rsid w:val="09BC49A9"/>
    <w:rsid w:val="09BD0D3B"/>
    <w:rsid w:val="0A6E5D8A"/>
    <w:rsid w:val="0ABD00DE"/>
    <w:rsid w:val="0B8128F2"/>
    <w:rsid w:val="0C6A432F"/>
    <w:rsid w:val="0C8573BB"/>
    <w:rsid w:val="0D076022"/>
    <w:rsid w:val="0DC3258D"/>
    <w:rsid w:val="0DC932D7"/>
    <w:rsid w:val="0E484B3A"/>
    <w:rsid w:val="0EB9159E"/>
    <w:rsid w:val="0EE27327"/>
    <w:rsid w:val="0EEA6919"/>
    <w:rsid w:val="0EFD592E"/>
    <w:rsid w:val="0F403993"/>
    <w:rsid w:val="0FFF04C0"/>
    <w:rsid w:val="108B19DF"/>
    <w:rsid w:val="10A63A4D"/>
    <w:rsid w:val="10B0327A"/>
    <w:rsid w:val="113D64B6"/>
    <w:rsid w:val="11B60016"/>
    <w:rsid w:val="11BF6ECB"/>
    <w:rsid w:val="11E44BA7"/>
    <w:rsid w:val="124805F0"/>
    <w:rsid w:val="12815D05"/>
    <w:rsid w:val="12BA021D"/>
    <w:rsid w:val="13B14F39"/>
    <w:rsid w:val="13DC3D21"/>
    <w:rsid w:val="140432BB"/>
    <w:rsid w:val="14926B19"/>
    <w:rsid w:val="14C066AF"/>
    <w:rsid w:val="150D2643"/>
    <w:rsid w:val="15396F94"/>
    <w:rsid w:val="15C076B6"/>
    <w:rsid w:val="18260DC0"/>
    <w:rsid w:val="187A32E9"/>
    <w:rsid w:val="1917707E"/>
    <w:rsid w:val="19306900"/>
    <w:rsid w:val="193E726F"/>
    <w:rsid w:val="1AB5530F"/>
    <w:rsid w:val="1AE13567"/>
    <w:rsid w:val="1AE71241"/>
    <w:rsid w:val="1B324BB2"/>
    <w:rsid w:val="1B4A0A7C"/>
    <w:rsid w:val="1B602045"/>
    <w:rsid w:val="1BAC4E0E"/>
    <w:rsid w:val="1BF37FF9"/>
    <w:rsid w:val="1C252021"/>
    <w:rsid w:val="1C273FEB"/>
    <w:rsid w:val="1C7265F0"/>
    <w:rsid w:val="1C736355"/>
    <w:rsid w:val="1C8431EB"/>
    <w:rsid w:val="1D3A7D4E"/>
    <w:rsid w:val="1D5A0B16"/>
    <w:rsid w:val="1D5A3F4C"/>
    <w:rsid w:val="1D9037F0"/>
    <w:rsid w:val="1DD75C8E"/>
    <w:rsid w:val="1EFA253B"/>
    <w:rsid w:val="1F4B1CD5"/>
    <w:rsid w:val="1FE16012"/>
    <w:rsid w:val="20E527E4"/>
    <w:rsid w:val="21374CD0"/>
    <w:rsid w:val="219043E0"/>
    <w:rsid w:val="21AF4EAB"/>
    <w:rsid w:val="22590C76"/>
    <w:rsid w:val="22E8286E"/>
    <w:rsid w:val="233B16F2"/>
    <w:rsid w:val="242A28CA"/>
    <w:rsid w:val="243F5C4A"/>
    <w:rsid w:val="2467660B"/>
    <w:rsid w:val="253E418E"/>
    <w:rsid w:val="259D531E"/>
    <w:rsid w:val="26930633"/>
    <w:rsid w:val="275A11E2"/>
    <w:rsid w:val="27C6290A"/>
    <w:rsid w:val="280E0308"/>
    <w:rsid w:val="285717B4"/>
    <w:rsid w:val="293F246F"/>
    <w:rsid w:val="298A5BB9"/>
    <w:rsid w:val="2A310EA7"/>
    <w:rsid w:val="2A570191"/>
    <w:rsid w:val="2A7D663C"/>
    <w:rsid w:val="2B5446D0"/>
    <w:rsid w:val="2B5B15BB"/>
    <w:rsid w:val="2B8B033F"/>
    <w:rsid w:val="2BD575BF"/>
    <w:rsid w:val="2BE1113D"/>
    <w:rsid w:val="2BEE0681"/>
    <w:rsid w:val="2C300E8E"/>
    <w:rsid w:val="2CF0667B"/>
    <w:rsid w:val="2D686211"/>
    <w:rsid w:val="2D7075F7"/>
    <w:rsid w:val="2D727090"/>
    <w:rsid w:val="2DDF7AA4"/>
    <w:rsid w:val="2E2A34C6"/>
    <w:rsid w:val="2E4E3659"/>
    <w:rsid w:val="2EAB3F94"/>
    <w:rsid w:val="2EE54CFB"/>
    <w:rsid w:val="2F171380"/>
    <w:rsid w:val="2F432A92"/>
    <w:rsid w:val="2F4862FA"/>
    <w:rsid w:val="2F7D2448"/>
    <w:rsid w:val="2FF02D49"/>
    <w:rsid w:val="30427416"/>
    <w:rsid w:val="30AE6631"/>
    <w:rsid w:val="30FA7AC8"/>
    <w:rsid w:val="31CC3212"/>
    <w:rsid w:val="31D73965"/>
    <w:rsid w:val="323B5CA2"/>
    <w:rsid w:val="33466A0D"/>
    <w:rsid w:val="335B28E4"/>
    <w:rsid w:val="337961A0"/>
    <w:rsid w:val="341964B7"/>
    <w:rsid w:val="35415CC5"/>
    <w:rsid w:val="35C0308E"/>
    <w:rsid w:val="37121FAA"/>
    <w:rsid w:val="372022E7"/>
    <w:rsid w:val="37557ADF"/>
    <w:rsid w:val="375F2433"/>
    <w:rsid w:val="38F65019"/>
    <w:rsid w:val="39162FC5"/>
    <w:rsid w:val="39DC01EE"/>
    <w:rsid w:val="3C2B4FD9"/>
    <w:rsid w:val="3C797AF3"/>
    <w:rsid w:val="3D3F2395"/>
    <w:rsid w:val="3DAE5EC2"/>
    <w:rsid w:val="3DE21366"/>
    <w:rsid w:val="3E725142"/>
    <w:rsid w:val="3EC55271"/>
    <w:rsid w:val="3F604F9A"/>
    <w:rsid w:val="405F556C"/>
    <w:rsid w:val="40A01882"/>
    <w:rsid w:val="40BB5FF7"/>
    <w:rsid w:val="40FC5196"/>
    <w:rsid w:val="41B675BA"/>
    <w:rsid w:val="421502BE"/>
    <w:rsid w:val="423A11DC"/>
    <w:rsid w:val="438D657A"/>
    <w:rsid w:val="44550E45"/>
    <w:rsid w:val="451A5BEB"/>
    <w:rsid w:val="45AD2F03"/>
    <w:rsid w:val="45E701C3"/>
    <w:rsid w:val="46405B25"/>
    <w:rsid w:val="47046CAB"/>
    <w:rsid w:val="47BC567F"/>
    <w:rsid w:val="48384D06"/>
    <w:rsid w:val="483D18E8"/>
    <w:rsid w:val="4910376A"/>
    <w:rsid w:val="49AE2DA6"/>
    <w:rsid w:val="4A234212"/>
    <w:rsid w:val="4A356E78"/>
    <w:rsid w:val="4A4C6847"/>
    <w:rsid w:val="4B7074E1"/>
    <w:rsid w:val="4BBB61C6"/>
    <w:rsid w:val="4BFE0015"/>
    <w:rsid w:val="4C4216EC"/>
    <w:rsid w:val="4D415419"/>
    <w:rsid w:val="4D5D73B1"/>
    <w:rsid w:val="4E143B1F"/>
    <w:rsid w:val="4E2058B6"/>
    <w:rsid w:val="4E467A51"/>
    <w:rsid w:val="4E65437B"/>
    <w:rsid w:val="4E694689"/>
    <w:rsid w:val="4F813436"/>
    <w:rsid w:val="4F866362"/>
    <w:rsid w:val="504F0E3F"/>
    <w:rsid w:val="50884351"/>
    <w:rsid w:val="50AF5D81"/>
    <w:rsid w:val="51334745"/>
    <w:rsid w:val="513F5357"/>
    <w:rsid w:val="51532A7B"/>
    <w:rsid w:val="51E11F6A"/>
    <w:rsid w:val="525E180D"/>
    <w:rsid w:val="52AE4E93"/>
    <w:rsid w:val="52C86CEB"/>
    <w:rsid w:val="52D715BF"/>
    <w:rsid w:val="538E3371"/>
    <w:rsid w:val="53A343EA"/>
    <w:rsid w:val="53B67427"/>
    <w:rsid w:val="543E05B4"/>
    <w:rsid w:val="55535E25"/>
    <w:rsid w:val="55A21A11"/>
    <w:rsid w:val="56F664B8"/>
    <w:rsid w:val="5743719C"/>
    <w:rsid w:val="57EE3633"/>
    <w:rsid w:val="57EF366A"/>
    <w:rsid w:val="583F5C3D"/>
    <w:rsid w:val="584A4996"/>
    <w:rsid w:val="5886386C"/>
    <w:rsid w:val="589F6A4F"/>
    <w:rsid w:val="58A57515"/>
    <w:rsid w:val="58AF526D"/>
    <w:rsid w:val="59170968"/>
    <w:rsid w:val="5AFE1ECE"/>
    <w:rsid w:val="5B0171D9"/>
    <w:rsid w:val="5B032705"/>
    <w:rsid w:val="5B567275"/>
    <w:rsid w:val="5B590DC3"/>
    <w:rsid w:val="5BA31501"/>
    <w:rsid w:val="5D4B5084"/>
    <w:rsid w:val="5E251431"/>
    <w:rsid w:val="5E495699"/>
    <w:rsid w:val="5EC44049"/>
    <w:rsid w:val="5EE74694"/>
    <w:rsid w:val="5F1A2F85"/>
    <w:rsid w:val="5F1C7505"/>
    <w:rsid w:val="5F1D47FE"/>
    <w:rsid w:val="60840E55"/>
    <w:rsid w:val="60DB671F"/>
    <w:rsid w:val="60DC5B63"/>
    <w:rsid w:val="61426C12"/>
    <w:rsid w:val="62724E61"/>
    <w:rsid w:val="62BE5B08"/>
    <w:rsid w:val="636724EC"/>
    <w:rsid w:val="63B15515"/>
    <w:rsid w:val="63DA4A6C"/>
    <w:rsid w:val="657A02B4"/>
    <w:rsid w:val="6606762F"/>
    <w:rsid w:val="6637260C"/>
    <w:rsid w:val="67302418"/>
    <w:rsid w:val="6828049B"/>
    <w:rsid w:val="68866F70"/>
    <w:rsid w:val="68AA017E"/>
    <w:rsid w:val="69466D21"/>
    <w:rsid w:val="6997403F"/>
    <w:rsid w:val="6A116D0D"/>
    <w:rsid w:val="6A6D5027"/>
    <w:rsid w:val="6A942CE9"/>
    <w:rsid w:val="6ABA55F7"/>
    <w:rsid w:val="6AF02DC7"/>
    <w:rsid w:val="6BB65DBE"/>
    <w:rsid w:val="6C4C0A97"/>
    <w:rsid w:val="6C5B4E19"/>
    <w:rsid w:val="6C663340"/>
    <w:rsid w:val="6CB00A5F"/>
    <w:rsid w:val="6CCD33BF"/>
    <w:rsid w:val="6CD81D64"/>
    <w:rsid w:val="6CE43EC8"/>
    <w:rsid w:val="6CEB5F3B"/>
    <w:rsid w:val="6D4A2C62"/>
    <w:rsid w:val="6DEA4D8C"/>
    <w:rsid w:val="6E497690"/>
    <w:rsid w:val="6E514112"/>
    <w:rsid w:val="6E545D91"/>
    <w:rsid w:val="6E977A01"/>
    <w:rsid w:val="6EA84DD2"/>
    <w:rsid w:val="6EB457A5"/>
    <w:rsid w:val="6EDF4DB3"/>
    <w:rsid w:val="6F2F0361"/>
    <w:rsid w:val="6FF45374"/>
    <w:rsid w:val="700D7F77"/>
    <w:rsid w:val="700F1F41"/>
    <w:rsid w:val="704B34CF"/>
    <w:rsid w:val="704E0CBB"/>
    <w:rsid w:val="70B924FF"/>
    <w:rsid w:val="70C72276"/>
    <w:rsid w:val="70D80585"/>
    <w:rsid w:val="71306613"/>
    <w:rsid w:val="71681909"/>
    <w:rsid w:val="716A5D4E"/>
    <w:rsid w:val="71A861A9"/>
    <w:rsid w:val="71F32673"/>
    <w:rsid w:val="722E1884"/>
    <w:rsid w:val="72306D42"/>
    <w:rsid w:val="7238752D"/>
    <w:rsid w:val="7249798C"/>
    <w:rsid w:val="725325B9"/>
    <w:rsid w:val="725E2D0C"/>
    <w:rsid w:val="72C214EC"/>
    <w:rsid w:val="73190632"/>
    <w:rsid w:val="73206B70"/>
    <w:rsid w:val="733E6DC5"/>
    <w:rsid w:val="73571AF4"/>
    <w:rsid w:val="739570C3"/>
    <w:rsid w:val="73AA0486"/>
    <w:rsid w:val="744D3038"/>
    <w:rsid w:val="75316218"/>
    <w:rsid w:val="757302BE"/>
    <w:rsid w:val="758F5725"/>
    <w:rsid w:val="75E17EDC"/>
    <w:rsid w:val="75E91581"/>
    <w:rsid w:val="766C30E7"/>
    <w:rsid w:val="770B0B6F"/>
    <w:rsid w:val="771A18F7"/>
    <w:rsid w:val="77200D41"/>
    <w:rsid w:val="772938E8"/>
    <w:rsid w:val="77DA2EAA"/>
    <w:rsid w:val="78454752"/>
    <w:rsid w:val="78F9378E"/>
    <w:rsid w:val="793C2496"/>
    <w:rsid w:val="79EE2BC7"/>
    <w:rsid w:val="7A2876BD"/>
    <w:rsid w:val="7AAD2AD4"/>
    <w:rsid w:val="7ACA602B"/>
    <w:rsid w:val="7B187EFC"/>
    <w:rsid w:val="7B452CBB"/>
    <w:rsid w:val="7BA63759"/>
    <w:rsid w:val="7C165844"/>
    <w:rsid w:val="7D272C9D"/>
    <w:rsid w:val="7D890C83"/>
    <w:rsid w:val="7DA83303"/>
    <w:rsid w:val="7DCD4B94"/>
    <w:rsid w:val="7EE221B9"/>
    <w:rsid w:val="7F6B1057"/>
    <w:rsid w:val="7FA67226"/>
    <w:rsid w:val="7FBB179D"/>
    <w:rsid w:val="7FBF6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3"/>
    <w:basedOn w:val="1"/>
    <w:next w:val="1"/>
    <w:qFormat/>
    <w:uiPriority w:val="0"/>
    <w:pPr>
      <w:keepNext/>
      <w:keepLines/>
      <w:spacing w:before="260" w:after="260" w:line="416" w:lineRule="auto"/>
      <w:outlineLvl w:val="2"/>
    </w:pPr>
    <w:rPr>
      <w:b/>
      <w:bCs/>
      <w:kern w:val="0"/>
      <w:sz w:val="32"/>
      <w:szCs w:val="32"/>
    </w:rPr>
  </w:style>
  <w:style w:type="paragraph" w:styleId="5">
    <w:name w:val="heading 4"/>
    <w:basedOn w:val="1"/>
    <w:next w:val="1"/>
    <w:qFormat/>
    <w:uiPriority w:val="9"/>
    <w:pPr>
      <w:outlineLvl w:val="3"/>
    </w:pPr>
    <w:rPr>
      <w:sz w:val="28"/>
    </w:rPr>
  </w:style>
  <w:style w:type="paragraph" w:styleId="6">
    <w:name w:val="heading 5"/>
    <w:basedOn w:val="1"/>
    <w:next w:val="1"/>
    <w:qFormat/>
    <w:uiPriority w:val="0"/>
    <w:pPr>
      <w:keepNext/>
      <w:keepLines/>
      <w:numPr>
        <w:ilvl w:val="4"/>
        <w:numId w:val="1"/>
      </w:numPr>
      <w:spacing w:before="280" w:after="290" w:line="376" w:lineRule="auto"/>
      <w:outlineLvl w:val="4"/>
    </w:pPr>
    <w:rPr>
      <w:rFonts w:ascii="Times New Roman" w:hAnsi="Times New Roman"/>
      <w:b/>
      <w:sz w:val="28"/>
    </w:rPr>
  </w:style>
  <w:style w:type="character" w:default="1" w:styleId="27">
    <w:name w:val="Default Paragraph Font"/>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customStyle="1" w:styleId="2">
    <w:name w:val="表格文字"/>
    <w:basedOn w:val="3"/>
    <w:autoRedefine/>
    <w:qFormat/>
    <w:uiPriority w:val="0"/>
    <w:pPr>
      <w:adjustRightInd w:val="0"/>
      <w:spacing w:line="420" w:lineRule="atLeast"/>
      <w:jc w:val="left"/>
      <w:textAlignment w:val="baseline"/>
    </w:pPr>
  </w:style>
  <w:style w:type="paragraph" w:styleId="3">
    <w:name w:val="Body Text Indent"/>
    <w:basedOn w:val="1"/>
    <w:autoRedefine/>
    <w:qFormat/>
    <w:uiPriority w:val="0"/>
    <w:pPr>
      <w:ind w:firstLine="830" w:firstLineChars="352"/>
    </w:pPr>
    <w:rPr>
      <w:rFonts w:ascii="仿宋_GB2312" w:eastAsia="仿宋_GB2312"/>
      <w:kern w:val="0"/>
      <w:sz w:val="32"/>
      <w:szCs w:val="20"/>
    </w:rPr>
  </w:style>
  <w:style w:type="paragraph" w:styleId="7">
    <w:name w:val="index 8"/>
    <w:basedOn w:val="1"/>
    <w:next w:val="1"/>
    <w:autoRedefine/>
    <w:qFormat/>
    <w:uiPriority w:val="0"/>
    <w:pPr>
      <w:ind w:left="2940"/>
    </w:pPr>
  </w:style>
  <w:style w:type="paragraph" w:styleId="8">
    <w:name w:val="Normal Indent"/>
    <w:basedOn w:val="1"/>
    <w:autoRedefine/>
    <w:qFormat/>
    <w:uiPriority w:val="0"/>
    <w:pPr>
      <w:ind w:firstLine="420"/>
    </w:pPr>
    <w:rPr>
      <w:szCs w:val="20"/>
    </w:rPr>
  </w:style>
  <w:style w:type="paragraph" w:styleId="9">
    <w:name w:val="caption"/>
    <w:basedOn w:val="1"/>
    <w:next w:val="1"/>
    <w:autoRedefine/>
    <w:qFormat/>
    <w:uiPriority w:val="0"/>
    <w:pPr>
      <w:spacing w:before="152" w:after="160"/>
    </w:pPr>
    <w:rPr>
      <w:rFonts w:ascii="Arial" w:hAnsi="Arial" w:eastAsia="黑体" w:cs="Arial"/>
      <w:sz w:val="20"/>
      <w:szCs w:val="20"/>
    </w:rPr>
  </w:style>
  <w:style w:type="paragraph" w:styleId="10">
    <w:name w:val="annotation text"/>
    <w:basedOn w:val="1"/>
    <w:autoRedefine/>
    <w:qFormat/>
    <w:uiPriority w:val="0"/>
    <w:pPr>
      <w:jc w:val="left"/>
    </w:pPr>
  </w:style>
  <w:style w:type="paragraph" w:styleId="11">
    <w:name w:val="Body Text 3"/>
    <w:basedOn w:val="1"/>
    <w:autoRedefine/>
    <w:qFormat/>
    <w:uiPriority w:val="0"/>
    <w:pPr>
      <w:spacing w:line="500" w:lineRule="exact"/>
    </w:pPr>
    <w:rPr>
      <w:rFonts w:ascii="Times New Roman" w:hAnsi="Times New Roman"/>
      <w:b/>
      <w:bCs/>
      <w:kern w:val="0"/>
      <w:sz w:val="24"/>
    </w:rPr>
  </w:style>
  <w:style w:type="paragraph" w:styleId="12">
    <w:name w:val="Body Text"/>
    <w:basedOn w:val="1"/>
    <w:next w:val="1"/>
    <w:autoRedefine/>
    <w:qFormat/>
    <w:uiPriority w:val="0"/>
    <w:pPr>
      <w:autoSpaceDE w:val="0"/>
      <w:autoSpaceDN w:val="0"/>
      <w:adjustRightInd w:val="0"/>
      <w:spacing w:after="120"/>
      <w:jc w:val="left"/>
    </w:pPr>
    <w:rPr>
      <w:rFonts w:ascii="宋体"/>
      <w:kern w:val="0"/>
      <w:sz w:val="34"/>
      <w:szCs w:val="20"/>
    </w:rPr>
  </w:style>
  <w:style w:type="paragraph" w:styleId="13">
    <w:name w:val="Block Text"/>
    <w:basedOn w:val="1"/>
    <w:autoRedefine/>
    <w:qFormat/>
    <w:uiPriority w:val="99"/>
    <w:pPr>
      <w:adjustRightInd w:val="0"/>
      <w:ind w:left="420" w:right="33"/>
      <w:jc w:val="left"/>
      <w:textAlignment w:val="baseline"/>
    </w:pPr>
    <w:rPr>
      <w:kern w:val="0"/>
      <w:szCs w:val="20"/>
    </w:rPr>
  </w:style>
  <w:style w:type="paragraph" w:styleId="14">
    <w:name w:val="Plain Text"/>
    <w:basedOn w:val="1"/>
    <w:autoRedefine/>
    <w:qFormat/>
    <w:uiPriority w:val="0"/>
    <w:rPr>
      <w:rFonts w:ascii="宋体" w:hAnsi="Courier New"/>
      <w:szCs w:val="20"/>
    </w:rPr>
  </w:style>
  <w:style w:type="paragraph" w:styleId="15">
    <w:name w:val="Date"/>
    <w:basedOn w:val="1"/>
    <w:next w:val="1"/>
    <w:autoRedefine/>
    <w:qFormat/>
    <w:uiPriority w:val="0"/>
    <w:pPr>
      <w:ind w:left="100" w:leftChars="2500"/>
    </w:pPr>
  </w:style>
  <w:style w:type="paragraph" w:styleId="16">
    <w:name w:val="footer"/>
    <w:basedOn w:val="1"/>
    <w:autoRedefine/>
    <w:qFormat/>
    <w:uiPriority w:val="0"/>
    <w:pPr>
      <w:tabs>
        <w:tab w:val="center" w:pos="4153"/>
        <w:tab w:val="right" w:pos="8306"/>
      </w:tabs>
      <w:snapToGrid w:val="0"/>
      <w:jc w:val="left"/>
    </w:pPr>
    <w:rPr>
      <w:sz w:val="18"/>
    </w:rPr>
  </w:style>
  <w:style w:type="paragraph" w:styleId="17">
    <w:name w:val="envelope return"/>
    <w:basedOn w:val="1"/>
    <w:autoRedefine/>
    <w:qFormat/>
    <w:uiPriority w:val="99"/>
    <w:rPr>
      <w:rFonts w:ascii="Arial" w:hAnsi="Arial" w:cs="Arial"/>
      <w:kern w:val="1"/>
    </w:rPr>
  </w:style>
  <w:style w:type="paragraph" w:styleId="1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autoRedefine/>
    <w:qFormat/>
    <w:uiPriority w:val="0"/>
  </w:style>
  <w:style w:type="paragraph" w:styleId="20">
    <w:name w:val="List"/>
    <w:basedOn w:val="1"/>
    <w:autoRedefine/>
    <w:qFormat/>
    <w:uiPriority w:val="0"/>
    <w:pPr>
      <w:ind w:left="200" w:hanging="200" w:hangingChars="200"/>
    </w:pPr>
    <w:rPr>
      <w:sz w:val="28"/>
    </w:rPr>
  </w:style>
  <w:style w:type="paragraph" w:styleId="21">
    <w:name w:val="toc 6"/>
    <w:basedOn w:val="1"/>
    <w:next w:val="1"/>
    <w:autoRedefine/>
    <w:qFormat/>
    <w:uiPriority w:val="39"/>
    <w:pPr>
      <w:ind w:left="2100" w:leftChars="1000"/>
    </w:pPr>
    <w:rPr>
      <w:rFonts w:cs="Calibri"/>
      <w:szCs w:val="21"/>
    </w:rPr>
  </w:style>
  <w:style w:type="paragraph" w:styleId="22">
    <w:name w:val="Title"/>
    <w:basedOn w:val="1"/>
    <w:next w:val="1"/>
    <w:autoRedefine/>
    <w:qFormat/>
    <w:uiPriority w:val="10"/>
    <w:pPr>
      <w:spacing w:before="240" w:after="60"/>
      <w:jc w:val="center"/>
      <w:outlineLvl w:val="0"/>
    </w:pPr>
    <w:rPr>
      <w:rFonts w:ascii="Cambria" w:hAnsi="Cambria"/>
      <w:b/>
      <w:bCs/>
      <w:sz w:val="32"/>
      <w:szCs w:val="32"/>
    </w:rPr>
  </w:style>
  <w:style w:type="paragraph" w:styleId="23">
    <w:name w:val="Body Text First Indent"/>
    <w:basedOn w:val="12"/>
    <w:next w:val="21"/>
    <w:autoRedefine/>
    <w:unhideWhenUsed/>
    <w:qFormat/>
    <w:uiPriority w:val="0"/>
    <w:pPr>
      <w:spacing w:after="0"/>
      <w:ind w:firstLine="420" w:firstLineChars="100"/>
    </w:pPr>
    <w:rPr>
      <w:sz w:val="22"/>
    </w:rPr>
  </w:style>
  <w:style w:type="paragraph" w:styleId="24">
    <w:name w:val="Body Text First Indent 2"/>
    <w:basedOn w:val="3"/>
    <w:next w:val="1"/>
    <w:autoRedefine/>
    <w:qFormat/>
    <w:uiPriority w:val="0"/>
    <w:pPr>
      <w:spacing w:after="120"/>
      <w:ind w:left="420" w:leftChars="200" w:firstLine="420" w:firstLineChars="200"/>
    </w:p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basedOn w:val="27"/>
    <w:autoRedefine/>
    <w:qFormat/>
    <w:uiPriority w:val="0"/>
  </w:style>
  <w:style w:type="character" w:styleId="29">
    <w:name w:val="Hyperlink"/>
    <w:autoRedefine/>
    <w:unhideWhenUsed/>
    <w:qFormat/>
    <w:uiPriority w:val="99"/>
    <w:rPr>
      <w:color w:val="0000FF"/>
      <w:u w:val="single"/>
    </w:rPr>
  </w:style>
  <w:style w:type="character" w:styleId="30">
    <w:name w:val="annotation reference"/>
    <w:unhideWhenUsed/>
    <w:qFormat/>
    <w:uiPriority w:val="99"/>
    <w:rPr>
      <w:sz w:val="21"/>
      <w:szCs w:val="21"/>
    </w:rPr>
  </w:style>
  <w:style w:type="paragraph" w:customStyle="1" w:styleId="31">
    <w:name w:val="正文文本首行缩进 21"/>
    <w:basedOn w:val="32"/>
    <w:qFormat/>
    <w:uiPriority w:val="0"/>
    <w:pPr>
      <w:ind w:firstLine="420" w:firstLineChars="200"/>
    </w:pPr>
  </w:style>
  <w:style w:type="paragraph" w:customStyle="1" w:styleId="32">
    <w:name w:val="正文文本缩进1"/>
    <w:basedOn w:val="1"/>
    <w:next w:val="31"/>
    <w:qFormat/>
    <w:uiPriority w:val="0"/>
    <w:pPr>
      <w:spacing w:after="120"/>
      <w:ind w:left="420" w:leftChars="200"/>
    </w:pPr>
  </w:style>
  <w:style w:type="paragraph" w:customStyle="1" w:styleId="33">
    <w:name w:val="首行缩进"/>
    <w:basedOn w:val="1"/>
    <w:autoRedefine/>
    <w:qFormat/>
    <w:uiPriority w:val="0"/>
    <w:pPr>
      <w:ind w:firstLine="200" w:firstLineChars="200"/>
    </w:pPr>
    <w:rPr>
      <w:rFonts w:ascii="Times New Roman" w:hAnsi="Times New Roman" w:eastAsia="宋体" w:cs="Times New Roman"/>
      <w:kern w:val="0"/>
      <w:sz w:val="20"/>
      <w:szCs w:val="20"/>
      <w:lang w:val="zh-CN" w:eastAsia="zh-CN" w:bidi="ar-SA"/>
    </w:rPr>
  </w:style>
  <w:style w:type="paragraph" w:customStyle="1" w:styleId="34">
    <w:name w:val="font5"/>
    <w:basedOn w:val="1"/>
    <w:autoRedefine/>
    <w:qFormat/>
    <w:uiPriority w:val="0"/>
    <w:pPr>
      <w:widowControl/>
      <w:spacing w:before="100" w:beforeAutospacing="1" w:after="100" w:afterAutospacing="1"/>
      <w:jc w:val="left"/>
    </w:pPr>
    <w:rPr>
      <w:rFonts w:hint="eastAsia" w:ascii="宋体" w:hAnsi="宋体"/>
      <w:kern w:val="0"/>
      <w:sz w:val="18"/>
      <w:szCs w:val="18"/>
    </w:rPr>
  </w:style>
  <w:style w:type="paragraph" w:customStyle="1" w:styleId="35">
    <w:name w:val="WPSOffice手动目录 1"/>
    <w:autoRedefine/>
    <w:qFormat/>
    <w:uiPriority w:val="0"/>
    <w:rPr>
      <w:rFonts w:asciiTheme="minorHAnsi" w:hAnsiTheme="minorHAnsi" w:eastAsiaTheme="minorEastAsia" w:cstheme="minorBidi"/>
      <w:lang w:val="en-US" w:eastAsia="zh-CN" w:bidi="ar-SA"/>
    </w:rPr>
  </w:style>
  <w:style w:type="paragraph" w:customStyle="1" w:styleId="36">
    <w:name w:val="Table Paragraph"/>
    <w:basedOn w:val="1"/>
    <w:autoRedefine/>
    <w:qFormat/>
    <w:uiPriority w:val="1"/>
    <w:pPr>
      <w:jc w:val="left"/>
    </w:pPr>
    <w:rPr>
      <w:rFonts w:ascii="Calibri" w:hAnsi="Calibri" w:eastAsia="宋体" w:cs="Times New Roman"/>
      <w:kern w:val="0"/>
      <w:sz w:val="22"/>
      <w:szCs w:val="22"/>
      <w:lang w:eastAsia="en-US"/>
    </w:rPr>
  </w:style>
  <w:style w:type="character" w:customStyle="1" w:styleId="37">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fdbf28ba-f0b6-474d-963e-1252ac2dbeed</errorID>
      <errorWord>/）</errorWord>
      <group>L1_Punc</group>
      <groupName>标点问题</groupName>
      <ability>L2_Punc</ability>
      <abilityName>标点符号检查</abilityName>
      <candidateList>
        <item>）</item>
      </candidateList>
      <explain/>
      <paraID>204111AB</paraID>
      <start>62</start>
      <end>64</end>
      <status>unmodified</status>
      <modifiedWord/>
      <trackRevisions>false</trackRevisions>
    </reviewItem>
    <reviewItem>
      <errorID>a218f06a-a996-4a98-8e1a-f351d125f908</errorID>
      <errorWord>上午0：00</errorWord>
      <group>L1_Knowledge</group>
      <groupName>知识性问题</groupName>
      <ability>L2_Time</ability>
      <abilityName>日期时间</abilityName>
      <candidateList/>
      <explain>时间与前缀不匹配，可能的时间前缀有“下午、晚上、凌晨、午夜”。</explain>
      <paraID>2C32437B</paraID>
      <start>31</start>
      <end>37</end>
      <status>unmodified</status>
      <modifiedWord/>
      <trackRevisions>false</trackRevisions>
    </reviewItem>
    <reviewItem>
      <errorID>05704404-9b83-4118-a374-b7e199da9f50</errorID>
      <errorWord>/）</errorWord>
      <group>L1_Punc</group>
      <groupName>标点问题</groupName>
      <ability>L2_Punc</ability>
      <abilityName>标点符号检查</abilityName>
      <candidateList>
        <item>）</item>
      </candidateList>
      <explain/>
      <paraID>7F349016</paraID>
      <start>45</start>
      <end>47</end>
      <status>unmodified</status>
      <modifiedWord/>
      <trackRevisions>false</trackRevisions>
    </reviewItem>
    <reviewItem>
      <errorID>20926a7a-374e-466f-8539-6f6912a65fe3</errorID>
      <errorWord>/）</errorWord>
      <group>L1_Punc</group>
      <groupName>标点问题</groupName>
      <ability>L2_Punc</ability>
      <abilityName>标点符号检查</abilityName>
      <candidateList>
        <item>）</item>
      </candidateList>
      <explain/>
      <paraID>610D5D96</paraID>
      <start>104</start>
      <end>106</end>
      <status>unmodified</status>
      <modifiedWord/>
      <trackRevisions>false</trackRevisions>
    </reviewItem>
    <reviewItem>
      <errorID>50ddf781-d752-4c1a-b9f9-6d4ccbbf5a51</errorID>
      <errorWord>/）</errorWord>
      <group>L1_Punc</group>
      <groupName>标点问题</groupName>
      <ability>L2_Punc</ability>
      <abilityName>标点符号检查</abilityName>
      <candidateList>
        <item>）</item>
      </candidateList>
      <explain/>
      <paraID>784F4FE7</paraID>
      <start>76</start>
      <end>78</end>
      <status>unmodified</status>
      <modifiedWord/>
      <trackRevisions>false</trackRevisions>
    </reviewItem>
    <reviewItem>
      <errorID>c414c2fe-a9dd-4906-96ed-27e38b94ccef</errorID>
      <errorWord>/）</errorWord>
      <group>L1_Punc</group>
      <groupName>标点问题</groupName>
      <ability>L2_Punc</ability>
      <abilityName>标点符号检查</abilityName>
      <candidateList>
        <item>）</item>
      </candidateList>
      <explain/>
      <paraID>1CEC6822</paraID>
      <start>111</start>
      <end>113</end>
      <status>unmodified</status>
      <modifiedWord/>
      <trackRevisions>false</trackRevisions>
    </reviewItem>
    <reviewItem>
      <errorID>30d9bdbf-1bea-4fb0-8734-8c345bfaf2cd</errorID>
      <errorWord>/）</errorWord>
      <group>L1_Punc</group>
      <groupName>标点问题</groupName>
      <ability>L2_Punc</ability>
      <abilityName>标点符号检查</abilityName>
      <candidateList>
        <item>）</item>
      </candidateList>
      <explain/>
      <paraID>445E8380</paraID>
      <start>62</start>
      <end>64</end>
      <status>unmodified</status>
      <modifiedWord/>
      <trackRevisions>false</trackRevisions>
    </reviewItem>
    <reviewItem>
      <errorID>3f2992bf-f6cd-4de3-a710-825738205f17</errorID>
      <errorWord>操作合</errorWord>
      <group>L1_Word</group>
      <groupName>字词问题</groupName>
      <ability>L2_Typo</ability>
      <abilityName>字词错误</abilityName>
      <candidateList>
        <item>操作台</item>
      </candidateList>
      <explain/>
      <paraID> A2FE292</paraID>
      <start>8</start>
      <end>11</end>
      <status>unmodified</status>
      <modifiedWord/>
      <trackRevisions>false</trackRevisions>
    </reviewItem>
    <reviewItem>
      <errorID>972f0a3c-9a74-4345-a8eb-e4607c60a081</errorID>
      <errorWord>，</errorWord>
      <group>L1_Word</group>
      <groupName>字词问题</groupName>
      <ability>L2_Typo</ability>
      <abilityName>字词错误</abilityName>
      <candidateList>
        <item>，在</item>
      </candidateList>
      <explain/>
      <paraID> A2FE292</paraID>
      <start>119</start>
      <end>120</end>
      <status>unmodified</status>
      <modifiedWord/>
      <trackRevisions>false</trackRevisions>
    </reviewItem>
    <reviewItem>
      <errorID>7f2f7695-f7ae-4ef5-9ae7-640acefed287</errorID>
      <errorWord>不能负</errorWord>
      <group>L1_Word</group>
      <groupName>字词问题</groupName>
      <ability>L2_Typo</ability>
      <abilityName>字词错误</abilityName>
      <candidateList>
        <item>不能</item>
      </candidateList>
      <explain/>
      <paraID>54970449</paraID>
      <start>34</start>
      <end>37</end>
      <status>unmodified</status>
      <modifiedWord/>
      <trackRevisions>false</trackRevisions>
    </reviewItem>
    <reviewItem>
      <errorID>7acb5d5b-3b8d-436b-a4c4-4cdd70a03117</errorID>
      <errorWord>理</errorWord>
      <group>L1_Word</group>
      <groupName>字词问题</groupName>
      <ability>L2_Typo</ability>
      <abilityName>字词错误</abilityName>
      <candidateList>
        <item>理和</item>
      </candidateList>
      <explain/>
      <paraID>29880C34</paraID>
      <start>44</start>
      <end>45</end>
      <status>unmodified</status>
      <modifiedWord/>
      <trackRevisions>false</trackRevisions>
    </reviewItem>
    <reviewItem>
      <errorID>619cccae-48ab-4912-99c9-402897e674b5</errorID>
      <errorWord>务</errorWord>
      <group>L1_Word</group>
      <groupName>字词问题</groupName>
      <ability>L2_Typo</ability>
      <abilityName>字词错误</abilityName>
      <candidateList>
        <item>务平</item>
      </candidateList>
      <explain/>
      <paraID>29880C34</paraID>
      <start>185</start>
      <end>188</end>
      <status>modified</status>
      <modifiedWord>务平</modifiedWord>
      <trackRevisions>true</trackRevisions>
    </reviewItem>
    <reviewItem>
      <errorID>0b5983ce-101a-4c90-9eaf-511077e41883</errorID>
      <errorWord>最高法院</errorWord>
      <group>L1_Knowledge</group>
      <groupName>知识性问题</groupName>
      <ability>L2_Organization</ability>
      <abilityName>机构检查</abilityName>
      <candidateList>
        <item>最高人民法院</item>
      </candidateList>
      <explain>机关单位全简称表述错误</explain>
      <paraID>70DE2332</paraID>
      <start>474</start>
      <end>478</end>
      <status>unmodified</status>
      <modifiedWord/>
      <trackRevisions>false</trackRevisions>
    </reviewItem>
    <reviewItem>
      <errorID>9e004e3f-d09c-402b-b32e-7de63ad793c1</errorID>
      <errorWord>最高法院</errorWord>
      <group>L1_Knowledge</group>
      <groupName>知识性问题</groupName>
      <ability>L2_Organization</ability>
      <abilityName>机构检查</abilityName>
      <candidateList>
        <item>最高人民法院</item>
      </candidateList>
      <explain>机关单位全简称表述错误</explain>
      <paraID>70DE2332</paraID>
      <start>619</start>
      <end>623</end>
      <status>unmodified</status>
      <modifiedWord/>
      <trackRevisions>false</trackRevisions>
    </reviewItem>
    <reviewItem>
      <errorID>4826b7d3-fc38-4537-a173-20eb9ec1792e</errorID>
      <errorWord>统</errorWord>
      <group>L1_Word</group>
      <groupName>字词问题</groupName>
      <ability>L2_Typo</ability>
      <abilityName>字词错误</abilityName>
      <candidateList>
        <item>统和</item>
      </candidateList>
      <explain/>
      <paraID>70DE2332</paraID>
      <start>941</start>
      <end>942</end>
      <status>unmodified</status>
      <modifiedWord/>
      <trackRevisions>false</trackRevisions>
    </reviewItem>
    <reviewItem>
      <errorID>756650fa-1a25-4089-9c6f-9a316b624a7a</errorID>
      <errorWord>提提</errorWord>
      <group>L1_Word</group>
      <groupName>字词问题</groupName>
      <ability>L2_Typo</ability>
      <abilityName>字词错误</abilityName>
      <candidateList>
        <item>提</item>
      </candidateList>
      <explain/>
      <paraID>70DE2332</paraID>
      <start>1030</start>
      <end>1033</end>
      <status>modified</status>
      <modifiedWord>提</modifiedWord>
      <trackRevisions>true</trackRevisions>
    </reviewItem>
    <reviewItem>
      <errorID>9d715a0b-705e-4fb1-b276-9699d497bb2d</errorID>
      <errorWord>广西自治区</errorWord>
      <group>L1_Knowledge</group>
      <groupName>知识性问题</groupName>
      <ability>L2_Knowledge</ability>
      <abilityName>其他知识</abilityName>
      <candidateList>
        <item>广西壮族自治区</item>
      </candidateList>
      <explain/>
      <paraID>70DE2332</paraID>
      <start>1510</start>
      <end>1515</end>
      <status>unmodified</status>
      <modifiedWord/>
      <trackRevisions>false</trackRevisions>
    </reviewItem>
    <reviewItem>
      <errorID>d22f8e40-e768-4146-993b-81d6c35cb949</errorID>
      <errorWord>最高法院</errorWord>
      <group>L1_Knowledge</group>
      <groupName>知识性问题</groupName>
      <ability>L2_Organization</ability>
      <abilityName>机构检查</abilityName>
      <candidateList>
        <item>最高人民法院</item>
      </candidateList>
      <explain>机关单位全简称表述错误</explain>
      <paraID>70DE2332</paraID>
      <start>1632</start>
      <end>1636</end>
      <status>unmodified</status>
      <modifiedWord/>
      <trackRevisions>false</trackRevisions>
    </reviewItem>
    <reviewItem>
      <errorID>80ad1356-82bb-46c5-9188-ba03b1a15064</errorID>
      <errorWord>最高法院</errorWord>
      <group>L1_Knowledge</group>
      <groupName>知识性问题</groupName>
      <ability>L2_Organization</ability>
      <abilityName>机构检查</abilityName>
      <candidateList>
        <item>最高人民法院</item>
      </candidateList>
      <explain>机关单位全简称表述错误</explain>
      <paraID>70DE2332</paraID>
      <start>1775</start>
      <end>1779</end>
      <status>unmodified</status>
      <modifiedWord/>
      <trackRevisions>false</trackRevisions>
    </reviewItem>
    <reviewItem>
      <errorID>befd8d4e-b4bd-4bc0-8462-6586d73aef8c</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3B7DFBC2</paraID>
      <start>348</start>
      <end>350</end>
      <status>unmodified</status>
      <modifiedWord/>
      <trackRevisions>false</trackRevisions>
    </reviewItem>
    <reviewItem>
      <errorID>4a8ee350-12f8-47d8-a469-b558370e4122</errorID>
      <errorWord>智</errorWord>
      <group>L1_Word</group>
      <groupName>字词问题</groupName>
      <ability>L2_Typo</ability>
      <abilityName>字词错误</abilityName>
      <candidateList>
        <item>智能</item>
      </candidateList>
      <explain>〈名〉❶智慧和能力：～双全｜培养～｜发展学生～｜～机器人。</explain>
      <paraID>1FAD217A</paraID>
      <start>377</start>
      <end>380</end>
      <status>modified</status>
      <modifiedWord>智能</modifiedWord>
      <trackRevisions>true</trackRevisions>
    </reviewItem>
    <reviewItem>
      <errorID>fbc81fda-752f-43fb-b530-e9058c573dac</errorID>
      <errorWord>流</errorWord>
      <group>L1_Word</group>
      <groupName>字词问题</groupName>
      <ability>L2_Typo</ability>
      <abilityName>字词错误</abilityName>
      <candidateList>
        <item>流程</item>
      </candidateList>
      <explain/>
      <paraID>1FAD217A</paraID>
      <start>488</start>
      <end>491</end>
      <status>modified</status>
      <modifiedWord>流程</modifiedWord>
      <trackRevisions>true</trackRevisions>
    </reviewItem>
    <reviewItem>
      <errorID>35fca711-cbac-46ca-9c98-0b32d793966f</errorID>
      <errorWord>统</errorWord>
      <group>L1_Word</group>
      <groupName>字词问题</groupName>
      <ability>L2_Typo</ability>
      <abilityName>字词错误</abilityName>
      <candidateList>
        <item>统和</item>
      </candidateList>
      <explain/>
      <paraID>1FAD217A</paraID>
      <start>751</start>
      <end>752</end>
      <status>unmodified</status>
      <modifiedWord/>
      <trackRevisions>false</trackRevisions>
    </reviewItem>
    <reviewItem>
      <errorID>5d1f2258-d3a3-49e1-95dd-4636b5211ab0</errorID>
      <errorWord>常</errorWord>
      <group>L1_Word</group>
      <groupName>字词问题</groupName>
      <ability>L2_Typo</ability>
      <abilityName>字词错误</abilityName>
      <candidateList>
        <item>的</item>
      </candidateList>
      <explain>存在字形相近字词的误用。</explain>
      <paraID>1FAD217A</paraID>
      <start>1895</start>
      <end>1897</end>
      <status>modified</status>
      <modifiedWord>的</modifiedWord>
      <trackRevisions>true</trackRevisions>
    </reviewItem>
    <reviewItem>
      <errorID>e51e3804-8b24-4de0-806a-037d4c45d258</errorID>
      <errorWord>最高法院</errorWord>
      <group>L1_Knowledge</group>
      <groupName>知识性问题</groupName>
      <ability>L2_Organization</ability>
      <abilityName>机构检查</abilityName>
      <candidateList>
        <item>最高人民法院</item>
      </candidateList>
      <explain>机关单位全简称表述错误</explain>
      <paraID>1FAD217A</paraID>
      <start>2668</start>
      <end>2672</end>
      <status>ignored</status>
      <modifiedWord/>
      <trackRevisions>false</trackRevisions>
    </reviewItem>
    <reviewItem>
      <errorID>86fd03ea-9270-4708-841e-c47f4cdda9d7</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3AE79E0</paraID>
      <start>233</start>
      <end>234</end>
      <status>ignored</status>
      <modifiedWord/>
      <trackRevisions>false</trackRevisions>
    </reviewItem>
    <reviewItem>
      <errorID>23ced7f9-10b6-41c0-92c9-1768bb57f599</errorID>
      <errorWord>的的</errorWord>
      <group>L1_Word</group>
      <groupName>字词问题</groupName>
      <ability>L2_Typo</ability>
      <abilityName>字词错误</abilityName>
      <candidateList>
        <item>的</item>
      </candidateList>
      <explain>置于形容词、名词后，用于修饰事物的形态。</explain>
      <paraID> 3AE79E0</paraID>
      <start>438</start>
      <end>441</end>
      <status>modified</status>
      <modifiedWord>的</modifiedWord>
      <trackRevisions>true</trackRevisions>
    </reviewItem>
    <reviewItem>
      <errorID>e53d3069-c778-4934-af29-068734c7b9df</errorID>
      <errorWord>整</errorWord>
      <group>L1_Word</group>
      <groupName>字词问题</groupName>
      <ability>L2_Typo</ability>
      <abilityName>字词错误</abilityName>
      <candidateList>
        <item>整性</item>
      </candidateList>
      <explain/>
      <paraID> 3AE79E0</paraID>
      <start>509</start>
      <end>512</end>
      <status>modified</status>
      <modifiedWord>整性</modifiedWord>
      <trackRevisions>true</trackRevisions>
    </reviewItem>
    <reviewItem>
      <errorID>55e5759f-7508-41bf-adf6-ee2c34f2ebc4</errorID>
      <errorWord>发送到</errorWord>
      <group>L1_Word</group>
      <groupName>字词问题</groupName>
      <ability>L2_Typo</ability>
      <abilityName>字词错误</abilityName>
      <candidateList>
        <item>发送至</item>
      </candidateList>
      <explain>存在字形相近字词的误用。</explain>
      <paraID> 3AE79E0</paraID>
      <start>589</start>
      <end>592</end>
      <status>ignored</status>
      <modifiedWord/>
      <trackRevisions>false</trackRevisions>
    </reviewItem>
    <reviewItem>
      <errorID>9c8aff44-0b66-4eda-b9ff-1ff61b68aef2</errorID>
      <errorWord>涉及到</errorWord>
      <group>L1_Word</group>
      <groupName>字词问题</groupName>
      <ability>L2_Typo</ability>
      <abilityName>字词错误</abilityName>
      <candidateList>
        <item>涉及</item>
      </candidateList>
      <explain>〈动〉牵涉到；关联到：案子～好几个人｜这个问题～面很广。</explain>
      <paraID> 3AE79E0</paraID>
      <start>621</start>
      <end>624</end>
      <status>ignored</status>
      <modifiedWord/>
      <trackRevisions>false</trackRevisions>
    </reviewItem>
    <reviewItem>
      <errorID>0b875e8b-2620-4e37-97fa-fb7e2e8c106c</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3AE79E0</paraID>
      <start>647</start>
      <end>648</end>
      <status>ignored</status>
      <modifiedWord/>
      <trackRevisions>false</trackRevisions>
    </reviewItem>
    <reviewItem>
      <errorID>31365905-c569-4918-9395-fda9eef77572</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3AE79E0</paraID>
      <start>876</start>
      <end>877</end>
      <status>unmodified</status>
      <modifiedWord/>
      <trackRevisions>false</trackRevisions>
    </reviewItem>
    <reviewItem>
      <errorID>bc06c8d1-0fcf-4210-97aa-12e35764f322</errorID>
      <errorWord>可靠性</errorWord>
      <group>L1_Word</group>
      <groupName>字词问题</groupName>
      <ability>L2_Typo</ability>
      <abilityName>字词错误</abilityName>
      <candidateList>
        <item>可靠</item>
      </candidateList>
      <explain/>
      <paraID> 3AE79E0</paraID>
      <start>1117</start>
      <end>1120</end>
      <status>unmodified</status>
      <modifiedWord/>
      <trackRevisions>false</trackRevisions>
    </reviewItem>
    <reviewItem>
      <errorID>a71099b2-0a75-4200-a7d9-5d7f269984b1</errorID>
      <errorWord>可持续扩展</errorWord>
      <group>L1_Political</group>
      <groupName>政治性问题</groupName>
      <ability>L2_Keyword</ability>
      <abilityName>固定表述</abilityName>
      <candidateList>
        <item>可持续发展</item>
      </candidateList>
      <explain>词汇“可持续发展”在特定场景下为固定表述形式，请确认此处的“可持续扩展”是否存在不当。</explain>
      <paraID> 3AE79E0</paraID>
      <start>1191</start>
      <end>1196</end>
      <status>unmodified</status>
      <modifiedWord/>
      <trackRevisions>false</trackRevisions>
    </reviewItem>
    <reviewItem>
      <errorID>4c49e90d-7ee8-4e50-b0dd-663a43ffabfc</errorID>
      <errorWord>的的</errorWord>
      <group>L1_Word</group>
      <groupName>字词问题</groupName>
      <ability>L2_Typo</ability>
      <abilityName>字词错误</abilityName>
      <candidateList>
        <item>的</item>
      </candidateList>
      <explain>置于形容词、名词后，用于修饰事物的形态。</explain>
      <paraID> 3AE79E0</paraID>
      <start>1207</start>
      <end>1210</end>
      <status>modified</status>
      <modifiedWord>的</modifiedWord>
      <trackRevisions>true</trackRevisions>
    </reviewItem>
    <reviewItem>
      <errorID>133b501f-82ee-483d-9355-6a9eac944e10</errorID>
      <errorWord>等的</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 3AE79E0</paraID>
      <start>1346</start>
      <end>1348</end>
      <status>unmodified</status>
      <modifiedWord/>
      <trackRevisions>false</trackRevisions>
    </reviewItem>
    <reviewItem>
      <errorID>c0ef9297-abcd-45fb-aa41-b751d10b7f82</errorID>
      <errorWord>广西自治区</errorWord>
      <group>L1_Knowledge</group>
      <groupName>知识性问题</groupName>
      <ability>L2_Knowledge</ability>
      <abilityName>其他知识</abilityName>
      <candidateList>
        <item>广西壮族自治区</item>
      </candidateList>
      <explain/>
      <paraID> 3AE79E0</paraID>
      <start>1387</start>
      <end>1392</end>
      <status>unmodified</status>
      <modifiedWord/>
      <trackRevisions>false</trackRevisions>
    </reviewItem>
    <reviewItem>
      <errorID>ae0bcf96-d425-4563-a0b9-a208836c090b</errorID>
      <errorWord>广西自治区</errorWord>
      <group>L1_Knowledge</group>
      <groupName>知识性问题</groupName>
      <ability>L2_Knowledge</ability>
      <abilityName>其他知识</abilityName>
      <candidateList>
        <item>广西壮族自治区</item>
      </candidateList>
      <explain/>
      <paraID> 3AE79E0</paraID>
      <start>1524</start>
      <end>1529</end>
      <status>unmodified</status>
      <modifiedWord/>
      <trackRevisions>false</trackRevisions>
    </reviewItem>
    <reviewItem>
      <errorID>796a2a91-13f3-4201-a301-941a0ba90e67</errorID>
      <errorWord>广西自治区</errorWord>
      <group>L1_Knowledge</group>
      <groupName>知识性问题</groupName>
      <ability>L2_Knowledge</ability>
      <abilityName>其他知识</abilityName>
      <candidateList>
        <item>广西壮族自治区</item>
      </candidateList>
      <explain/>
      <paraID> 3AE79E0</paraID>
      <start>1571</start>
      <end>1576</end>
      <status>unmodified</status>
      <modifiedWord/>
      <trackRevisions>false</trackRevisions>
    </reviewItem>
    <reviewItem>
      <errorID>9a4d11ec-5718-47c0-98ff-35108f511f62</errorID>
      <errorWord>广西自治区</errorWord>
      <group>L1_Knowledge</group>
      <groupName>知识性问题</groupName>
      <ability>L2_Knowledge</ability>
      <abilityName>其他知识</abilityName>
      <candidateList>
        <item>广西壮族自治区</item>
      </candidateList>
      <explain/>
      <paraID> 3AE79E0</paraID>
      <start>1594</start>
      <end>1599</end>
      <status>unmodified</status>
      <modifiedWord/>
      <trackRevisions>false</trackRevisions>
    </reviewItem>
    <reviewItem>
      <errorID>527fc5c2-21e0-4946-bf56-74f3653eca07</errorID>
      <errorWord>广西自治区</errorWord>
      <group>L1_Knowledge</group>
      <groupName>知识性问题</groupName>
      <ability>L2_Knowledge</ability>
      <abilityName>其他知识</abilityName>
      <candidateList>
        <item>广西壮族自治区</item>
      </candidateList>
      <explain/>
      <paraID> 3AE79E0</paraID>
      <start>1904</start>
      <end>1909</end>
      <status>unmodified</status>
      <modifiedWord/>
      <trackRevisions>false</trackRevisions>
    </reviewItem>
    <reviewItem>
      <errorID>c2c75496-58f9-4364-aa45-1c7d2856bc61</errorID>
      <errorWord>广西自治区</errorWord>
      <group>L1_Knowledge</group>
      <groupName>知识性问题</groupName>
      <ability>L2_Knowledge</ability>
      <abilityName>其他知识</abilityName>
      <candidateList>
        <item>广西壮族自治区</item>
      </candidateList>
      <explain/>
      <paraID> 3AE79E0</paraID>
      <start>1924</start>
      <end>1929</end>
      <status>unmodified</status>
      <modifiedWord/>
      <trackRevisions>false</trackRevisions>
    </reviewItem>
    <reviewItem>
      <errorID>c43dfd92-6162-408c-9143-a6d8003b364e</errorID>
      <errorWord>(</errorWord>
      <group>L1_Format</group>
      <groupName>格式问题</groupName>
      <ability>L2_HalfPunc</ability>
      <abilityName>全半角检查</abilityName>
      <candidateList>
        <item>（</item>
      </candidateList>
      <explain>文本全半角错误。</explain>
      <paraID> 3AE79E0</paraID>
      <start>1939</start>
      <end>1940</end>
      <status>unmodified</status>
      <modifiedWord/>
      <trackRevisions>false</trackRevisions>
    </reviewItem>
    <reviewItem>
      <errorID>e07ff763-80f3-471e-ac72-757751d1202c</errorID>
      <errorWord>)</errorWord>
      <group>L1_Format</group>
      <groupName>格式问题</groupName>
      <ability>L2_HalfPunc</ability>
      <abilityName>全半角检查</abilityName>
      <candidateList>
        <item>）</item>
      </candidateList>
      <explain>文本全半角错误。</explain>
      <paraID> 3AE79E0</paraID>
      <start>1941</start>
      <end>1942</end>
      <status>unmodified</status>
      <modifiedWord/>
      <trackRevisions>false</trackRevisions>
    </reviewItem>
    <reviewItem>
      <errorID>4dab96f4-70ec-445b-bee2-fd9f5fc40512</errorID>
      <errorWord>广西自治区</errorWord>
      <group>L1_Knowledge</group>
      <groupName>知识性问题</groupName>
      <ability>L2_Knowledge</ability>
      <abilityName>其他知识</abilityName>
      <candidateList>
        <item>广西壮族自治区</item>
      </candidateList>
      <explain/>
      <paraID> 3AE79E0</paraID>
      <start>1991</start>
      <end>1996</end>
      <status>unmodified</status>
      <modifiedWord/>
      <trackRevisions>false</trackRevisions>
    </reviewItem>
    <reviewItem>
      <errorID>2cd55436-699d-4d57-860a-40b1430b183a</errorID>
      <errorWord>广西自治区</errorWord>
      <group>L1_Knowledge</group>
      <groupName>知识性问题</groupName>
      <ability>L2_Knowledge</ability>
      <abilityName>其他知识</abilityName>
      <candidateList>
        <item>广西壮族自治区</item>
      </candidateList>
      <explain/>
      <paraID> 3AE79E0</paraID>
      <start>2049</start>
      <end>2054</end>
      <status>unmodified</status>
      <modifiedWord/>
      <trackRevisions>false</trackRevisions>
    </reviewItem>
    <reviewItem>
      <errorID>1dcbbd6f-8713-4942-8b53-93e4c538cf23</errorID>
      <errorWord>广西自治区</errorWord>
      <group>L1_Knowledge</group>
      <groupName>知识性问题</groupName>
      <ability>L2_Knowledge</ability>
      <abilityName>其他知识</abilityName>
      <candidateList>
        <item>广西壮族自治区</item>
      </candidateList>
      <explain/>
      <paraID> 3AE79E0</paraID>
      <start>2073</start>
      <end>2078</end>
      <status>unmodified</status>
      <modifiedWord/>
      <trackRevisions>false</trackRevisions>
    </reviewItem>
    <reviewItem>
      <errorID>abfb7538-0db1-4219-93cd-aba5f879fae4</errorID>
      <errorWord>，</errorWord>
      <group>L1_Word</group>
      <groupName>字词问题</groupName>
      <ability>L2_Typo</ability>
      <abilityName>字词错误</abilityName>
      <candidateList>
        <item>，并</item>
      </candidateList>
      <explain/>
      <paraID> 3AE79E0</paraID>
      <start>2119</start>
      <end>2120</end>
      <status>unmodified</status>
      <modifiedWord/>
      <trackRevisions>false</trackRevisions>
    </reviewItem>
    <reviewItem>
      <errorID>b297fb0d-5919-4e93-a2cf-a7eef634991e</errorID>
      <errorWord>广西自治区</errorWord>
      <group>L1_Knowledge</group>
      <groupName>知识性问题</groupName>
      <ability>L2_Knowledge</ability>
      <abilityName>其他知识</abilityName>
      <candidateList>
        <item>广西壮族自治区</item>
      </candidateList>
      <explain/>
      <paraID> 3AE79E0</paraID>
      <start>2187</start>
      <end>2192</end>
      <status>unmodified</status>
      <modifiedWord/>
      <trackRevisions>false</trackRevisions>
    </reviewItem>
    <reviewItem>
      <errorID>3e2d98da-655e-424c-a63f-6544ba935039</errorID>
      <errorWord>机房的</errorWord>
      <group>L1_Word</group>
      <groupName>字词问题</groupName>
      <ability>L2_Typo</ability>
      <abilityName>字词错误</abilityName>
      <candidateList>
        <item>机房内</item>
      </candidateList>
      <explain/>
      <paraID> 3AE79E0</paraID>
      <start>2291</start>
      <end>2294</end>
      <status>unmodified</status>
      <modifiedWord/>
      <trackRevisions>false</trackRevisions>
    </reviewItem>
    <reviewItem>
      <errorID>e81b9af7-1555-410d-ad76-fa272676bf07</errorID>
      <errorWord>的的</errorWord>
      <group>L1_Word</group>
      <groupName>字词问题</groupName>
      <ability>L2_Typo</ability>
      <abilityName>字词错误</abilityName>
      <candidateList>
        <item>的</item>
      </candidateList>
      <explain>置于形容词、名词后，用于修饰事物的形态。</explain>
      <paraID> 3AE79E0</paraID>
      <start>2448</start>
      <end>2451</end>
      <status>modified</status>
      <modifiedWord>的</modifiedWord>
      <trackRevisions>true</trackRevisions>
    </reviewItem>
    <reviewItem>
      <errorID>60dba153-0484-4990-8712-9301777d2ef3</errorID>
      <errorWord>)</errorWord>
      <group>L1_Format</group>
      <groupName>格式问题</groupName>
      <ability>L2_HalfPunc</ability>
      <abilityName>全半角检查</abilityName>
      <candidateList>
        <item>）</item>
      </candidateList>
      <explain>文本全半角错误。</explain>
      <paraID> 3AE79E0</paraID>
      <start>2552</start>
      <end>2553</end>
      <status>unmodified</status>
      <modifiedWord/>
      <trackRevisions>false</trackRevisions>
    </reviewItem>
    <reviewItem>
      <errorID>1d423574-53c3-44d5-a43a-8dd329ef1780</errorID>
      <errorWord>)</errorWord>
      <group>L1_Format</group>
      <groupName>格式问题</groupName>
      <ability>L2_HalfPunc</ability>
      <abilityName>全半角检查</abilityName>
      <candidateList>
        <item>）</item>
      </candidateList>
      <explain>文本全半角错误。</explain>
      <paraID> 3AE79E0</paraID>
      <start>2564</start>
      <end>2565</end>
      <status>unmodified</status>
      <modifiedWord/>
      <trackRevisions>false</trackRevisions>
    </reviewItem>
    <reviewItem>
      <errorID>74de9a38-54ff-449a-9ea0-76328a43234c</errorID>
      <errorWord>)</errorWord>
      <group>L1_Format</group>
      <groupName>格式问题</groupName>
      <ability>L2_HalfPunc</ability>
      <abilityName>全半角检查</abilityName>
      <candidateList>
        <item>）</item>
      </candidateList>
      <explain>文本全半角错误。</explain>
      <paraID> 3AE79E0</paraID>
      <start>2581</start>
      <end>2582</end>
      <status>unmodified</status>
      <modifiedWord/>
      <trackRevisions>false</trackRevisions>
    </reviewItem>
    <reviewItem>
      <errorID>8c4ba02c-0451-407c-80f8-f1af63ac3ea8</errorID>
      <errorWord>)</errorWord>
      <group>L1_Format</group>
      <groupName>格式问题</groupName>
      <ability>L2_HalfPunc</ability>
      <abilityName>全半角检查</abilityName>
      <candidateList>
        <item>）</item>
      </candidateList>
      <explain>文本全半角错误。</explain>
      <paraID> 3AE79E0</paraID>
      <start>2594</start>
      <end>2595</end>
      <status>unmodified</status>
      <modifiedWord/>
      <trackRevisions>false</trackRevisions>
    </reviewItem>
    <reviewItem>
      <errorID>3e2a1bec-ba02-478b-8920-1eacb95517a6</errorID>
      <errorWord>)</errorWord>
      <group>L1_Format</group>
      <groupName>格式问题</groupName>
      <ability>L2_HalfPunc</ability>
      <abilityName>全半角检查</abilityName>
      <candidateList>
        <item>）</item>
      </candidateList>
      <explain>文本全半角错误。</explain>
      <paraID> 3AE79E0</paraID>
      <start>2621</start>
      <end>2622</end>
      <status>unmodified</status>
      <modifiedWord/>
      <trackRevisions>false</trackRevisions>
    </reviewItem>
    <reviewItem>
      <errorID>94fb5ba9-92b4-4eab-a579-a645ddd200e0</errorID>
      <errorWord>包括到</errorWord>
      <group>L1_Word</group>
      <groupName>字词问题</groupName>
      <ability>L2_Typo</ability>
      <abilityName>字词错误</abilityName>
      <candidateList>
        <item>包括</item>
      </candidateList>
      <explain/>
      <paraID> 3AE79E0</paraID>
      <start>2638</start>
      <end>2641</end>
      <status>unmodified</status>
      <modifiedWord/>
      <trackRevisions>false</trackRevisions>
    </reviewItem>
    <reviewItem>
      <errorID>7424075f-76ed-4d83-a4b7-525a631f544f</errorID>
      <errorWord>)</errorWord>
      <group>L1_Format</group>
      <groupName>格式问题</groupName>
      <ability>L2_HalfPunc</ability>
      <abilityName>全半角检查</abilityName>
      <candidateList>
        <item>）</item>
      </candidateList>
      <explain>文本全半角错误。</explain>
      <paraID> CA1CDF3</paraID>
      <start>99</start>
      <end>100</end>
      <status>unmodified</status>
      <modifiedWord/>
      <trackRevisions>false</trackRevisions>
    </reviewItem>
    <reviewItem>
      <errorID>8cb1d73a-bf40-48f5-b01a-e58fb1706e2c</errorID>
      <errorWord>)</errorWord>
      <group>L1_Format</group>
      <groupName>格式问题</groupName>
      <ability>L2_HalfPunc</ability>
      <abilityName>全半角检查</abilityName>
      <candidateList>
        <item>）</item>
      </candidateList>
      <explain>文本全半角错误。</explain>
      <paraID> CA1CDF3</paraID>
      <start>366</start>
      <end>367</end>
      <status>unmodified</status>
      <modifiedWord/>
      <trackRevisions>false</trackRevisions>
    </reviewItem>
    <reviewItem>
      <errorID>897cb1ca-9202-4f05-8d9f-f2eacd5b4804</errorID>
      <errorWord>抢</errorWord>
      <group>L1_Word</group>
      <groupName>字词问题</groupName>
      <ability>L2_Typo</ability>
      <abilityName>字词错误</abilityName>
      <candidateList>
        <item>枪</item>
      </candidateList>
      <explain>存在发音相同字词的误用。</explain>
      <paraID> CA1CDF3</paraID>
      <start>513</start>
      <end>515</end>
      <status>modified</status>
      <modifiedWord>枪</modifiedWord>
      <trackRevisions>true</trackRevisions>
    </reviewItem>
    <reviewItem>
      <errorID>473800b9-864f-480b-aa3e-ed90b7d2fc4a</errorID>
      <errorWord>)</errorWord>
      <group>L1_Format</group>
      <groupName>格式问题</groupName>
      <ability>L2_HalfPunc</ability>
      <abilityName>全半角检查</abilityName>
      <candidateList>
        <item>）</item>
      </candidateList>
      <explain>文本全半角错误。</explain>
      <paraID> CA1CDF3</paraID>
      <start>655</start>
      <end>656</end>
      <status>unmodified</status>
      <modifiedWord/>
      <trackRevisions>false</trackRevisions>
    </reviewItem>
    <reviewItem>
      <errorID>bded1b8a-a508-4053-b2e6-cedbad2af2d4</errorID>
      <errorWord>)</errorWord>
      <group>L1_Format</group>
      <groupName>格式问题</groupName>
      <ability>L2_HalfPunc</ability>
      <abilityName>全半角检查</abilityName>
      <candidateList>
        <item>）</item>
      </candidateList>
      <explain>文本全半角错误。</explain>
      <paraID> CA1CDF3</paraID>
      <start>749</start>
      <end>750</end>
      <status>unmodified</status>
      <modifiedWord/>
      <trackRevisions>false</trackRevisions>
    </reviewItem>
    <reviewItem>
      <errorID>ee3c1b2d-a37e-477e-9699-9c5f4221a1b7</errorID>
      <errorWord>)</errorWord>
      <group>L1_Format</group>
      <groupName>格式问题</groupName>
      <ability>L2_HalfPunc</ability>
      <abilityName>全半角检查</abilityName>
      <candidateList>
        <item>）</item>
      </candidateList>
      <explain>文本全半角错误。</explain>
      <paraID> CA1CDF3</paraID>
      <start>823</start>
      <end>824</end>
      <status>unmodified</status>
      <modifiedWord/>
      <trackRevisions>false</trackRevisions>
    </reviewItem>
    <reviewItem>
      <errorID>2c0790f4-191d-4e78-80b6-d8fe2e9ecfa3</errorID>
      <errorWord>)</errorWord>
      <group>L1_Format</group>
      <groupName>格式问题</groupName>
      <ability>L2_HalfPunc</ability>
      <abilityName>全半角检查</abilityName>
      <candidateList>
        <item>）</item>
      </candidateList>
      <explain>文本全半角错误。</explain>
      <paraID> CA1CDF3</paraID>
      <start>867</start>
      <end>868</end>
      <status>unmodified</status>
      <modifiedWord/>
      <trackRevisions>false</trackRevisions>
    </reviewItem>
    <reviewItem>
      <errorID>d11a7536-15e9-4534-8d47-3459ee1e7025</errorID>
      <errorWord>涉及到</errorWord>
      <group>L1_Word</group>
      <groupName>字词问题</groupName>
      <ability>L2_Typo</ability>
      <abilityName>字词错误</abilityName>
      <candidateList>
        <item>涉及</item>
      </candidateList>
      <explain>〈动〉牵涉到；关联到：案子～好几个人｜这个问题～面很广。</explain>
      <paraID> CA1CDF3</paraID>
      <start>887</start>
      <end>890</end>
      <status>unmodified</status>
      <modifiedWord/>
      <trackRevisions>false</trackRevisions>
    </reviewItem>
    <reviewItem>
      <errorID>5ef6443d-d179-4e41-a559-3d91aa98885c</errorID>
      <errorWord>)</errorWord>
      <group>L1_Format</group>
      <groupName>格式问题</groupName>
      <ability>L2_HalfPunc</ability>
      <abilityName>全半角检查</abilityName>
      <candidateList>
        <item>）</item>
      </candidateList>
      <explain>文本全半角错误。</explain>
      <paraID> CA1CDF3</paraID>
      <start>925</start>
      <end>926</end>
      <status>unmodified</status>
      <modifiedWord/>
      <trackRevisions>false</trackRevisions>
    </reviewItem>
    <reviewItem>
      <errorID>bdb90b9f-ba8d-47a7-8b5d-8683da72d2cf</errorID>
      <errorWord>)</errorWord>
      <group>L1_Format</group>
      <groupName>格式问题</groupName>
      <ability>L2_HalfPunc</ability>
      <abilityName>全半角检查</abilityName>
      <candidateList>
        <item>）</item>
      </candidateList>
      <explain>文本全半角错误。</explain>
      <paraID> CA1CDF3</paraID>
      <start>958</start>
      <end>959</end>
      <status>unmodified</status>
      <modifiedWord/>
      <trackRevisions>false</trackRevisions>
    </reviewItem>
    <reviewItem>
      <errorID>7213108b-2831-4f7b-9c6e-8c1bb0af75e5</errorID>
      <errorWord>)</errorWord>
      <group>L1_Format</group>
      <groupName>格式问题</groupName>
      <ability>L2_HalfPunc</ability>
      <abilityName>全半角检查</abilityName>
      <candidateList>
        <item>）</item>
      </candidateList>
      <explain>文本全半角错误。</explain>
      <paraID> CA1CDF3</paraID>
      <start>1013</start>
      <end>1014</end>
      <status>unmodified</status>
      <modifiedWord/>
      <trackRevisions>false</trackRevisions>
    </reviewItem>
    <reviewItem>
      <errorID>754ce403-5652-46a9-915a-53fab7458e54</errorID>
      <errorWord>)</errorWord>
      <group>L1_Format</group>
      <groupName>格式问题</groupName>
      <ability>L2_HalfPunc</ability>
      <abilityName>全半角检查</abilityName>
      <candidateList>
        <item>）</item>
      </candidateList>
      <explain>文本全半角错误。</explain>
      <paraID> CA1CDF3</paraID>
      <start>1099</start>
      <end>1100</end>
      <status>unmodified</status>
      <modifiedWord/>
      <trackRevisions>false</trackRevisions>
    </reviewItem>
    <reviewItem>
      <errorID>303222b9-a3db-49df-813b-e79919a6aa24</errorID>
      <errorWord>)</errorWord>
      <group>L1_Format</group>
      <groupName>格式问题</groupName>
      <ability>L2_HalfPunc</ability>
      <abilityName>全半角检查</abilityName>
      <candidateList>
        <item>）</item>
      </candidateList>
      <explain>文本全半角错误。</explain>
      <paraID> CA1CDF3</paraID>
      <start>1132</start>
      <end>1133</end>
      <status>unmodified</status>
      <modifiedWord/>
      <trackRevisions>false</trackRevisions>
    </reviewItem>
    <reviewItem>
      <errorID>58bf927c-f8fd-46d6-bede-a9eb9600d351</errorID>
      <errorWord>)</errorWord>
      <group>L1_Format</group>
      <groupName>格式问题</groupName>
      <ability>L2_HalfPunc</ability>
      <abilityName>全半角检查</abilityName>
      <candidateList>
        <item>）</item>
      </candidateList>
      <explain>文本全半角错误。</explain>
      <paraID> CA1CDF3</paraID>
      <start>1164</start>
      <end>1165</end>
      <status>unmodified</status>
      <modifiedWord/>
      <trackRevisions>false</trackRevisions>
    </reviewItem>
    <reviewItem>
      <errorID>e43075e8-cedd-41ad-9319-225dfea17387</errorID>
      <errorWord>)</errorWord>
      <group>L1_Format</group>
      <groupName>格式问题</groupName>
      <ability>L2_HalfPunc</ability>
      <abilityName>全半角检查</abilityName>
      <candidateList>
        <item>）</item>
      </candidateList>
      <explain>文本全半角错误。</explain>
      <paraID> CA1CDF3</paraID>
      <start>1206</start>
      <end>1207</end>
      <status>unmodified</status>
      <modifiedWord/>
      <trackRevisions>false</trackRevisions>
    </reviewItem>
    <reviewItem>
      <errorID>c4228a44-697e-4034-80ed-d64ca35f5057</errorID>
      <errorWord>)</errorWord>
      <group>L1_Format</group>
      <groupName>格式问题</groupName>
      <ability>L2_HalfPunc</ability>
      <abilityName>全半角检查</abilityName>
      <candidateList>
        <item>）</item>
      </candidateList>
      <explain>文本全半角错误。</explain>
      <paraID> CA1CDF3</paraID>
      <start>1221</start>
      <end>1222</end>
      <status>unmodified</status>
      <modifiedWord/>
      <trackRevisions>false</trackRevisions>
    </reviewItem>
    <reviewItem>
      <errorID>029d273e-ac51-453d-9e84-9f978ac52f5a</errorID>
      <errorWord>)</errorWord>
      <group>L1_Format</group>
      <groupName>格式问题</groupName>
      <ability>L2_HalfPunc</ability>
      <abilityName>全半角检查</abilityName>
      <candidateList>
        <item>）</item>
      </candidateList>
      <explain>文本全半角错误。</explain>
      <paraID> CA1CDF3</paraID>
      <start>1236</start>
      <end>1237</end>
      <status>unmodified</status>
      <modifiedWord/>
      <trackRevisions>false</trackRevisions>
    </reviewItem>
    <reviewItem>
      <errorID>e4c21e6a-d765-4b27-8ee7-aeed646b1d13</errorID>
      <errorWord>)</errorWord>
      <group>L1_Format</group>
      <groupName>格式问题</groupName>
      <ability>L2_HalfPunc</ability>
      <abilityName>全半角检查</abilityName>
      <candidateList>
        <item>）</item>
      </candidateList>
      <explain>文本全半角错误。</explain>
      <paraID> CA1CDF3</paraID>
      <start>1260</start>
      <end>1261</end>
      <status>unmodified</status>
      <modifiedWord/>
      <trackRevisions>false</trackRevisions>
    </reviewItem>
    <reviewItem>
      <errorID>8e456119-db41-4313-979e-bcdbbe79cb39</errorID>
      <errorWord>)</errorWord>
      <group>L1_Format</group>
      <groupName>格式问题</groupName>
      <ability>L2_HalfPunc</ability>
      <abilityName>全半角检查</abilityName>
      <candidateList>
        <item>）</item>
      </candidateList>
      <explain>文本全半角错误。</explain>
      <paraID> CA1CDF3</paraID>
      <start>1453</start>
      <end>1454</end>
      <status>unmodified</status>
      <modifiedWord/>
      <trackRevisions>false</trackRevisions>
    </reviewItem>
    <reviewItem>
      <errorID>6248d76d-aa92-4506-911b-478ef9a77427</errorID>
      <errorWord>设备共</errorWord>
      <group>L1_Word</group>
      <groupName>字词问题</groupName>
      <ability>L2_Typo</ability>
      <abilityName>字词错误</abilityName>
      <candidateList>
        <item>设备</item>
      </candidateList>
      <explain>❶〈动〉设置以备应用：新建的工人俱乐部～得很不错。❷〈名〉进行某项工作或供应某种需要所必需的成套建筑或器物：厂房～｜机器～｜自来水～。</explain>
      <paraID> CA1CDF3</paraID>
      <start>1470</start>
      <end>1473</end>
      <status>unmodified</status>
      <modifiedWord/>
      <trackRevisions>false</trackRevisions>
    </reviewItem>
    <reviewItem>
      <errorID>984691c4-e8b1-41e7-aaa1-7bff572d8414</errorID>
      <errorWord>案列</errorWord>
      <group>L1_Word</group>
      <groupName>字词问题</groupName>
      <ability>L2_Typo</ability>
      <abilityName>字词错误</abilityName>
      <candidateList>
        <item>案例</item>
      </candidateList>
      <explain>〈名〉某种案件的例子：经济～｜典型～｜～分析。</explain>
      <paraID> CA1CDF3</paraID>
      <start>2027</start>
      <end>2031</end>
      <status>modified</status>
      <modifiedWord>案例</modifiedWord>
      <trackRevisions>true</trackRevisions>
    </reviewItem>
    <reviewItem>
      <errorID>c8b32f71-e0af-4169-b2cf-a9570b2a470d</errorID>
      <errorWord>)</errorWord>
      <group>L1_Format</group>
      <groupName>格式问题</groupName>
      <ability>L2_HalfPunc</ability>
      <abilityName>全半角检查</abilityName>
      <candidateList>
        <item>）</item>
      </candidateList>
      <explain>文本全半角错误。</explain>
      <paraID> CA1CDF3</paraID>
      <start>2166</start>
      <end>2167</end>
      <status>unmodified</status>
      <modifiedWord/>
      <trackRevisions>false</trackRevisions>
    </reviewItem>
    <reviewItem>
      <errorID>bea3e9d7-3fff-43ca-a6f7-7f68169b74e6</errorID>
      <errorWord>报障</errorWord>
      <group>L1_Word</group>
      <groupName>字词问题</groupName>
      <ability>L2_Typo</ability>
      <abilityName>字词错误</abilityName>
      <candidateList>
        <item>故障</item>
      </candidateList>
      <explain/>
      <paraID> CA1CDF3</paraID>
      <start>2511</start>
      <end>2513</end>
      <status>unmodified</status>
      <modifiedWord/>
      <trackRevisions>false</trackRevisions>
    </reviewItem>
    <reviewItem>
      <errorID>481d3f8c-89fc-4f57-9d7e-cb5b163c3f4c</errorID>
      <errorWord>报障</errorWord>
      <group>L1_Word</group>
      <groupName>字词问题</groupName>
      <ability>L2_Typo</ability>
      <abilityName>字词错误</abilityName>
      <candidateList>
        <item>故障</item>
      </candidateList>
      <explain/>
      <paraID> CA1CDF3</paraID>
      <start>2837</start>
      <end>2839</end>
      <status>unmodified</status>
      <modifiedWord/>
      <trackRevisions>false</trackRevisions>
    </reviewItem>
    <reviewItem>
      <errorID>8c2a53b5-621e-498d-a5c3-d11d7c5d52ba</errorID>
      <errorWord>析</errorWord>
      <group>L1_Word</group>
      <groupName>字词问题</groupName>
      <ability>L2_Typo</ability>
      <abilityName>字词错误</abilityName>
      <candidateList>
        <item>析和</item>
      </candidateList>
      <explain/>
      <paraID> CA1CDF3</paraID>
      <start>3407</start>
      <end>3408</end>
      <status>unmodified</status>
      <modifiedWord/>
      <trackRevisions>false</trackRevisions>
    </reviewItem>
    <reviewItem>
      <errorID>5510aea7-d51e-4903-86a7-448632b50323</errorID>
      <errorWord>报</errorWord>
      <group>L1_Word</group>
      <groupName>字词问题</groupName>
      <ability>L2_Typo</ability>
      <abilityName>字词错误</abilityName>
      <candidateList>
        <item>报告</item>
      </candidateList>
      <explain>❶〈动〉把事情或意见正式告诉上级或群众：你应当把事情的经过向领导～｜大会主席～了开会宗旨。❷〈名〉用口头或书面的形式向上级或群众所做的正式陈述：总结～｜动员～。</explain>
      <paraID> CA1CDF3</paraID>
      <start>3697</start>
      <end>3700</end>
      <status>modified</status>
      <modifiedWord>报告</modifiedWord>
      <trackRevisions>true</trackRevisions>
    </reviewItem>
    <reviewItem>
      <errorID>a19c30d6-6046-415f-867e-c89617ebc7cb</errorID>
      <errorWord>)</errorWord>
      <group>L1_Format</group>
      <groupName>格式问题</groupName>
      <ability>L2_HalfPunc</ability>
      <abilityName>全半角检查</abilityName>
      <candidateList>
        <item>）</item>
      </candidateList>
      <explain>文本全半角错误。</explain>
      <paraID> CA1CDF3</paraID>
      <start>3722</start>
      <end>3723</end>
      <status>unmodified</status>
      <modifiedWord/>
      <trackRevisions>false</trackRevisions>
    </reviewItem>
    <reviewItem>
      <errorID>f1a338c6-9f60-4364-a712-611493f1ce1a</errorID>
      <errorWord>问题的</errorWord>
      <group>L1_Word</group>
      <groupName>字词问题</groupName>
      <ability>L2_Typo</ability>
      <abilityName>字词错误</abilityName>
      <candidateList>
        <item>问题</item>
      </candidateList>
      <explain>〈名〉❶要求回答或解释的题目：这次考试一共有五个～｜我想答复一下这一类的～。❷须要研究讨论并加以解决的矛盾、疑难：思想～｜这种药治感冒很解决～。❸关键；重要之点：重要的～在善于学习。❹事故或麻烦：那部车床又出～了。</explain>
      <paraID>5A23FBF0</paraID>
      <start>861</start>
      <end>864</end>
      <status>unmodified</status>
      <modifiedWord/>
      <trackRevisions>false</trackRevisions>
    </reviewItem>
    <reviewItem>
      <errorID>d44a535d-4c24-4d6a-b452-ce92149fe6e9</errorID>
      <errorWord>最高人员法院</errorWord>
      <group>L1_Political</group>
      <groupName>政治性问题</groupName>
      <ability>L2_Keyword</ability>
      <abilityName>固定表述</abilityName>
      <candidateList>
        <item>最高人民法院</item>
      </candidateList>
      <explain>词汇“最高人民法院”在特定场景下为固定表述形式，请确认此处的“最高人员法院”是否存在不当。</explain>
      <paraID>2958A784</paraID>
      <start>242</start>
      <end>254</end>
      <status>modified</status>
      <modifiedWord>最高人民法院</modifiedWord>
      <trackRevisions>true</trackRevisions>
    </reviewItem>
    <reviewItem>
      <errorID>2c3ebcd1-3606-4c87-8af1-05c0668d894c</errorID>
      <errorWord>织</errorWord>
      <group>L1_Word</group>
      <groupName>字词问题</groupName>
      <ability>L2_Typo</ability>
      <abilityName>字词错误</abilityName>
      <candidateList>
        <item>织的</item>
      </candidateList>
      <explain/>
      <paraID>2958A784</paraID>
      <start>255</start>
      <end>256</end>
      <status>ignored</status>
      <modifiedWord/>
      <trackRevisions>false</trackRevisions>
    </reviewItem>
    <reviewItem>
      <errorID>834b3090-70cd-473c-bad5-86c875129b18</errorID>
      <errorWord>练</errorWord>
      <group>L1_Word</group>
      <groupName>字词问题</groupName>
      <ability>L2_Typo</ability>
      <abilityName>字词错误</abilityName>
      <candidateList>
        <item>练和</item>
      </candidateList>
      <explain/>
      <paraID>2958A784</paraID>
      <start>320</start>
      <end>321</end>
      <status>ignored</status>
      <modifiedWord/>
      <trackRevisions>false</trackRevisions>
    </reviewItem>
    <reviewItem>
      <errorID>c882ac39-89e9-480b-af10-d4a088dfcad2</errorID>
      <errorWord>拟订</errorWord>
      <group>L1_Word</group>
      <groupName>字词问题</groupName>
      <ability>L2_Typo</ability>
      <abilityName>字词错误</abilityName>
      <candidateList>
        <item>拟定</item>
      </candidateList>
      <explain/>
      <paraID>5643DCE1</paraID>
      <start>84</start>
      <end>86</end>
      <status>unmodified</status>
      <modifiedWord/>
      <trackRevisions>false</trackRevisions>
    </reviewItem>
    <reviewItem>
      <errorID>d89effe9-8b14-4251-8918-e932e9a3114e</errorID>
      <errorWord>流中</errorWord>
      <group>L1_Word</group>
      <groupName>字词问题</groupName>
      <ability>L2_Typo</ability>
      <abilityName>字词错误</abilityName>
      <candidateList>
        <item>流程</item>
      </candidateList>
      <explain/>
      <paraID> DE2FC26</paraID>
      <start>15</start>
      <end>19</end>
      <status>modified</status>
      <modifiedWord>流程</modifiedWord>
      <trackRevisions>true</trackRevisions>
    </reviewItem>
    <reviewItem>
      <errorID>8db6088f-c981-4cbe-b97e-8a3d12b7a7f2</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DF61CC2</paraID>
      <start>58</start>
      <end>59</end>
      <status>unmodified</status>
      <modifiedWord/>
      <trackRevisions>false</trackRevisions>
    </reviewItem>
    <reviewItem>
      <errorID>bb034c3e-944a-4691-81f4-f86020beb4b4</errorID>
      <errorWord>给与</errorWord>
      <group>L1_Word</group>
      <groupName>字词问题</groupName>
      <ability>L2_Alias</ability>
      <abilityName>也作/曾用词</abilityName>
      <candidateList>
        <item>给予</item>
      </candidateList>
      <explain>词汇[给与]为不规范表述或旧称，其规范书面表述为[给予]。</explain>
      <paraID>74D9B7B4</paraID>
      <start>12</start>
      <end>16</end>
      <status>modified</status>
      <modifiedWord>给予</modifiedWord>
      <trackRevisions>true</trackRevisions>
    </reviewItem>
    <reviewItem>
      <errorID>c96f3e93-d295-47da-8327-a3b744d759bd</errorID>
      <errorWord>两</errorWord>
      <group>L1_Word</group>
      <groupName>字词问题</groupName>
      <ability>L2_Typo</ability>
      <abilityName>字词错误</abilityName>
      <candidateList>
        <item>两个</item>
      </candidateList>
      <explain/>
      <paraID>621B6230</paraID>
      <start>4</start>
      <end>7</end>
      <status>modified</status>
      <modifiedWord>两个</modifiedWord>
      <trackRevisions>true</trackRevisions>
    </reviewItem>
    <reviewItem>
      <errorID>1188f43b-5fe9-4276-97a1-5feffc6f31fe</errorID>
      <errorWord>给与</errorWord>
      <group>L1_Word</group>
      <groupName>字词问题</groupName>
      <ability>L2_Alias</ability>
      <abilityName>也作/曾用词</abilityName>
      <candidateList>
        <item>给予</item>
      </candidateList>
      <explain>词汇[给与]为不规范表述或旧称，其规范书面表述为[给予]。</explain>
      <paraID>621B6230</paraID>
      <start>16</start>
      <end>20</end>
      <status>modified</status>
      <modifiedWord>给予</modifiedWord>
      <trackRevisions>true</trackRevisions>
    </reviewItem>
    <reviewItem>
      <errorID>58ed6553-a3cc-489c-abac-e7e160ee1971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6CF38DEC</paraID>
      <start>29</start>
      <end>30</end>
      <status>ignored</status>
      <modifiedWord/>
      <trackRevisions>false</trackRevisions>
    </reviewItem>
    <reviewItem>
      <errorID>064ecc6a-a6fa-4177-9f46-f1001bc7aba9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6CF38DEC</paraID>
      <start>47</start>
      <end>48</end>
      <status>ignored</status>
      <modifiedWord/>
      <trackRevisions>false</trackRevisions>
    </reviewItem>
    <reviewItem>
      <errorID>080fe035-b05e-4042-b2be-5c56dd4b0ab1</errorID>
      <errorWord>最高法院</errorWord>
      <group>L1_Knowledge</group>
      <groupName>知识性问题</groupName>
      <ability>L2_Organization</ability>
      <abilityName>机构检查</abilityName>
      <candidateList>
        <item>最高人民法院</item>
      </candidateList>
      <explain>机关单位全简称表述错误</explain>
      <paraID>41F3E2F7</paraID>
      <start>26</start>
      <end>30</end>
      <status>ignored</status>
      <modifiedWord/>
      <trackRevisions>false</trackRevisions>
    </reviewItem>
    <reviewItem>
      <errorID>260cfbe4-d4ef-48eb-bac2-4de6848b8240</errorID>
      <errorWord>最高法院</errorWord>
      <group>L1_Knowledge</group>
      <groupName>知识性问题</groupName>
      <ability>L2_Organization</ability>
      <abilityName>机构检查</abilityName>
      <candidateList>
        <item>最高人民法院</item>
      </candidateList>
      <explain>机关单位全简称表述错误</explain>
      <paraID>41F3E2F7</paraID>
      <start>56</start>
      <end>60</end>
      <status>ignored</status>
      <modifiedWord/>
      <trackRevisions>false</trackRevisions>
    </reviewItem>
    <reviewItem>
      <errorID>bb0db87c-4745-4490-91f0-b083ca200a87</errorID>
      <errorWord>向</errorWord>
      <group>L1_Word</group>
      <groupName>字词问题</groupName>
      <ability>L2_Typo</ability>
      <abilityName>字词错误</abilityName>
      <candidateList>
        <item>与</item>
      </candidateList>
      <explain>存在字形相近字词的误用。</explain>
      <paraID>27C33A3C</paraID>
      <start>4</start>
      <end>5</end>
      <status>unmodified</status>
      <modifiedWord/>
      <trackRevisions>false</trackRevisions>
    </reviewItem>
    <reviewItem>
      <errorID>25c5cdb7-ebf5-44e9-b1e8-1c5251d810ac</errorID>
      <errorWord>行诱</errorWord>
      <group>L1_Word</group>
      <groupName>字词问题</groupName>
      <ability>L2_Typo</ability>
      <abilityName>字词错误</abilityName>
      <candidateList>
        <item>行行</item>
      </candidateList>
      <explain/>
      <paraID>367C5905</paraID>
      <start>43</start>
      <end>45</end>
      <status>unmodified</status>
      <modifiedWord/>
      <trackRevisions>false</trackRevisions>
    </reviewItem>
    <reviewItem>
      <errorID>aa355d55-239e-45f6-9745-410be3442d2e</errorID>
      <errorWord>（</errorWord>
      <group>L1_Punc</group>
      <groupName>标点问题</groupName>
      <ability>L2_Punc</ability>
      <abilityName>标点符号检查</abilityName>
      <candidateList/>
      <explain/>
      <paraID>17DFA514</paraID>
      <start>25</start>
      <end>26</end>
      <status>unmodified</status>
      <modifiedWord/>
      <trackRevisions>false</trackRevisions>
    </reviewItem>
    <reviewItem>
      <errorID>a32c8d25-29cf-45c1-9a74-18d158ea4be9</errorID>
      <errorWord>(</errorWord>
      <group>L1_Format</group>
      <groupName>格式问题</groupName>
      <ability>L2_HalfPunc</ability>
      <abilityName>全半角检查</abilityName>
      <candidateList>
        <item>（</item>
      </candidateList>
      <explain>文本全半角错误。</explain>
      <paraID> 39EF0DA</paraID>
      <start>11</start>
      <end>12</end>
      <status>unmodified</status>
      <modifiedWord/>
      <trackRevisions>false</trackRevisions>
    </reviewItem>
    <reviewItem>
      <errorID>cd72fd99-fddf-4807-b8d0-6c46dc1e7480</errorID>
      <errorWord>)</errorWord>
      <group>L1_Format</group>
      <groupName>格式问题</groupName>
      <ability>L2_HalfPunc</ability>
      <abilityName>全半角检查</abilityName>
      <candidateList>
        <item>）</item>
      </candidateList>
      <explain>文本全半角错误。</explain>
      <paraID> 39EF0DA</paraID>
      <start>22</start>
      <end>23</end>
      <status>unmodified</status>
      <modifiedWord/>
      <trackRevisions>false</trackRevisions>
    </reviewItem>
    <reviewItem>
      <errorID>ed9cf141-b876-492d-9487-8004553725cd</errorID>
      <errorWord>(</errorWord>
      <group>L1_Punc</group>
      <groupName>标点问题</groupName>
      <ability>L2_Punc</ability>
      <abilityName>标点符号检查</abilityName>
      <candidateList/>
      <explain/>
      <paraID>3E3573ED</paraID>
      <start>8</start>
      <end>9</end>
      <status>unmodified</status>
      <modifiedWord/>
      <trackRevisions>false</trackRevisions>
    </reviewItem>
    <reviewItem>
      <errorID>53e84a1f-ed02-48e3-8c03-ad5967413b41</errorID>
      <errorWord>（</errorWord>
      <group>L1_Punc</group>
      <groupName>标点问题</groupName>
      <ability>L2_Punc</ability>
      <abilityName>标点符号检查</abilityName>
      <candidateList/>
      <explain/>
      <paraID>657C2762</paraID>
      <start>71</start>
      <end>72</end>
      <status>unmodified</status>
      <modifiedWord/>
      <trackRevisions>false</trackRevisions>
    </reviewItem>
    <reviewItem>
      <errorID>27f7b7dd-6403-4e55-9459-965747343042</errorID>
      <errorWord>(</errorWord>
      <group>L1_Format</group>
      <groupName>格式问题</groupName>
      <ability>L2_HalfPunc</ability>
      <abilityName>全半角检查</abilityName>
      <candidateList>
        <item>（</item>
      </candidateList>
      <explain>文本全半角错误。</explain>
      <paraID>418CC303</paraID>
      <start>8</start>
      <end>9</end>
      <status>unmodified</status>
      <modifiedWord/>
      <trackRevisions>false</trackRevisions>
    </reviewItem>
    <reviewItem>
      <errorID>7688f328-3383-4479-ba34-d291f2900a67</errorID>
      <errorWord>)</errorWord>
      <group>L1_Format</group>
      <groupName>格式问题</groupName>
      <ability>L2_HalfPunc</ability>
      <abilityName>全半角检查</abilityName>
      <candidateList>
        <item>）</item>
      </candidateList>
      <explain>文本全半角错误。</explain>
      <paraID>418CC303</paraID>
      <start>19</start>
      <end>20</end>
      <status>unmodified</status>
      <modifiedWord/>
      <trackRevisions>false</trackRevisions>
    </reviewItem>
    <reviewItem>
      <errorID>86c7ab7a-5e17-4927-9d7c-9080d63de6dc</errorID>
      <errorWord>＜</errorWord>
      <group>L1_Format</group>
      <groupName>格式问题</groupName>
      <ability>L2_HalfPunc</ability>
      <abilityName>全半角检查</abilityName>
      <candidateList>
        <item>&lt;</item>
      </candidateList>
      <explain>文本全半角错误。</explain>
      <paraID> 838AB84</paraID>
      <start>5</start>
      <end>6</end>
      <status>unmodified</status>
      <modifiedWord/>
      <trackRevisions>false</trackRevisions>
    </reviewItem>
    <reviewItem>
      <errorID>e62ed61f-125d-4664-a7a3-5ca70117b90f</errorID>
      <errorWord>＜</errorWord>
      <group>L1_Format</group>
      <groupName>格式问题</groupName>
      <ability>L2_HalfPunc</ability>
      <abilityName>全半角检查</abilityName>
      <candidateList>
        <item>&lt;</item>
      </candidateList>
      <explain>文本全半角错误。</explain>
      <paraID>48A49883</paraID>
      <start>4</start>
      <end>5</end>
      <status>unmodified</status>
      <modifiedWord/>
      <trackRevisions>false</trackRevisions>
    </reviewItem>
    <reviewItem>
      <errorID>40f51304-d957-4023-bef7-8ab044d05bed</errorID>
      <errorWord>＜</errorWord>
      <group>L1_Format</group>
      <groupName>格式问题</groupName>
      <ability>L2_HalfPunc</ability>
      <abilityName>全半角检查</abilityName>
      <candidateList>
        <item>&lt;</item>
      </candidateList>
      <explain>文本全半角错误。</explain>
      <paraID>4214DE61</paraID>
      <start>1</start>
      <end>2</end>
      <status>unmodified</status>
      <modifiedWord/>
      <trackRevisions>false</trackRevisions>
    </reviewItem>
    <reviewItem>
      <errorID>e59377d1-b0d5-44a2-81dc-58d55c0f7d50</errorID>
      <errorWord>＜</errorWord>
      <group>L1_Format</group>
      <groupName>格式问题</groupName>
      <ability>L2_HalfPunc</ability>
      <abilityName>全半角检查</abilityName>
      <candidateList>
        <item>&lt;</item>
      </candidateList>
      <explain>文本全半角错误。</explain>
      <paraID>4FB65AC5</paraID>
      <start>5</start>
      <end>6</end>
      <status>unmodified</status>
      <modifiedWord/>
      <trackRevisions>false</trackRevisions>
    </reviewItem>
    <reviewItem>
      <errorID>d7b4eedc-c0f0-4a59-bd1c-1430f9af35a4</errorID>
      <errorWord>＜</errorWord>
      <group>L1_Format</group>
      <groupName>格式问题</groupName>
      <ability>L2_HalfPunc</ability>
      <abilityName>全半角检查</abilityName>
      <candidateList>
        <item>&lt;</item>
      </candidateList>
      <explain>文本全半角错误。</explain>
      <paraID>72D2456E</paraID>
      <start>4</start>
      <end>5</end>
      <status>unmodified</status>
      <modifiedWord/>
      <trackRevisions>false</trackRevisions>
    </reviewItem>
    <reviewItem>
      <errorID>5e9f9e5a-ebcd-486c-9ce9-5d57e26846db</errorID>
      <errorWord>＜</errorWord>
      <group>L1_Format</group>
      <groupName>格式问题</groupName>
      <ability>L2_HalfPunc</ability>
      <abilityName>全半角检查</abilityName>
      <candidateList>
        <item>&lt;</item>
      </candidateList>
      <explain>文本全半角错误。</explain>
      <paraID>143D5660</paraID>
      <start>1</start>
      <end>2</end>
      <status>unmodified</status>
      <modifiedWord/>
      <trackRevisions>false</trackRevisions>
    </reviewItem>
    <reviewItem>
      <errorID>442f0800-9724-40b7-8760-bcbc8b3ad303</errorID>
      <errorWord>＜</errorWord>
      <group>L1_Format</group>
      <groupName>格式问题</groupName>
      <ability>L2_HalfPunc</ability>
      <abilityName>全半角检查</abilityName>
      <candidateList>
        <item>&lt;</item>
      </candidateList>
      <explain>文本全半角错误。</explain>
      <paraID>3F45195E</paraID>
      <start>6</start>
      <end>7</end>
      <status>unmodified</status>
      <modifiedWord/>
      <trackRevisions>false</trackRevisions>
    </reviewItem>
    <reviewItem>
      <errorID>3bcc2b2d-cbd9-450b-a4da-0a0eead0383b</errorID>
      <errorWord>＜</errorWord>
      <group>L1_Format</group>
      <groupName>格式问题</groupName>
      <ability>L2_HalfPunc</ability>
      <abilityName>全半角检查</abilityName>
      <candidateList>
        <item>&lt;</item>
      </candidateList>
      <explain>文本全半角错误。</explain>
      <paraID>5D0E0B99</paraID>
      <start>5</start>
      <end>6</end>
      <status>unmodified</status>
      <modifiedWord/>
      <trackRevisions>false</trackRevisions>
    </reviewItem>
    <reviewItem>
      <errorID>af1a88c3-e9b8-467a-b7d7-a31e3cbdfc2b</errorID>
      <errorWord>＜</errorWord>
      <group>L1_Format</group>
      <groupName>格式问题</groupName>
      <ability>L2_HalfPunc</ability>
      <abilityName>全半角检查</abilityName>
      <candidateList>
        <item>&lt;</item>
      </candidateList>
      <explain>文本全半角错误。</explain>
      <paraID>1D5ADFB9</paraID>
      <start>1</start>
      <end>2</end>
      <status>unmodified</status>
      <modifiedWord/>
      <trackRevisions>false</trackRevisions>
    </reviewItem>
    <reviewItem>
      <errorID>b9687341-dcfc-4e11-8cbd-2f4bf1a27668</errorID>
      <errorWord>＜</errorWord>
      <group>L1_Format</group>
      <groupName>格式问题</groupName>
      <ability>L2_HalfPunc</ability>
      <abilityName>全半角检查</abilityName>
      <candidateList>
        <item>&lt;</item>
      </candidateList>
      <explain>文本全半角错误。</explain>
      <paraID> E062CD0</paraID>
      <start>6</start>
      <end>7</end>
      <status>unmodified</status>
      <modifiedWord/>
      <trackRevisions>false</trackRevisions>
    </reviewItem>
    <reviewItem>
      <errorID>91604097-20db-4622-b2d8-da600b7bdd80</errorID>
      <errorWord>＜</errorWord>
      <group>L1_Format</group>
      <groupName>格式问题</groupName>
      <ability>L2_HalfPunc</ability>
      <abilityName>全半角检查</abilityName>
      <candidateList>
        <item>&lt;</item>
      </candidateList>
      <explain>文本全半角错误。</explain>
      <paraID>48399ABE</paraID>
      <start>5</start>
      <end>6</end>
      <status>unmodified</status>
      <modifiedWord/>
      <trackRevisions>false</trackRevisions>
    </reviewItem>
    <reviewItem>
      <errorID>a6692d91-f4cb-4d0b-955b-3660c684b2b8</errorID>
      <errorWord>＜</errorWord>
      <group>L1_Format</group>
      <groupName>格式问题</groupName>
      <ability>L2_HalfPunc</ability>
      <abilityName>全半角检查</abilityName>
      <candidateList>
        <item>&lt;</item>
      </candidateList>
      <explain>文本全半角错误。</explain>
      <paraID>3547BC96</paraID>
      <start>1</start>
      <end>2</end>
      <status>unmodified</status>
      <modifiedWord/>
      <trackRevisions>false</trackRevisions>
    </reviewItem>
    <reviewItem>
      <errorID>df43afc9-a56b-463f-b966-db06514a1990</errorID>
      <errorWord>＜</errorWord>
      <group>L1_Format</group>
      <groupName>格式问题</groupName>
      <ability>L2_HalfPunc</ability>
      <abilityName>全半角检查</abilityName>
      <candidateList>
        <item>&lt;</item>
      </candidateList>
      <explain>文本全半角错误。</explain>
      <paraID>74162443</paraID>
      <start>6</start>
      <end>7</end>
      <status>unmodified</status>
      <modifiedWord/>
      <trackRevisions>false</trackRevisions>
    </reviewItem>
    <reviewItem>
      <errorID>870f15f4-65da-423d-8785-d51fe1b814d3</errorID>
      <errorWord>＜</errorWord>
      <group>L1_Format</group>
      <groupName>格式问题</groupName>
      <ability>L2_HalfPunc</ability>
      <abilityName>全半角检查</abilityName>
      <candidateList>
        <item>&lt;</item>
      </candidateList>
      <explain>文本全半角错误。</explain>
      <paraID>52802F97</paraID>
      <start>5</start>
      <end>6</end>
      <status>unmodified</status>
      <modifiedWord/>
      <trackRevisions>false</trackRevisions>
    </reviewItem>
    <reviewItem>
      <errorID>896bcbfb-a10c-4383-8300-b910043f5551</errorID>
      <errorWord>＜</errorWord>
      <group>L1_Format</group>
      <groupName>格式问题</groupName>
      <ability>L2_HalfPunc</ability>
      <abilityName>全半角检查</abilityName>
      <candidateList>
        <item>&lt;</item>
      </candidateList>
      <explain>文本全半角错误。</explain>
      <paraID>44190A0F</paraID>
      <start>1</start>
      <end>2</end>
      <status>unmodified</status>
      <modifiedWord/>
      <trackRevisions>false</trackRevisions>
    </reviewItem>
    <reviewItem>
      <errorID>38a0222c-f7ab-4105-987c-00a02595308d</errorID>
      <errorWord>＜</errorWord>
      <group>L1_Format</group>
      <groupName>格式问题</groupName>
      <ability>L2_HalfPunc</ability>
      <abilityName>全半角检查</abilityName>
      <candidateList>
        <item>&lt;</item>
      </candidateList>
      <explain>文本全半角错误。</explain>
      <paraID>6A41C7C9</paraID>
      <start>4</start>
      <end>5</end>
      <status>unmodified</status>
      <modifiedWord/>
      <trackRevisions>false</trackRevisions>
    </reviewItem>
    <reviewItem>
      <errorID>4b667709-f665-445d-9e19-c8ef5469558a</errorID>
      <errorWord>＜</errorWord>
      <group>L1_Format</group>
      <groupName>格式问题</groupName>
      <ability>L2_HalfPunc</ability>
      <abilityName>全半角检查</abilityName>
      <candidateList>
        <item>&lt;</item>
      </candidateList>
      <explain>文本全半角错误。</explain>
      <paraID>104385C6</paraID>
      <start>3</start>
      <end>4</end>
      <status>unmodified</status>
      <modifiedWord/>
      <trackRevisions>false</trackRevisions>
    </reviewItem>
    <reviewItem>
      <errorID>f7622aef-23b9-41a1-bc69-5c6cb1b4ec60</errorID>
      <errorWord>＜</errorWord>
      <group>L1_Format</group>
      <groupName>格式问题</groupName>
      <ability>L2_HalfPunc</ability>
      <abilityName>全半角检查</abilityName>
      <candidateList>
        <item>&lt;</item>
      </candidateList>
      <explain>文本全半角错误。</explain>
      <paraID>35CD9603</paraID>
      <start>1</start>
      <end>2</end>
      <status>unmodified</status>
      <modifiedWord/>
      <trackRevisions>false</trackRevisions>
    </reviewItem>
    <reviewItem>
      <errorID>a7d6a37c-bcfa-4586-9d70-f0984c73440b</errorID>
      <errorWord>＜</errorWord>
      <group>L1_Format</group>
      <groupName>格式问题</groupName>
      <ability>L2_HalfPunc</ability>
      <abilityName>全半角检查</abilityName>
      <candidateList>
        <item>&lt;</item>
      </candidateList>
      <explain>文本全半角错误。</explain>
      <paraID> 4B7CE65</paraID>
      <start>6</start>
      <end>7</end>
      <status>unmodified</status>
      <modifiedWord/>
      <trackRevisions>false</trackRevisions>
    </reviewItem>
    <reviewItem>
      <errorID>67692648-7838-4917-8b82-aa455965677d</errorID>
      <errorWord>＜</errorWord>
      <group>L1_Format</group>
      <groupName>格式问题</groupName>
      <ability>L2_HalfPunc</ability>
      <abilityName>全半角检查</abilityName>
      <candidateList>
        <item>&lt;</item>
      </candidateList>
      <explain>文本全半角错误。</explain>
      <paraID>1C1E3AF6</paraID>
      <start>6</start>
      <end>7</end>
      <status>unmodified</status>
      <modifiedWord/>
      <trackRevisions>false</trackRevisions>
    </reviewItem>
    <reviewItem>
      <errorID>c97027f2-5e1d-4492-a459-419f2937e01d</errorID>
      <errorWord>＜</errorWord>
      <group>L1_Format</group>
      <groupName>格式问题</groupName>
      <ability>L2_HalfPunc</ability>
      <abilityName>全半角检查</abilityName>
      <candidateList>
        <item>&lt;</item>
      </candidateList>
      <explain>文本全半角错误。</explain>
      <paraID>31C6A383</paraID>
      <start>1</start>
      <end>2</end>
      <status>unmodified</status>
      <modifiedWord/>
      <trackRevisions>false</trackRevisions>
    </reviewItem>
    <reviewItem>
      <errorID>612428f3-03cd-4084-9484-3199641a37b0</errorID>
      <errorWord>＜</errorWord>
      <group>L1_Format</group>
      <groupName>格式问题</groupName>
      <ability>L2_HalfPunc</ability>
      <abilityName>全半角检查</abilityName>
      <candidateList>
        <item>&lt;</item>
      </candidateList>
      <explain>文本全半角错误。</explain>
      <paraID>169913CF</paraID>
      <start>4</start>
      <end>5</end>
      <status>unmodified</status>
      <modifiedWord/>
      <trackRevisions>false</trackRevisions>
    </reviewItem>
    <reviewItem>
      <errorID>a7ecaba5-a640-471b-b6ce-82fc148aebbc</errorID>
      <errorWord>＜</errorWord>
      <group>L1_Format</group>
      <groupName>格式问题</groupName>
      <ability>L2_HalfPunc</ability>
      <abilityName>全半角检查</abilityName>
      <candidateList>
        <item>&lt;</item>
      </candidateList>
      <explain>文本全半角错误。</explain>
      <paraID>5EDCB59B</paraID>
      <start>4</start>
      <end>5</end>
      <status>unmodified</status>
      <modifiedWord/>
      <trackRevisions>false</trackRevisions>
    </reviewItem>
    <reviewItem>
      <errorID>06d0b3e7-8f18-42e6-952a-b41174e669b5</errorID>
      <errorWord>＜</errorWord>
      <group>L1_Format</group>
      <groupName>格式问题</groupName>
      <ability>L2_HalfPunc</ability>
      <abilityName>全半角检查</abilityName>
      <candidateList>
        <item>&lt;</item>
      </candidateList>
      <explain>文本全半角错误。</explain>
      <paraID>2AAB097B</paraID>
      <start>1</start>
      <end>2</end>
      <status>unmodified</status>
      <modifiedWord/>
      <trackRevisions>false</trackRevisions>
    </reviewItem>
    <reviewItem>
      <errorID>363b5ab9-dd7e-4222-8a6d-95848884c3c9</errorID>
      <errorWord>＜</errorWord>
      <group>L1_Format</group>
      <groupName>格式问题</groupName>
      <ability>L2_HalfPunc</ability>
      <abilityName>全半角检查</abilityName>
      <candidateList>
        <item>&lt;</item>
      </candidateList>
      <explain>文本全半角错误。</explain>
      <paraID>69B328F5</paraID>
      <start>5</start>
      <end>6</end>
      <status>unmodified</status>
      <modifiedWord/>
      <trackRevisions>false</trackRevisions>
    </reviewItem>
    <reviewItem>
      <errorID>8f04934d-35c8-4a54-a5c4-c72a070906a1</errorID>
      <errorWord>＜</errorWord>
      <group>L1_Format</group>
      <groupName>格式问题</groupName>
      <ability>L2_HalfPunc</ability>
      <abilityName>全半角检查</abilityName>
      <candidateList>
        <item>&lt;</item>
      </candidateList>
      <explain>文本全半角错误。</explain>
      <paraID>7F30064C</paraID>
      <start>5</start>
      <end>6</end>
      <status>unmodified</status>
      <modifiedWord/>
      <trackRevisions>false</trackRevisions>
    </reviewItem>
    <reviewItem>
      <errorID>8ffc4b42-67de-4190-95ed-d6587aff7a81</errorID>
      <errorWord>＜</errorWord>
      <group>L1_Format</group>
      <groupName>格式问题</groupName>
      <ability>L2_HalfPunc</ability>
      <abilityName>全半角检查</abilityName>
      <candidateList>
        <item>&lt;</item>
      </candidateList>
      <explain>文本全半角错误。</explain>
      <paraID>2B18D46B</paraID>
      <start>1</start>
      <end>2</end>
      <status>unmodified</status>
      <modifiedWord/>
      <trackRevisions>false</trackRevisions>
    </reviewItem>
    <reviewItem>
      <errorID>4a5b10e2-1c41-4dde-97c3-cc3835ae3bab</errorID>
      <errorWord>＜</errorWord>
      <group>L1_Format</group>
      <groupName>格式问题</groupName>
      <ability>L2_HalfPunc</ability>
      <abilityName>全半角检查</abilityName>
      <candidateList>
        <item>&lt;</item>
      </candidateList>
      <explain>文本全半角错误。</explain>
      <paraID> 5C0A7B3</paraID>
      <start>5</start>
      <end>6</end>
      <status>unmodified</status>
      <modifiedWord/>
      <trackRevisions>false</trackRevisions>
    </reviewItem>
    <reviewItem>
      <errorID>235d25a8-d639-446a-bda5-de63557a1abc</errorID>
      <errorWord>＜</errorWord>
      <group>L1_Format</group>
      <groupName>格式问题</groupName>
      <ability>L2_HalfPunc</ability>
      <abilityName>全半角检查</abilityName>
      <candidateList>
        <item>&lt;</item>
      </candidateList>
      <explain>文本全半角错误。</explain>
      <paraID>5A9DC594</paraID>
      <start>4</start>
      <end>5</end>
      <status>unmodified</status>
      <modifiedWord/>
      <trackRevisions>false</trackRevisions>
    </reviewItem>
    <reviewItem>
      <errorID>9ce4400d-16b7-4859-a712-d24b0abf40b3</errorID>
      <errorWord>＜</errorWord>
      <group>L1_Format</group>
      <groupName>格式问题</groupName>
      <ability>L2_HalfPunc</ability>
      <abilityName>全半角检查</abilityName>
      <candidateList>
        <item>&lt;</item>
      </candidateList>
      <explain>文本全半角错误。</explain>
      <paraID> 68B3F03</paraID>
      <start>1</start>
      <end>2</end>
      <status>unmodified</status>
      <modifiedWord/>
      <trackRevisions>false</trackRevisions>
    </reviewItem>
    <reviewItem>
      <errorID>250a8ab5-b519-44df-b77c-cb86ac345163</errorID>
      <errorWord>＜</errorWord>
      <group>L1_Format</group>
      <groupName>格式问题</groupName>
      <ability>L2_HalfPunc</ability>
      <abilityName>全半角检查</abilityName>
      <candidateList>
        <item>&lt;</item>
      </candidateList>
      <explain>文本全半角错误。</explain>
      <paraID>1A48C542</paraID>
      <start>6</start>
      <end>7</end>
      <status>unmodified</status>
      <modifiedWord/>
      <trackRevisions>false</trackRevisions>
    </reviewItem>
    <reviewItem>
      <errorID>b6ef9aa6-d6e4-460b-bb64-1789fdb56778</errorID>
      <errorWord>＜</errorWord>
      <group>L1_Format</group>
      <groupName>格式问题</groupName>
      <ability>L2_HalfPunc</ability>
      <abilityName>全半角检查</abilityName>
      <candidateList>
        <item>&lt;</item>
      </candidateList>
      <explain>文本全半角错误。</explain>
      <paraID>4D815459</paraID>
      <start>5</start>
      <end>6</end>
      <status>unmodified</status>
      <modifiedWord/>
      <trackRevisions>false</trackRevisions>
    </reviewItem>
    <reviewItem>
      <errorID>1c0115af-69ee-4270-8b96-6e30d2068fc5</errorID>
      <errorWord>＜</errorWord>
      <group>L1_Format</group>
      <groupName>格式问题</groupName>
      <ability>L2_HalfPunc</ability>
      <abilityName>全半角检查</abilityName>
      <candidateList>
        <item>&lt;</item>
      </candidateList>
      <explain>文本全半角错误。</explain>
      <paraID>749810C3</paraID>
      <start>1</start>
      <end>2</end>
      <status>unmodified</status>
      <modifiedWord/>
      <trackRevisions>false</trackRevisions>
    </reviewItem>
    <reviewItem>
      <errorID>1e5cf8bc-ae47-457f-905b-1114ee2496dc</errorID>
      <errorWord>＜</errorWord>
      <group>L1_Format</group>
      <groupName>格式问题</groupName>
      <ability>L2_HalfPunc</ability>
      <abilityName>全半角检查</abilityName>
      <candidateList>
        <item>&lt;</item>
      </candidateList>
      <explain>文本全半角错误。</explain>
      <paraID>530CD53F</paraID>
      <start>5</start>
      <end>6</end>
      <status>unmodified</status>
      <modifiedWord/>
      <trackRevisions>false</trackRevisions>
    </reviewItem>
    <reviewItem>
      <errorID>c6f199ca-79df-47a1-ba0d-bf640e88235b</errorID>
      <errorWord>＜</errorWord>
      <group>L1_Format</group>
      <groupName>格式问题</groupName>
      <ability>L2_HalfPunc</ability>
      <abilityName>全半角检查</abilityName>
      <candidateList>
        <item>&lt;</item>
      </candidateList>
      <explain>文本全半角错误。</explain>
      <paraID>3F53FB53</paraID>
      <start>4</start>
      <end>5</end>
      <status>unmodified</status>
      <modifiedWord/>
      <trackRevisions>false</trackRevisions>
    </reviewItem>
    <reviewItem>
      <errorID>c9aee810-1575-4ec6-a717-6f0164977f5c</errorID>
      <errorWord>＜</errorWord>
      <group>L1_Format</group>
      <groupName>格式问题</groupName>
      <ability>L2_HalfPunc</ability>
      <abilityName>全半角检查</abilityName>
      <candidateList>
        <item>&lt;</item>
      </candidateList>
      <explain>文本全半角错误。</explain>
      <paraID>39BCE048</paraID>
      <start>1</start>
      <end>2</end>
      <status>unmodified</status>
      <modifiedWord/>
      <trackRevisions>false</trackRevisions>
    </reviewItem>
    <reviewItem>
      <errorID>b492c643-e5c5-470b-8e19-a28b96791d28</errorID>
      <errorWord>＜</errorWord>
      <group>L1_Format</group>
      <groupName>格式问题</groupName>
      <ability>L2_HalfPunc</ability>
      <abilityName>全半角检查</abilityName>
      <candidateList>
        <item>&lt;</item>
      </candidateList>
      <explain>文本全半角错误。</explain>
      <paraID>64DF22AA</paraID>
      <start>6</start>
      <end>7</end>
      <status>unmodified</status>
      <modifiedWord/>
      <trackRevisions>false</trackRevisions>
    </reviewItem>
    <reviewItem>
      <errorID>bb284e64-8de7-416c-8f6b-c47782e26e25</errorID>
      <errorWord>＜</errorWord>
      <group>L1_Format</group>
      <groupName>格式问题</groupName>
      <ability>L2_HalfPunc</ability>
      <abilityName>全半角检查</abilityName>
      <candidateList>
        <item>&lt;</item>
      </candidateList>
      <explain>文本全半角错误。</explain>
      <paraID>3B4F12DC</paraID>
      <start>5</start>
      <end>6</end>
      <status>unmodified</status>
      <modifiedWord/>
      <trackRevisions>false</trackRevisions>
    </reviewItem>
    <reviewItem>
      <errorID>197336dc-91fe-46ba-a446-d2766833a046</errorID>
      <errorWord>＜</errorWord>
      <group>L1_Format</group>
      <groupName>格式问题</groupName>
      <ability>L2_HalfPunc</ability>
      <abilityName>全半角检查</abilityName>
      <candidateList>
        <item>&lt;</item>
      </candidateList>
      <explain>文本全半角错误。</explain>
      <paraID>6D70FFC2</paraID>
      <start>1</start>
      <end>2</end>
      <status>unmodified</status>
      <modifiedWord/>
      <trackRevisions>false</trackRevisions>
    </reviewItem>
    <reviewItem>
      <errorID>ff89ba7f-4ae3-4fa1-91ea-2aeee158f943</errorID>
      <errorWord>＜</errorWord>
      <group>L1_Format</group>
      <groupName>格式问题</groupName>
      <ability>L2_HalfPunc</ability>
      <abilityName>全半角检查</abilityName>
      <candidateList>
        <item>&lt;</item>
      </candidateList>
      <explain>文本全半角错误。</explain>
      <paraID>5B3CD3B8</paraID>
      <start>5</start>
      <end>6</end>
      <status>unmodified</status>
      <modifiedWord/>
      <trackRevisions>false</trackRevisions>
    </reviewItem>
    <reviewItem>
      <errorID>3fbf79fa-6f5d-4e55-a2a1-d7b75ceabb04</errorID>
      <errorWord>＜</errorWord>
      <group>L1_Format</group>
      <groupName>格式问题</groupName>
      <ability>L2_HalfPunc</ability>
      <abilityName>全半角检查</abilityName>
      <candidateList>
        <item>&lt;</item>
      </candidateList>
      <explain>文本全半角错误。</explain>
      <paraID>5EFF9A84</paraID>
      <start>4</start>
      <end>5</end>
      <status>unmodified</status>
      <modifiedWord/>
      <trackRevisions>false</trackRevisions>
    </reviewItem>
    <reviewItem>
      <errorID>6e60368f-e132-4c01-8b35-8482ec98cac1</errorID>
      <errorWord>＜</errorWord>
      <group>L1_Format</group>
      <groupName>格式问题</groupName>
      <ability>L2_HalfPunc</ability>
      <abilityName>全半角检查</abilityName>
      <candidateList>
        <item>&lt;</item>
      </candidateList>
      <explain>文本全半角错误。</explain>
      <paraID>18A5306F</paraID>
      <start>1</start>
      <end>2</end>
      <status>unmodified</status>
      <modifiedWord/>
      <trackRevisions>false</trackRevisions>
    </reviewItem>
    <reviewItem>
      <errorID>f8e8a628-6b69-4cbe-84a5-5d6f52bc974c</errorID>
      <errorWord>＜</errorWord>
      <group>L1_Format</group>
      <groupName>格式问题</groupName>
      <ability>L2_HalfPunc</ability>
      <abilityName>全半角检查</abilityName>
      <candidateList>
        <item>&lt;</item>
      </candidateList>
      <explain>文本全半角错误。</explain>
      <paraID>2FA6DE08</paraID>
      <start>6</start>
      <end>7</end>
      <status>unmodified</status>
      <modifiedWord/>
      <trackRevisions>false</trackRevisions>
    </reviewItem>
    <reviewItem>
      <errorID>a7511149-b2ce-47b1-adf5-ec1ccf43049a</errorID>
      <errorWord>＜</errorWord>
      <group>L1_Format</group>
      <groupName>格式问题</groupName>
      <ability>L2_HalfPunc</ability>
      <abilityName>全半角检查</abilityName>
      <candidateList>
        <item>&lt;</item>
      </candidateList>
      <explain>文本全半角错误。</explain>
      <paraID> C3797B5</paraID>
      <start>5</start>
      <end>6</end>
      <status>unmodified</status>
      <modifiedWord/>
      <trackRevisions>false</trackRevisions>
    </reviewItem>
    <reviewItem>
      <errorID>fe9e595d-da67-43b7-a457-3fa5b708641a</errorID>
      <errorWord>＜</errorWord>
      <group>L1_Format</group>
      <groupName>格式问题</groupName>
      <ability>L2_HalfPunc</ability>
      <abilityName>全半角检查</abilityName>
      <candidateList>
        <item>&lt;</item>
      </candidateList>
      <explain>文本全半角错误。</explain>
      <paraID>13098866</paraID>
      <start>1</start>
      <end>2</end>
      <status>unmodified</status>
      <modifiedWord/>
      <trackRevisions>false</trackRevisions>
    </reviewItem>
    <reviewItem>
      <errorID>85a4ec0b-52c2-481a-83a3-c669d73e17ef</errorID>
      <errorWord>＜</errorWord>
      <group>L1_Format</group>
      <groupName>格式问题</groupName>
      <ability>L2_HalfPunc</ability>
      <abilityName>全半角检查</abilityName>
      <candidateList>
        <item>&lt;</item>
      </candidateList>
      <explain>文本全半角错误。</explain>
      <paraID>31D2D611</paraID>
      <start>5</start>
      <end>6</end>
      <status>unmodified</status>
      <modifiedWord/>
      <trackRevisions>false</trackRevisions>
    </reviewItem>
    <reviewItem>
      <errorID>78bcb5e1-6a30-4fc2-a18f-f2661ff79c8e</errorID>
      <errorWord>＜</errorWord>
      <group>L1_Format</group>
      <groupName>格式问题</groupName>
      <ability>L2_HalfPunc</ability>
      <abilityName>全半角检查</abilityName>
      <candidateList>
        <item>&lt;</item>
      </candidateList>
      <explain>文本全半角错误。</explain>
      <paraID>436522DE</paraID>
      <start>4</start>
      <end>5</end>
      <status>unmodified</status>
      <modifiedWord/>
      <trackRevisions>false</trackRevisions>
    </reviewItem>
    <reviewItem>
      <errorID>f1fd5624-864c-4ad0-ac0b-b78bd9e377e8</errorID>
      <errorWord>＜</errorWord>
      <group>L1_Format</group>
      <groupName>格式问题</groupName>
      <ability>L2_HalfPunc</ability>
      <abilityName>全半角检查</abilityName>
      <candidateList>
        <item>&lt;</item>
      </candidateList>
      <explain>文本全半角错误。</explain>
      <paraID>5A0C3EFA</paraID>
      <start>1</start>
      <end>2</end>
      <status>unmodified</status>
      <modifiedWord/>
      <trackRevisions>false</trackRevisions>
    </reviewItem>
    <reviewItem>
      <errorID>ea1fca79-8757-4046-8678-55fd17012df5</errorID>
      <errorWord>＜</errorWord>
      <group>L1_Format</group>
      <groupName>格式问题</groupName>
      <ability>L2_HalfPunc</ability>
      <abilityName>全半角检查</abilityName>
      <candidateList>
        <item>&lt;</item>
      </candidateList>
      <explain>文本全半角错误。</explain>
      <paraID>2265F5EA</paraID>
      <start>6</start>
      <end>7</end>
      <status>unmodified</status>
      <modifiedWord/>
      <trackRevisions>false</trackRevisions>
    </reviewItem>
    <reviewItem>
      <errorID>140cd1d5-06da-450a-9e82-1779c1c0d41b</errorID>
      <errorWord>＜</errorWord>
      <group>L1_Format</group>
      <groupName>格式问题</groupName>
      <ability>L2_HalfPunc</ability>
      <abilityName>全半角检查</abilityName>
      <candidateList>
        <item>&lt;</item>
      </candidateList>
      <explain>文本全半角错误。</explain>
      <paraID>3CC26F8F</paraID>
      <start>5</start>
      <end>6</end>
      <status>unmodified</status>
      <modifiedWord/>
      <trackRevisions>false</trackRevisions>
    </reviewItem>
    <reviewItem>
      <errorID>f2027658-fadd-49c7-a6c0-cbfedbfe91fe</errorID>
      <errorWord>＜</errorWord>
      <group>L1_Format</group>
      <groupName>格式问题</groupName>
      <ability>L2_HalfPunc</ability>
      <abilityName>全半角检查</abilityName>
      <candidateList>
        <item>&lt;</item>
      </candidateList>
      <explain>文本全半角错误。</explain>
      <paraID>46B04097</paraID>
      <start>1</start>
      <end>2</end>
      <status>unmodified</status>
      <modifiedWord/>
      <trackRevisions>false</trackRevisions>
    </reviewItem>
    <reviewItem>
      <errorID>b250cb5d-eadb-4459-b3a7-30e6e0da55cc</errorID>
      <errorWord>＜</errorWord>
      <group>L1_Format</group>
      <groupName>格式问题</groupName>
      <ability>L2_HalfPunc</ability>
      <abilityName>全半角检查</abilityName>
      <candidateList>
        <item>&lt;</item>
      </candidateList>
      <explain>文本全半角错误。</explain>
      <paraID>5153A7CF</paraID>
      <start>5</start>
      <end>6</end>
      <status>unmodified</status>
      <modifiedWord/>
      <trackRevisions>false</trackRevisions>
    </reviewItem>
    <reviewItem>
      <errorID>0b064ecf-a9f5-4451-99c0-6d02b8358875</errorID>
      <errorWord>＜</errorWord>
      <group>L1_Format</group>
      <groupName>格式问题</groupName>
      <ability>L2_HalfPunc</ability>
      <abilityName>全半角检查</abilityName>
      <candidateList>
        <item>&lt;</item>
      </candidateList>
      <explain>文本全半角错误。</explain>
      <paraID>2F39E436</paraID>
      <start>4</start>
      <end>5</end>
      <status>unmodified</status>
      <modifiedWord/>
      <trackRevisions>false</trackRevisions>
    </reviewItem>
    <reviewItem>
      <errorID>8adfd42c-f55c-4165-a986-fecf4e69a2ff</errorID>
      <errorWord>＜</errorWord>
      <group>L1_Format</group>
      <groupName>格式问题</groupName>
      <ability>L2_HalfPunc</ability>
      <abilityName>全半角检查</abilityName>
      <candidateList>
        <item>&lt;</item>
      </candidateList>
      <explain>文本全半角错误。</explain>
      <paraID> 93A2469</paraID>
      <start>1</start>
      <end>2</end>
      <status>unmodified</status>
      <modifiedWord/>
      <trackRevisions>false</trackRevisions>
    </reviewItem>
    <reviewItem>
      <errorID>18c33168-755a-4544-b0bd-089c76d2c8fd</errorID>
      <errorWord>＜</errorWord>
      <group>L1_Format</group>
      <groupName>格式问题</groupName>
      <ability>L2_HalfPunc</ability>
      <abilityName>全半角检查</abilityName>
      <candidateList>
        <item>&lt;</item>
      </candidateList>
      <explain>文本全半角错误。</explain>
      <paraID> 4743539</paraID>
      <start>6</start>
      <end>7</end>
      <status>unmodified</status>
      <modifiedWord/>
      <trackRevisions>false</trackRevisions>
    </reviewItem>
    <reviewItem>
      <errorID>2a9cd2bc-9d6f-4a55-ac38-4564e40c1aa2</errorID>
      <errorWord>＜</errorWord>
      <group>L1_Format</group>
      <groupName>格式问题</groupName>
      <ability>L2_HalfPunc</ability>
      <abilityName>全半角检查</abilityName>
      <candidateList>
        <item>&lt;</item>
      </candidateList>
      <explain>文本全半角错误。</explain>
      <paraID>4B91862E</paraID>
      <start>5</start>
      <end>6</end>
      <status>unmodified</status>
      <modifiedWord/>
      <trackRevisions>false</trackRevisions>
    </reviewItem>
    <reviewItem>
      <errorID>ea962d2b-66c9-42d3-ba70-7901a521f71a</errorID>
      <errorWord>＜</errorWord>
      <group>L1_Format</group>
      <groupName>格式问题</groupName>
      <ability>L2_HalfPunc</ability>
      <abilityName>全半角检查</abilityName>
      <candidateList>
        <item>&lt;</item>
      </candidateList>
      <explain>文本全半角错误。</explain>
      <paraID>23148AEB</paraID>
      <start>1</start>
      <end>2</end>
      <status>unmodified</status>
      <modifiedWord/>
      <trackRevisions>false</trackRevisions>
    </reviewItem>
    <reviewItem>
      <errorID>89a96b1a-22d0-4af1-af01-57f0bd112ee7</errorID>
      <errorWord>＜</errorWord>
      <group>L1_Format</group>
      <groupName>格式问题</groupName>
      <ability>L2_HalfPunc</ability>
      <abilityName>全半角检查</abilityName>
      <candidateList>
        <item>&lt;</item>
      </candidateList>
      <explain>文本全半角错误。</explain>
      <paraID>7436E6BB</paraID>
      <start>5</start>
      <end>6</end>
      <status>unmodified</status>
      <modifiedWord/>
      <trackRevisions>false</trackRevisions>
    </reviewItem>
    <reviewItem>
      <errorID>bf015612-b239-4c41-ae99-cec36a8d6ee0</errorID>
      <errorWord>＜</errorWord>
      <group>L1_Format</group>
      <groupName>格式问题</groupName>
      <ability>L2_HalfPunc</ability>
      <abilityName>全半角检查</abilityName>
      <candidateList>
        <item>&lt;</item>
      </candidateList>
      <explain>文本全半角错误。</explain>
      <paraID>3950B15B</paraID>
      <start>4</start>
      <end>5</end>
      <status>unmodified</status>
      <modifiedWord/>
      <trackRevisions>false</trackRevisions>
    </reviewItem>
    <reviewItem>
      <errorID>d9d3ce64-d754-419c-9c65-fdb3b33ad2d5</errorID>
      <errorWord>＜</errorWord>
      <group>L1_Format</group>
      <groupName>格式问题</groupName>
      <ability>L2_HalfPunc</ability>
      <abilityName>全半角检查</abilityName>
      <candidateList>
        <item>&lt;</item>
      </candidateList>
      <explain>文本全半角错误。</explain>
      <paraID>591650CD</paraID>
      <start>1</start>
      <end>2</end>
      <status>unmodified</status>
      <modifiedWord/>
      <trackRevisions>false</trackRevisions>
    </reviewItem>
    <reviewItem>
      <errorID>a56abc06-eb1e-4f86-8992-3c6175e977e5</errorID>
      <errorWord>＜</errorWord>
      <group>L1_Format</group>
      <groupName>格式问题</groupName>
      <ability>L2_HalfPunc</ability>
      <abilityName>全半角检查</abilityName>
      <candidateList>
        <item>&lt;</item>
      </candidateList>
      <explain>文本全半角错误。</explain>
      <paraID> 73AF311</paraID>
      <start>6</start>
      <end>7</end>
      <status>unmodified</status>
      <modifiedWord/>
      <trackRevisions>false</trackRevisions>
    </reviewItem>
    <reviewItem>
      <errorID>9f275a38-aaf8-4c4f-8f55-c8eb8b7e32f6</errorID>
      <errorWord>＜</errorWord>
      <group>L1_Format</group>
      <groupName>格式问题</groupName>
      <ability>L2_HalfPunc</ability>
      <abilityName>全半角检查</abilityName>
      <candidateList>
        <item>&lt;</item>
      </candidateList>
      <explain>文本全半角错误。</explain>
      <paraID>7C4E3214</paraID>
      <start>5</start>
      <end>6</end>
      <status>unmodified</status>
      <modifiedWord/>
      <trackRevisions>false</trackRevisions>
    </reviewItem>
    <reviewItem>
      <errorID>81dd8852-505b-4c60-9f14-d21c0fb033de</errorID>
      <errorWord>＜</errorWord>
      <group>L1_Format</group>
      <groupName>格式问题</groupName>
      <ability>L2_HalfPunc</ability>
      <abilityName>全半角检查</abilityName>
      <candidateList>
        <item>&lt;</item>
      </candidateList>
      <explain>文本全半角错误。</explain>
      <paraID>5C8BF22D</paraID>
      <start>1</start>
      <end>2</end>
      <status>unmodified</status>
      <modifiedWord/>
      <trackRevisions>false</trackRevisions>
    </reviewItem>
    <reviewItem>
      <errorID>ba49cf6a-546b-408c-aec8-5799ed709752</errorID>
      <errorWord>＜</errorWord>
      <group>L1_Format</group>
      <groupName>格式问题</groupName>
      <ability>L2_HalfPunc</ability>
      <abilityName>全半角检查</abilityName>
      <candidateList>
        <item>&lt;</item>
      </candidateList>
      <explain>文本全半角错误。</explain>
      <paraID>1C05D7B0</paraID>
      <start>5</start>
      <end>6</end>
      <status>unmodified</status>
      <modifiedWord/>
      <trackRevisions>false</trackRevisions>
    </reviewItem>
    <reviewItem>
      <errorID>9c48d2dc-7edc-4f4d-9fb0-07aaab749171</errorID>
      <errorWord>＜</errorWord>
      <group>L1_Format</group>
      <groupName>格式问题</groupName>
      <ability>L2_HalfPunc</ability>
      <abilityName>全半角检查</abilityName>
      <candidateList>
        <item>&lt;</item>
      </candidateList>
      <explain>文本全半角错误。</explain>
      <paraID>3FF2BF5E</paraID>
      <start>4</start>
      <end>5</end>
      <status>unmodified</status>
      <modifiedWord/>
      <trackRevisions>false</trackRevisions>
    </reviewItem>
    <reviewItem>
      <errorID>441a5ada-c715-4299-8c02-b076903ba08f</errorID>
      <errorWord>＜</errorWord>
      <group>L1_Format</group>
      <groupName>格式问题</groupName>
      <ability>L2_HalfPunc</ability>
      <abilityName>全半角检查</abilityName>
      <candidateList>
        <item>&lt;</item>
      </candidateList>
      <explain>文本全半角错误。</explain>
      <paraID>6FA964E0</paraID>
      <start>1</start>
      <end>2</end>
      <status>unmodified</status>
      <modifiedWord/>
      <trackRevisions>false</trackRevisions>
    </reviewItem>
    <reviewItem>
      <errorID>5e803123-a7e6-44a9-baf5-a04598142883</errorID>
      <errorWord>＜</errorWord>
      <group>L1_Format</group>
      <groupName>格式问题</groupName>
      <ability>L2_HalfPunc</ability>
      <abilityName>全半角检查</abilityName>
      <candidateList>
        <item>&lt;</item>
      </candidateList>
      <explain>文本全半角错误。</explain>
      <paraID>3189C234</paraID>
      <start>6</start>
      <end>7</end>
      <status>unmodified</status>
      <modifiedWord/>
      <trackRevisions>false</trackRevisions>
    </reviewItem>
    <reviewItem>
      <errorID>a8a66805-5302-4b39-89c7-e5300ed67a82</errorID>
      <errorWord>＜</errorWord>
      <group>L1_Format</group>
      <groupName>格式问题</groupName>
      <ability>L2_HalfPunc</ability>
      <abilityName>全半角检查</abilityName>
      <candidateList>
        <item>&lt;</item>
      </candidateList>
      <explain>文本全半角错误。</explain>
      <paraID>2D51EB6D</paraID>
      <start>4</start>
      <end>5</end>
      <status>unmodified</status>
      <modifiedWord/>
      <trackRevisions>false</trackRevisions>
    </reviewItem>
    <reviewItem>
      <errorID>bbf3d764-064d-4a4d-a994-a8fb6ed9ef7a</errorID>
      <errorWord>＜</errorWord>
      <group>L1_Format</group>
      <groupName>格式问题</groupName>
      <ability>L2_HalfPunc</ability>
      <abilityName>全半角检查</abilityName>
      <candidateList>
        <item>&lt;</item>
      </candidateList>
      <explain>文本全半角错误。</explain>
      <paraID>4BD7B232</paraID>
      <start>1</start>
      <end>2</end>
      <status>unmodified</status>
      <modifiedWord/>
      <trackRevisions>false</trackRevisions>
    </reviewItem>
    <reviewItem>
      <errorID>17909fb0-572a-4d7c-907b-436e3cbed251</errorID>
      <errorWord>＜</errorWord>
      <group>L1_Format</group>
      <groupName>格式问题</groupName>
      <ability>L2_HalfPunc</ability>
      <abilityName>全半角检查</abilityName>
      <candidateList>
        <item>&lt;</item>
      </candidateList>
      <explain>文本全半角错误。</explain>
      <paraID>51C628F4</paraID>
      <start>6</start>
      <end>7</end>
      <status>unmodified</status>
      <modifiedWord/>
      <trackRevisions>false</trackRevisions>
    </reviewItem>
    <reviewItem>
      <errorID>db5d2ff9-c7b9-4129-b631-cd12f81b5902</errorID>
      <errorWord>＜</errorWord>
      <group>L1_Format</group>
      <groupName>格式问题</groupName>
      <ability>L2_HalfPunc</ability>
      <abilityName>全半角检查</abilityName>
      <candidateList>
        <item>&lt;</item>
      </candidateList>
      <explain>文本全半角错误。</explain>
      <paraID>2B62174F</paraID>
      <start>5</start>
      <end>6</end>
      <status>unmodified</status>
      <modifiedWord/>
      <trackRevisions>false</trackRevisions>
    </reviewItem>
    <reviewItem>
      <errorID>af3cad09-1879-4d10-ac51-9e65175a555b</errorID>
      <errorWord>＜</errorWord>
      <group>L1_Format</group>
      <groupName>格式问题</groupName>
      <ability>L2_HalfPunc</ability>
      <abilityName>全半角检查</abilityName>
      <candidateList>
        <item>&lt;</item>
      </candidateList>
      <explain>文本全半角错误。</explain>
      <paraID>309B69FD</paraID>
      <start>1</start>
      <end>2</end>
      <status>unmodified</status>
      <modifiedWord/>
      <trackRevisions>false</trackRevisions>
    </reviewItem>
    <reviewItem>
      <errorID>353a78b2-7ca6-464b-867d-c5e0283f5565</errorID>
      <errorWord>＜</errorWord>
      <group>L1_Format</group>
      <groupName>格式问题</groupName>
      <ability>L2_HalfPunc</ability>
      <abilityName>全半角检查</abilityName>
      <candidateList>
        <item>&lt;</item>
      </candidateList>
      <explain>文本全半角错误。</explain>
      <paraID>19B5AB22</paraID>
      <start>6</start>
      <end>7</end>
      <status>unmodified</status>
      <modifiedWord/>
      <trackRevisions>false</trackRevisions>
    </reviewItem>
    <reviewItem>
      <errorID>0a0cd460-28b5-41aa-85c1-4aca6117f46b</errorID>
      <errorWord>＜</errorWord>
      <group>L1_Format</group>
      <groupName>格式问题</groupName>
      <ability>L2_HalfPunc</ability>
      <abilityName>全半角检查</abilityName>
      <candidateList>
        <item>&lt;</item>
      </candidateList>
      <explain>文本全半角错误。</explain>
      <paraID>2529814C</paraID>
      <start>6</start>
      <end>7</end>
      <status>unmodified</status>
      <modifiedWord/>
      <trackRevisions>false</trackRevisions>
    </reviewItem>
    <reviewItem>
      <errorID>e56078c5-5a86-40aa-8f74-65625a688b61</errorID>
      <errorWord>＜</errorWord>
      <group>L1_Format</group>
      <groupName>格式问题</groupName>
      <ability>L2_HalfPunc</ability>
      <abilityName>全半角检查</abilityName>
      <candidateList>
        <item>&lt;</item>
      </candidateList>
      <explain>文本全半角错误。</explain>
      <paraID> 248FF54</paraID>
      <start>1</start>
      <end>2</end>
      <status>unmodified</status>
      <modifiedWord/>
      <trackRevisions>false</trackRevisions>
    </reviewItem>
    <reviewItem>
      <errorID>4f513f04-e3f8-436d-8c6b-010c41cf93f5</errorID>
      <errorWord>＜</errorWord>
      <group>L1_Format</group>
      <groupName>格式问题</groupName>
      <ability>L2_HalfPunc</ability>
      <abilityName>全半角检查</abilityName>
      <candidateList>
        <item>&lt;</item>
      </candidateList>
      <explain>文本全半角错误。</explain>
      <paraID>26B2E884</paraID>
      <start>5</start>
      <end>6</end>
      <status>unmodified</status>
      <modifiedWord/>
      <trackRevisions>false</trackRevisions>
    </reviewItem>
    <reviewItem>
      <errorID>8094772f-58fd-4d7d-9bea-49881bc644ea</errorID>
      <errorWord>＜</errorWord>
      <group>L1_Format</group>
      <groupName>格式问题</groupName>
      <ability>L2_HalfPunc</ability>
      <abilityName>全半角检查</abilityName>
      <candidateList>
        <item>&lt;</item>
      </candidateList>
      <explain>文本全半角错误。</explain>
      <paraID>477C4129</paraID>
      <start>5</start>
      <end>6</end>
      <status>unmodified</status>
      <modifiedWord/>
      <trackRevisions>false</trackRevisions>
    </reviewItem>
    <reviewItem>
      <errorID>228f4f6e-2ffb-45fe-9976-4088d97918e2</errorID>
      <errorWord>＜</errorWord>
      <group>L1_Format</group>
      <groupName>格式问题</groupName>
      <ability>L2_HalfPunc</ability>
      <abilityName>全半角检查</abilityName>
      <candidateList>
        <item>&lt;</item>
      </candidateList>
      <explain>文本全半角错误。</explain>
      <paraID>7227D644</paraID>
      <start>1</start>
      <end>2</end>
      <status>unmodified</status>
      <modifiedWord/>
      <trackRevisions>false</trackRevisions>
    </reviewItem>
    <reviewItem>
      <errorID>06438edc-6661-4197-906a-20ae54cc53a9</errorID>
      <errorWord>＜</errorWord>
      <group>L1_Format</group>
      <groupName>格式问题</groupName>
      <ability>L2_HalfPunc</ability>
      <abilityName>全半角检查</abilityName>
      <candidateList>
        <item>&lt;</item>
      </candidateList>
      <explain>文本全半角错误。</explain>
      <paraID> 598CB1A</paraID>
      <start>6</start>
      <end>7</end>
      <status>unmodified</status>
      <modifiedWord/>
      <trackRevisions>false</trackRevisions>
    </reviewItem>
    <reviewItem>
      <errorID>01c8eddb-b7a0-4825-b451-47070639f994</errorID>
      <errorWord>＜</errorWord>
      <group>L1_Format</group>
      <groupName>格式问题</groupName>
      <ability>L2_HalfPunc</ability>
      <abilityName>全半角检查</abilityName>
      <candidateList>
        <item>&lt;</item>
      </candidateList>
      <explain>文本全半角错误。</explain>
      <paraID> B8F01D6</paraID>
      <start>5</start>
      <end>6</end>
      <status>unmodified</status>
      <modifiedWord/>
      <trackRevisions>false</trackRevisions>
    </reviewItem>
    <reviewItem>
      <errorID>3f35c0a5-230b-4b03-99d3-b4a4697046d2</errorID>
      <errorWord>＜</errorWord>
      <group>L1_Format</group>
      <groupName>格式问题</groupName>
      <ability>L2_HalfPunc</ability>
      <abilityName>全半角检查</abilityName>
      <candidateList>
        <item>&lt;</item>
      </candidateList>
      <explain>文本全半角错误。</explain>
      <paraID>743E942F</paraID>
      <start>1</start>
      <end>2</end>
      <status>unmodified</status>
      <modifiedWord/>
      <trackRevisions>false</trackRevisions>
    </reviewItem>
    <reviewItem>
      <errorID>e3e05fe1-b905-4e66-9604-61bf8fad9970</errorID>
      <errorWord>＜</errorWord>
      <group>L1_Format</group>
      <groupName>格式问题</groupName>
      <ability>L2_HalfPunc</ability>
      <abilityName>全半角检查</abilityName>
      <candidateList>
        <item>&lt;</item>
      </candidateList>
      <explain>文本全半角错误。</explain>
      <paraID>53E3CCA7</paraID>
      <start>5</start>
      <end>6</end>
      <status>unmodified</status>
      <modifiedWord/>
      <trackRevisions>false</trackRevisions>
    </reviewItem>
    <reviewItem>
      <errorID>ddaf411d-0c51-4c33-8a50-3142183d5cc0</errorID>
      <errorWord>＜</errorWord>
      <group>L1_Format</group>
      <groupName>格式问题</groupName>
      <ability>L2_HalfPunc</ability>
      <abilityName>全半角检查</abilityName>
      <candidateList>
        <item>&lt;</item>
      </candidateList>
      <explain>文本全半角错误。</explain>
      <paraID>4D53FE0D</paraID>
      <start>4</start>
      <end>5</end>
      <status>unmodified</status>
      <modifiedWord/>
      <trackRevisions>false</trackRevisions>
    </reviewItem>
    <reviewItem>
      <errorID>12231441-e2e9-4d2c-ba6d-dfe3a1368f94</errorID>
      <errorWord>＜</errorWord>
      <group>L1_Format</group>
      <groupName>格式问题</groupName>
      <ability>L2_HalfPunc</ability>
      <abilityName>全半角检查</abilityName>
      <candidateList>
        <item>&lt;</item>
      </candidateList>
      <explain>文本全半角错误。</explain>
      <paraID>3AC7039A</paraID>
      <start>1</start>
      <end>2</end>
      <status>unmodified</status>
      <modifiedWord/>
      <trackRevisions>false</trackRevisions>
    </reviewItem>
    <reviewItem>
      <errorID>2520480f-d397-4ac5-be5f-4bb76aa375ef</errorID>
      <errorWord>＜</errorWord>
      <group>L1_Format</group>
      <groupName>格式问题</groupName>
      <ability>L2_HalfPunc</ability>
      <abilityName>全半角检查</abilityName>
      <candidateList>
        <item>&lt;</item>
      </candidateList>
      <explain>文本全半角错误。</explain>
      <paraID> 1F1B463</paraID>
      <start>6</start>
      <end>7</end>
      <status>unmodified</status>
      <modifiedWord/>
      <trackRevisions>false</trackRevisions>
    </reviewItem>
    <reviewItem>
      <errorID>12a049da-f0b3-4866-a4e0-1dcd47d6d68f</errorID>
      <errorWord>＜</errorWord>
      <group>L1_Format</group>
      <groupName>格式问题</groupName>
      <ability>L2_HalfPunc</ability>
      <abilityName>全半角检查</abilityName>
      <candidateList>
        <item>&lt;</item>
      </candidateList>
      <explain>文本全半角错误。</explain>
      <paraID>3B2BAD44</paraID>
      <start>5</start>
      <end>6</end>
      <status>unmodified</status>
      <modifiedWord/>
      <trackRevisions>false</trackRevisions>
    </reviewItem>
    <reviewItem>
      <errorID>f942b76e-6481-4c38-bd9e-b98cb93f982b</errorID>
      <errorWord>＜</errorWord>
      <group>L1_Format</group>
      <groupName>格式问题</groupName>
      <ability>L2_HalfPunc</ability>
      <abilityName>全半角检查</abilityName>
      <candidateList>
        <item>&lt;</item>
      </candidateList>
      <explain>文本全半角错误。</explain>
      <paraID>412FE3AA</paraID>
      <start>1</start>
      <end>2</end>
      <status>unmodified</status>
      <modifiedWord/>
      <trackRevisions>false</trackRevisions>
    </reviewItem>
    <reviewItem>
      <errorID>5ff7dd0e-e326-4c02-a976-97bc5c6e5c3a</errorID>
      <errorWord>＜</errorWord>
      <group>L1_Format</group>
      <groupName>格式问题</groupName>
      <ability>L2_HalfPunc</ability>
      <abilityName>全半角检查</abilityName>
      <candidateList>
        <item>&lt;</item>
      </candidateList>
      <explain>文本全半角错误。</explain>
      <paraID>7EF67136</paraID>
      <start>5</start>
      <end>6</end>
      <status>unmodified</status>
      <modifiedWord/>
      <trackRevisions>false</trackRevisions>
    </reviewItem>
    <reviewItem>
      <errorID>ff65d158-1916-4a9f-99b1-b04b993b4b8a</errorID>
      <errorWord>＜</errorWord>
      <group>L1_Format</group>
      <groupName>格式问题</groupName>
      <ability>L2_HalfPunc</ability>
      <abilityName>全半角检查</abilityName>
      <candidateList>
        <item>&lt;</item>
      </candidateList>
      <explain>文本全半角错误。</explain>
      <paraID>7BE2CF6B</paraID>
      <start>4</start>
      <end>5</end>
      <status>unmodified</status>
      <modifiedWord/>
      <trackRevisions>false</trackRevisions>
    </reviewItem>
    <reviewItem>
      <errorID>c578e604-b1a6-47bd-b0aa-8c91bac082fb</errorID>
      <errorWord>＜</errorWord>
      <group>L1_Format</group>
      <groupName>格式问题</groupName>
      <ability>L2_HalfPunc</ability>
      <abilityName>全半角检查</abilityName>
      <candidateList>
        <item>&lt;</item>
      </candidateList>
      <explain>文本全半角错误。</explain>
      <paraID>43DD8706</paraID>
      <start>1</start>
      <end>2</end>
      <status>unmodified</status>
      <modifiedWord/>
      <trackRevisions>false</trackRevisions>
    </reviewItem>
    <reviewItem>
      <errorID>8719f2b4-d551-4fe5-9a81-66ae19fe9ca6</errorID>
      <errorWord>[2011]300号</errorWord>
      <group>L1_Knowledge</group>
      <groupName>知识性问题</groupName>
      <ability>L2_Knowledge</ability>
      <abilityName>其他知识</abilityName>
      <candidateList>
        <item>〔2011〕300号</item>
      </candidateList>
      <explain>发文字号格式错误。</explain>
      <paraID>228A8E6F</paraID>
      <start>35</start>
      <end>45</end>
      <status>unmodified</status>
      <modifiedWord/>
      <trackRevisions>false</trackRevisions>
    </reviewItem>
    <reviewItem>
      <errorID>b3f9aeb6-adfc-4535-8c94-4a780f2e647b</errorID>
      <errorWord>之日起的</errorWord>
      <group>L1_Word</group>
      <groupName>字词问题</groupName>
      <ability>L2_Typo</ability>
      <abilityName>字词错误</abilityName>
      <candidateList>
        <item>之日起</item>
      </candidateList>
      <explain/>
      <paraID>1E02E01F</paraID>
      <start>154</start>
      <end>158</end>
      <status>unmodified</status>
      <modifiedWord/>
      <trackRevisions>false</trackRevisions>
    </reviewItem>
    <reviewItem>
      <errorID>97f24b48-c5d8-4994-be18-c58c3e3806e0</errorID>
      <errorWord>（</errorWord>
      <group>L1_Punc</group>
      <groupName>标点问题</groupName>
      <ability>L2_Punc</ability>
      <abilityName>标点符号检查</abilityName>
      <candidateList/>
      <explain/>
      <paraID>4BB4BB1F</paraID>
      <start>11</start>
      <end>12</end>
      <status>unmodified</status>
      <modifiedWord/>
      <trackRevisions>false</trackRevisions>
    </reviewItem>
    <reviewItem>
      <errorID>c695d150-243c-4825-8534-e094c893d06e</errorID>
      <errorWord>（</errorWord>
      <group>L1_Format</group>
      <groupName>格式问题</groupName>
      <ability>L2_HalfPunc</ability>
      <abilityName>全半角检查</abilityName>
      <candidateList>
        <item>(</item>
      </candidateList>
      <explain>文本全半角错误。</explain>
      <paraID>2FB255BB</paraID>
      <start>4</start>
      <end>5</end>
      <status>unmodified</status>
      <modifiedWord/>
      <trackRevisions>false</trackRevisions>
    </reviewItem>
    <reviewItem>
      <errorID>9b20c3ff-4dd3-4b4c-adef-c6eadebd26dc</errorID>
      <errorWord>）</errorWord>
      <group>L1_Format</group>
      <groupName>格式问题</groupName>
      <ability>L2_HalfPunc</ability>
      <abilityName>全半角检查</abilityName>
      <candidateList>
        <item>)</item>
      </candidateList>
      <explain>文本全半角错误。</explain>
      <paraID>2FB255BB</paraID>
      <start>6</start>
      <end>7</end>
      <status>unmodified</status>
      <modifiedWord/>
      <trackRevisions>false</trackRevisions>
    </reviewItem>
    <reviewItem>
      <errorID>9fbc59df-ff4b-4768-a98c-7160bef0bbae</errorID>
      <errorWord>（</errorWord>
      <group>L1_Format</group>
      <groupName>格式问题</groupName>
      <ability>L2_HalfPunc</ability>
      <abilityName>全半角检查</abilityName>
      <candidateList>
        <item>(</item>
      </candidateList>
      <explain>文本全半角错误。</explain>
      <paraID>7B86337D</paraID>
      <start>4</start>
      <end>5</end>
      <status>unmodified</status>
      <modifiedWord/>
      <trackRevisions>false</trackRevisions>
    </reviewItem>
    <reviewItem>
      <errorID>a339eeb1-5777-4c3a-9ea5-125005cb245d</errorID>
      <errorWord>）</errorWord>
      <group>L1_Format</group>
      <groupName>格式问题</groupName>
      <ability>L2_HalfPunc</ability>
      <abilityName>全半角检查</abilityName>
      <candidateList>
        <item>)</item>
      </candidateList>
      <explain>文本全半角错误。</explain>
      <paraID>7B86337D</paraID>
      <start>6</start>
      <end>7</end>
      <status>unmodified</status>
      <modifiedWord/>
      <trackRevisions>false</trackRevisions>
    </reviewItem>
    <reviewItem>
      <errorID>8243481b-f4ff-4c50-8b1b-2292775a01c1</errorID>
      <errorWord>（</errorWord>
      <group>L1_Format</group>
      <groupName>格式问题</groupName>
      <ability>L2_HalfPunc</ability>
      <abilityName>全半角检查</abilityName>
      <candidateList>
        <item>(</item>
      </candidateList>
      <explain>文本全半角错误。</explain>
      <paraID> 6B6DD83</paraID>
      <start>4</start>
      <end>5</end>
      <status>unmodified</status>
      <modifiedWord/>
      <trackRevisions>false</trackRevisions>
    </reviewItem>
    <reviewItem>
      <errorID>9854362d-7e9c-4715-95d8-6a6f84c417e0</errorID>
      <errorWord>）</errorWord>
      <group>L1_Format</group>
      <groupName>格式问题</groupName>
      <ability>L2_HalfPunc</ability>
      <abilityName>全半角检查</abilityName>
      <candidateList>
        <item>)</item>
      </candidateList>
      <explain>文本全半角错误。</explain>
      <paraID> 6B6DD83</paraID>
      <start>6</start>
      <end>7</end>
      <status>unmodified</status>
      <modifiedWord/>
      <trackRevisions>false</trackRevisions>
    </reviewItem>
    <reviewItem>
      <errorID>39dee613-41a0-48bd-91cb-fa9e43354479</errorID>
      <errorWord>以下的</errorWord>
      <group>L1_Word</group>
      <groupName>字词问题</groupName>
      <ability>L2_Typo</ability>
      <abilityName>字词错误</abilityName>
      <candidateList>
        <item>以下</item>
      </candidateList>
      <explain/>
      <paraID>72DACBD9</paraID>
      <start>40</start>
      <end>43</end>
      <status>unmodified</status>
      <modifiedWord/>
      <trackRevisions>false</trackRevisions>
    </reviewItem>
    <reviewItem>
      <errorID>dabfee72-1bb4-41c2-b4ca-5a7d8ceac62c</errorID>
      <errorWord>》</errorWord>
      <group>L1_Punc</group>
      <groupName>标点问题</groupName>
      <ability>L2_Punc</ability>
      <abilityName>标点符号检查</abilityName>
      <candidateList/>
      <explain/>
      <paraID> D18C9F5</paraID>
      <start>0</start>
      <end>1</end>
      <status>unmodified</status>
      <modifiedWord/>
      <trackRevisions>false</trackRevisions>
    </reviewItem>
    <reviewItem>
      <errorID>b90829bc-c328-4943-8dec-fb376934aeec</errorID>
      <errorWord>下午15:00</errorWord>
      <group>L1_Knowledge</group>
      <groupName>知识性问题</groupName>
      <ability>L2_Time</ability>
      <abilityName>日期时间</abilityName>
      <candidateList>
        <item>15:00</item>
      </candidateList>
      <explain>24小时制的时间，不需要强调“下午”。</explain>
      <paraID>62B3DAAF</paraID>
      <start>30</start>
      <end>37</end>
      <status>unmodified</status>
      <modifiedWord/>
      <trackRevisions>false</trackRevisions>
    </reviewItem>
    <reviewItem>
      <errorID>a15ff367-46b2-44ca-9080-c5a5ba42d119</errorID>
      <errorWord>[2002]1980号</errorWord>
      <group>L1_Knowledge</group>
      <groupName>知识性问题</groupName>
      <ability>L2_Knowledge</ability>
      <abilityName>其他知识</abilityName>
      <candidateList>
        <item>〔2002〕1980号</item>
      </candidateList>
      <explain>发文字号格式错误。</explain>
      <paraID>175EAE17</paraID>
      <start>75</start>
      <end>86</end>
      <status>unmodified</status>
      <modifiedWord/>
      <trackRevisions>false</trackRevisions>
    </reviewItem>
    <reviewItem>
      <errorID>4dfbefd6-6d74-4a65-909f-0525194f83cd</errorID>
      <errorWord>[2015]299号</errorWord>
      <group>L1_Knowledge</group>
      <groupName>知识性问题</groupName>
      <ability>L2_Knowledge</ability>
      <abilityName>其他知识</abilityName>
      <candidateList>
        <item>〔2015〕299号</item>
      </candidateList>
      <explain>发文字号格式错误。</explain>
      <paraID>175EAE17</paraID>
      <start>120</start>
      <end>130</end>
      <status>unmodified</status>
      <modifiedWord/>
      <trackRevisions>false</trackRevisions>
    </reviewItem>
    <reviewItem>
      <errorID>debccd57-a861-407a-ac83-62f21350f508</errorID>
      <errorWord>，</errorWord>
      <group>L1_Word</group>
      <groupName>字词问题</groupName>
      <ability>L2_Typo</ability>
      <abilityName>字词错误</abilityName>
      <candidateList>
        <item>，使</item>
      </candidateList>
      <explain/>
      <paraID>6976C255</paraID>
      <start>32</start>
      <end>33</end>
      <status>unmodified</status>
      <modifiedWord/>
      <trackRevisions>false</trackRevisions>
    </reviewItem>
    <reviewItem>
      <errorID>aaadd65e-c697-43bb-beab-229baa110037</errorID>
      <errorWord>受</errorWord>
      <group>L1_Word</group>
      <groupName>字词问题</groupName>
      <ability>L2_Typo</ability>
      <abilityName>字词错误</abilityName>
      <candidateList>
        <item>受到</item>
      </candidateList>
      <explain/>
      <paraID>341CC863</paraID>
      <start>37</start>
      <end>38</end>
      <status>unmodified</status>
      <modifiedWord/>
      <trackRevisions>false</trackRevisions>
    </reviewItem>
    <reviewItem>
      <errorID>7858d1f6-0f0f-465b-a889-a9ea195b02d8</errorID>
      <errorWord>不能负</errorWord>
      <group>L1_Word</group>
      <groupName>字词问题</groupName>
      <ability>L2_Typo</ability>
      <abilityName>字词错误</abilityName>
      <candidateList>
        <item>不能</item>
      </candidateList>
      <explain/>
      <paraID>48D7D7B2</paraID>
      <start>35</start>
      <end>38</end>
      <status>unmodified</status>
      <modifiedWord/>
      <trackRevisions>false</trackRevisions>
    </reviewItem>
    <reviewItem>
      <errorID>d54ae529-776a-4a3d-90bf-fc90f25cf0af</errorID>
      <errorWord>【2022】30号</errorWord>
      <group>L1_Knowledge</group>
      <groupName>知识性问题</groupName>
      <ability>L2_Knowledge</ability>
      <abilityName>其他知识</abilityName>
      <candidateList>
        <item>〔2022〕30号</item>
      </candidateList>
      <explain>发文字号格式错误。</explain>
      <paraID>79A06280</paraID>
      <start>83</start>
      <end>92</end>
      <status>unmodified</status>
      <modifiedWord/>
      <trackRevisions>false</trackRevisions>
    </reviewItem>
    <reviewItem>
      <errorID>55e934ee-e612-41a7-99b3-d1aca0cfcb8b</errorID>
      <errorWord>理</errorWord>
      <group>L1_Word</group>
      <groupName>字词问题</groupName>
      <ability>L2_Typo</ability>
      <abilityName>字词错误</abilityName>
      <candidateList>
        <item>理人</item>
      </candidateList>
      <explain/>
      <paraID>53C17921</paraID>
      <start>20</start>
      <end>21</end>
      <status>unmodified</status>
      <modifiedWord/>
      <trackRevisions>false</trackRevisions>
    </reviewItem>
    <reviewItem>
      <errorID>4c4c86aa-debc-4352-9463-43c0e2eca102</errorID>
      <errorWord>操作合</errorWord>
      <group>L1_Word</group>
      <groupName>字词问题</groupName>
      <ability>L2_Typo</ability>
      <abilityName>字词错误</abilityName>
      <candidateList>
        <item>操作台</item>
      </candidateList>
      <explain/>
      <paraID>7B5CB867</paraID>
      <start>9</start>
      <end>12</end>
      <status>unmodified</status>
      <modifiedWord/>
      <trackRevisions>false</trackRevisions>
    </reviewItem>
    <reviewItem>
      <errorID>057ba1c2-bac4-44b1-867b-4bc1026ba326</errorID>
      <errorWord>接受</errorWord>
      <group>L1_Word</group>
      <groupName>字词问题</groupName>
      <ability>L2_Typo</ability>
      <abilityName>字词错误</abilityName>
      <candidateList>
        <item>接收</item>
      </candidateList>
      <explain>存在发音相同字词的误用。</explain>
      <paraID>65A1580B</paraID>
      <start>35</start>
      <end>37</end>
      <status>unmodified</status>
      <modifiedWord/>
      <trackRevisions>false</trackRevisions>
    </reviewItem>
    <reviewItem>
      <errorID>2163a046-f0ec-4c83-b57c-2680f39efea5</errorID>
      <errorWord>详见在</errorWord>
      <group>L1_Word</group>
      <groupName>字词问题</groupName>
      <ability>L2_Typo</ability>
      <abilityName>字词错误</abilityName>
      <candidateList>
        <item>详见</item>
      </candidateList>
      <explain/>
      <paraID>65A1580B</paraID>
      <start>45</start>
      <end>48</end>
      <status>unmodified</status>
      <modifiedWord/>
      <trackRevisions>false</trackRevisions>
    </reviewItem>
    <reviewItem>
      <errorID>852e10d7-ee01-4ca4-a230-d71d9dbdae11</errorID>
      <errorWord>登陆</errorWord>
      <group>L1_Word</group>
      <groupName>字词问题</groupName>
      <ability>L2_Typo</ability>
      <abilityName>字词错误</abilityName>
      <candidateList>
        <item>登录</item>
      </candidateList>
      <explain>存在发音相同字词的误用。</explain>
      <paraID>1678ECA8</paraID>
      <start>167</start>
      <end>169</end>
      <status>unmodified</status>
      <modifiedWord/>
      <trackRevisions>false</trackRevisions>
    </reviewItem>
    <reviewItem>
      <errorID>a7667e86-ad94-4dae-9729-52c2dd723b43</errorID>
      <errorWord>会</errorWord>
      <group>L1_Word</group>
      <groupName>字词问题</groupName>
      <ability>L2_Typo</ability>
      <abilityName>字词错误</abilityName>
      <candidateList>
        <item>会在</item>
      </candidateList>
      <explain/>
      <paraID>357B459A</paraID>
      <start>13</start>
      <end>14</end>
      <status>unmodified</status>
      <modifiedWord/>
      <trackRevisions>false</trackRevisions>
    </reviewItem>
    <reviewItem>
      <errorID>56fa6ad0-c33f-4e0a-beb1-406ea18b4e1f</errorID>
      <errorWord>帐号</errorWord>
      <group>L1_Word</group>
      <groupName>字词问题</groupName>
      <ability>L2_Typo</ability>
      <abilityName>字词错误</abilityName>
      <candidateList>
        <item>账号</item>
      </candidateList>
      <explain>存在发音相同字词的误用。</explain>
      <paraID>49C36A40</paraID>
      <start>31</start>
      <end>33</end>
      <status>unmodified</status>
      <modifiedWord/>
      <trackRevisions>false</trackRevisions>
    </reviewItem>
    <reviewItem>
      <errorID>fb6c56da-400b-4c60-98ec-2e442c20f84d</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4D496727</paraID>
      <start>133</start>
      <end>134</end>
      <status>unmodified</status>
      <modifiedWord/>
      <trackRevisions>false</trackRevisions>
    </reviewItem>
    <reviewItem>
      <errorID>05c09ef0-5c9c-437e-a148-5e1d95a924be</errorID>
      <errorWord>务</errorWord>
      <group>L1_Word</group>
      <groupName>字词问题</groupName>
      <ability>L2_Typo</ability>
      <abilityName>字词错误</abilityName>
      <candidateList>
        <item>务费</item>
      </candidateList>
      <explain/>
      <paraID>75661A6D</paraID>
      <start>7</start>
      <end>8</end>
      <status>unmodified</status>
      <modifiedWord/>
      <trackRevisions>false</trackRevisions>
    </reviewItem>
    <reviewItem>
      <errorID>87cc0c5e-8c1a-42a2-80de-733759bb1c50</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2F1A90FC</paraID>
      <start>0</start>
      <end>8</end>
      <status>unmodified</status>
      <modifiedWord/>
      <trackRevisions>false</trackRevisions>
    </reviewItem>
    <reviewItem>
      <errorID>02f18903-b537-4c42-b3e4-015a78868c90</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7135261B</paraID>
      <start>0</start>
      <end>9</end>
      <status>unmodified</status>
      <modifiedWord/>
      <trackRevisions>false</trackRevisions>
    </reviewItem>
    <reviewItem>
      <errorID>4606575f-ae65-4262-86cd-ad4cf8d9f145</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577CCA33</paraID>
      <start>0</start>
      <end>10</end>
      <status>unmodified</status>
      <modifiedWord/>
      <trackRevisions>false</trackRevisions>
    </reviewItem>
    <reviewItem>
      <errorID>871e8c98-e803-4e89-ba19-81f9686427fe</errorID>
      <errorWord>1～5亿</errorWord>
      <group>L1_Knowledge</group>
      <groupName>知识性问题</groupName>
      <ability>L2_Knowledge</ability>
      <abilityName>其他知识</abilityName>
      <candidateList>
        <item>1亿～5亿</item>
      </candidateList>
      <explain>1. “1～5亿”中的单位“亿”仅出现在后一个数字上，容易引起歧义；根据《现代汉语标点符号数字用法规范手册》，数字表示范围两边需要使用统一的格式。2.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64DCF244</paraID>
      <start>0</start>
      <end>4</end>
      <status>unmodified</status>
      <modifiedWord/>
      <trackRevisions>false</trackRevisions>
    </reviewItem>
    <reviewItem>
      <errorID>f7c9a1ca-4035-4756-8e55-340996a387e9</errorID>
      <errorWord>5～10亿</errorWord>
      <group>L1_Knowledge</group>
      <groupName>知识性问题</groupName>
      <ability>L2_Knowledge</ability>
      <abilityName>其他知识</abilityName>
      <candidateList>
        <item>5亿～10亿</item>
      </candidateList>
      <explain>1. “5～10亿”中的单位“亿”仅出现在后一个数字上，容易引起歧义；根据《现代汉语标点符号数字用法规范手册》，数字表示范围两边需要使用统一的格式。2.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5A4D2312</paraID>
      <start>0</start>
      <end>5</end>
      <status>unmodified</status>
      <modifiedWord/>
      <trackRevisions>false</trackRevisions>
    </reviewItem>
    <reviewItem>
      <errorID>3b893c91-b96f-4159-9786-c20257172b71</errorID>
      <errorWord>10～50亿</errorWord>
      <group>L1_Knowledge</group>
      <groupName>知识性问题</groupName>
      <ability>L2_Knowledge</ability>
      <abilityName>其他知识</abilityName>
      <candidateList>
        <item>10亿～50亿</item>
      </candidateList>
      <explain>1. “10～50亿”中的单位“亿”仅出现在后一个数字上，容易引起歧义；根据《现代汉语标点符号数字用法规范手册》，数字表示范围两边需要使用统一的格式。2.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1EE689FC</paraID>
      <start>0</start>
      <end>6</end>
      <status>unmodified</status>
      <modifiedWord/>
      <trackRevisions>false</trackRevisions>
    </reviewItem>
    <reviewItem>
      <errorID>030e1f01-9f49-43cd-88c1-f6bf84d3a781</errorID>
      <errorWord>50～100亿</errorWord>
      <group>L1_Knowledge</group>
      <groupName>知识性问题</groupName>
      <ability>L2_Knowledge</ability>
      <abilityName>其他知识</abilityName>
      <candidateList>
        <item>50亿～100亿</item>
      </candidateList>
      <explain>1. “50～100亿”中的单位“亿”仅出现在后一个数字上，容易引起歧义；根据《现代汉语标点符号数字用法规范手册》，数字表示范围两边需要使用统一的格式。2.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4657DD57</paraID>
      <start>0</start>
      <end>7</end>
      <status>unmodified</status>
      <modifiedWord/>
      <trackRevisions>false</trackRevisions>
    </reviewItem>
    <reviewItem>
      <errorID>2793f924-3580-40e7-b67b-fb46a8e40a83</errorID>
      <errorWord>亿</errorWord>
      <group>L1_Word</group>
      <groupName>字词问题</groupName>
      <ability>L2_Typo</ability>
      <abilityName>字词错误</abilityName>
      <candidateList>
        <item>亿元</item>
      </candidateList>
      <explain/>
      <paraID>77DF7CE0</paraID>
      <start>3</start>
      <end>4</end>
      <status>unmodified</status>
      <modifiedWord/>
      <trackRevisions>false</trackRevisions>
    </reviewItem>
    <reviewItem>
      <errorID>950c45d1-b792-48d7-a495-2d71ad635274</errorID>
      <errorWord>:</errorWord>
      <group>L1_Format</group>
      <groupName>格式问题</groupName>
      <ability>L2_HalfPunc</ability>
      <abilityName>全半角检查</abilityName>
      <candidateList>
        <item>：</item>
      </candidateList>
      <explain>文本全半角错误。</explain>
      <paraID>7DFC642B</paraID>
      <start>1</start>
      <end>2</end>
      <status>unmodified</status>
      <modifiedWord/>
      <trackRevisions>false</trackRevisions>
    </reviewItem>
    <reviewItem>
      <errorID>c51064c8-8c47-4e34-a7cd-1b8817ffef4f</errorID>
      <errorWord>文件中</errorWord>
      <group>L1_Word</group>
      <groupName>字词问题</groupName>
      <ability>L2_Typo</ability>
      <abilityName>字词错误</abilityName>
      <candidateList>
        <item>文件</item>
      </candidateList>
      <explain/>
      <paraID>30F38B4C</paraID>
      <start>12</start>
      <end>15</end>
      <status>unmodified</status>
      <modifiedWord/>
      <trackRevisions>false</trackRevisions>
    </reviewItem>
    <reviewItem>
      <errorID>73e3c47c-f38f-44a6-9825-008c1947995b</errorID>
      <errorWord>文件中</errorWord>
      <group>L1_Word</group>
      <groupName>字词问题</groupName>
      <ability>L2_Typo</ability>
      <abilityName>字词错误</abilityName>
      <candidateList>
        <item>文件</item>
      </candidateList>
      <explain/>
      <paraID>7254068D</paraID>
      <start>12</start>
      <end>15</end>
      <status>unmodified</status>
      <modifiedWord/>
      <trackRevisions>false</trackRevisions>
    </reviewItem>
    <reviewItem>
      <errorID>816fea61-f9ad-4c1c-b038-8355d2cb3541</errorID>
      <errorWord>做出</errorWord>
      <group>L1_Word</group>
      <groupName>字词问题</groupName>
      <ability>L2_Typo</ability>
      <abilityName>字词错误</abilityName>
      <candidateList>
        <item>作出</item>
      </candidateList>
      <explain/>
      <paraID>311D5624</paraID>
      <start>116</start>
      <end>118</end>
      <status>unmodified</status>
      <modifiedWord/>
      <trackRevisions>false</trackRevisions>
    </reviewItem>
    <reviewItem>
      <errorID>1bddd33c-2274-440e-a946-2c40ab21d713</errorID>
      <errorWord>(</errorWord>
      <group>L1_Format</group>
      <groupName>格式问题</groupName>
      <ability>L2_HalfPunc</ability>
      <abilityName>全半角检查</abilityName>
      <candidateList>
        <item>（</item>
      </candidateList>
      <explain>文本全半角错误。</explain>
      <paraID> 728B716</paraID>
      <start>281</start>
      <end>282</end>
      <status>unmodified</status>
      <modifiedWord/>
      <trackRevisions>false</trackRevisions>
    </reviewItem>
    <reviewItem>
      <errorID>9b107840-6360-47fb-b969-bce382145af2</errorID>
      <errorWord>)</errorWord>
      <group>L1_Format</group>
      <groupName>格式问题</groupName>
      <ability>L2_HalfPunc</ability>
      <abilityName>全半角检查</abilityName>
      <candidateList>
        <item>）</item>
      </candidateList>
      <explain>文本全半角错误。</explain>
      <paraID> 728B716</paraID>
      <start>294</start>
      <end>295</end>
      <status>unmodified</status>
      <modifiedWord/>
      <trackRevisions>false</trackRevisions>
    </reviewItem>
    <reviewItem>
      <errorID>9182a484-ad05-49ea-9a0a-5b4fd2dc3fd9</errorID>
      <errorWord>最高法院</errorWord>
      <group>L1_Knowledge</group>
      <groupName>知识性问题</groupName>
      <ability>L2_Organization</ability>
      <abilityName>机构检查</abilityName>
      <candidateList>
        <item>最高人民法院</item>
      </candidateList>
      <explain>机关单位全简称表述错误</explain>
      <paraID>4CD9BA04</paraID>
      <start>4</start>
      <end>8</end>
      <status>unmodified</status>
      <modifiedWord/>
      <trackRevisions>false</trackRevisions>
    </reviewItem>
    <reviewItem>
      <errorID>9548f1c5-535f-4b6d-9730-5356f2e9840a</errorID>
      <errorWord>十四五规划</errorWord>
      <group>L1_Political</group>
      <groupName>政治性问题</groupName>
      <ability>L2_Keyword</ability>
      <abilityName>固定表述</abilityName>
      <candidateList>
        <item>“十四五”规划</item>
      </candidateList>
      <explain>注意检查当前固定表述标点是否使用规范。</explain>
      <paraID>4CD9BA04</paraID>
      <start>8</start>
      <end>13</end>
      <status>unmodified</status>
      <modifiedWord/>
      <trackRevisions>false</trackRevisions>
    </reviewItem>
    <reviewItem>
      <errorID>c26eefa4-ed39-4782-9a9d-cb364cf4dad0</errorID>
      <errorWord>运维运维</errorWord>
      <group>L1_Word</group>
      <groupName>字词问题</groupName>
      <ability>L2_Typo</ability>
      <abilityName>字词错误</abilityName>
      <candidateList>
        <item>运维</item>
      </candidateList>
      <explain/>
      <paraID> C4F40EA</paraID>
      <start>451</start>
      <end>457</end>
      <status>modified</status>
      <modifiedWord>运维</modifiedWord>
      <trackRevisions>true</trackRevisions>
    </reviewItem>
    <reviewItem>
      <errorID>39a4bc2c-5e95-4e4a-92b5-a6ef648fc50b</errorID>
      <errorWord>(</errorWord>
      <group>L1_Format</group>
      <groupName>格式问题</groupName>
      <ability>L2_HalfPunc</ability>
      <abilityName>全半角检查</abilityName>
      <candidateList>
        <item>（</item>
      </candidateList>
      <explain>文本全半角错误。</explain>
      <paraID>1B696FBE</paraID>
      <start>22</start>
      <end>23</end>
      <status>unmodified</status>
      <modifiedWord/>
      <trackRevisions>false</trackRevisions>
    </reviewItem>
    <reviewItem>
      <errorID>097b7716-8b17-4f27-9497-f2fc799ecfdc</errorID>
      <errorWord>)</errorWord>
      <group>L1_Format</group>
      <groupName>格式问题</groupName>
      <ability>L2_HalfPunc</ability>
      <abilityName>全半角检查</abilityName>
      <candidateList>
        <item>）</item>
      </candidateList>
      <explain>文本全半角错误。</explain>
      <paraID>1B696FBE</paraID>
      <start>27</start>
      <end>28</end>
      <status>unmodified</status>
      <modifiedWord/>
      <trackRevisions>false</trackRevisions>
    </reviewItem>
    <reviewItem>
      <errorID>70f266b0-96b9-427f-9e6d-81f6cc75a2ac</errorID>
      <errorWord>(</errorWord>
      <group>L1_Format</group>
      <groupName>格式问题</groupName>
      <ability>L2_HalfPunc</ability>
      <abilityName>全半角检查</abilityName>
      <candidateList>
        <item>（</item>
      </candidateList>
      <explain>文本全半角错误。</explain>
      <paraID>1B696FBE</paraID>
      <start>108</start>
      <end>109</end>
      <status>unmodified</status>
      <modifiedWord/>
      <trackRevisions>false</trackRevisions>
    </reviewItem>
    <reviewItem>
      <errorID>993458fd-3a6e-4b15-a62f-c7570c86a1bc</errorID>
      <errorWord>)</errorWord>
      <group>L1_Format</group>
      <groupName>格式问题</groupName>
      <ability>L2_HalfPunc</ability>
      <abilityName>全半角检查</abilityName>
      <candidateList>
        <item>）</item>
      </candidateList>
      <explain>文本全半角错误。</explain>
      <paraID>1B696FBE</paraID>
      <start>113</start>
      <end>114</end>
      <status>unmodified</status>
      <modifiedWord/>
      <trackRevisions>false</trackRevisions>
    </reviewItem>
    <reviewItem>
      <errorID>33d63333-cf2c-45a5-8c11-3a7b8fb31fad</errorID>
      <errorWord>股东大会</errorWord>
      <group>L1_Word</group>
      <groupName>字词问题</groupName>
      <ability>L2_Typo</ability>
      <abilityName>字词错误</abilityName>
      <candidateList>
        <item>股东会</item>
      </candidateList>
      <explain/>
      <paraID>3A9E096D</paraID>
      <start>113</start>
      <end>117</end>
      <status>unmodified</status>
      <modifiedWord/>
      <trackRevisions>false</trackRevisions>
    </reviewItem>
    <reviewItem>
      <errorID>501eaacf-c6fe-42f6-a065-c40897f1560d</errorID>
      <errorWord>日</errorWord>
      <group>L1_Word</group>
      <groupName>字词问题</groupName>
      <ability>L2_Typo</ability>
      <abilityName>字词错误</abilityName>
      <candidateList>
        <item/>
      </candidateList>
      <explain/>
      <paraID>4377E215</paraID>
      <start>23</start>
      <end>24</end>
      <status>unmodified</status>
      <modifiedWord/>
      <trackRevisions>false</trackRevisions>
    </reviewItem>
    <reviewItem>
      <errorID>7e747be9-50f9-4eb7-8f4f-2f2f52bfd191</errorID>
      <errorWord>本</errorWord>
      <group>L1_Word</group>
      <groupName>字词问题</groupName>
      <ability>L2_Typo</ability>
      <abilityName>字词错误</abilityName>
      <candidateList>
        <item>本次</item>
      </candidateList>
      <explain/>
      <paraID>265373CA</paraID>
      <start>3</start>
      <end>4</end>
      <status>unmodified</status>
      <modifiedWord/>
      <trackRevisions>false</trackRevisions>
    </reviewItem>
    <reviewItem>
      <errorID>5fba6f2a-5745-43e6-8e9a-337c66394b5a</errorID>
      <errorWord>:</errorWord>
      <group>L1_Format</group>
      <groupName>格式问题</groupName>
      <ability>L2_HalfPunc</ability>
      <abilityName>全半角检查</abilityName>
      <candidateList>
        <item>：</item>
      </candidateList>
      <explain>文本全半角错误。</explain>
      <paraID>7DA34BAA</paraID>
      <start>1</start>
      <end>2</end>
      <status>unmodified</status>
      <modifiedWord/>
      <trackRevisions>false</trackRevisions>
    </reviewItem>
    <reviewItem>
      <errorID>94f5990b-a9f3-4f34-82af-6346e4298a29</errorID>
      <errorWord>理</errorWord>
      <group>L1_Word</group>
      <groupName>字词问题</groupName>
      <ability>L2_Typo</ability>
      <abilityName>字词错误</abilityName>
      <candidateList>
        <item>理人</item>
      </candidateList>
      <explain/>
      <paraID>6E97C599</paraID>
      <start>19</start>
      <end>20</end>
      <status>unmodified</status>
      <modifiedWord/>
      <trackRevisions>false</trackRevisions>
    </reviewItem>
    <reviewItem>
      <errorID>763ec2a9-5141-43e8-8427-707ea0d1de6f</errorID>
      <errorWord>（</errorWord>
      <group>L1_Punc</group>
      <groupName>标点问题</groupName>
      <ability>L2_Punc</ability>
      <abilityName>标点符号检查</abilityName>
      <candidateList/>
      <explain/>
      <paraID>65C10E9B</paraID>
      <start>11</start>
      <end>12</end>
      <status>unmodified</status>
      <modifiedWord/>
      <trackRevisions>false</trackRevisions>
    </reviewItem>
    <reviewItem>
      <errorID>ecfa39cf-eddd-4690-bc86-5d02381072a2</errorID>
      <errorWord>〔2017〕 141号</errorWord>
      <group>L1_Knowledge</group>
      <groupName>知识性问题</groupName>
      <ability>L2_Knowledge</ability>
      <abilityName>其他知识</abilityName>
      <candidateList>
        <item>〔2017〕141号</item>
      </candidateList>
      <explain>发文字号格式错误。</explain>
      <paraID> 739073E</paraID>
      <start>49</start>
      <end>60</end>
      <status>unmodified</status>
      <modifiedWord/>
      <trackRevisions>false</trackRevisions>
    </reviewItem>
    <reviewItem>
      <errorID>3d49f5a4-c7ce-42e4-bf71-389e82613cbb</errorID>
      <errorWord>(</errorWord>
      <group>L1_Format</group>
      <groupName>格式问题</groupName>
      <ability>L2_HalfPunc</ability>
      <abilityName>全半角检查</abilityName>
      <candidateList>
        <item>（</item>
      </candidateList>
      <explain>文本全半角错误。</explain>
      <paraID>16A0E3AC</paraID>
      <start>24</start>
      <end>25</end>
      <status>unmodified</status>
      <modifiedWord/>
      <trackRevisions>false</trackRevisions>
    </reviewItem>
    <reviewItem>
      <errorID>5efdb00d-cf5a-4f31-9de7-dc6f0179afc3</errorID>
      <errorWord>[2014]</errorWord>
      <group>L1_Punc</group>
      <groupName>标点问题</groupName>
      <ability>L2_Punc</ability>
      <abilityName>标点符号检查</abilityName>
      <candidateList>
        <item>〔2014〕</item>
      </candidateList>
      <explain/>
      <paraID>16A0E3AC</paraID>
      <start>27</start>
      <end>33</end>
      <status>unmodified</status>
      <modifiedWord/>
      <trackRevisions>false</trackRevisions>
    </reviewItem>
    <reviewItem>
      <errorID>57b18bb4-1223-4fa3-b4de-2eaad2609bbc</errorID>
      <errorWord>)</errorWord>
      <group>L1_Format</group>
      <groupName>格式问题</groupName>
      <ability>L2_HalfPunc</ability>
      <abilityName>全半角检查</abilityName>
      <candidateList>
        <item>）</item>
      </candidateList>
      <explain>文本全半角错误。</explain>
      <paraID>16A0E3AC</paraID>
      <start>37</start>
      <end>38</end>
      <status>unmodified</status>
      <modifiedWord/>
      <trackRevisions>false</trackRevisions>
    </reviewItem>
    <reviewItem>
      <errorID>0b6aba9d-7bad-42c7-8b09-19b5bb012a45</errorID>
      <errorWord>(</errorWord>
      <group>L1_Format</group>
      <groupName>格式问题</groupName>
      <ability>L2_HalfPunc</ability>
      <abilityName>全半角检查</abilityName>
      <candidateList>
        <item>（</item>
      </candidateList>
      <explain>文本全半角错误。</explain>
      <paraID>16A0E3AC</paraID>
      <start>104</start>
      <end>105</end>
      <status>unmodified</status>
      <modifiedWord/>
      <trackRevisions>false</trackRevisions>
    </reviewItem>
    <reviewItem>
      <errorID>5f5e4646-ddce-483f-be3f-73a61d263a86</errorID>
      <errorWord>)</errorWord>
      <group>L1_Format</group>
      <groupName>格式问题</groupName>
      <ability>L2_HalfPunc</ability>
      <abilityName>全半角检查</abilityName>
      <candidateList>
        <item>）</item>
      </candidateList>
      <explain>文本全半角错误。</explain>
      <paraID>16A0E3AC</paraID>
      <start>114</start>
      <end>115</end>
      <status>unmodified</status>
      <modifiedWord/>
      <trackRevisions>false</trackRevisions>
    </reviewItem>
    <reviewItem>
      <errorID>6847015b-b498-439d-af9a-90b0518e1cf9</errorID>
      <errorWord>提出质疑</errorWord>
      <group>L1_Word</group>
      <groupName>字词问题</groupName>
      <ability>L2_Typo</ability>
      <abilityName>字词错误</abilityName>
      <candidateList>
        <item>质疑</item>
      </candidateList>
      <explain>〈动〉提出疑问：～问难。</explain>
      <paraID>2C6D849E</paraID>
      <start>53</start>
      <end>57</end>
      <status>unmodified</status>
      <modifiedWord/>
      <trackRevisions>false</trackRevisions>
    </reviewItem>
    <reviewItem>
      <errorID>82ef42be-3dec-4706-8e2b-e8d3c3423941</errorID>
      <errorWord>因为</errorWord>
      <group>L1_Word</group>
      <groupName>字词问题</groupName>
      <ability>L2_Typo</ability>
      <abilityName>字词错误</abilityName>
      <candidateList>
        <item>因</item>
      </candidateList>
      <explain/>
      <paraID> 3463063</paraID>
      <start>118</start>
      <end>120</end>
      <status>unmodified</status>
      <modifiedWord/>
      <trackRevisions>false</trackRevisions>
    </reviewItem>
    <reviewItem>
      <errorID>68c73cd7-514c-4a22-a211-0c52ca79e2b5</errorID>
      <errorWord>另</errorWord>
      <group>L1_Word</group>
      <groupName>字词问题</groupName>
      <ability>L2_Typo</ability>
      <abilityName>字词错误</abilityName>
      <candidateList>
        <item>另行</item>
      </candidateList>
      <explain/>
      <paraID>4CE75489</paraID>
      <start>44</start>
      <end>45</end>
      <status>unmodified</status>
      <modifiedWord/>
      <trackRevisions>false</trackRevisions>
    </reviewItem>
    <reviewItem>
      <errorID>b7a7041b-6818-422c-8075-57b078022f7e</errorID>
      <errorWord>帐</errorWord>
      <group>L1_Word</group>
      <groupName>字词问题</groupName>
      <ability>L2_Typo</ability>
      <abilityName>字词错误</abilityName>
      <candidateList>
        <item>账</item>
      </candidateList>
      <explain>（賬）zhànɡ〈名〉❶关于货币、货物出入的记载：记～｜查～。❷指账簿：一本～。❸债：欠～｜还～｜放～。</explain>
      <paraID>56BC4FA0</paraID>
      <start>0</start>
      <end>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211ad5-9538-4ea1-be6b-7d506615f1df}">
  <ds:schemaRefs/>
</ds:datastoreItem>
</file>

<file path=docProps/app.xml><?xml version="1.0" encoding="utf-8"?>
<Properties xmlns="http://schemas.openxmlformats.org/officeDocument/2006/extended-properties" xmlns:vt="http://schemas.openxmlformats.org/officeDocument/2006/docPropsVTypes">
  <Template>Normal.dotm</Template>
  <Pages>104</Pages>
  <Words>18152</Words>
  <Characters>18985</Characters>
  <Lines>382</Lines>
  <Paragraphs>107</Paragraphs>
  <TotalTime>32</TotalTime>
  <ScaleCrop>false</ScaleCrop>
  <LinksUpToDate>false</LinksUpToDate>
  <CharactersWithSpaces>19156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2023-11-14T06:38:00Z</dcterms:created>
  <dc:creator>倔强的玉米浓炮</dc:creator>
  <cp:lastModifiedBy>倔强的玉米浓炮</cp:lastModifiedBy>
  <dcterms:modified xsi:type="dcterms:W3CDTF">2025-12-03T03:22:20Z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E94D2B0B0F984B76986870EFB2737BCB_13</vt:lpwstr>
  </property>
  <property fmtid="{D5CDD505-2E9C-101B-9397-08002B2CF9AE}" pid="4" name="KSOTemplateDocerSaveRecord">
    <vt:lpwstr>eyJoZGlkIjoiZDU4NDY1OTRkYjQxMjc0ZjlmZDllNDVkMzRhNmY1N2QiLCJ1c2VySWQiOiI5MzcwNjc2MDcifQ==</vt:lpwstr>
  </property>
</Properties>
</file>