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2A895F"/>
    <w:p w14:paraId="4D4DA617"/>
    <w:p w14:paraId="6E13B93B"/>
    <w:p w14:paraId="5B725544"/>
    <w:p w14:paraId="1FADFE68">
      <w: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page">
                  <wp:posOffset>1143000</wp:posOffset>
                </wp:positionH>
                <wp:positionV relativeFrom="page">
                  <wp:posOffset>2313940</wp:posOffset>
                </wp:positionV>
                <wp:extent cx="5274310" cy="9525"/>
                <wp:effectExtent l="0" t="0" r="0" b="0"/>
                <wp:wrapNone/>
                <wp:docPr id="1" name="任意多边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74310" cy="9525"/>
                        </a:xfrm>
                        <a:custGeom>
                          <a:avLst/>
                          <a:gdLst/>
                          <a:ahLst/>
                          <a:cxnLst/>
                          <a:pathLst>
                            <a:path w="8305" h="15">
                              <a:moveTo>
                                <a:pt x="0" y="0"/>
                              </a:moveTo>
                              <a:lnTo>
                                <a:pt x="8305" y="0"/>
                              </a:lnTo>
                              <a:lnTo>
                                <a:pt x="8305" y="14"/>
                              </a:lnTo>
                              <a:lnTo>
                                <a:pt x="0" y="1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任意多边形 2" o:spid="_x0000_s1026" o:spt="100" style="position:absolute;left:0pt;margin-left:90pt;margin-top:182.2pt;height:0.75pt;width:415.3pt;mso-position-horizontal-relative:page;mso-position-vertical-relative:page;z-index:251659264;mso-width-relative:page;mso-height-relative:page;" fillcolor="#000000" filled="t" stroked="f" coordsize="8305,15" o:allowincell="f" o:gfxdata="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L9k1lzaAAAADAEAAA8AAAAA&#10;AAAAAQAgAAAAIgAAAGRycy9kb3ducmV2LnhtbFBLAQIUABQAAAAIAIdO4kDId1Y0EgIAAHsEAAAO&#10;AAAAAAAAAAEAIAAAACkBAABkcnMvZTJvRG9jLnhtbFBLBQYAAAAABgAGAFkBAACtBQAAAAA=&#10;" path="m0,0l8305,0,8305,14,0,14,0,0xe"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</w:p>
    <w:p w14:paraId="725AC7FA">
      <w:pPr>
        <w:spacing w:before="231" w:line="223" w:lineRule="auto"/>
        <w:ind w:firstLine="2760"/>
        <w:rPr>
          <w:rFonts w:hint="eastAsia" w:ascii="宋体" w:hAnsi="宋体" w:cs="宋体"/>
          <w:sz w:val="71"/>
          <w:szCs w:val="71"/>
        </w:rPr>
      </w:pPr>
      <w:r>
        <w:rPr>
          <w:rFonts w:ascii="宋体" w:hAnsi="宋体" w:eastAsia="宋体" w:cs="宋体"/>
          <w:spacing w:val="3"/>
          <w:sz w:val="71"/>
          <w:szCs w:val="71"/>
        </w:rPr>
        <w:t>项目</w:t>
      </w:r>
      <w:r>
        <w:rPr>
          <w:rFonts w:ascii="宋体" w:hAnsi="宋体" w:eastAsia="宋体" w:cs="宋体"/>
          <w:spacing w:val="2"/>
          <w:sz w:val="71"/>
          <w:szCs w:val="71"/>
        </w:rPr>
        <w:t>建筑</w:t>
      </w:r>
    </w:p>
    <w:p w14:paraId="008CA098">
      <w:pPr>
        <w:spacing w:before="77" w:line="221" w:lineRule="auto"/>
        <w:ind w:firstLine="1318"/>
        <w:rPr>
          <w:rFonts w:hint="eastAsia" w:ascii="宋体" w:hAnsi="宋体" w:cs="宋体"/>
          <w:spacing w:val="6"/>
          <w:sz w:val="71"/>
          <w:szCs w:val="71"/>
        </w:rPr>
      </w:pPr>
      <w:r>
        <w:rPr>
          <w:rFonts w:ascii="宋体" w:hAnsi="宋体" w:eastAsia="宋体" w:cs="宋体"/>
          <w:spacing w:val="8"/>
          <w:sz w:val="71"/>
          <w:szCs w:val="71"/>
        </w:rPr>
        <w:t>形体判定论证报</w:t>
      </w:r>
      <w:r>
        <w:rPr>
          <w:rFonts w:ascii="宋体" w:hAnsi="宋体" w:eastAsia="宋体" w:cs="宋体"/>
          <w:spacing w:val="6"/>
          <w:sz w:val="71"/>
          <w:szCs w:val="71"/>
        </w:rPr>
        <w:t>告</w:t>
      </w:r>
    </w:p>
    <w:p w14:paraId="33D05D09">
      <w:pPr>
        <w:spacing w:before="77" w:line="221" w:lineRule="auto"/>
        <w:ind w:firstLine="1318"/>
        <w:rPr>
          <w:rFonts w:hint="eastAsia" w:ascii="宋体" w:hAnsi="宋体" w:cs="宋体"/>
          <w:sz w:val="71"/>
          <w:szCs w:val="71"/>
        </w:rPr>
      </w:pPr>
    </w:p>
    <w:p w14:paraId="34D56585"/>
    <w:p w14:paraId="29AEC54F"/>
    <w:p w14:paraId="6DCA23C5"/>
    <w:p w14:paraId="299911B0"/>
    <w:p w14:paraId="474CD5F4"/>
    <w:p w14:paraId="11F3423A"/>
    <w:p w14:paraId="2AAD745E"/>
    <w:p w14:paraId="20547824"/>
    <w:p w14:paraId="2C957247"/>
    <w:p w14:paraId="25BC2A4D"/>
    <w:p w14:paraId="6983B834"/>
    <w:p w14:paraId="0CF5B5FE"/>
    <w:p w14:paraId="776BF48F"/>
    <w:p w14:paraId="2961CCE9"/>
    <w:p w14:paraId="000B74D5">
      <w:pPr>
        <w:rPr>
          <w:color w:val="auto"/>
        </w:rPr>
      </w:pPr>
    </w:p>
    <w:p w14:paraId="4015208B">
      <w:pPr>
        <w:spacing w:line="130" w:lineRule="exact"/>
        <w:rPr>
          <w:color w:val="auto"/>
        </w:rPr>
      </w:pPr>
    </w:p>
    <w:tbl>
      <w:tblPr>
        <w:tblStyle w:val="7"/>
        <w:tblW w:w="8814" w:type="dxa"/>
        <w:tblInd w:w="23" w:type="dxa"/>
        <w:tblBorders>
          <w:top w:val="none" w:color="000000" w:sz="2" w:space="0"/>
          <w:left w:val="none" w:color="000000" w:sz="2" w:space="0"/>
          <w:bottom w:val="none" w:color="000000" w:sz="2" w:space="0"/>
          <w:right w:val="none" w:color="000000" w:sz="2" w:space="0"/>
          <w:insideH w:val="none" w:color="000000" w:sz="2" w:space="0"/>
          <w:insideV w:val="non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62"/>
        <w:gridCol w:w="5852"/>
      </w:tblGrid>
      <w:tr w14:paraId="715F4A59"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atLeast"/>
        </w:trPr>
        <w:tc>
          <w:tcPr>
            <w:tcW w:w="2962" w:type="dxa"/>
            <w:vAlign w:val="center"/>
          </w:tcPr>
          <w:p w14:paraId="7ABD4FD2">
            <w:pPr>
              <w:spacing w:line="218" w:lineRule="auto"/>
              <w:ind w:left="901" w:leftChars="429"/>
              <w:jc w:val="left"/>
              <w:rPr>
                <w:rFonts w:hint="eastAsia" w:hAnsi="宋体"/>
                <w:color w:val="000000"/>
                <w:lang w:val="en-US" w:eastAsia="zh-CN"/>
              </w:rPr>
            </w:pPr>
            <w:r>
              <w:rPr>
                <w:rFonts w:hint="eastAsia" w:hAnsi="宋体"/>
                <w:color w:val="000000"/>
                <w:lang w:val="en-US" w:eastAsia="zh-CN"/>
              </w:rPr>
              <w:t>建设单位：</w:t>
            </w:r>
          </w:p>
        </w:tc>
        <w:tc>
          <w:tcPr>
            <w:tcW w:w="5852" w:type="dxa"/>
            <w:vAlign w:val="center"/>
          </w:tcPr>
          <w:p w14:paraId="29BE9065">
            <w:pPr>
              <w:spacing w:line="218" w:lineRule="auto"/>
              <w:ind w:firstLine="210" w:firstLineChars="100"/>
              <w:jc w:val="left"/>
              <w:rPr>
                <w:rFonts w:hint="default" w:hAnsi="宋体"/>
                <w:color w:val="000000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 w:hAnsi="宋体"/>
                <w:color w:val="000000"/>
                <w:lang w:val="zh-CN" w:eastAsia="zh-CN"/>
              </w:rPr>
              <w:t>恭城瑶族自治</w:t>
            </w:r>
            <w:r>
              <w:rPr>
                <w:rFonts w:hint="eastAsia" w:hAnsi="宋体"/>
                <w:color w:val="000000"/>
                <w:lang w:val="en-US" w:eastAsia="zh-CN"/>
              </w:rPr>
              <w:t>教育局</w:t>
            </w:r>
          </w:p>
        </w:tc>
      </w:tr>
      <w:tr w14:paraId="15602DC6"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1" w:hRule="atLeast"/>
        </w:trPr>
        <w:tc>
          <w:tcPr>
            <w:tcW w:w="2962" w:type="dxa"/>
            <w:vAlign w:val="center"/>
          </w:tcPr>
          <w:p w14:paraId="1720CE77">
            <w:pPr>
              <w:spacing w:line="218" w:lineRule="auto"/>
              <w:ind w:left="901" w:leftChars="429"/>
              <w:jc w:val="left"/>
              <w:rPr>
                <w:rFonts w:hint="eastAsia" w:hAnsi="宋体"/>
                <w:color w:val="000000"/>
                <w:lang w:val="en-US" w:eastAsia="zh-CN"/>
              </w:rPr>
            </w:pPr>
            <w:r>
              <w:rPr>
                <w:rFonts w:hint="eastAsia" w:hAnsi="宋体"/>
                <w:color w:val="000000"/>
                <w:lang w:val="en-US" w:eastAsia="zh-CN"/>
              </w:rPr>
              <w:t>项目名称(子项名称)：</w:t>
            </w:r>
          </w:p>
        </w:tc>
        <w:tc>
          <w:tcPr>
            <w:tcW w:w="5852" w:type="dxa"/>
            <w:vAlign w:val="center"/>
          </w:tcPr>
          <w:p w14:paraId="45D5C129">
            <w:pPr>
              <w:spacing w:line="218" w:lineRule="auto"/>
              <w:ind w:firstLine="210" w:firstLineChars="100"/>
              <w:jc w:val="left"/>
              <w:rPr>
                <w:rFonts w:hint="default" w:hAnsi="宋体"/>
                <w:color w:val="000000"/>
                <w:lang w:val="en-US" w:eastAsia="zh-CN"/>
              </w:rPr>
            </w:pPr>
            <w:r>
              <w:rPr>
                <w:rFonts w:hint="eastAsia" w:hAnsi="宋体"/>
                <w:color w:val="000000"/>
                <w:lang w:val="zh-CN" w:eastAsia="zh-CN"/>
              </w:rPr>
              <w:t>恭城瑶族自治县平安镇新街完全小学教学综合楼建设项目</w:t>
            </w:r>
          </w:p>
        </w:tc>
      </w:tr>
      <w:tr w14:paraId="7768CB54"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4" w:hRule="atLeast"/>
        </w:trPr>
        <w:tc>
          <w:tcPr>
            <w:tcW w:w="2962" w:type="dxa"/>
            <w:vAlign w:val="center"/>
          </w:tcPr>
          <w:p w14:paraId="2BC0F939">
            <w:pPr>
              <w:spacing w:line="218" w:lineRule="auto"/>
              <w:ind w:left="901" w:leftChars="429"/>
              <w:jc w:val="left"/>
              <w:rPr>
                <w:rFonts w:hint="eastAsia" w:hAnsi="宋体"/>
                <w:color w:val="000000"/>
                <w:lang w:val="en-US" w:eastAsia="zh-CN"/>
              </w:rPr>
            </w:pPr>
            <w:r>
              <w:rPr>
                <w:rFonts w:hint="eastAsia" w:hAnsi="宋体"/>
                <w:color w:val="000000"/>
                <w:lang w:val="en-US" w:eastAsia="zh-CN"/>
              </w:rPr>
              <w:t>设计阶段：</w:t>
            </w:r>
          </w:p>
        </w:tc>
        <w:tc>
          <w:tcPr>
            <w:tcW w:w="5852" w:type="dxa"/>
            <w:vAlign w:val="center"/>
          </w:tcPr>
          <w:p w14:paraId="75504C80">
            <w:pPr>
              <w:spacing w:line="218" w:lineRule="auto"/>
              <w:ind w:firstLine="210" w:firstLineChars="100"/>
              <w:jc w:val="left"/>
              <w:rPr>
                <w:rFonts w:hint="eastAsia" w:hAnsi="宋体"/>
                <w:color w:val="000000"/>
                <w:lang w:val="en-US" w:eastAsia="zh-CN"/>
              </w:rPr>
            </w:pPr>
            <w:r>
              <w:rPr>
                <w:rFonts w:hint="eastAsia" w:hAnsi="宋体"/>
                <w:color w:val="000000"/>
                <w:lang w:val="en-US" w:eastAsia="zh-CN"/>
              </w:rPr>
              <w:t>施工图</w:t>
            </w:r>
          </w:p>
        </w:tc>
      </w:tr>
      <w:tr w14:paraId="4459848D"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6" w:hRule="atLeast"/>
        </w:trPr>
        <w:tc>
          <w:tcPr>
            <w:tcW w:w="2962" w:type="dxa"/>
            <w:vAlign w:val="center"/>
          </w:tcPr>
          <w:p w14:paraId="7EE4A010">
            <w:pPr>
              <w:spacing w:line="218" w:lineRule="auto"/>
              <w:ind w:left="901" w:leftChars="429"/>
              <w:jc w:val="left"/>
              <w:rPr>
                <w:rFonts w:hint="eastAsia" w:hAnsi="宋体"/>
                <w:color w:val="000000"/>
                <w:lang w:val="en-US" w:eastAsia="zh-CN"/>
              </w:rPr>
            </w:pPr>
            <w:r>
              <w:rPr>
                <w:rFonts w:hint="eastAsia" w:hAnsi="宋体"/>
                <w:color w:val="000000"/>
                <w:lang w:val="en-US" w:eastAsia="zh-CN"/>
              </w:rPr>
              <w:t>专业：</w:t>
            </w:r>
          </w:p>
        </w:tc>
        <w:tc>
          <w:tcPr>
            <w:tcW w:w="5852" w:type="dxa"/>
            <w:vAlign w:val="center"/>
          </w:tcPr>
          <w:p w14:paraId="1BA2D4A4">
            <w:pPr>
              <w:spacing w:line="218" w:lineRule="auto"/>
              <w:ind w:firstLine="210" w:firstLineChars="100"/>
              <w:jc w:val="left"/>
              <w:rPr>
                <w:rFonts w:hint="eastAsia" w:hAnsi="宋体"/>
                <w:color w:val="000000"/>
                <w:lang w:val="en-US" w:eastAsia="zh-CN"/>
              </w:rPr>
            </w:pPr>
            <w:r>
              <w:rPr>
                <w:rFonts w:hint="eastAsia" w:hAnsi="宋体"/>
                <w:color w:val="000000"/>
                <w:lang w:val="en-US" w:eastAsia="zh-CN"/>
              </w:rPr>
              <w:t>结构</w:t>
            </w:r>
          </w:p>
        </w:tc>
      </w:tr>
      <w:tr w14:paraId="5AE44EC2"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3" w:hRule="atLeast"/>
        </w:trPr>
        <w:tc>
          <w:tcPr>
            <w:tcW w:w="2962" w:type="dxa"/>
            <w:vAlign w:val="center"/>
          </w:tcPr>
          <w:p w14:paraId="11E27F94">
            <w:pPr>
              <w:spacing w:line="218" w:lineRule="auto"/>
              <w:ind w:left="901" w:leftChars="429"/>
              <w:jc w:val="left"/>
              <w:rPr>
                <w:rFonts w:hint="eastAsia" w:hAnsi="宋体"/>
                <w:color w:val="000000"/>
                <w:lang w:val="en-US" w:eastAsia="zh-CN"/>
              </w:rPr>
            </w:pPr>
            <w:r>
              <w:rPr>
                <w:rFonts w:hint="eastAsia" w:hAnsi="宋体"/>
                <w:color w:val="000000"/>
                <w:lang w:val="en-US" w:eastAsia="zh-CN"/>
              </w:rPr>
              <w:t>工程(设计)号：</w:t>
            </w:r>
          </w:p>
        </w:tc>
        <w:tc>
          <w:tcPr>
            <w:tcW w:w="5852" w:type="dxa"/>
            <w:vAlign w:val="center"/>
          </w:tcPr>
          <w:p w14:paraId="35D104E4">
            <w:pPr>
              <w:spacing w:line="218" w:lineRule="auto"/>
              <w:ind w:firstLine="210" w:firstLineChars="100"/>
              <w:jc w:val="left"/>
              <w:rPr>
                <w:rFonts w:hint="eastAsia" w:hAnsi="宋体"/>
                <w:color w:val="000000"/>
                <w:lang w:val="en-US" w:eastAsia="zh-CN"/>
              </w:rPr>
            </w:pPr>
            <w:r>
              <w:rPr>
                <w:rFonts w:hint="eastAsia" w:hAnsi="宋体"/>
                <w:color w:val="000000"/>
                <w:lang w:val="zh-CN" w:eastAsia="zh-CN"/>
              </w:rPr>
              <w:t>JYJZ2025-00</w:t>
            </w:r>
            <w:r>
              <w:rPr>
                <w:rFonts w:hint="eastAsia" w:hAnsi="宋体"/>
                <w:color w:val="000000"/>
                <w:lang w:val="en-US" w:eastAsia="zh-CN"/>
              </w:rPr>
              <w:t>7</w:t>
            </w:r>
          </w:p>
        </w:tc>
      </w:tr>
    </w:tbl>
    <w:p w14:paraId="10B2B5D8">
      <w:pPr>
        <w:spacing w:line="241" w:lineRule="auto"/>
      </w:pPr>
    </w:p>
    <w:p w14:paraId="359992F4">
      <w:pPr>
        <w:spacing w:line="241" w:lineRule="auto"/>
      </w:pPr>
    </w:p>
    <w:p w14:paraId="642F9EF9">
      <w:pPr>
        <w:spacing w:line="241" w:lineRule="auto"/>
      </w:pPr>
    </w:p>
    <w:p w14:paraId="71B3ADCD">
      <w:pPr>
        <w:spacing w:line="241" w:lineRule="auto"/>
      </w:pPr>
    </w:p>
    <w:p w14:paraId="4062F398">
      <w:pPr>
        <w:spacing w:line="241" w:lineRule="auto"/>
      </w:pPr>
    </w:p>
    <w:p w14:paraId="44CB509E">
      <w:pPr>
        <w:spacing w:line="241" w:lineRule="auto"/>
      </w:pPr>
    </w:p>
    <w:p w14:paraId="04063197">
      <w:pPr>
        <w:spacing w:line="241" w:lineRule="auto"/>
      </w:pPr>
    </w:p>
    <w:p w14:paraId="2DC332BB">
      <w:pPr>
        <w:spacing w:line="241" w:lineRule="auto"/>
      </w:pPr>
    </w:p>
    <w:p w14:paraId="3F1DF664">
      <w:pPr>
        <w:spacing w:line="241" w:lineRule="auto"/>
      </w:pPr>
    </w:p>
    <w:p w14:paraId="0670DE90">
      <w:pPr>
        <w:spacing w:line="241" w:lineRule="auto"/>
      </w:pPr>
    </w:p>
    <w:p w14:paraId="0312B343">
      <w:pPr>
        <w:spacing w:line="241" w:lineRule="auto"/>
      </w:pPr>
    </w:p>
    <w:p w14:paraId="6D11CD92">
      <w:pPr>
        <w:spacing w:before="101" w:line="219" w:lineRule="auto"/>
        <w:jc w:val="center"/>
        <w:outlineLvl w:val="0"/>
        <w:rPr>
          <w:rFonts w:hint="eastAsia" w:ascii="宋体" w:hAnsi="宋体"/>
          <w:sz w:val="44"/>
          <w:szCs w:val="44"/>
          <w:lang w:val="en-US" w:eastAsia="zh-CN"/>
        </w:rPr>
      </w:pPr>
    </w:p>
    <w:p w14:paraId="21614241">
      <w:pPr>
        <w:spacing w:before="101" w:line="219" w:lineRule="auto"/>
        <w:jc w:val="center"/>
        <w:outlineLvl w:val="0"/>
        <w:rPr>
          <w:rFonts w:hint="default" w:ascii="宋体" w:hAnsi="宋体"/>
          <w:sz w:val="21"/>
          <w:szCs w:val="21"/>
          <w:lang w:val="en-US" w:eastAsia="zh-CN"/>
        </w:rPr>
      </w:pPr>
      <w:r>
        <w:rPr>
          <w:rFonts w:hint="eastAsia" w:ascii="宋体" w:hAnsi="宋体"/>
          <w:sz w:val="44"/>
          <w:szCs w:val="44"/>
          <w:lang w:val="en-US" w:eastAsia="zh-CN"/>
        </w:rPr>
        <w:t>广西教育建筑设计院有限公司</w:t>
      </w:r>
    </w:p>
    <w:p w14:paraId="2D6B49DE">
      <w:pPr>
        <w:spacing w:before="101" w:line="219" w:lineRule="auto"/>
        <w:ind w:firstLine="2021"/>
        <w:outlineLvl w:val="0"/>
        <w:rPr>
          <w:rFonts w:hint="eastAsia" w:ascii="宋体" w:hAnsi="宋体"/>
          <w:sz w:val="21"/>
          <w:szCs w:val="21"/>
          <w:lang w:val="zh-CN" w:eastAsia="zh-CN"/>
        </w:rPr>
      </w:pPr>
    </w:p>
    <w:p w14:paraId="24AC9FFA">
      <w:pPr>
        <w:spacing w:before="101" w:line="219" w:lineRule="auto"/>
        <w:ind w:firstLine="2021"/>
        <w:outlineLvl w:val="0"/>
        <w:rPr>
          <w:rFonts w:hint="eastAsia" w:ascii="宋体" w:hAnsi="宋体"/>
          <w:sz w:val="21"/>
          <w:szCs w:val="21"/>
          <w:lang w:val="zh-CN" w:eastAsia="zh-CN"/>
        </w:rPr>
      </w:pPr>
    </w:p>
    <w:p w14:paraId="61B8974D">
      <w:pPr>
        <w:spacing w:before="101" w:line="219" w:lineRule="auto"/>
        <w:ind w:firstLine="2021"/>
        <w:outlineLvl w:val="0"/>
        <w:rPr>
          <w:rFonts w:hint="eastAsia" w:ascii="宋体" w:hAnsi="宋体"/>
          <w:sz w:val="21"/>
          <w:szCs w:val="21"/>
          <w:lang w:val="zh-CN" w:eastAsia="zh-CN"/>
        </w:rPr>
      </w:pPr>
    </w:p>
    <w:p w14:paraId="1AFBB165">
      <w:pPr>
        <w:spacing w:before="101" w:line="219" w:lineRule="auto"/>
        <w:ind w:firstLine="2021"/>
        <w:outlineLvl w:val="0"/>
        <w:rPr>
          <w:rFonts w:hint="eastAsia" w:ascii="宋体" w:hAnsi="宋体"/>
          <w:sz w:val="21"/>
          <w:szCs w:val="21"/>
          <w:lang w:val="zh-CN" w:eastAsia="zh-CN"/>
        </w:rPr>
      </w:pPr>
    </w:p>
    <w:p w14:paraId="48FFF643">
      <w:pPr>
        <w:spacing w:before="101" w:line="219" w:lineRule="auto"/>
        <w:ind w:firstLine="2021"/>
        <w:outlineLvl w:val="0"/>
        <w:rPr>
          <w:rFonts w:ascii="宋体" w:hAnsi="宋体" w:eastAsia="宋体" w:cs="宋体"/>
          <w:sz w:val="44"/>
          <w:szCs w:val="44"/>
        </w:rPr>
      </w:pPr>
      <w:r>
        <w:rPr>
          <w:rFonts w:ascii="宋体" w:hAnsi="宋体" w:eastAsia="宋体" w:cs="宋体"/>
          <w:spacing w:val="-5"/>
          <w:sz w:val="44"/>
          <w:szCs w:val="44"/>
        </w:rPr>
        <w:t>中心项</w:t>
      </w:r>
      <w:r>
        <w:rPr>
          <w:rFonts w:ascii="宋体" w:hAnsi="宋体" w:eastAsia="宋体" w:cs="宋体"/>
          <w:spacing w:val="-4"/>
          <w:sz w:val="44"/>
          <w:szCs w:val="44"/>
        </w:rPr>
        <w:t>目形体判定报告</w:t>
      </w:r>
    </w:p>
    <w:p w14:paraId="30DF5AF7">
      <w:pPr>
        <w:spacing w:line="334" w:lineRule="auto"/>
      </w:pPr>
    </w:p>
    <w:p w14:paraId="74B449CE">
      <w:pPr>
        <w:spacing w:before="88" w:line="459" w:lineRule="exact"/>
        <w:ind w:firstLine="590"/>
        <w:outlineLvl w:val="0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7"/>
          <w:position w:val="2"/>
          <w:sz w:val="28"/>
          <w:szCs w:val="28"/>
        </w:rPr>
        <w:t>一</w:t>
      </w:r>
      <w:r>
        <w:rPr>
          <w:rFonts w:ascii="宋体" w:hAnsi="宋体" w:eastAsia="宋体" w:cs="宋体"/>
          <w:spacing w:val="9"/>
          <w:position w:val="2"/>
          <w:sz w:val="28"/>
          <w:szCs w:val="28"/>
        </w:rPr>
        <w:t>、</w:t>
      </w:r>
      <w:r>
        <w:rPr>
          <w:rFonts w:ascii="宋体" w:hAnsi="宋体" w:eastAsia="宋体" w:cs="宋体"/>
          <w:spacing w:val="6"/>
          <w:position w:val="2"/>
          <w:sz w:val="28"/>
          <w:szCs w:val="28"/>
        </w:rPr>
        <w:t>工程概况</w:t>
      </w:r>
      <w:r>
        <w:rPr>
          <w:rFonts w:ascii="宋体" w:hAnsi="宋体" w:eastAsia="宋体" w:cs="宋体"/>
          <w:spacing w:val="9"/>
          <w:position w:val="2"/>
          <w:sz w:val="28"/>
          <w:szCs w:val="28"/>
        </w:rPr>
        <w:t>：</w:t>
      </w:r>
    </w:p>
    <w:p w14:paraId="65D7E8FE">
      <w:pPr>
        <w:spacing w:line="269" w:lineRule="auto"/>
      </w:pPr>
    </w:p>
    <w:p w14:paraId="7E78E7C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textAlignment w:val="baseline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总用地面积为8407.0982平方米，总建筑面积3101.41平方米，其中拟建建筑有一栋教学综合楼1331.41平方米。校园建筑总占地面积1272.41平方米，容积率0.37，建筑密度15.14%，绿化率37.22%。</w:t>
      </w:r>
    </w:p>
    <w:p w14:paraId="1F794E8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textAlignment w:val="baseline"/>
        <w:sectPr>
          <w:pgSz w:w="11906" w:h="16839"/>
          <w:pgMar w:top="1431" w:right="1785" w:bottom="0" w:left="1785" w:header="0" w:footer="0" w:gutter="0"/>
          <w:cols w:space="720" w:num="1"/>
        </w:sectPr>
      </w:pPr>
      <w:r>
        <w:rPr>
          <w:rFonts w:hint="eastAsia" w:ascii="宋体" w:hAnsi="宋体" w:eastAsia="宋体" w:cs="宋体"/>
          <w:sz w:val="28"/>
          <w:szCs w:val="28"/>
        </w:rPr>
        <w:t>±0.000标高相当于1985年国家高程系145.05m。</w:t>
      </w: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-259080</wp:posOffset>
                </wp:positionH>
                <wp:positionV relativeFrom="paragraph">
                  <wp:posOffset>532765</wp:posOffset>
                </wp:positionV>
                <wp:extent cx="5838825" cy="5309870"/>
                <wp:effectExtent l="4445" t="4445" r="5080" b="19685"/>
                <wp:wrapNone/>
                <wp:docPr id="2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38825" cy="53098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3D252614">
                            <w:pPr>
                              <w:keepNext w:val="0"/>
                              <w:keepLines w:val="0"/>
                              <w:widowControl/>
                              <w:suppressLineNumbers w:val="0"/>
                              <w:jc w:val="left"/>
                            </w:pPr>
                          </w:p>
                          <w:p w14:paraId="3BD5223D">
                            <w:r>
                              <w:drawing>
                                <wp:inline distT="0" distB="0" distL="114300" distR="114300">
                                  <wp:extent cx="5646420" cy="2171700"/>
                                  <wp:effectExtent l="0" t="0" r="11430" b="0"/>
                                  <wp:docPr id="4" name="图片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" name="图片 1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4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5646420" cy="21717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33588A25">
                            <w:pPr>
                              <w:rPr>
                                <w:rFonts w:hint="eastAsia"/>
                                <w:lang w:eastAsia="zh-CN"/>
                              </w:rPr>
                            </w:pPr>
                            <w:r>
                              <w:drawing>
                                <wp:inline distT="0" distB="0" distL="114300" distR="114300">
                                  <wp:extent cx="2748915" cy="2680335"/>
                                  <wp:effectExtent l="0" t="0" r="13335" b="5715"/>
                                  <wp:docPr id="5" name="图片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5" name="图片 2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5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748915" cy="268033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3" o:spid="_x0000_s1026" o:spt="202" type="#_x0000_t202" style="position:absolute;left:0pt;margin-left:-20.4pt;margin-top:41.95pt;height:418.1pt;width:459.75pt;z-index:251660288;mso-width-relative:page;mso-height-relative:page;" fillcolor="#FFFFFF" filled="t" stroked="t" coordsize="21600,21600" o:gfxdata="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K9F8sjZAAAACgEAAA8AAAAAAAAAAQAg&#10;AAAAIgAAAGRycy9kb3ducmV2LnhtbFBLAQIUABQAAAAIAIdO4kAeLam6DQIAADcEAAAOAAAAAAAA&#10;AAEAIAAAACgBAABkcnMvZTJvRG9jLnhtbFBLBQYAAAAABgAGAFkBAACn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3D252614">
                      <w:pPr>
                        <w:keepNext w:val="0"/>
                        <w:keepLines w:val="0"/>
                        <w:widowControl/>
                        <w:suppressLineNumbers w:val="0"/>
                        <w:jc w:val="left"/>
                      </w:pPr>
                    </w:p>
                    <w:p w14:paraId="3BD5223D">
                      <w:r>
                        <w:drawing>
                          <wp:inline distT="0" distB="0" distL="114300" distR="114300">
                            <wp:extent cx="5646420" cy="2171700"/>
                            <wp:effectExtent l="0" t="0" r="11430" b="0"/>
                            <wp:docPr id="4" name="图片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" name="图片 1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4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5646420" cy="21717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33588A25">
                      <w:pPr>
                        <w:rPr>
                          <w:rFonts w:hint="eastAsia"/>
                          <w:lang w:eastAsia="zh-CN"/>
                        </w:rPr>
                      </w:pPr>
                      <w:r>
                        <w:drawing>
                          <wp:inline distT="0" distB="0" distL="114300" distR="114300">
                            <wp:extent cx="2748915" cy="2680335"/>
                            <wp:effectExtent l="0" t="0" r="13335" b="5715"/>
                            <wp:docPr id="5" name="图片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5" name="图片 2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5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748915" cy="268033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14:paraId="5C7BF6F7">
      <w:pPr>
        <w:spacing w:before="183" w:line="366" w:lineRule="exact"/>
        <w:ind w:firstLine="590"/>
        <w:outlineLvl w:val="0"/>
        <w:rPr>
          <w:rFonts w:ascii="宋体" w:hAnsi="宋体" w:eastAsia="宋体" w:cs="宋体"/>
          <w:color w:val="auto"/>
          <w:sz w:val="27"/>
          <w:szCs w:val="27"/>
        </w:rPr>
      </w:pPr>
      <w:r>
        <w:rPr>
          <w:rFonts w:ascii="宋体" w:hAnsi="宋体" w:eastAsia="宋体" w:cs="宋体"/>
          <w:spacing w:val="8"/>
          <w:position w:val="2"/>
          <w:sz w:val="27"/>
          <w:szCs w:val="27"/>
        </w:rPr>
        <w:t>二</w:t>
      </w:r>
      <w:r>
        <w:rPr>
          <w:rFonts w:ascii="宋体" w:hAnsi="宋体" w:eastAsia="宋体" w:cs="宋体"/>
          <w:spacing w:val="10"/>
          <w:position w:val="2"/>
          <w:sz w:val="27"/>
          <w:szCs w:val="27"/>
        </w:rPr>
        <w:t>、</w:t>
      </w:r>
      <w:r>
        <w:rPr>
          <w:rFonts w:ascii="宋体" w:hAnsi="宋体" w:eastAsia="宋体" w:cs="宋体"/>
          <w:spacing w:val="7"/>
          <w:position w:val="2"/>
          <w:sz w:val="27"/>
          <w:szCs w:val="27"/>
        </w:rPr>
        <w:t>结构形</w:t>
      </w:r>
      <w:r>
        <w:rPr>
          <w:rFonts w:ascii="宋体" w:hAnsi="宋体" w:eastAsia="宋体" w:cs="宋体"/>
          <w:color w:val="auto"/>
          <w:spacing w:val="7"/>
          <w:position w:val="2"/>
          <w:sz w:val="27"/>
          <w:szCs w:val="27"/>
        </w:rPr>
        <w:t>体判断</w:t>
      </w:r>
      <w:r>
        <w:rPr>
          <w:rFonts w:ascii="宋体" w:hAnsi="宋体" w:eastAsia="宋体" w:cs="宋体"/>
          <w:color w:val="auto"/>
          <w:spacing w:val="10"/>
          <w:position w:val="2"/>
          <w:sz w:val="27"/>
          <w:szCs w:val="27"/>
        </w:rPr>
        <w:t>：</w:t>
      </w:r>
    </w:p>
    <w:p w14:paraId="738BBEE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5" w:line="26" w:lineRule="atLeast"/>
        <w:ind w:left="23" w:right="183" w:hanging="1"/>
        <w:textAlignment w:val="baseline"/>
        <w:rPr>
          <w:rFonts w:ascii="宋体" w:hAnsi="宋体" w:eastAsia="宋体" w:cs="宋体"/>
          <w:color w:val="auto"/>
          <w:sz w:val="23"/>
          <w:szCs w:val="23"/>
        </w:rPr>
      </w:pPr>
      <w:r>
        <w:rPr>
          <w:rFonts w:ascii="宋体" w:hAnsi="宋体" w:eastAsia="宋体" w:cs="宋体"/>
          <w:color w:val="auto"/>
          <w:spacing w:val="7"/>
          <w:sz w:val="23"/>
          <w:szCs w:val="23"/>
        </w:rPr>
        <w:t>对结构体系的平面规则性</w:t>
      </w:r>
      <w:r>
        <w:rPr>
          <w:rFonts w:ascii="宋体" w:hAnsi="宋体" w:eastAsia="宋体" w:cs="宋体"/>
          <w:color w:val="auto"/>
          <w:spacing w:val="8"/>
          <w:sz w:val="23"/>
          <w:szCs w:val="23"/>
        </w:rPr>
        <w:t>、</w:t>
      </w:r>
      <w:r>
        <w:rPr>
          <w:rFonts w:ascii="宋体" w:hAnsi="宋体" w:eastAsia="宋体" w:cs="宋体"/>
          <w:color w:val="auto"/>
          <w:spacing w:val="7"/>
          <w:sz w:val="23"/>
          <w:szCs w:val="23"/>
        </w:rPr>
        <w:t>竖向规则性与规范要求进行比较</w:t>
      </w:r>
      <w:r>
        <w:rPr>
          <w:rFonts w:ascii="宋体" w:hAnsi="宋体" w:eastAsia="宋体" w:cs="宋体"/>
          <w:color w:val="auto"/>
          <w:spacing w:val="8"/>
          <w:sz w:val="23"/>
          <w:szCs w:val="23"/>
        </w:rPr>
        <w:t>，</w:t>
      </w:r>
      <w:r>
        <w:rPr>
          <w:rFonts w:ascii="宋体" w:hAnsi="宋体" w:eastAsia="宋体" w:cs="宋体"/>
          <w:color w:val="auto"/>
          <w:spacing w:val="7"/>
          <w:sz w:val="23"/>
          <w:szCs w:val="23"/>
        </w:rPr>
        <w:t>就其中超过规</w:t>
      </w:r>
      <w:r>
        <w:rPr>
          <w:rFonts w:ascii="宋体" w:hAnsi="宋体" w:eastAsia="宋体" w:cs="宋体"/>
          <w:color w:val="auto"/>
          <w:spacing w:val="6"/>
          <w:sz w:val="23"/>
          <w:szCs w:val="23"/>
        </w:rPr>
        <w:t>范常</w:t>
      </w:r>
      <w:r>
        <w:rPr>
          <w:rFonts w:ascii="宋体" w:hAnsi="宋体" w:eastAsia="宋体" w:cs="宋体"/>
          <w:color w:val="auto"/>
          <w:spacing w:val="7"/>
          <w:sz w:val="23"/>
          <w:szCs w:val="23"/>
        </w:rPr>
        <w:t>规标准的超限设计内容进行分析</w:t>
      </w:r>
      <w:r>
        <w:rPr>
          <w:rFonts w:ascii="宋体" w:hAnsi="宋体" w:eastAsia="宋体" w:cs="宋体"/>
          <w:color w:val="auto"/>
          <w:spacing w:val="8"/>
          <w:sz w:val="23"/>
          <w:szCs w:val="23"/>
        </w:rPr>
        <w:t>，</w:t>
      </w:r>
      <w:r>
        <w:rPr>
          <w:rFonts w:ascii="宋体" w:hAnsi="宋体" w:eastAsia="宋体" w:cs="宋体"/>
          <w:color w:val="auto"/>
          <w:spacing w:val="7"/>
          <w:sz w:val="23"/>
          <w:szCs w:val="23"/>
        </w:rPr>
        <w:t>进行各工况组合下的静力分析</w:t>
      </w:r>
      <w:r>
        <w:rPr>
          <w:rFonts w:ascii="宋体" w:hAnsi="宋体" w:eastAsia="宋体" w:cs="宋体"/>
          <w:color w:val="auto"/>
          <w:spacing w:val="8"/>
          <w:sz w:val="23"/>
          <w:szCs w:val="23"/>
        </w:rPr>
        <w:t>，</w:t>
      </w:r>
      <w:r>
        <w:rPr>
          <w:rFonts w:ascii="宋体" w:hAnsi="宋体" w:eastAsia="宋体" w:cs="宋体"/>
          <w:color w:val="auto"/>
          <w:spacing w:val="7"/>
          <w:sz w:val="23"/>
          <w:szCs w:val="23"/>
        </w:rPr>
        <w:t>进行</w:t>
      </w:r>
      <w:r>
        <w:rPr>
          <w:rFonts w:ascii="宋体" w:hAnsi="宋体" w:eastAsia="宋体" w:cs="宋体"/>
          <w:color w:val="auto"/>
          <w:spacing w:val="6"/>
          <w:sz w:val="23"/>
          <w:szCs w:val="23"/>
        </w:rPr>
        <w:t>了小震作</w:t>
      </w:r>
      <w:r>
        <w:rPr>
          <w:rFonts w:ascii="宋体" w:hAnsi="宋体" w:eastAsia="宋体" w:cs="宋体"/>
          <w:color w:val="auto"/>
          <w:spacing w:val="10"/>
          <w:sz w:val="23"/>
          <w:szCs w:val="23"/>
        </w:rPr>
        <w:t>用下</w:t>
      </w:r>
      <w:r>
        <w:rPr>
          <w:rFonts w:ascii="宋体" w:hAnsi="宋体" w:eastAsia="宋体" w:cs="宋体"/>
          <w:color w:val="auto"/>
          <w:spacing w:val="9"/>
          <w:sz w:val="23"/>
          <w:szCs w:val="23"/>
        </w:rPr>
        <w:t>的结构分析</w:t>
      </w:r>
      <w:r>
        <w:rPr>
          <w:rFonts w:ascii="宋体" w:hAnsi="宋体" w:eastAsia="宋体" w:cs="宋体"/>
          <w:color w:val="auto"/>
          <w:spacing w:val="11"/>
          <w:sz w:val="23"/>
          <w:szCs w:val="23"/>
        </w:rPr>
        <w:t>，</w:t>
      </w:r>
      <w:r>
        <w:rPr>
          <w:rFonts w:ascii="宋体" w:hAnsi="宋体" w:eastAsia="宋体" w:cs="宋体"/>
          <w:color w:val="auto"/>
          <w:spacing w:val="9"/>
          <w:sz w:val="23"/>
          <w:szCs w:val="23"/>
        </w:rPr>
        <w:t>评价结构体系和结构措施的安全性能</w:t>
      </w:r>
      <w:r>
        <w:rPr>
          <w:rFonts w:ascii="宋体" w:hAnsi="宋体" w:eastAsia="宋体" w:cs="宋体"/>
          <w:color w:val="auto"/>
          <w:spacing w:val="11"/>
          <w:sz w:val="23"/>
          <w:szCs w:val="23"/>
        </w:rPr>
        <w:t>。</w:t>
      </w:r>
    </w:p>
    <w:p w14:paraId="66DD50B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" w:line="26" w:lineRule="atLeast"/>
        <w:ind w:firstLine="41"/>
        <w:textAlignment w:val="baseline"/>
        <w:rPr>
          <w:rFonts w:hint="eastAsia" w:ascii="宋体" w:hAnsi="宋体" w:cs="宋体"/>
          <w:color w:val="auto"/>
          <w:spacing w:val="4"/>
          <w:sz w:val="23"/>
          <w:szCs w:val="23"/>
        </w:rPr>
      </w:pPr>
    </w:p>
    <w:p w14:paraId="593F01D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" w:line="26" w:lineRule="atLeast"/>
        <w:ind w:firstLine="41"/>
        <w:textAlignment w:val="baseline"/>
        <w:rPr>
          <w:rFonts w:ascii="宋体" w:hAnsi="宋体" w:eastAsia="宋体" w:cs="宋体"/>
          <w:color w:val="auto"/>
          <w:sz w:val="23"/>
          <w:szCs w:val="23"/>
        </w:rPr>
      </w:pPr>
      <w:r>
        <w:rPr>
          <w:rFonts w:hint="eastAsia" w:ascii="宋体" w:hAnsi="宋体" w:cs="宋体"/>
          <w:color w:val="auto"/>
          <w:spacing w:val="4"/>
          <w:sz w:val="23"/>
          <w:szCs w:val="23"/>
        </w:rPr>
        <w:t>2</w:t>
      </w:r>
      <w:r>
        <w:rPr>
          <w:rFonts w:ascii="宋体" w:hAnsi="宋体" w:eastAsia="宋体" w:cs="宋体"/>
          <w:color w:val="auto"/>
          <w:spacing w:val="3"/>
          <w:sz w:val="23"/>
          <w:szCs w:val="23"/>
        </w:rPr>
        <w:t>.1</w:t>
      </w:r>
      <w:r>
        <w:rPr>
          <w:rFonts w:ascii="宋体" w:hAnsi="宋体" w:eastAsia="宋体" w:cs="宋体"/>
          <w:color w:val="auto"/>
          <w:spacing w:val="6"/>
          <w:sz w:val="23"/>
          <w:szCs w:val="23"/>
        </w:rPr>
        <w:t>平面规则性</w:t>
      </w:r>
    </w:p>
    <w:p w14:paraId="6621E87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12" w:line="26" w:lineRule="atLeast"/>
        <w:ind w:left="23" w:right="183" w:firstLine="480"/>
        <w:textAlignment w:val="baseline"/>
        <w:rPr>
          <w:rFonts w:ascii="宋体" w:hAnsi="宋体" w:eastAsia="宋体" w:cs="宋体"/>
          <w:color w:val="auto"/>
          <w:sz w:val="23"/>
          <w:szCs w:val="23"/>
        </w:rPr>
      </w:pPr>
      <w:r>
        <w:rPr>
          <w:rFonts w:ascii="宋体" w:hAnsi="宋体" w:eastAsia="宋体" w:cs="宋体"/>
          <w:color w:val="auto"/>
          <w:spacing w:val="7"/>
          <w:sz w:val="23"/>
          <w:szCs w:val="23"/>
        </w:rPr>
        <w:t>扭转不规则：在考虑偶然偏心影响的地震作用下，楼层竖</w:t>
      </w:r>
      <w:r>
        <w:rPr>
          <w:rFonts w:ascii="宋体" w:hAnsi="宋体" w:eastAsia="宋体" w:cs="宋体"/>
          <w:color w:val="auto"/>
          <w:spacing w:val="6"/>
          <w:sz w:val="23"/>
          <w:szCs w:val="23"/>
        </w:rPr>
        <w:t>向构件的最大水平</w:t>
      </w:r>
      <w:r>
        <w:rPr>
          <w:rFonts w:ascii="宋体" w:hAnsi="宋体" w:eastAsia="宋体" w:cs="宋体"/>
          <w:color w:val="auto"/>
          <w:spacing w:val="7"/>
          <w:sz w:val="23"/>
          <w:szCs w:val="23"/>
        </w:rPr>
        <w:t>位移与平均水平位移之比</w:t>
      </w:r>
      <w:r>
        <w:rPr>
          <w:rFonts w:ascii="宋体" w:hAnsi="宋体" w:eastAsia="宋体" w:cs="宋体"/>
          <w:color w:val="auto"/>
          <w:spacing w:val="8"/>
          <w:sz w:val="23"/>
          <w:szCs w:val="23"/>
        </w:rPr>
        <w:t>、</w:t>
      </w:r>
      <w:r>
        <w:rPr>
          <w:rFonts w:ascii="宋体" w:hAnsi="宋体" w:eastAsia="宋体" w:cs="宋体"/>
          <w:color w:val="auto"/>
          <w:spacing w:val="7"/>
          <w:sz w:val="23"/>
          <w:szCs w:val="23"/>
        </w:rPr>
        <w:t>最大层间位移与平均层间位移之比</w:t>
      </w:r>
      <w:r>
        <w:rPr>
          <w:rFonts w:ascii="宋体" w:hAnsi="宋体" w:eastAsia="宋体" w:cs="宋体"/>
          <w:color w:val="auto"/>
          <w:spacing w:val="8"/>
          <w:sz w:val="23"/>
          <w:szCs w:val="23"/>
        </w:rPr>
        <w:t>，</w:t>
      </w:r>
      <w:r>
        <w:rPr>
          <w:rFonts w:ascii="宋体" w:hAnsi="宋体" w:eastAsia="宋体" w:cs="宋体"/>
          <w:color w:val="auto"/>
          <w:spacing w:val="7"/>
          <w:sz w:val="23"/>
          <w:szCs w:val="23"/>
        </w:rPr>
        <w:t>楼层最大</w:t>
      </w:r>
      <w:r>
        <w:rPr>
          <w:rFonts w:ascii="宋体" w:hAnsi="宋体" w:eastAsia="宋体" w:cs="宋体"/>
          <w:color w:val="auto"/>
          <w:spacing w:val="6"/>
          <w:sz w:val="23"/>
          <w:szCs w:val="23"/>
        </w:rPr>
        <w:t>比值为</w:t>
      </w:r>
      <w:r>
        <w:rPr>
          <w:rFonts w:ascii="宋体" w:hAnsi="宋体" w:eastAsia="宋体" w:cs="宋体"/>
          <w:color w:val="auto"/>
          <w:spacing w:val="1"/>
          <w:sz w:val="23"/>
          <w:szCs w:val="23"/>
        </w:rPr>
        <w:t>1.</w:t>
      </w:r>
      <w:r>
        <w:rPr>
          <w:rFonts w:hint="eastAsia" w:ascii="宋体" w:hAnsi="宋体" w:eastAsia="宋体" w:cs="宋体"/>
          <w:color w:val="auto"/>
          <w:spacing w:val="1"/>
          <w:sz w:val="23"/>
          <w:szCs w:val="23"/>
          <w:lang w:val="en-US" w:eastAsia="zh-CN"/>
        </w:rPr>
        <w:t>31</w:t>
      </w:r>
      <w:r>
        <w:rPr>
          <w:rFonts w:ascii="宋体" w:hAnsi="宋体" w:eastAsia="宋体" w:cs="宋体"/>
          <w:color w:val="auto"/>
          <w:spacing w:val="1"/>
          <w:sz w:val="23"/>
          <w:szCs w:val="23"/>
        </w:rPr>
        <w:t>，大于规</w:t>
      </w:r>
      <w:r>
        <w:rPr>
          <w:rFonts w:ascii="宋体" w:hAnsi="宋体" w:eastAsia="宋体" w:cs="宋体"/>
          <w:color w:val="auto"/>
          <w:sz w:val="23"/>
          <w:szCs w:val="23"/>
        </w:rPr>
        <w:t>范1.2的要求</w:t>
      </w:r>
      <w:r>
        <w:rPr>
          <w:rFonts w:ascii="宋体" w:hAnsi="宋体" w:eastAsia="宋体" w:cs="宋体"/>
          <w:color w:val="auto"/>
          <w:spacing w:val="1"/>
          <w:sz w:val="23"/>
          <w:szCs w:val="23"/>
        </w:rPr>
        <w:t>，</w:t>
      </w:r>
      <w:r>
        <w:rPr>
          <w:rFonts w:ascii="宋体" w:hAnsi="宋体" w:eastAsia="宋体" w:cs="宋体"/>
          <w:color w:val="auto"/>
          <w:sz w:val="23"/>
          <w:szCs w:val="23"/>
        </w:rPr>
        <w:t>根据《抗震规范》表3.4.3-1</w:t>
      </w:r>
      <w:r>
        <w:rPr>
          <w:rFonts w:ascii="宋体" w:hAnsi="宋体" w:eastAsia="宋体" w:cs="宋体"/>
          <w:color w:val="auto"/>
          <w:spacing w:val="10"/>
          <w:sz w:val="23"/>
          <w:szCs w:val="23"/>
        </w:rPr>
        <w:t>，</w:t>
      </w:r>
      <w:r>
        <w:rPr>
          <w:rFonts w:ascii="宋体" w:hAnsi="宋体" w:eastAsia="宋体" w:cs="宋体"/>
          <w:color w:val="auto"/>
          <w:spacing w:val="9"/>
          <w:sz w:val="23"/>
          <w:szCs w:val="23"/>
        </w:rPr>
        <w:t>属</w:t>
      </w:r>
      <w:r>
        <w:rPr>
          <w:rFonts w:ascii="宋体" w:hAnsi="宋体" w:eastAsia="宋体" w:cs="宋体"/>
          <w:color w:val="auto"/>
          <w:spacing w:val="8"/>
          <w:sz w:val="23"/>
          <w:szCs w:val="23"/>
        </w:rPr>
        <w:t>于平面扭转不规则</w:t>
      </w:r>
      <w:r>
        <w:rPr>
          <w:rFonts w:ascii="宋体" w:hAnsi="宋体" w:eastAsia="宋体" w:cs="宋体"/>
          <w:color w:val="auto"/>
          <w:spacing w:val="10"/>
          <w:sz w:val="23"/>
          <w:szCs w:val="23"/>
        </w:rPr>
        <w:t>。</w:t>
      </w:r>
    </w:p>
    <w:p w14:paraId="0B6633B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" w:line="26" w:lineRule="atLeast"/>
        <w:ind w:left="27" w:firstLine="492"/>
        <w:textAlignment w:val="baseline"/>
        <w:rPr>
          <w:rFonts w:ascii="宋体" w:hAnsi="宋体" w:eastAsia="宋体" w:cs="宋体"/>
          <w:color w:val="auto"/>
          <w:sz w:val="23"/>
          <w:szCs w:val="23"/>
        </w:rPr>
      </w:pPr>
      <w:r>
        <w:rPr>
          <w:rFonts w:ascii="宋体" w:hAnsi="宋体" w:eastAsia="宋体" w:cs="宋体"/>
          <w:color w:val="auto"/>
          <w:sz w:val="23"/>
          <w:szCs w:val="23"/>
        </w:rPr>
        <w:t>凹凸不规则</w:t>
      </w:r>
      <w:r>
        <w:rPr>
          <w:rFonts w:ascii="宋体" w:hAnsi="宋体" w:eastAsia="宋体" w:cs="宋体"/>
          <w:color w:val="auto"/>
          <w:spacing w:val="-74"/>
          <w:sz w:val="23"/>
          <w:szCs w:val="23"/>
        </w:rPr>
        <w:t>：</w:t>
      </w:r>
      <w:r>
        <w:rPr>
          <w:rFonts w:hint="eastAsia" w:ascii="宋体" w:hAnsi="宋体" w:eastAsia="宋体" w:cs="宋体"/>
          <w:color w:val="auto"/>
          <w:sz w:val="23"/>
          <w:szCs w:val="23"/>
          <w:lang w:val="en-US" w:eastAsia="zh-CN"/>
        </w:rPr>
        <w:t>主楼</w:t>
      </w:r>
      <w:r>
        <w:rPr>
          <w:rFonts w:ascii="宋体" w:hAnsi="宋体" w:eastAsia="宋体" w:cs="宋体"/>
          <w:color w:val="auto"/>
          <w:sz w:val="23"/>
          <w:szCs w:val="23"/>
        </w:rPr>
        <w:t>平面</w:t>
      </w:r>
      <w:r>
        <w:rPr>
          <w:rFonts w:hint="eastAsia" w:ascii="宋体" w:hAnsi="宋体" w:eastAsia="宋体" w:cs="宋体"/>
          <w:color w:val="auto"/>
          <w:sz w:val="23"/>
          <w:szCs w:val="23"/>
          <w:lang w:val="en-US" w:eastAsia="zh-CN"/>
        </w:rPr>
        <w:t>不</w:t>
      </w:r>
      <w:r>
        <w:rPr>
          <w:rFonts w:ascii="宋体" w:hAnsi="宋体" w:eastAsia="宋体" w:cs="宋体"/>
          <w:color w:val="auto"/>
          <w:sz w:val="23"/>
          <w:szCs w:val="23"/>
        </w:rPr>
        <w:t>存在平面凹进</w:t>
      </w:r>
      <w:r>
        <w:rPr>
          <w:rFonts w:ascii="宋体" w:hAnsi="宋体" w:eastAsia="宋体" w:cs="宋体"/>
          <w:color w:val="auto"/>
          <w:spacing w:val="-74"/>
          <w:sz w:val="23"/>
          <w:szCs w:val="23"/>
        </w:rPr>
        <w:t>，</w:t>
      </w:r>
      <w:r>
        <w:rPr>
          <w:rFonts w:ascii="宋体" w:hAnsi="宋体" w:eastAsia="宋体" w:cs="宋体"/>
          <w:color w:val="auto"/>
          <w:sz w:val="23"/>
          <w:szCs w:val="23"/>
        </w:rPr>
        <w:t>根据《抗震规范》表3.4.3-1</w:t>
      </w:r>
      <w:r>
        <w:rPr>
          <w:rFonts w:ascii="宋体" w:hAnsi="宋体" w:eastAsia="宋体" w:cs="宋体"/>
          <w:color w:val="auto"/>
          <w:spacing w:val="-74"/>
          <w:sz w:val="23"/>
          <w:szCs w:val="23"/>
        </w:rPr>
        <w:t>，</w:t>
      </w:r>
      <w:r>
        <w:rPr>
          <w:rFonts w:hint="eastAsia" w:ascii="宋体" w:hAnsi="宋体" w:eastAsia="宋体" w:cs="宋体"/>
          <w:color w:val="auto"/>
          <w:spacing w:val="-74"/>
          <w:sz w:val="23"/>
          <w:szCs w:val="23"/>
          <w:lang w:val="en-US" w:eastAsia="zh-CN"/>
        </w:rPr>
        <w:t>不</w:t>
      </w:r>
      <w:r>
        <w:rPr>
          <w:rFonts w:ascii="宋体" w:hAnsi="宋体" w:eastAsia="宋体" w:cs="宋体"/>
          <w:color w:val="auto"/>
          <w:spacing w:val="8"/>
          <w:sz w:val="23"/>
          <w:szCs w:val="23"/>
        </w:rPr>
        <w:t>属</w:t>
      </w:r>
      <w:r>
        <w:rPr>
          <w:rFonts w:hint="eastAsia" w:ascii="宋体" w:hAnsi="宋体" w:eastAsia="宋体" w:cs="宋体"/>
          <w:color w:val="auto"/>
          <w:spacing w:val="8"/>
          <w:sz w:val="23"/>
          <w:szCs w:val="23"/>
          <w:lang w:val="en-US" w:eastAsia="zh-CN"/>
        </w:rPr>
        <w:t>于</w:t>
      </w:r>
      <w:r>
        <w:rPr>
          <w:rFonts w:ascii="宋体" w:hAnsi="宋体" w:eastAsia="宋体" w:cs="宋体"/>
          <w:color w:val="auto"/>
          <w:spacing w:val="8"/>
          <w:sz w:val="23"/>
          <w:szCs w:val="23"/>
        </w:rPr>
        <w:t>平面凹凸</w:t>
      </w:r>
      <w:r>
        <w:rPr>
          <w:rFonts w:ascii="宋体" w:hAnsi="宋体" w:eastAsia="宋体" w:cs="宋体"/>
          <w:color w:val="auto"/>
          <w:spacing w:val="7"/>
          <w:sz w:val="23"/>
          <w:szCs w:val="23"/>
        </w:rPr>
        <w:t>不规则</w:t>
      </w:r>
      <w:r>
        <w:rPr>
          <w:rFonts w:ascii="宋体" w:hAnsi="宋体" w:eastAsia="宋体" w:cs="宋体"/>
          <w:color w:val="auto"/>
          <w:spacing w:val="9"/>
          <w:sz w:val="23"/>
          <w:szCs w:val="23"/>
        </w:rPr>
        <w:t>。</w:t>
      </w:r>
    </w:p>
    <w:p w14:paraId="538DC2B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" w:line="26" w:lineRule="atLeast"/>
        <w:ind w:left="24" w:right="183" w:firstLine="478"/>
        <w:textAlignment w:val="baseline"/>
        <w:rPr>
          <w:rFonts w:ascii="宋体" w:hAnsi="宋体" w:eastAsia="宋体" w:cs="宋体"/>
          <w:color w:val="auto"/>
          <w:sz w:val="23"/>
          <w:szCs w:val="23"/>
        </w:rPr>
      </w:pPr>
      <w:r>
        <w:rPr>
          <w:rFonts w:ascii="宋体" w:hAnsi="宋体" w:eastAsia="宋体" w:cs="宋体"/>
          <w:color w:val="auto"/>
          <w:spacing w:val="10"/>
          <w:sz w:val="23"/>
          <w:szCs w:val="23"/>
        </w:rPr>
        <w:t>楼板局部不连续：楼板的尺寸和平面刚度无急剧变化，</w:t>
      </w:r>
      <w:r>
        <w:rPr>
          <w:rFonts w:ascii="宋体" w:hAnsi="宋体" w:eastAsia="宋体" w:cs="宋体"/>
          <w:color w:val="auto"/>
          <w:spacing w:val="3"/>
          <w:sz w:val="23"/>
          <w:szCs w:val="23"/>
        </w:rPr>
        <w:t>根据《抗震规范》表</w:t>
      </w:r>
      <w:r>
        <w:rPr>
          <w:rFonts w:ascii="宋体" w:hAnsi="宋体" w:eastAsia="宋体" w:cs="宋体"/>
          <w:color w:val="auto"/>
          <w:spacing w:val="5"/>
          <w:sz w:val="23"/>
          <w:szCs w:val="23"/>
        </w:rPr>
        <w:t>3.4.</w:t>
      </w:r>
      <w:r>
        <w:rPr>
          <w:rFonts w:ascii="宋体" w:hAnsi="宋体" w:eastAsia="宋体" w:cs="宋体"/>
          <w:color w:val="auto"/>
          <w:spacing w:val="4"/>
          <w:sz w:val="23"/>
          <w:szCs w:val="23"/>
        </w:rPr>
        <w:t>3-1</w:t>
      </w:r>
      <w:r>
        <w:rPr>
          <w:rFonts w:ascii="宋体" w:hAnsi="宋体" w:eastAsia="宋体" w:cs="宋体"/>
          <w:color w:val="auto"/>
          <w:spacing w:val="11"/>
          <w:sz w:val="23"/>
          <w:szCs w:val="23"/>
        </w:rPr>
        <w:t>，</w:t>
      </w:r>
      <w:r>
        <w:rPr>
          <w:rFonts w:ascii="宋体" w:hAnsi="宋体" w:eastAsia="宋体" w:cs="宋体"/>
          <w:color w:val="auto"/>
          <w:spacing w:val="8"/>
          <w:sz w:val="23"/>
          <w:szCs w:val="23"/>
        </w:rPr>
        <w:t>不属楼板局部不连续</w:t>
      </w:r>
      <w:r>
        <w:rPr>
          <w:rFonts w:ascii="宋体" w:hAnsi="宋体" w:eastAsia="宋体" w:cs="宋体"/>
          <w:color w:val="auto"/>
          <w:spacing w:val="11"/>
          <w:sz w:val="23"/>
          <w:szCs w:val="23"/>
        </w:rPr>
        <w:t>。</w:t>
      </w:r>
    </w:p>
    <w:p w14:paraId="4B86297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" w:line="26" w:lineRule="atLeast"/>
        <w:ind w:firstLine="41"/>
        <w:textAlignment w:val="baseline"/>
        <w:rPr>
          <w:rFonts w:hint="eastAsia" w:ascii="宋体" w:hAnsi="宋体" w:cs="宋体"/>
          <w:color w:val="auto"/>
          <w:spacing w:val="4"/>
          <w:sz w:val="23"/>
          <w:szCs w:val="23"/>
        </w:rPr>
      </w:pPr>
    </w:p>
    <w:p w14:paraId="18DEE33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" w:line="26" w:lineRule="atLeast"/>
        <w:ind w:firstLine="41"/>
        <w:textAlignment w:val="baseline"/>
        <w:rPr>
          <w:rFonts w:ascii="宋体" w:hAnsi="宋体" w:eastAsia="宋体" w:cs="宋体"/>
          <w:color w:val="auto"/>
          <w:sz w:val="23"/>
          <w:szCs w:val="23"/>
        </w:rPr>
      </w:pPr>
      <w:r>
        <w:rPr>
          <w:rFonts w:hint="eastAsia" w:ascii="宋体" w:hAnsi="宋体" w:cs="宋体"/>
          <w:color w:val="auto"/>
          <w:spacing w:val="4"/>
          <w:sz w:val="23"/>
          <w:szCs w:val="23"/>
        </w:rPr>
        <w:t>2</w:t>
      </w:r>
      <w:r>
        <w:rPr>
          <w:rFonts w:ascii="宋体" w:hAnsi="宋体" w:eastAsia="宋体" w:cs="宋体"/>
          <w:color w:val="auto"/>
          <w:spacing w:val="3"/>
          <w:sz w:val="23"/>
          <w:szCs w:val="23"/>
        </w:rPr>
        <w:t>.2</w:t>
      </w:r>
      <w:r>
        <w:rPr>
          <w:rFonts w:ascii="宋体" w:hAnsi="宋体" w:eastAsia="宋体" w:cs="宋体"/>
          <w:color w:val="auto"/>
          <w:spacing w:val="6"/>
          <w:sz w:val="23"/>
          <w:szCs w:val="23"/>
        </w:rPr>
        <w:t>竖向不规则</w:t>
      </w:r>
    </w:p>
    <w:p w14:paraId="3AFF14A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6" w:lineRule="atLeast"/>
        <w:ind w:left="23" w:right="178" w:firstLine="484"/>
        <w:textAlignment w:val="baseline"/>
        <w:rPr>
          <w:rFonts w:ascii="宋体" w:hAnsi="宋体" w:eastAsia="宋体" w:cs="宋体"/>
          <w:color w:val="auto"/>
          <w:sz w:val="23"/>
          <w:szCs w:val="23"/>
        </w:rPr>
      </w:pPr>
      <w:r>
        <w:rPr>
          <w:rFonts w:ascii="宋体" w:hAnsi="宋体" w:eastAsia="宋体" w:cs="宋体"/>
          <w:color w:val="auto"/>
          <w:spacing w:val="7"/>
          <w:sz w:val="23"/>
          <w:szCs w:val="23"/>
        </w:rPr>
        <w:t>竖向抗侧刚度不规则：从计算结果看，楼层侧向</w:t>
      </w:r>
      <w:r>
        <w:rPr>
          <w:rFonts w:ascii="宋体" w:hAnsi="宋体" w:eastAsia="宋体" w:cs="宋体"/>
          <w:color w:val="auto"/>
          <w:spacing w:val="6"/>
          <w:sz w:val="23"/>
          <w:szCs w:val="23"/>
        </w:rPr>
        <w:t>刚度不小于相邻上部楼层侧</w:t>
      </w:r>
      <w:r>
        <w:rPr>
          <w:rFonts w:ascii="宋体" w:hAnsi="宋体" w:eastAsia="宋体" w:cs="宋体"/>
          <w:color w:val="auto"/>
          <w:spacing w:val="7"/>
          <w:sz w:val="23"/>
          <w:szCs w:val="23"/>
        </w:rPr>
        <w:t>向刚度的</w:t>
      </w:r>
      <w:r>
        <w:rPr>
          <w:rFonts w:ascii="宋体" w:hAnsi="宋体" w:eastAsia="宋体" w:cs="宋体"/>
          <w:color w:val="auto"/>
          <w:spacing w:val="4"/>
          <w:sz w:val="23"/>
          <w:szCs w:val="23"/>
        </w:rPr>
        <w:t>70%</w:t>
      </w:r>
      <w:r>
        <w:rPr>
          <w:rFonts w:ascii="宋体" w:hAnsi="宋体" w:eastAsia="宋体" w:cs="宋体"/>
          <w:color w:val="auto"/>
          <w:spacing w:val="8"/>
          <w:sz w:val="23"/>
          <w:szCs w:val="23"/>
        </w:rPr>
        <w:t>，</w:t>
      </w:r>
      <w:r>
        <w:rPr>
          <w:rFonts w:ascii="宋体" w:hAnsi="宋体" w:eastAsia="宋体" w:cs="宋体"/>
          <w:color w:val="auto"/>
          <w:spacing w:val="7"/>
          <w:sz w:val="23"/>
          <w:szCs w:val="23"/>
        </w:rPr>
        <w:t>不小于上三层侧向刚度平均值的</w:t>
      </w:r>
      <w:r>
        <w:rPr>
          <w:rFonts w:ascii="宋体" w:hAnsi="宋体" w:eastAsia="宋体" w:cs="宋体"/>
          <w:color w:val="auto"/>
          <w:spacing w:val="4"/>
          <w:sz w:val="23"/>
          <w:szCs w:val="23"/>
        </w:rPr>
        <w:t>80%</w:t>
      </w:r>
      <w:r>
        <w:rPr>
          <w:rFonts w:ascii="宋体" w:hAnsi="宋体" w:eastAsia="宋体" w:cs="宋体"/>
          <w:color w:val="auto"/>
          <w:spacing w:val="8"/>
          <w:sz w:val="23"/>
          <w:szCs w:val="23"/>
        </w:rPr>
        <w:t>，</w:t>
      </w:r>
      <w:r>
        <w:rPr>
          <w:rFonts w:ascii="宋体" w:hAnsi="宋体" w:eastAsia="宋体" w:cs="宋体"/>
          <w:color w:val="auto"/>
          <w:spacing w:val="7"/>
          <w:sz w:val="23"/>
          <w:szCs w:val="23"/>
        </w:rPr>
        <w:t>抗侧刚度均匀变</w:t>
      </w:r>
      <w:r>
        <w:rPr>
          <w:rFonts w:ascii="宋体" w:hAnsi="宋体" w:eastAsia="宋体" w:cs="宋体"/>
          <w:color w:val="auto"/>
          <w:spacing w:val="6"/>
          <w:sz w:val="23"/>
          <w:szCs w:val="23"/>
        </w:rPr>
        <w:t>化</w:t>
      </w:r>
      <w:r>
        <w:rPr>
          <w:rFonts w:ascii="宋体" w:hAnsi="宋体" w:eastAsia="宋体" w:cs="宋体"/>
          <w:color w:val="auto"/>
          <w:spacing w:val="8"/>
          <w:sz w:val="23"/>
          <w:szCs w:val="23"/>
        </w:rPr>
        <w:t>，</w:t>
      </w:r>
      <w:r>
        <w:rPr>
          <w:rFonts w:ascii="宋体" w:hAnsi="宋体" w:eastAsia="宋体" w:cs="宋体"/>
          <w:color w:val="auto"/>
          <w:spacing w:val="6"/>
          <w:sz w:val="23"/>
          <w:szCs w:val="23"/>
        </w:rPr>
        <w:t>不属</w:t>
      </w:r>
      <w:r>
        <w:rPr>
          <w:rFonts w:ascii="宋体" w:hAnsi="宋体" w:eastAsia="宋体" w:cs="宋体"/>
          <w:color w:val="auto"/>
          <w:spacing w:val="8"/>
          <w:sz w:val="23"/>
          <w:szCs w:val="23"/>
        </w:rPr>
        <w:t>抗侧刚度不</w:t>
      </w:r>
      <w:r>
        <w:rPr>
          <w:rFonts w:ascii="宋体" w:hAnsi="宋体" w:eastAsia="宋体" w:cs="宋体"/>
          <w:color w:val="auto"/>
          <w:spacing w:val="7"/>
          <w:sz w:val="23"/>
          <w:szCs w:val="23"/>
        </w:rPr>
        <w:t>规则</w:t>
      </w:r>
      <w:r>
        <w:rPr>
          <w:rFonts w:ascii="宋体" w:hAnsi="宋体" w:eastAsia="宋体" w:cs="宋体"/>
          <w:color w:val="auto"/>
          <w:spacing w:val="8"/>
          <w:sz w:val="23"/>
          <w:szCs w:val="23"/>
        </w:rPr>
        <w:t>。</w:t>
      </w:r>
    </w:p>
    <w:p w14:paraId="51884F1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6" w:lineRule="atLeast"/>
        <w:ind w:left="24" w:right="143" w:firstLine="483"/>
        <w:textAlignment w:val="baseline"/>
        <w:rPr>
          <w:rFonts w:ascii="宋体" w:hAnsi="宋体" w:eastAsia="宋体" w:cs="宋体"/>
          <w:color w:val="auto"/>
          <w:sz w:val="23"/>
          <w:szCs w:val="23"/>
        </w:rPr>
      </w:pPr>
      <w:r>
        <w:rPr>
          <w:rFonts w:ascii="宋体" w:hAnsi="宋体" w:eastAsia="宋体" w:cs="宋体"/>
          <w:color w:val="auto"/>
          <w:spacing w:val="8"/>
          <w:sz w:val="23"/>
          <w:szCs w:val="23"/>
        </w:rPr>
        <w:t>竖向抗侧力构件不连续</w:t>
      </w:r>
      <w:r>
        <w:rPr>
          <w:rFonts w:ascii="宋体" w:hAnsi="宋体" w:eastAsia="宋体" w:cs="宋体"/>
          <w:color w:val="auto"/>
          <w:spacing w:val="9"/>
          <w:sz w:val="23"/>
          <w:szCs w:val="23"/>
        </w:rPr>
        <w:t>：</w:t>
      </w:r>
      <w:r>
        <w:rPr>
          <w:rFonts w:ascii="宋体" w:hAnsi="宋体" w:eastAsia="宋体" w:cs="宋体"/>
          <w:color w:val="auto"/>
          <w:spacing w:val="8"/>
          <w:sz w:val="23"/>
          <w:szCs w:val="23"/>
        </w:rPr>
        <w:t>竖向抗侧力的框架柱</w:t>
      </w:r>
      <w:r>
        <w:rPr>
          <w:rFonts w:ascii="宋体" w:hAnsi="宋体" w:eastAsia="宋体" w:cs="宋体"/>
          <w:color w:val="auto"/>
          <w:spacing w:val="7"/>
          <w:sz w:val="23"/>
          <w:szCs w:val="23"/>
        </w:rPr>
        <w:t>从下而上</w:t>
      </w:r>
      <w:r>
        <w:rPr>
          <w:rFonts w:ascii="宋体" w:hAnsi="宋体" w:eastAsia="宋体" w:cs="宋体"/>
          <w:color w:val="auto"/>
          <w:spacing w:val="9"/>
          <w:sz w:val="23"/>
          <w:szCs w:val="23"/>
        </w:rPr>
        <w:t>，</w:t>
      </w:r>
      <w:r>
        <w:rPr>
          <w:rFonts w:ascii="宋体" w:hAnsi="宋体" w:eastAsia="宋体" w:cs="宋体"/>
          <w:color w:val="auto"/>
          <w:spacing w:val="7"/>
          <w:sz w:val="23"/>
          <w:szCs w:val="23"/>
        </w:rPr>
        <w:t>不中断</w:t>
      </w:r>
      <w:r>
        <w:rPr>
          <w:rFonts w:ascii="宋体" w:hAnsi="宋体" w:eastAsia="宋体" w:cs="宋体"/>
          <w:color w:val="auto"/>
          <w:spacing w:val="9"/>
          <w:sz w:val="23"/>
          <w:szCs w:val="23"/>
        </w:rPr>
        <w:t>，</w:t>
      </w:r>
      <w:r>
        <w:rPr>
          <w:rFonts w:ascii="宋体" w:hAnsi="宋体" w:eastAsia="宋体" w:cs="宋体"/>
          <w:color w:val="auto"/>
          <w:spacing w:val="1"/>
          <w:sz w:val="23"/>
          <w:szCs w:val="23"/>
        </w:rPr>
        <w:t>连续贯通，根据《抗震规范》</w:t>
      </w:r>
      <w:r>
        <w:rPr>
          <w:rFonts w:ascii="宋体" w:hAnsi="宋体" w:eastAsia="宋体" w:cs="宋体"/>
          <w:color w:val="auto"/>
          <w:sz w:val="23"/>
          <w:szCs w:val="23"/>
        </w:rPr>
        <w:t>表3.4.3-2</w:t>
      </w:r>
      <w:r>
        <w:rPr>
          <w:rFonts w:ascii="宋体" w:hAnsi="宋体" w:eastAsia="宋体" w:cs="宋体"/>
          <w:color w:val="auto"/>
          <w:spacing w:val="1"/>
          <w:sz w:val="23"/>
          <w:szCs w:val="23"/>
        </w:rPr>
        <w:t>，</w:t>
      </w:r>
      <w:r>
        <w:rPr>
          <w:rFonts w:ascii="宋体" w:hAnsi="宋体" w:eastAsia="宋体" w:cs="宋体"/>
          <w:color w:val="auto"/>
          <w:sz w:val="23"/>
          <w:szCs w:val="23"/>
        </w:rPr>
        <w:t>不属竖向抗侧</w:t>
      </w:r>
      <w:r>
        <w:rPr>
          <w:rFonts w:ascii="宋体" w:hAnsi="宋体" w:eastAsia="宋体" w:cs="宋体"/>
          <w:color w:val="auto"/>
          <w:spacing w:val="7"/>
          <w:sz w:val="23"/>
          <w:szCs w:val="23"/>
        </w:rPr>
        <w:t>力构件不连续</w:t>
      </w:r>
      <w:r>
        <w:rPr>
          <w:rFonts w:ascii="宋体" w:hAnsi="宋体" w:eastAsia="宋体" w:cs="宋体"/>
          <w:color w:val="auto"/>
          <w:spacing w:val="9"/>
          <w:sz w:val="23"/>
          <w:szCs w:val="23"/>
        </w:rPr>
        <w:t>。</w:t>
      </w:r>
    </w:p>
    <w:p w14:paraId="06654A1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" w:line="26" w:lineRule="atLeast"/>
        <w:ind w:left="22" w:right="178" w:firstLine="480"/>
        <w:textAlignment w:val="baseline"/>
        <w:rPr>
          <w:rFonts w:ascii="宋体" w:hAnsi="宋体" w:eastAsia="宋体" w:cs="宋体"/>
          <w:color w:val="auto"/>
          <w:sz w:val="23"/>
          <w:szCs w:val="23"/>
        </w:rPr>
      </w:pPr>
      <w:r>
        <w:rPr>
          <w:rFonts w:ascii="宋体" w:hAnsi="宋体" w:eastAsia="宋体" w:cs="宋体"/>
          <w:color w:val="auto"/>
          <w:spacing w:val="7"/>
          <w:sz w:val="23"/>
          <w:szCs w:val="23"/>
        </w:rPr>
        <w:t>楼层承载力突变</w:t>
      </w:r>
      <w:r>
        <w:rPr>
          <w:rFonts w:ascii="宋体" w:hAnsi="宋体" w:eastAsia="宋体" w:cs="宋体"/>
          <w:color w:val="auto"/>
          <w:spacing w:val="8"/>
          <w:sz w:val="23"/>
          <w:szCs w:val="23"/>
        </w:rPr>
        <w:t>：</w:t>
      </w:r>
      <w:r>
        <w:rPr>
          <w:rFonts w:ascii="宋体" w:hAnsi="宋体" w:eastAsia="宋体" w:cs="宋体"/>
          <w:color w:val="auto"/>
          <w:spacing w:val="7"/>
          <w:sz w:val="23"/>
          <w:szCs w:val="23"/>
        </w:rPr>
        <w:t>从计算结果看</w:t>
      </w:r>
      <w:r>
        <w:rPr>
          <w:rFonts w:ascii="宋体" w:hAnsi="宋体" w:eastAsia="宋体" w:cs="宋体"/>
          <w:color w:val="auto"/>
          <w:spacing w:val="8"/>
          <w:sz w:val="23"/>
          <w:szCs w:val="23"/>
        </w:rPr>
        <w:t>，</w:t>
      </w:r>
      <w:r>
        <w:rPr>
          <w:rFonts w:ascii="宋体" w:hAnsi="宋体" w:eastAsia="宋体" w:cs="宋体"/>
          <w:color w:val="auto"/>
          <w:spacing w:val="7"/>
          <w:sz w:val="23"/>
          <w:szCs w:val="23"/>
        </w:rPr>
        <w:t>抗侧力结构的层间受剪</w:t>
      </w:r>
      <w:r>
        <w:rPr>
          <w:rFonts w:ascii="宋体" w:hAnsi="宋体" w:eastAsia="宋体" w:cs="宋体"/>
          <w:color w:val="auto"/>
          <w:spacing w:val="6"/>
          <w:sz w:val="23"/>
          <w:szCs w:val="23"/>
        </w:rPr>
        <w:t>承载力不小于相邻</w:t>
      </w:r>
      <w:r>
        <w:rPr>
          <w:rFonts w:ascii="宋体" w:hAnsi="宋体" w:eastAsia="宋体" w:cs="宋体"/>
          <w:color w:val="auto"/>
          <w:spacing w:val="1"/>
          <w:sz w:val="23"/>
          <w:szCs w:val="23"/>
        </w:rPr>
        <w:t>上一层楼层的80%，根据《抗</w:t>
      </w:r>
      <w:r>
        <w:rPr>
          <w:rFonts w:ascii="宋体" w:hAnsi="宋体" w:eastAsia="宋体" w:cs="宋体"/>
          <w:color w:val="auto"/>
          <w:sz w:val="23"/>
          <w:szCs w:val="23"/>
        </w:rPr>
        <w:t>震规范》表3.4.3-2</w:t>
      </w:r>
      <w:r>
        <w:rPr>
          <w:rFonts w:ascii="宋体" w:hAnsi="宋体" w:eastAsia="宋体" w:cs="宋体"/>
          <w:color w:val="auto"/>
          <w:spacing w:val="1"/>
          <w:sz w:val="23"/>
          <w:szCs w:val="23"/>
        </w:rPr>
        <w:t>，</w:t>
      </w:r>
      <w:r>
        <w:rPr>
          <w:rFonts w:ascii="宋体" w:hAnsi="宋体" w:eastAsia="宋体" w:cs="宋体"/>
          <w:color w:val="auto"/>
          <w:sz w:val="23"/>
          <w:szCs w:val="23"/>
        </w:rPr>
        <w:t>不属</w:t>
      </w:r>
      <w:r>
        <w:rPr>
          <w:rFonts w:ascii="宋体" w:hAnsi="宋体" w:eastAsia="宋体" w:cs="宋体"/>
          <w:color w:val="auto"/>
          <w:spacing w:val="8"/>
          <w:sz w:val="23"/>
          <w:szCs w:val="23"/>
        </w:rPr>
        <w:t>楼层承载力</w:t>
      </w:r>
      <w:r>
        <w:rPr>
          <w:rFonts w:ascii="宋体" w:hAnsi="宋体" w:eastAsia="宋体" w:cs="宋体"/>
          <w:color w:val="auto"/>
          <w:spacing w:val="7"/>
          <w:sz w:val="23"/>
          <w:szCs w:val="23"/>
        </w:rPr>
        <w:t>突变</w:t>
      </w:r>
      <w:r>
        <w:rPr>
          <w:rFonts w:ascii="宋体" w:hAnsi="宋体" w:eastAsia="宋体" w:cs="宋体"/>
          <w:color w:val="auto"/>
          <w:spacing w:val="9"/>
          <w:sz w:val="23"/>
          <w:szCs w:val="23"/>
        </w:rPr>
        <w:t>。</w:t>
      </w:r>
    </w:p>
    <w:p w14:paraId="3AA6BB0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" w:line="26" w:lineRule="atLeast"/>
        <w:ind w:left="41" w:right="183" w:firstLine="465"/>
        <w:textAlignment w:val="baseline"/>
        <w:rPr>
          <w:rFonts w:hint="eastAsia" w:ascii="宋体" w:hAnsi="宋体" w:cs="宋体"/>
          <w:color w:val="auto"/>
          <w:spacing w:val="8"/>
          <w:sz w:val="23"/>
          <w:szCs w:val="23"/>
        </w:rPr>
      </w:pPr>
      <w:r>
        <w:rPr>
          <w:rFonts w:ascii="宋体" w:hAnsi="宋体" w:eastAsia="宋体" w:cs="宋体"/>
          <w:color w:val="auto"/>
          <w:spacing w:val="6"/>
          <w:sz w:val="23"/>
          <w:szCs w:val="23"/>
        </w:rPr>
        <w:t>综上所述，本工程因建筑功能设计</w:t>
      </w:r>
      <w:r>
        <w:rPr>
          <w:rFonts w:ascii="宋体" w:hAnsi="宋体" w:eastAsia="宋体" w:cs="宋体"/>
          <w:color w:val="auto"/>
          <w:spacing w:val="5"/>
          <w:sz w:val="23"/>
          <w:szCs w:val="23"/>
        </w:rPr>
        <w:t>需要</w:t>
      </w:r>
      <w:r>
        <w:rPr>
          <w:rFonts w:ascii="宋体" w:hAnsi="宋体" w:eastAsia="宋体" w:cs="宋体"/>
          <w:color w:val="auto"/>
          <w:spacing w:val="6"/>
          <w:sz w:val="23"/>
          <w:szCs w:val="23"/>
        </w:rPr>
        <w:t>，</w:t>
      </w:r>
      <w:r>
        <w:rPr>
          <w:rFonts w:ascii="宋体" w:hAnsi="宋体" w:eastAsia="宋体" w:cs="宋体"/>
          <w:color w:val="auto"/>
          <w:spacing w:val="5"/>
          <w:sz w:val="23"/>
          <w:szCs w:val="23"/>
        </w:rPr>
        <w:t>存在以下项不规则设计内容</w:t>
      </w:r>
      <w:r>
        <w:rPr>
          <w:rFonts w:ascii="宋体" w:hAnsi="宋体" w:eastAsia="宋体" w:cs="宋体"/>
          <w:color w:val="auto"/>
          <w:spacing w:val="6"/>
          <w:sz w:val="23"/>
          <w:szCs w:val="23"/>
        </w:rPr>
        <w:t>：</w:t>
      </w:r>
      <w:r>
        <w:rPr>
          <w:rFonts w:ascii="宋体" w:hAnsi="宋体" w:eastAsia="宋体" w:cs="宋体"/>
          <w:color w:val="auto"/>
          <w:spacing w:val="10"/>
          <w:sz w:val="23"/>
          <w:szCs w:val="23"/>
        </w:rPr>
        <w:t>楼层竖向构件的最大水平位移与平均水平位移之比</w:t>
      </w:r>
      <w:r>
        <w:rPr>
          <w:rFonts w:ascii="宋体" w:hAnsi="宋体" w:eastAsia="宋体" w:cs="宋体"/>
          <w:color w:val="auto"/>
          <w:spacing w:val="11"/>
          <w:sz w:val="23"/>
          <w:szCs w:val="23"/>
        </w:rPr>
        <w:t>、</w:t>
      </w:r>
      <w:r>
        <w:rPr>
          <w:rFonts w:ascii="宋体" w:hAnsi="宋体" w:eastAsia="宋体" w:cs="宋体"/>
          <w:color w:val="auto"/>
          <w:spacing w:val="10"/>
          <w:sz w:val="23"/>
          <w:szCs w:val="23"/>
        </w:rPr>
        <w:t>最大层间</w:t>
      </w:r>
      <w:r>
        <w:rPr>
          <w:rFonts w:ascii="宋体" w:hAnsi="宋体" w:eastAsia="宋体" w:cs="宋体"/>
          <w:color w:val="auto"/>
          <w:spacing w:val="9"/>
          <w:sz w:val="23"/>
          <w:szCs w:val="23"/>
        </w:rPr>
        <w:t>位移与平均层间位移之</w:t>
      </w:r>
      <w:r>
        <w:rPr>
          <w:rFonts w:ascii="宋体" w:hAnsi="宋体" w:eastAsia="宋体" w:cs="宋体"/>
          <w:color w:val="auto"/>
          <w:spacing w:val="8"/>
          <w:sz w:val="23"/>
          <w:szCs w:val="23"/>
        </w:rPr>
        <w:t>比</w:t>
      </w:r>
      <w:r>
        <w:rPr>
          <w:rFonts w:ascii="宋体" w:hAnsi="宋体" w:eastAsia="宋体" w:cs="宋体"/>
          <w:color w:val="auto"/>
          <w:spacing w:val="4"/>
          <w:sz w:val="23"/>
          <w:szCs w:val="23"/>
        </w:rPr>
        <w:t>&gt;1.2</w:t>
      </w:r>
      <w:r>
        <w:rPr>
          <w:rFonts w:ascii="宋体" w:hAnsi="宋体" w:eastAsia="宋体" w:cs="宋体"/>
          <w:color w:val="auto"/>
          <w:spacing w:val="9"/>
          <w:sz w:val="23"/>
          <w:szCs w:val="23"/>
        </w:rPr>
        <w:t>，</w:t>
      </w:r>
      <w:r>
        <w:rPr>
          <w:rFonts w:ascii="宋体" w:hAnsi="宋体" w:eastAsia="宋体" w:cs="宋体"/>
          <w:color w:val="auto"/>
          <w:spacing w:val="8"/>
          <w:sz w:val="23"/>
          <w:szCs w:val="23"/>
        </w:rPr>
        <w:t>属于扭转不规则</w:t>
      </w:r>
      <w:r>
        <w:rPr>
          <w:rFonts w:hint="eastAsia" w:ascii="宋体" w:hAnsi="宋体" w:cs="宋体"/>
          <w:color w:val="auto"/>
          <w:spacing w:val="8"/>
          <w:sz w:val="23"/>
          <w:szCs w:val="23"/>
        </w:rPr>
        <w:t>。</w:t>
      </w:r>
    </w:p>
    <w:p w14:paraId="4691475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83" w:line="26" w:lineRule="atLeast"/>
        <w:ind w:firstLine="590"/>
        <w:textAlignment w:val="baseline"/>
        <w:outlineLvl w:val="0"/>
        <w:rPr>
          <w:rFonts w:ascii="宋体" w:hAnsi="宋体" w:eastAsia="宋体" w:cs="宋体"/>
          <w:color w:val="auto"/>
          <w:spacing w:val="8"/>
          <w:position w:val="2"/>
          <w:sz w:val="27"/>
          <w:szCs w:val="27"/>
        </w:rPr>
      </w:pPr>
      <w:r>
        <w:rPr>
          <w:rFonts w:ascii="宋体" w:hAnsi="宋体" w:eastAsia="宋体" w:cs="宋体"/>
          <w:color w:val="auto"/>
          <w:spacing w:val="8"/>
          <w:position w:val="2"/>
          <w:sz w:val="27"/>
          <w:szCs w:val="27"/>
        </w:rPr>
        <w:t>三、结构设计采取的措施：</w:t>
      </w:r>
    </w:p>
    <w:p w14:paraId="5246E1E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20" w:line="26" w:lineRule="atLeast"/>
        <w:ind w:firstLine="41"/>
        <w:textAlignment w:val="baseline"/>
        <w:rPr>
          <w:rFonts w:ascii="宋体" w:hAnsi="宋体" w:eastAsia="宋体" w:cs="宋体"/>
          <w:color w:val="auto"/>
          <w:sz w:val="23"/>
          <w:szCs w:val="23"/>
        </w:rPr>
      </w:pPr>
      <w:r>
        <w:rPr>
          <w:rFonts w:hint="eastAsia" w:ascii="宋体" w:hAnsi="宋体" w:cs="宋体"/>
          <w:color w:val="auto"/>
          <w:spacing w:val="9"/>
          <w:sz w:val="23"/>
          <w:szCs w:val="23"/>
        </w:rPr>
        <w:t>3.1</w:t>
      </w:r>
      <w:r>
        <w:rPr>
          <w:rFonts w:ascii="宋体" w:hAnsi="宋体" w:eastAsia="宋体" w:cs="宋体"/>
          <w:color w:val="auto"/>
          <w:spacing w:val="9"/>
          <w:sz w:val="23"/>
          <w:szCs w:val="23"/>
        </w:rPr>
        <w:t>抗侧刚度</w:t>
      </w:r>
      <w:r>
        <w:rPr>
          <w:rFonts w:ascii="宋体" w:hAnsi="宋体" w:eastAsia="宋体" w:cs="宋体"/>
          <w:color w:val="auto"/>
          <w:spacing w:val="8"/>
          <w:sz w:val="23"/>
          <w:szCs w:val="23"/>
        </w:rPr>
        <w:t>变化很小</w:t>
      </w:r>
      <w:r>
        <w:rPr>
          <w:rFonts w:ascii="宋体" w:hAnsi="宋体" w:eastAsia="宋体" w:cs="宋体"/>
          <w:color w:val="auto"/>
          <w:spacing w:val="10"/>
          <w:sz w:val="23"/>
          <w:szCs w:val="23"/>
        </w:rPr>
        <w:t>，</w:t>
      </w:r>
      <w:r>
        <w:rPr>
          <w:rFonts w:ascii="宋体" w:hAnsi="宋体" w:eastAsia="宋体" w:cs="宋体"/>
          <w:color w:val="auto"/>
          <w:spacing w:val="8"/>
          <w:sz w:val="23"/>
          <w:szCs w:val="23"/>
        </w:rPr>
        <w:t>连续均匀</w:t>
      </w:r>
      <w:r>
        <w:rPr>
          <w:rFonts w:ascii="宋体" w:hAnsi="宋体" w:eastAsia="宋体" w:cs="宋体"/>
          <w:color w:val="auto"/>
          <w:spacing w:val="10"/>
          <w:sz w:val="23"/>
          <w:szCs w:val="23"/>
        </w:rPr>
        <w:t>，</w:t>
      </w:r>
      <w:r>
        <w:rPr>
          <w:rFonts w:ascii="宋体" w:hAnsi="宋体" w:eastAsia="宋体" w:cs="宋体"/>
          <w:color w:val="auto"/>
          <w:spacing w:val="8"/>
          <w:sz w:val="23"/>
          <w:szCs w:val="23"/>
        </w:rPr>
        <w:t>避免了抗侧刚度突变</w:t>
      </w:r>
      <w:r>
        <w:rPr>
          <w:rFonts w:ascii="宋体" w:hAnsi="宋体" w:eastAsia="宋体" w:cs="宋体"/>
          <w:color w:val="auto"/>
          <w:spacing w:val="10"/>
          <w:sz w:val="23"/>
          <w:szCs w:val="23"/>
        </w:rPr>
        <w:t>。</w:t>
      </w:r>
    </w:p>
    <w:p w14:paraId="398CC2E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14" w:line="26" w:lineRule="atLeast"/>
        <w:ind w:left="24" w:right="110" w:firstLine="16"/>
        <w:textAlignment w:val="baseline"/>
        <w:rPr>
          <w:rFonts w:ascii="宋体" w:hAnsi="宋体" w:eastAsia="宋体" w:cs="宋体"/>
          <w:color w:val="auto"/>
          <w:spacing w:val="7"/>
          <w:sz w:val="23"/>
          <w:szCs w:val="23"/>
        </w:rPr>
      </w:pPr>
      <w:r>
        <w:rPr>
          <w:rFonts w:hint="eastAsia" w:ascii="宋体" w:hAnsi="宋体" w:cs="宋体"/>
          <w:color w:val="auto"/>
          <w:spacing w:val="6"/>
          <w:sz w:val="23"/>
          <w:szCs w:val="23"/>
        </w:rPr>
        <w:t>3.2</w:t>
      </w:r>
      <w:r>
        <w:rPr>
          <w:rFonts w:ascii="宋体" w:hAnsi="宋体" w:eastAsia="宋体" w:cs="宋体"/>
          <w:color w:val="auto"/>
          <w:spacing w:val="6"/>
          <w:sz w:val="23"/>
          <w:szCs w:val="23"/>
        </w:rPr>
        <w:t>框架柱的设计</w:t>
      </w:r>
      <w:r>
        <w:rPr>
          <w:rFonts w:ascii="宋体" w:hAnsi="宋体" w:eastAsia="宋体" w:cs="宋体"/>
          <w:color w:val="auto"/>
          <w:spacing w:val="7"/>
          <w:sz w:val="23"/>
          <w:szCs w:val="23"/>
        </w:rPr>
        <w:t>：</w:t>
      </w:r>
      <w:r>
        <w:rPr>
          <w:rFonts w:ascii="宋体" w:hAnsi="宋体" w:eastAsia="宋体" w:cs="宋体"/>
          <w:color w:val="auto"/>
          <w:spacing w:val="6"/>
          <w:sz w:val="23"/>
          <w:szCs w:val="23"/>
        </w:rPr>
        <w:t>框架的抗震等级</w:t>
      </w:r>
      <w:r>
        <w:rPr>
          <w:rFonts w:hint="eastAsia" w:ascii="宋体" w:hAnsi="宋体" w:eastAsia="宋体" w:cs="宋体"/>
          <w:color w:val="auto"/>
          <w:spacing w:val="6"/>
          <w:sz w:val="23"/>
          <w:szCs w:val="23"/>
          <w:lang w:eastAsia="zh-CN"/>
        </w:rPr>
        <w:t>三</w:t>
      </w:r>
      <w:r>
        <w:rPr>
          <w:rFonts w:ascii="宋体" w:hAnsi="宋体" w:eastAsia="宋体" w:cs="宋体"/>
          <w:color w:val="auto"/>
          <w:spacing w:val="6"/>
          <w:sz w:val="23"/>
          <w:szCs w:val="23"/>
        </w:rPr>
        <w:t>级</w:t>
      </w:r>
      <w:r>
        <w:rPr>
          <w:rFonts w:ascii="宋体" w:hAnsi="宋体" w:eastAsia="宋体" w:cs="宋体"/>
          <w:color w:val="auto"/>
          <w:spacing w:val="7"/>
          <w:sz w:val="23"/>
          <w:szCs w:val="23"/>
        </w:rPr>
        <w:t>，</w:t>
      </w:r>
      <w:r>
        <w:rPr>
          <w:rFonts w:ascii="宋体" w:hAnsi="宋体" w:eastAsia="宋体" w:cs="宋体"/>
          <w:color w:val="auto"/>
          <w:spacing w:val="6"/>
          <w:sz w:val="23"/>
          <w:szCs w:val="23"/>
        </w:rPr>
        <w:t>轴压比控制在</w:t>
      </w:r>
      <w:r>
        <w:rPr>
          <w:rFonts w:ascii="宋体" w:hAnsi="宋体" w:eastAsia="宋体" w:cs="宋体"/>
          <w:color w:val="auto"/>
          <w:spacing w:val="4"/>
          <w:sz w:val="23"/>
          <w:szCs w:val="23"/>
        </w:rPr>
        <w:t>0.</w:t>
      </w:r>
      <w:r>
        <w:rPr>
          <w:rFonts w:hint="eastAsia" w:ascii="宋体" w:hAnsi="宋体" w:eastAsia="宋体" w:cs="宋体"/>
          <w:color w:val="auto"/>
          <w:spacing w:val="4"/>
          <w:sz w:val="23"/>
          <w:szCs w:val="23"/>
          <w:lang w:val="en-US" w:eastAsia="zh-CN"/>
        </w:rPr>
        <w:t>85</w:t>
      </w:r>
      <w:r>
        <w:rPr>
          <w:rFonts w:ascii="宋体" w:hAnsi="宋体" w:eastAsia="宋体" w:cs="宋体"/>
          <w:color w:val="auto"/>
          <w:spacing w:val="6"/>
          <w:sz w:val="23"/>
          <w:szCs w:val="23"/>
        </w:rPr>
        <w:t>以内</w:t>
      </w:r>
      <w:r>
        <w:rPr>
          <w:rFonts w:ascii="宋体" w:hAnsi="宋体" w:eastAsia="宋体" w:cs="宋体"/>
          <w:color w:val="auto"/>
          <w:spacing w:val="7"/>
          <w:sz w:val="23"/>
          <w:szCs w:val="23"/>
        </w:rPr>
        <w:t>，</w:t>
      </w:r>
      <w:r>
        <w:rPr>
          <w:rFonts w:ascii="宋体" w:hAnsi="宋体" w:eastAsia="宋体" w:cs="宋体"/>
          <w:color w:val="auto"/>
          <w:spacing w:val="6"/>
          <w:sz w:val="23"/>
          <w:szCs w:val="23"/>
        </w:rPr>
        <w:t>加大框</w:t>
      </w:r>
      <w:r>
        <w:rPr>
          <w:rFonts w:ascii="宋体" w:hAnsi="宋体" w:eastAsia="宋体" w:cs="宋体"/>
          <w:color w:val="auto"/>
          <w:spacing w:val="7"/>
          <w:sz w:val="23"/>
          <w:szCs w:val="23"/>
        </w:rPr>
        <w:t>架柱的体积配箍率</w:t>
      </w:r>
      <w:r>
        <w:rPr>
          <w:rFonts w:ascii="宋体" w:hAnsi="宋体" w:eastAsia="宋体" w:cs="宋体"/>
          <w:color w:val="auto"/>
          <w:spacing w:val="8"/>
          <w:sz w:val="23"/>
          <w:szCs w:val="23"/>
        </w:rPr>
        <w:t>，</w:t>
      </w:r>
      <w:r>
        <w:rPr>
          <w:rFonts w:ascii="宋体" w:hAnsi="宋体" w:eastAsia="宋体" w:cs="宋体"/>
          <w:color w:val="auto"/>
          <w:spacing w:val="7"/>
          <w:sz w:val="23"/>
          <w:szCs w:val="23"/>
        </w:rPr>
        <w:t>从构造上保证</w:t>
      </w:r>
      <w:r>
        <w:rPr>
          <w:rFonts w:ascii="宋体" w:hAnsi="宋体" w:eastAsia="宋体" w:cs="宋体"/>
          <w:color w:val="auto"/>
          <w:spacing w:val="6"/>
          <w:sz w:val="23"/>
          <w:szCs w:val="23"/>
        </w:rPr>
        <w:t>框架柱的</w:t>
      </w:r>
      <w:r>
        <w:rPr>
          <w:rFonts w:ascii="宋体" w:hAnsi="宋体" w:eastAsia="宋体" w:cs="宋体"/>
          <w:color w:val="auto"/>
          <w:spacing w:val="11"/>
          <w:sz w:val="23"/>
          <w:szCs w:val="23"/>
        </w:rPr>
        <w:t>延</w:t>
      </w:r>
      <w:r>
        <w:rPr>
          <w:rFonts w:ascii="宋体" w:hAnsi="宋体" w:eastAsia="宋体" w:cs="宋体"/>
          <w:color w:val="auto"/>
          <w:spacing w:val="10"/>
          <w:sz w:val="23"/>
          <w:szCs w:val="23"/>
        </w:rPr>
        <w:t>性</w:t>
      </w:r>
      <w:r>
        <w:rPr>
          <w:rFonts w:ascii="宋体" w:hAnsi="宋体" w:eastAsia="宋体" w:cs="宋体"/>
          <w:color w:val="auto"/>
          <w:spacing w:val="7"/>
          <w:sz w:val="23"/>
          <w:szCs w:val="23"/>
        </w:rPr>
        <w:t>，</w:t>
      </w:r>
      <w:r>
        <w:rPr>
          <w:rFonts w:ascii="宋体" w:hAnsi="宋体" w:eastAsia="宋体" w:cs="宋体"/>
          <w:color w:val="auto"/>
          <w:spacing w:val="6"/>
          <w:sz w:val="23"/>
          <w:szCs w:val="23"/>
        </w:rPr>
        <w:t>有利于抵抗地震作用</w:t>
      </w:r>
      <w:r>
        <w:rPr>
          <w:rFonts w:ascii="宋体" w:hAnsi="宋体" w:eastAsia="宋体" w:cs="宋体"/>
          <w:color w:val="auto"/>
          <w:spacing w:val="7"/>
          <w:sz w:val="23"/>
          <w:szCs w:val="23"/>
        </w:rPr>
        <w:t>。</w:t>
      </w:r>
    </w:p>
    <w:p w14:paraId="2C2D0FC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14" w:line="26" w:lineRule="atLeast"/>
        <w:ind w:left="24" w:right="110" w:firstLine="16"/>
        <w:textAlignment w:val="baseline"/>
        <w:rPr>
          <w:rFonts w:hint="default" w:ascii="宋体" w:hAnsi="宋体" w:eastAsia="宋体" w:cs="宋体"/>
          <w:color w:val="auto"/>
          <w:spacing w:val="7"/>
          <w:sz w:val="23"/>
          <w:szCs w:val="23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7"/>
          <w:sz w:val="23"/>
          <w:szCs w:val="23"/>
          <w:lang w:val="en-US" w:eastAsia="zh-CN"/>
        </w:rPr>
        <w:t>3.3墙体超过4米均设置构造柱等抗震构造措施，加强结构的框架和砌体结构之间的整体性。</w:t>
      </w:r>
    </w:p>
    <w:p w14:paraId="2D9466F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13" w:line="26" w:lineRule="atLeast"/>
        <w:ind w:left="22" w:firstLine="18"/>
        <w:textAlignment w:val="baseline"/>
        <w:rPr>
          <w:rFonts w:hint="eastAsia" w:ascii="宋体" w:hAnsi="宋体" w:cs="宋体"/>
          <w:color w:val="auto"/>
          <w:spacing w:val="4"/>
          <w:sz w:val="23"/>
          <w:szCs w:val="23"/>
        </w:rPr>
      </w:pPr>
      <w:r>
        <w:rPr>
          <w:rFonts w:hint="eastAsia" w:ascii="宋体" w:hAnsi="宋体" w:cs="宋体"/>
          <w:color w:val="auto"/>
          <w:spacing w:val="2"/>
          <w:sz w:val="23"/>
          <w:szCs w:val="23"/>
        </w:rPr>
        <w:t>3.</w:t>
      </w:r>
      <w:r>
        <w:rPr>
          <w:rFonts w:hint="eastAsia" w:ascii="宋体" w:hAnsi="宋体" w:cs="宋体"/>
          <w:color w:val="auto"/>
          <w:spacing w:val="2"/>
          <w:sz w:val="23"/>
          <w:szCs w:val="23"/>
          <w:lang w:val="en-US" w:eastAsia="zh-CN"/>
        </w:rPr>
        <w:t>4</w:t>
      </w:r>
      <w:r>
        <w:rPr>
          <w:rFonts w:ascii="宋体" w:hAnsi="宋体" w:eastAsia="宋体" w:cs="宋体"/>
          <w:color w:val="auto"/>
          <w:spacing w:val="3"/>
          <w:sz w:val="23"/>
          <w:szCs w:val="23"/>
        </w:rPr>
        <w:t>变形控制</w:t>
      </w:r>
      <w:r>
        <w:rPr>
          <w:rFonts w:ascii="宋体" w:hAnsi="宋体" w:eastAsia="宋体" w:cs="宋体"/>
          <w:color w:val="auto"/>
          <w:spacing w:val="4"/>
          <w:sz w:val="23"/>
          <w:szCs w:val="23"/>
        </w:rPr>
        <w:t>。</w:t>
      </w:r>
    </w:p>
    <w:p w14:paraId="7507D8E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12" w:line="26" w:lineRule="atLeast"/>
        <w:ind w:left="22" w:right="29" w:firstLine="480"/>
        <w:textAlignment w:val="baseline"/>
        <w:rPr>
          <w:rFonts w:ascii="宋体" w:hAnsi="宋体" w:eastAsia="宋体" w:cs="宋体"/>
          <w:color w:val="auto"/>
          <w:sz w:val="23"/>
          <w:szCs w:val="23"/>
        </w:rPr>
      </w:pPr>
      <w:r>
        <w:rPr>
          <w:rFonts w:ascii="宋体" w:hAnsi="宋体" w:eastAsia="宋体" w:cs="宋体"/>
          <w:color w:val="auto"/>
          <w:sz w:val="23"/>
          <w:szCs w:val="23"/>
        </w:rPr>
        <w:t>在多遇地震作用下，层间位移角计算结果1/</w:t>
      </w:r>
      <w:r>
        <w:rPr>
          <w:rFonts w:hint="eastAsia" w:ascii="宋体" w:hAnsi="宋体" w:eastAsia="宋体" w:cs="宋体"/>
          <w:color w:val="auto"/>
          <w:sz w:val="23"/>
          <w:szCs w:val="23"/>
          <w:lang w:val="en-US" w:eastAsia="zh-CN"/>
        </w:rPr>
        <w:t>1121</w:t>
      </w:r>
      <w:r>
        <w:rPr>
          <w:rFonts w:ascii="宋体" w:hAnsi="宋体" w:eastAsia="宋体" w:cs="宋体"/>
          <w:color w:val="auto"/>
          <w:sz w:val="23"/>
          <w:szCs w:val="23"/>
        </w:rPr>
        <w:t>，满足《抗震规范》表</w:t>
      </w:r>
      <w:r>
        <w:rPr>
          <w:rFonts w:hint="eastAsia" w:ascii="宋体" w:hAnsi="宋体" w:eastAsia="宋体" w:cs="宋体"/>
          <w:color w:val="auto"/>
          <w:sz w:val="23"/>
          <w:szCs w:val="23"/>
        </w:rPr>
        <w:t>5</w:t>
      </w:r>
      <w:r>
        <w:rPr>
          <w:rFonts w:ascii="宋体" w:hAnsi="宋体" w:eastAsia="宋体" w:cs="宋体"/>
          <w:color w:val="auto"/>
          <w:sz w:val="23"/>
          <w:szCs w:val="23"/>
        </w:rPr>
        <w:t>.</w:t>
      </w:r>
      <w:r>
        <w:rPr>
          <w:rFonts w:hint="eastAsia" w:ascii="宋体" w:hAnsi="宋体" w:eastAsia="宋体" w:cs="宋体"/>
          <w:color w:val="auto"/>
          <w:sz w:val="23"/>
          <w:szCs w:val="23"/>
        </w:rPr>
        <w:t>5</w:t>
      </w:r>
      <w:r>
        <w:rPr>
          <w:rFonts w:ascii="宋体" w:hAnsi="宋体" w:eastAsia="宋体" w:cs="宋体"/>
          <w:color w:val="auto"/>
          <w:sz w:val="23"/>
          <w:szCs w:val="23"/>
        </w:rPr>
        <w:t>.</w:t>
      </w:r>
      <w:r>
        <w:rPr>
          <w:rFonts w:hint="eastAsia" w:ascii="宋体" w:hAnsi="宋体" w:eastAsia="宋体" w:cs="宋体"/>
          <w:color w:val="auto"/>
          <w:sz w:val="23"/>
          <w:szCs w:val="23"/>
        </w:rPr>
        <w:t>1</w:t>
      </w:r>
      <w:r>
        <w:rPr>
          <w:rFonts w:ascii="宋体" w:hAnsi="宋体" w:eastAsia="宋体" w:cs="宋体"/>
          <w:color w:val="auto"/>
          <w:sz w:val="23"/>
          <w:szCs w:val="23"/>
        </w:rPr>
        <w:t>，弹性层间位移角不大于1/</w:t>
      </w:r>
      <w:r>
        <w:rPr>
          <w:rFonts w:hint="eastAsia" w:ascii="宋体" w:hAnsi="宋体" w:eastAsia="宋体" w:cs="宋体"/>
          <w:color w:val="auto"/>
          <w:sz w:val="23"/>
          <w:szCs w:val="23"/>
        </w:rPr>
        <w:t>550</w:t>
      </w:r>
      <w:r>
        <w:rPr>
          <w:rFonts w:ascii="宋体" w:hAnsi="宋体" w:eastAsia="宋体" w:cs="宋体"/>
          <w:color w:val="auto"/>
          <w:sz w:val="23"/>
          <w:szCs w:val="23"/>
        </w:rPr>
        <w:t>。</w:t>
      </w:r>
    </w:p>
    <w:p w14:paraId="3AC883D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12" w:line="26" w:lineRule="atLeast"/>
        <w:ind w:left="22" w:right="29" w:firstLine="480"/>
        <w:textAlignment w:val="baseline"/>
        <w:rPr>
          <w:rFonts w:ascii="宋体" w:hAnsi="宋体" w:eastAsia="宋体" w:cs="宋体"/>
          <w:color w:val="auto"/>
          <w:sz w:val="23"/>
          <w:szCs w:val="23"/>
        </w:rPr>
      </w:pPr>
      <w:r>
        <w:rPr>
          <w:rFonts w:ascii="宋体" w:hAnsi="宋体" w:eastAsia="宋体" w:cs="宋体"/>
          <w:color w:val="auto"/>
          <w:sz w:val="23"/>
          <w:szCs w:val="23"/>
        </w:rPr>
        <w:t>在风荷载作用下</w:t>
      </w:r>
      <w:r>
        <w:rPr>
          <w:rFonts w:ascii="宋体" w:hAnsi="宋体" w:eastAsia="宋体" w:cs="宋体"/>
          <w:color w:val="auto"/>
          <w:spacing w:val="-51"/>
          <w:sz w:val="23"/>
          <w:szCs w:val="23"/>
        </w:rPr>
        <w:t>，</w:t>
      </w:r>
      <w:r>
        <w:rPr>
          <w:rFonts w:ascii="宋体" w:hAnsi="宋体" w:eastAsia="宋体" w:cs="宋体"/>
          <w:color w:val="auto"/>
          <w:sz w:val="23"/>
          <w:szCs w:val="23"/>
        </w:rPr>
        <w:t>楼层层间最大位移角1/</w:t>
      </w:r>
      <w:r>
        <w:rPr>
          <w:rFonts w:hint="eastAsia" w:ascii="宋体" w:hAnsi="宋体" w:eastAsia="宋体" w:cs="宋体"/>
          <w:color w:val="auto"/>
          <w:sz w:val="23"/>
          <w:szCs w:val="23"/>
          <w:lang w:val="en-US" w:eastAsia="zh-CN"/>
        </w:rPr>
        <w:t>4335</w:t>
      </w:r>
      <w:r>
        <w:rPr>
          <w:rFonts w:ascii="宋体" w:hAnsi="宋体" w:eastAsia="宋体" w:cs="宋体"/>
          <w:color w:val="auto"/>
          <w:spacing w:val="-51"/>
          <w:sz w:val="23"/>
          <w:szCs w:val="23"/>
        </w:rPr>
        <w:t>，</w:t>
      </w:r>
      <w:r>
        <w:rPr>
          <w:rFonts w:ascii="宋体" w:hAnsi="宋体" w:eastAsia="宋体" w:cs="宋体"/>
          <w:color w:val="auto"/>
          <w:sz w:val="23"/>
          <w:szCs w:val="23"/>
        </w:rPr>
        <w:t>满足《</w:t>
      </w:r>
      <w:r>
        <w:rPr>
          <w:rFonts w:ascii="宋体" w:hAnsi="宋体" w:eastAsia="宋体" w:cs="宋体"/>
          <w:color w:val="auto"/>
          <w:spacing w:val="2"/>
          <w:sz w:val="23"/>
          <w:szCs w:val="23"/>
        </w:rPr>
        <w:t>抗震规范</w:t>
      </w:r>
      <w:r>
        <w:rPr>
          <w:rFonts w:ascii="宋体" w:hAnsi="宋体" w:eastAsia="宋体" w:cs="宋体"/>
          <w:color w:val="auto"/>
          <w:sz w:val="23"/>
          <w:szCs w:val="23"/>
        </w:rPr>
        <w:t>》不大于1/</w:t>
      </w:r>
      <w:r>
        <w:rPr>
          <w:rFonts w:hint="eastAsia" w:ascii="宋体" w:hAnsi="宋体" w:cs="宋体"/>
          <w:color w:val="auto"/>
          <w:sz w:val="23"/>
          <w:szCs w:val="23"/>
        </w:rPr>
        <w:t>550</w:t>
      </w:r>
      <w:r>
        <w:rPr>
          <w:rFonts w:ascii="宋体" w:hAnsi="宋体" w:eastAsia="宋体" w:cs="宋体"/>
          <w:color w:val="auto"/>
          <w:spacing w:val="-51"/>
          <w:sz w:val="23"/>
          <w:szCs w:val="23"/>
        </w:rPr>
        <w:t>。</w:t>
      </w:r>
    </w:p>
    <w:p w14:paraId="0EDDB0C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83" w:line="26" w:lineRule="atLeast"/>
        <w:ind w:firstLine="590"/>
        <w:textAlignment w:val="baseline"/>
        <w:outlineLvl w:val="0"/>
        <w:rPr>
          <w:rFonts w:ascii="宋体" w:hAnsi="宋体" w:eastAsia="宋体" w:cs="宋体"/>
          <w:color w:val="auto"/>
          <w:spacing w:val="8"/>
          <w:position w:val="2"/>
          <w:sz w:val="27"/>
          <w:szCs w:val="27"/>
        </w:rPr>
      </w:pPr>
      <w:r>
        <w:rPr>
          <w:rFonts w:ascii="宋体" w:hAnsi="宋体" w:eastAsia="宋体" w:cs="宋体"/>
          <w:color w:val="auto"/>
          <w:spacing w:val="8"/>
          <w:position w:val="2"/>
          <w:sz w:val="27"/>
          <w:szCs w:val="27"/>
        </w:rPr>
        <w:t>四、结论</w:t>
      </w:r>
    </w:p>
    <w:p w14:paraId="0726E2A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11" w:line="26" w:lineRule="atLeast"/>
        <w:ind w:left="24" w:right="110" w:firstLine="16"/>
        <w:textAlignment w:val="baseline"/>
        <w:rPr>
          <w:rFonts w:ascii="宋体" w:hAnsi="宋体" w:eastAsia="宋体" w:cs="宋体"/>
          <w:color w:val="auto"/>
          <w:sz w:val="23"/>
          <w:szCs w:val="23"/>
        </w:rPr>
      </w:pPr>
      <w:r>
        <w:rPr>
          <w:rFonts w:hint="eastAsia" w:ascii="宋体" w:hAnsi="宋体" w:cs="宋体"/>
          <w:color w:val="auto"/>
          <w:spacing w:val="5"/>
          <w:sz w:val="23"/>
          <w:szCs w:val="23"/>
        </w:rPr>
        <w:t>4</w:t>
      </w:r>
      <w:r>
        <w:rPr>
          <w:rFonts w:ascii="宋体" w:hAnsi="宋体" w:eastAsia="宋体" w:cs="宋体"/>
          <w:color w:val="auto"/>
          <w:spacing w:val="5"/>
          <w:sz w:val="23"/>
          <w:szCs w:val="23"/>
        </w:rPr>
        <w:t>.1</w:t>
      </w:r>
      <w:r>
        <w:rPr>
          <w:rFonts w:ascii="宋体" w:hAnsi="宋体" w:eastAsia="宋体" w:cs="宋体"/>
          <w:color w:val="auto"/>
          <w:spacing w:val="10"/>
          <w:sz w:val="23"/>
          <w:szCs w:val="23"/>
        </w:rPr>
        <w:t>结构布置方案传力途径明确，竖向抗侧构件连续不中断，抗侧</w:t>
      </w:r>
      <w:r>
        <w:rPr>
          <w:rFonts w:ascii="宋体" w:hAnsi="宋体" w:eastAsia="宋体" w:cs="宋体"/>
          <w:color w:val="auto"/>
          <w:spacing w:val="9"/>
          <w:sz w:val="23"/>
          <w:szCs w:val="23"/>
        </w:rPr>
        <w:t>刚度均匀变化</w:t>
      </w:r>
      <w:r>
        <w:rPr>
          <w:rFonts w:ascii="宋体" w:hAnsi="宋体" w:eastAsia="宋体" w:cs="宋体"/>
          <w:color w:val="auto"/>
          <w:spacing w:val="10"/>
          <w:sz w:val="23"/>
          <w:szCs w:val="23"/>
        </w:rPr>
        <w:t>，</w:t>
      </w:r>
      <w:r>
        <w:rPr>
          <w:rFonts w:ascii="宋体" w:hAnsi="宋体" w:eastAsia="宋体" w:cs="宋体"/>
          <w:color w:val="auto"/>
          <w:spacing w:val="8"/>
          <w:sz w:val="23"/>
          <w:szCs w:val="23"/>
        </w:rPr>
        <w:t>楼层承载力没有突变</w:t>
      </w:r>
      <w:r>
        <w:rPr>
          <w:rFonts w:ascii="宋体" w:hAnsi="宋体" w:eastAsia="宋体" w:cs="宋体"/>
          <w:color w:val="auto"/>
          <w:spacing w:val="10"/>
          <w:sz w:val="23"/>
          <w:szCs w:val="23"/>
        </w:rPr>
        <w:t>。</w:t>
      </w:r>
    </w:p>
    <w:p w14:paraId="19CBA9C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16" w:line="26" w:lineRule="atLeast"/>
        <w:ind w:left="32" w:right="167" w:firstLine="8"/>
        <w:textAlignment w:val="baseline"/>
        <w:rPr>
          <w:rFonts w:ascii="宋体" w:hAnsi="宋体" w:eastAsia="宋体" w:cs="宋体"/>
          <w:color w:val="auto"/>
          <w:spacing w:val="8"/>
          <w:sz w:val="23"/>
          <w:szCs w:val="23"/>
        </w:rPr>
      </w:pPr>
      <w:r>
        <w:rPr>
          <w:rFonts w:hint="eastAsia" w:ascii="宋体" w:hAnsi="宋体" w:cs="宋体"/>
          <w:color w:val="auto"/>
          <w:spacing w:val="5"/>
          <w:sz w:val="23"/>
          <w:szCs w:val="23"/>
        </w:rPr>
        <w:t>4</w:t>
      </w:r>
      <w:r>
        <w:rPr>
          <w:rFonts w:ascii="宋体" w:hAnsi="宋体" w:eastAsia="宋体" w:cs="宋体"/>
          <w:color w:val="auto"/>
          <w:spacing w:val="4"/>
          <w:sz w:val="23"/>
          <w:szCs w:val="23"/>
        </w:rPr>
        <w:t>.</w:t>
      </w:r>
      <w:r>
        <w:rPr>
          <w:rFonts w:hint="eastAsia" w:ascii="宋体" w:hAnsi="宋体" w:cs="宋体"/>
          <w:color w:val="auto"/>
          <w:spacing w:val="4"/>
          <w:sz w:val="23"/>
          <w:szCs w:val="23"/>
        </w:rPr>
        <w:t>2</w:t>
      </w:r>
      <w:r>
        <w:rPr>
          <w:rFonts w:ascii="宋体" w:hAnsi="宋体" w:eastAsia="宋体" w:cs="宋体"/>
          <w:color w:val="auto"/>
          <w:spacing w:val="8"/>
          <w:sz w:val="23"/>
          <w:szCs w:val="23"/>
        </w:rPr>
        <w:t>对结构平面扭转不规则</w:t>
      </w:r>
      <w:r>
        <w:rPr>
          <w:rFonts w:ascii="宋体" w:hAnsi="宋体" w:eastAsia="宋体" w:cs="宋体"/>
          <w:color w:val="auto"/>
          <w:spacing w:val="10"/>
          <w:sz w:val="23"/>
          <w:szCs w:val="23"/>
        </w:rPr>
        <w:t>，</w:t>
      </w:r>
      <w:r>
        <w:rPr>
          <w:rFonts w:ascii="宋体" w:hAnsi="宋体" w:eastAsia="宋体" w:cs="宋体"/>
          <w:color w:val="auto"/>
          <w:spacing w:val="8"/>
          <w:sz w:val="23"/>
          <w:szCs w:val="23"/>
        </w:rPr>
        <w:t>采取了相应的加强措施</w:t>
      </w:r>
      <w:r>
        <w:rPr>
          <w:rFonts w:ascii="宋体" w:hAnsi="宋体" w:eastAsia="宋体" w:cs="宋体"/>
          <w:color w:val="auto"/>
          <w:spacing w:val="10"/>
          <w:sz w:val="23"/>
          <w:szCs w:val="23"/>
        </w:rPr>
        <w:t>，</w:t>
      </w:r>
      <w:r>
        <w:rPr>
          <w:rFonts w:ascii="宋体" w:hAnsi="宋体" w:eastAsia="宋体" w:cs="宋体"/>
          <w:color w:val="auto"/>
          <w:spacing w:val="7"/>
          <w:sz w:val="23"/>
          <w:szCs w:val="23"/>
        </w:rPr>
        <w:t>能保证其整体</w:t>
      </w:r>
      <w:r>
        <w:rPr>
          <w:rFonts w:ascii="宋体" w:hAnsi="宋体" w:eastAsia="宋体" w:cs="宋体"/>
          <w:color w:val="auto"/>
          <w:spacing w:val="6"/>
          <w:sz w:val="23"/>
          <w:szCs w:val="23"/>
        </w:rPr>
        <w:t>性能</w:t>
      </w:r>
      <w:r>
        <w:rPr>
          <w:rFonts w:ascii="宋体" w:hAnsi="宋体" w:eastAsia="宋体" w:cs="宋体"/>
          <w:color w:val="auto"/>
          <w:spacing w:val="8"/>
          <w:sz w:val="23"/>
          <w:szCs w:val="23"/>
        </w:rPr>
        <w:t>。</w:t>
      </w:r>
    </w:p>
    <w:p w14:paraId="5E77B82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14" w:line="26" w:lineRule="atLeast"/>
        <w:ind w:left="26" w:right="110" w:firstLine="14"/>
        <w:textAlignment w:val="baseline"/>
        <w:rPr>
          <w:rFonts w:ascii="宋体" w:hAnsi="宋体" w:eastAsia="宋体" w:cs="宋体"/>
          <w:color w:val="auto"/>
          <w:sz w:val="23"/>
          <w:szCs w:val="23"/>
        </w:rPr>
      </w:pPr>
      <w:r>
        <w:rPr>
          <w:rFonts w:hint="eastAsia" w:ascii="宋体" w:hAnsi="宋体" w:cs="宋体"/>
          <w:color w:val="auto"/>
          <w:spacing w:val="6"/>
          <w:sz w:val="23"/>
          <w:szCs w:val="23"/>
        </w:rPr>
        <w:t>4</w:t>
      </w:r>
      <w:r>
        <w:rPr>
          <w:rFonts w:ascii="宋体" w:hAnsi="宋体" w:eastAsia="宋体" w:cs="宋体"/>
          <w:color w:val="auto"/>
          <w:spacing w:val="6"/>
          <w:sz w:val="23"/>
          <w:szCs w:val="23"/>
        </w:rPr>
        <w:t>.</w:t>
      </w:r>
      <w:r>
        <w:rPr>
          <w:rFonts w:hint="eastAsia" w:ascii="宋体" w:hAnsi="宋体" w:cs="宋体"/>
          <w:color w:val="auto"/>
          <w:spacing w:val="6"/>
          <w:sz w:val="23"/>
          <w:szCs w:val="23"/>
        </w:rPr>
        <w:t>3</w:t>
      </w:r>
      <w:r>
        <w:rPr>
          <w:rFonts w:ascii="宋体" w:hAnsi="宋体" w:eastAsia="宋体" w:cs="宋体"/>
          <w:color w:val="auto"/>
          <w:spacing w:val="10"/>
          <w:sz w:val="23"/>
          <w:szCs w:val="23"/>
        </w:rPr>
        <w:t>对主要的抗侧柱</w:t>
      </w:r>
      <w:r>
        <w:rPr>
          <w:rFonts w:ascii="宋体" w:hAnsi="宋体" w:eastAsia="宋体" w:cs="宋体"/>
          <w:color w:val="auto"/>
          <w:spacing w:val="11"/>
          <w:sz w:val="23"/>
          <w:szCs w:val="23"/>
        </w:rPr>
        <w:t>，</w:t>
      </w:r>
      <w:r>
        <w:rPr>
          <w:rFonts w:ascii="宋体" w:hAnsi="宋体" w:eastAsia="宋体" w:cs="宋体"/>
          <w:color w:val="auto"/>
          <w:spacing w:val="10"/>
          <w:sz w:val="23"/>
          <w:szCs w:val="23"/>
        </w:rPr>
        <w:t>加强其刚度</w:t>
      </w:r>
      <w:r>
        <w:rPr>
          <w:rFonts w:ascii="宋体" w:hAnsi="宋体" w:eastAsia="宋体" w:cs="宋体"/>
          <w:color w:val="auto"/>
          <w:spacing w:val="11"/>
          <w:sz w:val="23"/>
          <w:szCs w:val="23"/>
        </w:rPr>
        <w:t>，</w:t>
      </w:r>
      <w:r>
        <w:rPr>
          <w:rFonts w:ascii="宋体" w:hAnsi="宋体" w:eastAsia="宋体" w:cs="宋体"/>
          <w:color w:val="auto"/>
          <w:spacing w:val="10"/>
          <w:sz w:val="23"/>
          <w:szCs w:val="23"/>
        </w:rPr>
        <w:t>提</w:t>
      </w:r>
      <w:r>
        <w:rPr>
          <w:rFonts w:ascii="宋体" w:hAnsi="宋体" w:eastAsia="宋体" w:cs="宋体"/>
          <w:color w:val="auto"/>
          <w:spacing w:val="9"/>
          <w:sz w:val="23"/>
          <w:szCs w:val="23"/>
        </w:rPr>
        <w:t>高承载力</w:t>
      </w:r>
      <w:r>
        <w:rPr>
          <w:rFonts w:ascii="宋体" w:hAnsi="宋体" w:eastAsia="宋体" w:cs="宋体"/>
          <w:color w:val="auto"/>
          <w:spacing w:val="11"/>
          <w:sz w:val="23"/>
          <w:szCs w:val="23"/>
        </w:rPr>
        <w:t>，</w:t>
      </w:r>
      <w:r>
        <w:rPr>
          <w:rFonts w:ascii="宋体" w:hAnsi="宋体" w:eastAsia="宋体" w:cs="宋体"/>
          <w:color w:val="auto"/>
          <w:spacing w:val="9"/>
          <w:sz w:val="23"/>
          <w:szCs w:val="23"/>
        </w:rPr>
        <w:t>保证良好延性</w:t>
      </w:r>
      <w:r>
        <w:rPr>
          <w:rFonts w:ascii="宋体" w:hAnsi="宋体" w:eastAsia="宋体" w:cs="宋体"/>
          <w:color w:val="auto"/>
          <w:spacing w:val="11"/>
          <w:sz w:val="23"/>
          <w:szCs w:val="23"/>
        </w:rPr>
        <w:t>，</w:t>
      </w:r>
      <w:r>
        <w:rPr>
          <w:rFonts w:ascii="宋体" w:hAnsi="宋体" w:eastAsia="宋体" w:cs="宋体"/>
          <w:color w:val="auto"/>
          <w:spacing w:val="9"/>
          <w:sz w:val="23"/>
          <w:szCs w:val="23"/>
        </w:rPr>
        <w:t>并经计算</w:t>
      </w:r>
      <w:r>
        <w:rPr>
          <w:rFonts w:ascii="宋体" w:hAnsi="宋体" w:eastAsia="宋体" w:cs="宋体"/>
          <w:color w:val="auto"/>
          <w:spacing w:val="6"/>
          <w:sz w:val="23"/>
          <w:szCs w:val="23"/>
        </w:rPr>
        <w:t>分</w:t>
      </w:r>
      <w:r>
        <w:rPr>
          <w:rFonts w:ascii="宋体" w:hAnsi="宋体" w:eastAsia="宋体" w:cs="宋体"/>
          <w:color w:val="auto"/>
          <w:spacing w:val="5"/>
          <w:sz w:val="23"/>
          <w:szCs w:val="23"/>
        </w:rPr>
        <w:t>析验证</w:t>
      </w:r>
      <w:r>
        <w:rPr>
          <w:rFonts w:ascii="宋体" w:hAnsi="宋体" w:eastAsia="宋体" w:cs="宋体"/>
          <w:color w:val="auto"/>
          <w:spacing w:val="8"/>
          <w:sz w:val="23"/>
          <w:szCs w:val="23"/>
        </w:rPr>
        <w:t>。</w:t>
      </w:r>
    </w:p>
    <w:p w14:paraId="2828FFC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18" w:line="26" w:lineRule="atLeast"/>
        <w:ind w:firstLine="41"/>
        <w:textAlignment w:val="baseline"/>
        <w:rPr>
          <w:rFonts w:ascii="宋体" w:hAnsi="宋体" w:eastAsia="宋体" w:cs="宋体"/>
          <w:color w:val="auto"/>
          <w:sz w:val="23"/>
          <w:szCs w:val="23"/>
        </w:rPr>
      </w:pPr>
      <w:r>
        <w:rPr>
          <w:rFonts w:hint="eastAsia" w:ascii="宋体" w:hAnsi="宋体" w:cs="宋体"/>
          <w:color w:val="auto"/>
          <w:spacing w:val="4"/>
          <w:sz w:val="23"/>
          <w:szCs w:val="23"/>
        </w:rPr>
        <w:t>4</w:t>
      </w:r>
      <w:r>
        <w:rPr>
          <w:rFonts w:ascii="宋体" w:hAnsi="宋体" w:eastAsia="宋体" w:cs="宋体"/>
          <w:color w:val="auto"/>
          <w:spacing w:val="4"/>
          <w:sz w:val="23"/>
          <w:szCs w:val="23"/>
        </w:rPr>
        <w:t>.</w:t>
      </w:r>
      <w:r>
        <w:rPr>
          <w:rFonts w:hint="eastAsia" w:ascii="宋体" w:hAnsi="宋体" w:cs="宋体"/>
          <w:color w:val="auto"/>
          <w:spacing w:val="4"/>
          <w:sz w:val="23"/>
          <w:szCs w:val="23"/>
        </w:rPr>
        <w:t>4</w:t>
      </w:r>
      <w:r>
        <w:rPr>
          <w:rFonts w:ascii="宋体" w:hAnsi="宋体" w:eastAsia="宋体" w:cs="宋体"/>
          <w:color w:val="auto"/>
          <w:spacing w:val="7"/>
          <w:sz w:val="23"/>
          <w:szCs w:val="23"/>
        </w:rPr>
        <w:t>综上分析</w:t>
      </w:r>
      <w:r>
        <w:rPr>
          <w:rFonts w:ascii="宋体" w:hAnsi="宋体" w:eastAsia="宋体" w:cs="宋体"/>
          <w:color w:val="auto"/>
          <w:spacing w:val="9"/>
          <w:sz w:val="23"/>
          <w:szCs w:val="23"/>
        </w:rPr>
        <w:t>，</w:t>
      </w:r>
      <w:r>
        <w:rPr>
          <w:rFonts w:ascii="宋体" w:hAnsi="宋体" w:eastAsia="宋体" w:cs="宋体"/>
          <w:color w:val="auto"/>
          <w:spacing w:val="7"/>
          <w:sz w:val="23"/>
          <w:szCs w:val="23"/>
        </w:rPr>
        <w:t>结构安全可靠</w:t>
      </w:r>
      <w:r>
        <w:rPr>
          <w:rFonts w:ascii="宋体" w:hAnsi="宋体" w:eastAsia="宋体" w:cs="宋体"/>
          <w:color w:val="auto"/>
          <w:spacing w:val="9"/>
          <w:sz w:val="23"/>
          <w:szCs w:val="23"/>
        </w:rPr>
        <w:t>。</w:t>
      </w:r>
    </w:p>
    <w:sectPr>
      <w:pgSz w:w="11906" w:h="16839"/>
      <w:pgMar w:top="1431" w:right="1691" w:bottom="0" w:left="1785" w:header="0" w:footer="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7"/>
  <w:displayBackgroundShape w:val="1"/>
  <w:bordersDoNotSurroundHeader w:val="0"/>
  <w:bordersDoNotSurroundFooter w:val="0"/>
  <w:documentProtection w:enforcement="0"/>
  <w:defaultTabStop w:val="420"/>
  <w:displayHorizontalDrawingGridEvery w:val="1"/>
  <w:displayVerticalDrawingGridEvery w:val="1"/>
  <w:noPunctuationKerning w:val="1"/>
  <w:characterSpacingControl w:val="doNotCompress"/>
  <w:compat>
    <w:spaceForUL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EwNTIyZDQ1NjJhYTFjOWNhMDgwNzliYmVmMDhlN2YifQ=="/>
  </w:docVars>
  <w:rsids>
    <w:rsidRoot w:val="00172A27"/>
    <w:rsid w:val="00085EBB"/>
    <w:rsid w:val="00094A44"/>
    <w:rsid w:val="00143C38"/>
    <w:rsid w:val="00195E94"/>
    <w:rsid w:val="002C1BEE"/>
    <w:rsid w:val="003A1623"/>
    <w:rsid w:val="003D1D14"/>
    <w:rsid w:val="00522122"/>
    <w:rsid w:val="00664A81"/>
    <w:rsid w:val="0088416A"/>
    <w:rsid w:val="009975C5"/>
    <w:rsid w:val="00AC1C0D"/>
    <w:rsid w:val="00B178CF"/>
    <w:rsid w:val="00CE6934"/>
    <w:rsid w:val="00EE46B9"/>
    <w:rsid w:val="06602878"/>
    <w:rsid w:val="07D12BA6"/>
    <w:rsid w:val="08941B41"/>
    <w:rsid w:val="12952D83"/>
    <w:rsid w:val="133626AA"/>
    <w:rsid w:val="18D322F3"/>
    <w:rsid w:val="2369610C"/>
    <w:rsid w:val="28C17F8F"/>
    <w:rsid w:val="29690954"/>
    <w:rsid w:val="2B275525"/>
    <w:rsid w:val="303B32B3"/>
    <w:rsid w:val="314E574A"/>
    <w:rsid w:val="336230A9"/>
    <w:rsid w:val="3B09743D"/>
    <w:rsid w:val="3D11530F"/>
    <w:rsid w:val="3D9F0E00"/>
    <w:rsid w:val="41BE0272"/>
    <w:rsid w:val="41DB1C5C"/>
    <w:rsid w:val="446C340F"/>
    <w:rsid w:val="462F6E0C"/>
    <w:rsid w:val="4F8E5760"/>
    <w:rsid w:val="648E09AD"/>
    <w:rsid w:val="64E67874"/>
    <w:rsid w:val="65B752FD"/>
    <w:rsid w:val="73E41322"/>
    <w:rsid w:val="75023815"/>
    <w:rsid w:val="77313A56"/>
    <w:rsid w:val="774E2C87"/>
    <w:rsid w:val="7B923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cs="Arial" w:eastAsiaTheme="minorEastAsia"/>
      <w:snapToGrid w:val="0"/>
      <w:color w:val="000000"/>
      <w:sz w:val="21"/>
      <w:szCs w:val="21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autoRedefine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table" w:customStyle="1" w:styleId="7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Char"/>
    <w:basedOn w:val="6"/>
    <w:link w:val="4"/>
    <w:autoRedefine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10">
    <w:name w:val="批注框文本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1126</Words>
  <Characters>1278</Characters>
  <Lines>10</Lines>
  <Paragraphs>2</Paragraphs>
  <TotalTime>14</TotalTime>
  <ScaleCrop>false</ScaleCrop>
  <LinksUpToDate>false</LinksUpToDate>
  <CharactersWithSpaces>1278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2016-07-24T10:15:00Z</dcterms:created>
  <dc:creator>Administrator</dc:creator>
  <cp:lastModifiedBy>Luzhuang</cp:lastModifiedBy>
  <dcterms:modified xsi:type="dcterms:W3CDTF">2025-06-17T03:20:57Z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wqlLaW5nc29mdCBQREYgdG8gV1BTIDc1</vt:lpwstr>
  </property>
  <property fmtid="{D5CDD505-2E9C-101B-9397-08002B2CF9AE}" pid="3" name="Created">
    <vt:filetime>2022-04-12T13:13:09Z</vt:filetime>
  </property>
  <property fmtid="{D5CDD505-2E9C-101B-9397-08002B2CF9AE}" pid="4" name="KSOProductBuildVer">
    <vt:lpwstr>2052-12.1.0.21541</vt:lpwstr>
  </property>
  <property fmtid="{D5CDD505-2E9C-101B-9397-08002B2CF9AE}" pid="5" name="ICV">
    <vt:lpwstr>D1B693B379D44681A83F76024D517FD3_13</vt:lpwstr>
  </property>
  <property fmtid="{D5CDD505-2E9C-101B-9397-08002B2CF9AE}" pid="6" name="KSOTemplateDocerSaveRecord">
    <vt:lpwstr>eyJoZGlkIjoiN2EwNTIyZDQ1NjJhYTFjOWNhMDgwNzliYmVmMDhlN2YiLCJ1c2VySWQiOiI0MjQ1MjkyNjMifQ==</vt:lpwstr>
  </property>
</Properties>
</file>