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BF8ED">
      <w:pPr>
        <w:spacing w:before="120" w:beforeLines="50" w:line="360" w:lineRule="auto"/>
        <w:jc w:val="center"/>
        <w:rPr>
          <w:rFonts w:ascii="宋体" w:hAnsi="宋体" w:cs="宋体"/>
          <w:color w:val="auto"/>
          <w:sz w:val="52"/>
          <w:szCs w:val="52"/>
          <w:highlight w:val="none"/>
        </w:rPr>
      </w:pPr>
    </w:p>
    <w:p w14:paraId="6ED46DEF">
      <w:pPr>
        <w:spacing w:before="120" w:beforeLines="50" w:line="360" w:lineRule="auto"/>
        <w:jc w:val="center"/>
        <w:rPr>
          <w:rFonts w:ascii="宋体" w:hAnsi="宋体" w:cs="宋体"/>
          <w:color w:val="auto"/>
          <w:sz w:val="52"/>
          <w:szCs w:val="52"/>
          <w:highlight w:val="none"/>
        </w:rPr>
      </w:pPr>
    </w:p>
    <w:p w14:paraId="2ABF74A4">
      <w:pPr>
        <w:spacing w:before="120" w:beforeLines="50" w:line="360" w:lineRule="auto"/>
        <w:jc w:val="center"/>
        <w:rPr>
          <w:rFonts w:ascii="宋体" w:hAnsi="宋体" w:cs="宋体"/>
          <w:color w:val="auto"/>
          <w:sz w:val="52"/>
          <w:szCs w:val="52"/>
          <w:highlight w:val="none"/>
        </w:rPr>
      </w:pPr>
    </w:p>
    <w:p w14:paraId="16140FAD">
      <w:pPr>
        <w:snapToGrid w:val="0"/>
        <w:spacing w:before="120" w:beforeLines="50" w:line="360" w:lineRule="auto"/>
        <w:jc w:val="center"/>
        <w:rPr>
          <w:rFonts w:ascii="宋体" w:hAnsi="宋体" w:cs="宋体"/>
          <w:color w:val="auto"/>
          <w:sz w:val="84"/>
          <w:szCs w:val="84"/>
          <w:highlight w:val="none"/>
        </w:rPr>
      </w:pPr>
      <w:r>
        <w:rPr>
          <w:rFonts w:hint="eastAsia" w:ascii="宋体" w:hAnsi="宋体" w:cs="宋体"/>
          <w:color w:val="auto"/>
          <w:sz w:val="84"/>
          <w:szCs w:val="84"/>
          <w:highlight w:val="none"/>
        </w:rPr>
        <w:t>招 标 文 件</w:t>
      </w:r>
    </w:p>
    <w:p w14:paraId="39BAB508">
      <w:pPr>
        <w:pStyle w:val="69"/>
        <w:rPr>
          <w:rFonts w:ascii="宋体" w:hAnsi="宋体" w:cs="宋体"/>
          <w:color w:val="auto"/>
          <w:sz w:val="52"/>
          <w:szCs w:val="52"/>
          <w:highlight w:val="none"/>
        </w:rPr>
      </w:pPr>
    </w:p>
    <w:p w14:paraId="11BD72D5">
      <w:pPr>
        <w:pStyle w:val="69"/>
        <w:rPr>
          <w:rFonts w:ascii="宋体" w:hAnsi="宋体" w:cs="宋体"/>
          <w:color w:val="auto"/>
          <w:sz w:val="52"/>
          <w:szCs w:val="52"/>
          <w:highlight w:val="none"/>
        </w:rPr>
      </w:pPr>
    </w:p>
    <w:p w14:paraId="021924EA">
      <w:pPr>
        <w:pStyle w:val="69"/>
        <w:rPr>
          <w:rFonts w:ascii="宋体" w:hAnsi="宋体" w:cs="宋体"/>
          <w:color w:val="auto"/>
          <w:sz w:val="52"/>
          <w:szCs w:val="52"/>
          <w:highlight w:val="none"/>
        </w:rPr>
      </w:pPr>
    </w:p>
    <w:p w14:paraId="3ED1EEAF">
      <w:pPr>
        <w:pStyle w:val="69"/>
        <w:rPr>
          <w:rFonts w:ascii="宋体" w:hAnsi="宋体" w:cs="宋体"/>
          <w:color w:val="auto"/>
          <w:sz w:val="30"/>
          <w:szCs w:val="72"/>
          <w:highlight w:val="none"/>
        </w:rPr>
      </w:pPr>
    </w:p>
    <w:p w14:paraId="20FC2D29">
      <w:pPr>
        <w:pStyle w:val="69"/>
        <w:rPr>
          <w:rFonts w:ascii="宋体" w:hAnsi="宋体" w:cs="宋体"/>
          <w:color w:val="auto"/>
          <w:sz w:val="30"/>
          <w:szCs w:val="72"/>
          <w:highlight w:val="none"/>
        </w:rPr>
      </w:pPr>
    </w:p>
    <w:p w14:paraId="4526DBB9">
      <w:pPr>
        <w:pStyle w:val="69"/>
        <w:rPr>
          <w:rFonts w:ascii="宋体" w:hAnsi="宋体" w:cs="宋体"/>
          <w:color w:val="auto"/>
          <w:sz w:val="30"/>
          <w:szCs w:val="72"/>
          <w:highlight w:val="none"/>
        </w:rPr>
      </w:pPr>
    </w:p>
    <w:p w14:paraId="38293132">
      <w:pPr>
        <w:rPr>
          <w:rFonts w:ascii="宋体" w:hAnsi="宋体" w:cs="宋体"/>
          <w:color w:val="auto"/>
          <w:highlight w:val="none"/>
        </w:rPr>
      </w:pPr>
    </w:p>
    <w:p w14:paraId="42F5DF83">
      <w:pPr>
        <w:snapToGrid w:val="0"/>
        <w:spacing w:before="120" w:beforeLines="50" w:line="360" w:lineRule="auto"/>
        <w:rPr>
          <w:rFonts w:ascii="宋体" w:hAnsi="宋体" w:cs="宋体"/>
          <w:color w:val="auto"/>
          <w:sz w:val="30"/>
          <w:szCs w:val="72"/>
          <w:highlight w:val="none"/>
        </w:rPr>
      </w:pPr>
    </w:p>
    <w:p w14:paraId="4B0414AB">
      <w:pPr>
        <w:pStyle w:val="26"/>
        <w:snapToGrid w:val="0"/>
        <w:spacing w:before="50" w:after="120" w:line="360" w:lineRule="auto"/>
        <w:rPr>
          <w:rFonts w:hAnsi="宋体" w:cs="宋体"/>
          <w:b/>
          <w:bCs/>
          <w:color w:val="auto"/>
          <w:w w:val="95"/>
          <w:sz w:val="28"/>
          <w:szCs w:val="28"/>
          <w:highlight w:val="none"/>
        </w:rPr>
      </w:pPr>
    </w:p>
    <w:p w14:paraId="6B745F9D">
      <w:pPr>
        <w:pStyle w:val="26"/>
        <w:snapToGrid w:val="0"/>
        <w:spacing w:before="50" w:after="120" w:line="360" w:lineRule="auto"/>
        <w:rPr>
          <w:rFonts w:hAnsi="宋体" w:cs="宋体"/>
          <w:b/>
          <w:bCs/>
          <w:color w:val="auto"/>
          <w:w w:val="95"/>
          <w:sz w:val="28"/>
          <w:szCs w:val="28"/>
          <w:highlight w:val="none"/>
        </w:rPr>
      </w:pPr>
      <w:r>
        <w:rPr>
          <w:rFonts w:hint="eastAsia" w:hAnsi="宋体" w:cs="宋体"/>
          <w:b/>
          <w:bCs/>
          <w:color w:val="auto"/>
          <w:w w:val="95"/>
          <w:sz w:val="28"/>
          <w:szCs w:val="28"/>
          <w:highlight w:val="none"/>
        </w:rPr>
        <w:t>项目名称：2026-2027年度王城、育才校区安保外包服务采购</w:t>
      </w:r>
    </w:p>
    <w:p w14:paraId="7BDD976C">
      <w:pPr>
        <w:pStyle w:val="26"/>
        <w:snapToGrid w:val="0"/>
        <w:spacing w:before="50" w:after="120" w:line="360" w:lineRule="auto"/>
        <w:rPr>
          <w:rFonts w:hAnsi="宋体" w:cs="宋体"/>
          <w:b/>
          <w:bCs/>
          <w:color w:val="auto"/>
          <w:w w:val="95"/>
          <w:sz w:val="28"/>
          <w:szCs w:val="28"/>
          <w:highlight w:val="none"/>
        </w:rPr>
      </w:pPr>
      <w:r>
        <w:rPr>
          <w:rFonts w:hint="eastAsia" w:hAnsi="宋体" w:cs="宋体"/>
          <w:b/>
          <w:bCs/>
          <w:color w:val="auto"/>
          <w:w w:val="95"/>
          <w:sz w:val="28"/>
          <w:szCs w:val="28"/>
          <w:highlight w:val="none"/>
        </w:rPr>
        <w:t>项目编号：</w:t>
      </w:r>
      <w:r>
        <w:rPr>
          <w:rFonts w:hint="eastAsia" w:hAnsi="宋体" w:cs="宋体"/>
          <w:b/>
          <w:bCs/>
          <w:color w:val="auto"/>
          <w:w w:val="95"/>
          <w:sz w:val="28"/>
          <w:szCs w:val="28"/>
          <w:highlight w:val="none"/>
        </w:rPr>
        <w:t>GXZC2025-G3-003698-GXDC</w:t>
      </w:r>
      <w:r>
        <w:rPr>
          <w:rFonts w:hint="eastAsia" w:hAnsi="宋体" w:cs="宋体"/>
          <w:b/>
          <w:bCs/>
          <w:color w:val="auto"/>
          <w:w w:val="95"/>
          <w:sz w:val="28"/>
          <w:szCs w:val="28"/>
          <w:highlight w:val="none"/>
        </w:rPr>
        <w:t xml:space="preserve">           </w:t>
      </w:r>
    </w:p>
    <w:p w14:paraId="12FC941B">
      <w:pPr>
        <w:pStyle w:val="26"/>
        <w:snapToGrid w:val="0"/>
        <w:spacing w:before="50" w:after="120" w:line="360" w:lineRule="auto"/>
        <w:rPr>
          <w:rFonts w:hAnsi="宋体" w:cs="宋体"/>
          <w:b/>
          <w:bCs/>
          <w:color w:val="auto"/>
          <w:w w:val="95"/>
          <w:sz w:val="28"/>
          <w:szCs w:val="28"/>
          <w:highlight w:val="none"/>
        </w:rPr>
      </w:pPr>
      <w:r>
        <w:rPr>
          <w:rFonts w:hint="eastAsia" w:hAnsi="宋体" w:cs="宋体"/>
          <w:b/>
          <w:bCs/>
          <w:color w:val="auto"/>
          <w:w w:val="95"/>
          <w:sz w:val="28"/>
          <w:szCs w:val="28"/>
          <w:highlight w:val="none"/>
        </w:rPr>
        <w:t>采购人：广西师范大学</w:t>
      </w:r>
    </w:p>
    <w:p w14:paraId="3DB41DC3">
      <w:pPr>
        <w:pStyle w:val="26"/>
        <w:snapToGrid w:val="0"/>
        <w:spacing w:before="50" w:after="120" w:line="360" w:lineRule="auto"/>
        <w:rPr>
          <w:rFonts w:hAnsi="宋体" w:cs="宋体"/>
          <w:b/>
          <w:bCs/>
          <w:color w:val="auto"/>
          <w:w w:val="95"/>
          <w:sz w:val="28"/>
          <w:szCs w:val="28"/>
          <w:highlight w:val="none"/>
        </w:rPr>
      </w:pPr>
      <w:r>
        <w:rPr>
          <w:rFonts w:hint="eastAsia" w:hAnsi="宋体" w:cs="宋体"/>
          <w:b/>
          <w:bCs/>
          <w:color w:val="auto"/>
          <w:w w:val="95"/>
          <w:sz w:val="28"/>
          <w:szCs w:val="28"/>
          <w:highlight w:val="none"/>
        </w:rPr>
        <w:t>采购代理机构：广西达成咨询有限公司</w:t>
      </w:r>
    </w:p>
    <w:p w14:paraId="613E6130">
      <w:pPr>
        <w:pStyle w:val="26"/>
        <w:snapToGrid w:val="0"/>
        <w:spacing w:before="50" w:after="120" w:line="360" w:lineRule="auto"/>
        <w:jc w:val="left"/>
        <w:rPr>
          <w:rFonts w:hAnsi="宋体" w:cs="宋体"/>
          <w:color w:val="auto"/>
          <w:highlight w:val="none"/>
        </w:rPr>
      </w:pPr>
      <w:r>
        <w:rPr>
          <w:rFonts w:hint="eastAsia" w:hAnsi="宋体" w:cs="宋体"/>
          <w:b/>
          <w:bCs/>
          <w:color w:val="auto"/>
          <w:w w:val="95"/>
          <w:sz w:val="28"/>
          <w:szCs w:val="28"/>
          <w:highlight w:val="none"/>
        </w:rPr>
        <w:t>日期：2025年1</w:t>
      </w:r>
      <w:r>
        <w:rPr>
          <w:rFonts w:hint="eastAsia" w:hAnsi="宋体" w:cs="宋体"/>
          <w:b/>
          <w:bCs/>
          <w:color w:val="auto"/>
          <w:w w:val="95"/>
          <w:sz w:val="28"/>
          <w:szCs w:val="28"/>
          <w:highlight w:val="none"/>
          <w:lang w:val="en-US" w:eastAsia="zh-CN"/>
        </w:rPr>
        <w:t>2</w:t>
      </w:r>
      <w:r>
        <w:rPr>
          <w:rFonts w:hint="eastAsia" w:hAnsi="宋体" w:cs="宋体"/>
          <w:b/>
          <w:bCs/>
          <w:color w:val="auto"/>
          <w:w w:val="95"/>
          <w:sz w:val="28"/>
          <w:szCs w:val="28"/>
          <w:highlight w:val="none"/>
        </w:rPr>
        <w:t>月</w:t>
      </w:r>
      <w:r>
        <w:rPr>
          <w:rFonts w:hint="eastAsia" w:hAnsi="宋体" w:cs="宋体"/>
          <w:color w:val="auto"/>
          <w:highlight w:val="none"/>
        </w:rPr>
        <w:tab/>
      </w:r>
    </w:p>
    <w:p w14:paraId="41015CF6">
      <w:pPr>
        <w:rPr>
          <w:color w:val="auto"/>
          <w:highlight w:val="none"/>
        </w:rPr>
        <w:sectPr>
          <w:footerReference r:id="rId6" w:type="first"/>
          <w:headerReference r:id="rId3" w:type="default"/>
          <w:footerReference r:id="rId4" w:type="default"/>
          <w:footerReference r:id="rId5" w:type="even"/>
          <w:pgSz w:w="11906" w:h="16838"/>
          <w:pgMar w:top="1417" w:right="1417" w:bottom="1417" w:left="1417" w:header="851" w:footer="572" w:gutter="0"/>
          <w:pgNumType w:start="0"/>
          <w:cols w:space="720" w:num="1"/>
          <w:titlePg/>
          <w:docGrid w:linePitch="312" w:charSpace="0"/>
        </w:sectPr>
      </w:pPr>
    </w:p>
    <w:p w14:paraId="0E1ED189">
      <w:pPr>
        <w:pStyle w:val="14"/>
        <w:rPr>
          <w:color w:val="auto"/>
          <w:highlight w:val="none"/>
        </w:rPr>
      </w:pPr>
    </w:p>
    <w:p w14:paraId="63CD12AC">
      <w:pPr>
        <w:pStyle w:val="26"/>
        <w:spacing w:before="120" w:after="120" w:line="360" w:lineRule="auto"/>
        <w:jc w:val="center"/>
        <w:rPr>
          <w:rFonts w:hAnsi="宋体" w:cs="宋体"/>
          <w:b/>
          <w:bCs/>
          <w:color w:val="auto"/>
          <w:sz w:val="48"/>
          <w:szCs w:val="48"/>
          <w:highlight w:val="none"/>
        </w:rPr>
      </w:pPr>
      <w:r>
        <w:rPr>
          <w:rFonts w:hint="eastAsia" w:hAnsi="宋体" w:cs="宋体"/>
          <w:b/>
          <w:bCs/>
          <w:color w:val="auto"/>
          <w:sz w:val="48"/>
          <w:szCs w:val="48"/>
          <w:highlight w:val="none"/>
        </w:rPr>
        <w:t>目录</w:t>
      </w:r>
    </w:p>
    <w:p w14:paraId="7B069414">
      <w:pPr>
        <w:pStyle w:val="44"/>
        <w:tabs>
          <w:tab w:val="right" w:leader="dot" w:pos="9072"/>
        </w:tabs>
        <w:spacing w:line="480" w:lineRule="auto"/>
        <w:ind w:left="0" w:leftChars="0"/>
        <w:rPr>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"1-2" \h \z \u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"_Toc7190" </w:instrText>
      </w:r>
      <w:r>
        <w:rPr>
          <w:color w:val="auto"/>
          <w:highlight w:val="none"/>
        </w:rPr>
        <w:fldChar w:fldCharType="separate"/>
      </w:r>
      <w:r>
        <w:rPr>
          <w:rFonts w:hint="eastAsia" w:ascii="宋体" w:hAnsi="宋体" w:cs="宋体"/>
          <w:color w:val="auto"/>
          <w:sz w:val="24"/>
          <w:highlight w:val="none"/>
        </w:rPr>
        <w:t>第一章、招标公告</w:t>
      </w:r>
      <w:r>
        <w:rPr>
          <w:color w:val="auto"/>
          <w:sz w:val="24"/>
          <w:highlight w:val="none"/>
        </w:rPr>
        <w:tab/>
      </w:r>
      <w:r>
        <w:rPr>
          <w:color w:val="auto"/>
          <w:sz w:val="24"/>
          <w:highlight w:val="none"/>
        </w:rPr>
        <w:fldChar w:fldCharType="begin"/>
      </w:r>
      <w:r>
        <w:rPr>
          <w:color w:val="auto"/>
          <w:sz w:val="24"/>
          <w:highlight w:val="none"/>
        </w:rPr>
        <w:instrText xml:space="preserve"> PAGEREF _Toc7190 \h </w:instrText>
      </w:r>
      <w:r>
        <w:rPr>
          <w:color w:val="auto"/>
          <w:sz w:val="24"/>
          <w:highlight w:val="none"/>
        </w:rPr>
        <w:fldChar w:fldCharType="separate"/>
      </w:r>
      <w:r>
        <w:rPr>
          <w:color w:val="auto"/>
          <w:sz w:val="24"/>
          <w:highlight w:val="none"/>
        </w:rPr>
        <w:t>1</w:t>
      </w:r>
      <w:r>
        <w:rPr>
          <w:color w:val="auto"/>
          <w:sz w:val="24"/>
          <w:highlight w:val="none"/>
        </w:rPr>
        <w:fldChar w:fldCharType="end"/>
      </w:r>
      <w:r>
        <w:rPr>
          <w:color w:val="auto"/>
          <w:sz w:val="24"/>
          <w:highlight w:val="none"/>
        </w:rPr>
        <w:fldChar w:fldCharType="end"/>
      </w:r>
    </w:p>
    <w:p w14:paraId="4447A537">
      <w:pPr>
        <w:pStyle w:val="44"/>
        <w:tabs>
          <w:tab w:val="right" w:leader="dot" w:pos="9072"/>
        </w:tabs>
        <w:spacing w:line="480" w:lineRule="auto"/>
        <w:ind w:left="0" w:leftChars="0"/>
        <w:rPr>
          <w:color w:val="auto"/>
          <w:sz w:val="24"/>
          <w:highlight w:val="none"/>
        </w:rPr>
      </w:pPr>
      <w:r>
        <w:rPr>
          <w:color w:val="auto"/>
          <w:highlight w:val="none"/>
        </w:rPr>
        <w:fldChar w:fldCharType="begin"/>
      </w:r>
      <w:r>
        <w:rPr>
          <w:color w:val="auto"/>
          <w:highlight w:val="none"/>
        </w:rPr>
        <w:instrText xml:space="preserve"> HYPERLINK \l "_Toc19890" </w:instrText>
      </w:r>
      <w:r>
        <w:rPr>
          <w:color w:val="auto"/>
          <w:highlight w:val="none"/>
        </w:rPr>
        <w:fldChar w:fldCharType="separate"/>
      </w:r>
      <w:r>
        <w:rPr>
          <w:rFonts w:hint="eastAsia" w:ascii="宋体" w:hAnsi="宋体" w:cs="宋体"/>
          <w:color w:val="auto"/>
          <w:sz w:val="24"/>
          <w:highlight w:val="none"/>
        </w:rPr>
        <w:t>第二章、采购需求</w:t>
      </w:r>
      <w:r>
        <w:rPr>
          <w:color w:val="auto"/>
          <w:sz w:val="24"/>
          <w:highlight w:val="none"/>
        </w:rPr>
        <w:tab/>
      </w:r>
      <w:r>
        <w:rPr>
          <w:color w:val="auto"/>
          <w:sz w:val="24"/>
          <w:highlight w:val="none"/>
        </w:rPr>
        <w:fldChar w:fldCharType="begin"/>
      </w:r>
      <w:r>
        <w:rPr>
          <w:color w:val="auto"/>
          <w:sz w:val="24"/>
          <w:highlight w:val="none"/>
        </w:rPr>
        <w:instrText xml:space="preserve"> PAGEREF _Toc19890 \h </w:instrText>
      </w:r>
      <w:r>
        <w:rPr>
          <w:color w:val="auto"/>
          <w:sz w:val="24"/>
          <w:highlight w:val="none"/>
        </w:rPr>
        <w:fldChar w:fldCharType="separate"/>
      </w:r>
      <w:r>
        <w:rPr>
          <w:color w:val="auto"/>
          <w:sz w:val="24"/>
          <w:highlight w:val="none"/>
        </w:rPr>
        <w:t>5</w:t>
      </w:r>
      <w:r>
        <w:rPr>
          <w:color w:val="auto"/>
          <w:sz w:val="24"/>
          <w:highlight w:val="none"/>
        </w:rPr>
        <w:fldChar w:fldCharType="end"/>
      </w:r>
      <w:r>
        <w:rPr>
          <w:color w:val="auto"/>
          <w:sz w:val="24"/>
          <w:highlight w:val="none"/>
        </w:rPr>
        <w:fldChar w:fldCharType="end"/>
      </w:r>
    </w:p>
    <w:p w14:paraId="2EF16119">
      <w:pPr>
        <w:pStyle w:val="44"/>
        <w:tabs>
          <w:tab w:val="right" w:leader="dot" w:pos="9072"/>
        </w:tabs>
        <w:spacing w:line="480" w:lineRule="auto"/>
        <w:ind w:left="0" w:leftChars="0"/>
        <w:rPr>
          <w:color w:val="auto"/>
          <w:sz w:val="24"/>
          <w:highlight w:val="none"/>
        </w:rPr>
      </w:pPr>
      <w:r>
        <w:rPr>
          <w:color w:val="auto"/>
          <w:highlight w:val="none"/>
        </w:rPr>
        <w:fldChar w:fldCharType="begin"/>
      </w:r>
      <w:r>
        <w:rPr>
          <w:color w:val="auto"/>
          <w:highlight w:val="none"/>
        </w:rPr>
        <w:instrText xml:space="preserve"> HYPERLINK \l "_Toc7458" </w:instrText>
      </w:r>
      <w:r>
        <w:rPr>
          <w:color w:val="auto"/>
          <w:highlight w:val="none"/>
        </w:rPr>
        <w:fldChar w:fldCharType="separate"/>
      </w:r>
      <w:r>
        <w:rPr>
          <w:rFonts w:hint="eastAsia" w:ascii="宋体" w:hAnsi="宋体" w:cs="宋体"/>
          <w:color w:val="auto"/>
          <w:sz w:val="24"/>
          <w:highlight w:val="none"/>
        </w:rPr>
        <w:t>第三章、投标人须知</w:t>
      </w:r>
      <w:r>
        <w:rPr>
          <w:color w:val="auto"/>
          <w:sz w:val="24"/>
          <w:highlight w:val="none"/>
        </w:rPr>
        <w:tab/>
      </w:r>
      <w:r>
        <w:rPr>
          <w:color w:val="auto"/>
          <w:sz w:val="24"/>
          <w:highlight w:val="none"/>
        </w:rPr>
        <w:fldChar w:fldCharType="begin"/>
      </w:r>
      <w:r>
        <w:rPr>
          <w:color w:val="auto"/>
          <w:sz w:val="24"/>
          <w:highlight w:val="none"/>
        </w:rPr>
        <w:instrText xml:space="preserve"> PAGEREF _Toc7458 \h </w:instrText>
      </w:r>
      <w:r>
        <w:rPr>
          <w:color w:val="auto"/>
          <w:sz w:val="24"/>
          <w:highlight w:val="none"/>
        </w:rPr>
        <w:fldChar w:fldCharType="separate"/>
      </w:r>
      <w:r>
        <w:rPr>
          <w:color w:val="auto"/>
          <w:sz w:val="24"/>
          <w:highlight w:val="none"/>
        </w:rPr>
        <w:t>20</w:t>
      </w:r>
      <w:r>
        <w:rPr>
          <w:color w:val="auto"/>
          <w:sz w:val="24"/>
          <w:highlight w:val="none"/>
        </w:rPr>
        <w:fldChar w:fldCharType="end"/>
      </w:r>
      <w:r>
        <w:rPr>
          <w:color w:val="auto"/>
          <w:sz w:val="24"/>
          <w:highlight w:val="none"/>
        </w:rPr>
        <w:fldChar w:fldCharType="end"/>
      </w:r>
    </w:p>
    <w:p w14:paraId="1BC2F135">
      <w:pPr>
        <w:pStyle w:val="44"/>
        <w:tabs>
          <w:tab w:val="right" w:leader="dot" w:pos="9072"/>
        </w:tabs>
        <w:spacing w:line="480" w:lineRule="auto"/>
        <w:ind w:left="0" w:leftChars="0"/>
        <w:rPr>
          <w:color w:val="auto"/>
          <w:sz w:val="24"/>
          <w:highlight w:val="none"/>
        </w:rPr>
      </w:pPr>
      <w:r>
        <w:rPr>
          <w:color w:val="auto"/>
          <w:highlight w:val="none"/>
        </w:rPr>
        <w:fldChar w:fldCharType="begin"/>
      </w:r>
      <w:r>
        <w:rPr>
          <w:color w:val="auto"/>
          <w:highlight w:val="none"/>
        </w:rPr>
        <w:instrText xml:space="preserve"> HYPERLINK \l "_Toc30709" </w:instrText>
      </w:r>
      <w:r>
        <w:rPr>
          <w:color w:val="auto"/>
          <w:highlight w:val="none"/>
        </w:rPr>
        <w:fldChar w:fldCharType="separate"/>
      </w:r>
      <w:r>
        <w:rPr>
          <w:rFonts w:hint="eastAsia" w:ascii="宋体" w:hAnsi="宋体" w:cs="宋体"/>
          <w:color w:val="auto"/>
          <w:sz w:val="24"/>
          <w:highlight w:val="none"/>
        </w:rPr>
        <w:t>第四章、评标方法及评标标准</w:t>
      </w:r>
      <w:r>
        <w:rPr>
          <w:color w:val="auto"/>
          <w:sz w:val="24"/>
          <w:highlight w:val="none"/>
        </w:rPr>
        <w:tab/>
      </w:r>
      <w:r>
        <w:rPr>
          <w:color w:val="auto"/>
          <w:sz w:val="24"/>
          <w:highlight w:val="none"/>
        </w:rPr>
        <w:fldChar w:fldCharType="begin"/>
      </w:r>
      <w:r>
        <w:rPr>
          <w:color w:val="auto"/>
          <w:sz w:val="24"/>
          <w:highlight w:val="none"/>
        </w:rPr>
        <w:instrText xml:space="preserve"> PAGEREF _Toc30709 \h </w:instrText>
      </w:r>
      <w:r>
        <w:rPr>
          <w:color w:val="auto"/>
          <w:sz w:val="24"/>
          <w:highlight w:val="none"/>
        </w:rPr>
        <w:fldChar w:fldCharType="separate"/>
      </w:r>
      <w:r>
        <w:rPr>
          <w:color w:val="auto"/>
          <w:sz w:val="24"/>
          <w:highlight w:val="none"/>
        </w:rPr>
        <w:t>39</w:t>
      </w:r>
      <w:r>
        <w:rPr>
          <w:color w:val="auto"/>
          <w:sz w:val="24"/>
          <w:highlight w:val="none"/>
        </w:rPr>
        <w:fldChar w:fldCharType="end"/>
      </w:r>
      <w:r>
        <w:rPr>
          <w:color w:val="auto"/>
          <w:sz w:val="24"/>
          <w:highlight w:val="none"/>
        </w:rPr>
        <w:fldChar w:fldCharType="end"/>
      </w:r>
    </w:p>
    <w:p w14:paraId="26770C7E">
      <w:pPr>
        <w:pStyle w:val="44"/>
        <w:tabs>
          <w:tab w:val="right" w:leader="dot" w:pos="9072"/>
        </w:tabs>
        <w:spacing w:line="480" w:lineRule="auto"/>
        <w:ind w:left="0" w:leftChars="0"/>
        <w:rPr>
          <w:color w:val="auto"/>
          <w:sz w:val="24"/>
          <w:highlight w:val="none"/>
        </w:rPr>
      </w:pPr>
      <w:r>
        <w:rPr>
          <w:color w:val="auto"/>
          <w:highlight w:val="none"/>
        </w:rPr>
        <w:fldChar w:fldCharType="begin"/>
      </w:r>
      <w:r>
        <w:rPr>
          <w:color w:val="auto"/>
          <w:highlight w:val="none"/>
        </w:rPr>
        <w:instrText xml:space="preserve"> HYPERLINK \l "_Toc27205" </w:instrText>
      </w:r>
      <w:r>
        <w:rPr>
          <w:color w:val="auto"/>
          <w:highlight w:val="none"/>
        </w:rPr>
        <w:fldChar w:fldCharType="separate"/>
      </w:r>
      <w:r>
        <w:rPr>
          <w:rFonts w:hint="eastAsia" w:ascii="宋体" w:hAnsi="宋体" w:cs="宋体"/>
          <w:color w:val="auto"/>
          <w:sz w:val="24"/>
          <w:highlight w:val="none"/>
        </w:rPr>
        <w:t>第五章、拟签订的合同文本</w:t>
      </w:r>
      <w:r>
        <w:rPr>
          <w:color w:val="auto"/>
          <w:sz w:val="24"/>
          <w:highlight w:val="none"/>
        </w:rPr>
        <w:tab/>
      </w:r>
      <w:r>
        <w:rPr>
          <w:color w:val="auto"/>
          <w:sz w:val="24"/>
          <w:highlight w:val="none"/>
        </w:rPr>
        <w:fldChar w:fldCharType="begin"/>
      </w:r>
      <w:r>
        <w:rPr>
          <w:color w:val="auto"/>
          <w:sz w:val="24"/>
          <w:highlight w:val="none"/>
        </w:rPr>
        <w:instrText xml:space="preserve"> PAGEREF _Toc27205 \h </w:instrText>
      </w:r>
      <w:r>
        <w:rPr>
          <w:color w:val="auto"/>
          <w:sz w:val="24"/>
          <w:highlight w:val="none"/>
        </w:rPr>
        <w:fldChar w:fldCharType="separate"/>
      </w:r>
      <w:r>
        <w:rPr>
          <w:color w:val="auto"/>
          <w:sz w:val="24"/>
          <w:highlight w:val="none"/>
        </w:rPr>
        <w:t>58</w:t>
      </w:r>
      <w:r>
        <w:rPr>
          <w:color w:val="auto"/>
          <w:sz w:val="24"/>
          <w:highlight w:val="none"/>
        </w:rPr>
        <w:fldChar w:fldCharType="end"/>
      </w:r>
      <w:r>
        <w:rPr>
          <w:color w:val="auto"/>
          <w:sz w:val="24"/>
          <w:highlight w:val="none"/>
        </w:rPr>
        <w:fldChar w:fldCharType="end"/>
      </w:r>
    </w:p>
    <w:p w14:paraId="2068647F">
      <w:pPr>
        <w:pStyle w:val="44"/>
        <w:tabs>
          <w:tab w:val="right" w:leader="dot" w:pos="9072"/>
        </w:tabs>
        <w:spacing w:line="480" w:lineRule="auto"/>
        <w:ind w:left="0" w:leftChars="0"/>
        <w:rPr>
          <w:color w:val="auto"/>
          <w:sz w:val="24"/>
          <w:highlight w:val="none"/>
        </w:rPr>
      </w:pPr>
      <w:r>
        <w:rPr>
          <w:color w:val="auto"/>
          <w:highlight w:val="none"/>
        </w:rPr>
        <w:fldChar w:fldCharType="begin"/>
      </w:r>
      <w:r>
        <w:rPr>
          <w:color w:val="auto"/>
          <w:highlight w:val="none"/>
        </w:rPr>
        <w:instrText xml:space="preserve"> HYPERLINK \l "_Toc12390" </w:instrText>
      </w:r>
      <w:r>
        <w:rPr>
          <w:color w:val="auto"/>
          <w:highlight w:val="none"/>
        </w:rPr>
        <w:fldChar w:fldCharType="separate"/>
      </w:r>
      <w:r>
        <w:rPr>
          <w:rFonts w:hint="eastAsia" w:ascii="宋体" w:hAnsi="宋体" w:cs="宋体"/>
          <w:color w:val="auto"/>
          <w:sz w:val="24"/>
          <w:highlight w:val="none"/>
        </w:rPr>
        <w:t>第六章、投标文件格式</w:t>
      </w:r>
      <w:r>
        <w:rPr>
          <w:color w:val="auto"/>
          <w:sz w:val="24"/>
          <w:highlight w:val="none"/>
        </w:rPr>
        <w:tab/>
      </w:r>
      <w:r>
        <w:rPr>
          <w:color w:val="auto"/>
          <w:sz w:val="24"/>
          <w:highlight w:val="none"/>
        </w:rPr>
        <w:fldChar w:fldCharType="begin"/>
      </w:r>
      <w:r>
        <w:rPr>
          <w:color w:val="auto"/>
          <w:sz w:val="24"/>
          <w:highlight w:val="none"/>
        </w:rPr>
        <w:instrText xml:space="preserve"> PAGEREF _Toc12390 \h </w:instrText>
      </w:r>
      <w:r>
        <w:rPr>
          <w:color w:val="auto"/>
          <w:sz w:val="24"/>
          <w:highlight w:val="none"/>
        </w:rPr>
        <w:fldChar w:fldCharType="separate"/>
      </w:r>
      <w:r>
        <w:rPr>
          <w:color w:val="auto"/>
          <w:sz w:val="24"/>
          <w:highlight w:val="none"/>
        </w:rPr>
        <w:t>70</w:t>
      </w:r>
      <w:r>
        <w:rPr>
          <w:color w:val="auto"/>
          <w:sz w:val="24"/>
          <w:highlight w:val="none"/>
        </w:rPr>
        <w:fldChar w:fldCharType="end"/>
      </w:r>
      <w:r>
        <w:rPr>
          <w:color w:val="auto"/>
          <w:sz w:val="24"/>
          <w:highlight w:val="none"/>
        </w:rPr>
        <w:fldChar w:fldCharType="end"/>
      </w:r>
    </w:p>
    <w:p w14:paraId="58F708D1">
      <w:pPr>
        <w:spacing w:before="120" w:beforeLines="50" w:line="480" w:lineRule="auto"/>
        <w:rPr>
          <w:rFonts w:ascii="宋体" w:hAnsi="宋体" w:cs="宋体"/>
          <w:color w:val="auto"/>
          <w:sz w:val="24"/>
          <w:highlight w:val="none"/>
        </w:rPr>
      </w:pPr>
      <w:r>
        <w:rPr>
          <w:rFonts w:hint="eastAsia" w:ascii="宋体" w:hAnsi="宋体" w:cs="宋体"/>
          <w:b/>
          <w:color w:val="auto"/>
          <w:sz w:val="24"/>
          <w:highlight w:val="none"/>
        </w:rPr>
        <w:fldChar w:fldCharType="end"/>
      </w:r>
    </w:p>
    <w:p w14:paraId="1DD754CA">
      <w:pPr>
        <w:spacing w:before="120" w:beforeLines="50" w:line="480" w:lineRule="exact"/>
        <w:rPr>
          <w:rFonts w:ascii="宋体" w:hAnsi="宋体" w:cs="宋体"/>
          <w:color w:val="auto"/>
          <w:sz w:val="30"/>
          <w:highlight w:val="none"/>
        </w:rPr>
      </w:pPr>
    </w:p>
    <w:p w14:paraId="4FA8B73E">
      <w:pPr>
        <w:rPr>
          <w:rFonts w:ascii="宋体" w:hAnsi="宋体" w:cs="宋体"/>
          <w:color w:val="auto"/>
          <w:highlight w:val="none"/>
        </w:rPr>
      </w:pPr>
    </w:p>
    <w:p w14:paraId="0529AC33">
      <w:pPr>
        <w:spacing w:before="120" w:beforeLines="50" w:line="480" w:lineRule="exact"/>
        <w:rPr>
          <w:rFonts w:ascii="宋体" w:hAnsi="宋体" w:cs="宋体"/>
          <w:color w:val="auto"/>
          <w:sz w:val="30"/>
          <w:highlight w:val="none"/>
        </w:rPr>
      </w:pPr>
    </w:p>
    <w:p w14:paraId="03A870F7">
      <w:pPr>
        <w:spacing w:before="120" w:beforeLines="50" w:line="480" w:lineRule="exact"/>
        <w:rPr>
          <w:rFonts w:ascii="宋体" w:hAnsi="宋体" w:cs="宋体"/>
          <w:color w:val="auto"/>
          <w:sz w:val="30"/>
          <w:highlight w:val="none"/>
        </w:rPr>
      </w:pPr>
    </w:p>
    <w:p w14:paraId="01231D66">
      <w:pPr>
        <w:pStyle w:val="17"/>
        <w:rPr>
          <w:rFonts w:ascii="宋体" w:hAnsi="宋体" w:cs="宋体"/>
          <w:b/>
          <w:bCs/>
          <w:color w:val="auto"/>
          <w:highlight w:val="none"/>
        </w:rPr>
      </w:pPr>
      <w:bookmarkStart w:id="0" w:name="_Toc254970630"/>
      <w:bookmarkStart w:id="1" w:name="_Toc254970489"/>
    </w:p>
    <w:p w14:paraId="6800C6F1">
      <w:pPr>
        <w:pStyle w:val="4"/>
        <w:tabs>
          <w:tab w:val="left" w:pos="0"/>
          <w:tab w:val="left" w:pos="3165"/>
          <w:tab w:val="center" w:pos="4153"/>
        </w:tabs>
        <w:spacing w:before="0" w:after="0"/>
        <w:jc w:val="center"/>
        <w:rPr>
          <w:rFonts w:ascii="宋体" w:hAnsi="宋体" w:eastAsia="宋体" w:cs="宋体"/>
          <w:b w:val="0"/>
          <w:bCs w:val="0"/>
          <w:color w:val="auto"/>
          <w:highlight w:val="none"/>
        </w:rPr>
        <w:sectPr>
          <w:footerReference r:id="rId8" w:type="first"/>
          <w:footerReference r:id="rId7" w:type="default"/>
          <w:pgSz w:w="11906" w:h="16838"/>
          <w:pgMar w:top="1417" w:right="1417" w:bottom="1417" w:left="1417" w:header="851" w:footer="572" w:gutter="0"/>
          <w:pgNumType w:start="1"/>
          <w:cols w:space="720" w:num="1"/>
          <w:titlePg/>
          <w:docGrid w:linePitch="312" w:charSpace="0"/>
        </w:sectPr>
      </w:pPr>
      <w:bookmarkStart w:id="2" w:name="_Toc19686829"/>
      <w:bookmarkStart w:id="3" w:name="_Toc32301"/>
    </w:p>
    <w:p w14:paraId="7B6F1EF4">
      <w:pPr>
        <w:pStyle w:val="3"/>
        <w:spacing w:before="0" w:after="0"/>
        <w:rPr>
          <w:color w:val="auto"/>
          <w:szCs w:val="32"/>
          <w:highlight w:val="none"/>
        </w:rPr>
      </w:pPr>
      <w:bookmarkStart w:id="4" w:name="_Toc7190"/>
      <w:bookmarkStart w:id="5" w:name="_Toc21656"/>
      <w:r>
        <w:rPr>
          <w:rFonts w:hint="eastAsia"/>
          <w:color w:val="auto"/>
          <w:szCs w:val="32"/>
          <w:highlight w:val="none"/>
        </w:rPr>
        <w:t>第一章</w:t>
      </w:r>
      <w:bookmarkEnd w:id="0"/>
      <w:bookmarkEnd w:id="1"/>
      <w:bookmarkEnd w:id="2"/>
      <w:bookmarkStart w:id="6" w:name="_Toc28359001"/>
      <w:bookmarkStart w:id="7" w:name="_Toc35393789"/>
      <w:r>
        <w:rPr>
          <w:rFonts w:hint="eastAsia"/>
          <w:color w:val="auto"/>
          <w:szCs w:val="32"/>
          <w:highlight w:val="none"/>
        </w:rPr>
        <w:t>、招标公告</w:t>
      </w:r>
      <w:bookmarkEnd w:id="3"/>
      <w:bookmarkEnd w:id="4"/>
      <w:bookmarkEnd w:id="5"/>
      <w:bookmarkEnd w:id="6"/>
      <w:bookmarkEnd w:id="7"/>
    </w:p>
    <w:p w14:paraId="0F89DA0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701BA4B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2026-2027年度王城、育才校区安保外包服务采购</w:t>
      </w:r>
      <w:r>
        <w:rPr>
          <w:rFonts w:hint="eastAsia" w:ascii="宋体" w:hAnsi="宋体" w:cs="宋体"/>
          <w:color w:val="auto"/>
          <w:szCs w:val="21"/>
          <w:highlight w:val="none"/>
        </w:rPr>
        <w:t>招标项目的潜在投标人应在广西政府采购云平台（网址：https://www.gcy.zfcg.gxzf.gov.cn/）获取招标文件，并于</w:t>
      </w:r>
      <w:r>
        <w:rPr>
          <w:rFonts w:hint="eastAsia" w:ascii="宋体" w:hAnsi="宋体" w:cs="宋体"/>
          <w:color w:val="auto"/>
          <w:szCs w:val="21"/>
          <w:highlight w:val="none"/>
          <w:u w:val="single"/>
        </w:rPr>
        <w:t>2025</w:t>
      </w:r>
      <w:r>
        <w:rPr>
          <w:rFonts w:hint="eastAsia" w:ascii="宋体" w:hAnsi="宋体" w:cs="宋体"/>
          <w:bCs/>
          <w:color w:val="auto"/>
          <w:szCs w:val="21"/>
          <w:highlight w:val="none"/>
          <w:u w:val="single"/>
        </w:rPr>
        <w:t>年  月  日 09:30（</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0D14ABEE">
      <w:pPr>
        <w:spacing w:line="360" w:lineRule="auto"/>
        <w:rPr>
          <w:rFonts w:ascii="宋体" w:hAnsi="宋体" w:cs="宋体"/>
          <w:b/>
          <w:bCs/>
          <w:color w:val="auto"/>
          <w:szCs w:val="21"/>
          <w:highlight w:val="none"/>
        </w:rPr>
      </w:pPr>
      <w:bookmarkStart w:id="8" w:name="_Toc35393621"/>
      <w:bookmarkStart w:id="9" w:name="_Toc35393790"/>
      <w:bookmarkStart w:id="10" w:name="_Toc28359002"/>
      <w:bookmarkStart w:id="11" w:name="_Toc28359079"/>
      <w:bookmarkStart w:id="12" w:name="_Hlk24379207"/>
      <w:r>
        <w:rPr>
          <w:rFonts w:hint="eastAsia" w:ascii="宋体" w:hAnsi="宋体" w:cs="宋体"/>
          <w:b/>
          <w:bCs/>
          <w:color w:val="auto"/>
          <w:szCs w:val="21"/>
          <w:highlight w:val="none"/>
        </w:rPr>
        <w:t>一、项目基本情况</w:t>
      </w:r>
      <w:bookmarkEnd w:id="8"/>
      <w:bookmarkEnd w:id="9"/>
      <w:bookmarkEnd w:id="10"/>
      <w:bookmarkEnd w:id="11"/>
    </w:p>
    <w:p w14:paraId="25F793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rPr>
        <w:t>GXZC2025-G3-003698-GXDC</w:t>
      </w:r>
    </w:p>
    <w:p w14:paraId="4790DA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w:t>
      </w:r>
      <w:bookmarkEnd w:id="12"/>
      <w:r>
        <w:rPr>
          <w:rFonts w:hint="eastAsia" w:ascii="宋体" w:hAnsi="宋体" w:cs="宋体"/>
          <w:color w:val="auto"/>
          <w:szCs w:val="21"/>
          <w:highlight w:val="none"/>
        </w:rPr>
        <w:t>2026-2027年度王城、育才校区安保外包服务采购</w:t>
      </w:r>
    </w:p>
    <w:p w14:paraId="7BC767A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预算总金额（元）：10728000.00</w:t>
      </w:r>
    </w:p>
    <w:p w14:paraId="507F347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采购需求： </w:t>
      </w:r>
    </w:p>
    <w:p w14:paraId="1D457E9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标项名称：2026-2027年度王城、育才校区安保外包服务采购</w:t>
      </w:r>
    </w:p>
    <w:p w14:paraId="66A55F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数量：1</w:t>
      </w:r>
    </w:p>
    <w:p w14:paraId="69BE335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预算金额（元）：10728000.00</w:t>
      </w:r>
    </w:p>
    <w:p w14:paraId="4571E0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简要规格描述或项目基本概况介绍、用途：2026-2027年度王城、育才校区安保外包服务采购1项，具体采购内容详见招标文件。</w:t>
      </w:r>
    </w:p>
    <w:p w14:paraId="4CEDB5DE">
      <w:pPr>
        <w:spacing w:line="360" w:lineRule="auto"/>
        <w:ind w:firstLine="420" w:firstLineChars="200"/>
        <w:rPr>
          <w:rFonts w:ascii="宋体" w:hAnsi="宋体"/>
          <w:bCs/>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highlight w:val="none"/>
        </w:rPr>
        <w:t>10728000.00</w:t>
      </w:r>
    </w:p>
    <w:p w14:paraId="265832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合同履行期限：2026年1月1日至2027年12月31日</w:t>
      </w:r>
    </w:p>
    <w:p w14:paraId="05F312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14:paraId="5F5D37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w:t>
      </w:r>
      <w:bookmarkStart w:id="13" w:name="_Toc35393791"/>
      <w:bookmarkStart w:id="14" w:name="_Toc28359003"/>
      <w:bookmarkStart w:id="15" w:name="_Toc28359080"/>
      <w:bookmarkStart w:id="16" w:name="_Toc35393622"/>
    </w:p>
    <w:p w14:paraId="28013E27">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二、投标人的资格要求：</w:t>
      </w:r>
      <w:bookmarkEnd w:id="13"/>
      <w:bookmarkEnd w:id="14"/>
      <w:bookmarkEnd w:id="15"/>
      <w:bookmarkEnd w:id="16"/>
    </w:p>
    <w:p w14:paraId="2E6C4EED">
      <w:pPr>
        <w:spacing w:line="360" w:lineRule="auto"/>
        <w:ind w:firstLine="420" w:firstLineChars="200"/>
        <w:rPr>
          <w:rFonts w:ascii="宋体" w:hAnsi="宋体" w:cs="宋体"/>
          <w:color w:val="auto"/>
          <w:szCs w:val="21"/>
          <w:highlight w:val="none"/>
        </w:rPr>
      </w:pPr>
      <w:bookmarkStart w:id="17" w:name="_Hlk51746371"/>
      <w:r>
        <w:rPr>
          <w:rFonts w:hint="eastAsia" w:ascii="宋体" w:hAnsi="宋体" w:cs="宋体"/>
          <w:color w:val="auto"/>
          <w:szCs w:val="21"/>
          <w:highlight w:val="none"/>
        </w:rPr>
        <w:t>1.满足《中华人民共和国政府采购法》第二十二条规定。</w:t>
      </w:r>
    </w:p>
    <w:p w14:paraId="64D8CC53">
      <w:pPr>
        <w:spacing w:line="360" w:lineRule="auto"/>
        <w:ind w:firstLine="420" w:firstLineChars="200"/>
        <w:rPr>
          <w:rFonts w:ascii="宋体" w:hAnsi="宋体" w:cs="宋体"/>
          <w:color w:val="auto"/>
          <w:szCs w:val="21"/>
          <w:highlight w:val="none"/>
        </w:rPr>
      </w:pPr>
      <w:bookmarkStart w:id="18" w:name="_Toc28359081"/>
      <w:bookmarkStart w:id="19" w:name="_Toc28359004"/>
      <w:r>
        <w:rPr>
          <w:rFonts w:hint="eastAsia" w:ascii="宋体" w:hAnsi="宋体" w:cs="宋体"/>
          <w:color w:val="auto"/>
          <w:szCs w:val="21"/>
          <w:highlight w:val="none"/>
        </w:rPr>
        <w:t>2.落实政府采购政策需满足的资格要求：无。</w:t>
      </w:r>
    </w:p>
    <w:p w14:paraId="2DBA2E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3.本项目的特定资格要求：投标人具有公安部门颁发的《保安服务许可证》。</w:t>
      </w:r>
    </w:p>
    <w:bookmarkEnd w:id="17"/>
    <w:p w14:paraId="34646A91">
      <w:pPr>
        <w:spacing w:line="360" w:lineRule="auto"/>
        <w:rPr>
          <w:rFonts w:ascii="宋体" w:hAnsi="宋体" w:cs="宋体"/>
          <w:b/>
          <w:bCs/>
          <w:color w:val="auto"/>
          <w:szCs w:val="21"/>
          <w:highlight w:val="none"/>
        </w:rPr>
      </w:pPr>
      <w:bookmarkStart w:id="20" w:name="_Toc35393792"/>
      <w:bookmarkStart w:id="21" w:name="_Toc35393623"/>
      <w:r>
        <w:rPr>
          <w:rFonts w:hint="eastAsia" w:ascii="宋体" w:hAnsi="宋体" w:cs="宋体"/>
          <w:b/>
          <w:bCs/>
          <w:color w:val="auto"/>
          <w:szCs w:val="21"/>
          <w:highlight w:val="none"/>
        </w:rPr>
        <w:t>三、获取招标文件</w:t>
      </w:r>
      <w:bookmarkEnd w:id="18"/>
      <w:bookmarkEnd w:id="19"/>
      <w:bookmarkEnd w:id="20"/>
      <w:bookmarkEnd w:id="21"/>
    </w:p>
    <w:p w14:paraId="5BCD6983">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时间：2025年   月  日至2025年   月   日，每天上午00:00至11:59，下午12:00至23:59（北京时间，法定节假日除外）。</w:t>
      </w:r>
    </w:p>
    <w:p w14:paraId="18AF9348">
      <w:pPr>
        <w:spacing w:line="360" w:lineRule="auto"/>
        <w:ind w:firstLine="540"/>
        <w:rPr>
          <w:rFonts w:ascii="宋体" w:hAnsi="宋体" w:cs="宋体"/>
          <w:color w:val="auto"/>
          <w:highlight w:val="none"/>
          <w:u w:val="single"/>
        </w:rPr>
      </w:pPr>
      <w:r>
        <w:rPr>
          <w:rFonts w:hint="eastAsia" w:ascii="宋体" w:hAnsi="宋体" w:cs="宋体"/>
          <w:bCs/>
          <w:color w:val="auto"/>
          <w:kern w:val="0"/>
          <w:szCs w:val="21"/>
          <w:highlight w:val="none"/>
        </w:rPr>
        <w:t>地点：</w:t>
      </w:r>
      <w:r>
        <w:rPr>
          <w:rFonts w:hint="eastAsia" w:ascii="宋体" w:hAnsi="宋体" w:cs="宋体"/>
          <w:color w:val="auto"/>
          <w:szCs w:val="21"/>
          <w:highlight w:val="none"/>
        </w:rPr>
        <w:t>广西政府采购云平台（https://www.gcy.zfcg.gxzf.gov.cn/）</w:t>
      </w:r>
      <w:r>
        <w:rPr>
          <w:rFonts w:hint="eastAsia" w:ascii="宋体" w:hAnsi="宋体" w:cs="宋体"/>
          <w:bCs/>
          <w:color w:val="auto"/>
          <w:kern w:val="0"/>
          <w:szCs w:val="21"/>
          <w:highlight w:val="none"/>
        </w:rPr>
        <w:t>。</w:t>
      </w:r>
    </w:p>
    <w:p w14:paraId="7A63E468">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2D0F5AC0">
      <w:pPr>
        <w:spacing w:line="360" w:lineRule="auto"/>
        <w:ind w:firstLine="54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highlight w:val="none"/>
        </w:rPr>
        <w:t>0。</w:t>
      </w:r>
    </w:p>
    <w:p w14:paraId="56D7576A">
      <w:pPr>
        <w:spacing w:line="360" w:lineRule="auto"/>
        <w:rPr>
          <w:rFonts w:ascii="宋体" w:hAnsi="宋体" w:cs="宋体"/>
          <w:b/>
          <w:bCs/>
          <w:color w:val="auto"/>
          <w:szCs w:val="21"/>
          <w:highlight w:val="none"/>
        </w:rPr>
      </w:pPr>
      <w:bookmarkStart w:id="22" w:name="_Toc28359005"/>
      <w:bookmarkStart w:id="23" w:name="_Toc28359082"/>
      <w:bookmarkStart w:id="24" w:name="_Toc35393793"/>
      <w:bookmarkStart w:id="25" w:name="_Toc35393624"/>
      <w:r>
        <w:rPr>
          <w:rFonts w:hint="eastAsia" w:ascii="宋体" w:hAnsi="宋体" w:cs="宋体"/>
          <w:b/>
          <w:bCs/>
          <w:color w:val="auto"/>
          <w:szCs w:val="21"/>
          <w:highlight w:val="none"/>
        </w:rPr>
        <w:t>四、提交投标文件</w:t>
      </w:r>
      <w:bookmarkEnd w:id="22"/>
      <w:bookmarkEnd w:id="23"/>
      <w:r>
        <w:rPr>
          <w:rFonts w:hint="eastAsia" w:ascii="宋体" w:hAnsi="宋体" w:cs="宋体"/>
          <w:b/>
          <w:bCs/>
          <w:color w:val="auto"/>
          <w:szCs w:val="21"/>
          <w:highlight w:val="none"/>
        </w:rPr>
        <w:t>截止时间、开标时间和地点</w:t>
      </w:r>
      <w:bookmarkEnd w:id="24"/>
      <w:bookmarkEnd w:id="25"/>
    </w:p>
    <w:p w14:paraId="14CFD3CF">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提交投标文件截止时间：2025年   月   日 09:30（北京时间）</w:t>
      </w:r>
    </w:p>
    <w:p w14:paraId="7174A6B3">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投标地点（网址）：本项目为全流程电子化政府采购项目，通过广西政府采购云平台（https://www.gcy.zfcg.gxzf.gov.cn/）实行在线电子投标</w:t>
      </w:r>
      <w:r>
        <w:rPr>
          <w:rFonts w:hint="eastAsia" w:ascii="宋体" w:hAnsi="宋体" w:cs="宋体"/>
          <w:color w:val="auto"/>
          <w:highlight w:val="none"/>
        </w:rPr>
        <w:t>。</w:t>
      </w:r>
    </w:p>
    <w:p w14:paraId="488FC05C">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开标时间：2025年   月   日09:30（北京时间）</w:t>
      </w:r>
    </w:p>
    <w:p w14:paraId="06D0694D">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开标地点：本项目将在广西政府采购云平台电子开标大厅解密、开标</w:t>
      </w:r>
      <w:r>
        <w:rPr>
          <w:rFonts w:hint="eastAsia"/>
          <w:color w:val="auto"/>
          <w:highlight w:val="none"/>
        </w:rPr>
        <w:t>。</w:t>
      </w:r>
    </w:p>
    <w:p w14:paraId="26227C58">
      <w:pPr>
        <w:spacing w:line="360" w:lineRule="auto"/>
        <w:rPr>
          <w:rFonts w:ascii="宋体" w:hAnsi="宋体" w:cs="宋体"/>
          <w:b/>
          <w:bCs/>
          <w:color w:val="auto"/>
          <w:szCs w:val="21"/>
          <w:highlight w:val="none"/>
        </w:rPr>
      </w:pPr>
      <w:bookmarkStart w:id="26" w:name="_Toc35393794"/>
      <w:bookmarkStart w:id="27" w:name="_Toc35393625"/>
      <w:bookmarkStart w:id="28" w:name="_Toc28359007"/>
      <w:bookmarkStart w:id="29" w:name="_Toc28359084"/>
      <w:r>
        <w:rPr>
          <w:rFonts w:hint="eastAsia" w:ascii="宋体" w:hAnsi="宋体" w:cs="宋体"/>
          <w:b/>
          <w:bCs/>
          <w:color w:val="auto"/>
          <w:szCs w:val="21"/>
          <w:highlight w:val="none"/>
        </w:rPr>
        <w:t>五、公告期限</w:t>
      </w:r>
      <w:bookmarkEnd w:id="26"/>
      <w:bookmarkEnd w:id="27"/>
      <w:bookmarkEnd w:id="28"/>
      <w:bookmarkEnd w:id="29"/>
    </w:p>
    <w:p w14:paraId="6E642C6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1903F30">
      <w:pPr>
        <w:spacing w:line="360" w:lineRule="auto"/>
        <w:rPr>
          <w:rFonts w:ascii="宋体" w:hAnsi="宋体" w:cs="宋体"/>
          <w:b/>
          <w:bCs/>
          <w:color w:val="auto"/>
          <w:szCs w:val="21"/>
          <w:highlight w:val="none"/>
        </w:rPr>
      </w:pPr>
      <w:bookmarkStart w:id="30" w:name="_Toc35393795"/>
      <w:bookmarkStart w:id="31" w:name="_Toc35393626"/>
      <w:r>
        <w:rPr>
          <w:rFonts w:hint="eastAsia" w:ascii="宋体" w:hAnsi="宋体" w:cs="宋体"/>
          <w:b/>
          <w:bCs/>
          <w:color w:val="auto"/>
          <w:szCs w:val="21"/>
          <w:highlight w:val="none"/>
        </w:rPr>
        <w:t>六、其他补充事宜</w:t>
      </w:r>
      <w:bookmarkEnd w:id="30"/>
      <w:bookmarkEnd w:id="31"/>
    </w:p>
    <w:p w14:paraId="6DCAF08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1.投标人的资格要求的补充：</w:t>
      </w:r>
    </w:p>
    <w:p w14:paraId="22484F3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7DCF41B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对在“信用中国”网站(www.creditchina.gov.cn)、中国政府采购网(www.ccgp.gov.cn)被列入失信被执行人、重大税收违法失信主体、政府采购严重违法失信行为记录名单及其他不符合《中华人民共和国政府采购法》第二十二条规定条件的投标人，不得参与政府采购活动。</w:t>
      </w:r>
    </w:p>
    <w:p w14:paraId="52358EA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2.投标保证金</w:t>
      </w:r>
    </w:p>
    <w:p w14:paraId="6EE781DD">
      <w:pPr>
        <w:pStyle w:val="95"/>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本项目不需要缴纳投标保证金。</w:t>
      </w:r>
    </w:p>
    <w:p w14:paraId="1F77509D">
      <w:pPr>
        <w:spacing w:line="360" w:lineRule="auto"/>
        <w:ind w:firstLine="420" w:firstLineChars="200"/>
        <w:rPr>
          <w:rFonts w:ascii="宋体" w:hAnsi="宋体" w:cs="宋体"/>
          <w:color w:val="auto"/>
          <w:kern w:val="0"/>
          <w:szCs w:val="21"/>
          <w:highlight w:val="none"/>
        </w:rPr>
      </w:pPr>
      <w:bookmarkStart w:id="32" w:name="_Hlk37429585"/>
      <w:r>
        <w:rPr>
          <w:rFonts w:hint="eastAsia" w:ascii="宋体" w:hAnsi="宋体" w:cs="宋体"/>
          <w:color w:val="auto"/>
          <w:kern w:val="0"/>
          <w:szCs w:val="21"/>
          <w:highlight w:val="none"/>
        </w:rPr>
        <w:t>3.</w:t>
      </w:r>
      <w:bookmarkStart w:id="33" w:name="_Hlk37429595"/>
      <w:r>
        <w:rPr>
          <w:rFonts w:hint="eastAsia" w:ascii="宋体" w:hAnsi="宋体" w:cs="宋体"/>
          <w:color w:val="auto"/>
          <w:kern w:val="0"/>
          <w:szCs w:val="21"/>
          <w:highlight w:val="none"/>
        </w:rPr>
        <w:t>网上查询地址</w:t>
      </w:r>
    </w:p>
    <w:p w14:paraId="77723F51">
      <w:pPr>
        <w:pStyle w:val="95"/>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www.ccgp.gov.cn（中国政府采购网）、zfcg.gxzf.gov.cn（广西壮族自治区政府采购网）</w:t>
      </w:r>
      <w:r>
        <w:rPr>
          <w:rFonts w:hint="eastAsia" w:ascii="宋体" w:hAnsi="宋体" w:cs="宋体"/>
          <w:color w:val="auto"/>
          <w:highlight w:val="none"/>
        </w:rPr>
        <w:t>。</w:t>
      </w:r>
    </w:p>
    <w:bookmarkEnd w:id="32"/>
    <w:bookmarkEnd w:id="33"/>
    <w:p w14:paraId="60F71541">
      <w:pPr>
        <w:spacing w:line="360" w:lineRule="auto"/>
        <w:ind w:firstLine="420" w:firstLineChars="200"/>
        <w:rPr>
          <w:rFonts w:ascii="宋体" w:hAnsi="宋体" w:cs="宋体"/>
          <w:color w:val="auto"/>
          <w:kern w:val="0"/>
          <w:szCs w:val="21"/>
          <w:highlight w:val="none"/>
        </w:rPr>
      </w:pPr>
      <w:bookmarkStart w:id="34" w:name="_Hlk37429674"/>
      <w:r>
        <w:rPr>
          <w:rFonts w:hint="eastAsia" w:ascii="宋体" w:hAnsi="宋体" w:cs="宋体"/>
          <w:color w:val="auto"/>
          <w:szCs w:val="21"/>
          <w:highlight w:val="none"/>
        </w:rPr>
        <w:t>4.</w:t>
      </w:r>
      <w:r>
        <w:rPr>
          <w:rFonts w:hint="eastAsia" w:ascii="宋体" w:hAnsi="宋体" w:cs="宋体"/>
          <w:color w:val="auto"/>
          <w:kern w:val="0"/>
          <w:szCs w:val="21"/>
          <w:highlight w:val="none"/>
        </w:rPr>
        <w:t>本项目需要落实的政府采购政策</w:t>
      </w:r>
    </w:p>
    <w:p w14:paraId="311825B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16EA44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A3E248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4D87515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08BC8FA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bookmarkEnd w:id="34"/>
    </w:p>
    <w:p w14:paraId="1F805A76">
      <w:pPr>
        <w:pStyle w:val="69"/>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（6）政府采购扶持不发达地区和少数民族地区政策。</w:t>
      </w:r>
    </w:p>
    <w:p w14:paraId="2D809375">
      <w:pPr>
        <w:pStyle w:val="69"/>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（7）其他政府采购规定的政策。</w:t>
      </w:r>
    </w:p>
    <w:p w14:paraId="6447ABDF">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5.在线投标响应（电子投标）说明</w:t>
      </w:r>
    </w:p>
    <w:p w14:paraId="6FD6E35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（1）本项目通过</w:t>
      </w:r>
      <w:r>
        <w:rPr>
          <w:rFonts w:hint="eastAsia" w:ascii="宋体" w:hAnsi="宋体"/>
          <w:color w:val="auto"/>
          <w:szCs w:val="21"/>
          <w:highlight w:val="none"/>
        </w:rPr>
        <w:t>广西政府采购云平台（https://www.gcy.zfcg.gxzf.gov.cn/）</w:t>
      </w:r>
      <w:r>
        <w:rPr>
          <w:rFonts w:hint="eastAsia" w:ascii="宋体" w:hAnsi="宋体" w:cs="宋体"/>
          <w:color w:val="auto"/>
          <w:kern w:val="0"/>
          <w:szCs w:val="21"/>
          <w:highlight w:val="none"/>
        </w:rPr>
        <w:t>实行在线投标响应（电子投标），投标人需要先安装“</w:t>
      </w:r>
      <w:r>
        <w:rPr>
          <w:rFonts w:hint="eastAsia" w:ascii="宋体" w:hAnsi="宋体"/>
          <w:color w:val="auto"/>
          <w:szCs w:val="21"/>
          <w:highlight w:val="none"/>
        </w:rPr>
        <w:t>广西政府采购云平台电子交易客户端</w:t>
      </w:r>
      <w:r>
        <w:rPr>
          <w:rFonts w:hint="eastAsia" w:ascii="宋体" w:hAnsi="宋体" w:cs="宋体"/>
          <w:color w:val="auto"/>
          <w:kern w:val="0"/>
          <w:szCs w:val="21"/>
          <w:highlight w:val="none"/>
        </w:rPr>
        <w:t>”，并按照本招标文件和</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的要求，通过“</w:t>
      </w:r>
      <w:r>
        <w:rPr>
          <w:rFonts w:hint="eastAsia" w:ascii="宋体" w:hAnsi="宋体"/>
          <w:color w:val="auto"/>
          <w:szCs w:val="21"/>
          <w:highlight w:val="none"/>
        </w:rPr>
        <w:t>广西政府采购云平台电子交易客户端</w:t>
      </w:r>
      <w:r>
        <w:rPr>
          <w:rFonts w:hint="eastAsia" w:ascii="宋体" w:hAnsi="宋体" w:cs="宋体"/>
          <w:color w:val="auto"/>
          <w:kern w:val="0"/>
          <w:szCs w:val="21"/>
          <w:highlight w:val="none"/>
        </w:rPr>
        <w:t>”编制并加密电子投标文件。投标人未按规定编制并加密的电子投标文件，</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将予以拒收。</w:t>
      </w:r>
    </w:p>
    <w:p w14:paraId="596A45A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olor w:val="auto"/>
          <w:szCs w:val="21"/>
          <w:highlight w:val="none"/>
        </w:rPr>
        <w:t>广西政府采购云平台电子交易客户端</w:t>
      </w:r>
      <w:r>
        <w:rPr>
          <w:rFonts w:hint="eastAsia" w:ascii="宋体" w:hAnsi="宋体" w:cs="宋体"/>
          <w:color w:val="auto"/>
          <w:kern w:val="0"/>
          <w:szCs w:val="21"/>
          <w:highlight w:val="none"/>
        </w:rPr>
        <w:t>”请自行前往广西政府采购网下载并安装（http://zfcg.gxzf.gov.cn/OfficeService/DownloadArea/2455918.html?utm=sites_group_front.b8b6c91.0.0.c51f9820a48111eabb9bcbdf01af125e）；电子投标具体操作流程参考《政府采购项目电子交易管理操作指南-投标人》；在使用</w:t>
      </w:r>
      <w:r>
        <w:rPr>
          <w:rFonts w:hint="eastAsia" w:ascii="宋体" w:hAnsi="宋体"/>
          <w:color w:val="auto"/>
          <w:szCs w:val="21"/>
          <w:highlight w:val="none"/>
        </w:rPr>
        <w:t>广西政府采购云平台电子交易客户端</w:t>
      </w:r>
      <w:r>
        <w:rPr>
          <w:rFonts w:hint="eastAsia" w:ascii="宋体" w:hAnsi="宋体" w:cs="宋体"/>
          <w:color w:val="auto"/>
          <w:kern w:val="0"/>
          <w:szCs w:val="21"/>
          <w:highlight w:val="none"/>
        </w:rPr>
        <w:t>时，建议使用WIN7及以上操作系统,通过</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参与在线投标时如遇平台技术问题详询95763。</w:t>
      </w:r>
    </w:p>
    <w:p w14:paraId="61385416">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（2）为确保网上操作合法、有效和安全，投标人应当在投标文件递交截止时间前完成在“</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”的身份认证，确保在电子投标过程中能够对相关数据电文进行加密和使用电子签章。使用“</w:t>
      </w:r>
      <w:r>
        <w:rPr>
          <w:rFonts w:hint="eastAsia" w:ascii="宋体" w:hAnsi="宋体"/>
          <w:color w:val="auto"/>
          <w:szCs w:val="21"/>
          <w:highlight w:val="none"/>
        </w:rPr>
        <w:t>广西政府采购云平台电子交易客户端</w:t>
      </w:r>
      <w:r>
        <w:rPr>
          <w:rFonts w:hint="eastAsia" w:ascii="宋体" w:hAnsi="宋体" w:cs="宋体"/>
          <w:color w:val="auto"/>
          <w:kern w:val="0"/>
          <w:szCs w:val="21"/>
          <w:highlight w:val="none"/>
        </w:rPr>
        <w:t>”需要提前申领CA数字证书，申领流程请自行前往相关网站进行查阅。（各投标人在截标前应确保成为</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正式注册入库投标人，并完成CA数字证书申领。如因未注册入库、未办理CA数字证书等原因造成无法投标或投标失败等后果由投标人自行承担。）</w:t>
      </w:r>
    </w:p>
    <w:p w14:paraId="731BA82E">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（3）</w:t>
      </w:r>
      <w:r>
        <w:rPr>
          <w:rFonts w:hint="eastAsia" w:ascii="宋体" w:hAnsi="宋体" w:cs="宋体"/>
          <w:color w:val="auto"/>
          <w:kern w:val="0"/>
          <w:szCs w:val="21"/>
          <w:highlight w:val="none"/>
        </w:rPr>
        <w:t>投标人应当在投标文件递交截止时间前，将生成的“电子投标文件”上传递交至</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投标文件递交截止时间前可以补充、修改或者撤回电子投标文件。补充或者修改电子投标文件的，应当先行撤回原文件，补充、修改后重新传输递交，投标文件递交截止时间前未完成传输的，视为撤回电子投标文件。</w:t>
      </w:r>
    </w:p>
    <w:p w14:paraId="47BE9134">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投标文件解密时间：截标时间后30分钟内投标人需凭制作投标文件时用来加密的有效数字证书（CA认证）登录“广西政府采购云平台”电子开标大厅现场按规定时间对加密的投标文件进行解密，否则后果自负。</w:t>
      </w:r>
    </w:p>
    <w:p w14:paraId="0C10F823">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17B4C2E3">
      <w:pPr>
        <w:pStyle w:val="95"/>
        <w:spacing w:line="360" w:lineRule="auto"/>
        <w:rPr>
          <w:rFonts w:ascii="宋体" w:hAnsi="宋体" w:cs="宋体"/>
          <w:color w:val="auto"/>
          <w:kern w:val="0"/>
          <w:szCs w:val="21"/>
          <w:highlight w:val="none"/>
        </w:rPr>
      </w:pPr>
      <w:r>
        <w:rPr>
          <w:rFonts w:hint="eastAsia" w:ascii="宋体" w:hAnsi="宋体"/>
          <w:color w:val="auto"/>
          <w:szCs w:val="21"/>
          <w:highlight w:val="none"/>
        </w:rPr>
        <w:t>（5）本项目为广西政府采购云平台全流程电子化操作，参与投标的投标人需自备计算机和网络设备（设备需可视频通话和读取广西政府采购云平台CA数字证书），确保投标过程顺利进行；因投标人自身设备或网络原因造成的一切后果，由投标人自行承担。</w:t>
      </w:r>
    </w:p>
    <w:p w14:paraId="661FDFB5">
      <w:pPr>
        <w:spacing w:line="360" w:lineRule="auto"/>
        <w:rPr>
          <w:rFonts w:ascii="宋体" w:hAnsi="宋体" w:cs="宋体"/>
          <w:b/>
          <w:bCs/>
          <w:color w:val="auto"/>
          <w:szCs w:val="21"/>
          <w:highlight w:val="none"/>
        </w:rPr>
      </w:pPr>
      <w:bookmarkStart w:id="35" w:name="_Toc28359008"/>
      <w:bookmarkStart w:id="36" w:name="_Toc35393796"/>
      <w:bookmarkStart w:id="37" w:name="_Toc28359085"/>
      <w:bookmarkStart w:id="38" w:name="_Toc35393627"/>
      <w:r>
        <w:rPr>
          <w:rFonts w:hint="eastAsia" w:ascii="宋体" w:hAnsi="宋体" w:cs="宋体"/>
          <w:b/>
          <w:bCs/>
          <w:color w:val="auto"/>
          <w:szCs w:val="21"/>
          <w:highlight w:val="none"/>
        </w:rPr>
        <w:t>七、对本次招标提出询问，请按以下方式联系。</w:t>
      </w:r>
      <w:bookmarkEnd w:id="35"/>
      <w:bookmarkEnd w:id="36"/>
      <w:bookmarkEnd w:id="37"/>
      <w:bookmarkEnd w:id="38"/>
    </w:p>
    <w:p w14:paraId="3029A2C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1D8EEA4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称：广西师范大学</w:t>
      </w:r>
    </w:p>
    <w:p w14:paraId="074112B1">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iCs/>
          <w:color w:val="auto"/>
          <w:szCs w:val="21"/>
          <w:highlight w:val="none"/>
        </w:rPr>
        <w:t>广西桂林市雁山区雁中路1号</w:t>
      </w:r>
    </w:p>
    <w:p w14:paraId="03F9E71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color w:val="auto"/>
          <w:highlight w:val="none"/>
        </w:rPr>
        <w:t>程晨</w:t>
      </w:r>
    </w:p>
    <w:p w14:paraId="6ADB32B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联系方式：</w:t>
      </w:r>
      <w:bookmarkStart w:id="39" w:name="_Toc28359086"/>
      <w:bookmarkStart w:id="40" w:name="_Toc28359009"/>
      <w:r>
        <w:rPr>
          <w:rFonts w:hint="eastAsia" w:ascii="宋体" w:hAnsi="宋体"/>
          <w:color w:val="auto"/>
          <w:szCs w:val="21"/>
          <w:highlight w:val="none"/>
        </w:rPr>
        <w:t>0773-3696563</w:t>
      </w:r>
    </w:p>
    <w:p w14:paraId="153EC25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2.采购代理机构信息</w:t>
      </w:r>
      <w:bookmarkEnd w:id="39"/>
      <w:bookmarkEnd w:id="40"/>
    </w:p>
    <w:p w14:paraId="7CB0843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称：广西达成咨询有限公司</w:t>
      </w:r>
    </w:p>
    <w:p w14:paraId="2BE99A0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地址：桂林市滨江路18号滨江大厦5楼</w:t>
      </w:r>
    </w:p>
    <w:p w14:paraId="178D9EC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联系方式：</w:t>
      </w:r>
      <w:bookmarkStart w:id="41" w:name="_Toc28359087"/>
      <w:bookmarkStart w:id="42" w:name="_Toc28359010"/>
      <w:r>
        <w:rPr>
          <w:rFonts w:hint="eastAsia" w:ascii="宋体" w:hAnsi="宋体" w:cs="宋体"/>
          <w:color w:val="auto"/>
          <w:szCs w:val="21"/>
          <w:highlight w:val="none"/>
        </w:rPr>
        <w:t>0773-3569998</w:t>
      </w:r>
    </w:p>
    <w:p w14:paraId="247C5F9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3.项目联系方式</w:t>
      </w:r>
      <w:bookmarkEnd w:id="41"/>
      <w:bookmarkEnd w:id="42"/>
    </w:p>
    <w:p w14:paraId="6BDAEA7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项目联系人：毛崇文、李鹏字、梁碧云、方莹、肖禾、彭冬梅、杨红东</w:t>
      </w:r>
    </w:p>
    <w:p w14:paraId="06CA1FF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电话：0773-3569998</w:t>
      </w:r>
    </w:p>
    <w:p w14:paraId="47E7F833">
      <w:pPr>
        <w:pStyle w:val="70"/>
        <w:spacing w:line="360" w:lineRule="auto"/>
        <w:rPr>
          <w:rFonts w:ascii="宋体" w:hAnsi="宋体" w:cs="宋体"/>
          <w:color w:val="auto"/>
          <w:sz w:val="21"/>
          <w:szCs w:val="21"/>
          <w:highlight w:val="none"/>
        </w:rPr>
      </w:pPr>
    </w:p>
    <w:p w14:paraId="5E802770">
      <w:pPr>
        <w:pStyle w:val="70"/>
        <w:spacing w:line="360" w:lineRule="auto"/>
        <w:rPr>
          <w:rFonts w:ascii="宋体" w:hAnsi="宋体" w:cs="宋体"/>
          <w:color w:val="auto"/>
          <w:sz w:val="21"/>
          <w:szCs w:val="21"/>
          <w:highlight w:val="none"/>
        </w:rPr>
      </w:pPr>
    </w:p>
    <w:p w14:paraId="55A999FD">
      <w:pPr>
        <w:pStyle w:val="70"/>
        <w:spacing w:line="360" w:lineRule="auto"/>
        <w:rPr>
          <w:rFonts w:ascii="宋体" w:hAnsi="宋体" w:cs="宋体"/>
          <w:color w:val="auto"/>
          <w:sz w:val="21"/>
          <w:szCs w:val="21"/>
          <w:highlight w:val="none"/>
        </w:rPr>
      </w:pPr>
    </w:p>
    <w:p w14:paraId="5939FBC3">
      <w:pPr>
        <w:pStyle w:val="70"/>
        <w:spacing w:line="360" w:lineRule="auto"/>
        <w:rPr>
          <w:rFonts w:ascii="宋体" w:hAnsi="宋体" w:cs="宋体"/>
          <w:color w:val="auto"/>
          <w:sz w:val="21"/>
          <w:szCs w:val="21"/>
          <w:highlight w:val="none"/>
        </w:rPr>
      </w:pPr>
    </w:p>
    <w:p w14:paraId="2D675584">
      <w:pPr>
        <w:pStyle w:val="70"/>
        <w:spacing w:line="360" w:lineRule="auto"/>
        <w:rPr>
          <w:rFonts w:ascii="宋体" w:hAnsi="宋体" w:cs="宋体"/>
          <w:color w:val="auto"/>
          <w:sz w:val="21"/>
          <w:szCs w:val="21"/>
          <w:highlight w:val="none"/>
        </w:rPr>
      </w:pPr>
    </w:p>
    <w:p w14:paraId="248A47C5">
      <w:pPr>
        <w:pStyle w:val="70"/>
        <w:spacing w:line="360" w:lineRule="auto"/>
        <w:rPr>
          <w:rFonts w:ascii="宋体" w:hAnsi="宋体" w:cs="宋体"/>
          <w:color w:val="auto"/>
          <w:sz w:val="21"/>
          <w:szCs w:val="21"/>
          <w:highlight w:val="none"/>
        </w:rPr>
      </w:pPr>
    </w:p>
    <w:p w14:paraId="10A6F80D">
      <w:pPr>
        <w:spacing w:line="360" w:lineRule="auto"/>
        <w:ind w:firstLine="210" w:firstLineChars="100"/>
        <w:jc w:val="right"/>
        <w:rPr>
          <w:rFonts w:ascii="宋体" w:hAnsi="宋体" w:cs="宋体"/>
          <w:color w:val="auto"/>
          <w:szCs w:val="21"/>
          <w:highlight w:val="none"/>
        </w:rPr>
      </w:pPr>
      <w:r>
        <w:rPr>
          <w:rFonts w:hint="eastAsia" w:ascii="宋体" w:hAnsi="宋体" w:cs="宋体"/>
          <w:color w:val="auto"/>
          <w:szCs w:val="21"/>
          <w:highlight w:val="none"/>
        </w:rPr>
        <w:t>广西达成咨询有限公司</w:t>
      </w:r>
    </w:p>
    <w:p w14:paraId="74842EB5">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2025年   月  日</w:t>
      </w:r>
    </w:p>
    <w:p w14:paraId="2754FCC2">
      <w:pPr>
        <w:pStyle w:val="3"/>
        <w:keepNext w:val="0"/>
        <w:keepLines w:val="0"/>
        <w:rPr>
          <w:rStyle w:val="65"/>
          <w:rFonts w:ascii="宋体" w:hAnsi="宋体" w:cs="宋体"/>
          <w:b/>
          <w:bCs/>
          <w:color w:val="auto"/>
          <w:sz w:val="30"/>
          <w:szCs w:val="30"/>
          <w:highlight w:val="none"/>
        </w:rPr>
      </w:pPr>
      <w:r>
        <w:rPr>
          <w:rFonts w:hint="eastAsia" w:ascii="宋体" w:hAnsi="宋体" w:cs="宋体"/>
          <w:color w:val="auto"/>
          <w:sz w:val="24"/>
          <w:szCs w:val="20"/>
          <w:highlight w:val="none"/>
        </w:rPr>
        <w:br w:type="page"/>
      </w:r>
      <w:bookmarkStart w:id="43" w:name="_Toc19890"/>
      <w:bookmarkStart w:id="44" w:name="_Toc13994"/>
      <w:bookmarkStart w:id="45" w:name="_Toc19686830"/>
      <w:bookmarkStart w:id="46" w:name="_Toc22427"/>
      <w:r>
        <w:rPr>
          <w:rStyle w:val="65"/>
          <w:rFonts w:hint="eastAsia" w:ascii="宋体" w:hAnsi="宋体" w:cs="宋体"/>
          <w:b/>
          <w:bCs/>
          <w:color w:val="auto"/>
          <w:highlight w:val="none"/>
        </w:rPr>
        <w:t>第二章、采购需求</w:t>
      </w:r>
    </w:p>
    <w:p w14:paraId="26A1CF5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731FFF37">
      <w:pPr>
        <w:widowControl/>
        <w:kinsoku w:val="0"/>
        <w:autoSpaceDE w:val="0"/>
        <w:autoSpaceDN w:val="0"/>
        <w:adjustRightInd w:val="0"/>
        <w:snapToGrid w:val="0"/>
        <w:spacing w:line="360" w:lineRule="auto"/>
        <w:ind w:firstLine="422" w:firstLineChars="200"/>
        <w:jc w:val="left"/>
        <w:textAlignment w:val="baseline"/>
        <w:rPr>
          <w:rFonts w:ascii="宋体" w:hAnsi="宋体" w:cs="宋体"/>
          <w:b/>
          <w:color w:val="auto"/>
          <w:szCs w:val="21"/>
          <w:highlight w:val="none"/>
        </w:rPr>
      </w:pPr>
      <w:r>
        <w:rPr>
          <w:rFonts w:hint="eastAsia" w:ascii="宋体" w:hAnsi="宋体" w:cs="宋体"/>
          <w:b/>
          <w:color w:val="auto"/>
          <w:szCs w:val="21"/>
          <w:highlight w:val="none"/>
        </w:rPr>
        <w:t>1.“实质性要求”是指招标文件中已经指明不满足则投标无效的条款，或者不能负偏离的条款，或者采购需求中带“▲”的条款。</w:t>
      </w:r>
    </w:p>
    <w:p w14:paraId="4CEFC85B">
      <w:pPr>
        <w:widowControl/>
        <w:kinsoku w:val="0"/>
        <w:autoSpaceDE w:val="0"/>
        <w:autoSpaceDN w:val="0"/>
        <w:adjustRightInd w:val="0"/>
        <w:snapToGrid w:val="0"/>
        <w:spacing w:line="360" w:lineRule="auto"/>
        <w:ind w:firstLine="422" w:firstLineChars="200"/>
        <w:jc w:val="left"/>
        <w:textAlignment w:val="baseline"/>
        <w:rPr>
          <w:rFonts w:ascii="宋体" w:hAnsi="宋体" w:cs="宋体"/>
          <w:b/>
          <w:color w:val="auto"/>
          <w:highlight w:val="none"/>
        </w:rPr>
      </w:pPr>
      <w:r>
        <w:rPr>
          <w:rFonts w:hint="eastAsia" w:ascii="宋体" w:hAnsi="宋体" w:cs="宋体"/>
          <w:b/>
          <w:color w:val="auto"/>
          <w:szCs w:val="21"/>
          <w:highlight w:val="none"/>
        </w:rPr>
        <w:t>2.投标人应根据自身实际情况如实响应招标文件，对招标文件提出的要求和条件作出明确响应，否则将作无效响应处理。对于重要技术条款或技术参数应当在投标文件中提供技术支持资料，技术支持资料以招标文件中规定的形式为准，否则将视为无效技术支持资料。</w:t>
      </w:r>
    </w:p>
    <w:p w14:paraId="2FF9DCB4">
      <w:pPr>
        <w:widowControl/>
        <w:kinsoku w:val="0"/>
        <w:autoSpaceDE w:val="0"/>
        <w:autoSpaceDN w:val="0"/>
        <w:adjustRightInd w:val="0"/>
        <w:snapToGrid w:val="0"/>
        <w:spacing w:line="360" w:lineRule="auto"/>
        <w:ind w:firstLine="422" w:firstLineChars="200"/>
        <w:jc w:val="left"/>
        <w:textAlignment w:val="baseline"/>
        <w:rPr>
          <w:rFonts w:ascii="宋体" w:hAnsi="宋体" w:cs="宋体"/>
          <w:b/>
          <w:color w:val="auto"/>
          <w:szCs w:val="21"/>
          <w:highlight w:val="none"/>
        </w:rPr>
      </w:pPr>
      <w:r>
        <w:rPr>
          <w:rFonts w:hint="eastAsia" w:ascii="宋体" w:hAnsi="宋体" w:cs="宋体"/>
          <w:b/>
          <w:color w:val="auto"/>
          <w:szCs w:val="21"/>
          <w:highlight w:val="none"/>
        </w:rPr>
        <w:t>3.投标人必须自行为其投标产品侵犯他人的知识产权或者专利成果的行为承担相应法律责任。</w:t>
      </w:r>
    </w:p>
    <w:p w14:paraId="39661836">
      <w:pPr>
        <w:widowControl/>
        <w:kinsoku w:val="0"/>
        <w:autoSpaceDE w:val="0"/>
        <w:autoSpaceDN w:val="0"/>
        <w:adjustRightInd w:val="0"/>
        <w:snapToGrid w:val="0"/>
        <w:spacing w:line="360" w:lineRule="auto"/>
        <w:ind w:firstLine="422" w:firstLineChars="200"/>
        <w:jc w:val="left"/>
        <w:textAlignment w:val="baseline"/>
        <w:rPr>
          <w:rFonts w:ascii="宋体" w:hAnsi="宋体" w:cs="宋体"/>
          <w:b/>
          <w:color w:val="auto"/>
          <w:szCs w:val="21"/>
          <w:highlight w:val="none"/>
        </w:rPr>
      </w:pPr>
      <w:r>
        <w:rPr>
          <w:rFonts w:hint="eastAsia" w:ascii="宋体" w:hAnsi="宋体" w:cs="宋体"/>
          <w:b/>
          <w:color w:val="auto"/>
          <w:szCs w:val="21"/>
          <w:highlight w:val="none"/>
        </w:rPr>
        <w:t>4.所属行业依照《中小企业划型标准规定》（工信部联企业〔2011〕300号）及《国民经济行业分类》（GB/T4754-2017）的有关规定执行。本项目采购标的所属行业：租赁和商务服务业。</w:t>
      </w:r>
    </w:p>
    <w:tbl>
      <w:tblPr>
        <w:tblStyle w:val="52"/>
        <w:tblW w:w="95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
        <w:gridCol w:w="833"/>
        <w:gridCol w:w="850"/>
        <w:gridCol w:w="7436"/>
      </w:tblGrid>
      <w:tr w14:paraId="48922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25" w:type="dxa"/>
            <w:vAlign w:val="center"/>
          </w:tcPr>
          <w:p w14:paraId="2B21A799">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833" w:type="dxa"/>
            <w:vAlign w:val="center"/>
          </w:tcPr>
          <w:p w14:paraId="6A6B5411">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850" w:type="dxa"/>
            <w:vAlign w:val="center"/>
          </w:tcPr>
          <w:p w14:paraId="656C3E07">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7436" w:type="dxa"/>
            <w:vAlign w:val="center"/>
          </w:tcPr>
          <w:p w14:paraId="035246F6">
            <w:pPr>
              <w:tabs>
                <w:tab w:val="left" w:pos="180"/>
                <w:tab w:val="left" w:pos="1620"/>
              </w:tabs>
              <w:spacing w:line="360" w:lineRule="auto"/>
              <w:jc w:val="center"/>
              <w:rPr>
                <w:rFonts w:ascii="宋体" w:hAnsi="宋体" w:cs="宋体"/>
                <w:color w:val="auto"/>
                <w:szCs w:val="21"/>
                <w:highlight w:val="none"/>
              </w:rPr>
            </w:pPr>
            <w:r>
              <w:rPr>
                <w:rFonts w:hint="eastAsia" w:ascii="宋体" w:hAnsi="宋体"/>
                <w:color w:val="auto"/>
                <w:szCs w:val="21"/>
                <w:highlight w:val="none"/>
              </w:rPr>
              <w:t>服务要求</w:t>
            </w:r>
          </w:p>
        </w:tc>
      </w:tr>
      <w:tr w14:paraId="54764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425" w:type="dxa"/>
            <w:vAlign w:val="center"/>
          </w:tcPr>
          <w:p w14:paraId="694E3945">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833" w:type="dxa"/>
            <w:vAlign w:val="center"/>
          </w:tcPr>
          <w:p w14:paraId="18C8FEBA">
            <w:pPr>
              <w:spacing w:line="420" w:lineRule="exact"/>
              <w:jc w:val="left"/>
              <w:rPr>
                <w:rFonts w:hAnsi="宋体" w:cs="宋体"/>
                <w:color w:val="auto"/>
                <w:szCs w:val="21"/>
                <w:highlight w:val="none"/>
              </w:rPr>
            </w:pPr>
            <w:r>
              <w:rPr>
                <w:rFonts w:hint="eastAsia" w:hAnsi="宋体" w:cs="宋体"/>
                <w:color w:val="auto"/>
                <w:szCs w:val="21"/>
                <w:highlight w:val="none"/>
              </w:rPr>
              <w:t>2026-2027年度王城、育才校区安保外包服务采购</w:t>
            </w:r>
          </w:p>
        </w:tc>
        <w:tc>
          <w:tcPr>
            <w:tcW w:w="850" w:type="dxa"/>
            <w:vAlign w:val="center"/>
          </w:tcPr>
          <w:p w14:paraId="136BD254">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7436" w:type="dxa"/>
          </w:tcPr>
          <w:p w14:paraId="12026EE5">
            <w:pPr>
              <w:spacing w:before="100" w:after="100"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一、项目服务基本情况</w:t>
            </w:r>
          </w:p>
          <w:p w14:paraId="48DD5BA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项目地址：广西师范大学王城、育才两个校区。</w:t>
            </w:r>
          </w:p>
          <w:p w14:paraId="67DAE4E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基本情况：广西师范大学王城校区坐落于桂林市秀峰区王城1号，是5A级景区靖江王府所在地，占地面积约21万㎡，校区有大门2个。育才校区位于七星区育才路15号，占地面积约50万㎡，校区有大门2个，现有东院和南院2个家属区。学校安全保卫机构健全，设有保卫处，全面负责学校安全保卫工作。</w:t>
            </w:r>
          </w:p>
          <w:p w14:paraId="6C94540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服务范围：包括日常门岗执勤、安防技防设施管理与使用、区域巡逻、秩序维护、交通安全管理、校园及周边治安防控、消防设施常规性检查维护、大型校事活动安全保障、应急突发事件处置等，确保项目及周边治安状况良好。</w:t>
            </w:r>
          </w:p>
          <w:p w14:paraId="3EBD520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服务期限：2026年1月1日至2027年12月31日</w:t>
            </w:r>
          </w:p>
          <w:p w14:paraId="5663BE0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服务标准：符合国家相关法规、保安行业规范和采购人规定要求。实行定期考核，每季度作为一个考核期，达不到学校要求即刻解约。</w:t>
            </w:r>
          </w:p>
          <w:p w14:paraId="5A7F0A25">
            <w:pPr>
              <w:spacing w:before="100" w:after="100"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二、服务内容及要求</w:t>
            </w:r>
          </w:p>
          <w:p w14:paraId="1B06334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（一）岗位设置及工作内容</w:t>
            </w:r>
          </w:p>
          <w:tbl>
            <w:tblPr>
              <w:tblStyle w:val="53"/>
              <w:tblW w:w="6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215"/>
              <w:gridCol w:w="898"/>
              <w:gridCol w:w="3574"/>
            </w:tblGrid>
            <w:tr w14:paraId="43FD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blHeader/>
                <w:jc w:val="center"/>
              </w:trPr>
              <w:tc>
                <w:tcPr>
                  <w:tcW w:w="547" w:type="dxa"/>
                  <w:vAlign w:val="center"/>
                </w:tcPr>
                <w:p w14:paraId="53C35744">
                  <w:pPr>
                    <w:spacing w:line="380" w:lineRule="exact"/>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校区</w:t>
                  </w:r>
                </w:p>
              </w:tc>
              <w:tc>
                <w:tcPr>
                  <w:tcW w:w="1215" w:type="dxa"/>
                  <w:vAlign w:val="center"/>
                </w:tcPr>
                <w:p w14:paraId="4144CD46">
                  <w:pPr>
                    <w:spacing w:line="380" w:lineRule="exact"/>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岗位设置</w:t>
                  </w:r>
                </w:p>
              </w:tc>
              <w:tc>
                <w:tcPr>
                  <w:tcW w:w="898" w:type="dxa"/>
                  <w:vAlign w:val="center"/>
                </w:tcPr>
                <w:p w14:paraId="69D25318">
                  <w:pPr>
                    <w:spacing w:line="380" w:lineRule="exact"/>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岗位数量</w:t>
                  </w:r>
                </w:p>
                <w:p w14:paraId="5BFD55A2">
                  <w:pPr>
                    <w:spacing w:line="380" w:lineRule="exact"/>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（个）</w:t>
                  </w:r>
                </w:p>
              </w:tc>
              <w:tc>
                <w:tcPr>
                  <w:tcW w:w="3574" w:type="dxa"/>
                  <w:vAlign w:val="center"/>
                </w:tcPr>
                <w:p w14:paraId="5FF30B4B">
                  <w:pPr>
                    <w:spacing w:line="380" w:lineRule="exact"/>
                    <w:ind w:firstLine="562"/>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工作内容</w:t>
                  </w:r>
                </w:p>
              </w:tc>
            </w:tr>
            <w:tr w14:paraId="168A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7" w:type="dxa"/>
                  <w:vMerge w:val="restart"/>
                  <w:vAlign w:val="center"/>
                </w:tcPr>
                <w:p w14:paraId="2A08781F">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育才校区</w:t>
                  </w:r>
                </w:p>
              </w:tc>
              <w:tc>
                <w:tcPr>
                  <w:tcW w:w="1215" w:type="dxa"/>
                  <w:vAlign w:val="center"/>
                </w:tcPr>
                <w:p w14:paraId="0E86A43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主管</w:t>
                  </w:r>
                </w:p>
              </w:tc>
              <w:tc>
                <w:tcPr>
                  <w:tcW w:w="898" w:type="dxa"/>
                  <w:vAlign w:val="center"/>
                </w:tcPr>
                <w:p w14:paraId="3C2AED7B">
                  <w:pPr>
                    <w:spacing w:line="380" w:lineRule="exact"/>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1个（</w:t>
                  </w: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val="en-US" w:eastAsia="zh-CN"/>
                    </w:rPr>
                    <w:t>人）</w:t>
                  </w:r>
                </w:p>
              </w:tc>
              <w:tc>
                <w:tcPr>
                  <w:tcW w:w="3574" w:type="dxa"/>
                  <w:vAlign w:val="center"/>
                </w:tcPr>
                <w:p w14:paraId="40D719E0">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负责对保安队伍的管理</w:t>
                  </w:r>
                </w:p>
              </w:tc>
            </w:tr>
            <w:tr w14:paraId="1D3C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7" w:type="dxa"/>
                  <w:vMerge w:val="continue"/>
                  <w:vAlign w:val="center"/>
                </w:tcPr>
                <w:p w14:paraId="0407A8BD">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296904ED">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副主管</w:t>
                  </w:r>
                </w:p>
              </w:tc>
              <w:tc>
                <w:tcPr>
                  <w:tcW w:w="898" w:type="dxa"/>
                  <w:vAlign w:val="center"/>
                </w:tcPr>
                <w:p w14:paraId="2C53F476">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1个（</w:t>
                  </w: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val="en-US" w:eastAsia="zh-CN"/>
                    </w:rPr>
                    <w:t>人）</w:t>
                  </w:r>
                </w:p>
              </w:tc>
              <w:tc>
                <w:tcPr>
                  <w:tcW w:w="3574" w:type="dxa"/>
                  <w:vAlign w:val="center"/>
                </w:tcPr>
                <w:p w14:paraId="27A2384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负责对保安队伍的管理</w:t>
                  </w:r>
                </w:p>
              </w:tc>
            </w:tr>
            <w:tr w14:paraId="0F6B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47" w:type="dxa"/>
                  <w:vMerge w:val="continue"/>
                  <w:vAlign w:val="center"/>
                </w:tcPr>
                <w:p w14:paraId="052DE2E5">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588D7046">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班长</w:t>
                  </w:r>
                </w:p>
              </w:tc>
              <w:tc>
                <w:tcPr>
                  <w:tcW w:w="898" w:type="dxa"/>
                  <w:vAlign w:val="center"/>
                </w:tcPr>
                <w:p w14:paraId="1619D1AD">
                  <w:pPr>
                    <w:spacing w:line="380" w:lineRule="exact"/>
                    <w:jc w:val="center"/>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1个（3人）</w:t>
                  </w:r>
                </w:p>
              </w:tc>
              <w:tc>
                <w:tcPr>
                  <w:tcW w:w="3574" w:type="dxa"/>
                  <w:vAlign w:val="center"/>
                </w:tcPr>
                <w:p w14:paraId="5F1BF345">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负责各班各岗点保安值勤、巡视、检查，</w:t>
                  </w:r>
                </w:p>
                <w:p w14:paraId="791EDDB7">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快速处置突发事件</w:t>
                  </w:r>
                </w:p>
              </w:tc>
            </w:tr>
            <w:tr w14:paraId="3377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47" w:type="dxa"/>
                  <w:vMerge w:val="continue"/>
                  <w:vAlign w:val="center"/>
                </w:tcPr>
                <w:p w14:paraId="75DE5C3C">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650833D0">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监控室</w:t>
                  </w:r>
                </w:p>
              </w:tc>
              <w:tc>
                <w:tcPr>
                  <w:tcW w:w="898" w:type="dxa"/>
                  <w:vAlign w:val="center"/>
                </w:tcPr>
                <w:p w14:paraId="45FA368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4F857EE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负责监控的监视及数据的采集、接警并处置指挥、登记和汇报</w:t>
                  </w:r>
                </w:p>
              </w:tc>
            </w:tr>
            <w:tr w14:paraId="63C0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7" w:type="dxa"/>
                  <w:vMerge w:val="continue"/>
                  <w:vAlign w:val="center"/>
                </w:tcPr>
                <w:p w14:paraId="6AB6F26E">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4C91DC8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消防控制室</w:t>
                  </w:r>
                </w:p>
              </w:tc>
              <w:tc>
                <w:tcPr>
                  <w:tcW w:w="898" w:type="dxa"/>
                  <w:vAlign w:val="center"/>
                </w:tcPr>
                <w:p w14:paraId="3461C85C">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3574" w:type="dxa"/>
                  <w:vAlign w:val="center"/>
                </w:tcPr>
                <w:p w14:paraId="0497B24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消防总控室值班和火警排查处置</w:t>
                  </w:r>
                </w:p>
              </w:tc>
            </w:tr>
            <w:tr w14:paraId="0F77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7" w:type="dxa"/>
                  <w:vMerge w:val="continue"/>
                  <w:vAlign w:val="center"/>
                </w:tcPr>
                <w:p w14:paraId="5FC09B1A">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0C899C8B">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消防巡逻</w:t>
                  </w:r>
                </w:p>
              </w:tc>
              <w:tc>
                <w:tcPr>
                  <w:tcW w:w="898" w:type="dxa"/>
                  <w:vAlign w:val="center"/>
                </w:tcPr>
                <w:p w14:paraId="75803FC3">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71DF9021">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负责楼宇的安全检查和火警排查处置</w:t>
                  </w:r>
                </w:p>
              </w:tc>
            </w:tr>
            <w:tr w14:paraId="7A0B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4A0A9772">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42D7CFA3">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西大门</w:t>
                  </w:r>
                </w:p>
              </w:tc>
              <w:tc>
                <w:tcPr>
                  <w:tcW w:w="898" w:type="dxa"/>
                  <w:vAlign w:val="center"/>
                </w:tcPr>
                <w:p w14:paraId="1F44AC73">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3574" w:type="dxa"/>
                  <w:vAlign w:val="center"/>
                </w:tcPr>
                <w:p w14:paraId="55F1ED32">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2B5D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0BFD4440">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2C6BEA9B">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南大门</w:t>
                  </w:r>
                </w:p>
              </w:tc>
              <w:tc>
                <w:tcPr>
                  <w:tcW w:w="898" w:type="dxa"/>
                  <w:vAlign w:val="center"/>
                </w:tcPr>
                <w:p w14:paraId="583D61CF">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w:t>
                  </w:r>
                </w:p>
              </w:tc>
              <w:tc>
                <w:tcPr>
                  <w:tcW w:w="3574" w:type="dxa"/>
                  <w:vAlign w:val="center"/>
                </w:tcPr>
                <w:p w14:paraId="45433D5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2E70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756643F1">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4D617025">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小东门</w:t>
                  </w:r>
                </w:p>
              </w:tc>
              <w:tc>
                <w:tcPr>
                  <w:tcW w:w="898" w:type="dxa"/>
                  <w:vAlign w:val="center"/>
                </w:tcPr>
                <w:p w14:paraId="1F3916E7">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1A35D75F">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1185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7ACBBCAE">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20D0B190">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东院门</w:t>
                  </w:r>
                </w:p>
              </w:tc>
              <w:tc>
                <w:tcPr>
                  <w:tcW w:w="898" w:type="dxa"/>
                  <w:vAlign w:val="center"/>
                </w:tcPr>
                <w:p w14:paraId="3A282F6F">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6D785122">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2E31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7" w:type="dxa"/>
                  <w:vMerge w:val="continue"/>
                  <w:vAlign w:val="center"/>
                </w:tcPr>
                <w:p w14:paraId="636CE602">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2BB3D8A5">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校办岗</w:t>
                  </w:r>
                </w:p>
              </w:tc>
              <w:tc>
                <w:tcPr>
                  <w:tcW w:w="898" w:type="dxa"/>
                  <w:vAlign w:val="center"/>
                </w:tcPr>
                <w:p w14:paraId="4DB07ABE">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4777300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负责来访人员登记及周边安全巡查</w:t>
                  </w:r>
                </w:p>
              </w:tc>
            </w:tr>
            <w:tr w14:paraId="7085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47768EA4">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49E62DED">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南院大门</w:t>
                  </w:r>
                </w:p>
              </w:tc>
              <w:tc>
                <w:tcPr>
                  <w:tcW w:w="898" w:type="dxa"/>
                  <w:vAlign w:val="center"/>
                </w:tcPr>
                <w:p w14:paraId="71CFB398">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3574" w:type="dxa"/>
                  <w:vAlign w:val="center"/>
                </w:tcPr>
                <w:p w14:paraId="0ECCAA6C">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57FE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01DAF874">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4A14460C">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南院西</w:t>
                  </w:r>
                </w:p>
              </w:tc>
              <w:tc>
                <w:tcPr>
                  <w:tcW w:w="898" w:type="dxa"/>
                  <w:vAlign w:val="center"/>
                </w:tcPr>
                <w:p w14:paraId="38D2133B">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06B719DF">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7AD7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720217FD">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53E264C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南院南</w:t>
                  </w:r>
                </w:p>
              </w:tc>
              <w:tc>
                <w:tcPr>
                  <w:tcW w:w="898" w:type="dxa"/>
                  <w:vAlign w:val="center"/>
                </w:tcPr>
                <w:p w14:paraId="0DC2699D">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27E0DAB8">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60CC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721D63DE">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3C052F1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幼儿园南园</w:t>
                  </w:r>
                </w:p>
              </w:tc>
              <w:tc>
                <w:tcPr>
                  <w:tcW w:w="898" w:type="dxa"/>
                  <w:vAlign w:val="center"/>
                </w:tcPr>
                <w:p w14:paraId="5BF8394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6F13A983">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1FC2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7" w:type="dxa"/>
                  <w:vMerge w:val="continue"/>
                  <w:vAlign w:val="center"/>
                </w:tcPr>
                <w:p w14:paraId="77F2E593">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2B635D2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巡逻岗校区</w:t>
                  </w:r>
                </w:p>
              </w:tc>
              <w:tc>
                <w:tcPr>
                  <w:tcW w:w="898" w:type="dxa"/>
                  <w:vAlign w:val="center"/>
                </w:tcPr>
                <w:p w14:paraId="302710C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w:t>
                  </w:r>
                </w:p>
              </w:tc>
              <w:tc>
                <w:tcPr>
                  <w:tcW w:w="3574" w:type="dxa"/>
                  <w:vAlign w:val="center"/>
                </w:tcPr>
                <w:p w14:paraId="51E025F5">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负责整个校区的安全巡查</w:t>
                  </w:r>
                </w:p>
              </w:tc>
            </w:tr>
            <w:tr w14:paraId="12FE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7" w:type="dxa"/>
                  <w:vMerge w:val="continue"/>
                  <w:vAlign w:val="center"/>
                </w:tcPr>
                <w:p w14:paraId="25108E06">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0F6A624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巡逻岗南院</w:t>
                  </w:r>
                </w:p>
              </w:tc>
              <w:tc>
                <w:tcPr>
                  <w:tcW w:w="898" w:type="dxa"/>
                  <w:vAlign w:val="center"/>
                </w:tcPr>
                <w:p w14:paraId="53BC6DEE">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3574" w:type="dxa"/>
                  <w:vAlign w:val="center"/>
                </w:tcPr>
                <w:p w14:paraId="447A4086">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负责南院内外、主干道</w:t>
                  </w:r>
                </w:p>
              </w:tc>
            </w:tr>
            <w:tr w14:paraId="2427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7" w:type="dxa"/>
                  <w:vMerge w:val="restart"/>
                  <w:vAlign w:val="center"/>
                </w:tcPr>
                <w:p w14:paraId="4E9EBB7C">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王城校区</w:t>
                  </w:r>
                </w:p>
              </w:tc>
              <w:tc>
                <w:tcPr>
                  <w:tcW w:w="1215" w:type="dxa"/>
                  <w:vAlign w:val="center"/>
                </w:tcPr>
                <w:p w14:paraId="628111A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主管</w:t>
                  </w:r>
                </w:p>
              </w:tc>
              <w:tc>
                <w:tcPr>
                  <w:tcW w:w="898" w:type="dxa"/>
                  <w:vAlign w:val="center"/>
                </w:tcPr>
                <w:p w14:paraId="6F423674">
                  <w:pPr>
                    <w:spacing w:line="380" w:lineRule="exact"/>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1个（</w:t>
                  </w: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val="en-US" w:eastAsia="zh-CN"/>
                    </w:rPr>
                    <w:t>人）</w:t>
                  </w:r>
                </w:p>
              </w:tc>
              <w:tc>
                <w:tcPr>
                  <w:tcW w:w="3574" w:type="dxa"/>
                  <w:vAlign w:val="center"/>
                </w:tcPr>
                <w:p w14:paraId="4D14A424">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负责对保安队伍的管理</w:t>
                  </w:r>
                </w:p>
              </w:tc>
            </w:tr>
            <w:tr w14:paraId="0E2B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47" w:type="dxa"/>
                  <w:vMerge w:val="continue"/>
                  <w:vAlign w:val="center"/>
                </w:tcPr>
                <w:p w14:paraId="610DA6AC">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6F7E8C36">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班长</w:t>
                  </w:r>
                </w:p>
              </w:tc>
              <w:tc>
                <w:tcPr>
                  <w:tcW w:w="898" w:type="dxa"/>
                  <w:vAlign w:val="center"/>
                </w:tcPr>
                <w:p w14:paraId="64E70315">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1个（3人）</w:t>
                  </w:r>
                </w:p>
              </w:tc>
              <w:tc>
                <w:tcPr>
                  <w:tcW w:w="3574" w:type="dxa"/>
                  <w:vAlign w:val="center"/>
                </w:tcPr>
                <w:p w14:paraId="3E88373E">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负责各班各岗点保安值勤、巡视、检查，</w:t>
                  </w:r>
                </w:p>
                <w:p w14:paraId="2B6AB37B">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快速处置突发事件</w:t>
                  </w:r>
                </w:p>
              </w:tc>
            </w:tr>
            <w:tr w14:paraId="2EA5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47" w:type="dxa"/>
                  <w:vMerge w:val="continue"/>
                  <w:vAlign w:val="center"/>
                </w:tcPr>
                <w:p w14:paraId="4F27D4C5">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189AC612">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监控室</w:t>
                  </w:r>
                </w:p>
              </w:tc>
              <w:tc>
                <w:tcPr>
                  <w:tcW w:w="898" w:type="dxa"/>
                  <w:vAlign w:val="center"/>
                </w:tcPr>
                <w:p w14:paraId="2C3CB33E">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0F49F45D">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负责监控的监视及数据的采集、接警并处置指挥、登记和汇报</w:t>
                  </w:r>
                </w:p>
              </w:tc>
            </w:tr>
            <w:tr w14:paraId="6F57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59605042">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59F55D4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前门门岗</w:t>
                  </w:r>
                </w:p>
              </w:tc>
              <w:tc>
                <w:tcPr>
                  <w:tcW w:w="898" w:type="dxa"/>
                  <w:vAlign w:val="center"/>
                </w:tcPr>
                <w:p w14:paraId="6BCFC78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1681874C">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5A89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401997AC">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28DA39B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后门门岗</w:t>
                  </w:r>
                </w:p>
              </w:tc>
              <w:tc>
                <w:tcPr>
                  <w:tcW w:w="898" w:type="dxa"/>
                  <w:vAlign w:val="center"/>
                </w:tcPr>
                <w:p w14:paraId="4649A173">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0409D4D0">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55BC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04E57FF4">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0E71390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1号门岗</w:t>
                  </w:r>
                </w:p>
              </w:tc>
              <w:tc>
                <w:tcPr>
                  <w:tcW w:w="898" w:type="dxa"/>
                  <w:vAlign w:val="center"/>
                </w:tcPr>
                <w:p w14:paraId="29C521E1">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549CA2FC">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5C39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69AD0741">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6FC70BF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3号门岗</w:t>
                  </w:r>
                </w:p>
              </w:tc>
              <w:tc>
                <w:tcPr>
                  <w:tcW w:w="898" w:type="dxa"/>
                  <w:vAlign w:val="center"/>
                </w:tcPr>
                <w:p w14:paraId="7DF7AAF9">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2E196A93">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1A2A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1E5DD514">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124BE0E0">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东区门岗</w:t>
                  </w:r>
                </w:p>
              </w:tc>
              <w:tc>
                <w:tcPr>
                  <w:tcW w:w="898" w:type="dxa"/>
                  <w:vAlign w:val="center"/>
                </w:tcPr>
                <w:p w14:paraId="5BE68CEE">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6657F298">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7C94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7" w:type="dxa"/>
                  <w:vMerge w:val="continue"/>
                  <w:vAlign w:val="center"/>
                </w:tcPr>
                <w:p w14:paraId="440694AE">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6104D15B">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南区门岗</w:t>
                  </w:r>
                </w:p>
              </w:tc>
              <w:tc>
                <w:tcPr>
                  <w:tcW w:w="898" w:type="dxa"/>
                  <w:vAlign w:val="center"/>
                </w:tcPr>
                <w:p w14:paraId="12D8C27A">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574" w:type="dxa"/>
                  <w:vAlign w:val="center"/>
                </w:tcPr>
                <w:p w14:paraId="256B2874">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r>
            <w:tr w14:paraId="0B7A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47" w:type="dxa"/>
                  <w:vMerge w:val="continue"/>
                  <w:vAlign w:val="center"/>
                </w:tcPr>
                <w:p w14:paraId="52C8CA00">
                  <w:pPr>
                    <w:spacing w:line="380" w:lineRule="exact"/>
                    <w:jc w:val="center"/>
                    <w:rPr>
                      <w:rFonts w:asciiTheme="majorEastAsia" w:hAnsiTheme="majorEastAsia" w:eastAsiaTheme="majorEastAsia" w:cstheme="majorEastAsia"/>
                      <w:color w:val="auto"/>
                      <w:sz w:val="21"/>
                      <w:szCs w:val="21"/>
                      <w:highlight w:val="none"/>
                    </w:rPr>
                  </w:pPr>
                </w:p>
              </w:tc>
              <w:tc>
                <w:tcPr>
                  <w:tcW w:w="1215" w:type="dxa"/>
                  <w:vAlign w:val="center"/>
                </w:tcPr>
                <w:p w14:paraId="654B37DF">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校园机动执勤</w:t>
                  </w:r>
                </w:p>
              </w:tc>
              <w:tc>
                <w:tcPr>
                  <w:tcW w:w="898" w:type="dxa"/>
                  <w:vAlign w:val="center"/>
                </w:tcPr>
                <w:p w14:paraId="3C53C4F5">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w:t>
                  </w:r>
                </w:p>
              </w:tc>
              <w:tc>
                <w:tcPr>
                  <w:tcW w:w="3574" w:type="dxa"/>
                  <w:vAlign w:val="center"/>
                </w:tcPr>
                <w:p w14:paraId="5237A51B">
                  <w:pPr>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负责整个校区的安全巡查</w:t>
                  </w:r>
                </w:p>
              </w:tc>
            </w:tr>
          </w:tbl>
          <w:p w14:paraId="4067F84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共计35个岗位（管理岗除外，每个岗位至少安排4人）。</w:t>
            </w:r>
          </w:p>
          <w:p w14:paraId="588F010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（二）工作时间</w:t>
            </w:r>
          </w:p>
          <w:p w14:paraId="6E4371C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24小时轮岗执勤，服务单位全年无休。</w:t>
            </w:r>
          </w:p>
          <w:p w14:paraId="7369164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（三）服务要求</w:t>
            </w:r>
          </w:p>
          <w:p w14:paraId="1901B7B3">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门卫管理：学校大门的24小时门卫管理，严格执行人员、车辆、物资进出管理；按时立岗，礼貌待人，树立良好的窗口形象；对来访人员实行验证登记制度，禁止闲杂人员混入校园；对携物出门实行出门验证审核制度，防止财务流失；维护责任区域秩序，与各岗位互通信息；值班室无闲杂人员滞留，保持内外环境整洁卫生，防止携带宠物进校园，门前卫生三包。</w:t>
            </w:r>
          </w:p>
          <w:p w14:paraId="5281E876">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2.负责教学区整体的交通安全管理，保障各类车辆（含自行车）有序停放及安全，确保校园交通安全畅顺，管理交通安全设施设备。校外电瓶车、未预约校外机动车未经允许不得进入校园。</w:t>
            </w:r>
          </w:p>
          <w:p w14:paraId="238C2B2D">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区域守护（楼宇）：做好各楼宇的24小时安全值守和巡查，来人来访的通报、证件检查、物品出入查验登记工作；每天夜间、节假日全天的定时清场；熟悉守护区域的情况特点，定点守卫与区域巡查相结合；掌握消防栓、灭火器等安全设施的位置、性能和使用方法；及时处置突发事件，维护责任区域公共秩序，协助各岗位开展校园交通秩序管理；发现可疑人员主动盘问，发现违规行为，大胆管理，主动干预，发现异常及安全隐患排查，立即采取措施并报告，制止暴力事件，有效处置各种违法犯罪行为；保持岗位卫生整洁，无闲杂人员滞留。</w:t>
            </w:r>
          </w:p>
          <w:p w14:paraId="79F139D2">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治安巡逻：发现和排除各种不安全因素，及时处置各种违法犯罪行为；善于发现、分析处理各种事故隐患和突发事件；配置巡逻车辆，根据不同情况，灵活执行相应的巡逻方案；加强对重点区域、要害部位的安全巡查，巡查踩点不流于形式，并与监控中心保持联动；协助各岗位开展校园秩序维护和交通秩序管理工作；协助楼宇管理人员及责任部门开展安全防范，负责学校教工生活区楼宇的夜间巡逻，校园公共部位安全隐患检查、排除及上报；建筑施工期间，做好施工区域保卫工作，禁止师生通行；如实记录汇报巡逻记录，每日巡逻频次不低于4次，发现安全隐患或突发情况及时处理并汇报。</w:t>
            </w:r>
          </w:p>
          <w:p w14:paraId="4CCDEFCA">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5.如突发公共卫生事件，严格执行学校要求，做好防控管理工作； 保持校门及周边公共卫生，做好门岗门前卫生三包工作。</w:t>
            </w:r>
          </w:p>
          <w:p w14:paraId="77A2D75D">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6.消防管理</w:t>
            </w:r>
          </w:p>
          <w:p w14:paraId="7DBDB427">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（1）建立完善的消防管理台账、制度并严格执行。</w:t>
            </w:r>
          </w:p>
          <w:p w14:paraId="0800755D">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（2）保证配备的人员熟练掌握防火、灭火知识和消防器材使用方法。</w:t>
            </w:r>
          </w:p>
          <w:p w14:paraId="5E92F9EA">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（3）做好消防监控工作，对一般火情火险能及时发现报警，及时扑灭。</w:t>
            </w:r>
          </w:p>
          <w:p w14:paraId="69EC865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（4）做好日常消防的宣传和防范工作，及时发现并消除消防隐患。</w:t>
            </w:r>
          </w:p>
          <w:p w14:paraId="4E42E8E2">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（5）按照委托人安全防火工作的需要，按行业标准做好消防系统、设备、器材的使用和日常保养工作，保证系统、设备和器材的完好，系统24小时正常运行。</w:t>
            </w:r>
          </w:p>
          <w:p w14:paraId="6E1AC333">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以上岗位需要做好相关登记及存档工作。</w:t>
            </w:r>
          </w:p>
          <w:p w14:paraId="7DBC39FB">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7.树立“服务第一，师生至上”的管理理念，加强与采购人的沟通交流，服从采购人的管理，切实维护学校与师生的人身和财产安全。</w:t>
            </w:r>
          </w:p>
          <w:p w14:paraId="1A856A9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8.坚持原则、缜密严谨；以人为本、主动热情服务；处理问题有理有节、及时到位，严禁与师生发生冲突。</w:t>
            </w:r>
          </w:p>
          <w:p w14:paraId="1C78939E">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9.上岗人员仪表整洁，业务操作规范，礼貌待人，保持岗位卫生整洁。</w:t>
            </w:r>
          </w:p>
          <w:p w14:paraId="728313BD">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10.依法办事，文明执勤，不与师生发生争吵，杜绝保安与师生发生冲突，禁止保安出手伤及师生人身安全。</w:t>
            </w:r>
          </w:p>
          <w:p w14:paraId="117F7ED1">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11.师生有求必应，有险情必出。</w:t>
            </w:r>
          </w:p>
          <w:p w14:paraId="6304076A">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12.依法办事，文明执勤，严格管理，及时发现校园安全隐患，及时处理突发安全事故，具备应急救护能力，保障学校财产和师生人身不受侵害，维护正常的教育教学、生活秩序。</w:t>
            </w:r>
          </w:p>
          <w:p w14:paraId="3013B615">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中标供应商应认真理解学校安保服务的教育属性，熟悉校园管理的特点，做好保安队员服务意识培训，根据校园内的不同服务对象，提供切实可行的校园安保服务，完善专项管理制度，中标人必须于每季度到采购人实际管理部门接洽安保管理工作至少一次。</w:t>
            </w:r>
          </w:p>
          <w:p w14:paraId="4758E0E5">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（四）队伍建设与管理要求</w:t>
            </w:r>
          </w:p>
          <w:p w14:paraId="20A025D6">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1.中标供应商负责提供进驻保安人员值勤所需的保安服装、对讲机（使用条件需符合《中华人民共和国无线电管理条例》）、武装带、警械、手电、雨具、常用办公用品及耗材等。</w:t>
            </w:r>
          </w:p>
          <w:p w14:paraId="2A929C2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2.保安人员（包括管理人员）上岗必须统一着装（着保安服，系武装带，配警棍、对讲机，夜间配手电筒），坚守岗位，履行职责，文明执勤。</w:t>
            </w:r>
          </w:p>
          <w:p w14:paraId="06951954">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3.从学校安全实际出发，每月开展1—2次在岗人员业务技能培训和应急预案演练。</w:t>
            </w:r>
          </w:p>
          <w:p w14:paraId="36066FD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4.内部管理体制健全，保证日常保安队伍的规范化管理。保安人员要遵守并严格执行采购人制定的有关规章制度，接受采购人的统一管理，维护采购人的利益。</w:t>
            </w:r>
          </w:p>
          <w:p w14:paraId="129BA571">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5.中标供应商具备相关信息化管理能力，通过信息化管理提高学校整体工作效能、服务质量和管理水平。</w:t>
            </w:r>
          </w:p>
          <w:p w14:paraId="17A7D16C">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6.中标供应商必须采取切实有效措施保持保安队伍的稳定；保安队伍管理人员更换，应提前一个月以书面形式通知采购人，其他队员更换要提前三天告知采购人，确保服务质量不因人员变动而受影响。</w:t>
            </w:r>
          </w:p>
          <w:p w14:paraId="22D16264">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采购人有权随时对保安人员工作情况进行检查，有权对违规或不称职保安人员提出处罚、调换或辞退要求，中标供应商应在三天内予以相应处理；如保安人员违反采购人管理规定，中标供应商必须接受采购人根据双方认可的管理与考核制度进行的处罚（包括提前解约）。</w:t>
            </w:r>
          </w:p>
          <w:p w14:paraId="4B12F712">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8.保安应聘、录用、离职等管理档案规范，手续齐全，相应资料必须报采购人备案。</w:t>
            </w:r>
          </w:p>
          <w:p w14:paraId="04202DE3">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9.加强对保安人员业务的管理，确保保安队员遵纪守法，在校园内无违规违法事件发生。</w:t>
            </w:r>
          </w:p>
          <w:p w14:paraId="248C222E">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（五）保安人员职责</w:t>
            </w:r>
          </w:p>
          <w:p w14:paraId="19AAE377">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1.主管岗位职责（包括副主管）</w:t>
            </w:r>
          </w:p>
          <w:p w14:paraId="4CE6E92D">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（1）负责对接学校工作，对保安人员落实24小时值班制度的情况进行监督和检查。密切保持保安人员的通信联络，检查各值班岗位人员的值勤情况。</w:t>
            </w:r>
          </w:p>
          <w:p w14:paraId="2F56AA3E">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（2）制定突发事件的处理程序，建立和健全各项安全保卫制度，密切配合学校各项工作。</w:t>
            </w:r>
          </w:p>
          <w:p w14:paraId="27F0A41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（3）每天定时或不定时巡视管辖区域的安全工作，并做好记录，建立正常的巡逻制度并明确重点保卫目标。</w:t>
            </w:r>
          </w:p>
          <w:p w14:paraId="27CA0868">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（4）完善管辖区域的安全防范措施，安全岗位设施、设备器材等使用情况，保证其能在工作中达到预先的使用效果。</w:t>
            </w:r>
          </w:p>
          <w:p w14:paraId="6AC1B6FE">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（5）检查管辖区域内有无妨害公共安全和社会治安秩序的行为，并及时进行纠正，提出整改意见，跟进处理结果，并做好记录、归档。</w:t>
            </w:r>
          </w:p>
          <w:p w14:paraId="2B27CFFA">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（6）接待投诉，协助学校处理各种突发事件和治安违纪行为。</w:t>
            </w:r>
          </w:p>
          <w:p w14:paraId="2B0AC89E">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（7）做好保安人员的出勤统计，业绩考核等的登记管理工作。</w:t>
            </w:r>
          </w:p>
          <w:p w14:paraId="08C2AE3D">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（8）掌握保安人员的思想动态，定期召开员工会议，做好员工的沟通工作。定期对保安人员进行职业安全思想道德和各类业务技能的培训工作。</w:t>
            </w:r>
          </w:p>
          <w:p w14:paraId="0350BDC5">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（9）以身作则，亲力亲为，全面提高安全管理工作与服务的质量。</w:t>
            </w:r>
          </w:p>
          <w:p w14:paraId="73344222">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2.保安班长岗位职责</w:t>
            </w:r>
          </w:p>
          <w:p w14:paraId="48576FB2">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（1）严格执行学校的规章制度。</w:t>
            </w:r>
          </w:p>
          <w:p w14:paraId="4AEB9F9C">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（2）做好队员的思想工作，要关心爱护队员，了解队员的思想、工作、家庭等的情况，及时发现问题。如实向队长反映队员工作、思想动态和意见。做到政治上关心，思想上信任，工作上教导，生活上体贴。</w:t>
            </w:r>
          </w:p>
          <w:p w14:paraId="47E1BB6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（3）负责保安队伍日常管理工作。根据人员、岗位的要求进行人次、人员调配。公平、公正地处理队员在工作中发生的各类矛盾，严格管理，不歧视、打骂、侮辱队员。</w:t>
            </w:r>
          </w:p>
          <w:p w14:paraId="0F2B4C4A">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（4）不断提高队员的业务素质。要有计划地组织队员学习业务，检查督促队员管好、用好装备和消防器材，使其保持良好工作状态。</w:t>
            </w:r>
          </w:p>
          <w:p w14:paraId="4DA9FB13">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（5）认真做好考勤工作。制定每月排班表，监督下属的出勤，做好在岗状况交接班记录的检查，及时、准确填报公司印发的各项表格，及时总结当月工作情况和计划下月的工作目标。</w:t>
            </w:r>
          </w:p>
          <w:p w14:paraId="0D77CCB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（6）加强岗位检查。队长每日至少要进行一次岗位检查，对检查中发现的问题要进行登记，好的表扬，差的批评。</w:t>
            </w:r>
          </w:p>
          <w:p w14:paraId="78455CB3">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（7）抓好队容队纪。按着装规定，每日要检查队员的着装，并定期进行检查评比。及时纠正违反着装规定的现象。经常不断地进行语言、举止、行为的教育，创造良好的保安形象。</w:t>
            </w:r>
          </w:p>
          <w:p w14:paraId="6923A657">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（8）突发事件的处理（火灾、偷窃、打架等）等安全保障。</w:t>
            </w:r>
          </w:p>
          <w:p w14:paraId="08731297">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（9）遇到治安、突发事件等应立即赶到现场，并组织队员进行现场秩序维护和处理，并及时上报上级领导。</w:t>
            </w:r>
          </w:p>
          <w:p w14:paraId="24978A53">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（10）负责顶替休假/请假/临时离岗人员的岗位工作。</w:t>
            </w:r>
          </w:p>
          <w:p w14:paraId="056E0465">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3.大门值守保安岗位职责</w:t>
            </w:r>
          </w:p>
          <w:p w14:paraId="2B6E74B1">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大门是学校安全的第一道防线，大门值守保安也是学校形象的代表，应具有良好的素质与修养，并认真履行以下岗位职责：</w:t>
            </w:r>
          </w:p>
          <w:p w14:paraId="64B6BEA4">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（1）按时交接班。白天交接班时，双方应交接有关情况和物品。接班人员未按时到岗，交班人员不得擅自离开岗位。</w:t>
            </w:r>
          </w:p>
          <w:p w14:paraId="550FF0FC">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（2）严格执行门卫制度，着装整洁，保持良好的精神状态。</w:t>
            </w:r>
          </w:p>
          <w:p w14:paraId="1AADDEC0">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（3）积极配合学校做好安全管理等各项工作，严格落实学校各项管理制度。</w:t>
            </w:r>
          </w:p>
          <w:p w14:paraId="4703C2B8">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（4）加强自身修养，坚持文明值班，礼貌待人，遇事冷静。对不服从管理的人员，应耐心解释、说明，不得用不文明的方式对待任何人。</w:t>
            </w:r>
          </w:p>
          <w:p w14:paraId="45EBFBE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（5）坚守岗位，不得擅离职守，不做与工作无关的事情，时刻注意进出校门的人员情况。</w:t>
            </w:r>
          </w:p>
          <w:p w14:paraId="40184DD8">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（6）保持值班室内外清洁，发现垃圾或丢弃物应及时清扫。交班前，整理好室内物品。</w:t>
            </w:r>
          </w:p>
          <w:p w14:paraId="6CEF18C1">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（7）爱护值班室内外的设施、设备，发现问题或故障，应及时保修，不得影响工作。</w:t>
            </w:r>
          </w:p>
          <w:p w14:paraId="1EBEFA09">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（8）认真记录值班时发生和处理的各种情况以及接听的重要电话，及时报告有关领导。交班时，应将重要事项向交班人交代清楚。</w:t>
            </w:r>
          </w:p>
          <w:p w14:paraId="1F3C4963">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4.巡逻岗位职责：</w:t>
            </w:r>
          </w:p>
          <w:p w14:paraId="67BE1261">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（1）服装整齐，文明礼貌执勤，不脱岗。</w:t>
            </w:r>
          </w:p>
          <w:p w14:paraId="3DFA5252">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（2）负责学校日常防火、防盗等安全巡查，及时发现安全隐患，防止意外事故发生，严格落实学校安全巡逻制度。</w:t>
            </w:r>
          </w:p>
          <w:p w14:paraId="13BE5F06">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（3）保持大门口畅通，车辆停放整齐。</w:t>
            </w:r>
          </w:p>
          <w:p w14:paraId="6A41C0CA">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（4）严格管理好车辆的停放，保持学校内应急通道畅通。</w:t>
            </w:r>
          </w:p>
          <w:p w14:paraId="7D47A587">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（5）巡逻保安必须勤巡逻，对学校内的重要部位勤巡、勤看，并做好详细登记，发现异常情况要及时报告学校安全办或“110”指挥中心。</w:t>
            </w:r>
          </w:p>
          <w:p w14:paraId="25E437F4">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（6）在值班过程中发现火灾隐患及火情要及时报告相关领导或“119”火警。</w:t>
            </w:r>
          </w:p>
          <w:p w14:paraId="4FF6E17B">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（六）保安人员的招聘与录用条件</w:t>
            </w:r>
          </w:p>
          <w:p w14:paraId="1E6B604D">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1.保安人员的招聘工作由中标供应商负责；录用条件为无犯罪记录且满足《保安服务管理条例》等相关法律法规规定的保安人员的任职资格和合法手续。</w:t>
            </w:r>
          </w:p>
          <w:p w14:paraId="5E665DFC">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向采购人派遣的保安人员必须遵守法纪，无违法记录，身体健康（中标后向采购人出具所派遣人员的《健康证》），接受过正规专业训练（持《保安上岗证》）且身高不低于1.65米，年龄在20—55岁之间（45-55岁之间队员人数不能超过总队员人数的30%），初中以上（含初中）学历。</w:t>
            </w:r>
          </w:p>
          <w:p w14:paraId="4B8211BB">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保安主管：年龄50岁以下，身体健康，大专及以上文化程度，具有国家行政机关颁发的二级</w:t>
            </w:r>
            <w:r>
              <w:rPr>
                <w:rFonts w:hint="eastAsia" w:ascii="宋体" w:hAnsi="宋体" w:cs="宋体"/>
                <w:color w:val="auto"/>
                <w:szCs w:val="21"/>
                <w:highlight w:val="none"/>
                <w:lang w:val="en-US" w:eastAsia="zh-CN"/>
              </w:rPr>
              <w:t>及以上</w:t>
            </w:r>
            <w:r>
              <w:rPr>
                <w:rFonts w:hint="eastAsia" w:ascii="宋体" w:hAnsi="宋体" w:cs="宋体"/>
                <w:color w:val="auto"/>
                <w:szCs w:val="21"/>
                <w:highlight w:val="none"/>
              </w:rPr>
              <w:t>保安员证书，并且有1年及以上校园管理的工作经验，熟悉安保管理法规，政治素质好，作风正派，管理能力强，有开拓创新精神。投标文件中须提供二级及以上保安员证书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投标人与其签订的劳动（或劳务）合同或近半年内连续三个月的依法缴纳社会保障资金的缴费凭证。</w:t>
            </w:r>
          </w:p>
          <w:p w14:paraId="59AA3FB4">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保安班长：年龄</w:t>
            </w: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岁以下；政治素质好，大专及以上文化程度，具有国家行政机关颁发的保安员证书，身体健康，反应灵敏，形象较好，具有一定的管理能力，接受过专业保安管理训练，能带领队员较好完成工作任务。投标文件中须提供保安员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投标人与其签订的劳动（或劳务）合同或近半年内连续三个月的依法缴纳社会保障资金的缴费凭证。</w:t>
            </w:r>
          </w:p>
          <w:p w14:paraId="7E3A193C">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视频监控岗位：年龄在20—40岁之间，身高在1.55米以上，政治素质好，高中以上学历，计算机专业或熟悉计算机操作。</w:t>
            </w:r>
          </w:p>
          <w:p w14:paraId="3D722C4A">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消防控制室岗位：反应灵敏，政治素质好，高中以上学历，计算机专业或熟悉计算机操作，须持消防部门要求证件上岗。</w:t>
            </w:r>
          </w:p>
          <w:p w14:paraId="25E5F155">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3.派驻的保安员必须经过岗前培训并取得保安员证（所有证件建档备查）。</w:t>
            </w:r>
          </w:p>
          <w:p w14:paraId="34230C0B">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4.派驻人员需经采购人审核通过后方可派遣到采购人校内进行保安服务。</w:t>
            </w:r>
          </w:p>
          <w:p w14:paraId="2AB0DA22">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供应商负责对派驻保安员的思想教育、劳动纪律和技能培训等日常管理工作。派驻人员在采购人工作区域内的失职、违法犯罪和本人责任的安全事故等行为及后果，给采购人造成损失及人身伤害的，由中标供应商负责，涉嫌犯罪人员移交公安机关处理。</w:t>
            </w:r>
          </w:p>
          <w:p w14:paraId="67A4F61B">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6.中标人负责与派驻保安员签订劳动合同，建立劳动关系，为其办理相关保险以及按时支付服务人员劳动报酬，发放劳保等用品。</w:t>
            </w:r>
          </w:p>
          <w:p w14:paraId="082F3A7A">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7.派驻保安员中有8名以上持有消防设施操作员证（或建（构）筑物消防员证）（所有证件建档备查）。</w:t>
            </w:r>
          </w:p>
          <w:p w14:paraId="03599F8D">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8.派驻保安人员中退役军人至少占比≥10%。</w:t>
            </w:r>
          </w:p>
          <w:p w14:paraId="10F8DB09">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9.派驻的保安员应穿着制服，佩戴《上岗证》，文明执勤、依法执勤、礼貌待人。</w:t>
            </w:r>
          </w:p>
          <w:p w14:paraId="75D956B8">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10.派驻的保安员应当接受采购人的管理和指挥，完成临时交办的相关工作。</w:t>
            </w:r>
          </w:p>
          <w:p w14:paraId="4692B9B3">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11.保安员按照规定，有权坚持原则，履行职责，以维护采购人合法利益。如保安员按照要求在执勤中遇到违规问题的，有权进行制止，做好记录或通报采购人，采购人应给予支持配合，并积极协助妥善处理。</w:t>
            </w:r>
          </w:p>
          <w:p w14:paraId="75ABC775">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采购人的各项规章制度，中标供应商需遵照执行并组织保安人员学习，中标供应商需遵照执行并组织保安人员学习，保安人员上岗前应确保理解到位；所派保安人员有损毁、侵占采购人公私财物行为的，必须无条件赔偿全部损失并清退相关责任人，涉嫌犯罪的移交公安机关处理。</w:t>
            </w:r>
          </w:p>
          <w:p w14:paraId="353234F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13.建立服务管理档案并负责及时记载有关变更情况。</w:t>
            </w:r>
          </w:p>
          <w:p w14:paraId="2C59F8C7">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（七）风险承担</w:t>
            </w:r>
          </w:p>
          <w:p w14:paraId="1475C5AF">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1.采购人将对中标供应商服务质量进行全过程监控，中标供应商日常工作不到位、不达标或有违约现象，将依据合同约定，作出相应的违约处理与处罚。</w:t>
            </w:r>
          </w:p>
          <w:p w14:paraId="3FB776A0">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2.保安人员在岗履行工作职责期间，发生的自身意外伤害、死亡事故，均由中标供应商负责处理并承担法律和道义上的责任，采购人不承担任何责任。</w:t>
            </w:r>
          </w:p>
          <w:p w14:paraId="6DA320BC">
            <w:pPr>
              <w:tabs>
                <w:tab w:val="left" w:pos="14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3.中标供应商违反国家相关法规，与聘用人员发生纠纷，均由中标供应商负责调解与处理，采购人不承担责任。</w:t>
            </w:r>
          </w:p>
          <w:p w14:paraId="152C45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4.中标供应商在保安服务中违反国家相关法规或保安行业规范，因过失造成他人人身伤亡的，均由中标供应商负责处理并承担法律和道义上的责任，采购人不承担任何责任。</w:t>
            </w:r>
          </w:p>
          <w:p w14:paraId="7928EA34">
            <w:pPr>
              <w:pStyle w:val="7"/>
              <w:spacing w:before="100" w:after="100" w:line="360" w:lineRule="auto"/>
              <w:ind w:firstLine="422" w:firstLineChars="200"/>
              <w:rPr>
                <w:rFonts w:ascii="宋体" w:hAnsi="宋体" w:cs="宋体"/>
                <w:color w:val="auto"/>
                <w:sz w:val="21"/>
                <w:szCs w:val="21"/>
                <w:highlight w:val="none"/>
              </w:rPr>
            </w:pPr>
            <w:r>
              <w:rPr>
                <w:rFonts w:hint="eastAsia" w:ascii="宋体" w:hAnsi="宋体" w:cs="宋体"/>
                <w:color w:val="auto"/>
                <w:sz w:val="21"/>
                <w:szCs w:val="21"/>
                <w:highlight w:val="none"/>
              </w:rPr>
              <w:t>三、处罚标准及解除合同条款</w:t>
            </w:r>
          </w:p>
          <w:p w14:paraId="67DC8F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采购人（保卫处）负责每季度对中标人保安队伍进行考核，在工作中发现保安人员存在以下违规违纪行为者，采购人将对中标人进行累计扣分，</w:t>
            </w:r>
            <w:r>
              <w:rPr>
                <w:rFonts w:ascii="宋体" w:hAnsi="宋体" w:cs="宋体"/>
                <w:color w:val="auto"/>
                <w:szCs w:val="21"/>
                <w:highlight w:val="none"/>
              </w:rPr>
              <w:t>累计扣分≥30分则启动整改程序，整改后仍不达标，则视为中标人违约，采购人可单方面即刻</w:t>
            </w:r>
            <w:r>
              <w:rPr>
                <w:rFonts w:hint="eastAsia" w:ascii="宋体" w:hAnsi="宋体" w:cs="宋体"/>
                <w:color w:val="auto"/>
                <w:szCs w:val="21"/>
                <w:highlight w:val="none"/>
              </w:rPr>
              <w:t>解除合同。相关考核管理办法如下：</w:t>
            </w:r>
          </w:p>
          <w:tbl>
            <w:tblPr>
              <w:tblStyle w:val="53"/>
              <w:tblW w:w="6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08"/>
              <w:gridCol w:w="791"/>
              <w:gridCol w:w="776"/>
              <w:gridCol w:w="737"/>
            </w:tblGrid>
            <w:tr w14:paraId="7D17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860" w:type="dxa"/>
                  <w:gridSpan w:val="5"/>
                </w:tcPr>
                <w:p w14:paraId="2D92F3E6">
                  <w:pPr>
                    <w:spacing w:line="360" w:lineRule="auto"/>
                    <w:jc w:val="center"/>
                    <w:rPr>
                      <w:rFonts w:ascii="Calibri" w:hAnsi="Calibri" w:cs="宋体"/>
                      <w:color w:val="auto"/>
                      <w:szCs w:val="21"/>
                      <w:highlight w:val="none"/>
                    </w:rPr>
                  </w:pPr>
                  <w:r>
                    <w:rPr>
                      <w:rFonts w:hint="eastAsia" w:ascii="宋体" w:hAnsi="宋体" w:cs="宋体"/>
                      <w:b/>
                      <w:bCs/>
                      <w:color w:val="auto"/>
                      <w:szCs w:val="21"/>
                      <w:highlight w:val="none"/>
                    </w:rPr>
                    <w:t>广西师范大学安保队伍考核管理办法</w:t>
                  </w:r>
                </w:p>
              </w:tc>
            </w:tr>
            <w:tr w14:paraId="4A09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48" w:type="dxa"/>
                  <w:shd w:val="clear" w:color="auto" w:fill="auto"/>
                  <w:vAlign w:val="center"/>
                </w:tcPr>
                <w:p w14:paraId="692D1A4B">
                  <w:pPr>
                    <w:spacing w:line="360" w:lineRule="auto"/>
                    <w:jc w:val="center"/>
                    <w:rPr>
                      <w:rFonts w:ascii="Calibri" w:hAnsi="Calibri" w:cs="宋体"/>
                      <w:b/>
                      <w:bCs/>
                      <w:color w:val="auto"/>
                      <w:szCs w:val="21"/>
                      <w:highlight w:val="none"/>
                    </w:rPr>
                  </w:pPr>
                  <w:r>
                    <w:rPr>
                      <w:rFonts w:hint="eastAsia" w:cs="宋体"/>
                      <w:b/>
                      <w:bCs/>
                      <w:color w:val="auto"/>
                      <w:szCs w:val="21"/>
                      <w:highlight w:val="none"/>
                    </w:rPr>
                    <w:t>序号</w:t>
                  </w:r>
                </w:p>
              </w:tc>
              <w:tc>
                <w:tcPr>
                  <w:tcW w:w="3908" w:type="dxa"/>
                  <w:shd w:val="clear" w:color="auto" w:fill="auto"/>
                  <w:vAlign w:val="center"/>
                </w:tcPr>
                <w:p w14:paraId="194E1FA3">
                  <w:pPr>
                    <w:spacing w:line="360" w:lineRule="auto"/>
                    <w:jc w:val="center"/>
                    <w:rPr>
                      <w:rFonts w:ascii="Calibri" w:hAnsi="Calibri" w:cs="宋体"/>
                      <w:b/>
                      <w:bCs/>
                      <w:color w:val="auto"/>
                      <w:szCs w:val="21"/>
                      <w:highlight w:val="none"/>
                    </w:rPr>
                  </w:pPr>
                  <w:r>
                    <w:rPr>
                      <w:rFonts w:hint="eastAsia" w:cs="宋体"/>
                      <w:b/>
                      <w:bCs/>
                      <w:color w:val="auto"/>
                      <w:szCs w:val="21"/>
                      <w:highlight w:val="none"/>
                    </w:rPr>
                    <w:t>考核情况</w:t>
                  </w:r>
                </w:p>
              </w:tc>
              <w:tc>
                <w:tcPr>
                  <w:tcW w:w="791" w:type="dxa"/>
                  <w:shd w:val="clear" w:color="auto" w:fill="auto"/>
                  <w:vAlign w:val="center"/>
                </w:tcPr>
                <w:p w14:paraId="02222724">
                  <w:pPr>
                    <w:spacing w:line="360" w:lineRule="auto"/>
                    <w:jc w:val="center"/>
                    <w:rPr>
                      <w:rFonts w:ascii="Calibri" w:hAnsi="Calibri" w:cs="宋体"/>
                      <w:b/>
                      <w:bCs/>
                      <w:color w:val="auto"/>
                      <w:szCs w:val="21"/>
                      <w:highlight w:val="none"/>
                    </w:rPr>
                  </w:pPr>
                  <w:r>
                    <w:rPr>
                      <w:rFonts w:hint="eastAsia" w:cs="宋体"/>
                      <w:b/>
                      <w:bCs/>
                      <w:color w:val="auto"/>
                      <w:szCs w:val="21"/>
                      <w:highlight w:val="none"/>
                    </w:rPr>
                    <w:t>扣分情况</w:t>
                  </w:r>
                </w:p>
              </w:tc>
              <w:tc>
                <w:tcPr>
                  <w:tcW w:w="776" w:type="dxa"/>
                  <w:shd w:val="clear" w:color="auto" w:fill="auto"/>
                  <w:vAlign w:val="center"/>
                </w:tcPr>
                <w:p w14:paraId="1BC3C8EB">
                  <w:pPr>
                    <w:spacing w:line="360" w:lineRule="auto"/>
                    <w:jc w:val="center"/>
                    <w:rPr>
                      <w:rFonts w:ascii="Calibri" w:hAnsi="Calibri" w:cs="宋体"/>
                      <w:b/>
                      <w:bCs/>
                      <w:color w:val="auto"/>
                      <w:szCs w:val="21"/>
                      <w:highlight w:val="none"/>
                    </w:rPr>
                  </w:pPr>
                  <w:r>
                    <w:rPr>
                      <w:rFonts w:hint="eastAsia" w:cs="宋体"/>
                      <w:b/>
                      <w:bCs/>
                      <w:color w:val="auto"/>
                      <w:szCs w:val="21"/>
                      <w:highlight w:val="none"/>
                    </w:rPr>
                    <w:t>扣分说明</w:t>
                  </w:r>
                </w:p>
              </w:tc>
              <w:tc>
                <w:tcPr>
                  <w:tcW w:w="737" w:type="dxa"/>
                  <w:shd w:val="clear" w:color="auto" w:fill="auto"/>
                  <w:vAlign w:val="center"/>
                </w:tcPr>
                <w:p w14:paraId="6CAEE94B">
                  <w:pPr>
                    <w:spacing w:line="360" w:lineRule="auto"/>
                    <w:jc w:val="center"/>
                    <w:rPr>
                      <w:rFonts w:ascii="Calibri" w:hAnsi="Calibri" w:cs="宋体"/>
                      <w:b/>
                      <w:bCs/>
                      <w:color w:val="auto"/>
                      <w:szCs w:val="21"/>
                      <w:highlight w:val="none"/>
                    </w:rPr>
                  </w:pPr>
                  <w:r>
                    <w:rPr>
                      <w:rFonts w:hint="eastAsia" w:cs="宋体"/>
                      <w:b/>
                      <w:bCs/>
                      <w:color w:val="auto"/>
                      <w:szCs w:val="21"/>
                      <w:highlight w:val="none"/>
                    </w:rPr>
                    <w:t>备注</w:t>
                  </w:r>
                </w:p>
              </w:tc>
            </w:tr>
            <w:tr w14:paraId="77F4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648" w:type="dxa"/>
                  <w:vAlign w:val="center"/>
                </w:tcPr>
                <w:p w14:paraId="49322E3B">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1A0B6DF9">
                  <w:pPr>
                    <w:spacing w:line="360" w:lineRule="auto"/>
                    <w:rPr>
                      <w:rFonts w:ascii="Calibri" w:hAnsi="Calibri" w:cs="宋体"/>
                      <w:color w:val="auto"/>
                      <w:szCs w:val="21"/>
                      <w:highlight w:val="none"/>
                    </w:rPr>
                  </w:pPr>
                  <w:r>
                    <w:rPr>
                      <w:rFonts w:hint="eastAsia" w:ascii="宋体" w:hAnsi="宋体" w:cs="宋体"/>
                      <w:color w:val="auto"/>
                      <w:szCs w:val="21"/>
                      <w:highlight w:val="none"/>
                    </w:rPr>
                    <w:t>值班期间有睡岗，未按规定着装、吸烟、酗酒上岗等违反值班规定的，发现一次扣1分</w:t>
                  </w:r>
                </w:p>
              </w:tc>
              <w:tc>
                <w:tcPr>
                  <w:tcW w:w="791" w:type="dxa"/>
                </w:tcPr>
                <w:p w14:paraId="37588D3E">
                  <w:pPr>
                    <w:spacing w:line="360" w:lineRule="auto"/>
                    <w:rPr>
                      <w:rFonts w:ascii="Calibri" w:hAnsi="Calibri" w:cs="宋体"/>
                      <w:color w:val="auto"/>
                      <w:szCs w:val="21"/>
                      <w:highlight w:val="none"/>
                    </w:rPr>
                  </w:pPr>
                </w:p>
              </w:tc>
              <w:tc>
                <w:tcPr>
                  <w:tcW w:w="776" w:type="dxa"/>
                </w:tcPr>
                <w:p w14:paraId="4B34C621">
                  <w:pPr>
                    <w:spacing w:line="360" w:lineRule="auto"/>
                    <w:rPr>
                      <w:rFonts w:ascii="Calibri" w:hAnsi="Calibri" w:cs="宋体"/>
                      <w:color w:val="auto"/>
                      <w:szCs w:val="21"/>
                      <w:highlight w:val="none"/>
                    </w:rPr>
                  </w:pPr>
                </w:p>
              </w:tc>
              <w:tc>
                <w:tcPr>
                  <w:tcW w:w="737" w:type="dxa"/>
                </w:tcPr>
                <w:p w14:paraId="62AB4987">
                  <w:pPr>
                    <w:spacing w:line="360" w:lineRule="auto"/>
                    <w:rPr>
                      <w:rFonts w:ascii="Calibri" w:hAnsi="Calibri" w:cs="宋体"/>
                      <w:color w:val="auto"/>
                      <w:szCs w:val="21"/>
                      <w:highlight w:val="none"/>
                    </w:rPr>
                  </w:pPr>
                </w:p>
              </w:tc>
            </w:tr>
            <w:tr w14:paraId="601E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48" w:type="dxa"/>
                  <w:vAlign w:val="center"/>
                </w:tcPr>
                <w:p w14:paraId="5980912F">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029FEE4E">
                  <w:pPr>
                    <w:spacing w:line="360" w:lineRule="auto"/>
                    <w:rPr>
                      <w:rFonts w:ascii="Calibri" w:hAnsi="Calibri" w:cs="宋体"/>
                      <w:color w:val="auto"/>
                      <w:szCs w:val="21"/>
                      <w:highlight w:val="none"/>
                    </w:rPr>
                  </w:pPr>
                  <w:r>
                    <w:rPr>
                      <w:rFonts w:hint="eastAsia" w:ascii="宋体" w:hAnsi="宋体" w:cs="宋体"/>
                      <w:color w:val="auto"/>
                      <w:szCs w:val="21"/>
                      <w:highlight w:val="none"/>
                    </w:rPr>
                    <w:t>值班人员不履行岗位职责或不服从保卫处工作安排的，每人次扣2分</w:t>
                  </w:r>
                </w:p>
              </w:tc>
              <w:tc>
                <w:tcPr>
                  <w:tcW w:w="791" w:type="dxa"/>
                </w:tcPr>
                <w:p w14:paraId="6A6519E4">
                  <w:pPr>
                    <w:spacing w:line="360" w:lineRule="auto"/>
                    <w:rPr>
                      <w:rFonts w:ascii="Calibri" w:hAnsi="Calibri" w:cs="宋体"/>
                      <w:color w:val="auto"/>
                      <w:szCs w:val="21"/>
                      <w:highlight w:val="none"/>
                    </w:rPr>
                  </w:pPr>
                </w:p>
              </w:tc>
              <w:tc>
                <w:tcPr>
                  <w:tcW w:w="776" w:type="dxa"/>
                </w:tcPr>
                <w:p w14:paraId="3C5998E7">
                  <w:pPr>
                    <w:spacing w:line="360" w:lineRule="auto"/>
                    <w:rPr>
                      <w:rFonts w:ascii="Calibri" w:hAnsi="Calibri" w:cs="宋体"/>
                      <w:color w:val="auto"/>
                      <w:szCs w:val="21"/>
                      <w:highlight w:val="none"/>
                    </w:rPr>
                  </w:pPr>
                </w:p>
              </w:tc>
              <w:tc>
                <w:tcPr>
                  <w:tcW w:w="737" w:type="dxa"/>
                </w:tcPr>
                <w:p w14:paraId="7AAB6261">
                  <w:pPr>
                    <w:spacing w:line="360" w:lineRule="auto"/>
                    <w:rPr>
                      <w:rFonts w:ascii="Calibri" w:hAnsi="Calibri" w:cs="宋体"/>
                      <w:color w:val="auto"/>
                      <w:szCs w:val="21"/>
                      <w:highlight w:val="none"/>
                    </w:rPr>
                  </w:pPr>
                </w:p>
              </w:tc>
            </w:tr>
            <w:tr w14:paraId="6CC8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648" w:type="dxa"/>
                  <w:vAlign w:val="center"/>
                </w:tcPr>
                <w:p w14:paraId="3B5F9F71">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1069946C">
                  <w:pPr>
                    <w:spacing w:line="360" w:lineRule="auto"/>
                    <w:rPr>
                      <w:rFonts w:ascii="Calibri" w:hAnsi="Calibri" w:cs="宋体"/>
                      <w:color w:val="auto"/>
                      <w:szCs w:val="21"/>
                      <w:highlight w:val="none"/>
                    </w:rPr>
                  </w:pPr>
                  <w:r>
                    <w:rPr>
                      <w:rFonts w:hint="eastAsia" w:ascii="宋体" w:hAnsi="宋体" w:cs="宋体"/>
                      <w:color w:val="auto"/>
                      <w:szCs w:val="21"/>
                      <w:highlight w:val="none"/>
                    </w:rPr>
                    <w:t>值班人员在岗时不按规定检查离校物资出门证，导致学校及师生财物流失的，除照价赔偿外，每次扣2分</w:t>
                  </w:r>
                </w:p>
              </w:tc>
              <w:tc>
                <w:tcPr>
                  <w:tcW w:w="791" w:type="dxa"/>
                </w:tcPr>
                <w:p w14:paraId="4C1DF4C9">
                  <w:pPr>
                    <w:spacing w:line="360" w:lineRule="auto"/>
                    <w:rPr>
                      <w:rFonts w:ascii="Calibri" w:hAnsi="Calibri" w:cs="宋体"/>
                      <w:color w:val="auto"/>
                      <w:szCs w:val="21"/>
                      <w:highlight w:val="none"/>
                    </w:rPr>
                  </w:pPr>
                </w:p>
              </w:tc>
              <w:tc>
                <w:tcPr>
                  <w:tcW w:w="776" w:type="dxa"/>
                </w:tcPr>
                <w:p w14:paraId="03F224A8">
                  <w:pPr>
                    <w:spacing w:line="360" w:lineRule="auto"/>
                    <w:rPr>
                      <w:rFonts w:ascii="Calibri" w:hAnsi="Calibri" w:cs="宋体"/>
                      <w:color w:val="auto"/>
                      <w:szCs w:val="21"/>
                      <w:highlight w:val="none"/>
                    </w:rPr>
                  </w:pPr>
                </w:p>
              </w:tc>
              <w:tc>
                <w:tcPr>
                  <w:tcW w:w="737" w:type="dxa"/>
                </w:tcPr>
                <w:p w14:paraId="0139643D">
                  <w:pPr>
                    <w:spacing w:line="360" w:lineRule="auto"/>
                    <w:rPr>
                      <w:rFonts w:ascii="Calibri" w:hAnsi="Calibri" w:cs="宋体"/>
                      <w:color w:val="auto"/>
                      <w:szCs w:val="21"/>
                      <w:highlight w:val="none"/>
                    </w:rPr>
                  </w:pPr>
                </w:p>
              </w:tc>
            </w:tr>
            <w:tr w14:paraId="40E1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648" w:type="dxa"/>
                  <w:vAlign w:val="center"/>
                </w:tcPr>
                <w:p w14:paraId="6EC43435">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74A4D034">
                  <w:pPr>
                    <w:spacing w:line="360" w:lineRule="auto"/>
                    <w:rPr>
                      <w:rFonts w:ascii="Calibri" w:hAnsi="Calibri" w:cs="宋体"/>
                      <w:color w:val="auto"/>
                      <w:szCs w:val="21"/>
                      <w:highlight w:val="none"/>
                    </w:rPr>
                  </w:pPr>
                  <w:r>
                    <w:rPr>
                      <w:rFonts w:hint="eastAsia" w:ascii="宋体" w:hAnsi="宋体" w:cs="宋体"/>
                      <w:color w:val="auto"/>
                      <w:szCs w:val="21"/>
                      <w:highlight w:val="none"/>
                    </w:rPr>
                    <w:t>保安人员由于失职而造成重大事故的，中标人须赔偿一切经济损失，并将责任人移交公安机关处理，同时每次扣10分</w:t>
                  </w:r>
                </w:p>
              </w:tc>
              <w:tc>
                <w:tcPr>
                  <w:tcW w:w="791" w:type="dxa"/>
                </w:tcPr>
                <w:p w14:paraId="1821F1FF">
                  <w:pPr>
                    <w:spacing w:line="360" w:lineRule="auto"/>
                    <w:rPr>
                      <w:rFonts w:ascii="Calibri" w:hAnsi="Calibri" w:cs="宋体"/>
                      <w:color w:val="auto"/>
                      <w:szCs w:val="21"/>
                      <w:highlight w:val="none"/>
                    </w:rPr>
                  </w:pPr>
                </w:p>
              </w:tc>
              <w:tc>
                <w:tcPr>
                  <w:tcW w:w="776" w:type="dxa"/>
                </w:tcPr>
                <w:p w14:paraId="07332109">
                  <w:pPr>
                    <w:spacing w:line="360" w:lineRule="auto"/>
                    <w:rPr>
                      <w:rFonts w:ascii="Calibri" w:hAnsi="Calibri" w:cs="宋体"/>
                      <w:color w:val="auto"/>
                      <w:szCs w:val="21"/>
                      <w:highlight w:val="none"/>
                    </w:rPr>
                  </w:pPr>
                </w:p>
              </w:tc>
              <w:tc>
                <w:tcPr>
                  <w:tcW w:w="737" w:type="dxa"/>
                </w:tcPr>
                <w:p w14:paraId="3A41E9BF">
                  <w:pPr>
                    <w:spacing w:line="360" w:lineRule="auto"/>
                    <w:rPr>
                      <w:rFonts w:ascii="Calibri" w:hAnsi="Calibri" w:cs="宋体"/>
                      <w:color w:val="auto"/>
                      <w:szCs w:val="21"/>
                      <w:highlight w:val="none"/>
                    </w:rPr>
                  </w:pPr>
                </w:p>
              </w:tc>
            </w:tr>
            <w:tr w14:paraId="4CEF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648" w:type="dxa"/>
                  <w:vAlign w:val="center"/>
                </w:tcPr>
                <w:p w14:paraId="442C704B">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3929978A">
                  <w:pPr>
                    <w:spacing w:line="360" w:lineRule="auto"/>
                    <w:rPr>
                      <w:rFonts w:ascii="Calibri" w:hAnsi="Calibri" w:cs="宋体"/>
                      <w:color w:val="auto"/>
                      <w:szCs w:val="21"/>
                      <w:highlight w:val="none"/>
                    </w:rPr>
                  </w:pPr>
                  <w:r>
                    <w:rPr>
                      <w:rFonts w:hint="eastAsia" w:ascii="宋体" w:hAnsi="宋体" w:cs="宋体"/>
                      <w:color w:val="auto"/>
                      <w:szCs w:val="21"/>
                      <w:highlight w:val="none"/>
                    </w:rPr>
                    <w:t>保安人员如有偷盗或其他违法犯罪行为，中标人必须承担一切经济损失和法律责任，每次扣10分</w:t>
                  </w:r>
                </w:p>
              </w:tc>
              <w:tc>
                <w:tcPr>
                  <w:tcW w:w="791" w:type="dxa"/>
                </w:tcPr>
                <w:p w14:paraId="55C4D878">
                  <w:pPr>
                    <w:spacing w:line="360" w:lineRule="auto"/>
                    <w:rPr>
                      <w:rFonts w:ascii="Calibri" w:hAnsi="Calibri" w:cs="宋体"/>
                      <w:color w:val="auto"/>
                      <w:szCs w:val="21"/>
                      <w:highlight w:val="none"/>
                    </w:rPr>
                  </w:pPr>
                </w:p>
              </w:tc>
              <w:tc>
                <w:tcPr>
                  <w:tcW w:w="776" w:type="dxa"/>
                </w:tcPr>
                <w:p w14:paraId="1488548C">
                  <w:pPr>
                    <w:spacing w:line="360" w:lineRule="auto"/>
                    <w:rPr>
                      <w:rFonts w:ascii="Calibri" w:hAnsi="Calibri" w:cs="宋体"/>
                      <w:color w:val="auto"/>
                      <w:szCs w:val="21"/>
                      <w:highlight w:val="none"/>
                    </w:rPr>
                  </w:pPr>
                </w:p>
              </w:tc>
              <w:tc>
                <w:tcPr>
                  <w:tcW w:w="737" w:type="dxa"/>
                </w:tcPr>
                <w:p w14:paraId="32FFDD52">
                  <w:pPr>
                    <w:spacing w:line="360" w:lineRule="auto"/>
                    <w:rPr>
                      <w:rFonts w:ascii="Calibri" w:hAnsi="Calibri" w:cs="宋体"/>
                      <w:color w:val="auto"/>
                      <w:szCs w:val="21"/>
                      <w:highlight w:val="none"/>
                    </w:rPr>
                  </w:pPr>
                </w:p>
              </w:tc>
            </w:tr>
            <w:tr w14:paraId="048F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648" w:type="dxa"/>
                  <w:vAlign w:val="center"/>
                </w:tcPr>
                <w:p w14:paraId="649C2DBE">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1FD7017E">
                  <w:pPr>
                    <w:spacing w:line="360" w:lineRule="auto"/>
                    <w:rPr>
                      <w:rFonts w:ascii="Calibri" w:hAnsi="Calibri" w:cs="宋体"/>
                      <w:color w:val="auto"/>
                      <w:szCs w:val="21"/>
                      <w:highlight w:val="none"/>
                    </w:rPr>
                  </w:pPr>
                  <w:r>
                    <w:rPr>
                      <w:rFonts w:hint="eastAsia" w:ascii="宋体" w:hAnsi="宋体" w:cs="宋体"/>
                      <w:color w:val="auto"/>
                      <w:szCs w:val="21"/>
                      <w:highlight w:val="none"/>
                    </w:rPr>
                    <w:t>保安人员粗暴值勤，被老师和学生投诉或与师生发生肢体冲突的，除将责任人移交公安部门处理外，每次扣10分</w:t>
                  </w:r>
                </w:p>
              </w:tc>
              <w:tc>
                <w:tcPr>
                  <w:tcW w:w="791" w:type="dxa"/>
                </w:tcPr>
                <w:p w14:paraId="35AE9708">
                  <w:pPr>
                    <w:spacing w:line="360" w:lineRule="auto"/>
                    <w:rPr>
                      <w:rFonts w:ascii="Calibri" w:hAnsi="Calibri" w:cs="宋体"/>
                      <w:color w:val="auto"/>
                      <w:szCs w:val="21"/>
                      <w:highlight w:val="none"/>
                    </w:rPr>
                  </w:pPr>
                </w:p>
              </w:tc>
              <w:tc>
                <w:tcPr>
                  <w:tcW w:w="776" w:type="dxa"/>
                </w:tcPr>
                <w:p w14:paraId="4082654F">
                  <w:pPr>
                    <w:spacing w:line="360" w:lineRule="auto"/>
                    <w:rPr>
                      <w:rFonts w:ascii="Calibri" w:hAnsi="Calibri" w:cs="宋体"/>
                      <w:color w:val="auto"/>
                      <w:szCs w:val="21"/>
                      <w:highlight w:val="none"/>
                    </w:rPr>
                  </w:pPr>
                </w:p>
              </w:tc>
              <w:tc>
                <w:tcPr>
                  <w:tcW w:w="737" w:type="dxa"/>
                </w:tcPr>
                <w:p w14:paraId="1448EB9C">
                  <w:pPr>
                    <w:spacing w:line="360" w:lineRule="auto"/>
                    <w:rPr>
                      <w:rFonts w:ascii="Calibri" w:hAnsi="Calibri" w:cs="宋体"/>
                      <w:color w:val="auto"/>
                      <w:szCs w:val="21"/>
                      <w:highlight w:val="none"/>
                    </w:rPr>
                  </w:pPr>
                </w:p>
              </w:tc>
            </w:tr>
            <w:tr w14:paraId="5307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648" w:type="dxa"/>
                  <w:vAlign w:val="center"/>
                </w:tcPr>
                <w:p w14:paraId="2296404F">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454978AD">
                  <w:pPr>
                    <w:spacing w:line="360" w:lineRule="auto"/>
                    <w:rPr>
                      <w:rFonts w:ascii="Calibri" w:hAnsi="Calibri" w:cs="宋体"/>
                      <w:color w:val="auto"/>
                      <w:szCs w:val="21"/>
                      <w:highlight w:val="none"/>
                    </w:rPr>
                  </w:pPr>
                  <w:r>
                    <w:rPr>
                      <w:rFonts w:hint="eastAsia" w:ascii="宋体" w:hAnsi="宋体" w:cs="宋体"/>
                      <w:color w:val="auto"/>
                      <w:szCs w:val="21"/>
                      <w:highlight w:val="none"/>
                    </w:rPr>
                    <w:t>保安人员在值班期间被发现有脱岗、串岗等情况的，每人次扣2分，若造成重大损失的（5万元以上），每人次扣10分</w:t>
                  </w:r>
                </w:p>
              </w:tc>
              <w:tc>
                <w:tcPr>
                  <w:tcW w:w="791" w:type="dxa"/>
                </w:tcPr>
                <w:p w14:paraId="2AE589CA">
                  <w:pPr>
                    <w:spacing w:line="360" w:lineRule="auto"/>
                    <w:rPr>
                      <w:rFonts w:ascii="Calibri" w:hAnsi="Calibri" w:cs="宋体"/>
                      <w:color w:val="auto"/>
                      <w:szCs w:val="21"/>
                      <w:highlight w:val="none"/>
                    </w:rPr>
                  </w:pPr>
                </w:p>
              </w:tc>
              <w:tc>
                <w:tcPr>
                  <w:tcW w:w="776" w:type="dxa"/>
                </w:tcPr>
                <w:p w14:paraId="2445156D">
                  <w:pPr>
                    <w:spacing w:line="360" w:lineRule="auto"/>
                    <w:rPr>
                      <w:rFonts w:ascii="Calibri" w:hAnsi="Calibri" w:cs="宋体"/>
                      <w:color w:val="auto"/>
                      <w:szCs w:val="21"/>
                      <w:highlight w:val="none"/>
                    </w:rPr>
                  </w:pPr>
                </w:p>
              </w:tc>
              <w:tc>
                <w:tcPr>
                  <w:tcW w:w="737" w:type="dxa"/>
                </w:tcPr>
                <w:p w14:paraId="7AB563F7">
                  <w:pPr>
                    <w:spacing w:line="360" w:lineRule="auto"/>
                    <w:rPr>
                      <w:rFonts w:ascii="Calibri" w:hAnsi="Calibri" w:cs="宋体"/>
                      <w:color w:val="auto"/>
                      <w:szCs w:val="21"/>
                      <w:highlight w:val="none"/>
                    </w:rPr>
                  </w:pPr>
                </w:p>
              </w:tc>
            </w:tr>
            <w:tr w14:paraId="0BAC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648" w:type="dxa"/>
                  <w:vAlign w:val="center"/>
                </w:tcPr>
                <w:p w14:paraId="127AABE3">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1BD86ABB">
                  <w:pPr>
                    <w:spacing w:line="360" w:lineRule="auto"/>
                    <w:rPr>
                      <w:rFonts w:ascii="Calibri" w:hAnsi="Calibri" w:cs="宋体"/>
                      <w:color w:val="auto"/>
                      <w:szCs w:val="21"/>
                      <w:highlight w:val="none"/>
                    </w:rPr>
                  </w:pPr>
                  <w:r>
                    <w:rPr>
                      <w:rFonts w:hint="eastAsia" w:ascii="宋体" w:hAnsi="宋体" w:cs="宋体"/>
                      <w:color w:val="auto"/>
                      <w:szCs w:val="21"/>
                      <w:highlight w:val="none"/>
                    </w:rPr>
                    <w:t>保安人员涉及造谣、传谣、引发重大社会舆情、泄漏学校机密等行为，每次扣20分</w:t>
                  </w:r>
                </w:p>
              </w:tc>
              <w:tc>
                <w:tcPr>
                  <w:tcW w:w="791" w:type="dxa"/>
                </w:tcPr>
                <w:p w14:paraId="18EADEE5">
                  <w:pPr>
                    <w:spacing w:line="360" w:lineRule="auto"/>
                    <w:rPr>
                      <w:rFonts w:ascii="Calibri" w:hAnsi="Calibri" w:cs="宋体"/>
                      <w:color w:val="auto"/>
                      <w:szCs w:val="21"/>
                      <w:highlight w:val="none"/>
                    </w:rPr>
                  </w:pPr>
                </w:p>
              </w:tc>
              <w:tc>
                <w:tcPr>
                  <w:tcW w:w="776" w:type="dxa"/>
                </w:tcPr>
                <w:p w14:paraId="357F24F9">
                  <w:pPr>
                    <w:spacing w:line="360" w:lineRule="auto"/>
                    <w:rPr>
                      <w:rFonts w:ascii="Calibri" w:hAnsi="Calibri" w:cs="宋体"/>
                      <w:color w:val="auto"/>
                      <w:szCs w:val="21"/>
                      <w:highlight w:val="none"/>
                    </w:rPr>
                  </w:pPr>
                </w:p>
              </w:tc>
              <w:tc>
                <w:tcPr>
                  <w:tcW w:w="737" w:type="dxa"/>
                </w:tcPr>
                <w:p w14:paraId="2C538D8C">
                  <w:pPr>
                    <w:spacing w:line="360" w:lineRule="auto"/>
                    <w:rPr>
                      <w:rFonts w:ascii="Calibri" w:hAnsi="Calibri" w:cs="宋体"/>
                      <w:color w:val="auto"/>
                      <w:szCs w:val="21"/>
                      <w:highlight w:val="none"/>
                    </w:rPr>
                  </w:pPr>
                </w:p>
              </w:tc>
            </w:tr>
            <w:tr w14:paraId="4FD4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48" w:type="dxa"/>
                  <w:vAlign w:val="center"/>
                </w:tcPr>
                <w:p w14:paraId="5DB0C06F">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36392FF3">
                  <w:pPr>
                    <w:spacing w:line="360" w:lineRule="auto"/>
                    <w:rPr>
                      <w:rFonts w:ascii="Calibri" w:hAnsi="Calibri" w:cs="宋体"/>
                      <w:color w:val="auto"/>
                      <w:szCs w:val="21"/>
                      <w:highlight w:val="none"/>
                    </w:rPr>
                  </w:pPr>
                  <w:r>
                    <w:rPr>
                      <w:rFonts w:hint="eastAsia" w:ascii="宋体" w:hAnsi="宋体" w:cs="宋体"/>
                      <w:color w:val="auto"/>
                      <w:szCs w:val="21"/>
                      <w:highlight w:val="none"/>
                    </w:rPr>
                    <w:t>其它工作不到位造成严重影响的，依照以上情况作相应处理。</w:t>
                  </w:r>
                </w:p>
              </w:tc>
              <w:tc>
                <w:tcPr>
                  <w:tcW w:w="791" w:type="dxa"/>
                </w:tcPr>
                <w:p w14:paraId="662D4FB4">
                  <w:pPr>
                    <w:spacing w:line="360" w:lineRule="auto"/>
                    <w:rPr>
                      <w:rFonts w:ascii="Calibri" w:hAnsi="Calibri" w:cs="宋体"/>
                      <w:color w:val="auto"/>
                      <w:szCs w:val="21"/>
                      <w:highlight w:val="none"/>
                    </w:rPr>
                  </w:pPr>
                </w:p>
              </w:tc>
              <w:tc>
                <w:tcPr>
                  <w:tcW w:w="776" w:type="dxa"/>
                </w:tcPr>
                <w:p w14:paraId="740A0C75">
                  <w:pPr>
                    <w:spacing w:line="360" w:lineRule="auto"/>
                    <w:rPr>
                      <w:rFonts w:ascii="Calibri" w:hAnsi="Calibri" w:cs="宋体"/>
                      <w:color w:val="auto"/>
                      <w:szCs w:val="21"/>
                      <w:highlight w:val="none"/>
                    </w:rPr>
                  </w:pPr>
                </w:p>
              </w:tc>
              <w:tc>
                <w:tcPr>
                  <w:tcW w:w="737" w:type="dxa"/>
                </w:tcPr>
                <w:p w14:paraId="0E24C8FE">
                  <w:pPr>
                    <w:spacing w:line="360" w:lineRule="auto"/>
                    <w:rPr>
                      <w:rFonts w:ascii="Calibri" w:hAnsi="Calibri" w:cs="宋体"/>
                      <w:color w:val="auto"/>
                      <w:szCs w:val="21"/>
                      <w:highlight w:val="none"/>
                    </w:rPr>
                  </w:pPr>
                </w:p>
              </w:tc>
            </w:tr>
            <w:tr w14:paraId="121D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648" w:type="dxa"/>
                  <w:vAlign w:val="center"/>
                </w:tcPr>
                <w:p w14:paraId="35D79015">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4E8B909D">
                  <w:pPr>
                    <w:spacing w:line="360" w:lineRule="auto"/>
                    <w:rPr>
                      <w:rFonts w:ascii="Calibri" w:hAnsi="Calibri" w:cs="宋体"/>
                      <w:color w:val="auto"/>
                      <w:szCs w:val="21"/>
                      <w:highlight w:val="none"/>
                    </w:rPr>
                  </w:pPr>
                  <w:r>
                    <w:rPr>
                      <w:rFonts w:hint="eastAsia" w:ascii="宋体" w:hAnsi="宋体" w:cs="宋体"/>
                      <w:color w:val="auto"/>
                      <w:szCs w:val="21"/>
                      <w:highlight w:val="none"/>
                    </w:rPr>
                    <w:t>在处理突发事件过程中，保安队员出现畏缩不前、不听从采购人指令的，每次扣15分。</w:t>
                  </w:r>
                </w:p>
              </w:tc>
              <w:tc>
                <w:tcPr>
                  <w:tcW w:w="791" w:type="dxa"/>
                </w:tcPr>
                <w:p w14:paraId="3A21D9B5">
                  <w:pPr>
                    <w:spacing w:line="360" w:lineRule="auto"/>
                    <w:rPr>
                      <w:rFonts w:ascii="Calibri" w:hAnsi="Calibri" w:cs="宋体"/>
                      <w:color w:val="auto"/>
                      <w:szCs w:val="21"/>
                      <w:highlight w:val="none"/>
                    </w:rPr>
                  </w:pPr>
                </w:p>
              </w:tc>
              <w:tc>
                <w:tcPr>
                  <w:tcW w:w="776" w:type="dxa"/>
                </w:tcPr>
                <w:p w14:paraId="7B488A8E">
                  <w:pPr>
                    <w:spacing w:line="360" w:lineRule="auto"/>
                    <w:rPr>
                      <w:rFonts w:ascii="Calibri" w:hAnsi="Calibri" w:cs="宋体"/>
                      <w:color w:val="auto"/>
                      <w:szCs w:val="21"/>
                      <w:highlight w:val="none"/>
                    </w:rPr>
                  </w:pPr>
                </w:p>
              </w:tc>
              <w:tc>
                <w:tcPr>
                  <w:tcW w:w="737" w:type="dxa"/>
                </w:tcPr>
                <w:p w14:paraId="1B7C3BC4">
                  <w:pPr>
                    <w:spacing w:line="360" w:lineRule="auto"/>
                    <w:rPr>
                      <w:rFonts w:ascii="Calibri" w:hAnsi="Calibri" w:cs="宋体"/>
                      <w:color w:val="auto"/>
                      <w:szCs w:val="21"/>
                      <w:highlight w:val="none"/>
                    </w:rPr>
                  </w:pPr>
                </w:p>
              </w:tc>
            </w:tr>
            <w:tr w14:paraId="0665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648" w:type="dxa"/>
                  <w:vAlign w:val="center"/>
                </w:tcPr>
                <w:p w14:paraId="16C96DCC">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01CB4E64">
                  <w:pPr>
                    <w:spacing w:line="360" w:lineRule="auto"/>
                    <w:rPr>
                      <w:rFonts w:ascii="Calibri" w:hAnsi="Calibri" w:cs="宋体"/>
                      <w:color w:val="auto"/>
                      <w:szCs w:val="21"/>
                      <w:highlight w:val="none"/>
                    </w:rPr>
                  </w:pPr>
                  <w:r>
                    <w:rPr>
                      <w:rFonts w:hint="eastAsia" w:ascii="宋体" w:hAnsi="宋体" w:cs="宋体"/>
                      <w:color w:val="auto"/>
                      <w:szCs w:val="21"/>
                      <w:highlight w:val="none"/>
                    </w:rPr>
                    <w:t>未经采购人许可随意更换或提拔保安管理人员、在队员招聘过程中任人唯亲、放松管理或未按招标文件要求招聘队员，保安队员人数与实际人数严重不符的，一经查实，扣除当季度考核分30分。</w:t>
                  </w:r>
                </w:p>
              </w:tc>
              <w:tc>
                <w:tcPr>
                  <w:tcW w:w="791" w:type="dxa"/>
                </w:tcPr>
                <w:p w14:paraId="0E06CF8B">
                  <w:pPr>
                    <w:spacing w:line="360" w:lineRule="auto"/>
                    <w:rPr>
                      <w:rFonts w:ascii="Calibri" w:hAnsi="Calibri" w:cs="宋体"/>
                      <w:color w:val="auto"/>
                      <w:szCs w:val="21"/>
                      <w:highlight w:val="none"/>
                    </w:rPr>
                  </w:pPr>
                </w:p>
              </w:tc>
              <w:tc>
                <w:tcPr>
                  <w:tcW w:w="776" w:type="dxa"/>
                </w:tcPr>
                <w:p w14:paraId="542597F8">
                  <w:pPr>
                    <w:spacing w:line="360" w:lineRule="auto"/>
                    <w:rPr>
                      <w:rFonts w:ascii="Calibri" w:hAnsi="Calibri" w:cs="宋体"/>
                      <w:color w:val="auto"/>
                      <w:szCs w:val="21"/>
                      <w:highlight w:val="none"/>
                    </w:rPr>
                  </w:pPr>
                </w:p>
              </w:tc>
              <w:tc>
                <w:tcPr>
                  <w:tcW w:w="737" w:type="dxa"/>
                </w:tcPr>
                <w:p w14:paraId="7A80EBA1">
                  <w:pPr>
                    <w:spacing w:line="360" w:lineRule="auto"/>
                    <w:rPr>
                      <w:rFonts w:ascii="Calibri" w:hAnsi="Calibri" w:cs="宋体"/>
                      <w:color w:val="auto"/>
                      <w:szCs w:val="21"/>
                      <w:highlight w:val="none"/>
                    </w:rPr>
                  </w:pPr>
                </w:p>
              </w:tc>
            </w:tr>
            <w:tr w14:paraId="79BA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648" w:type="dxa"/>
                  <w:vAlign w:val="center"/>
                </w:tcPr>
                <w:p w14:paraId="089A46BB">
                  <w:pPr>
                    <w:numPr>
                      <w:ilvl w:val="0"/>
                      <w:numId w:val="2"/>
                    </w:numPr>
                    <w:spacing w:line="360" w:lineRule="auto"/>
                    <w:ind w:left="425" w:hanging="425"/>
                    <w:jc w:val="center"/>
                    <w:rPr>
                      <w:rFonts w:ascii="Calibri" w:hAnsi="Calibri" w:cs="宋体"/>
                      <w:color w:val="auto"/>
                      <w:szCs w:val="21"/>
                      <w:highlight w:val="none"/>
                    </w:rPr>
                  </w:pPr>
                </w:p>
              </w:tc>
              <w:tc>
                <w:tcPr>
                  <w:tcW w:w="3908" w:type="dxa"/>
                </w:tcPr>
                <w:p w14:paraId="76A0F5DB">
                  <w:pPr>
                    <w:spacing w:line="360" w:lineRule="auto"/>
                    <w:rPr>
                      <w:rFonts w:ascii="Calibri" w:hAnsi="Calibri" w:cs="宋体"/>
                      <w:color w:val="auto"/>
                      <w:szCs w:val="21"/>
                      <w:highlight w:val="none"/>
                    </w:rPr>
                  </w:pPr>
                  <w:r>
                    <w:rPr>
                      <w:rFonts w:hint="eastAsia" w:ascii="宋体" w:hAnsi="宋体" w:cs="宋体"/>
                      <w:color w:val="auto"/>
                      <w:szCs w:val="21"/>
                      <w:highlight w:val="none"/>
                    </w:rPr>
                    <w:t>中标人在处理内部劳务纠纷或解决队员意外伤害事故过程中互相推诿而引发针对采购人重大舆情、严重影响采购人形象的，扣除当季度考核分30分。</w:t>
                  </w:r>
                </w:p>
              </w:tc>
              <w:tc>
                <w:tcPr>
                  <w:tcW w:w="791" w:type="dxa"/>
                </w:tcPr>
                <w:p w14:paraId="0C777CEC">
                  <w:pPr>
                    <w:spacing w:line="360" w:lineRule="auto"/>
                    <w:rPr>
                      <w:rFonts w:ascii="Calibri" w:hAnsi="Calibri" w:cs="宋体"/>
                      <w:color w:val="auto"/>
                      <w:szCs w:val="21"/>
                      <w:highlight w:val="none"/>
                    </w:rPr>
                  </w:pPr>
                </w:p>
              </w:tc>
              <w:tc>
                <w:tcPr>
                  <w:tcW w:w="776" w:type="dxa"/>
                </w:tcPr>
                <w:p w14:paraId="735BEACF">
                  <w:pPr>
                    <w:spacing w:line="360" w:lineRule="auto"/>
                    <w:rPr>
                      <w:rFonts w:ascii="Calibri" w:hAnsi="Calibri" w:cs="宋体"/>
                      <w:color w:val="auto"/>
                      <w:szCs w:val="21"/>
                      <w:highlight w:val="none"/>
                    </w:rPr>
                  </w:pPr>
                </w:p>
              </w:tc>
              <w:tc>
                <w:tcPr>
                  <w:tcW w:w="737" w:type="dxa"/>
                </w:tcPr>
                <w:p w14:paraId="1666AD31">
                  <w:pPr>
                    <w:spacing w:line="360" w:lineRule="auto"/>
                    <w:rPr>
                      <w:rFonts w:ascii="Calibri" w:hAnsi="Calibri" w:cs="宋体"/>
                      <w:color w:val="auto"/>
                      <w:szCs w:val="21"/>
                      <w:highlight w:val="none"/>
                    </w:rPr>
                  </w:pPr>
                </w:p>
              </w:tc>
            </w:tr>
            <w:tr w14:paraId="0F89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6860" w:type="dxa"/>
                  <w:gridSpan w:val="5"/>
                </w:tcPr>
                <w:p w14:paraId="32706B28">
                  <w:pPr>
                    <w:spacing w:line="360" w:lineRule="auto"/>
                    <w:rPr>
                      <w:rFonts w:ascii="Calibri" w:hAnsi="Calibri" w:cs="宋体"/>
                      <w:color w:val="auto"/>
                      <w:szCs w:val="21"/>
                      <w:highlight w:val="none"/>
                    </w:rPr>
                  </w:pPr>
                  <w:r>
                    <w:rPr>
                      <w:rFonts w:hint="eastAsia" w:ascii="宋体" w:hAnsi="宋体" w:cs="宋体"/>
                      <w:color w:val="auto"/>
                      <w:szCs w:val="21"/>
                      <w:highlight w:val="none"/>
                    </w:rPr>
                    <w:t>考核总分值设定为100分，每季度考核期内育才、王城两校区累计扣分达到30分，采购人立即要求中标人进行整改，下一个考核期内仍未达标，学校有权提前解除合同。</w:t>
                  </w:r>
                </w:p>
              </w:tc>
            </w:tr>
          </w:tbl>
          <w:p w14:paraId="190EA5FF">
            <w:pPr>
              <w:spacing w:line="360" w:lineRule="auto"/>
              <w:jc w:val="left"/>
              <w:rPr>
                <w:rFonts w:hAnsi="宋体" w:cs="宋体"/>
                <w:color w:val="auto"/>
                <w:szCs w:val="21"/>
                <w:highlight w:val="none"/>
              </w:rPr>
            </w:pPr>
          </w:p>
        </w:tc>
      </w:tr>
      <w:tr w14:paraId="356AD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44" w:type="dxa"/>
            <w:gridSpan w:val="4"/>
            <w:tcBorders>
              <w:top w:val="single" w:color="auto" w:sz="4" w:space="0"/>
              <w:left w:val="single" w:color="auto" w:sz="4" w:space="0"/>
              <w:bottom w:val="single" w:color="auto" w:sz="4" w:space="0"/>
              <w:right w:val="single" w:color="auto" w:sz="4" w:space="0"/>
            </w:tcBorders>
          </w:tcPr>
          <w:p w14:paraId="10C09BE4">
            <w:pPr>
              <w:spacing w:line="360" w:lineRule="auto"/>
              <w:rPr>
                <w:rFonts w:ascii="宋体" w:hAnsi="宋体"/>
                <w:b/>
                <w:bCs/>
                <w:color w:val="auto"/>
                <w:szCs w:val="21"/>
                <w:highlight w:val="none"/>
              </w:rPr>
            </w:pPr>
            <w:r>
              <w:rPr>
                <w:rFonts w:hint="eastAsia" w:ascii="宋体" w:hAnsi="宋体"/>
                <w:b/>
                <w:color w:val="auto"/>
                <w:szCs w:val="21"/>
                <w:highlight w:val="none"/>
              </w:rPr>
              <w:t>一、商务要求</w:t>
            </w:r>
          </w:p>
        </w:tc>
      </w:tr>
      <w:tr w14:paraId="5170F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17C569C1">
            <w:pPr>
              <w:spacing w:line="360" w:lineRule="auto"/>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color w:val="auto"/>
                <w:szCs w:val="21"/>
                <w:highlight w:val="none"/>
              </w:rPr>
              <w:t>（一）合同签订时间</w:t>
            </w:r>
          </w:p>
        </w:tc>
        <w:tc>
          <w:tcPr>
            <w:tcW w:w="7436" w:type="dxa"/>
            <w:tcBorders>
              <w:top w:val="single" w:color="auto" w:sz="4" w:space="0"/>
              <w:left w:val="single" w:color="auto" w:sz="4" w:space="0"/>
              <w:bottom w:val="single" w:color="auto" w:sz="4" w:space="0"/>
              <w:right w:val="single" w:color="auto" w:sz="4" w:space="0"/>
            </w:tcBorders>
            <w:vAlign w:val="center"/>
          </w:tcPr>
          <w:p w14:paraId="6BF48744">
            <w:pPr>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自中标通知书发出之日起25日内。</w:t>
            </w:r>
          </w:p>
        </w:tc>
      </w:tr>
      <w:tr w14:paraId="2E0DB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6F27E8CD">
            <w:pPr>
              <w:spacing w:line="360" w:lineRule="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（二）验收标准</w:t>
            </w:r>
          </w:p>
        </w:tc>
        <w:tc>
          <w:tcPr>
            <w:tcW w:w="7436" w:type="dxa"/>
            <w:tcBorders>
              <w:top w:val="single" w:color="auto" w:sz="4" w:space="0"/>
              <w:left w:val="single" w:color="auto" w:sz="4" w:space="0"/>
              <w:bottom w:val="single" w:color="auto" w:sz="4" w:space="0"/>
              <w:right w:val="single" w:color="auto" w:sz="4" w:space="0"/>
            </w:tcBorders>
            <w:vAlign w:val="center"/>
          </w:tcPr>
          <w:p w14:paraId="09BB331B">
            <w:pPr>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符合国家相关法规、保安行业规范和采购人规定要求。</w:t>
            </w:r>
          </w:p>
        </w:tc>
      </w:tr>
      <w:tr w14:paraId="05230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108" w:type="dxa"/>
            <w:gridSpan w:val="3"/>
            <w:tcBorders>
              <w:top w:val="single" w:color="auto" w:sz="4" w:space="0"/>
              <w:left w:val="single" w:color="auto" w:sz="4" w:space="0"/>
              <w:bottom w:val="single" w:color="auto" w:sz="4" w:space="0"/>
              <w:right w:val="single" w:color="auto" w:sz="4" w:space="0"/>
            </w:tcBorders>
          </w:tcPr>
          <w:p w14:paraId="57DEE4E9">
            <w:pPr>
              <w:spacing w:line="40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（三）服务地点</w:t>
            </w:r>
          </w:p>
        </w:tc>
        <w:tc>
          <w:tcPr>
            <w:tcW w:w="7436" w:type="dxa"/>
            <w:tcBorders>
              <w:top w:val="single" w:color="auto" w:sz="4" w:space="0"/>
              <w:left w:val="single" w:color="auto" w:sz="4" w:space="0"/>
              <w:bottom w:val="single" w:color="auto" w:sz="4" w:space="0"/>
              <w:right w:val="single" w:color="auto" w:sz="4" w:space="0"/>
            </w:tcBorders>
          </w:tcPr>
          <w:p w14:paraId="751F4A84">
            <w:pPr>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广西师范大学育才校区（七星区育才路15号）、广西师范大学王城校区（桂林市秀峰区王城1号）  </w:t>
            </w:r>
          </w:p>
        </w:tc>
      </w:tr>
      <w:tr w14:paraId="74DEC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6AD4602D">
            <w:pPr>
              <w:spacing w:line="360" w:lineRule="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（四）服务期限</w:t>
            </w:r>
          </w:p>
        </w:tc>
        <w:tc>
          <w:tcPr>
            <w:tcW w:w="7436" w:type="dxa"/>
            <w:tcBorders>
              <w:top w:val="single" w:color="auto" w:sz="4" w:space="0"/>
              <w:left w:val="single" w:color="auto" w:sz="4" w:space="0"/>
              <w:bottom w:val="single" w:color="auto" w:sz="4" w:space="0"/>
              <w:right w:val="single" w:color="auto" w:sz="4" w:space="0"/>
            </w:tcBorders>
            <w:vAlign w:val="center"/>
          </w:tcPr>
          <w:p w14:paraId="70769926">
            <w:pPr>
              <w:widowControl/>
              <w:adjustRightInd w:val="0"/>
              <w:snapToGrid w:val="0"/>
              <w:spacing w:line="360" w:lineRule="auto"/>
              <w:ind w:firstLine="420" w:firstLineChars="200"/>
              <w:jc w:val="left"/>
              <w:rPr>
                <w:rFonts w:asciiTheme="majorEastAsia" w:hAnsiTheme="majorEastAsia" w:eastAsiaTheme="majorEastAsia" w:cstheme="majorEastAsia"/>
                <w:color w:val="auto"/>
                <w:szCs w:val="21"/>
                <w:highlight w:val="none"/>
                <w:lang w:bidi="en-US"/>
              </w:rPr>
            </w:pPr>
            <w:r>
              <w:rPr>
                <w:rFonts w:hint="eastAsia" w:asciiTheme="majorEastAsia" w:hAnsiTheme="majorEastAsia" w:eastAsiaTheme="majorEastAsia" w:cstheme="majorEastAsia"/>
                <w:color w:val="auto"/>
                <w:szCs w:val="21"/>
                <w:highlight w:val="none"/>
                <w:lang w:bidi="en-US"/>
              </w:rPr>
              <w:t>2026年1月1日至2027年12月31日</w:t>
            </w:r>
          </w:p>
        </w:tc>
      </w:tr>
      <w:tr w14:paraId="426BC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10E080EB">
            <w:pPr>
              <w:spacing w:line="360" w:lineRule="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（五）</w:t>
            </w:r>
            <w:r>
              <w:rPr>
                <w:rFonts w:hint="eastAsia" w:asciiTheme="majorEastAsia" w:hAnsiTheme="majorEastAsia" w:eastAsiaTheme="majorEastAsia" w:cstheme="majorEastAsia"/>
                <w:color w:val="auto"/>
                <w:szCs w:val="21"/>
                <w:highlight w:val="none"/>
                <w:lang w:bidi="en-US"/>
              </w:rPr>
              <w:t>服务标准</w:t>
            </w:r>
          </w:p>
        </w:tc>
        <w:tc>
          <w:tcPr>
            <w:tcW w:w="7436" w:type="dxa"/>
            <w:tcBorders>
              <w:top w:val="single" w:color="auto" w:sz="4" w:space="0"/>
              <w:left w:val="single" w:color="auto" w:sz="4" w:space="0"/>
              <w:bottom w:val="single" w:color="auto" w:sz="4" w:space="0"/>
              <w:right w:val="single" w:color="auto" w:sz="4" w:space="0"/>
            </w:tcBorders>
            <w:vAlign w:val="center"/>
          </w:tcPr>
          <w:p w14:paraId="60DBBA72">
            <w:pPr>
              <w:widowControl/>
              <w:adjustRightInd w:val="0"/>
              <w:snapToGrid w:val="0"/>
              <w:spacing w:line="360" w:lineRule="auto"/>
              <w:ind w:firstLine="420" w:firstLineChars="200"/>
              <w:jc w:val="left"/>
              <w:rPr>
                <w:rFonts w:asciiTheme="majorEastAsia" w:hAnsiTheme="majorEastAsia" w:eastAsiaTheme="majorEastAsia" w:cstheme="majorEastAsia"/>
                <w:color w:val="auto"/>
                <w:szCs w:val="21"/>
                <w:highlight w:val="none"/>
                <w:lang w:bidi="en-US"/>
              </w:rPr>
            </w:pPr>
            <w:r>
              <w:rPr>
                <w:rFonts w:hint="eastAsia" w:asciiTheme="majorEastAsia" w:hAnsiTheme="majorEastAsia" w:eastAsiaTheme="majorEastAsia" w:cstheme="majorEastAsia"/>
                <w:color w:val="auto"/>
                <w:szCs w:val="21"/>
                <w:highlight w:val="none"/>
                <w:lang w:bidi="en-US"/>
              </w:rPr>
              <w:t>1.符合国家相关法规、保安行业规范和采购人规定要求。实行定期考核，每季度作为一个考核期，达不到学校要求即刻解约。</w:t>
            </w:r>
          </w:p>
          <w:p w14:paraId="0567E5C0">
            <w:pPr>
              <w:widowControl/>
              <w:adjustRightInd w:val="0"/>
              <w:snapToGrid w:val="0"/>
              <w:spacing w:line="360" w:lineRule="auto"/>
              <w:ind w:firstLine="420" w:firstLineChars="200"/>
              <w:jc w:val="left"/>
              <w:rPr>
                <w:rFonts w:asciiTheme="majorEastAsia" w:hAnsiTheme="majorEastAsia" w:eastAsiaTheme="majorEastAsia" w:cstheme="majorEastAsia"/>
                <w:color w:val="auto"/>
                <w:szCs w:val="21"/>
                <w:highlight w:val="none"/>
                <w:lang w:bidi="en-US"/>
              </w:rPr>
            </w:pPr>
            <w:r>
              <w:rPr>
                <w:rFonts w:hint="eastAsia" w:asciiTheme="majorEastAsia" w:hAnsiTheme="majorEastAsia" w:eastAsiaTheme="majorEastAsia" w:cstheme="majorEastAsia"/>
                <w:color w:val="auto"/>
                <w:szCs w:val="21"/>
                <w:highlight w:val="none"/>
                <w:lang w:bidi="en-US"/>
              </w:rPr>
              <w:t>2.中标人应按照《中华人民共和国劳动法》的相关规定发放工资，服务人员工资不得低于同区域同行业最低工资标准（工资不含按国家规定中标人必须支付的社会保险及其他应付费用）。并按照《中华人民共和国社会保险法》等相关规定，支付国家规定必须购买的社会保险费用。</w:t>
            </w:r>
          </w:p>
        </w:tc>
      </w:tr>
      <w:tr w14:paraId="18D4C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4B76DDF9">
            <w:pPr>
              <w:spacing w:line="360" w:lineRule="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（六）售后服务</w:t>
            </w:r>
          </w:p>
        </w:tc>
        <w:tc>
          <w:tcPr>
            <w:tcW w:w="7436" w:type="dxa"/>
            <w:tcBorders>
              <w:top w:val="single" w:color="auto" w:sz="4" w:space="0"/>
              <w:left w:val="single" w:color="auto" w:sz="4" w:space="0"/>
              <w:bottom w:val="single" w:color="auto" w:sz="4" w:space="0"/>
              <w:right w:val="single" w:color="auto" w:sz="4" w:space="0"/>
            </w:tcBorders>
            <w:vAlign w:val="center"/>
          </w:tcPr>
          <w:p w14:paraId="752B23E8">
            <w:pPr>
              <w:widowControl/>
              <w:adjustRightInd w:val="0"/>
              <w:snapToGrid w:val="0"/>
              <w:spacing w:line="360" w:lineRule="auto"/>
              <w:ind w:firstLine="420" w:firstLineChars="200"/>
              <w:jc w:val="left"/>
              <w:rPr>
                <w:rFonts w:asciiTheme="majorEastAsia" w:hAnsiTheme="majorEastAsia" w:eastAsiaTheme="majorEastAsia" w:cstheme="majorEastAsia"/>
                <w:color w:val="auto"/>
                <w:szCs w:val="21"/>
                <w:highlight w:val="none"/>
                <w:lang w:bidi="en-US"/>
              </w:rPr>
            </w:pPr>
            <w:r>
              <w:rPr>
                <w:rFonts w:hint="eastAsia" w:asciiTheme="majorEastAsia" w:hAnsiTheme="majorEastAsia" w:eastAsiaTheme="majorEastAsia" w:cstheme="majorEastAsia"/>
                <w:color w:val="auto"/>
                <w:szCs w:val="21"/>
                <w:highlight w:val="none"/>
                <w:lang w:bidi="en-US"/>
              </w:rPr>
              <w:t xml:space="preserve">中标人应当提供符合条件的安保需求，服务期内应当加强对安保工作进行监督和管理，定期开展考核考评，确保安保服务质量符合要求。   </w:t>
            </w:r>
          </w:p>
        </w:tc>
      </w:tr>
      <w:tr w14:paraId="34715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30E90182">
            <w:pPr>
              <w:spacing w:line="360" w:lineRule="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（七）付款条件</w:t>
            </w:r>
          </w:p>
        </w:tc>
        <w:tc>
          <w:tcPr>
            <w:tcW w:w="7436" w:type="dxa"/>
            <w:tcBorders>
              <w:top w:val="single" w:color="auto" w:sz="4" w:space="0"/>
              <w:left w:val="single" w:color="auto" w:sz="4" w:space="0"/>
              <w:bottom w:val="single" w:color="auto" w:sz="4" w:space="0"/>
              <w:right w:val="single" w:color="auto" w:sz="4" w:space="0"/>
            </w:tcBorders>
            <w:vAlign w:val="center"/>
          </w:tcPr>
          <w:p w14:paraId="1A73C46E">
            <w:pPr>
              <w:widowControl/>
              <w:adjustRightInd w:val="0"/>
              <w:snapToGrid w:val="0"/>
              <w:spacing w:line="360" w:lineRule="auto"/>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bidi="en-US"/>
              </w:rPr>
              <w:t>合同期内，中标人每月5号前交上月发票，采购人于每月10日前（如遇节假日顺延至第一个工作日）为中标人办理上月服务费支付手续，中标人提供服务不足一个月时按日计算。</w:t>
            </w:r>
          </w:p>
        </w:tc>
      </w:tr>
      <w:tr w14:paraId="121F3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36FB5696">
            <w:pPr>
              <w:spacing w:line="360" w:lineRule="auto"/>
              <w:rPr>
                <w:rFonts w:ascii="宋体" w:hAnsi="宋体"/>
                <w:bCs/>
                <w:color w:val="auto"/>
                <w:szCs w:val="21"/>
                <w:highlight w:val="none"/>
              </w:rPr>
            </w:pPr>
            <w:r>
              <w:rPr>
                <w:rFonts w:hint="eastAsia" w:ascii="宋体" w:hAnsi="宋体" w:cs="宋体"/>
                <w:bCs/>
                <w:color w:val="auto"/>
                <w:szCs w:val="21"/>
                <w:highlight w:val="none"/>
              </w:rPr>
              <w:t>（八）履约保证金</w:t>
            </w:r>
          </w:p>
        </w:tc>
        <w:tc>
          <w:tcPr>
            <w:tcW w:w="7436" w:type="dxa"/>
            <w:tcBorders>
              <w:top w:val="single" w:color="auto" w:sz="4" w:space="0"/>
              <w:left w:val="single" w:color="auto" w:sz="4" w:space="0"/>
              <w:bottom w:val="single" w:color="auto" w:sz="4" w:space="0"/>
              <w:right w:val="single" w:color="auto" w:sz="4" w:space="0"/>
            </w:tcBorders>
            <w:vAlign w:val="center"/>
          </w:tcPr>
          <w:p w14:paraId="46641DF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1.履约保证金金额：</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中标金额的5%</w:t>
            </w:r>
            <w:r>
              <w:rPr>
                <w:rFonts w:hint="eastAsia" w:ascii="宋体" w:hAnsi="宋体" w:cs="宋体"/>
                <w:color w:val="auto"/>
                <w:szCs w:val="21"/>
                <w:highlight w:val="none"/>
              </w:rPr>
              <w:t>（若中标供应商为</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小微企业的，则</w:t>
            </w:r>
            <w:r>
              <w:rPr>
                <w:rFonts w:hint="eastAsia" w:ascii="宋体" w:hAnsi="宋体" w:cs="宋体"/>
                <w:color w:val="auto"/>
                <w:szCs w:val="21"/>
                <w:highlight w:val="none"/>
                <w:lang w:val="en-US" w:eastAsia="zh-CN"/>
              </w:rPr>
              <w:t>按中标金额的2%</w:t>
            </w:r>
            <w:r>
              <w:rPr>
                <w:rFonts w:hint="eastAsia" w:ascii="宋体" w:hAnsi="宋体" w:cs="宋体"/>
                <w:color w:val="auto"/>
                <w:szCs w:val="21"/>
                <w:highlight w:val="none"/>
              </w:rPr>
              <w:t>）。</w:t>
            </w:r>
          </w:p>
          <w:p w14:paraId="17F91B0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2.履约保证金递交方式：银行转账、支票、汇票、本票或者银行、保险机构出具的保函等非现金方式。</w:t>
            </w:r>
          </w:p>
          <w:p w14:paraId="1AF244C8">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szCs w:val="21"/>
                <w:highlight w:val="none"/>
              </w:rPr>
              <w:t>3.履约保证金递交方式及相关要求</w:t>
            </w:r>
          </w:p>
          <w:p w14:paraId="2D8EB74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（1）履约保证金采用银行转账交纳方式的，中标人在签订合同前交至甲方指定账户并且到账。</w:t>
            </w:r>
          </w:p>
          <w:p w14:paraId="7EE8159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（2）履约保证金采用支票、汇票或本票交纳方式的，中标人在签订合同前，向甲方提交支票、汇票或本票原件。</w:t>
            </w:r>
          </w:p>
          <w:p w14:paraId="4EC17B2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（3）履约保证金采用银行、保险机构出具的保函交纳方式的，中标人在签订合同前，向甲方提交保函原件。</w:t>
            </w:r>
          </w:p>
          <w:p w14:paraId="33713F2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（4）履约保证金指定账户</w:t>
            </w:r>
          </w:p>
          <w:p w14:paraId="73C3FD0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开户名称：广西师范大学</w:t>
            </w:r>
          </w:p>
          <w:p w14:paraId="1959BEE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开户银行：中国工商银行股份有限公司桂林市高新科技支行</w:t>
            </w:r>
          </w:p>
          <w:p w14:paraId="1417258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账    号：2103215109264004618</w:t>
            </w:r>
          </w:p>
          <w:p w14:paraId="04B30D75">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szCs w:val="21"/>
                <w:highlight w:val="none"/>
              </w:rPr>
              <w:t>4.履约保证金退付方式、时间及条件</w:t>
            </w:r>
            <w:r>
              <w:rPr>
                <w:rFonts w:hint="eastAsia" w:ascii="宋体" w:hAnsi="宋体" w:cs="宋体"/>
                <w:bCs/>
                <w:color w:val="auto"/>
                <w:kern w:val="0"/>
                <w:szCs w:val="21"/>
                <w:highlight w:val="none"/>
              </w:rPr>
              <w:t>：</w:t>
            </w:r>
          </w:p>
          <w:p w14:paraId="3DAF7FCB">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kern w:val="0"/>
                <w:szCs w:val="21"/>
                <w:highlight w:val="none"/>
              </w:rPr>
              <w:t>（1）</w:t>
            </w:r>
            <w:r>
              <w:rPr>
                <w:rFonts w:hint="eastAsia" w:ascii="宋体" w:hAnsi="宋体" w:cs="宋体"/>
                <w:bCs/>
                <w:color w:val="auto"/>
                <w:szCs w:val="21"/>
                <w:highlight w:val="none"/>
              </w:rPr>
              <w:t>中标人</w:t>
            </w:r>
            <w:r>
              <w:rPr>
                <w:rFonts w:hint="eastAsia" w:ascii="宋体" w:hAnsi="宋体" w:cs="宋体"/>
                <w:bCs/>
                <w:color w:val="auto"/>
                <w:kern w:val="0"/>
                <w:szCs w:val="21"/>
                <w:highlight w:val="none"/>
              </w:rPr>
              <w:t>履行完合同约定的权利义务（包括免费保修服务等）事项后7个工作日内，</w:t>
            </w:r>
            <w:r>
              <w:rPr>
                <w:rFonts w:hint="eastAsia" w:ascii="宋体" w:hAnsi="宋体" w:cs="宋体"/>
                <w:bCs/>
                <w:color w:val="auto"/>
                <w:szCs w:val="21"/>
                <w:highlight w:val="none"/>
              </w:rPr>
              <w:t>由中标人向履约保证金收取单位办理退还手续（不计利息）。</w:t>
            </w:r>
          </w:p>
          <w:p w14:paraId="7FC8706F">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w:t>
            </w:r>
            <w:r>
              <w:rPr>
                <w:rFonts w:hint="eastAsia" w:ascii="宋体" w:hAnsi="宋体" w:cs="宋体"/>
                <w:bCs/>
                <w:color w:val="auto"/>
                <w:szCs w:val="21"/>
                <w:highlight w:val="none"/>
              </w:rPr>
              <w:t>中标人在签订合同后存在违约情形的</w:t>
            </w:r>
            <w:r>
              <w:rPr>
                <w:rFonts w:hint="eastAsia" w:ascii="宋体" w:hAnsi="宋体" w:cs="宋体"/>
                <w:bCs/>
                <w:color w:val="auto"/>
                <w:kern w:val="0"/>
                <w:szCs w:val="21"/>
                <w:highlight w:val="none"/>
              </w:rPr>
              <w:t>，履约保证金或保函原件不予退还。</w:t>
            </w:r>
            <w:r>
              <w:rPr>
                <w:rFonts w:hint="eastAsia" w:ascii="宋体" w:hAnsi="宋体" w:cs="宋体"/>
                <w:bCs/>
                <w:color w:val="auto"/>
                <w:szCs w:val="21"/>
                <w:highlight w:val="none"/>
              </w:rPr>
              <w:t>保函形式的甲方按相关规定由出具保函的银行</w:t>
            </w:r>
            <w:r>
              <w:rPr>
                <w:rFonts w:hint="eastAsia" w:ascii="宋体" w:hAnsi="宋体" w:cs="宋体"/>
                <w:bCs/>
                <w:color w:val="auto"/>
                <w:kern w:val="0"/>
                <w:szCs w:val="21"/>
                <w:highlight w:val="none"/>
              </w:rPr>
              <w:t>、保险机构承担供应商违约赔付责任，履约保证金不足以赔偿损失的，按实际损失赔偿。</w:t>
            </w:r>
          </w:p>
          <w:p w14:paraId="14A2A1EC">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kern w:val="0"/>
                <w:szCs w:val="21"/>
                <w:highlight w:val="none"/>
              </w:rPr>
              <w:t>（3）</w:t>
            </w:r>
            <w:r>
              <w:rPr>
                <w:rFonts w:hint="eastAsia" w:ascii="宋体" w:hAnsi="宋体" w:cs="宋体"/>
                <w:bCs/>
                <w:color w:val="auto"/>
                <w:szCs w:val="21"/>
                <w:highlight w:val="none"/>
              </w:rPr>
              <w:t>在履约保证金退还日期前，若中标人的开户名称、开户银行、账号有变动的，请以书面形式通知履约保证金收取单位，否则由此产生的后果由中标人自负。</w:t>
            </w:r>
          </w:p>
          <w:p w14:paraId="0A8A5590">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5.履约保证金不足额缴纳的，或银行、保险机构出具的保函额度不足的或者保函有效期低于合同履行期限（即签订采购合同之日起至履行完合同约定的权利及义务之日止）的，不予签订合同。采用银行、保险机构出具的保函的，必须为无条件保函，否则不予签订合同。</w:t>
            </w:r>
          </w:p>
        </w:tc>
      </w:tr>
      <w:tr w14:paraId="125C9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11588FCA">
            <w:pPr>
              <w:spacing w:line="360" w:lineRule="auto"/>
              <w:rPr>
                <w:rFonts w:ascii="宋体" w:hAnsi="宋体"/>
                <w:color w:val="auto"/>
                <w:szCs w:val="21"/>
                <w:highlight w:val="none"/>
              </w:rPr>
            </w:pPr>
            <w:r>
              <w:rPr>
                <w:rFonts w:hint="eastAsia" w:ascii="宋体" w:hAnsi="宋体"/>
                <w:color w:val="auto"/>
                <w:szCs w:val="21"/>
                <w:highlight w:val="none"/>
              </w:rPr>
              <w:t>（九）报价要求</w:t>
            </w:r>
          </w:p>
        </w:tc>
        <w:tc>
          <w:tcPr>
            <w:tcW w:w="7436" w:type="dxa"/>
            <w:tcBorders>
              <w:top w:val="single" w:color="auto" w:sz="4" w:space="0"/>
              <w:left w:val="single" w:color="auto" w:sz="4" w:space="0"/>
              <w:bottom w:val="single" w:color="auto" w:sz="4" w:space="0"/>
              <w:right w:val="single" w:color="auto" w:sz="4" w:space="0"/>
            </w:tcBorders>
            <w:vAlign w:val="center"/>
          </w:tcPr>
          <w:p w14:paraId="48540F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1.采购预算金额：人民币壹仟零柒拾贰万捌仟元整（￥</w:t>
            </w:r>
            <w:r>
              <w:rPr>
                <w:rFonts w:hint="eastAsia" w:ascii="宋体" w:hAnsi="宋体" w:cs="宋体"/>
                <w:color w:val="auto"/>
                <w:highlight w:val="none"/>
              </w:rPr>
              <w:t>10728000.00</w:t>
            </w:r>
            <w:r>
              <w:rPr>
                <w:rFonts w:hint="eastAsia" w:ascii="宋体" w:hAnsi="宋体" w:cs="宋体"/>
                <w:color w:val="auto"/>
                <w:szCs w:val="21"/>
                <w:highlight w:val="none"/>
              </w:rPr>
              <w:t>），超出采购预算金额的投标报价将被视为无效投标处理。</w:t>
            </w:r>
          </w:p>
          <w:p w14:paraId="0929BD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2.投标报价为完成采购需求中安保服务的一切费用（含税价），包括但不限于服务价格、本次服务采购项目实施和完成服务所用装备费、器材费、管理费、利润、税费、人工成本【人工工资、人员服装费、</w:t>
            </w:r>
            <w:r>
              <w:rPr>
                <w:rFonts w:ascii="宋体" w:hAnsi="宋体" w:cs="宋体"/>
                <w:color w:val="auto"/>
                <w:szCs w:val="21"/>
                <w:highlight w:val="none"/>
              </w:rPr>
              <w:t>法定社会保险（养老保险、医疗保险、失业保险、工伤保险、生育保险）、</w:t>
            </w:r>
            <w:r>
              <w:rPr>
                <w:rFonts w:hint="eastAsia" w:ascii="宋体" w:hAnsi="宋体" w:cs="宋体"/>
                <w:color w:val="auto"/>
                <w:szCs w:val="21"/>
                <w:highlight w:val="none"/>
              </w:rPr>
              <w:t>福利费、其他商业保险及在人员使用上应包括的一切费用】等完成服务所必须的一切成本费用，以及招标文件及合同包含的所有风险、责任等各项已列明费用或未列明费用。如招标文件对其另有规定的，从其规定。</w:t>
            </w:r>
          </w:p>
        </w:tc>
      </w:tr>
      <w:tr w14:paraId="202AC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44" w:type="dxa"/>
            <w:gridSpan w:val="4"/>
            <w:tcBorders>
              <w:top w:val="single" w:color="auto" w:sz="4" w:space="0"/>
              <w:left w:val="single" w:color="auto" w:sz="4" w:space="0"/>
              <w:bottom w:val="single" w:color="auto" w:sz="4" w:space="0"/>
              <w:right w:val="single" w:color="auto" w:sz="4" w:space="0"/>
            </w:tcBorders>
            <w:vAlign w:val="center"/>
          </w:tcPr>
          <w:p w14:paraId="4B5899F8">
            <w:pPr>
              <w:widowControl/>
              <w:adjustRightInd w:val="0"/>
              <w:snapToGrid w:val="0"/>
              <w:spacing w:line="440" w:lineRule="exact"/>
              <w:jc w:val="left"/>
              <w:rPr>
                <w:rFonts w:ascii="宋体" w:hAnsi="宋体"/>
                <w:color w:val="auto"/>
                <w:kern w:val="0"/>
                <w:szCs w:val="21"/>
                <w:highlight w:val="none"/>
                <w:lang w:bidi="en-US"/>
              </w:rPr>
            </w:pPr>
            <w:r>
              <w:rPr>
                <w:rFonts w:hint="eastAsia" w:ascii="宋体" w:hAnsi="宋体"/>
                <w:b/>
                <w:color w:val="auto"/>
                <w:szCs w:val="21"/>
                <w:highlight w:val="none"/>
              </w:rPr>
              <w:t>二、其它要求</w:t>
            </w:r>
          </w:p>
        </w:tc>
      </w:tr>
      <w:tr w14:paraId="48C1F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736E072F">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（一）投标人于投标文件中提供相应的项目实施方案</w:t>
            </w:r>
          </w:p>
        </w:tc>
        <w:tc>
          <w:tcPr>
            <w:tcW w:w="7436" w:type="dxa"/>
            <w:tcBorders>
              <w:top w:val="single" w:color="auto" w:sz="4" w:space="0"/>
              <w:left w:val="single" w:color="auto" w:sz="4" w:space="0"/>
              <w:bottom w:val="single" w:color="auto" w:sz="4" w:space="0"/>
              <w:right w:val="single" w:color="auto" w:sz="4" w:space="0"/>
            </w:tcBorders>
            <w:vAlign w:val="center"/>
          </w:tcPr>
          <w:p w14:paraId="28517ED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该方案可从内容的完整性、针对性、合理性等方面进行编制，包含但不限于：①服务区域保安管理措施；②人员管理制度、人员培训方案；③物资装备配置方案；④投标人根据本“采购需求”承诺的其他服务措施等。</w:t>
            </w:r>
          </w:p>
        </w:tc>
      </w:tr>
      <w:tr w14:paraId="2F599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2C6F79CC">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（二）现场考察</w:t>
            </w:r>
          </w:p>
        </w:tc>
        <w:tc>
          <w:tcPr>
            <w:tcW w:w="7436" w:type="dxa"/>
            <w:tcBorders>
              <w:top w:val="single" w:color="auto" w:sz="4" w:space="0"/>
              <w:left w:val="single" w:color="auto" w:sz="4" w:space="0"/>
              <w:bottom w:val="single" w:color="auto" w:sz="4" w:space="0"/>
              <w:right w:val="single" w:color="auto" w:sz="4" w:space="0"/>
            </w:tcBorders>
            <w:vAlign w:val="center"/>
          </w:tcPr>
          <w:p w14:paraId="43331F8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1.投标人自行踏勘，现场勘察所发生的一切费用及风险由投标人自行承担。</w:t>
            </w:r>
          </w:p>
          <w:p w14:paraId="3C4023B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2.如投标人未进行现场考察的，视为对现场情况已完全了解，中标后必须按采购人的现场使用要求完成本项目实施。</w:t>
            </w:r>
          </w:p>
        </w:tc>
      </w:tr>
      <w:tr w14:paraId="0B09C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8" w:type="dxa"/>
            <w:gridSpan w:val="3"/>
            <w:tcBorders>
              <w:top w:val="single" w:color="auto" w:sz="4" w:space="0"/>
              <w:left w:val="single" w:color="auto" w:sz="4" w:space="0"/>
              <w:bottom w:val="single" w:color="auto" w:sz="4" w:space="0"/>
              <w:right w:val="single" w:color="auto" w:sz="4" w:space="0"/>
            </w:tcBorders>
            <w:vAlign w:val="center"/>
          </w:tcPr>
          <w:p w14:paraId="41E5C95E">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（三）其他</w:t>
            </w:r>
          </w:p>
        </w:tc>
        <w:tc>
          <w:tcPr>
            <w:tcW w:w="7436" w:type="dxa"/>
            <w:tcBorders>
              <w:top w:val="single" w:color="auto" w:sz="4" w:space="0"/>
              <w:left w:val="single" w:color="auto" w:sz="4" w:space="0"/>
              <w:bottom w:val="single" w:color="auto" w:sz="4" w:space="0"/>
              <w:right w:val="single" w:color="auto" w:sz="4" w:space="0"/>
            </w:tcBorders>
            <w:vAlign w:val="center"/>
          </w:tcPr>
          <w:p w14:paraId="257BA9E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本项目采购需求所有条款均为实质性要求，不允许负偏离，否则按投标无效处理。</w:t>
            </w:r>
          </w:p>
        </w:tc>
      </w:tr>
    </w:tbl>
    <w:p w14:paraId="41A5083C">
      <w:pPr>
        <w:widowControl/>
        <w:kinsoku w:val="0"/>
        <w:autoSpaceDE w:val="0"/>
        <w:autoSpaceDN w:val="0"/>
        <w:adjustRightInd w:val="0"/>
        <w:snapToGrid w:val="0"/>
        <w:spacing w:line="360" w:lineRule="auto"/>
        <w:ind w:firstLine="422" w:firstLineChars="200"/>
        <w:jc w:val="left"/>
        <w:textAlignment w:val="baseline"/>
        <w:rPr>
          <w:rFonts w:ascii="宋体" w:hAnsi="宋体" w:cs="宋体"/>
          <w:b/>
          <w:color w:val="auto"/>
          <w:szCs w:val="21"/>
          <w:highlight w:val="none"/>
        </w:rPr>
      </w:pPr>
    </w:p>
    <w:p w14:paraId="0DDBC757">
      <w:pPr>
        <w:rPr>
          <w:rFonts w:ascii="宋体" w:hAnsi="宋体" w:cs="宋体"/>
          <w:b/>
          <w:color w:val="auto"/>
          <w:szCs w:val="21"/>
          <w:highlight w:val="none"/>
        </w:rPr>
      </w:pPr>
      <w:r>
        <w:rPr>
          <w:rFonts w:hint="eastAsia" w:ascii="宋体" w:hAnsi="宋体" w:cs="宋体"/>
          <w:b/>
          <w:color w:val="auto"/>
          <w:szCs w:val="21"/>
          <w:highlight w:val="none"/>
        </w:rPr>
        <w:br w:type="page"/>
      </w:r>
    </w:p>
    <w:p w14:paraId="231D9364">
      <w:pPr>
        <w:widowControl/>
        <w:spacing w:line="600" w:lineRule="exact"/>
        <w:jc w:val="left"/>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附表</w:t>
      </w:r>
    </w:p>
    <w:p w14:paraId="0D2D4F63">
      <w:pPr>
        <w:jc w:val="center"/>
        <w:rPr>
          <w:color w:val="auto"/>
          <w:sz w:val="36"/>
          <w:szCs w:val="36"/>
          <w:highlight w:val="none"/>
        </w:rPr>
      </w:pPr>
      <w:r>
        <w:rPr>
          <w:rFonts w:hint="eastAsia"/>
          <w:color w:val="auto"/>
          <w:sz w:val="36"/>
          <w:szCs w:val="36"/>
          <w:highlight w:val="none"/>
        </w:rPr>
        <w:t>统计上大中小微型企业划分标准</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3CC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387724D6">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vAlign w:val="center"/>
          </w:tcPr>
          <w:p w14:paraId="0D26306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vAlign w:val="center"/>
          </w:tcPr>
          <w:p w14:paraId="0EE4D1B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2F24C2B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vAlign w:val="center"/>
          </w:tcPr>
          <w:p w14:paraId="12338A7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vAlign w:val="center"/>
          </w:tcPr>
          <w:p w14:paraId="060ED2A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vAlign w:val="center"/>
          </w:tcPr>
          <w:p w14:paraId="47D38C6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vAlign w:val="center"/>
          </w:tcPr>
          <w:p w14:paraId="2A0D0B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4FDD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60E6E3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14:paraId="66B42D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46C09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30215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388854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053898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vAlign w:val="center"/>
          </w:tcPr>
          <w:p w14:paraId="06322A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779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ACD0BB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14:paraId="30D3CD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08036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C7651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0376DBE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2DA5F2A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43E3A6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51D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0EA801B">
            <w:pPr>
              <w:widowControl/>
              <w:jc w:val="left"/>
              <w:rPr>
                <w:rFonts w:ascii="宋体" w:hAnsi="宋体" w:cs="宋体"/>
                <w:color w:val="auto"/>
                <w:kern w:val="0"/>
                <w:sz w:val="18"/>
                <w:szCs w:val="18"/>
                <w:highlight w:val="none"/>
              </w:rPr>
            </w:pPr>
          </w:p>
        </w:tc>
        <w:tc>
          <w:tcPr>
            <w:tcW w:w="1369" w:type="dxa"/>
            <w:vAlign w:val="center"/>
          </w:tcPr>
          <w:p w14:paraId="1368429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07D11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76628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52EE6E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6FB309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vAlign w:val="center"/>
          </w:tcPr>
          <w:p w14:paraId="01C9F5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EFF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5E524B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14:paraId="6DE6C40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AE590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C1545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1E2850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06E136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vAlign w:val="center"/>
          </w:tcPr>
          <w:p w14:paraId="03ED07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1FE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F2E5B0C">
            <w:pPr>
              <w:widowControl/>
              <w:jc w:val="left"/>
              <w:rPr>
                <w:rFonts w:ascii="宋体" w:hAnsi="宋体" w:cs="宋体"/>
                <w:color w:val="auto"/>
                <w:kern w:val="0"/>
                <w:sz w:val="18"/>
                <w:szCs w:val="18"/>
                <w:highlight w:val="none"/>
              </w:rPr>
            </w:pPr>
          </w:p>
        </w:tc>
        <w:tc>
          <w:tcPr>
            <w:tcW w:w="1369" w:type="dxa"/>
            <w:vAlign w:val="center"/>
          </w:tcPr>
          <w:p w14:paraId="43FFB0B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013630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BE307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58F9B2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033DA8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vAlign w:val="center"/>
          </w:tcPr>
          <w:p w14:paraId="5DADB8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303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E5D67A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14:paraId="15E8E8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236D8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72E3F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646A18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7CF479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vAlign w:val="center"/>
          </w:tcPr>
          <w:p w14:paraId="747539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6C0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640CE16">
            <w:pPr>
              <w:widowControl/>
              <w:jc w:val="left"/>
              <w:rPr>
                <w:rFonts w:ascii="宋体" w:hAnsi="宋体" w:cs="宋体"/>
                <w:color w:val="auto"/>
                <w:kern w:val="0"/>
                <w:sz w:val="18"/>
                <w:szCs w:val="18"/>
                <w:highlight w:val="none"/>
              </w:rPr>
            </w:pPr>
          </w:p>
        </w:tc>
        <w:tc>
          <w:tcPr>
            <w:tcW w:w="1369" w:type="dxa"/>
            <w:vAlign w:val="center"/>
          </w:tcPr>
          <w:p w14:paraId="74E8A18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431FD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7360E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0066DD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42C0E3A5">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20F571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172B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DC7806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14:paraId="47BEED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20E53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7E4BC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F66BD8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09695F15">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1E3404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7B4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6BAAF5A">
            <w:pPr>
              <w:widowControl/>
              <w:jc w:val="left"/>
              <w:rPr>
                <w:rFonts w:ascii="宋体" w:hAnsi="宋体" w:cs="宋体"/>
                <w:color w:val="auto"/>
                <w:kern w:val="0"/>
                <w:sz w:val="18"/>
                <w:szCs w:val="18"/>
                <w:highlight w:val="none"/>
              </w:rPr>
            </w:pPr>
          </w:p>
        </w:tc>
        <w:tc>
          <w:tcPr>
            <w:tcW w:w="1369" w:type="dxa"/>
            <w:vAlign w:val="center"/>
          </w:tcPr>
          <w:p w14:paraId="088EDD25">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A35B7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F683F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33CE92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68AEF691">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vAlign w:val="center"/>
          </w:tcPr>
          <w:p w14:paraId="031417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895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732C73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14:paraId="5E8385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73AB6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6A11C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2DC092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77D057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61EDC4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D55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10B25D6">
            <w:pPr>
              <w:widowControl/>
              <w:jc w:val="left"/>
              <w:rPr>
                <w:rFonts w:ascii="宋体" w:hAnsi="宋体" w:cs="宋体"/>
                <w:color w:val="auto"/>
                <w:kern w:val="0"/>
                <w:sz w:val="18"/>
                <w:szCs w:val="18"/>
                <w:highlight w:val="none"/>
              </w:rPr>
            </w:pPr>
          </w:p>
        </w:tc>
        <w:tc>
          <w:tcPr>
            <w:tcW w:w="1369" w:type="dxa"/>
            <w:vAlign w:val="center"/>
          </w:tcPr>
          <w:p w14:paraId="00AB1F6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3421A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AD37C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5FD8F7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07EBCC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vAlign w:val="center"/>
          </w:tcPr>
          <w:p w14:paraId="3F1606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49C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C98B678">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14:paraId="0B3E20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FE4ED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3A1E8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5EB7BFD1">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4F98D5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vAlign w:val="center"/>
          </w:tcPr>
          <w:p w14:paraId="27E8BC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D8D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4D42178">
            <w:pPr>
              <w:widowControl/>
              <w:jc w:val="left"/>
              <w:rPr>
                <w:rFonts w:ascii="宋体" w:hAnsi="宋体" w:cs="宋体"/>
                <w:color w:val="auto"/>
                <w:kern w:val="0"/>
                <w:sz w:val="18"/>
                <w:szCs w:val="18"/>
                <w:highlight w:val="none"/>
              </w:rPr>
            </w:pPr>
          </w:p>
        </w:tc>
        <w:tc>
          <w:tcPr>
            <w:tcW w:w="1369" w:type="dxa"/>
            <w:vAlign w:val="center"/>
          </w:tcPr>
          <w:p w14:paraId="512CEA0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538B0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7C7D8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59DBD0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66829F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297F0A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16E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9BD5B7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14:paraId="47D354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54750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7E351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0E12C6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7BDDC3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3F4463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21A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345414C">
            <w:pPr>
              <w:widowControl/>
              <w:jc w:val="left"/>
              <w:rPr>
                <w:rFonts w:ascii="宋体" w:hAnsi="宋体" w:cs="宋体"/>
                <w:color w:val="auto"/>
                <w:kern w:val="0"/>
                <w:sz w:val="18"/>
                <w:szCs w:val="18"/>
                <w:highlight w:val="none"/>
              </w:rPr>
            </w:pPr>
          </w:p>
        </w:tc>
        <w:tc>
          <w:tcPr>
            <w:tcW w:w="1369" w:type="dxa"/>
            <w:vAlign w:val="center"/>
          </w:tcPr>
          <w:p w14:paraId="1B9A858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7648C9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2D7EC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5A9D62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441EB0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36CDF2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B46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D08412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14:paraId="639B1A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3747F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62A79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9DECD3A">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153608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4AC64F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23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9C32D77">
            <w:pPr>
              <w:widowControl/>
              <w:jc w:val="left"/>
              <w:rPr>
                <w:rFonts w:ascii="宋体" w:hAnsi="宋体" w:cs="宋体"/>
                <w:color w:val="auto"/>
                <w:kern w:val="0"/>
                <w:sz w:val="18"/>
                <w:szCs w:val="18"/>
                <w:highlight w:val="none"/>
              </w:rPr>
            </w:pPr>
          </w:p>
        </w:tc>
        <w:tc>
          <w:tcPr>
            <w:tcW w:w="1369" w:type="dxa"/>
            <w:vAlign w:val="center"/>
          </w:tcPr>
          <w:p w14:paraId="3096DCC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D6164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8CA4D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523DC8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7E1C6E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12A29E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FDC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2B517B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14:paraId="099FEC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8D67E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27D07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D2E62A2">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5EC497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0643A7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9B4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56B3238">
            <w:pPr>
              <w:widowControl/>
              <w:jc w:val="left"/>
              <w:rPr>
                <w:rFonts w:ascii="宋体" w:hAnsi="宋体" w:cs="宋体"/>
                <w:color w:val="auto"/>
                <w:kern w:val="0"/>
                <w:sz w:val="18"/>
                <w:szCs w:val="18"/>
                <w:highlight w:val="none"/>
              </w:rPr>
            </w:pPr>
          </w:p>
        </w:tc>
        <w:tc>
          <w:tcPr>
            <w:tcW w:w="1369" w:type="dxa"/>
            <w:vAlign w:val="center"/>
          </w:tcPr>
          <w:p w14:paraId="4ADD67D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2A1D3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58F03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32E669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5979C4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16E13C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FE6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F46695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14:paraId="14AAFC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A7B88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5612A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20F902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4E4BDA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16C6EE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41D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11419A7">
            <w:pPr>
              <w:widowControl/>
              <w:jc w:val="left"/>
              <w:rPr>
                <w:rFonts w:ascii="宋体" w:hAnsi="宋体" w:cs="宋体"/>
                <w:color w:val="auto"/>
                <w:kern w:val="0"/>
                <w:sz w:val="18"/>
                <w:szCs w:val="18"/>
                <w:highlight w:val="none"/>
              </w:rPr>
            </w:pPr>
          </w:p>
        </w:tc>
        <w:tc>
          <w:tcPr>
            <w:tcW w:w="1369" w:type="dxa"/>
            <w:vAlign w:val="center"/>
          </w:tcPr>
          <w:p w14:paraId="3D1198A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E6904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0F25E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6A967F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vAlign w:val="center"/>
          </w:tcPr>
          <w:p w14:paraId="54368A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50AF57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B69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DB5BCC0">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14:paraId="66B790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FE28B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44E64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28C155A3">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4F158C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627BCC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9F1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8D87651">
            <w:pPr>
              <w:widowControl/>
              <w:jc w:val="left"/>
              <w:rPr>
                <w:rFonts w:ascii="宋体" w:hAnsi="宋体" w:cs="宋体"/>
                <w:color w:val="auto"/>
                <w:spacing w:val="-12"/>
                <w:kern w:val="0"/>
                <w:sz w:val="18"/>
                <w:szCs w:val="18"/>
                <w:highlight w:val="none"/>
              </w:rPr>
            </w:pPr>
          </w:p>
        </w:tc>
        <w:tc>
          <w:tcPr>
            <w:tcW w:w="1369" w:type="dxa"/>
            <w:vAlign w:val="center"/>
          </w:tcPr>
          <w:p w14:paraId="014BF80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A5139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B8334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58B3F5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217A0F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vAlign w:val="center"/>
          </w:tcPr>
          <w:p w14:paraId="169CD3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441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03AFB3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14:paraId="7DF2B4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BF889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16050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699AC9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vAlign w:val="center"/>
          </w:tcPr>
          <w:p w14:paraId="039FDF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20C054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394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5238E4D">
            <w:pPr>
              <w:widowControl/>
              <w:jc w:val="left"/>
              <w:rPr>
                <w:rFonts w:ascii="宋体" w:hAnsi="宋体" w:cs="宋体"/>
                <w:color w:val="auto"/>
                <w:kern w:val="0"/>
                <w:sz w:val="18"/>
                <w:szCs w:val="18"/>
                <w:highlight w:val="none"/>
              </w:rPr>
            </w:pPr>
          </w:p>
        </w:tc>
        <w:tc>
          <w:tcPr>
            <w:tcW w:w="1369" w:type="dxa"/>
            <w:vAlign w:val="center"/>
          </w:tcPr>
          <w:p w14:paraId="37AB80F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49B37E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4749E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4AEE21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4D5F3D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vAlign w:val="center"/>
          </w:tcPr>
          <w:p w14:paraId="31E8BF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0CBC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3AA15D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14:paraId="7894AC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BA1E6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BCF06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29007B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4A0AED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vAlign w:val="center"/>
          </w:tcPr>
          <w:p w14:paraId="1142D9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DA9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269AA12">
            <w:pPr>
              <w:widowControl/>
              <w:jc w:val="left"/>
              <w:rPr>
                <w:rFonts w:ascii="宋体" w:hAnsi="宋体" w:cs="宋体"/>
                <w:color w:val="auto"/>
                <w:kern w:val="0"/>
                <w:sz w:val="18"/>
                <w:szCs w:val="18"/>
                <w:highlight w:val="none"/>
              </w:rPr>
            </w:pPr>
          </w:p>
        </w:tc>
        <w:tc>
          <w:tcPr>
            <w:tcW w:w="1369" w:type="dxa"/>
            <w:vAlign w:val="center"/>
          </w:tcPr>
          <w:p w14:paraId="2FBDEF6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8CFBE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A79262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53296CBD">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vAlign w:val="center"/>
          </w:tcPr>
          <w:p w14:paraId="3E6607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vAlign w:val="center"/>
          </w:tcPr>
          <w:p w14:paraId="2E3495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18D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693DC4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14:paraId="69EA024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839E1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CC6A0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206F1261">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741204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0E4FEE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CB5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C860978">
            <w:pPr>
              <w:widowControl/>
              <w:jc w:val="left"/>
              <w:rPr>
                <w:rFonts w:ascii="宋体" w:hAnsi="宋体" w:cs="宋体"/>
                <w:color w:val="auto"/>
                <w:kern w:val="0"/>
                <w:sz w:val="18"/>
                <w:szCs w:val="18"/>
                <w:highlight w:val="none"/>
              </w:rPr>
            </w:pPr>
          </w:p>
        </w:tc>
        <w:tc>
          <w:tcPr>
            <w:tcW w:w="1369" w:type="dxa"/>
            <w:vAlign w:val="center"/>
          </w:tcPr>
          <w:p w14:paraId="2342CD6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789178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36607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5DB09E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vAlign w:val="center"/>
          </w:tcPr>
          <w:p w14:paraId="79469D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vAlign w:val="center"/>
          </w:tcPr>
          <w:p w14:paraId="2B7B0E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5A50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4633901">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14:paraId="571177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53E28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1E425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5C889F8">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1C775B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4478D3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5260D8E">
      <w:pPr>
        <w:widowControl/>
        <w:spacing w:line="5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0E08AD05">
      <w:pPr>
        <w:spacing w:line="5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1.大型、中型和小型企业须同时满足所列指标的下限，否则下划一档；微型企业只须满足所列指标中的一项即可。</w:t>
      </w:r>
    </w:p>
    <w:p w14:paraId="714084BC">
      <w:pPr>
        <w:spacing w:line="5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5A36DE5">
      <w:pPr>
        <w:spacing w:line="540" w:lineRule="exac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E56E3DB">
      <w:pPr>
        <w:rPr>
          <w:color w:val="auto"/>
          <w:highlight w:val="none"/>
        </w:rPr>
      </w:pPr>
    </w:p>
    <w:p w14:paraId="7F9CB8DC">
      <w:pPr>
        <w:pStyle w:val="3"/>
        <w:spacing w:line="240" w:lineRule="auto"/>
        <w:rPr>
          <w:rFonts w:ascii="宋体" w:hAnsi="宋体" w:cs="宋体"/>
          <w:color w:val="auto"/>
          <w:highlight w:val="none"/>
        </w:rPr>
      </w:pPr>
      <w:r>
        <w:rPr>
          <w:rFonts w:hint="eastAsia" w:ascii="宋体" w:hAnsi="宋体"/>
          <w:color w:val="auto"/>
          <w:sz w:val="21"/>
          <w:szCs w:val="21"/>
          <w:highlight w:val="none"/>
        </w:rPr>
        <w:br w:type="page"/>
      </w:r>
      <w:bookmarkEnd w:id="43"/>
      <w:bookmarkEnd w:id="44"/>
      <w:bookmarkEnd w:id="45"/>
      <w:bookmarkEnd w:id="46"/>
      <w:bookmarkStart w:id="47" w:name="_Toc25504"/>
      <w:bookmarkStart w:id="48" w:name="_Toc7458"/>
      <w:bookmarkStart w:id="49" w:name="_Toc19686831"/>
      <w:bookmarkStart w:id="50" w:name="_Toc5336"/>
      <w:r>
        <w:rPr>
          <w:rFonts w:hint="eastAsia" w:ascii="宋体" w:hAnsi="宋体" w:cs="宋体"/>
          <w:color w:val="auto"/>
          <w:highlight w:val="none"/>
        </w:rPr>
        <w:t>第三章、投标人须知</w:t>
      </w:r>
      <w:bookmarkEnd w:id="47"/>
      <w:bookmarkEnd w:id="48"/>
      <w:bookmarkEnd w:id="49"/>
      <w:bookmarkEnd w:id="50"/>
    </w:p>
    <w:p w14:paraId="481811E9">
      <w:pPr>
        <w:pStyle w:val="4"/>
        <w:spacing w:line="240" w:lineRule="auto"/>
        <w:jc w:val="center"/>
        <w:rPr>
          <w:color w:val="auto"/>
          <w:highlight w:val="none"/>
        </w:rPr>
      </w:pPr>
      <w:bookmarkStart w:id="51" w:name="_Toc254970526"/>
      <w:bookmarkStart w:id="52" w:name="_Toc254970667"/>
      <w:r>
        <w:rPr>
          <w:rFonts w:hint="eastAsia"/>
          <w:color w:val="auto"/>
          <w:highlight w:val="none"/>
        </w:rPr>
        <w:t>投标人须知前附表</w:t>
      </w:r>
      <w:bookmarkEnd w:id="51"/>
      <w:bookmarkEnd w:id="52"/>
    </w:p>
    <w:tbl>
      <w:tblPr>
        <w:tblStyle w:val="52"/>
        <w:tblW w:w="8832" w:type="dxa"/>
        <w:tblInd w:w="2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3"/>
        <w:gridCol w:w="7969"/>
      </w:tblGrid>
      <w:tr w14:paraId="1D78A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4FC86D2B">
            <w:pPr>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7969" w:type="dxa"/>
            <w:tcBorders>
              <w:top w:val="single" w:color="auto" w:sz="4" w:space="0"/>
              <w:left w:val="single" w:color="auto" w:sz="4" w:space="0"/>
              <w:bottom w:val="single" w:color="auto" w:sz="4" w:space="0"/>
              <w:right w:val="single" w:color="auto" w:sz="4" w:space="0"/>
            </w:tcBorders>
            <w:vAlign w:val="center"/>
          </w:tcPr>
          <w:p w14:paraId="149FC557">
            <w:pPr>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编列内容</w:t>
            </w:r>
          </w:p>
        </w:tc>
      </w:tr>
      <w:tr w14:paraId="5B4BF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1C014F6">
            <w:pPr>
              <w:spacing w:line="360" w:lineRule="auto"/>
              <w:rPr>
                <w:rFonts w:ascii="宋体" w:hAnsi="宋体" w:cs="宋体"/>
                <w:color w:val="auto"/>
                <w:szCs w:val="21"/>
                <w:highlight w:val="none"/>
              </w:rPr>
            </w:pPr>
            <w:r>
              <w:rPr>
                <w:rFonts w:hint="eastAsia" w:ascii="宋体" w:hAnsi="宋体" w:cs="宋体"/>
                <w:color w:val="auto"/>
                <w:szCs w:val="21"/>
                <w:highlight w:val="none"/>
              </w:rPr>
              <w:t>3</w:t>
            </w:r>
          </w:p>
        </w:tc>
        <w:tc>
          <w:tcPr>
            <w:tcW w:w="7969" w:type="dxa"/>
            <w:tcBorders>
              <w:top w:val="single" w:color="auto" w:sz="4" w:space="0"/>
              <w:left w:val="single" w:color="auto" w:sz="4" w:space="0"/>
              <w:bottom w:val="single" w:color="auto" w:sz="4" w:space="0"/>
              <w:right w:val="single" w:color="auto" w:sz="4" w:space="0"/>
            </w:tcBorders>
            <w:vAlign w:val="center"/>
          </w:tcPr>
          <w:p w14:paraId="73A6AE6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tc>
      </w:tr>
      <w:tr w14:paraId="76B9E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599124D9">
            <w:pPr>
              <w:spacing w:line="360" w:lineRule="auto"/>
              <w:rPr>
                <w:rFonts w:ascii="宋体" w:hAnsi="宋体" w:cs="宋体"/>
                <w:color w:val="auto"/>
                <w:szCs w:val="21"/>
                <w:highlight w:val="none"/>
              </w:rPr>
            </w:pPr>
            <w:bookmarkStart w:id="53" w:name="_9.2"/>
            <w:bookmarkEnd w:id="53"/>
            <w:bookmarkStart w:id="54" w:name="_5"/>
            <w:bookmarkEnd w:id="54"/>
            <w:bookmarkStart w:id="55" w:name="_8.1"/>
            <w:bookmarkEnd w:id="55"/>
            <w:r>
              <w:rPr>
                <w:rFonts w:hint="eastAsia" w:ascii="宋体" w:hAnsi="宋体" w:cs="宋体"/>
                <w:color w:val="auto"/>
                <w:szCs w:val="21"/>
                <w:highlight w:val="none"/>
              </w:rPr>
              <w:t>6.1</w:t>
            </w:r>
          </w:p>
        </w:tc>
        <w:tc>
          <w:tcPr>
            <w:tcW w:w="7969" w:type="dxa"/>
            <w:tcBorders>
              <w:top w:val="single" w:color="auto" w:sz="4" w:space="0"/>
              <w:left w:val="single" w:color="auto" w:sz="4" w:space="0"/>
              <w:bottom w:val="single" w:color="auto" w:sz="4" w:space="0"/>
              <w:right w:val="single" w:color="auto" w:sz="4" w:space="0"/>
            </w:tcBorders>
            <w:vAlign w:val="center"/>
          </w:tcPr>
          <w:p w14:paraId="12B88709">
            <w:pPr>
              <w:pStyle w:val="17"/>
              <w:spacing w:line="360" w:lineRule="auto"/>
              <w:rPr>
                <w:rFonts w:ascii="宋体" w:hAnsi="宋体" w:cs="宋体"/>
                <w:color w:val="auto"/>
                <w:szCs w:val="21"/>
                <w:highlight w:val="none"/>
              </w:rPr>
            </w:pPr>
            <w:r>
              <w:rPr>
                <w:rFonts w:hint="eastAsia" w:ascii="宋体" w:hAnsi="宋体" w:cs="宋体"/>
                <w:color w:val="auto"/>
                <w:szCs w:val="21"/>
                <w:highlight w:val="none"/>
              </w:rPr>
              <w:t>本项目是否接受联合体投标：详见招标公告。</w:t>
            </w:r>
          </w:p>
        </w:tc>
      </w:tr>
      <w:tr w14:paraId="07725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256D93B">
            <w:pPr>
              <w:spacing w:line="360" w:lineRule="auto"/>
              <w:rPr>
                <w:rFonts w:ascii="宋体" w:hAnsi="宋体" w:cs="宋体"/>
                <w:color w:val="auto"/>
                <w:szCs w:val="21"/>
                <w:highlight w:val="none"/>
              </w:rPr>
            </w:pPr>
            <w:r>
              <w:rPr>
                <w:rFonts w:hint="eastAsia" w:ascii="宋体" w:hAnsi="宋体" w:cs="宋体"/>
                <w:color w:val="auto"/>
                <w:szCs w:val="21"/>
                <w:highlight w:val="none"/>
              </w:rPr>
              <w:t>6.2</w:t>
            </w:r>
          </w:p>
        </w:tc>
        <w:tc>
          <w:tcPr>
            <w:tcW w:w="7969" w:type="dxa"/>
            <w:tcBorders>
              <w:top w:val="single" w:color="auto" w:sz="4" w:space="0"/>
              <w:left w:val="single" w:color="auto" w:sz="4" w:space="0"/>
              <w:bottom w:val="single" w:color="auto" w:sz="4" w:space="0"/>
              <w:right w:val="single" w:color="auto" w:sz="4" w:space="0"/>
            </w:tcBorders>
            <w:vAlign w:val="center"/>
          </w:tcPr>
          <w:p w14:paraId="66D51764">
            <w:pPr>
              <w:pStyle w:val="17"/>
              <w:spacing w:line="360" w:lineRule="auto"/>
              <w:rPr>
                <w:rFonts w:ascii="宋体" w:hAnsi="宋体" w:cs="宋体"/>
                <w:color w:val="auto"/>
                <w:szCs w:val="21"/>
                <w:highlight w:val="none"/>
              </w:rPr>
            </w:pPr>
            <w:bookmarkStart w:id="56" w:name="_Hlk54105293"/>
            <w:r>
              <w:rPr>
                <w:rFonts w:hint="eastAsia" w:ascii="宋体" w:hAnsi="宋体" w:cs="宋体"/>
                <w:color w:val="auto"/>
                <w:szCs w:val="21"/>
                <w:highlight w:val="none"/>
              </w:rPr>
              <w:t>如接受联合体投标，</w:t>
            </w:r>
            <w:bookmarkEnd w:id="56"/>
            <w:r>
              <w:rPr>
                <w:rFonts w:hint="eastAsia" w:ascii="宋体" w:hAnsi="宋体" w:cs="宋体"/>
                <w:color w:val="auto"/>
                <w:szCs w:val="21"/>
                <w:highlight w:val="none"/>
              </w:rPr>
              <w:t>联合体投标要求如下：无。</w:t>
            </w:r>
          </w:p>
        </w:tc>
      </w:tr>
      <w:tr w14:paraId="79C16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68EA1B68">
            <w:pPr>
              <w:spacing w:line="360" w:lineRule="auto"/>
              <w:rPr>
                <w:rFonts w:ascii="宋体" w:hAnsi="宋体" w:cs="宋体"/>
                <w:color w:val="auto"/>
                <w:szCs w:val="21"/>
                <w:highlight w:val="none"/>
              </w:rPr>
            </w:pPr>
            <w:r>
              <w:rPr>
                <w:rFonts w:hint="eastAsia" w:ascii="宋体" w:hAnsi="宋体" w:cs="宋体"/>
                <w:color w:val="auto"/>
                <w:szCs w:val="21"/>
                <w:highlight w:val="none"/>
              </w:rPr>
              <w:t>7.2</w:t>
            </w:r>
          </w:p>
        </w:tc>
        <w:tc>
          <w:tcPr>
            <w:tcW w:w="7969" w:type="dxa"/>
            <w:tcBorders>
              <w:top w:val="single" w:color="auto" w:sz="4" w:space="0"/>
              <w:left w:val="single" w:color="auto" w:sz="4" w:space="0"/>
              <w:bottom w:val="single" w:color="auto" w:sz="4" w:space="0"/>
              <w:right w:val="single" w:color="auto" w:sz="4" w:space="0"/>
            </w:tcBorders>
            <w:vAlign w:val="center"/>
          </w:tcPr>
          <w:p w14:paraId="0C6049A0">
            <w:pPr>
              <w:pStyle w:val="17"/>
              <w:spacing w:line="360" w:lineRule="auto"/>
              <w:rPr>
                <w:rFonts w:ascii="宋体" w:hAnsi="宋体" w:cs="宋体"/>
                <w:color w:val="auto"/>
                <w:szCs w:val="21"/>
                <w:highlight w:val="none"/>
              </w:rPr>
            </w:pPr>
            <w:r>
              <w:rPr>
                <w:rFonts w:hint="eastAsia" w:ascii="宋体" w:hAnsi="宋体" w:cs="宋体"/>
                <w:color w:val="auto"/>
                <w:szCs w:val="21"/>
                <w:highlight w:val="none"/>
              </w:rPr>
              <w:t>☑不允许分包</w:t>
            </w:r>
          </w:p>
          <w:p w14:paraId="1E1CEDA1">
            <w:pPr>
              <w:pStyle w:val="17"/>
              <w:spacing w:line="360" w:lineRule="auto"/>
              <w:rPr>
                <w:rFonts w:ascii="宋体" w:hAnsi="宋体" w:cs="宋体"/>
                <w:color w:val="auto"/>
                <w:szCs w:val="21"/>
                <w:highlight w:val="none"/>
              </w:rPr>
            </w:pPr>
            <w:r>
              <w:rPr>
                <w:rFonts w:hint="eastAsia" w:ascii="宋体" w:hAnsi="宋体" w:cs="宋体"/>
                <w:color w:val="auto"/>
                <w:szCs w:val="21"/>
                <w:highlight w:val="none"/>
              </w:rPr>
              <w:t>□允许分包</w:t>
            </w:r>
          </w:p>
          <w:p w14:paraId="4A4DFD48">
            <w:pPr>
              <w:pStyle w:val="17"/>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1D418E01">
            <w:pPr>
              <w:pStyle w:val="17"/>
              <w:spacing w:line="360" w:lineRule="auto"/>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37E56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B5D3AEA">
            <w:pPr>
              <w:spacing w:line="360" w:lineRule="auto"/>
              <w:rPr>
                <w:rFonts w:ascii="宋体" w:hAnsi="宋体" w:cs="宋体"/>
                <w:color w:val="auto"/>
                <w:szCs w:val="21"/>
                <w:highlight w:val="none"/>
              </w:rPr>
            </w:pPr>
            <w:r>
              <w:rPr>
                <w:rFonts w:hint="eastAsia" w:ascii="宋体" w:hAnsi="宋体" w:cs="宋体"/>
                <w:color w:val="auto"/>
                <w:szCs w:val="21"/>
                <w:highlight w:val="none"/>
              </w:rPr>
              <w:t>11.2</w:t>
            </w:r>
          </w:p>
        </w:tc>
        <w:tc>
          <w:tcPr>
            <w:tcW w:w="7969" w:type="dxa"/>
            <w:tcBorders>
              <w:top w:val="single" w:color="auto" w:sz="4" w:space="0"/>
              <w:left w:val="single" w:color="auto" w:sz="4" w:space="0"/>
              <w:bottom w:val="single" w:color="auto" w:sz="4" w:space="0"/>
              <w:right w:val="single" w:color="auto" w:sz="4" w:space="0"/>
            </w:tcBorders>
            <w:vAlign w:val="center"/>
          </w:tcPr>
          <w:p w14:paraId="223AC01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☑不组织现场考察</w:t>
            </w:r>
          </w:p>
          <w:p w14:paraId="3FE35DB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□组织现场考察：</w:t>
            </w:r>
          </w:p>
          <w:p w14:paraId="71DF246B">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集中时间：</w:t>
            </w:r>
            <w:r>
              <w:rPr>
                <w:rFonts w:hint="eastAsia" w:ascii="宋体" w:hAnsi="宋体" w:cs="宋体"/>
                <w:color w:val="auto"/>
                <w:szCs w:val="21"/>
                <w:highlight w:val="none"/>
                <w:u w:val="single"/>
              </w:rPr>
              <w:t>/年/月/日/时/分</w:t>
            </w:r>
            <w:r>
              <w:rPr>
                <w:rFonts w:hint="eastAsia" w:ascii="宋体" w:hAnsi="宋体" w:cs="宋体"/>
                <w:color w:val="auto"/>
                <w:szCs w:val="21"/>
                <w:highlight w:val="none"/>
              </w:rPr>
              <w:t>，逾期后果自负。集中地点：</w:t>
            </w:r>
            <w:r>
              <w:rPr>
                <w:rFonts w:hint="eastAsia" w:ascii="宋体" w:hAnsi="宋体" w:cs="宋体"/>
                <w:color w:val="auto"/>
                <w:szCs w:val="21"/>
                <w:highlight w:val="none"/>
                <w:u w:val="single"/>
              </w:rPr>
              <w:t>/</w:t>
            </w:r>
          </w:p>
          <w:p w14:paraId="1ED1B059">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w:t>
            </w:r>
          </w:p>
          <w:p w14:paraId="3BA97C1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7E3E673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6B3F6ED2">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/年/月/日/时/分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w:t>
            </w:r>
          </w:p>
        </w:tc>
      </w:tr>
      <w:tr w14:paraId="7138D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restart"/>
            <w:tcBorders>
              <w:top w:val="single" w:color="auto" w:sz="4" w:space="0"/>
              <w:left w:val="single" w:color="auto" w:sz="4" w:space="0"/>
              <w:right w:val="single" w:color="auto" w:sz="4" w:space="0"/>
            </w:tcBorders>
            <w:vAlign w:val="center"/>
          </w:tcPr>
          <w:p w14:paraId="17642969">
            <w:pPr>
              <w:spacing w:line="360" w:lineRule="auto"/>
              <w:rPr>
                <w:rFonts w:ascii="宋体" w:hAnsi="宋体" w:cs="宋体"/>
                <w:color w:val="auto"/>
                <w:szCs w:val="21"/>
                <w:highlight w:val="none"/>
              </w:rPr>
            </w:pPr>
            <w:bookmarkStart w:id="57" w:name="_13.1"/>
            <w:bookmarkEnd w:id="57"/>
            <w:r>
              <w:rPr>
                <w:rFonts w:hint="eastAsia" w:ascii="宋体" w:hAnsi="宋体" w:cs="宋体"/>
                <w:color w:val="auto"/>
                <w:szCs w:val="21"/>
                <w:highlight w:val="none"/>
              </w:rPr>
              <w:t>13.</w:t>
            </w:r>
            <w:bookmarkStart w:id="58" w:name="_Hlt19632543"/>
            <w:r>
              <w:rPr>
                <w:rFonts w:hint="eastAsia" w:ascii="宋体" w:hAnsi="宋体" w:cs="宋体"/>
                <w:color w:val="auto"/>
                <w:szCs w:val="21"/>
                <w:highlight w:val="none"/>
              </w:rPr>
              <w:t>1</w:t>
            </w:r>
            <w:bookmarkEnd w:id="58"/>
          </w:p>
        </w:tc>
        <w:tc>
          <w:tcPr>
            <w:tcW w:w="7969" w:type="dxa"/>
            <w:tcBorders>
              <w:top w:val="single" w:color="auto" w:sz="4" w:space="0"/>
              <w:left w:val="single" w:color="auto" w:sz="4" w:space="0"/>
              <w:bottom w:val="single" w:color="auto" w:sz="4" w:space="0"/>
              <w:right w:val="single" w:color="auto" w:sz="4" w:space="0"/>
            </w:tcBorders>
            <w:vAlign w:val="center"/>
          </w:tcPr>
          <w:p w14:paraId="26140163">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5385807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（必须提供，否则作无效投标处理）</w:t>
            </w:r>
          </w:p>
          <w:p w14:paraId="3E9A5F7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EF4CE4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14:paraId="35253633">
            <w:pPr>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szCs w:val="21"/>
                <w:highlight w:val="none"/>
              </w:rPr>
              <w:t>注：投标函、开标一览表必须逐页盖投标人公章，否则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22DB3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left w:val="single" w:color="auto" w:sz="4" w:space="0"/>
              <w:right w:val="single" w:color="auto" w:sz="4" w:space="0"/>
            </w:tcBorders>
            <w:vAlign w:val="center"/>
          </w:tcPr>
          <w:p w14:paraId="3C9B7EED">
            <w:pPr>
              <w:spacing w:line="360" w:lineRule="auto"/>
              <w:rPr>
                <w:rFonts w:ascii="宋体" w:hAnsi="宋体" w:cs="宋体"/>
                <w:color w:val="auto"/>
                <w:szCs w:val="21"/>
                <w:highlight w:val="none"/>
              </w:rPr>
            </w:pPr>
            <w:bookmarkStart w:id="59" w:name="_13.2"/>
            <w:bookmarkEnd w:id="59"/>
          </w:p>
        </w:tc>
        <w:tc>
          <w:tcPr>
            <w:tcW w:w="7969" w:type="dxa"/>
            <w:tcBorders>
              <w:top w:val="single" w:color="auto" w:sz="4" w:space="0"/>
              <w:left w:val="single" w:color="auto" w:sz="4" w:space="0"/>
              <w:bottom w:val="single" w:color="auto" w:sz="4" w:space="0"/>
              <w:right w:val="single" w:color="auto" w:sz="4" w:space="0"/>
            </w:tcBorders>
            <w:vAlign w:val="center"/>
          </w:tcPr>
          <w:p w14:paraId="7658BB9D">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1A6EA69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98"/>
                <w:color w:val="auto"/>
                <w:sz w:val="21"/>
                <w:szCs w:val="21"/>
                <w:highlight w:val="none"/>
              </w:rPr>
              <w:t>执业许可证</w:t>
            </w:r>
            <w:r>
              <w:rPr>
                <w:rFonts w:hint="eastAsia" w:ascii="宋体" w:hAnsi="宋体" w:cs="宋体"/>
                <w:color w:val="auto"/>
                <w:szCs w:val="21"/>
                <w:highlight w:val="none"/>
              </w:rPr>
              <w:t>等）；投标人为自然人的，提供身份证；（</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77F102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具有有效的《保安服务许可证》</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否则作无效投标处理</w:t>
            </w:r>
            <w:r>
              <w:rPr>
                <w:rFonts w:hint="eastAsia" w:ascii="宋体" w:hAnsi="宋体"/>
                <w:color w:val="auto"/>
                <w:szCs w:val="21"/>
                <w:highlight w:val="none"/>
              </w:rPr>
              <w:t>）</w:t>
            </w:r>
          </w:p>
          <w:p w14:paraId="565FB93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3.投标人依法缴纳税收的相关材料【</w:t>
            </w:r>
            <w:r>
              <w:rPr>
                <w:rFonts w:hint="eastAsia"/>
                <w:color w:val="auto"/>
                <w:highlight w:val="none"/>
              </w:rPr>
              <w:t>提交投标文件截止时间前</w:t>
            </w:r>
            <w:r>
              <w:rPr>
                <w:rFonts w:hint="eastAsia" w:ascii="宋体" w:hAnsi="宋体" w:cs="宋体"/>
                <w:color w:val="auto"/>
                <w:szCs w:val="21"/>
                <w:highlight w:val="none"/>
                <w:u w:val="single"/>
              </w:rPr>
              <w:t>半年</w:t>
            </w:r>
            <w:r>
              <w:rPr>
                <w:rFonts w:hint="eastAsia" w:ascii="宋体" w:hAnsi="宋体" w:cs="宋体"/>
                <w:color w:val="auto"/>
                <w:szCs w:val="21"/>
                <w:highlight w:val="none"/>
              </w:rPr>
              <w:t>内任意一个月的依法缴纳税收的凭据；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Cs/>
                <w:color w:val="auto"/>
                <w:szCs w:val="21"/>
                <w:highlight w:val="none"/>
              </w:rPr>
              <w:t>或提供依法缴纳</w:t>
            </w:r>
            <w:r>
              <w:rPr>
                <w:rFonts w:hint="eastAsia" w:ascii="宋体" w:hAnsi="宋体" w:cs="宋体"/>
                <w:color w:val="auto"/>
                <w:szCs w:val="21"/>
                <w:highlight w:val="none"/>
              </w:rPr>
              <w:t>税</w:t>
            </w:r>
            <w:r>
              <w:rPr>
                <w:rFonts w:hint="eastAsia" w:ascii="宋体" w:hAnsi="宋体" w:cs="宋体"/>
                <w:bCs/>
                <w:color w:val="auto"/>
                <w:szCs w:val="21"/>
                <w:highlight w:val="none"/>
              </w:rPr>
              <w:t>的承诺函（格式自拟）</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A41FF24">
            <w:pPr>
              <w:snapToGrid w:val="0"/>
              <w:spacing w:line="360" w:lineRule="auto"/>
              <w:ind w:firstLine="420" w:firstLineChars="200"/>
              <w:jc w:val="left"/>
              <w:rPr>
                <w:color w:val="auto"/>
                <w:highlight w:val="none"/>
              </w:rPr>
            </w:pPr>
            <w:r>
              <w:rPr>
                <w:rFonts w:hint="eastAsia" w:ascii="宋体" w:hAnsi="宋体" w:cs="宋体"/>
                <w:color w:val="auto"/>
                <w:szCs w:val="21"/>
                <w:highlight w:val="none"/>
              </w:rPr>
              <w:t>4.投标人依法缴纳社会保障资金的相关材料【</w:t>
            </w:r>
            <w:r>
              <w:rPr>
                <w:rFonts w:hint="eastAsia"/>
                <w:color w:val="auto"/>
                <w:highlight w:val="none"/>
              </w:rPr>
              <w:t>提交投标文件截止时间前</w:t>
            </w:r>
            <w:r>
              <w:rPr>
                <w:rFonts w:hint="eastAsia" w:ascii="宋体" w:hAnsi="宋体" w:cs="宋体"/>
                <w:color w:val="auto"/>
                <w:szCs w:val="21"/>
                <w:highlight w:val="none"/>
                <w:u w:val="single"/>
              </w:rPr>
              <w:t>半年</w:t>
            </w:r>
            <w:r>
              <w:rPr>
                <w:rFonts w:hint="eastAsia" w:ascii="宋体" w:hAnsi="宋体" w:cs="宋体"/>
                <w:color w:val="auto"/>
                <w:szCs w:val="21"/>
                <w:highlight w:val="none"/>
              </w:rPr>
              <w:t>内任意一个月的依法缴纳社会保障资金的缴费凭证；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或</w:t>
            </w:r>
            <w:r>
              <w:rPr>
                <w:rFonts w:hint="eastAsia" w:ascii="宋体" w:hAnsi="宋体" w:cs="宋体"/>
                <w:bCs/>
                <w:color w:val="auto"/>
                <w:szCs w:val="22"/>
                <w:highlight w:val="none"/>
              </w:rPr>
              <w:t>提供依法缴纳社会保险费的承诺函（格式自拟）</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0571DF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5.投标人财务状况报告【投标人应提供</w:t>
            </w:r>
            <w:r>
              <w:rPr>
                <w:rFonts w:hint="eastAsia" w:ascii="宋体" w:hAnsi="宋体" w:cs="宋体"/>
                <w:color w:val="auto"/>
                <w:szCs w:val="21"/>
                <w:highlight w:val="none"/>
                <w:u w:val="single"/>
              </w:rPr>
              <w:t>2024年</w:t>
            </w:r>
            <w:r>
              <w:rPr>
                <w:rFonts w:hint="eastAsia" w:ascii="宋体" w:hAnsi="宋体" w:cs="宋体"/>
                <w:color w:val="auto"/>
                <w:szCs w:val="21"/>
                <w:highlight w:val="none"/>
              </w:rPr>
              <w:t>度经审计的财务报告或者其基本开户银行出具的资信证明；投标截止日当年成立的投标人，只需提供从取得营业执照起的财务状况报告，</w:t>
            </w:r>
            <w:r>
              <w:rPr>
                <w:rFonts w:hint="eastAsia" w:ascii="宋体" w:hAnsi="宋体" w:cs="宋体"/>
                <w:bCs/>
                <w:color w:val="auto"/>
                <w:szCs w:val="21"/>
                <w:highlight w:val="none"/>
              </w:rPr>
              <w:t>或</w:t>
            </w:r>
            <w:r>
              <w:rPr>
                <w:rFonts w:hint="eastAsia" w:ascii="宋体" w:hAnsi="宋体" w:cs="宋体"/>
                <w:color w:val="auto"/>
                <w:szCs w:val="21"/>
                <w:highlight w:val="none"/>
              </w:rPr>
              <w:t>提供财务状况正常的承诺函（格式自拟）】；（</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DC92C0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6.投标人直接控股、管理关系信息表（格式后附）；（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6F8E90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7.投标声明（格式后附）；（</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1829814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8.中小企业声明函；【</w:t>
            </w:r>
            <w:r>
              <w:rPr>
                <w:rFonts w:hint="eastAsia" w:ascii="宋体" w:hAnsi="宋体" w:cs="宋体"/>
                <w:b/>
                <w:bCs/>
                <w:color w:val="auto"/>
                <w:szCs w:val="21"/>
                <w:highlight w:val="none"/>
              </w:rPr>
              <w:t>本项目如为专门面向中小企业（或者小型、微型企业）采购时必须提供，否则作无效投标处理</w:t>
            </w:r>
            <w:r>
              <w:rPr>
                <w:rFonts w:hint="eastAsia" w:ascii="宋体" w:hAnsi="宋体" w:cs="宋体"/>
                <w:color w:val="auto"/>
                <w:szCs w:val="21"/>
                <w:highlight w:val="none"/>
              </w:rPr>
              <w:t>】</w:t>
            </w:r>
          </w:p>
          <w:p w14:paraId="032BBEE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w:t>
            </w:r>
          </w:p>
          <w:p w14:paraId="05E7E5F7">
            <w:pPr>
              <w:snapToGrid w:val="0"/>
              <w:spacing w:line="360" w:lineRule="auto"/>
              <w:ind w:firstLine="422" w:firstLineChars="200"/>
              <w:jc w:val="left"/>
              <w:rPr>
                <w:color w:val="auto"/>
                <w:highlight w:val="none"/>
              </w:rPr>
            </w:pPr>
            <w:r>
              <w:rPr>
                <w:rFonts w:hint="eastAsia" w:ascii="宋体" w:hAnsi="宋体"/>
                <w:b/>
                <w:bCs/>
                <w:color w:val="auto"/>
                <w:szCs w:val="21"/>
                <w:highlight w:val="none"/>
              </w:rPr>
              <w:t>注：以上标明“必须提供”的材料须加盖投标人公章（或CA签章），否则按无效投标</w:t>
            </w:r>
            <w:r>
              <w:rPr>
                <w:rFonts w:hint="eastAsia" w:ascii="宋体" w:hAnsi="宋体" w:cs="Courier New"/>
                <w:b/>
                <w:color w:val="auto"/>
                <w:szCs w:val="21"/>
                <w:highlight w:val="none"/>
              </w:rPr>
              <w:t>处理。</w:t>
            </w:r>
          </w:p>
        </w:tc>
      </w:tr>
      <w:tr w14:paraId="1EB74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left w:val="single" w:color="auto" w:sz="4" w:space="0"/>
              <w:right w:val="single" w:color="auto" w:sz="4" w:space="0"/>
            </w:tcBorders>
            <w:vAlign w:val="center"/>
          </w:tcPr>
          <w:p w14:paraId="7C21CF2D">
            <w:pPr>
              <w:spacing w:line="360" w:lineRule="auto"/>
              <w:rPr>
                <w:rFonts w:ascii="宋体" w:hAnsi="宋体" w:cs="宋体"/>
                <w:color w:val="auto"/>
                <w:szCs w:val="21"/>
                <w:highlight w:val="none"/>
              </w:rPr>
            </w:pPr>
            <w:bookmarkStart w:id="60" w:name="_13.3"/>
            <w:bookmarkEnd w:id="60"/>
          </w:p>
        </w:tc>
        <w:tc>
          <w:tcPr>
            <w:tcW w:w="7969" w:type="dxa"/>
            <w:tcBorders>
              <w:top w:val="single" w:color="auto" w:sz="4" w:space="0"/>
              <w:left w:val="single" w:color="auto" w:sz="4" w:space="0"/>
              <w:bottom w:val="single" w:color="auto" w:sz="4" w:space="0"/>
              <w:right w:val="single" w:color="auto" w:sz="4" w:space="0"/>
            </w:tcBorders>
            <w:vAlign w:val="center"/>
          </w:tcPr>
          <w:p w14:paraId="3BB6E207">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67CE37F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1.投标人参加本项目无围标串标行为的承诺（格式后附）；（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6B899D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2.法定代表人（负责人）身份证明及法定代表人（负责人）有效身份证正反面（格式后附）；（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4C9EB7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3.法定代表人（负责人）授权委托书及委托代理人有效身份证正反面（格式后附）；（</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3DD1E4B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4.商务条款偏离表（格式后附）；（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D87FD6C">
            <w:pPr>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5.</w:t>
            </w:r>
            <w:r>
              <w:rPr>
                <w:rFonts w:hint="eastAsia" w:ascii="宋体" w:hAnsi="宋体"/>
                <w:color w:val="auto"/>
                <w:szCs w:val="21"/>
                <w:highlight w:val="none"/>
              </w:rPr>
              <w:t>服务承诺（格式自拟）；（</w:t>
            </w:r>
            <w:r>
              <w:rPr>
                <w:rFonts w:hint="eastAsia" w:ascii="宋体" w:hAnsi="宋体"/>
                <w:b/>
                <w:color w:val="auto"/>
                <w:szCs w:val="21"/>
                <w:highlight w:val="none"/>
              </w:rPr>
              <w:t>必须提供，</w:t>
            </w:r>
            <w:r>
              <w:rPr>
                <w:rFonts w:hint="eastAsia" w:ascii="宋体" w:hAnsi="宋体" w:cs="宋体"/>
                <w:b/>
                <w:color w:val="auto"/>
                <w:szCs w:val="21"/>
                <w:highlight w:val="none"/>
              </w:rPr>
              <w:t>否则作无效投标处理</w:t>
            </w:r>
            <w:r>
              <w:rPr>
                <w:rFonts w:hint="eastAsia" w:ascii="宋体" w:hAnsi="宋体"/>
                <w:color w:val="auto"/>
                <w:szCs w:val="21"/>
                <w:highlight w:val="none"/>
              </w:rPr>
              <w:t>）</w:t>
            </w:r>
          </w:p>
          <w:p w14:paraId="77106736">
            <w:pPr>
              <w:snapToGrid w:val="0"/>
              <w:spacing w:line="360" w:lineRule="auto"/>
              <w:ind w:left="413"/>
              <w:jc w:val="left"/>
              <w:rPr>
                <w:rFonts w:ascii="宋体" w:hAnsi="宋体" w:cs="宋体"/>
                <w:color w:val="auto"/>
                <w:szCs w:val="21"/>
                <w:highlight w:val="none"/>
              </w:rPr>
            </w:pPr>
            <w:r>
              <w:rPr>
                <w:rFonts w:hint="eastAsia" w:ascii="宋体" w:hAnsi="宋体" w:cs="宋体"/>
                <w:color w:val="auto"/>
                <w:szCs w:val="21"/>
                <w:highlight w:val="none"/>
              </w:rPr>
              <w:t>6.投标人类似的业绩证明（格式自拟）；（</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29CCD3B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7.除招标文件规定必须提供以外，投标人认为需要提供的其他证明材料（格式自拟）。（投标人根据“第二章 采购需求”及“第四章 评标方法及评标标准”提供有关证明材料）</w:t>
            </w:r>
          </w:p>
          <w:p w14:paraId="03B38517">
            <w:pPr>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注：1.法定代表人（负责人）授权委托书必须由法定代表人（负责人）签字（或个人CA盖章），并加盖投标人公章（或CA签章），否则作无效投标处理。</w:t>
            </w:r>
          </w:p>
          <w:p w14:paraId="4CC6D931">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2.以上标明“必须提供”的材料须加盖投标人公章（或CA签章），否则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3E303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left w:val="single" w:color="auto" w:sz="4" w:space="0"/>
              <w:bottom w:val="single" w:color="auto" w:sz="4" w:space="0"/>
              <w:right w:val="single" w:color="auto" w:sz="4" w:space="0"/>
            </w:tcBorders>
            <w:vAlign w:val="center"/>
          </w:tcPr>
          <w:p w14:paraId="6252F516">
            <w:pPr>
              <w:spacing w:line="360" w:lineRule="auto"/>
              <w:rPr>
                <w:rFonts w:ascii="宋体" w:hAnsi="宋体" w:cs="宋体"/>
                <w:color w:val="auto"/>
                <w:szCs w:val="21"/>
                <w:highlight w:val="none"/>
              </w:rPr>
            </w:pPr>
            <w:bookmarkStart w:id="61" w:name="_13.4"/>
            <w:bookmarkEnd w:id="61"/>
          </w:p>
        </w:tc>
        <w:tc>
          <w:tcPr>
            <w:tcW w:w="7969" w:type="dxa"/>
            <w:tcBorders>
              <w:top w:val="single" w:color="auto" w:sz="4" w:space="0"/>
              <w:left w:val="single" w:color="auto" w:sz="4" w:space="0"/>
              <w:bottom w:val="single" w:color="auto" w:sz="4" w:space="0"/>
              <w:right w:val="single" w:color="auto" w:sz="4" w:space="0"/>
            </w:tcBorders>
            <w:vAlign w:val="center"/>
          </w:tcPr>
          <w:p w14:paraId="5A6DC56F">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6AAD97C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技术条款偏离表</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7F4087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微软雅黑"/>
                <w:color w:val="auto"/>
                <w:highlight w:val="none"/>
              </w:rPr>
              <w:t>项目实施方案</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117BA0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项目实施人员一览表</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06FEC3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4.除招标文件规定必须提供以外，投标人认为需要提供的其他证明材料（格式自拟）。（投标人根据“第二章 采购需求”及“第四章 评标方法及评标标准”提供有关证明材料）</w:t>
            </w:r>
          </w:p>
          <w:p w14:paraId="65A7887F">
            <w:pPr>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注：以上标明“必须提供”的材料须加盖投标人公章（或CA签章），否则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391B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2E81FF38">
            <w:pPr>
              <w:spacing w:line="360" w:lineRule="auto"/>
              <w:rPr>
                <w:rFonts w:ascii="宋体" w:hAnsi="宋体" w:cs="宋体"/>
                <w:color w:val="auto"/>
                <w:szCs w:val="21"/>
                <w:highlight w:val="none"/>
              </w:rPr>
            </w:pPr>
            <w:bookmarkStart w:id="62" w:name="_13.5"/>
            <w:bookmarkEnd w:id="62"/>
            <w:r>
              <w:rPr>
                <w:rFonts w:hint="eastAsia" w:ascii="宋体" w:hAnsi="宋体" w:cs="宋体"/>
                <w:color w:val="auto"/>
                <w:szCs w:val="21"/>
                <w:highlight w:val="none"/>
              </w:rPr>
              <w:t>13.2</w:t>
            </w:r>
          </w:p>
        </w:tc>
        <w:tc>
          <w:tcPr>
            <w:tcW w:w="7969" w:type="dxa"/>
            <w:tcBorders>
              <w:top w:val="single" w:color="auto" w:sz="4" w:space="0"/>
              <w:left w:val="single" w:color="auto" w:sz="4" w:space="0"/>
              <w:bottom w:val="single" w:color="auto" w:sz="4" w:space="0"/>
              <w:right w:val="single" w:color="auto" w:sz="4" w:space="0"/>
            </w:tcBorders>
            <w:vAlign w:val="center"/>
          </w:tcPr>
          <w:p w14:paraId="0583E47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投标文件的制作</w:t>
            </w:r>
          </w:p>
          <w:p w14:paraId="5D8162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电子投标文件中须加盖投标人公章部分均采用CA签章，并根据“政府采购项目电子交易管理操作指南-供应商”及本招标文件规定的格式和顺序编制电子投标文件并进行关联定位，以便评审小组在评审时，点击评分项可直接定位到该评分项内容。如对招标文件的某项要求，投标人的电子投标文件未能关联定位提供相应的内容与其对应，则评审小组在评审时如做出对投标人不利的评审由投标人自行承担。电子投标文件如内容不完整、编排混乱导致投标文件被误读、漏读，或者在按招标文件规定的部位查找不到相关内容的，由投标人自行承担。</w:t>
            </w:r>
          </w:p>
          <w:p w14:paraId="109891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 投标人法人（负责人）或授权代表持有广西政府采购云平台个人CA签章的，应在投标文件中涉及到签字的位置使用个人CA签章，没有办理广西政府采购云平台个人CA签章的可在投标文件中涉及到签字的位置手写签字后扫描或者拍照做成 PDF 的格式上传即可。 </w:t>
            </w:r>
          </w:p>
          <w:p w14:paraId="55D388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投标文件不得涂改，若有修改错漏处，须法定代表人（负责人）或授权委托人签字（或个人CA签章）。投标文件因字迹潦草或表达不清所引起的后果由投标人负责。</w:t>
            </w:r>
          </w:p>
          <w:p w14:paraId="57B618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4评审前准备 </w:t>
            </w:r>
          </w:p>
          <w:p w14:paraId="6E9F6F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4.1本项目实行网上评审，采用电子投标文件；若投标人参与投标，自行承担投标一切费用。 </w:t>
            </w:r>
          </w:p>
          <w:p w14:paraId="074C764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4.2各投标人在截标前应确保成为广西政府采购云平台正式注册入库供应商，并完成 CA 数字证书申领。因未注册入库、未办理 CA 数字证书等原因造成无法投标或投标失败等后果由投标人自行承担。 </w:t>
            </w:r>
          </w:p>
          <w:p w14:paraId="4C5277D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4.3投标人将广西政府采购云平台电子交易客户端下载、安装完成后，可通过账号密码或 CA 登录客户端进行投标文件制作。客户端请至网站下载专区查看，如有问题可拨打广西政府采购云平台客户服务热线 95763 进行咨询。</w:t>
            </w:r>
          </w:p>
        </w:tc>
      </w:tr>
      <w:tr w14:paraId="65863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D500C66">
            <w:pPr>
              <w:spacing w:line="360" w:lineRule="auto"/>
              <w:rPr>
                <w:rFonts w:ascii="宋体" w:hAnsi="宋体" w:cs="宋体"/>
                <w:color w:val="auto"/>
                <w:szCs w:val="21"/>
                <w:highlight w:val="none"/>
              </w:rPr>
            </w:pPr>
            <w:bookmarkStart w:id="63" w:name="_16.2"/>
            <w:bookmarkEnd w:id="63"/>
            <w:r>
              <w:rPr>
                <w:rFonts w:hint="eastAsia" w:ascii="宋体" w:hAnsi="宋体" w:cs="宋体"/>
                <w:color w:val="auto"/>
                <w:szCs w:val="21"/>
                <w:highlight w:val="none"/>
              </w:rPr>
              <w:t>16</w:t>
            </w:r>
            <w:bookmarkStart w:id="64" w:name="_Hlt19693758"/>
            <w:bookmarkStart w:id="65" w:name="_Hlt19693759"/>
            <w:bookmarkStart w:id="66" w:name="_Hlt19194066"/>
            <w:bookmarkStart w:id="67" w:name="_Hlt19194067"/>
            <w:r>
              <w:rPr>
                <w:rFonts w:hint="eastAsia" w:ascii="宋体" w:hAnsi="宋体" w:cs="宋体"/>
                <w:color w:val="auto"/>
                <w:szCs w:val="21"/>
                <w:highlight w:val="none"/>
              </w:rPr>
              <w:t>.</w:t>
            </w:r>
            <w:bookmarkEnd w:id="64"/>
            <w:bookmarkEnd w:id="65"/>
            <w:bookmarkEnd w:id="66"/>
            <w:bookmarkEnd w:id="67"/>
            <w:r>
              <w:rPr>
                <w:rFonts w:hint="eastAsia" w:ascii="宋体" w:hAnsi="宋体" w:cs="宋体"/>
                <w:color w:val="auto"/>
                <w:szCs w:val="21"/>
                <w:highlight w:val="none"/>
              </w:rPr>
              <w:t>2</w:t>
            </w:r>
          </w:p>
        </w:tc>
        <w:tc>
          <w:tcPr>
            <w:tcW w:w="7969" w:type="dxa"/>
            <w:tcBorders>
              <w:top w:val="single" w:color="auto" w:sz="4" w:space="0"/>
              <w:left w:val="single" w:color="auto" w:sz="4" w:space="0"/>
              <w:bottom w:val="single" w:color="auto" w:sz="4" w:space="0"/>
              <w:right w:val="single" w:color="auto" w:sz="4" w:space="0"/>
            </w:tcBorders>
            <w:vAlign w:val="center"/>
          </w:tcPr>
          <w:p w14:paraId="6C9097B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报价为完成采购需求中安保服务的一切费用（含税价），包括但不限于服务价格、本次服务采购项目实施和完成服务所用装备费、器材费、管理费、利润、税费、人工成本【人工工资、人员服装费、法定社会保险（养老保险、医疗保险、失业保险、工伤保险、生育保险）、福利费、其他商业保险及在人员使用上应包括的一切费用】等完成服务所必须的一切成本费用，以及招标文件及合同包含的所有风险、责任等各项已列明费用或未列明费用。</w:t>
            </w:r>
          </w:p>
          <w:p w14:paraId="2DCB4AA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☑投标报价包含验收费用</w:t>
            </w:r>
          </w:p>
          <w:p w14:paraId="5239B25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□投标报价不包含验收费用</w:t>
            </w:r>
          </w:p>
        </w:tc>
      </w:tr>
      <w:tr w14:paraId="06868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B3B9E96">
            <w:pPr>
              <w:spacing w:line="360" w:lineRule="auto"/>
              <w:rPr>
                <w:rFonts w:ascii="宋体" w:hAnsi="宋体" w:cs="宋体"/>
                <w:color w:val="auto"/>
                <w:szCs w:val="21"/>
                <w:highlight w:val="none"/>
              </w:rPr>
            </w:pPr>
            <w:bookmarkStart w:id="68" w:name="_17.1"/>
            <w:bookmarkEnd w:id="68"/>
            <w:r>
              <w:rPr>
                <w:rFonts w:hint="eastAsia" w:ascii="宋体" w:hAnsi="宋体" w:cs="宋体"/>
                <w:color w:val="auto"/>
                <w:szCs w:val="21"/>
                <w:highlight w:val="none"/>
              </w:rPr>
              <w:t>17.2</w:t>
            </w:r>
          </w:p>
        </w:tc>
        <w:tc>
          <w:tcPr>
            <w:tcW w:w="7969" w:type="dxa"/>
            <w:tcBorders>
              <w:top w:val="single" w:color="auto" w:sz="4" w:space="0"/>
              <w:left w:val="single" w:color="auto" w:sz="4" w:space="0"/>
              <w:bottom w:val="single" w:color="auto" w:sz="4" w:space="0"/>
              <w:right w:val="single" w:color="auto" w:sz="4" w:space="0"/>
            </w:tcBorders>
            <w:vAlign w:val="center"/>
          </w:tcPr>
          <w:p w14:paraId="083860A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 xml:space="preserve">  90  </w:t>
            </w:r>
            <w:r>
              <w:rPr>
                <w:rFonts w:hint="eastAsia" w:ascii="宋体" w:hAnsi="宋体" w:cs="宋体"/>
                <w:color w:val="auto"/>
                <w:szCs w:val="21"/>
                <w:highlight w:val="none"/>
              </w:rPr>
              <w:t>日。</w:t>
            </w:r>
          </w:p>
        </w:tc>
      </w:tr>
      <w:tr w14:paraId="0220B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93D77FB">
            <w:pPr>
              <w:spacing w:line="360" w:lineRule="auto"/>
              <w:rPr>
                <w:rFonts w:ascii="宋体" w:hAnsi="宋体" w:cs="宋体"/>
                <w:color w:val="auto"/>
                <w:szCs w:val="21"/>
                <w:highlight w:val="none"/>
              </w:rPr>
            </w:pPr>
            <w:bookmarkStart w:id="69" w:name="_18"/>
            <w:bookmarkEnd w:id="69"/>
            <w:r>
              <w:rPr>
                <w:rFonts w:hint="eastAsia" w:ascii="宋体" w:hAnsi="宋体" w:cs="宋体"/>
                <w:color w:val="auto"/>
                <w:szCs w:val="21"/>
                <w:highlight w:val="none"/>
              </w:rPr>
              <w:t>18.1</w:t>
            </w:r>
          </w:p>
        </w:tc>
        <w:tc>
          <w:tcPr>
            <w:tcW w:w="7969" w:type="dxa"/>
            <w:tcBorders>
              <w:top w:val="single" w:color="auto" w:sz="4" w:space="0"/>
              <w:left w:val="single" w:color="auto" w:sz="4" w:space="0"/>
              <w:bottom w:val="single" w:color="auto" w:sz="4" w:space="0"/>
              <w:right w:val="single" w:color="auto" w:sz="4" w:space="0"/>
            </w:tcBorders>
            <w:vAlign w:val="center"/>
          </w:tcPr>
          <w:p w14:paraId="5E424EFE">
            <w:pPr>
              <w:autoSpaceDE w:val="0"/>
              <w:autoSpaceDN w:val="0"/>
              <w:snapToGrid w:val="0"/>
              <w:spacing w:line="360" w:lineRule="auto"/>
              <w:textAlignment w:val="bottom"/>
              <w:rPr>
                <w:rFonts w:ascii="宋体" w:hAnsi="宋体" w:cs="宋体"/>
                <w:b/>
                <w:color w:val="auto"/>
                <w:szCs w:val="21"/>
                <w:highlight w:val="none"/>
              </w:rPr>
            </w:pPr>
            <w:r>
              <w:rPr>
                <w:rFonts w:hint="eastAsia" w:ascii="宋体" w:hAnsi="宋体" w:cs="宋体"/>
                <w:color w:val="auto"/>
                <w:szCs w:val="21"/>
                <w:highlight w:val="none"/>
              </w:rPr>
              <w:t>☑本项目不收取投标保证金。</w:t>
            </w:r>
          </w:p>
        </w:tc>
      </w:tr>
      <w:tr w14:paraId="226F3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7FD47E2D">
            <w:pPr>
              <w:spacing w:line="360" w:lineRule="auto"/>
              <w:rPr>
                <w:rFonts w:ascii="宋体" w:hAnsi="宋体" w:cs="宋体"/>
                <w:color w:val="auto"/>
                <w:szCs w:val="21"/>
                <w:highlight w:val="none"/>
              </w:rPr>
            </w:pPr>
            <w:bookmarkStart w:id="70" w:name="_19.2"/>
            <w:bookmarkEnd w:id="70"/>
            <w:r>
              <w:rPr>
                <w:rFonts w:hint="eastAsia" w:ascii="宋体" w:hAnsi="宋体" w:cs="宋体"/>
                <w:color w:val="auto"/>
                <w:szCs w:val="21"/>
                <w:highlight w:val="none"/>
              </w:rPr>
              <w:t>19.2</w:t>
            </w:r>
          </w:p>
        </w:tc>
        <w:tc>
          <w:tcPr>
            <w:tcW w:w="7969" w:type="dxa"/>
            <w:tcBorders>
              <w:top w:val="single" w:color="auto" w:sz="4" w:space="0"/>
              <w:left w:val="single" w:color="auto" w:sz="4" w:space="0"/>
              <w:bottom w:val="single" w:color="auto" w:sz="4" w:space="0"/>
              <w:right w:val="single" w:color="auto" w:sz="4" w:space="0"/>
            </w:tcBorders>
            <w:vAlign w:val="center"/>
          </w:tcPr>
          <w:p w14:paraId="6FC3CCFD">
            <w:pPr>
              <w:autoSpaceDE w:val="0"/>
              <w:autoSpaceDN w:val="0"/>
              <w:snapToGri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供应商法人（负责人）或授权代表持有广西政府采购云平台个人CA签章的，应在投标文件中涉及到签字的位置使用个人CA签章，没有办理广西政府采购云平台个人CA签章的可在投标文件中涉及到签字的位置手写签字后扫描或者拍照做成 PDF 的格式上传即可。</w:t>
            </w:r>
          </w:p>
        </w:tc>
      </w:tr>
      <w:tr w14:paraId="609B3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63" w:type="dxa"/>
            <w:tcBorders>
              <w:top w:val="single" w:color="auto" w:sz="4" w:space="0"/>
              <w:left w:val="single" w:color="auto" w:sz="4" w:space="0"/>
              <w:bottom w:val="single" w:color="auto" w:sz="4" w:space="0"/>
              <w:right w:val="single" w:color="auto" w:sz="4" w:space="0"/>
            </w:tcBorders>
            <w:vAlign w:val="center"/>
          </w:tcPr>
          <w:p w14:paraId="1D992177">
            <w:pPr>
              <w:spacing w:line="360" w:lineRule="auto"/>
              <w:rPr>
                <w:rFonts w:ascii="宋体" w:hAnsi="宋体" w:cs="宋体"/>
                <w:color w:val="auto"/>
                <w:szCs w:val="21"/>
                <w:highlight w:val="none"/>
              </w:rPr>
            </w:pPr>
            <w:bookmarkStart w:id="71" w:name="_21.1"/>
            <w:bookmarkEnd w:id="71"/>
            <w:r>
              <w:rPr>
                <w:rFonts w:hint="eastAsia" w:ascii="宋体" w:hAnsi="宋体" w:cs="宋体"/>
                <w:color w:val="auto"/>
                <w:szCs w:val="21"/>
                <w:highlight w:val="none"/>
              </w:rPr>
              <w:t>21.1</w:t>
            </w:r>
          </w:p>
        </w:tc>
        <w:tc>
          <w:tcPr>
            <w:tcW w:w="7969" w:type="dxa"/>
            <w:tcBorders>
              <w:top w:val="single" w:color="auto" w:sz="4" w:space="0"/>
              <w:left w:val="single" w:color="auto" w:sz="4" w:space="0"/>
              <w:bottom w:val="single" w:color="auto" w:sz="4" w:space="0"/>
              <w:right w:val="single" w:color="auto" w:sz="4" w:space="0"/>
            </w:tcBorders>
            <w:vAlign w:val="center"/>
          </w:tcPr>
          <w:p w14:paraId="1C0A950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投标文件递交</w:t>
            </w:r>
          </w:p>
          <w:p w14:paraId="545CC0D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投标文件递交截止时间：于投标文件递交截止时间之前将电子投标文件上传到广西政府采购云平台。应按照本项目招标文件和广西政府采购云平台的要求编制、加密传输投标文件。供应商在使用系统进行投标的过程中遇到涉及平台使用的任何问题，可致电政</w:t>
            </w:r>
            <w:r>
              <w:rPr>
                <w:rFonts w:hint="eastAsia" w:ascii="宋体" w:hAnsi="宋体"/>
                <w:color w:val="auto"/>
                <w:szCs w:val="21"/>
                <w:highlight w:val="none"/>
              </w:rPr>
              <w:t>广西政府采购云平台</w:t>
            </w:r>
            <w:r>
              <w:rPr>
                <w:rFonts w:hint="eastAsia" w:ascii="宋体" w:hAnsi="宋体" w:cs="宋体"/>
                <w:color w:val="auto"/>
                <w:szCs w:val="21"/>
                <w:highlight w:val="none"/>
              </w:rPr>
              <w:t>客户服务热线 95763 进行咨询。</w:t>
            </w:r>
          </w:p>
        </w:tc>
      </w:tr>
      <w:tr w14:paraId="4BB69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63" w:type="dxa"/>
            <w:tcBorders>
              <w:top w:val="single" w:color="auto" w:sz="4" w:space="0"/>
              <w:left w:val="single" w:color="auto" w:sz="4" w:space="0"/>
              <w:bottom w:val="single" w:color="auto" w:sz="4" w:space="0"/>
              <w:right w:val="single" w:color="auto" w:sz="4" w:space="0"/>
            </w:tcBorders>
            <w:vAlign w:val="center"/>
          </w:tcPr>
          <w:p w14:paraId="42172AC2">
            <w:pPr>
              <w:spacing w:line="360" w:lineRule="auto"/>
              <w:rPr>
                <w:rFonts w:ascii="宋体" w:hAnsi="宋体" w:cs="宋体"/>
                <w:color w:val="auto"/>
                <w:szCs w:val="21"/>
                <w:highlight w:val="none"/>
              </w:rPr>
            </w:pPr>
            <w:r>
              <w:rPr>
                <w:rFonts w:hint="eastAsia" w:ascii="宋体" w:hAnsi="宋体" w:cs="宋体"/>
                <w:color w:val="auto"/>
                <w:szCs w:val="21"/>
                <w:highlight w:val="none"/>
              </w:rPr>
              <w:t>21.2</w:t>
            </w:r>
          </w:p>
        </w:tc>
        <w:tc>
          <w:tcPr>
            <w:tcW w:w="7969" w:type="dxa"/>
            <w:tcBorders>
              <w:top w:val="single" w:color="auto" w:sz="4" w:space="0"/>
              <w:left w:val="single" w:color="auto" w:sz="4" w:space="0"/>
              <w:bottom w:val="single" w:color="auto" w:sz="4" w:space="0"/>
              <w:right w:val="single" w:color="auto" w:sz="4" w:space="0"/>
            </w:tcBorders>
            <w:vAlign w:val="center"/>
          </w:tcPr>
          <w:p w14:paraId="7452DD69">
            <w:pPr>
              <w:widowControl/>
              <w:spacing w:line="360" w:lineRule="exact"/>
              <w:ind w:firstLine="420" w:firstLineChars="200"/>
              <w:jc w:val="left"/>
              <w:rPr>
                <w:color w:val="auto"/>
                <w:highlight w:val="none"/>
              </w:rPr>
            </w:pPr>
            <w:r>
              <w:rPr>
                <w:rFonts w:hint="eastAsia"/>
                <w:color w:val="auto"/>
                <w:highlight w:val="none"/>
              </w:rPr>
              <w:t>投标文件解密</w:t>
            </w:r>
          </w:p>
          <w:p w14:paraId="341BBDE9">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21.2</w:t>
            </w:r>
            <w:r>
              <w:rPr>
                <w:rFonts w:hint="eastAsia" w:ascii="宋体" w:hAnsi="宋体" w:cs="宋体"/>
                <w:color w:val="auto"/>
                <w:highlight w:val="none"/>
              </w:rPr>
              <w:t>投标文件解密时间：截标时间后</w:t>
            </w:r>
            <w:r>
              <w:rPr>
                <w:rFonts w:hint="eastAsia" w:ascii="宋体" w:hAnsi="宋体" w:cs="宋体"/>
                <w:color w:val="auto"/>
                <w:highlight w:val="none"/>
                <w:u w:val="single"/>
              </w:rPr>
              <w:t>30</w:t>
            </w:r>
            <w:r>
              <w:rPr>
                <w:rFonts w:hint="eastAsia" w:ascii="宋体" w:hAnsi="宋体" w:cs="宋体"/>
                <w:color w:val="auto"/>
                <w:highlight w:val="none"/>
              </w:rPr>
              <w:t>分钟内投标人可以登录广西政府采购云平台，</w:t>
            </w:r>
            <w:r>
              <w:rPr>
                <w:rFonts w:hint="eastAsia" w:ascii="宋体" w:hAnsi="宋体" w:cs="宋体"/>
                <w:color w:val="auto"/>
                <w:kern w:val="0"/>
                <w:szCs w:val="21"/>
                <w:highlight w:val="none"/>
              </w:rPr>
              <w:t>投标人投标时，需凭制作投标文件时用来加密的有效数字证书（CA认证）登录广西政府采购云平台电子开标大厅现场按规定时间对加密的投标文件进行解密，否则后果自负。</w:t>
            </w:r>
          </w:p>
          <w:p w14:paraId="5105EA2D">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w:t>
            </w:r>
          </w:p>
          <w:p w14:paraId="71EA02BF">
            <w:pPr>
              <w:widowControl/>
              <w:spacing w:line="360" w:lineRule="exact"/>
              <w:ind w:firstLine="420" w:firstLineChars="200"/>
              <w:jc w:val="left"/>
              <w:rPr>
                <w:rFonts w:ascii="宋体" w:hAnsi="宋体" w:cs="宋体"/>
                <w:color w:val="auto"/>
                <w:szCs w:val="21"/>
                <w:highlight w:val="none"/>
              </w:rPr>
            </w:pPr>
            <w:r>
              <w:rPr>
                <w:rFonts w:hint="eastAsia" w:ascii="宋体" w:hAnsi="宋体"/>
                <w:color w:val="auto"/>
                <w:szCs w:val="21"/>
                <w:highlight w:val="none"/>
              </w:rPr>
              <w:t>2）</w:t>
            </w:r>
            <w:r>
              <w:rPr>
                <w:rFonts w:hint="eastAsia" w:ascii="宋体" w:hAnsi="宋体" w:cs="宋体"/>
                <w:color w:val="auto"/>
                <w:kern w:val="0"/>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补充、修改或者撤回方式可登陆广西政府采购云平台，依次进入“服务中心”中查看 “电子投标文件制作与投送教程”）。</w:t>
            </w:r>
          </w:p>
        </w:tc>
      </w:tr>
      <w:tr w14:paraId="0E137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539E760">
            <w:pPr>
              <w:spacing w:line="360" w:lineRule="auto"/>
              <w:rPr>
                <w:rFonts w:ascii="宋体" w:hAnsi="宋体" w:cs="宋体"/>
                <w:color w:val="auto"/>
                <w:szCs w:val="21"/>
                <w:highlight w:val="none"/>
              </w:rPr>
            </w:pPr>
            <w:bookmarkStart w:id="72" w:name="_23"/>
            <w:bookmarkEnd w:id="72"/>
            <w:r>
              <w:rPr>
                <w:rFonts w:hint="eastAsia" w:ascii="宋体" w:hAnsi="宋体" w:cs="宋体"/>
                <w:color w:val="auto"/>
                <w:szCs w:val="21"/>
                <w:highlight w:val="none"/>
              </w:rPr>
              <w:t>23</w:t>
            </w:r>
          </w:p>
        </w:tc>
        <w:tc>
          <w:tcPr>
            <w:tcW w:w="7969" w:type="dxa"/>
            <w:tcBorders>
              <w:top w:val="single" w:color="auto" w:sz="4" w:space="0"/>
              <w:left w:val="single" w:color="auto" w:sz="4" w:space="0"/>
              <w:bottom w:val="single" w:color="auto" w:sz="4" w:space="0"/>
              <w:right w:val="single" w:color="auto" w:sz="4" w:space="0"/>
            </w:tcBorders>
            <w:vAlign w:val="center"/>
          </w:tcPr>
          <w:p w14:paraId="7CC3139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083F1E4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71C70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F7009D7">
            <w:pPr>
              <w:spacing w:line="360" w:lineRule="auto"/>
              <w:rPr>
                <w:rFonts w:ascii="宋体" w:hAnsi="宋体" w:cs="宋体"/>
                <w:color w:val="auto"/>
                <w:szCs w:val="21"/>
                <w:highlight w:val="none"/>
              </w:rPr>
            </w:pPr>
            <w:bookmarkStart w:id="73" w:name="_25.3"/>
            <w:bookmarkEnd w:id="73"/>
            <w:r>
              <w:rPr>
                <w:rFonts w:hint="eastAsia" w:ascii="宋体" w:hAnsi="宋体" w:cs="宋体"/>
                <w:color w:val="auto"/>
                <w:szCs w:val="21"/>
                <w:highlight w:val="none"/>
              </w:rPr>
              <w:t>25.3（2）</w:t>
            </w:r>
          </w:p>
        </w:tc>
        <w:tc>
          <w:tcPr>
            <w:tcW w:w="7969" w:type="dxa"/>
            <w:tcBorders>
              <w:top w:val="single" w:color="auto" w:sz="4" w:space="0"/>
              <w:left w:val="single" w:color="auto" w:sz="4" w:space="0"/>
              <w:bottom w:val="single" w:color="auto" w:sz="4" w:space="0"/>
              <w:right w:val="single" w:color="auto" w:sz="4" w:space="0"/>
            </w:tcBorders>
            <w:vAlign w:val="center"/>
          </w:tcPr>
          <w:p w14:paraId="1E0F89CB">
            <w:pPr>
              <w:snapToGrid w:val="0"/>
              <w:spacing w:line="360" w:lineRule="auto"/>
              <w:rPr>
                <w:rFonts w:ascii="宋体" w:hAnsi="宋体" w:cs="宋体"/>
                <w:color w:val="auto"/>
                <w:szCs w:val="21"/>
                <w:highlight w:val="none"/>
              </w:rPr>
            </w:pPr>
            <w:r>
              <w:rPr>
                <w:rFonts w:hint="eastAsia" w:ascii="宋体" w:hAnsi="宋体"/>
                <w:color w:val="auto"/>
                <w:szCs w:val="21"/>
                <w:highlight w:val="none"/>
              </w:rPr>
              <w:t>广西政府采购云平台</w:t>
            </w:r>
            <w:r>
              <w:rPr>
                <w:rFonts w:hint="eastAsia" w:ascii="宋体" w:hAnsi="宋体" w:cs="宋体"/>
                <w:color w:val="auto"/>
                <w:szCs w:val="21"/>
                <w:highlight w:val="none"/>
              </w:rPr>
              <w:t>已与“信用中国”平台做接口，资格评审专家可直接在线查询。</w:t>
            </w:r>
          </w:p>
          <w:p w14:paraId="5F98F89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、中国政府采购网(http://www.ccgp.gov.cn)》。</w:t>
            </w:r>
          </w:p>
          <w:p w14:paraId="1683F0D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5144CC8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3A7EDC1F">
            <w:pPr>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中国政府采购网(http://www.ccgp.gov.cn)被列入失信被执行人、重大税收违法失信主体、政府采购严重违法失信行为记录名单及其他不符合《中华人民共和国政府采购法》第二十二条规定条件的投标人，采购人或者采购代理机构应当拒绝其参与政府采购活动。两个以上的自然人、法人或者其他组织组成一个联合体，以一个投标人的身份共同参加政府采购活动的，应当对所有联合体成员进行信用记录查询，联合体成员存在不良信用记录的，视同联合体存在不良信用记录。</w:t>
            </w:r>
          </w:p>
        </w:tc>
      </w:tr>
      <w:tr w14:paraId="6A915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6FA83D0F">
            <w:pPr>
              <w:spacing w:line="360" w:lineRule="auto"/>
              <w:rPr>
                <w:rFonts w:ascii="宋体" w:hAnsi="宋体" w:cs="宋体"/>
                <w:color w:val="auto"/>
                <w:szCs w:val="21"/>
                <w:highlight w:val="none"/>
              </w:rPr>
            </w:pPr>
            <w:bookmarkStart w:id="74" w:name="_26"/>
            <w:bookmarkEnd w:id="74"/>
            <w:r>
              <w:rPr>
                <w:rFonts w:hint="eastAsia" w:ascii="宋体" w:hAnsi="宋体" w:cs="宋体"/>
                <w:color w:val="auto"/>
                <w:szCs w:val="21"/>
                <w:highlight w:val="none"/>
              </w:rPr>
              <w:t>26</w:t>
            </w:r>
          </w:p>
        </w:tc>
        <w:tc>
          <w:tcPr>
            <w:tcW w:w="7969" w:type="dxa"/>
            <w:tcBorders>
              <w:top w:val="single" w:color="auto" w:sz="4" w:space="0"/>
              <w:left w:val="single" w:color="auto" w:sz="4" w:space="0"/>
              <w:bottom w:val="single" w:color="auto" w:sz="4" w:space="0"/>
              <w:right w:val="single" w:color="auto" w:sz="4" w:space="0"/>
            </w:tcBorders>
            <w:vAlign w:val="center"/>
          </w:tcPr>
          <w:p w14:paraId="48B51C9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评标委员会的人数：7人，其中采购人代表2人，专家5人。</w:t>
            </w:r>
          </w:p>
          <w:p w14:paraId="50FB1FAF">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专家确定方式：评审前从广西政府采购云平台中广西壮族自治区政府采购评审系统设立的专家库中通过电脑随机抽取。</w:t>
            </w:r>
          </w:p>
        </w:tc>
      </w:tr>
      <w:tr w14:paraId="06C0D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4CDB2C9">
            <w:pPr>
              <w:spacing w:line="360" w:lineRule="auto"/>
              <w:rPr>
                <w:rFonts w:ascii="宋体" w:hAnsi="宋体" w:cs="宋体"/>
                <w:color w:val="auto"/>
                <w:szCs w:val="21"/>
                <w:highlight w:val="none"/>
              </w:rPr>
            </w:pPr>
            <w:bookmarkStart w:id="75" w:name="_28.3"/>
            <w:bookmarkEnd w:id="75"/>
            <w:r>
              <w:rPr>
                <w:rFonts w:hint="eastAsia" w:ascii="宋体" w:hAnsi="宋体" w:cs="宋体"/>
                <w:color w:val="auto"/>
                <w:szCs w:val="21"/>
                <w:highlight w:val="none"/>
              </w:rPr>
              <w:t>29.1</w:t>
            </w:r>
          </w:p>
        </w:tc>
        <w:tc>
          <w:tcPr>
            <w:tcW w:w="7969" w:type="dxa"/>
            <w:tcBorders>
              <w:top w:val="single" w:color="auto" w:sz="4" w:space="0"/>
              <w:left w:val="single" w:color="auto" w:sz="4" w:space="0"/>
              <w:bottom w:val="single" w:color="auto" w:sz="4" w:space="0"/>
              <w:right w:val="single" w:color="auto" w:sz="4" w:space="0"/>
            </w:tcBorders>
            <w:vAlign w:val="center"/>
          </w:tcPr>
          <w:p w14:paraId="30683782">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360D84E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☑综合评分法</w:t>
            </w:r>
          </w:p>
          <w:p w14:paraId="5BBD15A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□最低评标价法</w:t>
            </w:r>
          </w:p>
        </w:tc>
      </w:tr>
      <w:tr w14:paraId="67874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auto" w:sz="4" w:space="0"/>
              <w:left w:val="single" w:color="auto" w:sz="4" w:space="0"/>
              <w:right w:val="single" w:color="auto" w:sz="4" w:space="0"/>
            </w:tcBorders>
            <w:vAlign w:val="center"/>
          </w:tcPr>
          <w:p w14:paraId="73830BC5">
            <w:pPr>
              <w:spacing w:line="360" w:lineRule="auto"/>
              <w:rPr>
                <w:rFonts w:ascii="宋体" w:hAnsi="宋体" w:cs="宋体"/>
                <w:color w:val="auto"/>
                <w:szCs w:val="21"/>
                <w:highlight w:val="none"/>
              </w:rPr>
            </w:pPr>
            <w:bookmarkStart w:id="76" w:name="_29.2.2（2）"/>
            <w:bookmarkEnd w:id="76"/>
            <w:r>
              <w:rPr>
                <w:rFonts w:hint="eastAsia" w:ascii="宋体" w:hAnsi="宋体" w:cs="宋体"/>
                <w:color w:val="auto"/>
                <w:szCs w:val="21"/>
                <w:highlight w:val="none"/>
              </w:rPr>
              <w:t>29.2</w:t>
            </w:r>
          </w:p>
        </w:tc>
        <w:tc>
          <w:tcPr>
            <w:tcW w:w="7969" w:type="dxa"/>
            <w:tcBorders>
              <w:top w:val="single" w:color="auto" w:sz="4" w:space="0"/>
              <w:left w:val="single" w:color="auto" w:sz="4" w:space="0"/>
              <w:right w:val="single" w:color="auto" w:sz="4" w:space="0"/>
            </w:tcBorders>
            <w:vAlign w:val="center"/>
          </w:tcPr>
          <w:p w14:paraId="5C32938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79B63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13838A9">
            <w:pPr>
              <w:spacing w:line="360" w:lineRule="auto"/>
              <w:rPr>
                <w:rFonts w:ascii="宋体" w:hAnsi="宋体" w:cs="宋体"/>
                <w:color w:val="auto"/>
                <w:szCs w:val="21"/>
                <w:highlight w:val="none"/>
              </w:rPr>
            </w:pPr>
            <w:r>
              <w:rPr>
                <w:rFonts w:hint="eastAsia" w:ascii="宋体" w:hAnsi="宋体" w:cs="宋体"/>
                <w:color w:val="auto"/>
                <w:szCs w:val="21"/>
                <w:highlight w:val="none"/>
              </w:rPr>
              <w:t>30.1</w:t>
            </w:r>
          </w:p>
        </w:tc>
        <w:tc>
          <w:tcPr>
            <w:tcW w:w="7969" w:type="dxa"/>
            <w:tcBorders>
              <w:top w:val="single" w:color="auto" w:sz="4" w:space="0"/>
              <w:left w:val="single" w:color="auto" w:sz="4" w:space="0"/>
              <w:bottom w:val="single" w:color="auto" w:sz="4" w:space="0"/>
              <w:right w:val="single" w:color="auto" w:sz="4" w:space="0"/>
            </w:tcBorders>
            <w:vAlign w:val="center"/>
          </w:tcPr>
          <w:p w14:paraId="732A173C">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采购人确定中标人时，出现中标候选人并列的情形，采购人按以下的方式确定中标人：</w:t>
            </w:r>
          </w:p>
          <w:p w14:paraId="385189E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按照评审因素的量化指标评审得分最高的优先、项目质保期长优先（如有）、交货期短优先（如有）、故障响应时间短优先（如有）的顺序；（注：第四章评标方法及标准中另有约定的，则按第四章中约定内容执行。）</w:t>
            </w:r>
          </w:p>
          <w:p w14:paraId="630FE17B">
            <w:pPr>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□随机抽取</w:t>
            </w:r>
          </w:p>
        </w:tc>
      </w:tr>
      <w:tr w14:paraId="34248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63" w:type="dxa"/>
            <w:tcBorders>
              <w:top w:val="single" w:color="auto" w:sz="4" w:space="0"/>
              <w:left w:val="single" w:color="auto" w:sz="4" w:space="0"/>
              <w:bottom w:val="single" w:color="auto" w:sz="4" w:space="0"/>
              <w:right w:val="single" w:color="auto" w:sz="4" w:space="0"/>
            </w:tcBorders>
            <w:vAlign w:val="center"/>
          </w:tcPr>
          <w:p w14:paraId="3A9EA2B8">
            <w:pPr>
              <w:spacing w:line="360" w:lineRule="auto"/>
              <w:rPr>
                <w:rFonts w:ascii="宋体" w:hAnsi="宋体" w:cs="宋体"/>
                <w:color w:val="auto"/>
                <w:szCs w:val="21"/>
                <w:highlight w:val="none"/>
              </w:rPr>
            </w:pPr>
            <w:bookmarkStart w:id="77" w:name="_39.1"/>
            <w:bookmarkEnd w:id="77"/>
            <w:r>
              <w:rPr>
                <w:rFonts w:hint="eastAsia" w:ascii="宋体" w:hAnsi="宋体" w:cs="宋体"/>
                <w:color w:val="auto"/>
                <w:szCs w:val="21"/>
                <w:highlight w:val="none"/>
              </w:rPr>
              <w:t>35.1</w:t>
            </w:r>
          </w:p>
        </w:tc>
        <w:tc>
          <w:tcPr>
            <w:tcW w:w="7969" w:type="dxa"/>
            <w:tcBorders>
              <w:top w:val="single" w:color="auto" w:sz="4" w:space="0"/>
              <w:left w:val="single" w:color="auto" w:sz="4" w:space="0"/>
              <w:bottom w:val="single" w:color="auto" w:sz="4" w:space="0"/>
              <w:right w:val="single" w:color="auto" w:sz="4" w:space="0"/>
            </w:tcBorders>
            <w:vAlign w:val="center"/>
          </w:tcPr>
          <w:p w14:paraId="1D4DE5E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履约保证金金额：按</w:t>
            </w:r>
            <w:r>
              <w:rPr>
                <w:rFonts w:hint="eastAsia" w:ascii="宋体" w:hAnsi="宋体" w:cs="宋体"/>
                <w:color w:val="auto"/>
                <w:szCs w:val="21"/>
                <w:highlight w:val="none"/>
                <w:lang w:val="en-US" w:eastAsia="zh-CN"/>
              </w:rPr>
              <w:t>中标金额的5%</w:t>
            </w:r>
            <w:r>
              <w:rPr>
                <w:rFonts w:hint="eastAsia" w:ascii="宋体" w:hAnsi="宋体" w:cs="宋体"/>
                <w:color w:val="auto"/>
                <w:szCs w:val="21"/>
                <w:highlight w:val="none"/>
              </w:rPr>
              <w:t>（若中标供应商为</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小微企业的，则</w:t>
            </w:r>
            <w:r>
              <w:rPr>
                <w:rFonts w:hint="eastAsia" w:ascii="宋体" w:hAnsi="宋体" w:cs="宋体"/>
                <w:color w:val="auto"/>
                <w:szCs w:val="21"/>
                <w:highlight w:val="none"/>
                <w:lang w:val="en-US" w:eastAsia="zh-CN"/>
              </w:rPr>
              <w:t>按中标金额的2%</w:t>
            </w:r>
            <w:r>
              <w:rPr>
                <w:rFonts w:hint="eastAsia" w:ascii="宋体" w:hAnsi="宋体" w:cs="宋体"/>
                <w:color w:val="auto"/>
                <w:szCs w:val="21"/>
                <w:highlight w:val="none"/>
              </w:rPr>
              <w:t>）。</w:t>
            </w:r>
          </w:p>
          <w:p w14:paraId="734729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履约保证金提交方式：</w:t>
            </w:r>
            <w:r>
              <w:rPr>
                <w:rFonts w:hint="eastAsia" w:ascii="宋体" w:hAnsi="宋体" w:cs="宋体"/>
                <w:bCs/>
                <w:color w:val="auto"/>
                <w:szCs w:val="21"/>
                <w:highlight w:val="none"/>
              </w:rPr>
              <w:t>银行转账、支票、汇票、本票或者银行、保险机构出具的保函等非现金方式。</w:t>
            </w:r>
          </w:p>
          <w:p w14:paraId="36A6141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履约保证金递交方式及相关要求</w:t>
            </w:r>
          </w:p>
          <w:p w14:paraId="6DA597D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（1）履约保证金采用银行转账交纳方式的，中标人在签订合同前交至甲方指定账户并且到账。</w:t>
            </w:r>
          </w:p>
          <w:p w14:paraId="1E3E742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（2）履约保证金采用支票、汇票或本票交纳方式的，中标人在签订合同前，向甲方提交支票、汇票或本票原件。</w:t>
            </w:r>
          </w:p>
          <w:p w14:paraId="52F5FED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（3）履约保证金采用银行、保险机构出具的保函交纳方式的，中标人在签订合同前，向甲方提交保函原件。</w:t>
            </w:r>
          </w:p>
          <w:p w14:paraId="4461314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（4）履约保证金指定账户</w:t>
            </w:r>
          </w:p>
          <w:p w14:paraId="494548C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开户名称：广西师范大学</w:t>
            </w:r>
          </w:p>
          <w:p w14:paraId="443463F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开户银行：中国工商银行股份有限公司桂林市高新科技支行</w:t>
            </w:r>
          </w:p>
          <w:p w14:paraId="163A68C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账    号：2103215109264004618</w:t>
            </w:r>
          </w:p>
          <w:p w14:paraId="595EAAE3">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szCs w:val="21"/>
                <w:highlight w:val="none"/>
              </w:rPr>
              <w:t>履约保证金退付方式、时间及条件</w:t>
            </w:r>
            <w:r>
              <w:rPr>
                <w:rFonts w:hint="eastAsia" w:ascii="宋体" w:hAnsi="宋体" w:cs="宋体"/>
                <w:bCs/>
                <w:color w:val="auto"/>
                <w:kern w:val="0"/>
                <w:szCs w:val="21"/>
                <w:highlight w:val="none"/>
              </w:rPr>
              <w:t>：</w:t>
            </w:r>
          </w:p>
          <w:p w14:paraId="50A0CCE5">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kern w:val="0"/>
                <w:szCs w:val="21"/>
                <w:highlight w:val="none"/>
              </w:rPr>
              <w:t>（1）</w:t>
            </w:r>
            <w:r>
              <w:rPr>
                <w:rFonts w:hint="eastAsia" w:ascii="宋体" w:hAnsi="宋体" w:cs="宋体"/>
                <w:bCs/>
                <w:color w:val="auto"/>
                <w:szCs w:val="21"/>
                <w:highlight w:val="none"/>
              </w:rPr>
              <w:t>中标人</w:t>
            </w:r>
            <w:r>
              <w:rPr>
                <w:rFonts w:hint="eastAsia" w:ascii="宋体" w:hAnsi="宋体" w:cs="宋体"/>
                <w:bCs/>
                <w:color w:val="auto"/>
                <w:kern w:val="0"/>
                <w:szCs w:val="21"/>
                <w:highlight w:val="none"/>
              </w:rPr>
              <w:t>履行完合同约定的权利义务（包括免费保修服务等）事项后7个工作日内，</w:t>
            </w:r>
            <w:r>
              <w:rPr>
                <w:rFonts w:hint="eastAsia" w:ascii="宋体" w:hAnsi="宋体" w:cs="宋体"/>
                <w:bCs/>
                <w:color w:val="auto"/>
                <w:szCs w:val="21"/>
                <w:highlight w:val="none"/>
              </w:rPr>
              <w:t>由中标人向履约保证金收取单位办理退还手续（不计利息）。</w:t>
            </w:r>
          </w:p>
          <w:p w14:paraId="488B78DE">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w:t>
            </w:r>
            <w:r>
              <w:rPr>
                <w:rFonts w:hint="eastAsia" w:ascii="宋体" w:hAnsi="宋体" w:cs="宋体"/>
                <w:bCs/>
                <w:color w:val="auto"/>
                <w:szCs w:val="21"/>
                <w:highlight w:val="none"/>
              </w:rPr>
              <w:t>中标人在签订合同后存在违约情形的</w:t>
            </w:r>
            <w:r>
              <w:rPr>
                <w:rFonts w:hint="eastAsia" w:ascii="宋体" w:hAnsi="宋体" w:cs="宋体"/>
                <w:bCs/>
                <w:color w:val="auto"/>
                <w:kern w:val="0"/>
                <w:szCs w:val="21"/>
                <w:highlight w:val="none"/>
              </w:rPr>
              <w:t>，履约保证金或保函原件不予退还。</w:t>
            </w:r>
            <w:r>
              <w:rPr>
                <w:rFonts w:hint="eastAsia" w:ascii="宋体" w:hAnsi="宋体" w:cs="宋体"/>
                <w:bCs/>
                <w:color w:val="auto"/>
                <w:szCs w:val="21"/>
                <w:highlight w:val="none"/>
              </w:rPr>
              <w:t>保函形式的甲方按相关规定由出具保函的银行</w:t>
            </w:r>
            <w:r>
              <w:rPr>
                <w:rFonts w:hint="eastAsia" w:ascii="宋体" w:hAnsi="宋体" w:cs="宋体"/>
                <w:bCs/>
                <w:color w:val="auto"/>
                <w:kern w:val="0"/>
                <w:szCs w:val="21"/>
                <w:highlight w:val="none"/>
              </w:rPr>
              <w:t>、保险机构承担供应商违约赔付责任，履约保证金不足以赔偿损失的，按实际损失赔偿。</w:t>
            </w:r>
          </w:p>
          <w:p w14:paraId="76D75FE0">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kern w:val="0"/>
                <w:szCs w:val="21"/>
                <w:highlight w:val="none"/>
              </w:rPr>
              <w:t>（3）</w:t>
            </w:r>
            <w:r>
              <w:rPr>
                <w:rFonts w:hint="eastAsia" w:ascii="宋体" w:hAnsi="宋体" w:cs="宋体"/>
                <w:bCs/>
                <w:color w:val="auto"/>
                <w:szCs w:val="21"/>
                <w:highlight w:val="none"/>
              </w:rPr>
              <w:t>在履约保证金退还日期前，若中标人的开户名称、开户银行、账号有变动的，请以书面形式通知履约保证金收取单位，否则由此产生的后果由中标人自负。</w:t>
            </w:r>
          </w:p>
          <w:p w14:paraId="09DA110E">
            <w:pPr>
              <w:snapToGrid w:val="0"/>
              <w:spacing w:line="360" w:lineRule="auto"/>
              <w:ind w:firstLine="422" w:firstLineChars="200"/>
              <w:rPr>
                <w:color w:val="auto"/>
                <w:highlight w:val="none"/>
              </w:rPr>
            </w:pPr>
            <w:r>
              <w:rPr>
                <w:rFonts w:hint="eastAsia" w:ascii="宋体" w:hAnsi="宋体" w:cs="宋体"/>
                <w:b/>
                <w:color w:val="auto"/>
                <w:szCs w:val="21"/>
                <w:highlight w:val="none"/>
              </w:rPr>
              <w:t>履约保证金不足额缴纳的，或银行、保险机构出具的保函额度不足的或者保函有效期低于合同履行期限（即签订采购合同之日起至履行完合同约定的权利及义务之日止）的，不予签订合同。采用银行、保险机构出具的保函的，必须为无条件保函，否则不予签订合同。</w:t>
            </w:r>
          </w:p>
        </w:tc>
      </w:tr>
      <w:tr w14:paraId="118C8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769DFB89">
            <w:pPr>
              <w:spacing w:line="360" w:lineRule="auto"/>
              <w:rPr>
                <w:rFonts w:ascii="宋体" w:hAnsi="宋体" w:cs="宋体"/>
                <w:color w:val="auto"/>
                <w:szCs w:val="21"/>
                <w:highlight w:val="none"/>
              </w:rPr>
            </w:pPr>
            <w:bookmarkStart w:id="78" w:name="_40.1"/>
            <w:bookmarkEnd w:id="78"/>
            <w:r>
              <w:rPr>
                <w:rFonts w:hint="eastAsia" w:ascii="宋体" w:hAnsi="宋体" w:cs="宋体"/>
                <w:color w:val="auto"/>
                <w:szCs w:val="21"/>
                <w:highlight w:val="none"/>
              </w:rPr>
              <w:t>36.1</w:t>
            </w:r>
          </w:p>
        </w:tc>
        <w:tc>
          <w:tcPr>
            <w:tcW w:w="7969" w:type="dxa"/>
            <w:tcBorders>
              <w:top w:val="single" w:color="auto" w:sz="4" w:space="0"/>
              <w:left w:val="single" w:color="auto" w:sz="4" w:space="0"/>
              <w:bottom w:val="single" w:color="auto" w:sz="4" w:space="0"/>
              <w:right w:val="single" w:color="auto" w:sz="4" w:space="0"/>
            </w:tcBorders>
            <w:vAlign w:val="center"/>
          </w:tcPr>
          <w:p w14:paraId="5F4F28CC">
            <w:pPr>
              <w:autoSpaceDE w:val="0"/>
              <w:autoSpaceDN w:val="0"/>
              <w:snapToGri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签订合同携带的证明材料：</w:t>
            </w:r>
          </w:p>
          <w:p w14:paraId="2BEDAD3D">
            <w:pPr>
              <w:autoSpaceDE w:val="0"/>
              <w:autoSpaceDN w:val="0"/>
              <w:snapToGri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4BA97F8D">
            <w:pPr>
              <w:autoSpaceDE w:val="0"/>
              <w:autoSpaceDN w:val="0"/>
              <w:snapToGri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3DF0D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3D06759">
            <w:pPr>
              <w:spacing w:line="360" w:lineRule="auto"/>
              <w:rPr>
                <w:rFonts w:ascii="宋体" w:hAnsi="宋体" w:cs="宋体"/>
                <w:color w:val="auto"/>
                <w:szCs w:val="21"/>
                <w:highlight w:val="none"/>
              </w:rPr>
            </w:pPr>
            <w:r>
              <w:rPr>
                <w:rFonts w:hint="eastAsia" w:ascii="宋体" w:hAnsi="宋体" w:cs="宋体"/>
                <w:color w:val="auto"/>
                <w:szCs w:val="21"/>
                <w:highlight w:val="none"/>
              </w:rPr>
              <w:t>38.2</w:t>
            </w:r>
          </w:p>
        </w:tc>
        <w:tc>
          <w:tcPr>
            <w:tcW w:w="7969" w:type="dxa"/>
            <w:tcBorders>
              <w:top w:val="single" w:color="auto" w:sz="4" w:space="0"/>
              <w:left w:val="single" w:color="auto" w:sz="4" w:space="0"/>
              <w:bottom w:val="single" w:color="auto" w:sz="4" w:space="0"/>
              <w:right w:val="single" w:color="auto" w:sz="4" w:space="0"/>
            </w:tcBorders>
            <w:vAlign w:val="center"/>
          </w:tcPr>
          <w:p w14:paraId="08A75EF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66EF8DE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质疑联系部门及联系方式：广西达成咨询有限公司，联系电话：0773-3569998，通讯地址：桂林市秀峰区滨江路18号滨江大厦5楼  </w:t>
            </w:r>
          </w:p>
          <w:p w14:paraId="5618F70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现场提交质疑办理业务时间：每天8时00分到12时00分，15时00分到18时00分，业务时间以外、双休日和法定节假日不办理业务。</w:t>
            </w:r>
          </w:p>
        </w:tc>
      </w:tr>
      <w:tr w14:paraId="2416A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F24A6D3">
            <w:pPr>
              <w:spacing w:line="360" w:lineRule="auto"/>
              <w:rPr>
                <w:rFonts w:ascii="宋体" w:hAnsi="宋体" w:cs="宋体"/>
                <w:color w:val="auto"/>
                <w:szCs w:val="21"/>
                <w:highlight w:val="none"/>
              </w:rPr>
            </w:pPr>
            <w:bookmarkStart w:id="79" w:name="_41"/>
            <w:bookmarkEnd w:id="79"/>
            <w:bookmarkStart w:id="80" w:name="_42"/>
            <w:bookmarkEnd w:id="80"/>
            <w:bookmarkStart w:id="81" w:name="_Hlt17709148"/>
            <w:r>
              <w:rPr>
                <w:rFonts w:hint="eastAsia" w:ascii="宋体" w:hAnsi="宋体" w:cs="宋体"/>
                <w:color w:val="auto"/>
                <w:szCs w:val="21"/>
                <w:highlight w:val="none"/>
              </w:rPr>
              <w:t>3</w:t>
            </w:r>
            <w:bookmarkEnd w:id="81"/>
            <w:r>
              <w:rPr>
                <w:rFonts w:hint="eastAsia" w:ascii="宋体" w:hAnsi="宋体" w:cs="宋体"/>
                <w:color w:val="auto"/>
                <w:szCs w:val="21"/>
                <w:highlight w:val="none"/>
              </w:rPr>
              <w:t>9.1</w:t>
            </w:r>
          </w:p>
        </w:tc>
        <w:tc>
          <w:tcPr>
            <w:tcW w:w="7969" w:type="dxa"/>
            <w:tcBorders>
              <w:top w:val="single" w:color="auto" w:sz="4" w:space="0"/>
              <w:left w:val="single" w:color="auto" w:sz="4" w:space="0"/>
              <w:bottom w:val="single" w:color="auto" w:sz="4" w:space="0"/>
              <w:right w:val="single" w:color="auto" w:sz="4" w:space="0"/>
            </w:tcBorders>
            <w:vAlign w:val="center"/>
          </w:tcPr>
          <w:p w14:paraId="41A5BF58">
            <w:pPr>
              <w:pStyle w:val="26"/>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158FF127">
            <w:pPr>
              <w:autoSpaceDE w:val="0"/>
              <w:autoSpaceDN w:val="0"/>
              <w:snapToGrid w:val="0"/>
              <w:spacing w:line="360" w:lineRule="auto"/>
              <w:ind w:firstLine="420" w:firstLineChars="200"/>
              <w:textAlignment w:val="bottom"/>
              <w:rPr>
                <w:rFonts w:hAnsi="宋体" w:cs="宋体"/>
                <w:color w:val="auto"/>
                <w:highlight w:val="none"/>
              </w:rPr>
            </w:pP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1D6B6243">
            <w:pPr>
              <w:autoSpaceDE w:val="0"/>
              <w:autoSpaceDN w:val="0"/>
              <w:snapToGrid w:val="0"/>
              <w:spacing w:line="360" w:lineRule="auto"/>
              <w:ind w:firstLine="420" w:firstLineChars="200"/>
              <w:textAlignment w:val="bottom"/>
              <w:rPr>
                <w:rFonts w:hAnsi="宋体" w:cs="宋体"/>
                <w:color w:val="auto"/>
                <w:highlight w:val="none"/>
              </w:rPr>
            </w:pPr>
            <w:r>
              <w:rPr>
                <w:rFonts w:hint="eastAsia" w:hAnsi="宋体" w:cs="宋体"/>
                <w:color w:val="auto"/>
                <w:highlight w:val="none"/>
              </w:rPr>
              <w:t>□采购人支付。</w:t>
            </w:r>
          </w:p>
          <w:p w14:paraId="77C3403B">
            <w:pPr>
              <w:autoSpaceDE w:val="0"/>
              <w:autoSpaceDN w:val="0"/>
              <w:snapToGrid w:val="0"/>
              <w:spacing w:line="360" w:lineRule="auto"/>
              <w:textAlignment w:val="bottom"/>
              <w:rPr>
                <w:rFonts w:hAnsi="宋体" w:cs="宋体"/>
                <w:color w:val="auto"/>
                <w:highlight w:val="none"/>
              </w:rPr>
            </w:pPr>
            <w:r>
              <w:rPr>
                <w:rFonts w:hint="eastAsia" w:hAnsi="宋体" w:cs="宋体"/>
                <w:color w:val="auto"/>
                <w:highlight w:val="none"/>
              </w:rPr>
              <w:t>2.采购</w:t>
            </w:r>
            <w:r>
              <w:rPr>
                <w:rFonts w:hint="eastAsia" w:ascii="宋体" w:hAnsi="宋体" w:cs="宋体"/>
                <w:color w:val="auto"/>
                <w:szCs w:val="21"/>
                <w:highlight w:val="none"/>
              </w:rPr>
              <w:t>代理费</w:t>
            </w:r>
            <w:r>
              <w:rPr>
                <w:rFonts w:hint="eastAsia" w:hAnsi="宋体" w:cs="宋体"/>
                <w:color w:val="auto"/>
                <w:highlight w:val="none"/>
              </w:rPr>
              <w:t>收取标准：</w:t>
            </w:r>
          </w:p>
          <w:p w14:paraId="40C10155">
            <w:pPr>
              <w:autoSpaceDE w:val="0"/>
              <w:autoSpaceDN w:val="0"/>
              <w:snapToGrid w:val="0"/>
              <w:spacing w:line="360" w:lineRule="auto"/>
              <w:ind w:firstLine="420" w:firstLineChars="200"/>
              <w:textAlignment w:val="bottom"/>
              <w:rPr>
                <w:rFonts w:hAnsi="宋体" w:cs="宋体"/>
                <w:color w:val="auto"/>
                <w:highlight w:val="none"/>
              </w:rPr>
            </w:pPr>
            <w:r>
              <w:rPr>
                <w:rFonts w:hint="eastAsia" w:hAnsi="宋体" w:cs="宋体"/>
                <w:color w:val="auto"/>
                <w:highlight w:val="none"/>
              </w:rPr>
              <w:t>☑</w:t>
            </w:r>
            <w:r>
              <w:rPr>
                <w:rFonts w:hint="eastAsia"/>
                <w:color w:val="auto"/>
                <w:highlight w:val="none"/>
              </w:rPr>
              <w:t>本项目采购代理服务费按计价格[2002]1980号《招标代理服务收费管理暂行办法》收费标准向中标人收取，中标人领取成交通知书前，向采购代理机构一次性付清采购代理服务费。</w:t>
            </w:r>
          </w:p>
          <w:p w14:paraId="7BDA721E">
            <w:pPr>
              <w:autoSpaceDE w:val="0"/>
              <w:autoSpaceDN w:val="0"/>
              <w:snapToGrid w:val="0"/>
              <w:spacing w:line="360" w:lineRule="auto"/>
              <w:ind w:firstLine="420" w:firstLineChars="200"/>
              <w:textAlignment w:val="bottom"/>
              <w:rPr>
                <w:rFonts w:hAnsi="宋体" w:cs="宋体"/>
                <w:color w:val="auto"/>
                <w:highlight w:val="none"/>
                <w:u w:val="single"/>
              </w:rPr>
            </w:pPr>
            <w:r>
              <w:rPr>
                <w:rFonts w:hint="eastAsia" w:hAnsi="宋体" w:cs="宋体"/>
                <w:color w:val="auto"/>
                <w:highlight w:val="none"/>
              </w:rPr>
              <w:t>□固定采购代理收费</w:t>
            </w:r>
            <w:r>
              <w:rPr>
                <w:rFonts w:hint="eastAsia" w:hAnsi="宋体" w:cs="宋体"/>
                <w:color w:val="auto"/>
                <w:highlight w:val="none"/>
                <w:u w:val="single"/>
              </w:rPr>
              <w:t xml:space="preserve">       /       。</w:t>
            </w:r>
          </w:p>
          <w:p w14:paraId="334697EA">
            <w:pPr>
              <w:pStyle w:val="26"/>
              <w:snapToGrid w:val="0"/>
              <w:spacing w:line="360" w:lineRule="auto"/>
              <w:rPr>
                <w:rFonts w:hAnsi="宋体" w:cs="宋体"/>
                <w:color w:val="auto"/>
                <w:sz w:val="21"/>
                <w:highlight w:val="none"/>
              </w:rPr>
            </w:pPr>
            <w:r>
              <w:rPr>
                <w:rFonts w:hint="eastAsia" w:hAnsi="宋体" w:cs="宋体"/>
                <w:color w:val="auto"/>
                <w:sz w:val="21"/>
                <w:highlight w:val="none"/>
              </w:rPr>
              <w:t xml:space="preserve">3.账户名称： </w:t>
            </w:r>
          </w:p>
          <w:p w14:paraId="22173B8E">
            <w:pPr>
              <w:pStyle w:val="26"/>
              <w:snapToGrid w:val="0"/>
              <w:spacing w:line="360" w:lineRule="auto"/>
              <w:rPr>
                <w:rFonts w:hAnsi="宋体" w:cs="宋体"/>
                <w:b/>
                <w:bCs/>
                <w:color w:val="auto"/>
                <w:sz w:val="21"/>
                <w:highlight w:val="none"/>
              </w:rPr>
            </w:pPr>
            <w:r>
              <w:rPr>
                <w:rFonts w:hint="eastAsia" w:hAnsi="宋体" w:cs="宋体"/>
                <w:b/>
                <w:bCs/>
                <w:color w:val="auto"/>
                <w:sz w:val="21"/>
                <w:highlight w:val="none"/>
              </w:rPr>
              <w:t>开户名称：广西达成咨询有限公司第十一分公司</w:t>
            </w:r>
          </w:p>
          <w:p w14:paraId="47ECA9E8">
            <w:pPr>
              <w:pStyle w:val="26"/>
              <w:snapToGrid w:val="0"/>
              <w:spacing w:line="360" w:lineRule="auto"/>
              <w:rPr>
                <w:rFonts w:hAnsi="宋体" w:cs="宋体"/>
                <w:b/>
                <w:bCs/>
                <w:color w:val="auto"/>
                <w:sz w:val="21"/>
                <w:highlight w:val="none"/>
              </w:rPr>
            </w:pPr>
            <w:r>
              <w:rPr>
                <w:rFonts w:hint="eastAsia" w:hAnsi="宋体" w:cs="宋体"/>
                <w:b/>
                <w:bCs/>
                <w:color w:val="auto"/>
                <w:sz w:val="21"/>
                <w:highlight w:val="none"/>
              </w:rPr>
              <w:t>开户银行：桂林银行秀峰支行</w:t>
            </w:r>
          </w:p>
          <w:p w14:paraId="19C504DC">
            <w:pPr>
              <w:pStyle w:val="26"/>
              <w:snapToGrid w:val="0"/>
              <w:spacing w:line="360" w:lineRule="auto"/>
              <w:rPr>
                <w:rFonts w:hAnsi="宋体" w:cs="宋体"/>
                <w:color w:val="auto"/>
                <w:sz w:val="21"/>
                <w:highlight w:val="none"/>
              </w:rPr>
            </w:pPr>
            <w:r>
              <w:rPr>
                <w:rFonts w:hint="eastAsia" w:hAnsi="宋体" w:cs="宋体"/>
                <w:b/>
                <w:bCs/>
                <w:color w:val="auto"/>
                <w:sz w:val="21"/>
                <w:highlight w:val="none"/>
              </w:rPr>
              <w:t>银行账号：660000022460000016</w:t>
            </w:r>
          </w:p>
        </w:tc>
      </w:tr>
      <w:tr w14:paraId="614E7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4A235B2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40.1</w:t>
            </w:r>
          </w:p>
        </w:tc>
        <w:tc>
          <w:tcPr>
            <w:tcW w:w="7969" w:type="dxa"/>
            <w:tcBorders>
              <w:top w:val="single" w:color="auto" w:sz="4" w:space="0"/>
              <w:left w:val="single" w:color="auto" w:sz="4" w:space="0"/>
              <w:bottom w:val="single" w:color="auto" w:sz="4" w:space="0"/>
              <w:right w:val="single" w:color="auto" w:sz="4" w:space="0"/>
            </w:tcBorders>
            <w:vAlign w:val="center"/>
          </w:tcPr>
          <w:p w14:paraId="3A0D243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2534E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90012A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40.2</w:t>
            </w:r>
          </w:p>
        </w:tc>
        <w:tc>
          <w:tcPr>
            <w:tcW w:w="7969" w:type="dxa"/>
            <w:tcBorders>
              <w:top w:val="single" w:color="auto" w:sz="4" w:space="0"/>
              <w:left w:val="single" w:color="auto" w:sz="4" w:space="0"/>
              <w:bottom w:val="single" w:color="auto" w:sz="4" w:space="0"/>
              <w:right w:val="single" w:color="auto" w:sz="4" w:space="0"/>
            </w:tcBorders>
            <w:vAlign w:val="center"/>
          </w:tcPr>
          <w:p w14:paraId="2A3BE5C4">
            <w:pPr>
              <w:snapToGrid w:val="0"/>
              <w:spacing w:line="360" w:lineRule="auto"/>
              <w:ind w:firstLine="422" w:firstLineChars="200"/>
              <w:rPr>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r>
              <w:rPr>
                <w:rFonts w:hint="eastAsia" w:hAnsi="宋体" w:cs="宋体"/>
                <w:b/>
                <w:color w:val="auto"/>
                <w:highlight w:val="none"/>
              </w:rPr>
              <w:t>（或CA签章）。</w:t>
            </w:r>
          </w:p>
          <w:p w14:paraId="1E653F40">
            <w:pPr>
              <w:snapToGrid w:val="0"/>
              <w:spacing w:line="360" w:lineRule="auto"/>
              <w:ind w:firstLine="422" w:firstLineChars="200"/>
              <w:rPr>
                <w:rFonts w:hAnsi="宋体" w:cs="宋体"/>
                <w:b/>
                <w:bCs/>
                <w:color w:val="auto"/>
                <w:highlight w:val="none"/>
              </w:rPr>
            </w:pPr>
            <w:r>
              <w:rPr>
                <w:rFonts w:hint="eastAsia" w:hAnsi="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D0AEBA3">
            <w:pPr>
              <w:snapToGrid w:val="0"/>
              <w:spacing w:line="360" w:lineRule="auto"/>
              <w:ind w:firstLine="422" w:firstLineChars="200"/>
              <w:rPr>
                <w:rFonts w:hAnsi="宋体" w:cs="宋体"/>
                <w:b/>
                <w:bCs/>
                <w:color w:val="auto"/>
                <w:highlight w:val="none"/>
              </w:rPr>
            </w:pPr>
            <w:r>
              <w:rPr>
                <w:rFonts w:hint="eastAsia" w:hAnsi="宋体" w:cs="宋体"/>
                <w:b/>
                <w:bCs/>
                <w:color w:val="auto"/>
                <w:highlight w:val="none"/>
              </w:rPr>
              <w:t>3.自然人投标的，招标文件规定盖公章处由自然人摁手指指印。</w:t>
            </w:r>
          </w:p>
          <w:p w14:paraId="108AB512">
            <w:pPr>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4.本招标文件所称的“以上”“以下”“以内”“届满”，包括本数；所称的“不满”“超过”“以外”，不包括本数。</w:t>
            </w:r>
          </w:p>
        </w:tc>
      </w:tr>
      <w:tr w14:paraId="10889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23A923B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40.2</w:t>
            </w:r>
          </w:p>
        </w:tc>
        <w:tc>
          <w:tcPr>
            <w:tcW w:w="7969" w:type="dxa"/>
            <w:tcBorders>
              <w:top w:val="single" w:color="auto" w:sz="4" w:space="0"/>
              <w:left w:val="single" w:color="auto" w:sz="4" w:space="0"/>
              <w:bottom w:val="single" w:color="auto" w:sz="4" w:space="0"/>
              <w:right w:val="single" w:color="auto" w:sz="4" w:space="0"/>
            </w:tcBorders>
            <w:vAlign w:val="center"/>
          </w:tcPr>
          <w:p w14:paraId="6D5605C7">
            <w:pPr>
              <w:spacing w:line="360" w:lineRule="auto"/>
              <w:jc w:val="left"/>
              <w:rPr>
                <w:rFonts w:ascii="宋体" w:hAnsi="宋体"/>
                <w:color w:val="auto"/>
                <w:highlight w:val="none"/>
              </w:rPr>
            </w:pPr>
            <w:r>
              <w:rPr>
                <w:rFonts w:hint="eastAsia" w:ascii="宋体" w:hAnsi="宋体"/>
                <w:color w:val="auto"/>
                <w:highlight w:val="none"/>
              </w:rPr>
              <w:t>监督部门：广西壮族自治区财政厅政府采购监督管理处</w:t>
            </w:r>
          </w:p>
          <w:p w14:paraId="4F337CA1">
            <w:pPr>
              <w:spacing w:line="360" w:lineRule="auto"/>
              <w:jc w:val="left"/>
              <w:rPr>
                <w:rFonts w:ascii="宋体" w:hAnsi="宋体" w:cs="宋体"/>
                <w:b/>
                <w:bCs/>
                <w:color w:val="auto"/>
                <w:szCs w:val="21"/>
                <w:highlight w:val="none"/>
              </w:rPr>
            </w:pPr>
            <w:r>
              <w:rPr>
                <w:rFonts w:hint="eastAsia" w:ascii="宋体" w:hAnsi="宋体"/>
                <w:color w:val="auto"/>
                <w:highlight w:val="none"/>
              </w:rPr>
              <w:t>监督联系电话：0771-5331544</w:t>
            </w:r>
          </w:p>
        </w:tc>
      </w:tr>
    </w:tbl>
    <w:p w14:paraId="4E53686D">
      <w:pPr>
        <w:rPr>
          <w:rFonts w:ascii="宋体" w:hAnsi="宋体" w:cs="宋体"/>
          <w:color w:val="auto"/>
          <w:highlight w:val="none"/>
        </w:rPr>
      </w:pPr>
      <w:r>
        <w:rPr>
          <w:rFonts w:hint="eastAsia" w:ascii="宋体" w:hAnsi="宋体" w:cs="宋体"/>
          <w:color w:val="auto"/>
          <w:highlight w:val="none"/>
        </w:rPr>
        <w:br w:type="page"/>
      </w:r>
    </w:p>
    <w:p w14:paraId="2C93B384">
      <w:pPr>
        <w:pStyle w:val="4"/>
        <w:keepNext w:val="0"/>
        <w:keepLines w:val="0"/>
        <w:jc w:val="center"/>
        <w:rPr>
          <w:rFonts w:ascii="宋体" w:hAnsi="宋体" w:cs="宋体"/>
          <w:color w:val="auto"/>
          <w:highlight w:val="none"/>
        </w:rPr>
      </w:pPr>
      <w:r>
        <w:rPr>
          <w:rFonts w:hint="eastAsia" w:ascii="宋体" w:hAnsi="宋体" w:cs="宋体"/>
          <w:color w:val="auto"/>
          <w:highlight w:val="none"/>
        </w:rPr>
        <w:t>投标人须知正文</w:t>
      </w:r>
    </w:p>
    <w:p w14:paraId="1CC674D4">
      <w:pPr>
        <w:pStyle w:val="5"/>
        <w:rPr>
          <w:color w:val="auto"/>
          <w:highlight w:val="none"/>
        </w:rPr>
      </w:pPr>
      <w:r>
        <w:rPr>
          <w:rFonts w:hint="eastAsia"/>
          <w:color w:val="auto"/>
          <w:highlight w:val="none"/>
        </w:rPr>
        <w:t>一、总则</w:t>
      </w:r>
    </w:p>
    <w:p w14:paraId="5171CFFE">
      <w:pPr>
        <w:pStyle w:val="6"/>
        <w:keepNext w:val="0"/>
        <w:keepLines w:val="0"/>
        <w:spacing w:before="0" w:after="0" w:line="360" w:lineRule="auto"/>
        <w:rPr>
          <w:rFonts w:ascii="宋体" w:hAnsi="宋体" w:cs="宋体"/>
          <w:color w:val="auto"/>
          <w:sz w:val="21"/>
          <w:szCs w:val="21"/>
          <w:highlight w:val="none"/>
        </w:rPr>
      </w:pPr>
      <w:bookmarkStart w:id="82" w:name="_Toc254970527"/>
      <w:bookmarkStart w:id="83" w:name="_Toc254970668"/>
      <w:r>
        <w:rPr>
          <w:rFonts w:hint="eastAsia" w:ascii="宋体" w:hAnsi="宋体" w:cs="宋体"/>
          <w:color w:val="auto"/>
          <w:sz w:val="21"/>
          <w:szCs w:val="21"/>
          <w:highlight w:val="none"/>
        </w:rPr>
        <w:t>1.适用范围</w:t>
      </w:r>
      <w:bookmarkEnd w:id="82"/>
      <w:bookmarkEnd w:id="83"/>
    </w:p>
    <w:p w14:paraId="349EDD9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5EB2CD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211D27D9">
      <w:pPr>
        <w:pStyle w:val="6"/>
        <w:keepNext w:val="0"/>
        <w:keepLines w:val="0"/>
        <w:spacing w:before="0" w:after="0" w:line="360" w:lineRule="auto"/>
        <w:rPr>
          <w:rFonts w:ascii="宋体" w:hAnsi="宋体" w:cs="宋体"/>
          <w:color w:val="auto"/>
          <w:sz w:val="21"/>
          <w:szCs w:val="21"/>
          <w:highlight w:val="none"/>
        </w:rPr>
      </w:pPr>
      <w:bookmarkStart w:id="84" w:name="_Toc254970669"/>
      <w:bookmarkStart w:id="85" w:name="_Toc254970528"/>
      <w:r>
        <w:rPr>
          <w:rFonts w:hint="eastAsia" w:ascii="宋体" w:hAnsi="宋体" w:cs="宋体"/>
          <w:color w:val="auto"/>
          <w:sz w:val="21"/>
          <w:szCs w:val="21"/>
          <w:highlight w:val="none"/>
        </w:rPr>
        <w:t>2.定义</w:t>
      </w:r>
      <w:bookmarkEnd w:id="84"/>
      <w:bookmarkEnd w:id="85"/>
    </w:p>
    <w:p w14:paraId="7F6087D7">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475ECF1D">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2.2“采购代理机构”是指政府采购代理机构（以下简称采购代理机构）是指集中采购机构以外、受采购人委托从事政府采购代理业务的社会中介机构。</w:t>
      </w:r>
    </w:p>
    <w:p w14:paraId="03F86B48">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w:t>
      </w:r>
      <w:r>
        <w:rPr>
          <w:rFonts w:ascii="宋体" w:hAnsi="宋体" w:cs="宋体"/>
          <w:b w:val="0"/>
          <w:color w:val="auto"/>
          <w:sz w:val="21"/>
          <w:szCs w:val="21"/>
          <w:highlight w:val="none"/>
        </w:rPr>
        <w:t>3“供应商”是指向采购人提供货物、工程或者服务的法人、其他组织或者自然人。</w:t>
      </w:r>
    </w:p>
    <w:p w14:paraId="7D48FF9C">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ascii="宋体" w:hAnsi="宋体" w:cs="宋体"/>
          <w:b w:val="0"/>
          <w:color w:val="auto"/>
          <w:sz w:val="21"/>
          <w:szCs w:val="21"/>
          <w:highlight w:val="none"/>
        </w:rPr>
        <w:t>2.4“投标人”是指响应招标、参加投标竞争的法人、非法人组织或者自然人。</w:t>
      </w:r>
    </w:p>
    <w:p w14:paraId="7D518741">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ascii="宋体" w:hAnsi="宋体" w:cs="宋体"/>
          <w:b w:val="0"/>
          <w:color w:val="auto"/>
          <w:sz w:val="21"/>
          <w:szCs w:val="21"/>
          <w:highlight w:val="none"/>
        </w:rPr>
        <w:t>2.5“服务”</w:t>
      </w:r>
      <w:r>
        <w:rPr>
          <w:rFonts w:hint="eastAsia" w:ascii="宋体" w:hAnsi="宋体"/>
          <w:b w:val="0"/>
          <w:color w:val="auto"/>
          <w:sz w:val="21"/>
          <w:szCs w:val="21"/>
          <w:highlight w:val="none"/>
        </w:rPr>
        <w:t>是指除货物和工程以外的其他政府采购对象。</w:t>
      </w:r>
    </w:p>
    <w:p w14:paraId="2BCBC4BA">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2.6“售后服务”是指商品出售以后所提供的各种服务，包含但不限于投标人须承担的备品备件、包装、运输、装卸、保险、货到就位以及安装、调试、培训、保修以及其他各种服务。</w:t>
      </w:r>
    </w:p>
    <w:p w14:paraId="4BC9204A">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2.7“书面形式”是指合同书、信件和数据电文（包括电报、电传、传真、电子数据交换和电子邮件）等可以有形地表现所载内容的形式。</w:t>
      </w:r>
    </w:p>
    <w:p w14:paraId="458C7127">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2.8“实质性要求”是指招标文件中已经指明不满足则投标无效的条款，或者不能负偏离的条款。</w:t>
      </w:r>
    </w:p>
    <w:p w14:paraId="6D33127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2.9“正偏离”，是指投标文件对招标文件“采购需求”中有关条款作出的响应优于条款要求并有利于采购人的情形。</w:t>
      </w:r>
    </w:p>
    <w:p w14:paraId="57236D4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1A6D5A6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bookmarkStart w:id="86" w:name="_Toc254970529"/>
      <w:bookmarkStart w:id="87" w:name="_Toc254970670"/>
    </w:p>
    <w:p w14:paraId="6334FA3D">
      <w:pPr>
        <w:pStyle w:val="6"/>
        <w:keepNext w:val="0"/>
        <w:keepLines w:val="0"/>
        <w:spacing w:before="0" w:after="0" w:line="360" w:lineRule="auto"/>
        <w:rPr>
          <w:rFonts w:ascii="宋体" w:hAnsi="宋体" w:cs="宋体"/>
          <w:color w:val="auto"/>
          <w:sz w:val="21"/>
          <w:szCs w:val="21"/>
          <w:highlight w:val="none"/>
        </w:rPr>
      </w:pPr>
      <w:r>
        <w:rPr>
          <w:rFonts w:hint="eastAsia" w:ascii="宋体" w:hAnsi="宋体" w:cs="宋体"/>
          <w:color w:val="auto"/>
          <w:sz w:val="21"/>
          <w:szCs w:val="21"/>
          <w:highlight w:val="none"/>
        </w:rPr>
        <w:t>3.</w:t>
      </w:r>
      <w:bookmarkEnd w:id="86"/>
      <w:bookmarkEnd w:id="87"/>
      <w:r>
        <w:rPr>
          <w:rFonts w:hint="eastAsia" w:ascii="宋体" w:hAnsi="宋体" w:cs="宋体"/>
          <w:color w:val="auto"/>
          <w:sz w:val="21"/>
          <w:szCs w:val="21"/>
          <w:highlight w:val="none"/>
        </w:rPr>
        <w:t>投标人的资格要求</w:t>
      </w:r>
    </w:p>
    <w:p w14:paraId="6C51A91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06D5377A">
      <w:pPr>
        <w:pStyle w:val="6"/>
        <w:keepNext w:val="0"/>
        <w:keepLines w:val="0"/>
        <w:spacing w:before="0" w:after="0" w:line="360" w:lineRule="auto"/>
        <w:rPr>
          <w:rFonts w:ascii="宋体" w:hAnsi="宋体" w:cs="宋体"/>
          <w:color w:val="auto"/>
          <w:sz w:val="21"/>
          <w:szCs w:val="21"/>
          <w:highlight w:val="none"/>
        </w:rPr>
      </w:pPr>
      <w:bookmarkStart w:id="88" w:name="_Toc254970671"/>
      <w:bookmarkStart w:id="89" w:name="_Toc254970530"/>
      <w:r>
        <w:rPr>
          <w:rFonts w:hint="eastAsia" w:ascii="宋体" w:hAnsi="宋体" w:cs="宋体"/>
          <w:color w:val="auto"/>
          <w:sz w:val="21"/>
          <w:szCs w:val="21"/>
          <w:highlight w:val="none"/>
        </w:rPr>
        <w:t>4.投标委托</w:t>
      </w:r>
      <w:bookmarkEnd w:id="88"/>
      <w:bookmarkEnd w:id="89"/>
    </w:p>
    <w:p w14:paraId="2397B32C">
      <w:pPr>
        <w:snapToGrid w:val="0"/>
        <w:spacing w:line="360" w:lineRule="auto"/>
        <w:ind w:firstLine="420" w:firstLineChars="200"/>
        <w:jc w:val="left"/>
        <w:rPr>
          <w:rFonts w:ascii="宋体" w:hAnsi="宋体" w:cs="宋体"/>
          <w:color w:val="auto"/>
          <w:szCs w:val="21"/>
          <w:highlight w:val="none"/>
        </w:rPr>
      </w:pPr>
      <w:bookmarkStart w:id="90" w:name="_5.投标费用"/>
      <w:bookmarkEnd w:id="90"/>
      <w:bookmarkStart w:id="91" w:name="_Toc254970531"/>
      <w:bookmarkStart w:id="92" w:name="_Toc254970672"/>
      <w:r>
        <w:rPr>
          <w:rFonts w:hint="eastAsia" w:ascii="宋体" w:hAnsi="宋体" w:cs="宋体"/>
          <w:color w:val="auto"/>
          <w:szCs w:val="21"/>
          <w:highlight w:val="none"/>
        </w:rPr>
        <w:t>投标人代表参加投标活动过程中必须提供个人有效身份证件。如投标人代表不是法定代表人，须持有法定代表人授权委托书（按第六章要求格式填写）。</w:t>
      </w:r>
    </w:p>
    <w:p w14:paraId="6AF76EEB">
      <w:pPr>
        <w:pStyle w:val="6"/>
        <w:keepNext w:val="0"/>
        <w:keepLines w:val="0"/>
        <w:spacing w:before="0" w:after="0" w:line="360" w:lineRule="auto"/>
        <w:rPr>
          <w:rFonts w:ascii="宋体" w:hAnsi="宋体" w:cs="宋体"/>
          <w:color w:val="auto"/>
          <w:sz w:val="21"/>
          <w:szCs w:val="21"/>
          <w:highlight w:val="none"/>
        </w:rPr>
      </w:pPr>
      <w:r>
        <w:rPr>
          <w:rFonts w:hint="eastAsia" w:ascii="宋体" w:hAnsi="宋体" w:cs="宋体"/>
          <w:color w:val="auto"/>
          <w:sz w:val="21"/>
          <w:szCs w:val="21"/>
          <w:highlight w:val="none"/>
        </w:rPr>
        <w:t>5.投标费用</w:t>
      </w:r>
      <w:bookmarkEnd w:id="91"/>
      <w:bookmarkEnd w:id="92"/>
    </w:p>
    <w:p w14:paraId="02CF479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8FE19A2">
      <w:pPr>
        <w:pStyle w:val="6"/>
        <w:keepNext w:val="0"/>
        <w:keepLines w:val="0"/>
        <w:spacing w:before="0" w:after="0" w:line="360" w:lineRule="auto"/>
        <w:rPr>
          <w:rFonts w:ascii="宋体" w:hAnsi="宋体" w:cs="宋体"/>
          <w:color w:val="auto"/>
          <w:sz w:val="21"/>
          <w:szCs w:val="21"/>
          <w:highlight w:val="none"/>
        </w:rPr>
      </w:pPr>
      <w:r>
        <w:rPr>
          <w:rFonts w:hint="eastAsia" w:ascii="宋体" w:hAnsi="宋体" w:cs="宋体"/>
          <w:color w:val="auto"/>
          <w:sz w:val="21"/>
          <w:szCs w:val="21"/>
          <w:highlight w:val="none"/>
        </w:rPr>
        <w:t>6.联合体投标</w:t>
      </w:r>
    </w:p>
    <w:p w14:paraId="3830DF5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1899B023">
      <w:pPr>
        <w:snapToGrid w:val="0"/>
        <w:spacing w:line="360" w:lineRule="auto"/>
        <w:ind w:firstLine="420" w:firstLineChars="200"/>
        <w:jc w:val="left"/>
        <w:rPr>
          <w:color w:val="auto"/>
          <w:highlight w:val="none"/>
        </w:rPr>
      </w:pPr>
      <w:r>
        <w:rPr>
          <w:rFonts w:hint="eastAsia"/>
          <w:color w:val="auto"/>
          <w:highlight w:val="none"/>
        </w:rPr>
        <w:t>6.2如接受联合体投标，联合体投标要求详见“投标人须知前附表”。</w:t>
      </w:r>
    </w:p>
    <w:p w14:paraId="605AA42F">
      <w:pPr>
        <w:snapToGrid w:val="0"/>
        <w:spacing w:line="360" w:lineRule="auto"/>
        <w:ind w:firstLine="420" w:firstLineChars="200"/>
        <w:jc w:val="left"/>
        <w:rPr>
          <w:rFonts w:ascii="宋体" w:hAnsi="宋体" w:cs="宋体"/>
          <w:color w:val="auto"/>
          <w:szCs w:val="21"/>
          <w:highlight w:val="none"/>
        </w:rPr>
      </w:pPr>
      <w:r>
        <w:rPr>
          <w:rFonts w:hint="eastAsia"/>
          <w:color w:val="auto"/>
          <w:highlight w:val="none"/>
        </w:rPr>
        <w:t>6.3根据《政府采购促进中小企业发展管理办法》（财库〔2020〕46号）及《广西壮族自治区财政厅关于持续优化政府采购营商环境推动高质量发展的通知》（桂财采〔2024〕55号）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-6%的价格扣除。联合体各方均为中小企业的，联合体视同中小企业。其中，联合体各方均为小微企业的，联合体视同小微企业。组成联合体的</w:t>
      </w:r>
      <w:r>
        <w:rPr>
          <w:rFonts w:hint="eastAsia" w:ascii="宋体" w:hAnsi="宋体" w:cs="宋体"/>
          <w:bCs/>
          <w:color w:val="auto"/>
          <w:szCs w:val="21"/>
          <w:highlight w:val="none"/>
        </w:rPr>
        <w:t>大中型企业和其他自然人、法人或者其他组织，与小型、微型企业之间不得存在投资关系。”</w:t>
      </w:r>
    </w:p>
    <w:p w14:paraId="58CD9DF1">
      <w:pPr>
        <w:pStyle w:val="6"/>
        <w:keepNext w:val="0"/>
        <w:keepLines w:val="0"/>
        <w:spacing w:before="0" w:after="0" w:line="360" w:lineRule="auto"/>
        <w:rPr>
          <w:rFonts w:ascii="宋体" w:hAnsi="宋体" w:cs="宋体"/>
          <w:b w:val="0"/>
          <w:color w:val="auto"/>
          <w:sz w:val="21"/>
          <w:szCs w:val="21"/>
          <w:highlight w:val="none"/>
        </w:rPr>
      </w:pPr>
      <w:r>
        <w:rPr>
          <w:rFonts w:hint="eastAsia" w:ascii="宋体" w:hAnsi="宋体" w:cs="宋体"/>
          <w:color w:val="auto"/>
          <w:sz w:val="21"/>
          <w:szCs w:val="21"/>
          <w:highlight w:val="none"/>
        </w:rPr>
        <w:t>7.转包与分包</w:t>
      </w:r>
    </w:p>
    <w:p w14:paraId="3D8D110E">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2F28D535">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02497EF">
      <w:pPr>
        <w:pStyle w:val="6"/>
        <w:keepNext w:val="0"/>
        <w:keepLines w:val="0"/>
        <w:spacing w:before="0" w:after="0" w:line="360" w:lineRule="auto"/>
        <w:rPr>
          <w:rFonts w:ascii="宋体" w:hAnsi="宋体" w:cs="宋体"/>
          <w:color w:val="auto"/>
          <w:sz w:val="21"/>
          <w:szCs w:val="21"/>
          <w:highlight w:val="none"/>
        </w:rPr>
      </w:pPr>
      <w:bookmarkStart w:id="93" w:name="_Toc254970532"/>
      <w:bookmarkStart w:id="94" w:name="_Toc254970673"/>
      <w:r>
        <w:rPr>
          <w:rFonts w:hint="eastAsia" w:ascii="宋体" w:hAnsi="宋体" w:cs="宋体"/>
          <w:color w:val="auto"/>
          <w:sz w:val="21"/>
          <w:szCs w:val="21"/>
          <w:highlight w:val="none"/>
        </w:rPr>
        <w:t>8.特别说明：</w:t>
      </w:r>
      <w:bookmarkEnd w:id="93"/>
      <w:bookmarkEnd w:id="94"/>
    </w:p>
    <w:p w14:paraId="454FB932">
      <w:pPr>
        <w:spacing w:line="360" w:lineRule="auto"/>
        <w:ind w:firstLine="420" w:firstLineChars="200"/>
        <w:jc w:val="left"/>
        <w:rPr>
          <w:rFonts w:ascii="宋体" w:hAnsi="宋体" w:cs="宋体"/>
          <w:color w:val="auto"/>
          <w:szCs w:val="21"/>
          <w:highlight w:val="none"/>
        </w:rPr>
      </w:pPr>
      <w:r>
        <w:rPr>
          <w:color w:val="auto"/>
          <w:highlight w:val="none"/>
        </w:rPr>
        <w:fldChar w:fldCharType="begin"/>
      </w:r>
      <w:r>
        <w:rPr>
          <w:color w:val="auto"/>
          <w:highlight w:val="none"/>
        </w:rPr>
        <w:instrText xml:space="preserve"> HYPERLINK \l "_8.1" </w:instrText>
      </w:r>
      <w:r>
        <w:rPr>
          <w:color w:val="auto"/>
          <w:highlight w:val="none"/>
        </w:rPr>
        <w:fldChar w:fldCharType="separate"/>
      </w:r>
      <w:r>
        <w:rPr>
          <w:rFonts w:hint="eastAsia" w:ascii="宋体" w:hAnsi="宋体" w:cs="宋体"/>
          <w:color w:val="auto"/>
          <w:szCs w:val="21"/>
          <w:highlight w:val="none"/>
        </w:rPr>
        <w:t>8.1</w:t>
      </w:r>
      <w:r>
        <w:rPr>
          <w:rFonts w:hint="eastAsia" w:ascii="宋体" w:hAnsi="宋体" w:cs="宋体"/>
          <w:color w:val="auto"/>
          <w:szCs w:val="21"/>
          <w:highlight w:val="none"/>
        </w:rPr>
        <w:fldChar w:fldCharType="end"/>
      </w:r>
      <w:r>
        <w:rPr>
          <w:rFonts w:hint="eastAsia" w:ascii="宋体" w:hAnsi="宋体" w:cs="宋体"/>
          <w:color w:val="auto"/>
          <w:szCs w:val="21"/>
          <w:highlight w:val="none"/>
        </w:rPr>
        <w:t>如是货物采购的：①采用最低评标价法的采购项目，提供相同品牌产品的不同投标人参加同一合同项下投标的，以其中通过资格审查、符合性审查且报价最低的参加评标；若评标报价相同的，按投标报价低的确定，若投标报价也相同的，由采购人或者采购人委托评标委员会采取随机抽取的方式确定一个投标人获得中标人推荐资格，其他同品牌投标人投标无效。②采用综合评分法的采购项目，提供相同品牌产品且通过资格审查、符合性审查的不同投标人参加同一合同项下投标的，按一家投标人计算，评审后得分最高的同品牌投标人获得中标人推荐资格；若评审得分相同的，按投标报价低的确定，若投标报价相同的，由采购人或者采购人委托评标委员会采取随机抽取的方式确定一个投标人获得中标人推荐资格，其他同品牌投标人不作为中标候选人（注：评标办法中另有约定的中标人推荐方式，则按评标办法约定执行）。③非单一产品采购项目，多家投标人提供的核心产品品牌相同的，按前①及②款规定处理。④若项目为服务类项目，则无需按上述要求执行。</w:t>
      </w:r>
    </w:p>
    <w:p w14:paraId="57382658">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8.2如果本招标文件要求投标人提供资格、信誉、荣誉、业绩与企业认证等材料的，则投标人所提供的以上材料必须为投标人所拥有（评标办法中有其他要求的，则按评标办法要求）。</w:t>
      </w:r>
    </w:p>
    <w:p w14:paraId="4F9B97CC">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8.3投标人应仔细阅读招标文件的所有内容，按照招标文件的要求提交投标文件，并对所提供的全部资料的真实性承担法律责任。</w:t>
      </w:r>
    </w:p>
    <w:p w14:paraId="1106E1CB">
      <w:pPr>
        <w:pStyle w:val="6"/>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8.4投标人在投标活动中提供任何虚假材料，将报监管部门查处；中标后发现的，中标人须依法赔偿采购人，且民事赔偿并不免除违法投标人的行政与刑事责任。</w:t>
      </w:r>
    </w:p>
    <w:p w14:paraId="2EB2BF9A">
      <w:pPr>
        <w:pStyle w:val="6"/>
        <w:keepNext w:val="0"/>
        <w:keepLines w:val="0"/>
        <w:spacing w:before="0" w:after="0" w:line="360" w:lineRule="auto"/>
        <w:rPr>
          <w:rFonts w:ascii="宋体" w:hAnsi="宋体" w:cs="宋体"/>
          <w:color w:val="auto"/>
          <w:sz w:val="21"/>
          <w:szCs w:val="21"/>
          <w:highlight w:val="none"/>
        </w:rPr>
      </w:pPr>
      <w:r>
        <w:rPr>
          <w:rFonts w:hint="eastAsia" w:ascii="宋体" w:hAnsi="宋体" w:cs="宋体"/>
          <w:color w:val="auto"/>
          <w:sz w:val="21"/>
          <w:szCs w:val="21"/>
          <w:highlight w:val="none"/>
        </w:rPr>
        <w:t>9.回避与串通投标</w:t>
      </w:r>
    </w:p>
    <w:p w14:paraId="292D3C75">
      <w:pPr>
        <w:pStyle w:val="6"/>
        <w:keepNext w:val="0"/>
        <w:keepLines w:val="0"/>
        <w:spacing w:before="0" w:after="0" w:line="360" w:lineRule="auto"/>
        <w:ind w:firstLine="369" w:firstLineChars="175"/>
        <w:rPr>
          <w:rFonts w:ascii="宋体" w:hAnsi="宋体" w:cs="宋体"/>
          <w:color w:val="auto"/>
          <w:sz w:val="21"/>
          <w:szCs w:val="21"/>
          <w:highlight w:val="none"/>
        </w:rPr>
      </w:pPr>
      <w:r>
        <w:rPr>
          <w:rFonts w:hint="eastAsia" w:ascii="宋体" w:hAnsi="宋体" w:cs="宋体"/>
          <w:color w:val="auto"/>
          <w:sz w:val="21"/>
          <w:szCs w:val="21"/>
          <w:highlight w:val="none"/>
        </w:rPr>
        <w:t>9.1在政府采购活动中，采购人员及相关人员与投标人有下列利害关系之一的，应当回避：</w:t>
      </w:r>
    </w:p>
    <w:p w14:paraId="4DC5BC50">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（1）参加采购活动前3年内与投标人存在劳动关系；</w:t>
      </w:r>
    </w:p>
    <w:p w14:paraId="7CAFA627">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（2）参加采购活动前3年内担任投标人的董事、监事；</w:t>
      </w:r>
    </w:p>
    <w:p w14:paraId="78326429">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（3）参加采购活动前3年内是投标人的控股股东或者实际控制人；</w:t>
      </w:r>
    </w:p>
    <w:p w14:paraId="76376570">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（4）与投标人的法定代表人或者负责人有夫妻、直系血亲、三代以内旁系血亲或者近姻亲关系；</w:t>
      </w:r>
    </w:p>
    <w:p w14:paraId="2B860623">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（5）与投标人有其他可能影响政府采购活动公平、公正进行的关系。</w:t>
      </w:r>
    </w:p>
    <w:p w14:paraId="01E9C0F3">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1C331C19">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9.2有下列情形之一的视为投标人相互串通投标，投标文件将被视为无效：</w:t>
      </w:r>
    </w:p>
    <w:p w14:paraId="780683CE">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（1）不同投标人的投标文件由同一单位或者个人编制；或者不同投标人报名的IP地址一致的；</w:t>
      </w:r>
    </w:p>
    <w:p w14:paraId="25529035">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401AEBBB">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0BC6513F">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202A17CC">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3DD8D284">
      <w:pPr>
        <w:pStyle w:val="26"/>
        <w:snapToGrid w:val="0"/>
        <w:spacing w:line="360" w:lineRule="auto"/>
        <w:ind w:firstLine="422" w:firstLineChars="200"/>
        <w:rPr>
          <w:color w:val="auto"/>
          <w:highlight w:val="none"/>
        </w:rPr>
      </w:pPr>
      <w:r>
        <w:rPr>
          <w:rFonts w:hint="eastAsia" w:hAnsi="宋体" w:cs="宋体"/>
          <w:b/>
          <w:color w:val="auto"/>
          <w:kern w:val="2"/>
          <w:sz w:val="21"/>
          <w:highlight w:val="none"/>
        </w:rPr>
        <w:t>（6）不同投标人的投标保证金从同一单位或者个人账户转出。</w:t>
      </w:r>
    </w:p>
    <w:p w14:paraId="3B08893D">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（7）投标人之间协商投标报价等投标文件的实质性内容；</w:t>
      </w:r>
    </w:p>
    <w:p w14:paraId="23B18E64">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（8）投标人之间约定中标人；</w:t>
      </w:r>
    </w:p>
    <w:p w14:paraId="49D96794">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（9）投标人之间约定部分投标人放弃投标或者中标；</w:t>
      </w:r>
    </w:p>
    <w:p w14:paraId="2BEF4CBE">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（10）属于同一集团、协会、商会等组织成员的投标人按照该组织要求协同投标；</w:t>
      </w:r>
    </w:p>
    <w:p w14:paraId="2A32B68C">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（11）投标人之间为谋取中标或者排斥特定投标人而采取的其他联合行动。</w:t>
      </w:r>
    </w:p>
    <w:p w14:paraId="2B100913">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9.3投标人有下列情形之一的，属于恶意串通行为，将报同级监督管理部门：</w:t>
      </w:r>
    </w:p>
    <w:p w14:paraId="6029AFDB">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（1）投标人直接或者间接从采购人或者采购代理机构处获得其他投标人的相关信息并修改其投标文件或者响应文件；</w:t>
      </w:r>
    </w:p>
    <w:p w14:paraId="4ED63D6E">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（2）投标人按照采购人或者采购代理机构的授意撤换、修改投标文件或者响应文件；</w:t>
      </w:r>
    </w:p>
    <w:p w14:paraId="04097B31">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（3）投标人之间协商报价、技术方案等投标文件或者响应文件的实质性内容；</w:t>
      </w:r>
    </w:p>
    <w:p w14:paraId="3FD5D352">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（4）属于同一集团、协会、商会等组织成员的投标人按照该组织要求协同参加政府采购活动；</w:t>
      </w:r>
    </w:p>
    <w:p w14:paraId="1156A555">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（5）投标人之间事先约定一致抬高或者压低投标报价，或者在招标项目中事先约定轮流以高价位或者低价位中标，或者事先约定由某一特定投标人中标，然后再参加投标；</w:t>
      </w:r>
    </w:p>
    <w:p w14:paraId="18BFEAC3">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（6）投标人之间商定部分投标人放弃参加政府采购活动或者放弃中标；</w:t>
      </w:r>
    </w:p>
    <w:p w14:paraId="493D6233">
      <w:pPr>
        <w:pStyle w:val="26"/>
        <w:snapToGrid w:val="0"/>
        <w:spacing w:line="360" w:lineRule="auto"/>
        <w:ind w:firstLine="422" w:firstLineChars="200"/>
        <w:rPr>
          <w:rFonts w:hAnsi="宋体" w:cs="宋体"/>
          <w:b/>
          <w:color w:val="auto"/>
          <w:kern w:val="2"/>
          <w:sz w:val="21"/>
          <w:highlight w:val="none"/>
        </w:rPr>
      </w:pPr>
      <w:r>
        <w:rPr>
          <w:rFonts w:hint="eastAsia" w:hAnsi="宋体" w:cs="宋体"/>
          <w:b/>
          <w:color w:val="auto"/>
          <w:kern w:val="2"/>
          <w:sz w:val="21"/>
          <w:highlight w:val="none"/>
        </w:rPr>
        <w:t>（7）投标人与采购人或者采购代理机构之间、投标人相互之间，为谋求特定投标人中标或者排斥其他投标人的其他串通行为。</w:t>
      </w:r>
    </w:p>
    <w:p w14:paraId="0F957738">
      <w:pPr>
        <w:pStyle w:val="5"/>
        <w:rPr>
          <w:color w:val="auto"/>
          <w:highlight w:val="none"/>
        </w:rPr>
      </w:pPr>
      <w:bookmarkStart w:id="95" w:name="_Toc254970675"/>
      <w:bookmarkStart w:id="96" w:name="_Toc254970534"/>
      <w:r>
        <w:rPr>
          <w:rFonts w:hint="eastAsia"/>
          <w:color w:val="auto"/>
          <w:highlight w:val="none"/>
        </w:rPr>
        <w:t>二、招标文件</w:t>
      </w:r>
      <w:bookmarkEnd w:id="95"/>
      <w:bookmarkEnd w:id="96"/>
    </w:p>
    <w:p w14:paraId="2E22D0E0">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10.招标文件的组成</w:t>
      </w:r>
    </w:p>
    <w:p w14:paraId="67814356">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5E16E4C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（2）采购需求；</w:t>
      </w:r>
    </w:p>
    <w:p w14:paraId="471AB18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756FC5D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5480ACF4">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0FF6F21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52DE4709">
      <w:pPr>
        <w:pStyle w:val="6"/>
        <w:keepNext w:val="0"/>
        <w:keepLines w:val="0"/>
        <w:numPr>
          <w:ilvl w:val="255"/>
          <w:numId w:val="0"/>
        </w:numPr>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11.招标文件的澄清、修改、现场考察和答疑会</w:t>
      </w:r>
    </w:p>
    <w:p w14:paraId="20391610">
      <w:pPr>
        <w:pStyle w:val="7"/>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11.1投标人应认真审阅本招标文件，如有疑问，或发现其中有误或有要求不合理的，按《政府采购质疑和投诉办法》（财政部令第94号）及本项目招标文件规定，投标人认为招标文件使自己的合法权益受到损害的，应当在获取招标文件之日起七个工作日内以书面形式向采购代理机构提出质疑；否则，由此产生的后果由投标人自行负责。</w:t>
      </w:r>
    </w:p>
    <w:p w14:paraId="49101EDB">
      <w:pPr>
        <w:pStyle w:val="7"/>
        <w:keepNext w:val="0"/>
        <w:keepLines w:val="0"/>
        <w:numPr>
          <w:ilvl w:val="0"/>
          <w:numId w:val="0"/>
        </w:numPr>
        <w:spacing w:before="0" w:after="0" w:line="360" w:lineRule="auto"/>
        <w:ind w:firstLine="420" w:firstLineChars="200"/>
        <w:rPr>
          <w:rFonts w:ascii="宋体" w:hAnsi="宋体" w:cs="宋体"/>
          <w:color w:val="auto"/>
          <w:sz w:val="21"/>
          <w:szCs w:val="21"/>
          <w:highlight w:val="none"/>
        </w:rPr>
      </w:pPr>
      <w:r>
        <w:rPr>
          <w:rFonts w:hint="eastAsia" w:ascii="宋体" w:hAnsi="宋体" w:cs="宋体"/>
          <w:b w:val="0"/>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A7C96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11.3采购人和采购代理机构可以视采购具体情况，变更投标截止时间和开标时间，并在原公告发布媒体上发布更正公告。</w:t>
      </w:r>
    </w:p>
    <w:p w14:paraId="68A63E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11.4招标文件澄清、答复、修改、补充的内容为招标文件的组成部分。</w:t>
      </w:r>
      <w:r>
        <w:rPr>
          <w:rFonts w:hint="eastAsia" w:ascii="宋体" w:hAnsi="宋体" w:cs="宋体"/>
          <w:b/>
          <w:color w:val="auto"/>
          <w:szCs w:val="21"/>
          <w:highlight w:val="none"/>
        </w:rPr>
        <w:t>当招标文件与招标文件的澄清、答复、修改、补充通知就同一内容的表述不一致时，以最后发出的文件为准。</w:t>
      </w:r>
    </w:p>
    <w:p w14:paraId="4CC92486">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11.5采购人或者采购代理机构可以在招标文件提供期限截止后，组织已获取招标文件的潜在投标人现场考察或者召开开标前答疑会，具体详见“投标人须知前附表”。</w:t>
      </w:r>
    </w:p>
    <w:p w14:paraId="57F58C0B">
      <w:pPr>
        <w:pStyle w:val="5"/>
        <w:rPr>
          <w:color w:val="auto"/>
          <w:highlight w:val="none"/>
        </w:rPr>
      </w:pPr>
      <w:bookmarkStart w:id="97" w:name="_Toc254970676"/>
      <w:bookmarkStart w:id="98" w:name="_Toc254970535"/>
      <w:r>
        <w:rPr>
          <w:rFonts w:hint="eastAsia"/>
          <w:color w:val="auto"/>
          <w:highlight w:val="none"/>
        </w:rPr>
        <w:t>三、投标文件的编制</w:t>
      </w:r>
      <w:bookmarkEnd w:id="97"/>
      <w:bookmarkEnd w:id="98"/>
    </w:p>
    <w:p w14:paraId="0D8C33D7">
      <w:pPr>
        <w:pStyle w:val="6"/>
        <w:keepNext w:val="0"/>
        <w:keepLines w:val="0"/>
        <w:numPr>
          <w:ilvl w:val="255"/>
          <w:numId w:val="0"/>
        </w:numPr>
        <w:spacing w:before="0" w:after="0" w:line="360" w:lineRule="auto"/>
        <w:ind w:left="420" w:leftChars="200"/>
        <w:rPr>
          <w:rFonts w:ascii="宋体" w:hAnsi="宋体" w:cs="宋体"/>
          <w:color w:val="auto"/>
          <w:sz w:val="21"/>
          <w:szCs w:val="21"/>
          <w:highlight w:val="none"/>
        </w:rPr>
      </w:pPr>
      <w:bookmarkStart w:id="99" w:name="_Toc254970677"/>
      <w:bookmarkStart w:id="100" w:name="_Toc254970536"/>
      <w:r>
        <w:rPr>
          <w:rFonts w:hint="eastAsia" w:ascii="宋体" w:hAnsi="宋体" w:cs="宋体"/>
          <w:color w:val="auto"/>
          <w:sz w:val="21"/>
          <w:szCs w:val="21"/>
          <w:highlight w:val="none"/>
        </w:rPr>
        <w:t>12.投标文件的编制原则</w:t>
      </w:r>
    </w:p>
    <w:p w14:paraId="002B4E31">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639C6B15">
      <w:pPr>
        <w:pStyle w:val="6"/>
        <w:keepNext w:val="0"/>
        <w:keepLines w:val="0"/>
        <w:numPr>
          <w:ilvl w:val="255"/>
          <w:numId w:val="0"/>
        </w:numPr>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13.投标文件的组成</w:t>
      </w:r>
      <w:bookmarkEnd w:id="99"/>
      <w:bookmarkEnd w:id="100"/>
    </w:p>
    <w:p w14:paraId="32D3DFC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0194B4C1">
      <w:pPr>
        <w:snapToGrid w:val="0"/>
        <w:spacing w:line="360" w:lineRule="auto"/>
        <w:ind w:firstLine="420" w:firstLineChars="200"/>
        <w:jc w:val="left"/>
        <w:rPr>
          <w:rFonts w:ascii="宋体" w:hAnsi="宋体" w:cs="宋体"/>
          <w:color w:val="auto"/>
          <w:szCs w:val="21"/>
          <w:highlight w:val="none"/>
        </w:rPr>
      </w:pPr>
      <w:bookmarkStart w:id="101" w:name="_13.1报价文件:_具体材料见“投标人须知前附表”。"/>
      <w:bookmarkEnd w:id="101"/>
      <w:r>
        <w:rPr>
          <w:rFonts w:hint="eastAsia" w:ascii="宋体" w:hAnsi="宋体" w:cs="宋体"/>
          <w:color w:val="auto"/>
          <w:szCs w:val="21"/>
          <w:highlight w:val="none"/>
        </w:rPr>
        <w:t>（1）报价文件：具体材料见“投标人须知前附表”。</w:t>
      </w:r>
    </w:p>
    <w:p w14:paraId="1F87EA4F">
      <w:pPr>
        <w:snapToGrid w:val="0"/>
        <w:spacing w:line="360" w:lineRule="auto"/>
        <w:ind w:firstLine="420" w:firstLineChars="200"/>
        <w:jc w:val="left"/>
        <w:rPr>
          <w:rFonts w:ascii="宋体" w:hAnsi="宋体" w:cs="宋体"/>
          <w:color w:val="auto"/>
          <w:szCs w:val="21"/>
          <w:highlight w:val="none"/>
        </w:rPr>
      </w:pPr>
      <w:bookmarkStart w:id="102" w:name="_13.2资格证明文件：具体材料见“投标人须知前附表”。"/>
      <w:bookmarkEnd w:id="102"/>
      <w:r>
        <w:rPr>
          <w:rFonts w:hint="eastAsia" w:ascii="宋体" w:hAnsi="宋体" w:cs="宋体"/>
          <w:color w:val="auto"/>
          <w:szCs w:val="21"/>
          <w:highlight w:val="none"/>
        </w:rPr>
        <w:t>（2）资格证明文件：具体材料见“投标人须知前附表”。</w:t>
      </w:r>
    </w:p>
    <w:p w14:paraId="05B1605A">
      <w:pPr>
        <w:snapToGrid w:val="0"/>
        <w:spacing w:line="360" w:lineRule="auto"/>
        <w:ind w:firstLine="420" w:firstLineChars="200"/>
        <w:jc w:val="left"/>
        <w:rPr>
          <w:rFonts w:ascii="宋体" w:hAnsi="宋体" w:cs="宋体"/>
          <w:color w:val="auto"/>
          <w:szCs w:val="21"/>
          <w:highlight w:val="none"/>
        </w:rPr>
      </w:pPr>
      <w:bookmarkStart w:id="103" w:name="_13.3商务文件:_具体材料见“投标人须知前附表”。"/>
      <w:bookmarkEnd w:id="103"/>
      <w:r>
        <w:rPr>
          <w:rFonts w:hint="eastAsia" w:ascii="宋体" w:hAnsi="宋体" w:cs="宋体"/>
          <w:color w:val="auto"/>
          <w:szCs w:val="21"/>
          <w:highlight w:val="none"/>
        </w:rPr>
        <w:t>（3）商务文件：具体材料见“投标人须知前附表”。</w:t>
      </w:r>
    </w:p>
    <w:p w14:paraId="12A6B837">
      <w:pPr>
        <w:snapToGrid w:val="0"/>
        <w:spacing w:line="360" w:lineRule="auto"/>
        <w:ind w:firstLine="420" w:firstLineChars="200"/>
        <w:jc w:val="left"/>
        <w:rPr>
          <w:rFonts w:ascii="宋体" w:hAnsi="宋体" w:cs="宋体"/>
          <w:color w:val="auto"/>
          <w:szCs w:val="21"/>
          <w:highlight w:val="none"/>
        </w:rPr>
      </w:pPr>
      <w:bookmarkStart w:id="104" w:name="_13.4技术文件：具体材料见“投标人须知前附表”。"/>
      <w:bookmarkEnd w:id="104"/>
      <w:r>
        <w:rPr>
          <w:rFonts w:hint="eastAsia" w:ascii="宋体" w:hAnsi="宋体" w:cs="宋体"/>
          <w:color w:val="auto"/>
          <w:szCs w:val="21"/>
          <w:highlight w:val="none"/>
        </w:rPr>
        <w:t>（4）技术文件：具体材料见“投标人须知前附表”。</w:t>
      </w:r>
    </w:p>
    <w:p w14:paraId="118FC5D5">
      <w:pPr>
        <w:pStyle w:val="6"/>
        <w:keepNext w:val="0"/>
        <w:keepLines w:val="0"/>
        <w:wordWrap w:val="0"/>
        <w:spacing w:before="0" w:after="0" w:line="360" w:lineRule="auto"/>
        <w:ind w:firstLine="422" w:firstLineChars="200"/>
        <w:rPr>
          <w:rFonts w:ascii="宋体" w:hAnsi="宋体" w:cs="宋体"/>
          <w:color w:val="auto"/>
          <w:sz w:val="21"/>
          <w:szCs w:val="21"/>
          <w:highlight w:val="none"/>
        </w:rPr>
      </w:pPr>
      <w:bookmarkStart w:id="105" w:name="_13.5投标文件电子版：具体材料见“投标人须知前附表”。"/>
      <w:bookmarkEnd w:id="105"/>
      <w:r>
        <w:rPr>
          <w:rFonts w:hint="eastAsia" w:ascii="宋体" w:hAnsi="宋体" w:cs="宋体"/>
          <w:color w:val="auto"/>
          <w:sz w:val="21"/>
          <w:szCs w:val="21"/>
          <w:highlight w:val="none"/>
        </w:rPr>
        <w:t>13.2本项目实行电子投标，供应商应准备电子投标文件：电子投标文件按广西政府采购云平台要求及本招标文件要求制作、加密并递交。具体操作流程可参考《政府采购项目电子交易管理操作指南-供应商》，指南可在 “http://www.ccgp-guangxi.gov.cn/PurchaseAdvisory/ImportantNotice/2866753.html”下载。</w:t>
      </w:r>
    </w:p>
    <w:p w14:paraId="51130068">
      <w:pPr>
        <w:pStyle w:val="6"/>
        <w:keepNext w:val="0"/>
        <w:keepLines w:val="0"/>
        <w:spacing w:before="0" w:after="0" w:line="360" w:lineRule="auto"/>
        <w:ind w:left="420" w:leftChars="200"/>
        <w:rPr>
          <w:rFonts w:ascii="宋体" w:hAnsi="宋体" w:cs="宋体"/>
          <w:color w:val="auto"/>
          <w:sz w:val="21"/>
          <w:szCs w:val="21"/>
          <w:highlight w:val="none"/>
        </w:rPr>
      </w:pPr>
      <w:bookmarkStart w:id="106" w:name="_Toc254970537"/>
      <w:bookmarkStart w:id="107" w:name="_Toc254970678"/>
      <w:r>
        <w:rPr>
          <w:rFonts w:hint="eastAsia" w:ascii="宋体" w:hAnsi="宋体" w:cs="宋体"/>
          <w:color w:val="auto"/>
          <w:sz w:val="21"/>
          <w:szCs w:val="21"/>
          <w:highlight w:val="none"/>
        </w:rPr>
        <w:t>14.投标文件的语言及计量</w:t>
      </w:r>
      <w:bookmarkEnd w:id="106"/>
      <w:bookmarkEnd w:id="107"/>
    </w:p>
    <w:p w14:paraId="762FC010">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23054F1D">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0900FA1">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10E9E696">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4F6F205F">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15.投标的风险</w:t>
      </w:r>
    </w:p>
    <w:p w14:paraId="198EE5E3">
      <w:pPr>
        <w:pStyle w:val="26"/>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705FEED4">
      <w:pPr>
        <w:pStyle w:val="6"/>
        <w:keepNext w:val="0"/>
        <w:keepLines w:val="0"/>
        <w:spacing w:before="0" w:after="0" w:line="360" w:lineRule="auto"/>
        <w:ind w:left="420" w:leftChars="200"/>
        <w:rPr>
          <w:rFonts w:ascii="宋体" w:hAnsi="宋体" w:cs="宋体"/>
          <w:color w:val="auto"/>
          <w:sz w:val="21"/>
          <w:szCs w:val="21"/>
          <w:highlight w:val="none"/>
        </w:rPr>
      </w:pPr>
      <w:bookmarkStart w:id="108" w:name="_Toc254970538"/>
      <w:bookmarkStart w:id="109" w:name="_Toc254970679"/>
      <w:r>
        <w:rPr>
          <w:rFonts w:hint="eastAsia" w:ascii="宋体" w:hAnsi="宋体" w:cs="宋体"/>
          <w:color w:val="auto"/>
          <w:sz w:val="21"/>
          <w:szCs w:val="21"/>
          <w:highlight w:val="none"/>
        </w:rPr>
        <w:t>16.投标报价</w:t>
      </w:r>
      <w:bookmarkEnd w:id="108"/>
      <w:bookmarkEnd w:id="109"/>
    </w:p>
    <w:p w14:paraId="7C920627">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16.1投标报价应按“第六章、投标文件格式”中“开标一览表”格式填写。</w:t>
      </w:r>
    </w:p>
    <w:p w14:paraId="2E005F1A">
      <w:pPr>
        <w:pStyle w:val="6"/>
        <w:keepNext w:val="0"/>
        <w:keepLines w:val="0"/>
        <w:spacing w:before="0" w:after="0" w:line="360" w:lineRule="auto"/>
        <w:ind w:left="420" w:leftChars="200"/>
        <w:rPr>
          <w:rFonts w:ascii="宋体" w:hAnsi="宋体" w:cs="宋体"/>
          <w:b w:val="0"/>
          <w:color w:val="auto"/>
          <w:sz w:val="21"/>
          <w:szCs w:val="21"/>
          <w:highlight w:val="none"/>
        </w:rPr>
      </w:pPr>
      <w:bookmarkStart w:id="110" w:name="_16.2投标报价具体定义见投标人须知前附表。"/>
      <w:bookmarkEnd w:id="110"/>
      <w:r>
        <w:rPr>
          <w:rFonts w:hint="eastAsia" w:ascii="宋体" w:hAnsi="宋体" w:cs="宋体"/>
          <w:b w:val="0"/>
          <w:color w:val="auto"/>
          <w:sz w:val="21"/>
          <w:szCs w:val="21"/>
          <w:highlight w:val="none"/>
        </w:rPr>
        <w:t>16.2投标报价具体包括内容详见“投标人须知前附表”。</w:t>
      </w:r>
    </w:p>
    <w:p w14:paraId="05AA9350">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1C252AAD">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17.投标有效期</w:t>
      </w:r>
    </w:p>
    <w:p w14:paraId="18B7C668">
      <w:pPr>
        <w:pStyle w:val="6"/>
        <w:keepNext w:val="0"/>
        <w:keepLines w:val="0"/>
        <w:spacing w:before="0" w:after="0" w:line="360" w:lineRule="auto"/>
        <w:ind w:firstLine="420" w:firstLineChars="200"/>
        <w:rPr>
          <w:rFonts w:ascii="宋体" w:hAnsi="宋体" w:cs="宋体"/>
          <w:b w:val="0"/>
          <w:color w:val="auto"/>
          <w:sz w:val="21"/>
          <w:szCs w:val="21"/>
          <w:highlight w:val="none"/>
        </w:rPr>
      </w:pPr>
      <w:bookmarkStart w:id="111" w:name="_17.1投标有效期应按“投标人须知中的前附表”规定的期限。"/>
      <w:bookmarkEnd w:id="111"/>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43A3FC16">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12" w:name="_Toc254970681"/>
      <w:bookmarkStart w:id="113" w:name="_Toc254970540"/>
      <w:r>
        <w:rPr>
          <w:rFonts w:hint="eastAsia" w:ascii="宋体" w:hAnsi="宋体" w:cs="宋体"/>
          <w:b w:val="0"/>
          <w:color w:val="auto"/>
          <w:sz w:val="21"/>
          <w:szCs w:val="21"/>
          <w:highlight w:val="none"/>
        </w:rPr>
        <w:t>投标有效期应按规定的期限作出承诺，具体详见“投标人须知前附表”。</w:t>
      </w:r>
    </w:p>
    <w:p w14:paraId="2F95FB09">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12"/>
      <w:bookmarkEnd w:id="113"/>
    </w:p>
    <w:p w14:paraId="277EA994">
      <w:pPr>
        <w:pStyle w:val="6"/>
        <w:keepNext w:val="0"/>
        <w:keepLines w:val="0"/>
        <w:spacing w:before="0" w:after="0" w:line="360" w:lineRule="auto"/>
        <w:ind w:left="420" w:leftChars="200"/>
        <w:rPr>
          <w:rFonts w:ascii="宋体" w:hAnsi="宋体" w:cs="宋体"/>
          <w:color w:val="auto"/>
          <w:sz w:val="21"/>
          <w:szCs w:val="21"/>
          <w:highlight w:val="none"/>
        </w:rPr>
      </w:pPr>
      <w:bookmarkStart w:id="114" w:name="_18.投标保证金"/>
      <w:bookmarkEnd w:id="114"/>
      <w:bookmarkStart w:id="115" w:name="_Toc254970682"/>
      <w:bookmarkStart w:id="116" w:name="_Toc254970541"/>
      <w:r>
        <w:rPr>
          <w:rFonts w:hint="eastAsia" w:ascii="宋体" w:hAnsi="宋体" w:cs="宋体"/>
          <w:color w:val="auto"/>
          <w:sz w:val="21"/>
          <w:szCs w:val="21"/>
          <w:highlight w:val="none"/>
        </w:rPr>
        <w:t>18.投标保证金</w:t>
      </w:r>
      <w:bookmarkEnd w:id="115"/>
      <w:bookmarkEnd w:id="116"/>
    </w:p>
    <w:p w14:paraId="701B6531">
      <w:pPr>
        <w:pStyle w:val="6"/>
        <w:keepNext w:val="0"/>
        <w:keepLines w:val="0"/>
        <w:spacing w:before="0" w:after="0" w:line="360" w:lineRule="auto"/>
        <w:ind w:firstLine="420" w:firstLineChars="200"/>
        <w:rPr>
          <w:color w:val="auto"/>
          <w:highlight w:val="none"/>
        </w:rPr>
      </w:pPr>
      <w:r>
        <w:rPr>
          <w:rFonts w:hint="eastAsia" w:ascii="宋体" w:hAnsi="宋体" w:cs="宋体"/>
          <w:b w:val="0"/>
          <w:color w:val="auto"/>
          <w:sz w:val="21"/>
          <w:szCs w:val="21"/>
          <w:highlight w:val="none"/>
        </w:rPr>
        <w:t>18.1投标人须按“投标人须知前附表”的规定提交投标保证金。</w:t>
      </w:r>
    </w:p>
    <w:p w14:paraId="32266D02">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591B95EA">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未中标人的投标保证金自中标通知书发出之日起5个工作日内退还；中标人的投标保证金自政府采购合同签订之日起5个工作日内退还。</w:t>
      </w:r>
    </w:p>
    <w:p w14:paraId="46351B54">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422F5EF5">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18.4投标人有下列情形之一的，投标保证金将不予退还：</w:t>
      </w:r>
    </w:p>
    <w:p w14:paraId="5E0D1D86">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（1）投标人在投标截止时间后至有效期内撤回投标文件的；</w:t>
      </w:r>
    </w:p>
    <w:p w14:paraId="57E29594">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（2）中标后未按规定提交履约保证金的；</w:t>
      </w:r>
    </w:p>
    <w:p w14:paraId="41D2DCF3">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（3）投标人在投标过程中弄虚作假，提供虚假材料的；</w:t>
      </w:r>
    </w:p>
    <w:p w14:paraId="2318EE64">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（4）中标人无正当理由不与采购人签订合同的；</w:t>
      </w:r>
    </w:p>
    <w:p w14:paraId="1544B4BB">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（5）投标人出现本章第9.2、9.3、30.4情形的；</w:t>
      </w:r>
    </w:p>
    <w:p w14:paraId="782F7EA2">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（6）法律法规规定的其他情形。</w:t>
      </w:r>
    </w:p>
    <w:p w14:paraId="28C0BFFF">
      <w:pPr>
        <w:pStyle w:val="6"/>
        <w:keepNext w:val="0"/>
        <w:keepLines w:val="0"/>
        <w:spacing w:before="0" w:after="0" w:line="360" w:lineRule="auto"/>
        <w:ind w:left="420" w:leftChars="200"/>
        <w:rPr>
          <w:rFonts w:ascii="宋体" w:hAnsi="宋体" w:cs="宋体"/>
          <w:color w:val="auto"/>
          <w:sz w:val="21"/>
          <w:szCs w:val="21"/>
          <w:highlight w:val="none"/>
        </w:rPr>
      </w:pPr>
      <w:bookmarkStart w:id="117" w:name="_Toc254970683"/>
      <w:bookmarkStart w:id="118" w:name="_Toc254970542"/>
      <w:r>
        <w:rPr>
          <w:rFonts w:hint="eastAsia" w:ascii="宋体" w:hAnsi="宋体" w:cs="宋体"/>
          <w:color w:val="auto"/>
          <w:sz w:val="21"/>
          <w:szCs w:val="21"/>
          <w:highlight w:val="none"/>
        </w:rPr>
        <w:t>19.投标文件的</w:t>
      </w:r>
      <w:bookmarkEnd w:id="117"/>
      <w:bookmarkEnd w:id="118"/>
      <w:r>
        <w:rPr>
          <w:rFonts w:hint="eastAsia" w:ascii="宋体" w:hAnsi="宋体" w:cs="宋体"/>
          <w:color w:val="auto"/>
          <w:sz w:val="21"/>
          <w:szCs w:val="21"/>
          <w:highlight w:val="none"/>
        </w:rPr>
        <w:t>编制</w:t>
      </w:r>
    </w:p>
    <w:p w14:paraId="528D7B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 电子投标文件中须加盖投标人公章部分均采用 CA 签章，并根据“政府采购项目电子交易管理操作指南-供应商”及本招标文件规定的格式和顺序编制电子投标文件并进行关联定位，以便评审小组在评审时，点击评分项可直接定位到该评分项内容。如对招标文件的某项要求，投标人的电子投标文件未能关联定位提供相应的内容与其对应，则评审小组在评审时如做出对投标人不利的评审由投标人自行承担。电子投标文件如内容不完整、编排混乱导致投标文件被误读、 漏读，或者在按招标文件规定的部位查找不到相关内容的，由投标人自行承担。</w:t>
      </w:r>
    </w:p>
    <w:p w14:paraId="2417E0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 供应商法人（负责人）或授权代表持有广西政府采购云平台个人CA签章的，应在投标文件中涉及到签字的位置使用个人CA签章，没有办理广西政府采购云平台个人CA签章的可在投标文件中涉及到签字的位置手写签字后扫描或者拍照做成 PDF 的格式上传即可。</w:t>
      </w:r>
    </w:p>
    <w:p w14:paraId="079853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19.3投标文件须由投标人在规定位置盖公章并签字（具体以投标人须知前附表或投标文件格式规定为准），否则按无效投标处理。</w:t>
      </w:r>
    </w:p>
    <w:p w14:paraId="07E7A6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19.4投标文件中标注的投标人名称应与主体资格证明（如营业执照、事业单位法人证书、执业许可证、自然人身份证等）及公章一致，否则按无效投标处理。</w:t>
      </w:r>
    </w:p>
    <w:p w14:paraId="6B9CCC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19.5投标文件不得涂改，若有修改错漏处，须法定代表人（负责人）或授权委托人签字（或个人CA签章）。投标文件因字迹潦草或表达不清所引起的后果由供应商负责。</w:t>
      </w:r>
    </w:p>
    <w:p w14:paraId="294C9870">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20.投标文件的补充、修改和撤回</w:t>
      </w:r>
    </w:p>
    <w:p w14:paraId="6C5768CE">
      <w:pPr>
        <w:pStyle w:val="6"/>
        <w:keepNext w:val="0"/>
        <w:keepLines w:val="0"/>
        <w:numPr>
          <w:ilvl w:val="255"/>
          <w:numId w:val="0"/>
        </w:numPr>
        <w:spacing w:before="0" w:after="0" w:line="360" w:lineRule="auto"/>
        <w:ind w:firstLine="420" w:firstLineChars="200"/>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20.1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补充、修改或者撤回方式可登陆广西政府采购云平台，依次进入“服务中心”中查看 “电子投标文件制作与投送教程”）。</w:t>
      </w:r>
    </w:p>
    <w:p w14:paraId="09E8A19A">
      <w:pPr>
        <w:pStyle w:val="6"/>
        <w:keepNext w:val="0"/>
        <w:keepLines w:val="0"/>
        <w:numPr>
          <w:ilvl w:val="255"/>
          <w:numId w:val="0"/>
        </w:numPr>
        <w:spacing w:before="0" w:after="0" w:line="360" w:lineRule="auto"/>
        <w:ind w:firstLine="420" w:firstLineChars="200"/>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20.2在投标截止时间止提交投标文件的投标人不足3家时，不得开标，采购代理机构将根据广西政府采购云平台的操作将电子版投标文件退回，除此之外采购人和采购代理机构对已提交的投标文件概不退回。</w:t>
      </w:r>
    </w:p>
    <w:p w14:paraId="0F91D8CB">
      <w:pPr>
        <w:pStyle w:val="6"/>
        <w:keepNext w:val="0"/>
        <w:keepLines w:val="0"/>
        <w:numPr>
          <w:ilvl w:val="255"/>
          <w:numId w:val="0"/>
        </w:numPr>
        <w:spacing w:before="0" w:after="0" w:line="360" w:lineRule="auto"/>
        <w:ind w:firstLine="420" w:firstLineChars="200"/>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20.3 投标人在投标截止时间后的投标文件有效期内，投标人不得撤回其投标文件，否则不予退还其投标保证金。</w:t>
      </w:r>
    </w:p>
    <w:p w14:paraId="4C0F5033">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21.投标文件的提交</w:t>
      </w:r>
    </w:p>
    <w:p w14:paraId="38F1526A">
      <w:pPr>
        <w:snapToGrid w:val="0"/>
        <w:spacing w:line="360" w:lineRule="auto"/>
        <w:ind w:firstLine="420"/>
        <w:jc w:val="left"/>
        <w:rPr>
          <w:rFonts w:ascii="宋体" w:hAnsi="宋体" w:cs="宋体"/>
          <w:color w:val="auto"/>
          <w:szCs w:val="21"/>
          <w:highlight w:val="none"/>
        </w:rPr>
      </w:pPr>
      <w:bookmarkStart w:id="119" w:name="_21.1投标人必须在“投标人须知中的前附表”规定的投标文件接收时间和投"/>
      <w:bookmarkEnd w:id="119"/>
      <w:r>
        <w:rPr>
          <w:rFonts w:hint="eastAsia" w:ascii="宋体" w:hAnsi="宋体" w:cs="宋体"/>
          <w:color w:val="auto"/>
          <w:szCs w:val="21"/>
          <w:highlight w:val="none"/>
        </w:rPr>
        <w:t>21.1投标文件递交：具体要求见“投标人须知前附表”。</w:t>
      </w:r>
    </w:p>
    <w:p w14:paraId="1A8F65B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21.2投标文件解密：具体要求见“投标人须知前附表”。</w:t>
      </w:r>
    </w:p>
    <w:p w14:paraId="4BF761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 电子投标文件的相关说明</w:t>
      </w:r>
    </w:p>
    <w:p w14:paraId="396B8E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（1）投标人进行电子投标应安装客户端软件，并按照采购文件和电子交易平台的要求编制并加密投标文件。投标人未按规定加密的投标文件，电子交易平台将拒收。</w:t>
      </w:r>
      <w:r>
        <w:rPr>
          <w:rFonts w:hint="eastAsia" w:ascii="宋体" w:hAnsi="宋体" w:cs="宋体"/>
          <w:bCs/>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补充、修改或者撤回方式可登陆广西政府采购云平台，依次进入“服务中心”中查看 “电子投标文件制作与投送教程”）。</w:t>
      </w:r>
    </w:p>
    <w:p w14:paraId="6EF9B0AE">
      <w:pPr>
        <w:snapToGrid w:val="0"/>
        <w:spacing w:line="360" w:lineRule="auto"/>
        <w:ind w:firstLine="420"/>
        <w:jc w:val="left"/>
        <w:rPr>
          <w:color w:val="auto"/>
          <w:highlight w:val="none"/>
        </w:rPr>
      </w:pPr>
      <w:r>
        <w:rPr>
          <w:rFonts w:hint="eastAsia" w:ascii="宋体" w:hAnsi="宋体" w:cs="宋体"/>
          <w:color w:val="auto"/>
          <w:szCs w:val="21"/>
          <w:highlight w:val="none"/>
        </w:rPr>
        <w:t>（2）如有特殊情况，采购代理机构延长截止时间和开标时间，采购代理机构和投标人的权利和义务将受到新的截止时间和开标时间的约束。</w:t>
      </w:r>
    </w:p>
    <w:p w14:paraId="2C7490A6">
      <w:pPr>
        <w:snapToGrid w:val="0"/>
        <w:spacing w:line="360" w:lineRule="auto"/>
        <w:ind w:firstLine="420"/>
        <w:jc w:val="left"/>
        <w:rPr>
          <w:rFonts w:ascii="宋体" w:hAnsi="宋体" w:cs="宋体"/>
          <w:color w:val="auto"/>
          <w:highlight w:val="none"/>
        </w:rPr>
      </w:pPr>
      <w:bookmarkStart w:id="120" w:name="_Toc254970544"/>
      <w:bookmarkStart w:id="121" w:name="_Toc254970685"/>
      <w:r>
        <w:rPr>
          <w:rFonts w:hint="eastAsia" w:ascii="宋体" w:hAnsi="宋体" w:cs="宋体"/>
          <w:color w:val="auto"/>
          <w:highlight w:val="none"/>
        </w:rPr>
        <w:t>四、开标</w:t>
      </w:r>
      <w:bookmarkEnd w:id="120"/>
      <w:bookmarkEnd w:id="121"/>
    </w:p>
    <w:p w14:paraId="532DF26B">
      <w:pPr>
        <w:pStyle w:val="6"/>
        <w:keepNext w:val="0"/>
        <w:keepLines w:val="0"/>
        <w:spacing w:before="0" w:after="0" w:line="360" w:lineRule="auto"/>
        <w:ind w:left="420" w:leftChars="200"/>
        <w:rPr>
          <w:rFonts w:ascii="宋体" w:hAnsi="宋体" w:cs="宋体"/>
          <w:bCs/>
          <w:color w:val="auto"/>
          <w:sz w:val="21"/>
          <w:szCs w:val="21"/>
          <w:highlight w:val="none"/>
        </w:rPr>
      </w:pPr>
      <w:bookmarkStart w:id="122" w:name="_23.开标时间和地点"/>
      <w:bookmarkEnd w:id="122"/>
      <w:r>
        <w:rPr>
          <w:rFonts w:hint="eastAsia" w:ascii="宋体" w:hAnsi="宋体" w:cs="宋体"/>
          <w:bCs/>
          <w:color w:val="auto"/>
          <w:sz w:val="21"/>
          <w:szCs w:val="21"/>
          <w:highlight w:val="none"/>
        </w:rPr>
        <w:t>23.开标时间和地点</w:t>
      </w:r>
    </w:p>
    <w:p w14:paraId="1F7691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23.1开标时间及地点：</w:t>
      </w:r>
    </w:p>
    <w:p w14:paraId="4D1CCA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开标时间：详见投标人须知前附表。</w:t>
      </w:r>
    </w:p>
    <w:p w14:paraId="30FDBD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地点：通过广西政府采购云平台实行在线解密开启。</w:t>
      </w:r>
    </w:p>
    <w:p w14:paraId="002FA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23.2如投标人成功解密投标文件，但未在“广西政府采购云平台”电子开标大厅参加开标的，视同认可开标过程和结果，由此产生的后果由投标人自行负责。投标人不足3家的，不得开标，采购人或者采购代理机构应当重新组织采购。</w:t>
      </w:r>
    </w:p>
    <w:p w14:paraId="4D36A976">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24.开标程序</w:t>
      </w:r>
    </w:p>
    <w:p w14:paraId="39F81C6C">
      <w:pPr>
        <w:spacing w:line="360" w:lineRule="auto"/>
        <w:ind w:firstLine="422" w:firstLineChars="200"/>
        <w:outlineLvl w:val="3"/>
        <w:rPr>
          <w:rFonts w:ascii="宋体" w:hAnsi="宋体" w:cs="宋体"/>
          <w:b/>
          <w:bCs/>
          <w:color w:val="auto"/>
          <w:szCs w:val="21"/>
          <w:highlight w:val="none"/>
        </w:rPr>
      </w:pPr>
      <w:r>
        <w:rPr>
          <w:rFonts w:hint="eastAsia" w:ascii="宋体" w:hAnsi="宋体" w:cs="宋体"/>
          <w:b/>
          <w:bCs/>
          <w:color w:val="auto"/>
          <w:szCs w:val="21"/>
          <w:highlight w:val="none"/>
        </w:rPr>
        <w:t>24.1开标准备</w:t>
      </w:r>
    </w:p>
    <w:p w14:paraId="36B2D5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24.1.1.开标的准备工作由招标代理机构负责落实；</w:t>
      </w:r>
    </w:p>
    <w:p w14:paraId="2A326F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24.1.2.招标代理机构将按照招标文件规定的时间通过“政府采购云平台”组织开标、开启投标文件，所有投标人均应当准时在线参加。投标人如不参加开标会的，视同认可开标结果，事后不得对采购相关人员、开标过程和开标结果提出异议，同时投标人因未在线参加开标而导致投标文件无法按时解密等一切后果由投标人自己承担。</w:t>
      </w:r>
    </w:p>
    <w:p w14:paraId="2BEBEE16">
      <w:pPr>
        <w:spacing w:line="360" w:lineRule="auto"/>
        <w:ind w:firstLine="422" w:firstLineChars="200"/>
        <w:outlineLvl w:val="3"/>
        <w:rPr>
          <w:rFonts w:ascii="宋体" w:hAnsi="宋体" w:cs="宋体"/>
          <w:b/>
          <w:bCs/>
          <w:color w:val="auto"/>
          <w:szCs w:val="21"/>
          <w:highlight w:val="none"/>
        </w:rPr>
      </w:pPr>
      <w:r>
        <w:rPr>
          <w:rFonts w:hint="eastAsia" w:ascii="宋体" w:hAnsi="宋体" w:cs="宋体"/>
          <w:b/>
          <w:bCs/>
          <w:color w:val="auto"/>
          <w:szCs w:val="21"/>
          <w:highlight w:val="none"/>
        </w:rPr>
        <w:t>24.2开标程序</w:t>
      </w:r>
    </w:p>
    <w:p w14:paraId="1D1F91C5">
      <w:pPr>
        <w:pStyle w:val="9"/>
        <w:spacing w:line="360" w:lineRule="auto"/>
        <w:rPr>
          <w:color w:val="auto"/>
          <w:szCs w:val="21"/>
          <w:highlight w:val="none"/>
        </w:rPr>
      </w:pPr>
      <w:r>
        <w:rPr>
          <w:rFonts w:hint="eastAsia"/>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投标人的法定代表人或其委托代理人须携带加密时所用的CA锁准时登录到广西政府采购云平台电子开标大厅签到并在发起解密通知之时起30分钟内完成对电子投标文件解密。投标文件未按时解密的，视为无效投标。（解密异常情况处理：详见本章29.4 电子交易活动的中止。</w:t>
      </w:r>
    </w:p>
    <w:p w14:paraId="5F27FADF">
      <w:pPr>
        <w:pStyle w:val="9"/>
        <w:spacing w:line="360" w:lineRule="auto"/>
        <w:rPr>
          <w:color w:val="auto"/>
          <w:szCs w:val="21"/>
          <w:highlight w:val="none"/>
        </w:rPr>
      </w:pPr>
      <w:r>
        <w:rPr>
          <w:rFonts w:hint="eastAsia"/>
          <w:color w:val="auto"/>
          <w:szCs w:val="21"/>
          <w:highlight w:val="none"/>
        </w:rPr>
        <w:t>（2）电子唱标。投标文件解密结束，各投标供应商报价均在“广西政府采购云平台”平台远程不见面开标大厅展示；</w:t>
      </w:r>
    </w:p>
    <w:p w14:paraId="6330A245">
      <w:pPr>
        <w:pStyle w:val="9"/>
        <w:spacing w:line="360" w:lineRule="auto"/>
        <w:rPr>
          <w:color w:val="auto"/>
          <w:szCs w:val="21"/>
          <w:highlight w:val="none"/>
        </w:rPr>
      </w:pPr>
      <w:r>
        <w:rPr>
          <w:rFonts w:hint="eastAsia"/>
          <w:color w:val="auto"/>
          <w:highlight w:val="none"/>
        </w:rPr>
        <w:t>（3）开标过程由采购代理机构如实记录，并电子留痕，由参加电子开标的各投标人代表对电子开标记录在开标记录公布后15分钟内进行当</w:t>
      </w:r>
      <w:r>
        <w:rPr>
          <w:rFonts w:hint="eastAsia"/>
          <w:color w:val="auto"/>
          <w:szCs w:val="21"/>
          <w:highlight w:val="none"/>
        </w:rPr>
        <w:t>场校核及勘误，并线上确认是否有异议，未确认的视同认可开标结果。</w:t>
      </w:r>
    </w:p>
    <w:p w14:paraId="1AAA481E">
      <w:pPr>
        <w:pStyle w:val="9"/>
        <w:spacing w:line="360" w:lineRule="auto"/>
        <w:rPr>
          <w:color w:val="auto"/>
          <w:szCs w:val="21"/>
          <w:highlight w:val="none"/>
        </w:rPr>
      </w:pPr>
      <w:r>
        <w:rPr>
          <w:rFonts w:hint="eastAsia"/>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608FFA0D">
      <w:pPr>
        <w:pStyle w:val="9"/>
        <w:spacing w:line="360" w:lineRule="auto"/>
        <w:rPr>
          <w:color w:val="auto"/>
          <w:szCs w:val="21"/>
          <w:highlight w:val="none"/>
        </w:rPr>
      </w:pPr>
      <w:r>
        <w:rPr>
          <w:rFonts w:hint="eastAsia"/>
          <w:color w:val="auto"/>
          <w:szCs w:val="21"/>
          <w:highlight w:val="none"/>
        </w:rPr>
        <w:t>（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4F7A961">
      <w:pPr>
        <w:pStyle w:val="9"/>
        <w:spacing w:line="360" w:lineRule="auto"/>
        <w:rPr>
          <w:color w:val="auto"/>
          <w:szCs w:val="21"/>
          <w:highlight w:val="none"/>
        </w:rPr>
      </w:pPr>
      <w:r>
        <w:rPr>
          <w:rFonts w:hint="eastAsia"/>
          <w:color w:val="auto"/>
          <w:szCs w:val="21"/>
          <w:highlight w:val="none"/>
        </w:rPr>
        <w:t>（6）开标结束。</w:t>
      </w:r>
    </w:p>
    <w:p w14:paraId="4DD9474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特别说明：如遇广西政府采购云平台电子化开标或评审程序调整的，按调整后程序执行。</w:t>
      </w:r>
    </w:p>
    <w:p w14:paraId="4273CF8A">
      <w:pPr>
        <w:pStyle w:val="5"/>
        <w:rPr>
          <w:color w:val="auto"/>
          <w:highlight w:val="none"/>
        </w:rPr>
      </w:pPr>
      <w:r>
        <w:rPr>
          <w:rFonts w:hint="eastAsia"/>
          <w:color w:val="auto"/>
          <w:highlight w:val="none"/>
        </w:rPr>
        <w:t>五、资格审查</w:t>
      </w:r>
    </w:p>
    <w:p w14:paraId="650980B9">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25.资格审查</w:t>
      </w:r>
    </w:p>
    <w:p w14:paraId="7465DC73">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25.1开标结束后，采购人或者采购代理机构依法对投标人的资格进行审查。</w:t>
      </w:r>
    </w:p>
    <w:p w14:paraId="63956481">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25.2资格审查标准为本招标文件中载明对投标人资格要求的条件。本项目资格审查采用合格制，凡符合招标文件规定的投标人资格要求的投标人均通过资格审查。</w:t>
      </w:r>
    </w:p>
    <w:p w14:paraId="57D18DDB">
      <w:pPr>
        <w:pStyle w:val="6"/>
        <w:keepNext w:val="0"/>
        <w:keepLines w:val="0"/>
        <w:spacing w:before="0" w:after="0" w:line="360" w:lineRule="auto"/>
        <w:ind w:firstLine="422" w:firstLineChars="200"/>
        <w:rPr>
          <w:rFonts w:ascii="宋体" w:hAnsi="宋体" w:cs="宋体"/>
          <w:color w:val="auto"/>
          <w:sz w:val="21"/>
          <w:szCs w:val="21"/>
          <w:highlight w:val="none"/>
        </w:rPr>
      </w:pPr>
      <w:bookmarkStart w:id="123" w:name="_25.3_投标人有下列情形之一的，资格审查不通过而导致其投标无效："/>
      <w:bookmarkEnd w:id="123"/>
      <w:r>
        <w:rPr>
          <w:rFonts w:hint="eastAsia" w:ascii="宋体" w:hAnsi="宋体" w:cs="宋体"/>
          <w:color w:val="auto"/>
          <w:sz w:val="21"/>
          <w:szCs w:val="21"/>
          <w:highlight w:val="none"/>
        </w:rPr>
        <w:t>25.3投标人有下列情形之一的，资格审查不通过，作无效投标处理：</w:t>
      </w:r>
    </w:p>
    <w:p w14:paraId="49926395">
      <w:pPr>
        <w:pStyle w:val="26"/>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（1）未按招标文件规定的方式获取本招标文件的投标人；</w:t>
      </w:r>
    </w:p>
    <w:p w14:paraId="41E0EDF3">
      <w:pPr>
        <w:pStyle w:val="26"/>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（2）不具备招标文件中规定的资格要求的；（注：其中信用查询规则见“投标人须知前附表”）</w:t>
      </w:r>
    </w:p>
    <w:p w14:paraId="5A0A8E84">
      <w:pPr>
        <w:pStyle w:val="26"/>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（3）投标文件未提供任一项“投标人须知前附表”资格证明文件规定的“必须提供”的文件资料的；</w:t>
      </w:r>
    </w:p>
    <w:p w14:paraId="5005DC95">
      <w:pPr>
        <w:pStyle w:val="26"/>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（4）投标文件提供的资格证明文件出现任一项不符合“投标人须知前附表”资格证明文件规定的“必须提供”的文件资料要求或者无效的。</w:t>
      </w:r>
    </w:p>
    <w:p w14:paraId="49434963">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25.4资格审查的合格投标人不足3家的，不得评标。</w:t>
      </w:r>
    </w:p>
    <w:p w14:paraId="26F64B1E">
      <w:pPr>
        <w:pStyle w:val="5"/>
        <w:rPr>
          <w:color w:val="auto"/>
          <w:highlight w:val="none"/>
        </w:rPr>
      </w:pPr>
      <w:r>
        <w:rPr>
          <w:rFonts w:hint="eastAsia"/>
          <w:color w:val="auto"/>
          <w:highlight w:val="none"/>
        </w:rPr>
        <w:t>六、评标</w:t>
      </w:r>
    </w:p>
    <w:p w14:paraId="4C487AE4">
      <w:pPr>
        <w:pStyle w:val="6"/>
        <w:keepNext w:val="0"/>
        <w:keepLines w:val="0"/>
        <w:spacing w:before="0" w:after="0" w:line="360" w:lineRule="auto"/>
        <w:ind w:left="420" w:leftChars="200"/>
        <w:rPr>
          <w:rFonts w:ascii="宋体" w:hAnsi="宋体" w:cs="宋体"/>
          <w:bCs/>
          <w:color w:val="auto"/>
          <w:sz w:val="21"/>
          <w:szCs w:val="21"/>
          <w:highlight w:val="none"/>
        </w:rPr>
      </w:pPr>
      <w:bookmarkStart w:id="124" w:name="_26.组建评标委员会"/>
      <w:bookmarkEnd w:id="124"/>
      <w:r>
        <w:rPr>
          <w:rFonts w:hint="eastAsia" w:ascii="宋体" w:hAnsi="宋体" w:cs="宋体"/>
          <w:bCs/>
          <w:color w:val="auto"/>
          <w:sz w:val="21"/>
          <w:szCs w:val="21"/>
          <w:highlight w:val="none"/>
        </w:rPr>
        <w:t>26.组建评标委员会</w:t>
      </w:r>
    </w:p>
    <w:p w14:paraId="1058FE8C">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评标委员会由采购人代表和评审专家组成，具体人数详见“投标人须知前附表”，其中评审专家不得少于成员总数的三分之二。</w:t>
      </w:r>
    </w:p>
    <w:p w14:paraId="5DE1685D">
      <w:pPr>
        <w:pStyle w:val="26"/>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参加过采购项目前期咨询论证的专家，不得参加该采购项目的评审活动。</w:t>
      </w:r>
    </w:p>
    <w:p w14:paraId="6984A846">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27.评标的依据</w:t>
      </w:r>
    </w:p>
    <w:p w14:paraId="30999A8C">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评标委员会以招标文件为依据对投标文件进行评审，“第四章评标方法和评标标准”没有规定的方法、评审因素和标准，不作为评标依据。</w:t>
      </w:r>
    </w:p>
    <w:p w14:paraId="1D5E5B50">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28.评标原则</w:t>
      </w:r>
    </w:p>
    <w:p w14:paraId="6F72C9ED">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4960EBC">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28.2评委表决。评标委员会成员对需要共同认定的事项存在争议的，应当按照少数服从多数的原则作出结论。</w:t>
      </w:r>
      <w:bookmarkStart w:id="125" w:name="_28.3评标方法。本项目将按须知前附表规定的评标办法进行评标，具体评标"/>
      <w:bookmarkEnd w:id="125"/>
    </w:p>
    <w:p w14:paraId="61E56264">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96C195E">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28.4评标过程的监控。本项目评标过程实行全程录音、录像监控，投标人在评标过程中所进行的试图影响评标结果的不公正活动，可能导致其投标按无效处理。</w:t>
      </w:r>
    </w:p>
    <w:p w14:paraId="06F87338">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29.评标方法及评标标准</w:t>
      </w:r>
    </w:p>
    <w:p w14:paraId="536B8174">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5B6179A8">
      <w:pPr>
        <w:pStyle w:val="26"/>
        <w:snapToGrid w:val="0"/>
        <w:spacing w:line="360" w:lineRule="auto"/>
        <w:ind w:firstLine="420" w:firstLineChars="200"/>
        <w:rPr>
          <w:color w:val="auto"/>
          <w:highlight w:val="none"/>
        </w:rPr>
      </w:pPr>
      <w:r>
        <w:rPr>
          <w:rFonts w:hint="eastAsia" w:hAnsi="宋体" w:cs="宋体"/>
          <w:color w:val="auto"/>
          <w:sz w:val="21"/>
          <w:highlight w:val="none"/>
        </w:rPr>
        <w:t>29.2评标委员会按照“第四章评标方法和评标标准”规定的方法、评审因素、标准和程序对投标文件进行评审。</w:t>
      </w:r>
    </w:p>
    <w:p w14:paraId="1BA65216">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29.3中标候选人推荐数量为3家。</w:t>
      </w:r>
    </w:p>
    <w:p w14:paraId="0D9562EB">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31051523">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（1）电子交易平台发生故障而无法登录访问的；</w:t>
      </w:r>
    </w:p>
    <w:p w14:paraId="76A2B589">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（2）电子交易平台应用或数据库出现错误，不能进行正常操作的；</w:t>
      </w:r>
    </w:p>
    <w:p w14:paraId="1A99608C">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（3）电子交易平台发现严重安全漏洞，有潜在泄密危险的；</w:t>
      </w:r>
    </w:p>
    <w:p w14:paraId="1D4610C3">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（4）病毒发作导致不能进行正常操作的；</w:t>
      </w:r>
    </w:p>
    <w:p w14:paraId="31200555">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（5）其他无法保证电子交易的公平、公正和安全的情况。</w:t>
      </w:r>
    </w:p>
    <w:p w14:paraId="15E1701B">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29.5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14:paraId="7D3B0A2A">
      <w:pPr>
        <w:pStyle w:val="26"/>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29.6属于下列情形之一的，应予废标：</w:t>
      </w:r>
    </w:p>
    <w:p w14:paraId="323B1FD6">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（1）符合专业条件的供应商或者对招标文件作实质响应的投标人不足三家的；</w:t>
      </w:r>
    </w:p>
    <w:p w14:paraId="2F7A989B">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（2）出现影响采购公正的违法、违规行为的；</w:t>
      </w:r>
    </w:p>
    <w:p w14:paraId="7CDABB79">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（3）投标人的报价均超过了采购预算，采购人不能支付的；</w:t>
      </w:r>
    </w:p>
    <w:p w14:paraId="49CC39C6">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（4）因重大变故，采购任务取消的</w:t>
      </w:r>
      <w:r>
        <w:rPr>
          <w:rFonts w:hint="eastAsia"/>
          <w:color w:val="auto"/>
          <w:highlight w:val="none"/>
        </w:rPr>
        <w:t>。</w:t>
      </w:r>
    </w:p>
    <w:p w14:paraId="3309DDEE">
      <w:pPr>
        <w:pStyle w:val="5"/>
        <w:rPr>
          <w:color w:val="auto"/>
          <w:highlight w:val="none"/>
        </w:rPr>
      </w:pPr>
      <w:bookmarkStart w:id="126" w:name="_Toc254970546"/>
      <w:bookmarkStart w:id="127" w:name="_Toc254970687"/>
      <w:r>
        <w:rPr>
          <w:rFonts w:hint="eastAsia"/>
          <w:color w:val="auto"/>
          <w:highlight w:val="none"/>
        </w:rPr>
        <w:t>七、</w:t>
      </w:r>
      <w:bookmarkEnd w:id="126"/>
      <w:bookmarkEnd w:id="127"/>
      <w:r>
        <w:rPr>
          <w:rFonts w:hint="eastAsia"/>
          <w:color w:val="auto"/>
          <w:highlight w:val="none"/>
        </w:rPr>
        <w:t>中标和合同</w:t>
      </w:r>
    </w:p>
    <w:p w14:paraId="26B64790">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30确定中标人</w:t>
      </w:r>
    </w:p>
    <w:p w14:paraId="2F407BEE">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B3E7F8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30433C0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采购人、采购代理机构认为投标人对采购过程、中标结果提出的质疑成立且影响或者可能影响中标结果的，合格投标人符合法定数量时，可以从合格的中标候选人中另行确定中标人的，应当依法另行确定中标人；否则应当重新开展采购活动。</w:t>
      </w:r>
    </w:p>
    <w:p w14:paraId="187BBE3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中标人拒绝签订政府采购合同（包括但不限于放弃中标、因不可抗力不能履行合同而放弃签订合同），采购人可以按照评审报告推荐的中标候选人名单排序，确定下一候选人为中标供应商，也可以重新开展政府采购活动。</w:t>
      </w:r>
    </w:p>
    <w:p w14:paraId="08EC9AD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中标人放弃中标项目，拒绝与采购人签订合同的，其投标保证金不予退还，并上缴国库。给采购人造成损失，或（并）因此延误采购人项目计划的，须依法承担赔偿损失等法律责任，采购人有权将中标人的失信行为报财政部门记入诚信档案，以示惩戒。</w:t>
      </w:r>
    </w:p>
    <w:p w14:paraId="4F6BA06F">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31.结果公告</w:t>
      </w:r>
    </w:p>
    <w:p w14:paraId="2EF5B135">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中标人确定后，于中标人确定之日起2个工作日内，中标结果将在招标公告发布媒体上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w:t>
      </w:r>
    </w:p>
    <w:p w14:paraId="2433BAF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排名第二的中标候选人因前款规定的同样原因被取消中标资格的，采购人可以确定排名第三的中标候选人为中标人，以此类推；否则应当重新开展采购活动。</w:t>
      </w:r>
    </w:p>
    <w:p w14:paraId="5B46C09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0FCE08C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中小企业在政府采购活动过程中，请根据企业的真实情况出具《中小企业声明函》。依法享受中小企业优惠政策的，采购人或者采购代理机构在公告中标结果时，同时公告其《中小企业声明函》，接受社会监督。</w:t>
      </w:r>
    </w:p>
    <w:p w14:paraId="00289A50">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32.发出中标通知书</w:t>
      </w:r>
    </w:p>
    <w:p w14:paraId="206C737E">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在发布中标公告的同时，采购代理机构向中标人发出中标通知书。对未通过资格审查及符合性审查的投标人，应当告知其未通过的原因；采用综合评分办法评审的，还应当告知未中标人本人的评审得分与排序。</w:t>
      </w:r>
    </w:p>
    <w:p w14:paraId="03D97D99">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33.无义务解释未中标原因</w:t>
      </w:r>
    </w:p>
    <w:p w14:paraId="2C9674EA">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采购代理机构无义务向未中标的投标人解释未中标原因和退还投标文件。</w:t>
      </w:r>
    </w:p>
    <w:p w14:paraId="31B5975E">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34.合同授予标准</w:t>
      </w:r>
    </w:p>
    <w:p w14:paraId="3C09D59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14:paraId="23A87AD8">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35.履约保证金</w:t>
      </w:r>
    </w:p>
    <w:p w14:paraId="1A72E338">
      <w:pPr>
        <w:pStyle w:val="6"/>
        <w:keepNext w:val="0"/>
        <w:keepLines w:val="0"/>
        <w:spacing w:before="0" w:after="0" w:line="360" w:lineRule="auto"/>
        <w:ind w:firstLine="315" w:firstLineChars="150"/>
        <w:rPr>
          <w:rFonts w:ascii="宋体" w:hAnsi="宋体" w:cs="宋体"/>
          <w:b w:val="0"/>
          <w:color w:val="auto"/>
          <w:sz w:val="21"/>
          <w:szCs w:val="21"/>
          <w:highlight w:val="none"/>
        </w:rPr>
      </w:pPr>
      <w:bookmarkStart w:id="128" w:name="_39.1中标人须于签订合同前按本须知前附表规定的金额转账或电汇到指定账"/>
      <w:bookmarkEnd w:id="128"/>
      <w:r>
        <w:rPr>
          <w:rFonts w:hint="eastAsia" w:ascii="宋体" w:hAnsi="宋体" w:cs="宋体"/>
          <w:b w:val="0"/>
          <w:color w:val="auto"/>
          <w:sz w:val="21"/>
          <w:szCs w:val="21"/>
          <w:highlight w:val="none"/>
        </w:rPr>
        <w:t>35.1履约保证金的金额、提交方式、退付的时间和条件详见“投标人须知前附表”。中标人未按规定提交履约保证金的，视为拒绝与采购人签订合同，采购人可以按照评标报告推荐的中标候选人名单排序，确定下一候选人为中标人，也可以重新开展政府采购活动。</w:t>
      </w:r>
    </w:p>
    <w:p w14:paraId="0C54B251">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35.2签订合同后，如中标人不按双方签订的合同规定履约，则没收其全部履约保证金，履约保证金不足以赔偿损失的，按实际损失赔偿。</w:t>
      </w:r>
    </w:p>
    <w:p w14:paraId="00897BF6">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35.3在履约保证金退还日期前，若中标人的开户名称、开户银行、帐号有变动的，请以书面形式通知履约保证金收取单位，否则由此产生的后果由中标人自行承担。</w:t>
      </w:r>
    </w:p>
    <w:p w14:paraId="12C90797">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36.签订合同</w:t>
      </w:r>
    </w:p>
    <w:p w14:paraId="4D087235">
      <w:pPr>
        <w:pStyle w:val="6"/>
        <w:keepNext w:val="0"/>
        <w:keepLines w:val="0"/>
        <w:spacing w:before="0" w:after="0" w:line="360" w:lineRule="auto"/>
        <w:ind w:firstLine="420" w:firstLineChars="200"/>
        <w:rPr>
          <w:rFonts w:ascii="宋体" w:hAnsi="宋体" w:cs="宋体"/>
          <w:b w:val="0"/>
          <w:color w:val="auto"/>
          <w:sz w:val="21"/>
          <w:szCs w:val="21"/>
          <w:highlight w:val="none"/>
        </w:rPr>
      </w:pPr>
      <w:bookmarkStart w:id="129" w:name="_40.1投标人接到中标通知书后，按须知前附表规定向采购人出示相关资格证"/>
      <w:bookmarkEnd w:id="129"/>
      <w:r>
        <w:rPr>
          <w:rFonts w:hint="eastAsia" w:ascii="宋体" w:hAnsi="宋体" w:cs="宋体"/>
          <w:b w:val="0"/>
          <w:color w:val="auto"/>
          <w:sz w:val="21"/>
          <w:szCs w:val="21"/>
          <w:highlight w:val="none"/>
        </w:rPr>
        <w:t>36.1投标人领取中标通知书后，按“投标人须知前附表”规定向采购人出示相关证明材料，经采购人核验合格后方可签订合同。</w:t>
      </w:r>
    </w:p>
    <w:p w14:paraId="152C91F3">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4611DFC6">
      <w:pPr>
        <w:pStyle w:val="6"/>
        <w:keepNext w:val="0"/>
        <w:keepLines w:val="0"/>
        <w:spacing w:before="0" w:after="0" w:line="360" w:lineRule="auto"/>
        <w:ind w:firstLine="420" w:firstLineChars="200"/>
        <w:rPr>
          <w:color w:val="auto"/>
          <w:highlight w:val="none"/>
        </w:rPr>
      </w:pPr>
      <w:r>
        <w:rPr>
          <w:rFonts w:hint="eastAsia" w:ascii="宋体" w:hAnsi="宋体" w:cs="宋体"/>
          <w:b w:val="0"/>
          <w:color w:val="auto"/>
          <w:sz w:val="21"/>
          <w:szCs w:val="21"/>
          <w:highlight w:val="none"/>
        </w:rPr>
        <w:t>36.3中标人拒绝与采购人签订合同的，采购人可以按照评审报告推荐的中标候选人名单排序，确定下一候选人为中标人，也可以重新开展政府采购活动。</w:t>
      </w:r>
    </w:p>
    <w:p w14:paraId="0191F895">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FD826FB">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13A9E0DB">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36.6如签订合同并生效后，中标人无故拒绝或延期，除按照合同条款处理外，将承担相应的法律责任。</w:t>
      </w:r>
    </w:p>
    <w:p w14:paraId="0D00592F">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36.7政府采购合同履行中，采购人需追加与合同标的相同的货物、工程或者服务的，在不改变合同其他条款的前提下，可以与中标人签订补充合同，但所有补充合同的采购金额不得超过原合同采购金额的10%。</w:t>
      </w:r>
    </w:p>
    <w:p w14:paraId="1F1FE7DE">
      <w:pPr>
        <w:pStyle w:val="6"/>
        <w:keepNext w:val="0"/>
        <w:keepLines w:val="0"/>
        <w:spacing w:before="0" w:after="0" w:line="360" w:lineRule="auto"/>
        <w:ind w:left="420" w:leftChars="200"/>
        <w:rPr>
          <w:rFonts w:ascii="宋体" w:hAnsi="宋体" w:cs="宋体"/>
          <w:bCs/>
          <w:color w:val="auto"/>
          <w:sz w:val="21"/>
          <w:szCs w:val="21"/>
          <w:highlight w:val="none"/>
        </w:rPr>
      </w:pPr>
      <w:bookmarkStart w:id="130" w:name="_41.政府采购合同公告"/>
      <w:bookmarkEnd w:id="130"/>
      <w:r>
        <w:rPr>
          <w:rFonts w:hint="eastAsia" w:ascii="宋体" w:hAnsi="宋体" w:cs="宋体"/>
          <w:bCs/>
          <w:color w:val="auto"/>
          <w:sz w:val="21"/>
          <w:szCs w:val="21"/>
          <w:highlight w:val="none"/>
        </w:rPr>
        <w:t>37.政府采购合同公告</w:t>
      </w:r>
    </w:p>
    <w:p w14:paraId="38E716EB">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500B875C">
      <w:pPr>
        <w:pStyle w:val="6"/>
        <w:keepNext w:val="0"/>
        <w:keepLines w:val="0"/>
        <w:spacing w:before="0" w:after="0" w:line="360" w:lineRule="auto"/>
        <w:ind w:left="420" w:leftChars="200"/>
        <w:rPr>
          <w:rFonts w:ascii="宋体" w:hAnsi="宋体" w:cs="宋体"/>
          <w:bCs/>
          <w:color w:val="auto"/>
          <w:sz w:val="21"/>
          <w:szCs w:val="21"/>
          <w:highlight w:val="none"/>
        </w:rPr>
      </w:pPr>
      <w:r>
        <w:rPr>
          <w:rFonts w:hint="eastAsia" w:ascii="宋体" w:hAnsi="宋体" w:cs="宋体"/>
          <w:bCs/>
          <w:color w:val="auto"/>
          <w:sz w:val="21"/>
          <w:szCs w:val="21"/>
          <w:highlight w:val="none"/>
        </w:rPr>
        <w:t>38.询问、质疑和投诉</w:t>
      </w:r>
    </w:p>
    <w:p w14:paraId="6FAC7758">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38.1投标人对政府采购活动事项有疑问的，可以向采购人提出询问，采购人应当及时作出答复，但答复的内容不得涉及商业秘密。</w:t>
      </w:r>
    </w:p>
    <w:p w14:paraId="6CB7881B">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38.2投标人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3264B05A">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w:t>
      </w:r>
    </w:p>
    <w:p w14:paraId="56F55620">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300FE1BD">
      <w:pPr>
        <w:pStyle w:val="26"/>
        <w:snapToGrid w:val="0"/>
        <w:spacing w:line="360" w:lineRule="auto"/>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11533ECA">
      <w:pPr>
        <w:pStyle w:val="26"/>
        <w:snapToGrid w:val="0"/>
        <w:spacing w:line="360" w:lineRule="auto"/>
        <w:ind w:firstLine="420" w:firstLineChars="200"/>
        <w:rPr>
          <w:rFonts w:hAnsi="宋体" w:cs="宋体"/>
          <w:bCs/>
          <w:color w:val="auto"/>
          <w:sz w:val="21"/>
          <w:highlight w:val="none"/>
        </w:rPr>
      </w:pPr>
      <w:r>
        <w:rPr>
          <w:rFonts w:hint="eastAsia" w:hAnsi="宋体" w:cs="宋体"/>
          <w:color w:val="auto"/>
          <w:sz w:val="21"/>
          <w:highlight w:val="none"/>
        </w:rPr>
        <w:t>投标人对采购人、采购代理机构的质疑答复不满意，或者采购人、采购代理机构未在规定时间内作出答复的，可以在答复期满后十五个工作日内向同级政府采购监管部门投诉。</w:t>
      </w:r>
    </w:p>
    <w:p w14:paraId="27DD7806">
      <w:pPr>
        <w:pStyle w:val="6"/>
        <w:keepNext w:val="0"/>
        <w:keepLines w:val="0"/>
        <w:spacing w:before="0" w:after="0" w:line="360" w:lineRule="auto"/>
        <w:ind w:firstLine="315" w:firstLineChars="150"/>
        <w:rPr>
          <w:color w:val="auto"/>
          <w:highlight w:val="none"/>
        </w:rPr>
      </w:pPr>
      <w:bookmarkStart w:id="131" w:name="_9.2质疑、投诉应当采用书面形式，质疑函、投诉书均应明确阐述招标文件、"/>
      <w:bookmarkEnd w:id="131"/>
      <w:r>
        <w:rPr>
          <w:rFonts w:hint="eastAsia" w:ascii="宋体" w:hAnsi="宋体" w:cs="宋体"/>
          <w:b w:val="0"/>
          <w:color w:val="auto"/>
          <w:sz w:val="21"/>
          <w:szCs w:val="21"/>
          <w:highlight w:val="none"/>
        </w:rPr>
        <w:t>38.3</w:t>
      </w:r>
      <w:r>
        <w:rPr>
          <w:rFonts w:hint="eastAsia" w:ascii="宋体" w:hAnsi="宋体" w:cs="宋体"/>
          <w:bCs/>
          <w:color w:val="auto"/>
          <w:sz w:val="21"/>
          <w:highlight w:val="none"/>
        </w:rPr>
        <w:t>投标人提出质疑应当提交质疑函和必要的证明材料，针对同一采购程序环节的质疑必须在法定质疑期内一次性提出。</w:t>
      </w:r>
    </w:p>
    <w:p w14:paraId="1EFB91E4">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38.3.1质疑供应商提起质疑应当符合下列条件：</w:t>
      </w:r>
    </w:p>
    <w:p w14:paraId="0F34A739">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（1）质疑供应商是参与所质疑项目采购活动的投标人（潜在投标人已依法获取可质疑的采购文件的，可以对该采购文件质疑）；</w:t>
      </w:r>
    </w:p>
    <w:p w14:paraId="47D7F17A">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（2）质疑函内容符合本章第38.3.2项的规定；</w:t>
      </w:r>
    </w:p>
    <w:p w14:paraId="69703DD0">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（3）在质疑有效期限内提起质疑；</w:t>
      </w:r>
    </w:p>
    <w:p w14:paraId="4EE3ABB7">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（4）属于所质疑的采购人或采购人委托的采购代理机构组织的采购活动； </w:t>
      </w:r>
    </w:p>
    <w:p w14:paraId="2CE47D9E">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（5）供应商对同一采购程序环节的质疑应当在质疑有效期内一次性提出；</w:t>
      </w:r>
    </w:p>
    <w:p w14:paraId="66FBB527">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（6）投标人提交质疑应当提交必要的证明材料，证明材料应以合法手段取得；</w:t>
      </w:r>
    </w:p>
    <w:p w14:paraId="0B9F9C17">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（7）财政部门规定的其他条件。</w:t>
      </w:r>
    </w:p>
    <w:p w14:paraId="74531254">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38.3.2质疑函应当包括下列内容（质疑函格式后附）：</w:t>
      </w:r>
    </w:p>
    <w:p w14:paraId="14602D6F">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（1）投标人的姓名或者名称、地址、邮编、联系人及联系电话；</w:t>
      </w:r>
    </w:p>
    <w:p w14:paraId="5D40CA31">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32AC2FFA">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05A8BA26">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57BE6294">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6F33CFE7">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3BE08C42">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投标人为自然人的，应当由本人签字；投标人为法人或者其他组织的，应当由法定代表人、主要负责人，或者其委托代理人签字或者盖章，并加盖公章。</w:t>
      </w:r>
    </w:p>
    <w:p w14:paraId="08E87598">
      <w:pPr>
        <w:pStyle w:val="6"/>
        <w:keepNext w:val="0"/>
        <w:keepLines w:val="0"/>
        <w:snapToGrid w:val="0"/>
        <w:spacing w:before="0" w:after="0" w:line="360" w:lineRule="auto"/>
        <w:ind w:firstLine="422" w:firstLineChars="200"/>
        <w:rPr>
          <w:rFonts w:ascii="宋体" w:hAnsi="宋体" w:cs="宋体"/>
          <w:bCs/>
          <w:color w:val="auto"/>
          <w:sz w:val="21"/>
          <w:szCs w:val="21"/>
          <w:highlight w:val="none"/>
        </w:rPr>
      </w:pPr>
      <w:r>
        <w:rPr>
          <w:rFonts w:hint="eastAsia" w:ascii="宋体" w:hAnsi="宋体" w:cs="宋体"/>
          <w:color w:val="auto"/>
          <w:sz w:val="21"/>
          <w:szCs w:val="21"/>
          <w:highlight w:val="none"/>
        </w:rPr>
        <w:t>3</w:t>
      </w:r>
      <w:r>
        <w:rPr>
          <w:rFonts w:hint="eastAsia" w:ascii="宋体" w:hAnsi="宋体" w:cs="宋体"/>
          <w:bCs/>
          <w:color w:val="auto"/>
          <w:sz w:val="21"/>
          <w:szCs w:val="21"/>
          <w:highlight w:val="none"/>
        </w:rPr>
        <w:t>8.4采购人、采购代理机构认为投标人质疑不成立，或者成立但未对中标结果构成影响的，继续开展采购活动；认为投标人质疑成立且影响或者可能影响中标结果的，按照下列情况处理：</w:t>
      </w:r>
    </w:p>
    <w:p w14:paraId="70D24CD4">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（一）对招标文件提出的质疑，依法通过澄清或者修改可以继续开展采购活动的，澄清或者修改招标文件后继续开展采购活动；否则应当修改招标文件后重新开展采购活动。</w:t>
      </w:r>
    </w:p>
    <w:p w14:paraId="235DEF4C">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（二）对采购过程、中标结果提出的质疑，合格投标人符合法定数量时，可以从合格的中标候选人中另行确定中标人的，应当依法另行确定中标人；否则应当重新开展采购活动。</w:t>
      </w:r>
    </w:p>
    <w:p w14:paraId="53C1B298">
      <w:pPr>
        <w:pStyle w:val="26"/>
        <w:snapToGrid w:val="0"/>
        <w:spacing w:line="360" w:lineRule="auto"/>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5BC8A80E">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38.5</w:t>
      </w:r>
      <w:r>
        <w:rPr>
          <w:rFonts w:hint="eastAsia" w:hAnsi="宋体" w:cs="宋体"/>
          <w:b/>
          <w:color w:val="auto"/>
          <w:sz w:val="21"/>
          <w:highlight w:val="none"/>
        </w:rPr>
        <w:t>投诉的权利。质疑投标人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F9A8223">
      <w:pPr>
        <w:pStyle w:val="5"/>
        <w:rPr>
          <w:color w:val="auto"/>
          <w:highlight w:val="none"/>
        </w:rPr>
      </w:pPr>
      <w:bookmarkStart w:id="132" w:name="_八、其他事项"/>
      <w:bookmarkEnd w:id="132"/>
      <w:bookmarkStart w:id="133" w:name="_Toc330456896"/>
      <w:bookmarkStart w:id="134" w:name="_Toc254970689"/>
      <w:bookmarkStart w:id="135" w:name="_Toc254970548"/>
      <w:bookmarkStart w:id="136" w:name="_Toc31830"/>
      <w:bookmarkStart w:id="137" w:name="_Toc30709"/>
      <w:bookmarkStart w:id="138" w:name="_Toc6156"/>
      <w:bookmarkStart w:id="139" w:name="_Toc19686832"/>
      <w:r>
        <w:rPr>
          <w:rFonts w:hint="eastAsia"/>
          <w:color w:val="auto"/>
          <w:highlight w:val="none"/>
        </w:rPr>
        <w:t>八、其他事项</w:t>
      </w:r>
    </w:p>
    <w:p w14:paraId="70C61E34">
      <w:pPr>
        <w:pStyle w:val="6"/>
        <w:keepNext w:val="0"/>
        <w:keepLines w:val="0"/>
        <w:spacing w:before="0" w:after="0" w:line="360" w:lineRule="auto"/>
        <w:ind w:left="420" w:leftChars="200"/>
        <w:rPr>
          <w:rFonts w:ascii="宋体" w:hAnsi="宋体" w:cs="宋体"/>
          <w:color w:val="auto"/>
          <w:sz w:val="21"/>
          <w:szCs w:val="21"/>
          <w:highlight w:val="none"/>
        </w:rPr>
      </w:pPr>
      <w:bookmarkStart w:id="140" w:name="_42.代理服务费"/>
      <w:bookmarkEnd w:id="140"/>
      <w:r>
        <w:rPr>
          <w:rFonts w:hint="eastAsia" w:ascii="宋体" w:hAnsi="宋体" w:cs="宋体"/>
          <w:color w:val="auto"/>
          <w:sz w:val="21"/>
          <w:szCs w:val="21"/>
          <w:highlight w:val="none"/>
        </w:rPr>
        <w:t>39.代理服务费</w:t>
      </w:r>
    </w:p>
    <w:p w14:paraId="0B98D856">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39.1代理服务收费标准及缴费账户详见“投标人须知前附表”，投标人为联合体的，可以由联合体中的一方或者多方共同交纳代理服务费。</w:t>
      </w:r>
    </w:p>
    <w:p w14:paraId="3A4B4097">
      <w:pPr>
        <w:pStyle w:val="26"/>
        <w:snapToGrid w:val="0"/>
        <w:spacing w:line="360" w:lineRule="auto"/>
        <w:ind w:firstLine="420" w:firstLineChars="200"/>
        <w:rPr>
          <w:rStyle w:val="97"/>
          <w:rFonts w:ascii="宋体" w:hAnsi="宋体"/>
          <w:color w:val="auto"/>
          <w:kern w:val="0"/>
          <w:szCs w:val="21"/>
          <w:highlight w:val="none"/>
        </w:rPr>
      </w:pPr>
      <w:r>
        <w:rPr>
          <w:rFonts w:hint="eastAsia" w:hAnsi="宋体" w:cs="宋体"/>
          <w:bCs/>
          <w:color w:val="auto"/>
          <w:sz w:val="21"/>
          <w:highlight w:val="none"/>
        </w:rPr>
        <w:t>39.2代理服务收费标准：</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C70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7C9E30F2">
            <w:pPr>
              <w:spacing w:line="360" w:lineRule="auto"/>
              <w:rPr>
                <w:rFonts w:ascii="宋体" w:hAnsi="Courier New"/>
                <w:color w:val="auto"/>
                <w:szCs w:val="21"/>
                <w:highlight w:val="none"/>
              </w:rPr>
            </w:pPr>
            <w:r>
              <w:rPr>
                <w:rFonts w:ascii="宋体" w:hAnsi="Courier New"/>
                <w:color w:val="auto"/>
                <w:szCs w:val="21"/>
                <w:highlight w:val="none"/>
              </w:rPr>
              <w:t xml:space="preserve">               费率</w:t>
            </w:r>
          </w:p>
          <w:p w14:paraId="07B66C58">
            <w:pPr>
              <w:spacing w:line="360" w:lineRule="auto"/>
              <w:rPr>
                <w:rFonts w:ascii="宋体" w:hAnsi="Courier New"/>
                <w:color w:val="auto"/>
                <w:szCs w:val="21"/>
                <w:highlight w:val="none"/>
              </w:rPr>
            </w:pPr>
            <w:r>
              <w:rPr>
                <w:rFonts w:ascii="宋体" w:hAnsi="Courier New"/>
                <w:color w:val="auto"/>
                <w:szCs w:val="21"/>
                <w:highlight w:val="none"/>
              </w:rPr>
              <w:t>金额</w:t>
            </w:r>
          </w:p>
        </w:tc>
        <w:tc>
          <w:tcPr>
            <w:tcW w:w="1659" w:type="dxa"/>
            <w:vAlign w:val="center"/>
          </w:tcPr>
          <w:p w14:paraId="6B9474CF">
            <w:pPr>
              <w:spacing w:line="360" w:lineRule="auto"/>
              <w:jc w:val="center"/>
              <w:rPr>
                <w:rFonts w:ascii="宋体" w:hAnsi="Courier New"/>
                <w:color w:val="auto"/>
                <w:szCs w:val="21"/>
                <w:highlight w:val="none"/>
              </w:rPr>
            </w:pPr>
            <w:r>
              <w:rPr>
                <w:rFonts w:ascii="宋体" w:hAnsi="Courier New"/>
                <w:color w:val="auto"/>
                <w:szCs w:val="21"/>
                <w:highlight w:val="none"/>
              </w:rPr>
              <w:t>货物类</w:t>
            </w:r>
          </w:p>
        </w:tc>
        <w:tc>
          <w:tcPr>
            <w:tcW w:w="1532" w:type="dxa"/>
            <w:vAlign w:val="center"/>
          </w:tcPr>
          <w:p w14:paraId="17641898">
            <w:pPr>
              <w:spacing w:line="360" w:lineRule="auto"/>
              <w:jc w:val="center"/>
              <w:rPr>
                <w:rFonts w:ascii="宋体" w:hAnsi="Courier New"/>
                <w:color w:val="auto"/>
                <w:szCs w:val="21"/>
                <w:highlight w:val="none"/>
              </w:rPr>
            </w:pPr>
            <w:r>
              <w:rPr>
                <w:rFonts w:ascii="宋体" w:hAnsi="Courier New"/>
                <w:color w:val="auto"/>
                <w:szCs w:val="21"/>
                <w:highlight w:val="none"/>
              </w:rPr>
              <w:t>服务类</w:t>
            </w:r>
          </w:p>
        </w:tc>
        <w:tc>
          <w:tcPr>
            <w:tcW w:w="1546" w:type="dxa"/>
            <w:vAlign w:val="center"/>
          </w:tcPr>
          <w:p w14:paraId="66506C7C">
            <w:pPr>
              <w:spacing w:line="360" w:lineRule="auto"/>
              <w:jc w:val="center"/>
              <w:rPr>
                <w:rFonts w:ascii="宋体" w:hAnsi="Courier New"/>
                <w:color w:val="auto"/>
                <w:szCs w:val="21"/>
                <w:highlight w:val="none"/>
              </w:rPr>
            </w:pPr>
            <w:r>
              <w:rPr>
                <w:rFonts w:ascii="宋体" w:hAnsi="Courier New"/>
                <w:color w:val="auto"/>
                <w:szCs w:val="21"/>
                <w:highlight w:val="none"/>
              </w:rPr>
              <w:t>工程类</w:t>
            </w:r>
          </w:p>
        </w:tc>
      </w:tr>
      <w:tr w14:paraId="56E6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52D3841">
            <w:pPr>
              <w:spacing w:line="360" w:lineRule="auto"/>
              <w:rPr>
                <w:rFonts w:ascii="宋体" w:hAnsi="Courier New"/>
                <w:color w:val="auto"/>
                <w:szCs w:val="21"/>
                <w:highlight w:val="none"/>
              </w:rPr>
            </w:pPr>
            <w:r>
              <w:rPr>
                <w:rFonts w:ascii="宋体" w:hAnsi="Courier New"/>
                <w:color w:val="auto"/>
                <w:szCs w:val="21"/>
                <w:highlight w:val="none"/>
              </w:rPr>
              <w:t>100万元以下</w:t>
            </w:r>
          </w:p>
        </w:tc>
        <w:tc>
          <w:tcPr>
            <w:tcW w:w="1659" w:type="dxa"/>
            <w:vAlign w:val="center"/>
          </w:tcPr>
          <w:p w14:paraId="303E0D10">
            <w:pPr>
              <w:spacing w:line="360" w:lineRule="auto"/>
              <w:jc w:val="center"/>
              <w:rPr>
                <w:rFonts w:ascii="宋体" w:hAnsi="Courier New"/>
                <w:color w:val="auto"/>
                <w:szCs w:val="21"/>
                <w:highlight w:val="none"/>
              </w:rPr>
            </w:pPr>
            <w:r>
              <w:rPr>
                <w:rFonts w:ascii="宋体" w:hAnsi="Courier New"/>
                <w:color w:val="auto"/>
                <w:szCs w:val="21"/>
                <w:highlight w:val="none"/>
              </w:rPr>
              <w:t>1.5%</w:t>
            </w:r>
          </w:p>
        </w:tc>
        <w:tc>
          <w:tcPr>
            <w:tcW w:w="1532" w:type="dxa"/>
            <w:vAlign w:val="center"/>
          </w:tcPr>
          <w:p w14:paraId="70AD0209">
            <w:pPr>
              <w:spacing w:line="360" w:lineRule="auto"/>
              <w:jc w:val="center"/>
              <w:rPr>
                <w:rFonts w:ascii="宋体" w:hAnsi="Courier New"/>
                <w:color w:val="auto"/>
                <w:szCs w:val="21"/>
                <w:highlight w:val="none"/>
              </w:rPr>
            </w:pPr>
            <w:r>
              <w:rPr>
                <w:rFonts w:ascii="宋体" w:hAnsi="Courier New"/>
                <w:color w:val="auto"/>
                <w:szCs w:val="21"/>
                <w:highlight w:val="none"/>
              </w:rPr>
              <w:t>1.5%</w:t>
            </w:r>
          </w:p>
        </w:tc>
        <w:tc>
          <w:tcPr>
            <w:tcW w:w="1546" w:type="dxa"/>
            <w:vAlign w:val="center"/>
          </w:tcPr>
          <w:p w14:paraId="5B5FA698">
            <w:pPr>
              <w:spacing w:line="360" w:lineRule="auto"/>
              <w:jc w:val="center"/>
              <w:rPr>
                <w:rFonts w:ascii="宋体" w:hAnsi="Courier New"/>
                <w:color w:val="auto"/>
                <w:szCs w:val="21"/>
                <w:highlight w:val="none"/>
              </w:rPr>
            </w:pPr>
            <w:r>
              <w:rPr>
                <w:rFonts w:ascii="宋体" w:hAnsi="Courier New"/>
                <w:color w:val="auto"/>
                <w:szCs w:val="21"/>
                <w:highlight w:val="none"/>
              </w:rPr>
              <w:t>1.0%</w:t>
            </w:r>
          </w:p>
        </w:tc>
      </w:tr>
      <w:tr w14:paraId="74DC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3C1DCC6">
            <w:pPr>
              <w:spacing w:line="360" w:lineRule="auto"/>
              <w:rPr>
                <w:rFonts w:ascii="宋体" w:hAnsi="Courier New"/>
                <w:color w:val="auto"/>
                <w:szCs w:val="21"/>
                <w:highlight w:val="none"/>
              </w:rPr>
            </w:pPr>
            <w:r>
              <w:rPr>
                <w:rFonts w:ascii="宋体" w:hAnsi="Courier New"/>
                <w:color w:val="auto"/>
                <w:szCs w:val="21"/>
                <w:highlight w:val="none"/>
              </w:rPr>
              <w:t>100～500万元</w:t>
            </w:r>
          </w:p>
        </w:tc>
        <w:tc>
          <w:tcPr>
            <w:tcW w:w="1659" w:type="dxa"/>
            <w:vAlign w:val="center"/>
          </w:tcPr>
          <w:p w14:paraId="3C1F7BFD">
            <w:pPr>
              <w:spacing w:line="360" w:lineRule="auto"/>
              <w:jc w:val="center"/>
              <w:rPr>
                <w:rFonts w:ascii="宋体" w:hAnsi="Courier New"/>
                <w:color w:val="auto"/>
                <w:szCs w:val="21"/>
                <w:highlight w:val="none"/>
              </w:rPr>
            </w:pPr>
            <w:r>
              <w:rPr>
                <w:rFonts w:ascii="宋体" w:hAnsi="Courier New"/>
                <w:color w:val="auto"/>
                <w:szCs w:val="21"/>
                <w:highlight w:val="none"/>
              </w:rPr>
              <w:t>1.1%</w:t>
            </w:r>
          </w:p>
        </w:tc>
        <w:tc>
          <w:tcPr>
            <w:tcW w:w="1532" w:type="dxa"/>
            <w:vAlign w:val="center"/>
          </w:tcPr>
          <w:p w14:paraId="43128AE2">
            <w:pPr>
              <w:spacing w:line="360" w:lineRule="auto"/>
              <w:jc w:val="center"/>
              <w:rPr>
                <w:rFonts w:ascii="宋体" w:hAnsi="Courier New"/>
                <w:color w:val="auto"/>
                <w:szCs w:val="21"/>
                <w:highlight w:val="none"/>
              </w:rPr>
            </w:pPr>
            <w:r>
              <w:rPr>
                <w:rFonts w:ascii="宋体" w:hAnsi="Courier New"/>
                <w:color w:val="auto"/>
                <w:szCs w:val="21"/>
                <w:highlight w:val="none"/>
              </w:rPr>
              <w:t>0.8%</w:t>
            </w:r>
          </w:p>
        </w:tc>
        <w:tc>
          <w:tcPr>
            <w:tcW w:w="1546" w:type="dxa"/>
            <w:vAlign w:val="center"/>
          </w:tcPr>
          <w:p w14:paraId="19943479">
            <w:pPr>
              <w:spacing w:line="360" w:lineRule="auto"/>
              <w:jc w:val="center"/>
              <w:rPr>
                <w:rFonts w:ascii="宋体" w:hAnsi="Courier New"/>
                <w:color w:val="auto"/>
                <w:szCs w:val="21"/>
                <w:highlight w:val="none"/>
              </w:rPr>
            </w:pPr>
            <w:r>
              <w:rPr>
                <w:rFonts w:ascii="宋体" w:hAnsi="Courier New"/>
                <w:color w:val="auto"/>
                <w:szCs w:val="21"/>
                <w:highlight w:val="none"/>
              </w:rPr>
              <w:t>0.7%</w:t>
            </w:r>
          </w:p>
        </w:tc>
      </w:tr>
      <w:tr w14:paraId="0B35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E3DA784">
            <w:pPr>
              <w:spacing w:line="360" w:lineRule="auto"/>
              <w:rPr>
                <w:rFonts w:ascii="宋体" w:hAnsi="Courier New"/>
                <w:color w:val="auto"/>
                <w:szCs w:val="21"/>
                <w:highlight w:val="none"/>
              </w:rPr>
            </w:pPr>
            <w:r>
              <w:rPr>
                <w:rFonts w:ascii="宋体" w:hAnsi="Courier New"/>
                <w:color w:val="auto"/>
                <w:szCs w:val="21"/>
                <w:highlight w:val="none"/>
              </w:rPr>
              <w:t>500～1000万元</w:t>
            </w:r>
          </w:p>
        </w:tc>
        <w:tc>
          <w:tcPr>
            <w:tcW w:w="1659" w:type="dxa"/>
            <w:vAlign w:val="center"/>
          </w:tcPr>
          <w:p w14:paraId="3B4E1120">
            <w:pPr>
              <w:spacing w:line="360" w:lineRule="auto"/>
              <w:jc w:val="center"/>
              <w:rPr>
                <w:rFonts w:ascii="宋体" w:hAnsi="Courier New"/>
                <w:color w:val="auto"/>
                <w:szCs w:val="21"/>
                <w:highlight w:val="none"/>
              </w:rPr>
            </w:pPr>
            <w:r>
              <w:rPr>
                <w:rFonts w:ascii="宋体" w:hAnsi="Courier New"/>
                <w:color w:val="auto"/>
                <w:szCs w:val="21"/>
                <w:highlight w:val="none"/>
              </w:rPr>
              <w:t>0.8%</w:t>
            </w:r>
          </w:p>
        </w:tc>
        <w:tc>
          <w:tcPr>
            <w:tcW w:w="1532" w:type="dxa"/>
            <w:vAlign w:val="center"/>
          </w:tcPr>
          <w:p w14:paraId="6A019B15">
            <w:pPr>
              <w:spacing w:line="360" w:lineRule="auto"/>
              <w:jc w:val="center"/>
              <w:rPr>
                <w:rFonts w:ascii="宋体" w:hAnsi="Courier New"/>
                <w:color w:val="auto"/>
                <w:szCs w:val="21"/>
                <w:highlight w:val="none"/>
              </w:rPr>
            </w:pPr>
            <w:r>
              <w:rPr>
                <w:rFonts w:ascii="宋体" w:hAnsi="Courier New"/>
                <w:color w:val="auto"/>
                <w:szCs w:val="21"/>
                <w:highlight w:val="none"/>
              </w:rPr>
              <w:t>0.45%</w:t>
            </w:r>
          </w:p>
        </w:tc>
        <w:tc>
          <w:tcPr>
            <w:tcW w:w="1546" w:type="dxa"/>
            <w:vAlign w:val="center"/>
          </w:tcPr>
          <w:p w14:paraId="127DB06F">
            <w:pPr>
              <w:spacing w:line="360" w:lineRule="auto"/>
              <w:jc w:val="center"/>
              <w:rPr>
                <w:rFonts w:ascii="宋体" w:hAnsi="Courier New"/>
                <w:color w:val="auto"/>
                <w:szCs w:val="21"/>
                <w:highlight w:val="none"/>
              </w:rPr>
            </w:pPr>
            <w:r>
              <w:rPr>
                <w:rFonts w:ascii="宋体" w:hAnsi="Courier New"/>
                <w:color w:val="auto"/>
                <w:szCs w:val="21"/>
                <w:highlight w:val="none"/>
              </w:rPr>
              <w:t>0.55%</w:t>
            </w:r>
          </w:p>
        </w:tc>
      </w:tr>
      <w:tr w14:paraId="4AED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FF44636">
            <w:pPr>
              <w:spacing w:line="360" w:lineRule="auto"/>
              <w:rPr>
                <w:rFonts w:ascii="宋体" w:hAnsi="Courier New"/>
                <w:color w:val="auto"/>
                <w:szCs w:val="21"/>
                <w:highlight w:val="none"/>
              </w:rPr>
            </w:pPr>
            <w:r>
              <w:rPr>
                <w:rFonts w:ascii="宋体" w:hAnsi="Courier New"/>
                <w:color w:val="auto"/>
                <w:szCs w:val="21"/>
                <w:highlight w:val="none"/>
              </w:rPr>
              <w:t>1000～5000万元</w:t>
            </w:r>
          </w:p>
        </w:tc>
        <w:tc>
          <w:tcPr>
            <w:tcW w:w="1659" w:type="dxa"/>
            <w:vAlign w:val="center"/>
          </w:tcPr>
          <w:p w14:paraId="5E22C131">
            <w:pPr>
              <w:spacing w:line="360" w:lineRule="auto"/>
              <w:jc w:val="center"/>
              <w:rPr>
                <w:rFonts w:ascii="宋体" w:hAnsi="Courier New"/>
                <w:color w:val="auto"/>
                <w:szCs w:val="21"/>
                <w:highlight w:val="none"/>
              </w:rPr>
            </w:pPr>
            <w:r>
              <w:rPr>
                <w:rFonts w:ascii="宋体" w:hAnsi="Courier New"/>
                <w:color w:val="auto"/>
                <w:szCs w:val="21"/>
                <w:highlight w:val="none"/>
              </w:rPr>
              <w:t>0.5%</w:t>
            </w:r>
          </w:p>
        </w:tc>
        <w:tc>
          <w:tcPr>
            <w:tcW w:w="1532" w:type="dxa"/>
            <w:vAlign w:val="center"/>
          </w:tcPr>
          <w:p w14:paraId="523FD201">
            <w:pPr>
              <w:spacing w:line="360" w:lineRule="auto"/>
              <w:jc w:val="center"/>
              <w:rPr>
                <w:rFonts w:ascii="宋体" w:hAnsi="Courier New"/>
                <w:color w:val="auto"/>
                <w:szCs w:val="21"/>
                <w:highlight w:val="none"/>
              </w:rPr>
            </w:pPr>
            <w:r>
              <w:rPr>
                <w:rFonts w:ascii="宋体" w:hAnsi="Courier New"/>
                <w:color w:val="auto"/>
                <w:szCs w:val="21"/>
                <w:highlight w:val="none"/>
              </w:rPr>
              <w:t>0.25%</w:t>
            </w:r>
          </w:p>
        </w:tc>
        <w:tc>
          <w:tcPr>
            <w:tcW w:w="1546" w:type="dxa"/>
            <w:vAlign w:val="center"/>
          </w:tcPr>
          <w:p w14:paraId="0F601EDC">
            <w:pPr>
              <w:spacing w:line="360" w:lineRule="auto"/>
              <w:jc w:val="center"/>
              <w:rPr>
                <w:rFonts w:ascii="宋体" w:hAnsi="Courier New"/>
                <w:color w:val="auto"/>
                <w:szCs w:val="21"/>
                <w:highlight w:val="none"/>
              </w:rPr>
            </w:pPr>
            <w:r>
              <w:rPr>
                <w:rFonts w:ascii="宋体" w:hAnsi="Courier New"/>
                <w:color w:val="auto"/>
                <w:szCs w:val="21"/>
                <w:highlight w:val="none"/>
              </w:rPr>
              <w:t>0.35%</w:t>
            </w:r>
          </w:p>
        </w:tc>
      </w:tr>
      <w:tr w14:paraId="52ED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7FC85AE">
            <w:pPr>
              <w:spacing w:line="360" w:lineRule="auto"/>
              <w:rPr>
                <w:rFonts w:ascii="宋体" w:hAnsi="Courier New"/>
                <w:color w:val="auto"/>
                <w:szCs w:val="21"/>
                <w:highlight w:val="none"/>
              </w:rPr>
            </w:pPr>
            <w:r>
              <w:rPr>
                <w:rFonts w:ascii="宋体" w:hAnsi="Courier New"/>
                <w:color w:val="auto"/>
                <w:szCs w:val="21"/>
                <w:highlight w:val="none"/>
              </w:rPr>
              <w:t>5000万元～1亿元</w:t>
            </w:r>
          </w:p>
        </w:tc>
        <w:tc>
          <w:tcPr>
            <w:tcW w:w="1659" w:type="dxa"/>
            <w:vAlign w:val="center"/>
          </w:tcPr>
          <w:p w14:paraId="3F2BAEFB">
            <w:pPr>
              <w:spacing w:line="360" w:lineRule="auto"/>
              <w:jc w:val="center"/>
              <w:rPr>
                <w:rFonts w:ascii="宋体" w:hAnsi="Courier New"/>
                <w:color w:val="auto"/>
                <w:szCs w:val="21"/>
                <w:highlight w:val="none"/>
              </w:rPr>
            </w:pPr>
            <w:r>
              <w:rPr>
                <w:rFonts w:ascii="宋体" w:hAnsi="Courier New"/>
                <w:color w:val="auto"/>
                <w:szCs w:val="21"/>
                <w:highlight w:val="none"/>
              </w:rPr>
              <w:t>0.25%</w:t>
            </w:r>
          </w:p>
        </w:tc>
        <w:tc>
          <w:tcPr>
            <w:tcW w:w="1532" w:type="dxa"/>
            <w:vAlign w:val="center"/>
          </w:tcPr>
          <w:p w14:paraId="46EAC217">
            <w:pPr>
              <w:spacing w:line="360" w:lineRule="auto"/>
              <w:jc w:val="center"/>
              <w:rPr>
                <w:rFonts w:ascii="宋体" w:hAnsi="Courier New"/>
                <w:color w:val="auto"/>
                <w:szCs w:val="21"/>
                <w:highlight w:val="none"/>
              </w:rPr>
            </w:pPr>
            <w:r>
              <w:rPr>
                <w:rFonts w:ascii="宋体" w:hAnsi="Courier New"/>
                <w:color w:val="auto"/>
                <w:szCs w:val="21"/>
                <w:highlight w:val="none"/>
              </w:rPr>
              <w:t>0.1%</w:t>
            </w:r>
          </w:p>
        </w:tc>
        <w:tc>
          <w:tcPr>
            <w:tcW w:w="1546" w:type="dxa"/>
            <w:vAlign w:val="center"/>
          </w:tcPr>
          <w:p w14:paraId="25660AAA">
            <w:pPr>
              <w:spacing w:line="360" w:lineRule="auto"/>
              <w:jc w:val="center"/>
              <w:rPr>
                <w:rFonts w:ascii="宋体" w:hAnsi="Courier New"/>
                <w:color w:val="auto"/>
                <w:szCs w:val="21"/>
                <w:highlight w:val="none"/>
              </w:rPr>
            </w:pPr>
            <w:r>
              <w:rPr>
                <w:rFonts w:ascii="宋体" w:hAnsi="Courier New"/>
                <w:color w:val="auto"/>
                <w:szCs w:val="21"/>
                <w:highlight w:val="none"/>
              </w:rPr>
              <w:t>0.2%</w:t>
            </w:r>
          </w:p>
        </w:tc>
      </w:tr>
    </w:tbl>
    <w:p w14:paraId="28C883AE">
      <w:pPr>
        <w:spacing w:line="360" w:lineRule="auto"/>
        <w:ind w:firstLine="420" w:firstLineChars="200"/>
        <w:rPr>
          <w:rFonts w:ascii="宋体" w:hAnsi="Courier New"/>
          <w:color w:val="auto"/>
          <w:szCs w:val="21"/>
          <w:highlight w:val="none"/>
        </w:rPr>
      </w:pPr>
      <w:r>
        <w:rPr>
          <w:rFonts w:ascii="宋体" w:hAnsi="Courier New"/>
          <w:color w:val="auto"/>
          <w:szCs w:val="21"/>
          <w:highlight w:val="none"/>
        </w:rPr>
        <w:t>注：</w:t>
      </w:r>
    </w:p>
    <w:p w14:paraId="4366E31A">
      <w:pPr>
        <w:spacing w:line="360" w:lineRule="auto"/>
        <w:ind w:firstLine="420" w:firstLineChars="200"/>
        <w:rPr>
          <w:rFonts w:ascii="宋体" w:hAnsi="Courier New"/>
          <w:color w:val="auto"/>
          <w:szCs w:val="21"/>
          <w:highlight w:val="none"/>
        </w:rPr>
      </w:pPr>
      <w:r>
        <w:rPr>
          <w:rFonts w:ascii="宋体" w:hAnsi="Courier New"/>
          <w:color w:val="auto"/>
          <w:szCs w:val="21"/>
          <w:highlight w:val="none"/>
        </w:rPr>
        <w:t>（1）按本表费率计算的收费标准为采购代理的收费价格，由采购代理机构向</w:t>
      </w:r>
      <w:r>
        <w:rPr>
          <w:rFonts w:hint="eastAsia" w:ascii="宋体" w:hAnsi="Courier New"/>
          <w:color w:val="auto"/>
          <w:szCs w:val="21"/>
          <w:highlight w:val="none"/>
        </w:rPr>
        <w:t>中标人</w:t>
      </w:r>
      <w:r>
        <w:rPr>
          <w:rFonts w:ascii="宋体" w:hAnsi="Courier New"/>
          <w:color w:val="auto"/>
          <w:szCs w:val="21"/>
          <w:highlight w:val="none"/>
        </w:rPr>
        <w:t>收取；</w:t>
      </w:r>
    </w:p>
    <w:p w14:paraId="06133B98">
      <w:pPr>
        <w:spacing w:line="360" w:lineRule="auto"/>
        <w:ind w:firstLine="420" w:firstLineChars="200"/>
        <w:rPr>
          <w:rFonts w:ascii="宋体" w:hAnsi="Courier New"/>
          <w:color w:val="auto"/>
          <w:szCs w:val="21"/>
          <w:highlight w:val="none"/>
        </w:rPr>
      </w:pPr>
      <w:r>
        <w:rPr>
          <w:rFonts w:ascii="宋体" w:hAnsi="Courier New"/>
          <w:color w:val="auto"/>
          <w:szCs w:val="21"/>
          <w:highlight w:val="none"/>
        </w:rPr>
        <w:t>（2）采购代理收费按差额定率累进法计算。</w:t>
      </w:r>
    </w:p>
    <w:p w14:paraId="21C830A1">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40.需要补充的其他内容</w:t>
      </w:r>
    </w:p>
    <w:p w14:paraId="7849D026">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699BD352">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40.2其他事项详见“投标人须知前附表”。</w:t>
      </w:r>
    </w:p>
    <w:p w14:paraId="40E96092">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FDEB6D2">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A81E537">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06FEC14D">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0F5595B">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E1E074A">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p>
    <w:p w14:paraId="6A61AC2B">
      <w:pPr>
        <w:pStyle w:val="26"/>
        <w:snapToGrid w:val="0"/>
        <w:spacing w:line="360" w:lineRule="auto"/>
        <w:ind w:firstLine="420" w:firstLineChars="200"/>
        <w:rPr>
          <w:rFonts w:hAnsi="宋体" w:cs="宋体"/>
          <w:color w:val="auto"/>
          <w:sz w:val="21"/>
          <w:highlight w:val="none"/>
        </w:rPr>
      </w:pPr>
    </w:p>
    <w:p w14:paraId="6BBD8B3F">
      <w:pPr>
        <w:widowControl/>
        <w:spacing w:line="360" w:lineRule="auto"/>
        <w:ind w:firstLine="420" w:firstLineChars="200"/>
        <w:jc w:val="left"/>
        <w:rPr>
          <w:rFonts w:hAnsi="宋体" w:cs="宋体"/>
          <w:color w:val="auto"/>
          <w:highlight w:val="none"/>
        </w:rPr>
      </w:pPr>
      <w:r>
        <w:rPr>
          <w:rFonts w:hint="eastAsia" w:hAnsi="宋体" w:cs="宋体"/>
          <w:color w:val="auto"/>
          <w:highlight w:val="none"/>
        </w:rPr>
        <w:br w:type="page"/>
      </w:r>
    </w:p>
    <w:tbl>
      <w:tblPr>
        <w:tblStyle w:val="52"/>
        <w:tblW w:w="4995" w:type="pct"/>
        <w:tblInd w:w="0" w:type="dxa"/>
        <w:tblLayout w:type="autofit"/>
        <w:tblCellMar>
          <w:top w:w="0" w:type="dxa"/>
          <w:left w:w="108" w:type="dxa"/>
          <w:bottom w:w="0" w:type="dxa"/>
          <w:right w:w="108" w:type="dxa"/>
        </w:tblCellMar>
      </w:tblPr>
      <w:tblGrid>
        <w:gridCol w:w="1035"/>
        <w:gridCol w:w="453"/>
        <w:gridCol w:w="1878"/>
        <w:gridCol w:w="1938"/>
        <w:gridCol w:w="1212"/>
        <w:gridCol w:w="251"/>
        <w:gridCol w:w="501"/>
        <w:gridCol w:w="917"/>
        <w:gridCol w:w="872"/>
        <w:gridCol w:w="222"/>
      </w:tblGrid>
      <w:tr w14:paraId="3CF3BFF1">
        <w:tblPrEx>
          <w:tblCellMar>
            <w:top w:w="0" w:type="dxa"/>
            <w:left w:w="108" w:type="dxa"/>
            <w:bottom w:w="0" w:type="dxa"/>
            <w:right w:w="108" w:type="dxa"/>
          </w:tblCellMar>
        </w:tblPrEx>
        <w:trPr>
          <w:gridAfter w:val="1"/>
          <w:wAfter w:w="119" w:type="pct"/>
          <w:trHeight w:val="605" w:hRule="atLeast"/>
        </w:trPr>
        <w:tc>
          <w:tcPr>
            <w:tcW w:w="802" w:type="pct"/>
            <w:gridSpan w:val="2"/>
            <w:tcBorders>
              <w:top w:val="nil"/>
              <w:left w:val="nil"/>
              <w:bottom w:val="nil"/>
              <w:right w:val="nil"/>
            </w:tcBorders>
            <w:noWrap/>
            <w:vAlign w:val="center"/>
          </w:tcPr>
          <w:p w14:paraId="52759EAC">
            <w:pPr>
              <w:widowControl/>
              <w:spacing w:line="360" w:lineRule="auto"/>
              <w:ind w:firstLine="420" w:firstLineChars="200"/>
              <w:jc w:val="left"/>
              <w:rPr>
                <w:rFonts w:ascii="宋体" w:hAnsi="宋体" w:cs="宋体"/>
                <w:color w:val="auto"/>
                <w:kern w:val="0"/>
                <w:sz w:val="22"/>
                <w:highlight w:val="none"/>
              </w:rPr>
            </w:pPr>
            <w:r>
              <w:rPr>
                <w:rFonts w:hint="eastAsia" w:hAnsi="宋体" w:cs="宋体"/>
                <w:color w:val="auto"/>
                <w:highlight w:val="none"/>
              </w:rPr>
              <w:br w:type="page"/>
            </w:r>
            <w:r>
              <w:rPr>
                <w:rFonts w:hint="eastAsia" w:hAnsi="宋体" w:cs="宋体"/>
                <w:b/>
                <w:color w:val="auto"/>
                <w:highlight w:val="none"/>
              </w:rPr>
              <w:br w:type="page"/>
            </w:r>
            <w:r>
              <w:rPr>
                <w:rFonts w:hint="eastAsia" w:hAnsi="宋体" w:cs="宋体"/>
                <w:b/>
                <w:color w:val="auto"/>
                <w:highlight w:val="none"/>
              </w:rPr>
              <w:br w:type="page"/>
            </w:r>
            <w:r>
              <w:rPr>
                <w:rFonts w:hint="eastAsia" w:ascii="宋体" w:hAnsi="宋体" w:cs="宋体"/>
                <w:color w:val="auto"/>
                <w:szCs w:val="21"/>
                <w:highlight w:val="none"/>
              </w:rPr>
              <w:br w:type="page"/>
            </w:r>
            <w:r>
              <w:rPr>
                <w:rFonts w:hint="eastAsia" w:ascii="宋体" w:hAnsi="宋体" w:cs="宋体"/>
                <w:b/>
                <w:color w:val="auto"/>
                <w:highlight w:val="none"/>
              </w:rPr>
              <w:br w:type="page"/>
            </w:r>
            <w:r>
              <w:rPr>
                <w:rFonts w:hint="eastAsia" w:ascii="宋体" w:hAnsi="宋体" w:cs="宋体"/>
                <w:b/>
                <w:bCs/>
                <w:color w:val="auto"/>
                <w:kern w:val="0"/>
                <w:sz w:val="28"/>
                <w:szCs w:val="28"/>
                <w:highlight w:val="none"/>
              </w:rPr>
              <w:t>附件1</w:t>
            </w:r>
          </w:p>
        </w:tc>
        <w:tc>
          <w:tcPr>
            <w:tcW w:w="1011" w:type="pct"/>
            <w:tcBorders>
              <w:top w:val="nil"/>
              <w:left w:val="nil"/>
              <w:bottom w:val="nil"/>
              <w:right w:val="nil"/>
            </w:tcBorders>
            <w:noWrap/>
            <w:vAlign w:val="center"/>
          </w:tcPr>
          <w:p w14:paraId="38985076">
            <w:pPr>
              <w:widowControl/>
              <w:spacing w:line="360" w:lineRule="auto"/>
              <w:ind w:firstLine="440" w:firstLineChars="200"/>
              <w:jc w:val="left"/>
              <w:rPr>
                <w:rFonts w:ascii="宋体" w:hAnsi="宋体" w:cs="宋体"/>
                <w:color w:val="auto"/>
                <w:kern w:val="0"/>
                <w:sz w:val="22"/>
                <w:highlight w:val="none"/>
              </w:rPr>
            </w:pPr>
          </w:p>
        </w:tc>
        <w:tc>
          <w:tcPr>
            <w:tcW w:w="1043" w:type="pct"/>
            <w:tcBorders>
              <w:top w:val="nil"/>
              <w:left w:val="nil"/>
              <w:bottom w:val="nil"/>
              <w:right w:val="nil"/>
            </w:tcBorders>
            <w:noWrap/>
            <w:vAlign w:val="center"/>
          </w:tcPr>
          <w:p w14:paraId="270D2128">
            <w:pPr>
              <w:widowControl/>
              <w:spacing w:line="360" w:lineRule="auto"/>
              <w:ind w:firstLine="400" w:firstLineChars="200"/>
              <w:jc w:val="left"/>
              <w:rPr>
                <w:rFonts w:ascii="宋体" w:hAnsi="宋体" w:cs="宋体"/>
                <w:color w:val="auto"/>
                <w:kern w:val="0"/>
                <w:sz w:val="20"/>
                <w:szCs w:val="20"/>
                <w:highlight w:val="none"/>
              </w:rPr>
            </w:pPr>
          </w:p>
        </w:tc>
        <w:tc>
          <w:tcPr>
            <w:tcW w:w="653" w:type="pct"/>
            <w:tcBorders>
              <w:top w:val="nil"/>
              <w:left w:val="nil"/>
              <w:bottom w:val="nil"/>
              <w:right w:val="nil"/>
            </w:tcBorders>
            <w:noWrap/>
            <w:vAlign w:val="center"/>
          </w:tcPr>
          <w:p w14:paraId="1E0349C2">
            <w:pPr>
              <w:widowControl/>
              <w:spacing w:line="360" w:lineRule="auto"/>
              <w:ind w:firstLine="400" w:firstLineChars="200"/>
              <w:jc w:val="left"/>
              <w:rPr>
                <w:rFonts w:ascii="宋体" w:hAnsi="宋体" w:cs="宋体"/>
                <w:color w:val="auto"/>
                <w:kern w:val="0"/>
                <w:sz w:val="20"/>
                <w:szCs w:val="20"/>
                <w:highlight w:val="none"/>
              </w:rPr>
            </w:pPr>
          </w:p>
        </w:tc>
        <w:tc>
          <w:tcPr>
            <w:tcW w:w="135" w:type="pct"/>
            <w:tcBorders>
              <w:top w:val="nil"/>
              <w:left w:val="nil"/>
              <w:bottom w:val="nil"/>
              <w:right w:val="nil"/>
            </w:tcBorders>
            <w:noWrap/>
            <w:vAlign w:val="center"/>
          </w:tcPr>
          <w:p w14:paraId="30EC9775">
            <w:pPr>
              <w:widowControl/>
              <w:spacing w:line="360" w:lineRule="auto"/>
              <w:ind w:firstLine="400" w:firstLineChars="200"/>
              <w:jc w:val="left"/>
              <w:rPr>
                <w:rFonts w:ascii="宋体" w:hAnsi="宋体" w:cs="宋体"/>
                <w:color w:val="auto"/>
                <w:kern w:val="0"/>
                <w:sz w:val="20"/>
                <w:szCs w:val="20"/>
                <w:highlight w:val="none"/>
              </w:rPr>
            </w:pPr>
          </w:p>
        </w:tc>
        <w:tc>
          <w:tcPr>
            <w:tcW w:w="269" w:type="pct"/>
            <w:tcBorders>
              <w:top w:val="nil"/>
              <w:left w:val="nil"/>
              <w:bottom w:val="nil"/>
              <w:right w:val="nil"/>
            </w:tcBorders>
            <w:noWrap/>
            <w:vAlign w:val="center"/>
          </w:tcPr>
          <w:p w14:paraId="1FEA4BD1">
            <w:pPr>
              <w:widowControl/>
              <w:spacing w:line="360" w:lineRule="auto"/>
              <w:ind w:firstLine="400" w:firstLineChars="200"/>
              <w:jc w:val="left"/>
              <w:rPr>
                <w:rFonts w:ascii="宋体" w:hAnsi="宋体" w:cs="宋体"/>
                <w:color w:val="auto"/>
                <w:kern w:val="0"/>
                <w:sz w:val="20"/>
                <w:szCs w:val="20"/>
                <w:highlight w:val="none"/>
              </w:rPr>
            </w:pPr>
          </w:p>
        </w:tc>
        <w:tc>
          <w:tcPr>
            <w:tcW w:w="494" w:type="pct"/>
            <w:tcBorders>
              <w:top w:val="nil"/>
              <w:left w:val="nil"/>
              <w:bottom w:val="nil"/>
              <w:right w:val="nil"/>
            </w:tcBorders>
            <w:noWrap/>
            <w:vAlign w:val="center"/>
          </w:tcPr>
          <w:p w14:paraId="257044E0">
            <w:pPr>
              <w:widowControl/>
              <w:spacing w:line="360" w:lineRule="auto"/>
              <w:ind w:firstLine="400" w:firstLineChars="200"/>
              <w:jc w:val="left"/>
              <w:rPr>
                <w:rFonts w:ascii="宋体" w:hAnsi="宋体" w:cs="宋体"/>
                <w:color w:val="auto"/>
                <w:kern w:val="0"/>
                <w:sz w:val="20"/>
                <w:szCs w:val="20"/>
                <w:highlight w:val="none"/>
              </w:rPr>
            </w:pPr>
          </w:p>
        </w:tc>
        <w:tc>
          <w:tcPr>
            <w:tcW w:w="469" w:type="pct"/>
            <w:tcBorders>
              <w:top w:val="nil"/>
              <w:left w:val="nil"/>
              <w:bottom w:val="nil"/>
              <w:right w:val="nil"/>
            </w:tcBorders>
            <w:noWrap/>
            <w:vAlign w:val="center"/>
          </w:tcPr>
          <w:p w14:paraId="376EA01C">
            <w:pPr>
              <w:widowControl/>
              <w:spacing w:line="360" w:lineRule="auto"/>
              <w:ind w:firstLine="400" w:firstLineChars="200"/>
              <w:jc w:val="left"/>
              <w:rPr>
                <w:rFonts w:ascii="宋体" w:hAnsi="宋体" w:cs="宋体"/>
                <w:color w:val="auto"/>
                <w:kern w:val="0"/>
                <w:sz w:val="20"/>
                <w:szCs w:val="20"/>
                <w:highlight w:val="none"/>
              </w:rPr>
            </w:pPr>
          </w:p>
        </w:tc>
      </w:tr>
      <w:tr w14:paraId="5A9FE41A">
        <w:tblPrEx>
          <w:tblCellMar>
            <w:top w:w="0" w:type="dxa"/>
            <w:left w:w="108" w:type="dxa"/>
            <w:bottom w:w="0" w:type="dxa"/>
            <w:right w:w="108" w:type="dxa"/>
          </w:tblCellMar>
        </w:tblPrEx>
        <w:trPr>
          <w:gridAfter w:val="1"/>
          <w:wAfter w:w="119" w:type="pct"/>
          <w:trHeight w:val="605" w:hRule="atLeast"/>
        </w:trPr>
        <w:tc>
          <w:tcPr>
            <w:tcW w:w="4880" w:type="pct"/>
            <w:gridSpan w:val="9"/>
            <w:tcBorders>
              <w:top w:val="nil"/>
              <w:left w:val="nil"/>
              <w:bottom w:val="nil"/>
              <w:right w:val="nil"/>
            </w:tcBorders>
            <w:noWrap/>
            <w:vAlign w:val="center"/>
          </w:tcPr>
          <w:p w14:paraId="51E62CBA">
            <w:pPr>
              <w:widowControl/>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广西师范大学货物和服务院级验收报告单</w:t>
            </w:r>
          </w:p>
        </w:tc>
      </w:tr>
      <w:tr w14:paraId="254A96B3">
        <w:tblPrEx>
          <w:tblCellMar>
            <w:top w:w="0" w:type="dxa"/>
            <w:left w:w="108" w:type="dxa"/>
            <w:bottom w:w="0" w:type="dxa"/>
            <w:right w:w="108" w:type="dxa"/>
          </w:tblCellMar>
        </w:tblPrEx>
        <w:trPr>
          <w:gridAfter w:val="1"/>
          <w:wAfter w:w="119" w:type="pct"/>
          <w:trHeight w:val="908" w:hRule="atLeast"/>
        </w:trPr>
        <w:tc>
          <w:tcPr>
            <w:tcW w:w="4880" w:type="pct"/>
            <w:gridSpan w:val="9"/>
            <w:tcBorders>
              <w:top w:val="nil"/>
              <w:left w:val="nil"/>
              <w:bottom w:val="single" w:color="auto" w:sz="8" w:space="0"/>
              <w:right w:val="nil"/>
            </w:tcBorders>
            <w:vAlign w:val="center"/>
          </w:tcPr>
          <w:p w14:paraId="0281752E">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    根据政府采购项目（</w:t>
            </w:r>
            <w:r>
              <w:rPr>
                <w:rFonts w:hint="eastAsia" w:ascii="宋体" w:hAnsi="宋体" w:cs="宋体"/>
                <w:color w:val="auto"/>
                <w:kern w:val="0"/>
                <w:sz w:val="22"/>
                <w:highlight w:val="none"/>
                <w:u w:val="single"/>
              </w:rPr>
              <w:t xml:space="preserve">采购合同编号：HT        </w:t>
            </w:r>
            <w:r>
              <w:rPr>
                <w:rFonts w:hint="eastAsia" w:ascii="宋体" w:hAnsi="宋体" w:cs="宋体"/>
                <w:color w:val="auto"/>
                <w:kern w:val="0"/>
                <w:sz w:val="22"/>
                <w:highlight w:val="none"/>
              </w:rPr>
              <w:t>）的约定，我单位对（</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rPr>
              <w:t>）采购项目中标（或成交）供应商（                 ）提供的货物（或服务）进行了验收，验收情况如下：</w:t>
            </w:r>
          </w:p>
        </w:tc>
      </w:tr>
      <w:tr w14:paraId="45B6576B">
        <w:tblPrEx>
          <w:tblCellMar>
            <w:top w:w="0" w:type="dxa"/>
            <w:left w:w="108" w:type="dxa"/>
            <w:bottom w:w="0" w:type="dxa"/>
            <w:right w:w="108" w:type="dxa"/>
          </w:tblCellMar>
        </w:tblPrEx>
        <w:trPr>
          <w:gridAfter w:val="1"/>
          <w:wAfter w:w="119" w:type="pct"/>
          <w:trHeight w:val="927" w:hRule="atLeast"/>
        </w:trPr>
        <w:tc>
          <w:tcPr>
            <w:tcW w:w="802" w:type="pct"/>
            <w:gridSpan w:val="2"/>
            <w:tcBorders>
              <w:top w:val="nil"/>
              <w:left w:val="single" w:color="auto" w:sz="8" w:space="0"/>
              <w:bottom w:val="single" w:color="auto" w:sz="8" w:space="0"/>
              <w:right w:val="single" w:color="auto" w:sz="8" w:space="0"/>
            </w:tcBorders>
            <w:vAlign w:val="center"/>
          </w:tcPr>
          <w:p w14:paraId="41FF457D">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申购单位</w:t>
            </w:r>
          </w:p>
        </w:tc>
        <w:tc>
          <w:tcPr>
            <w:tcW w:w="2055" w:type="pct"/>
            <w:gridSpan w:val="2"/>
            <w:tcBorders>
              <w:top w:val="single" w:color="auto" w:sz="8" w:space="0"/>
              <w:left w:val="nil"/>
              <w:bottom w:val="single" w:color="auto" w:sz="8" w:space="0"/>
              <w:right w:val="single" w:color="000000" w:sz="8" w:space="0"/>
            </w:tcBorders>
            <w:vAlign w:val="center"/>
          </w:tcPr>
          <w:p w14:paraId="1F0DF797">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653" w:type="pct"/>
            <w:tcBorders>
              <w:top w:val="nil"/>
              <w:left w:val="nil"/>
              <w:bottom w:val="single" w:color="auto" w:sz="8" w:space="0"/>
              <w:right w:val="single" w:color="auto" w:sz="8" w:space="0"/>
            </w:tcBorders>
            <w:vAlign w:val="center"/>
          </w:tcPr>
          <w:p w14:paraId="7053173F">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行政实验室</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（科室）</w:t>
            </w:r>
          </w:p>
        </w:tc>
        <w:tc>
          <w:tcPr>
            <w:tcW w:w="1368" w:type="pct"/>
            <w:gridSpan w:val="4"/>
            <w:tcBorders>
              <w:top w:val="single" w:color="auto" w:sz="8" w:space="0"/>
              <w:left w:val="nil"/>
              <w:bottom w:val="single" w:color="auto" w:sz="8" w:space="0"/>
              <w:right w:val="single" w:color="000000" w:sz="8" w:space="0"/>
            </w:tcBorders>
            <w:vAlign w:val="center"/>
          </w:tcPr>
          <w:p w14:paraId="0B3E96D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6543CBDA">
        <w:tblPrEx>
          <w:tblCellMar>
            <w:top w:w="0" w:type="dxa"/>
            <w:left w:w="108" w:type="dxa"/>
            <w:bottom w:w="0" w:type="dxa"/>
            <w:right w:w="108" w:type="dxa"/>
          </w:tblCellMar>
        </w:tblPrEx>
        <w:trPr>
          <w:gridAfter w:val="1"/>
          <w:wAfter w:w="119" w:type="pct"/>
          <w:trHeight w:val="484" w:hRule="atLeast"/>
        </w:trPr>
        <w:tc>
          <w:tcPr>
            <w:tcW w:w="2858" w:type="pct"/>
            <w:gridSpan w:val="4"/>
            <w:tcBorders>
              <w:top w:val="single" w:color="auto" w:sz="8" w:space="0"/>
              <w:left w:val="single" w:color="auto" w:sz="8" w:space="0"/>
              <w:bottom w:val="nil"/>
              <w:right w:val="nil"/>
            </w:tcBorders>
            <w:vAlign w:val="center"/>
          </w:tcPr>
          <w:p w14:paraId="2AB0761E">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项目负责人（签名）:</w:t>
            </w:r>
          </w:p>
        </w:tc>
        <w:tc>
          <w:tcPr>
            <w:tcW w:w="2022" w:type="pct"/>
            <w:gridSpan w:val="5"/>
            <w:tcBorders>
              <w:top w:val="single" w:color="auto" w:sz="8" w:space="0"/>
              <w:left w:val="single" w:color="auto" w:sz="8" w:space="0"/>
              <w:bottom w:val="nil"/>
              <w:right w:val="single" w:color="000000" w:sz="8" w:space="0"/>
            </w:tcBorders>
            <w:vAlign w:val="center"/>
          </w:tcPr>
          <w:p w14:paraId="00153669">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设备管理人（签名）:</w:t>
            </w:r>
          </w:p>
        </w:tc>
      </w:tr>
      <w:tr w14:paraId="325E2002">
        <w:tblPrEx>
          <w:tblCellMar>
            <w:top w:w="0" w:type="dxa"/>
            <w:left w:w="108" w:type="dxa"/>
            <w:bottom w:w="0" w:type="dxa"/>
            <w:right w:w="108" w:type="dxa"/>
          </w:tblCellMar>
        </w:tblPrEx>
        <w:trPr>
          <w:gridAfter w:val="1"/>
          <w:wAfter w:w="119" w:type="pct"/>
          <w:trHeight w:val="406" w:hRule="atLeast"/>
        </w:trPr>
        <w:tc>
          <w:tcPr>
            <w:tcW w:w="2858" w:type="pct"/>
            <w:gridSpan w:val="4"/>
            <w:tcBorders>
              <w:top w:val="nil"/>
              <w:left w:val="single" w:color="auto" w:sz="8" w:space="0"/>
              <w:bottom w:val="single" w:color="auto" w:sz="8" w:space="0"/>
              <w:right w:val="nil"/>
            </w:tcBorders>
            <w:vAlign w:val="center"/>
          </w:tcPr>
          <w:p w14:paraId="6689E94C">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联系电话：                       </w:t>
            </w:r>
          </w:p>
        </w:tc>
        <w:tc>
          <w:tcPr>
            <w:tcW w:w="2022" w:type="pct"/>
            <w:gridSpan w:val="5"/>
            <w:tcBorders>
              <w:top w:val="nil"/>
              <w:left w:val="single" w:color="auto" w:sz="8" w:space="0"/>
              <w:bottom w:val="single" w:color="auto" w:sz="8" w:space="0"/>
              <w:right w:val="single" w:color="000000" w:sz="8" w:space="0"/>
            </w:tcBorders>
            <w:vAlign w:val="center"/>
          </w:tcPr>
          <w:p w14:paraId="4474BDBD">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联系电话：                      </w:t>
            </w:r>
          </w:p>
        </w:tc>
      </w:tr>
      <w:tr w14:paraId="15F7A976">
        <w:tblPrEx>
          <w:tblCellMar>
            <w:top w:w="0" w:type="dxa"/>
            <w:left w:w="108" w:type="dxa"/>
            <w:bottom w:w="0" w:type="dxa"/>
            <w:right w:w="108" w:type="dxa"/>
          </w:tblCellMar>
        </w:tblPrEx>
        <w:trPr>
          <w:gridAfter w:val="1"/>
          <w:wAfter w:w="119" w:type="pct"/>
          <w:trHeight w:val="484" w:hRule="atLeast"/>
        </w:trPr>
        <w:tc>
          <w:tcPr>
            <w:tcW w:w="1814" w:type="pct"/>
            <w:gridSpan w:val="3"/>
            <w:tcBorders>
              <w:top w:val="nil"/>
              <w:left w:val="single" w:color="auto" w:sz="8" w:space="0"/>
              <w:bottom w:val="single" w:color="auto" w:sz="8" w:space="0"/>
              <w:right w:val="single" w:color="000000" w:sz="8" w:space="0"/>
            </w:tcBorders>
            <w:vAlign w:val="center"/>
          </w:tcPr>
          <w:p w14:paraId="39BBA647">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验收方式：</w:t>
            </w:r>
          </w:p>
        </w:tc>
        <w:tc>
          <w:tcPr>
            <w:tcW w:w="3065" w:type="pct"/>
            <w:gridSpan w:val="6"/>
            <w:tcBorders>
              <w:top w:val="nil"/>
              <w:left w:val="nil"/>
              <w:bottom w:val="single" w:color="auto" w:sz="8" w:space="0"/>
              <w:right w:val="single" w:color="000000" w:sz="8" w:space="0"/>
            </w:tcBorders>
            <w:vAlign w:val="center"/>
          </w:tcPr>
          <w:p w14:paraId="393B63AE">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☑自行验收         □委托验收</w:t>
            </w:r>
          </w:p>
        </w:tc>
      </w:tr>
      <w:tr w14:paraId="0FAB1786">
        <w:tblPrEx>
          <w:tblCellMar>
            <w:top w:w="0" w:type="dxa"/>
            <w:left w:w="108" w:type="dxa"/>
            <w:bottom w:w="0" w:type="dxa"/>
            <w:right w:w="108" w:type="dxa"/>
          </w:tblCellMar>
        </w:tblPrEx>
        <w:trPr>
          <w:gridAfter w:val="1"/>
          <w:wAfter w:w="119" w:type="pct"/>
          <w:trHeight w:val="625" w:hRule="atLeast"/>
        </w:trPr>
        <w:tc>
          <w:tcPr>
            <w:tcW w:w="558" w:type="pct"/>
            <w:tcBorders>
              <w:top w:val="nil"/>
              <w:left w:val="single" w:color="auto" w:sz="8" w:space="0"/>
              <w:bottom w:val="single" w:color="auto" w:sz="8" w:space="0"/>
              <w:right w:val="single" w:color="auto" w:sz="8" w:space="0"/>
            </w:tcBorders>
            <w:vAlign w:val="center"/>
          </w:tcPr>
          <w:p w14:paraId="333B204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序号</w:t>
            </w:r>
          </w:p>
        </w:tc>
        <w:tc>
          <w:tcPr>
            <w:tcW w:w="1256" w:type="pct"/>
            <w:gridSpan w:val="2"/>
            <w:tcBorders>
              <w:top w:val="nil"/>
              <w:left w:val="nil"/>
              <w:bottom w:val="single" w:color="auto" w:sz="8" w:space="0"/>
              <w:right w:val="single" w:color="auto" w:sz="8" w:space="0"/>
            </w:tcBorders>
            <w:vAlign w:val="center"/>
          </w:tcPr>
          <w:p w14:paraId="23B9F21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名  称</w:t>
            </w:r>
          </w:p>
        </w:tc>
        <w:tc>
          <w:tcPr>
            <w:tcW w:w="1696" w:type="pct"/>
            <w:gridSpan w:val="2"/>
            <w:tcBorders>
              <w:top w:val="single" w:color="auto" w:sz="8" w:space="0"/>
              <w:left w:val="nil"/>
              <w:bottom w:val="single" w:color="auto" w:sz="8" w:space="0"/>
              <w:right w:val="single" w:color="000000" w:sz="8" w:space="0"/>
            </w:tcBorders>
            <w:vAlign w:val="center"/>
          </w:tcPr>
          <w:p w14:paraId="62C0B489">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货物型号规格、标准及配置等</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（或服务内容、标准）</w:t>
            </w:r>
          </w:p>
        </w:tc>
        <w:tc>
          <w:tcPr>
            <w:tcW w:w="404" w:type="pct"/>
            <w:gridSpan w:val="2"/>
            <w:tcBorders>
              <w:top w:val="single" w:color="auto" w:sz="8" w:space="0"/>
              <w:left w:val="nil"/>
              <w:bottom w:val="single" w:color="auto" w:sz="8" w:space="0"/>
              <w:right w:val="single" w:color="000000" w:sz="8" w:space="0"/>
            </w:tcBorders>
            <w:vAlign w:val="center"/>
          </w:tcPr>
          <w:p w14:paraId="14803E4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数量</w:t>
            </w:r>
          </w:p>
        </w:tc>
        <w:tc>
          <w:tcPr>
            <w:tcW w:w="964" w:type="pct"/>
            <w:gridSpan w:val="2"/>
            <w:tcBorders>
              <w:top w:val="single" w:color="auto" w:sz="8" w:space="0"/>
              <w:left w:val="nil"/>
              <w:bottom w:val="single" w:color="auto" w:sz="8" w:space="0"/>
              <w:right w:val="single" w:color="000000" w:sz="8" w:space="0"/>
            </w:tcBorders>
            <w:vAlign w:val="center"/>
          </w:tcPr>
          <w:p w14:paraId="63936D9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金  额</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（万元）</w:t>
            </w:r>
          </w:p>
        </w:tc>
      </w:tr>
      <w:tr w14:paraId="34D955D3">
        <w:tblPrEx>
          <w:tblCellMar>
            <w:top w:w="0" w:type="dxa"/>
            <w:left w:w="108" w:type="dxa"/>
            <w:bottom w:w="0" w:type="dxa"/>
            <w:right w:w="108" w:type="dxa"/>
          </w:tblCellMar>
        </w:tblPrEx>
        <w:trPr>
          <w:gridAfter w:val="1"/>
          <w:wAfter w:w="119" w:type="pct"/>
          <w:trHeight w:val="484" w:hRule="atLeast"/>
        </w:trPr>
        <w:tc>
          <w:tcPr>
            <w:tcW w:w="558" w:type="pct"/>
            <w:tcBorders>
              <w:top w:val="nil"/>
              <w:left w:val="single" w:color="auto" w:sz="8" w:space="0"/>
              <w:bottom w:val="single" w:color="auto" w:sz="8" w:space="0"/>
              <w:right w:val="single" w:color="auto" w:sz="8" w:space="0"/>
            </w:tcBorders>
            <w:vAlign w:val="center"/>
          </w:tcPr>
          <w:p w14:paraId="6A2C6760">
            <w:pPr>
              <w:widowControl/>
              <w:rPr>
                <w:rFonts w:ascii="宋体" w:hAnsi="宋体" w:cs="宋体"/>
                <w:color w:val="auto"/>
                <w:kern w:val="0"/>
                <w:sz w:val="22"/>
                <w:highlight w:val="none"/>
              </w:rPr>
            </w:pPr>
            <w:r>
              <w:rPr>
                <w:rFonts w:hint="eastAsia" w:ascii="宋体" w:hAnsi="宋体" w:cs="宋体"/>
                <w:color w:val="auto"/>
                <w:kern w:val="0"/>
                <w:sz w:val="22"/>
                <w:highlight w:val="none"/>
              </w:rPr>
              <w:t>　1</w:t>
            </w:r>
          </w:p>
        </w:tc>
        <w:tc>
          <w:tcPr>
            <w:tcW w:w="1256" w:type="pct"/>
            <w:gridSpan w:val="2"/>
            <w:tcBorders>
              <w:top w:val="nil"/>
              <w:left w:val="nil"/>
              <w:bottom w:val="single" w:color="auto" w:sz="8" w:space="0"/>
              <w:right w:val="single" w:color="auto" w:sz="8" w:space="0"/>
            </w:tcBorders>
            <w:vAlign w:val="center"/>
          </w:tcPr>
          <w:p w14:paraId="2F31464B">
            <w:pPr>
              <w:widowControl/>
              <w:jc w:val="left"/>
              <w:rPr>
                <w:rFonts w:ascii="宋体" w:hAnsi="宋体" w:cs="宋体"/>
                <w:color w:val="auto"/>
                <w:kern w:val="0"/>
                <w:sz w:val="22"/>
                <w:highlight w:val="none"/>
              </w:rPr>
            </w:pPr>
          </w:p>
        </w:tc>
        <w:tc>
          <w:tcPr>
            <w:tcW w:w="1696" w:type="pct"/>
            <w:gridSpan w:val="2"/>
            <w:tcBorders>
              <w:top w:val="single" w:color="auto" w:sz="8" w:space="0"/>
              <w:left w:val="nil"/>
              <w:bottom w:val="single" w:color="auto" w:sz="8" w:space="0"/>
              <w:right w:val="single" w:color="000000" w:sz="8" w:space="0"/>
            </w:tcBorders>
            <w:vAlign w:val="center"/>
          </w:tcPr>
          <w:p w14:paraId="781116B2">
            <w:pPr>
              <w:widowControl/>
              <w:jc w:val="left"/>
              <w:rPr>
                <w:rFonts w:ascii="宋体" w:hAnsi="宋体" w:cs="宋体"/>
                <w:color w:val="auto"/>
                <w:kern w:val="0"/>
                <w:sz w:val="22"/>
                <w:highlight w:val="none"/>
              </w:rPr>
            </w:pPr>
          </w:p>
        </w:tc>
        <w:tc>
          <w:tcPr>
            <w:tcW w:w="404" w:type="pct"/>
            <w:gridSpan w:val="2"/>
            <w:tcBorders>
              <w:top w:val="single" w:color="auto" w:sz="8" w:space="0"/>
              <w:left w:val="nil"/>
              <w:bottom w:val="single" w:color="auto" w:sz="8" w:space="0"/>
              <w:right w:val="single" w:color="000000" w:sz="8" w:space="0"/>
            </w:tcBorders>
            <w:vAlign w:val="center"/>
          </w:tcPr>
          <w:p w14:paraId="7B1A6A33">
            <w:pPr>
              <w:widowControl/>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964" w:type="pct"/>
            <w:gridSpan w:val="2"/>
            <w:tcBorders>
              <w:top w:val="single" w:color="auto" w:sz="8" w:space="0"/>
              <w:left w:val="nil"/>
              <w:bottom w:val="single" w:color="auto" w:sz="8" w:space="0"/>
              <w:right w:val="single" w:color="000000" w:sz="8" w:space="0"/>
            </w:tcBorders>
            <w:vAlign w:val="center"/>
          </w:tcPr>
          <w:p w14:paraId="287A9BBA">
            <w:pPr>
              <w:widowControl/>
              <w:jc w:val="center"/>
              <w:rPr>
                <w:rFonts w:ascii="宋体" w:hAnsi="宋体" w:cs="宋体"/>
                <w:color w:val="auto"/>
                <w:kern w:val="0"/>
                <w:sz w:val="22"/>
                <w:highlight w:val="none"/>
              </w:rPr>
            </w:pPr>
          </w:p>
        </w:tc>
      </w:tr>
      <w:tr w14:paraId="1440FEB9">
        <w:tblPrEx>
          <w:tblCellMar>
            <w:top w:w="0" w:type="dxa"/>
            <w:left w:w="108" w:type="dxa"/>
            <w:bottom w:w="0" w:type="dxa"/>
            <w:right w:w="108" w:type="dxa"/>
          </w:tblCellMar>
        </w:tblPrEx>
        <w:trPr>
          <w:gridAfter w:val="1"/>
          <w:wAfter w:w="119" w:type="pct"/>
          <w:trHeight w:val="484" w:hRule="atLeast"/>
        </w:trPr>
        <w:tc>
          <w:tcPr>
            <w:tcW w:w="3916" w:type="pct"/>
            <w:gridSpan w:val="7"/>
            <w:tcBorders>
              <w:top w:val="single" w:color="auto" w:sz="8" w:space="0"/>
              <w:left w:val="single" w:color="auto" w:sz="8" w:space="0"/>
              <w:bottom w:val="single" w:color="auto" w:sz="8" w:space="0"/>
              <w:right w:val="single" w:color="000000" w:sz="8" w:space="0"/>
            </w:tcBorders>
            <w:vAlign w:val="center"/>
          </w:tcPr>
          <w:p w14:paraId="65A4FFB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合计</w:t>
            </w:r>
          </w:p>
        </w:tc>
        <w:tc>
          <w:tcPr>
            <w:tcW w:w="964" w:type="pct"/>
            <w:gridSpan w:val="2"/>
            <w:tcBorders>
              <w:top w:val="single" w:color="auto" w:sz="8" w:space="0"/>
              <w:left w:val="nil"/>
              <w:bottom w:val="single" w:color="auto" w:sz="8" w:space="0"/>
              <w:right w:val="single" w:color="000000" w:sz="8" w:space="0"/>
            </w:tcBorders>
            <w:vAlign w:val="center"/>
          </w:tcPr>
          <w:p w14:paraId="14172C5C">
            <w:pPr>
              <w:widowControl/>
              <w:jc w:val="center"/>
              <w:rPr>
                <w:rFonts w:ascii="宋体" w:hAnsi="宋体" w:cs="宋体"/>
                <w:color w:val="auto"/>
                <w:kern w:val="0"/>
                <w:sz w:val="22"/>
                <w:highlight w:val="none"/>
              </w:rPr>
            </w:pPr>
          </w:p>
        </w:tc>
      </w:tr>
      <w:tr w14:paraId="14A6AA9D">
        <w:tblPrEx>
          <w:tblCellMar>
            <w:top w:w="0" w:type="dxa"/>
            <w:left w:w="108" w:type="dxa"/>
            <w:bottom w:w="0" w:type="dxa"/>
            <w:right w:w="108" w:type="dxa"/>
          </w:tblCellMar>
        </w:tblPrEx>
        <w:trPr>
          <w:gridAfter w:val="1"/>
          <w:wAfter w:w="119" w:type="pct"/>
          <w:trHeight w:val="484" w:hRule="atLeast"/>
        </w:trPr>
        <w:tc>
          <w:tcPr>
            <w:tcW w:w="4880" w:type="pct"/>
            <w:gridSpan w:val="9"/>
            <w:tcBorders>
              <w:top w:val="single" w:color="auto" w:sz="8" w:space="0"/>
              <w:left w:val="single" w:color="auto" w:sz="8" w:space="0"/>
              <w:bottom w:val="single" w:color="auto" w:sz="8" w:space="0"/>
              <w:right w:val="single" w:color="000000" w:sz="8" w:space="0"/>
            </w:tcBorders>
            <w:vAlign w:val="center"/>
          </w:tcPr>
          <w:p w14:paraId="7F83E956">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合计大写：</w:t>
            </w:r>
          </w:p>
        </w:tc>
      </w:tr>
      <w:tr w14:paraId="4E5ABC46">
        <w:tblPrEx>
          <w:tblCellMar>
            <w:top w:w="0" w:type="dxa"/>
            <w:left w:w="108" w:type="dxa"/>
            <w:bottom w:w="0" w:type="dxa"/>
            <w:right w:w="108" w:type="dxa"/>
          </w:tblCellMar>
        </w:tblPrEx>
        <w:trPr>
          <w:gridAfter w:val="1"/>
          <w:wAfter w:w="119" w:type="pct"/>
          <w:trHeight w:val="625" w:hRule="atLeast"/>
        </w:trPr>
        <w:tc>
          <w:tcPr>
            <w:tcW w:w="802" w:type="pct"/>
            <w:gridSpan w:val="2"/>
            <w:tcBorders>
              <w:top w:val="nil"/>
              <w:left w:val="single" w:color="auto" w:sz="8" w:space="0"/>
              <w:bottom w:val="single" w:color="auto" w:sz="8" w:space="0"/>
              <w:right w:val="single" w:color="auto" w:sz="8" w:space="0"/>
            </w:tcBorders>
            <w:vAlign w:val="center"/>
          </w:tcPr>
          <w:p w14:paraId="06DF8411">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实际供货日期</w:t>
            </w:r>
          </w:p>
        </w:tc>
        <w:tc>
          <w:tcPr>
            <w:tcW w:w="2055" w:type="pct"/>
            <w:gridSpan w:val="2"/>
            <w:tcBorders>
              <w:top w:val="single" w:color="auto" w:sz="8" w:space="0"/>
              <w:left w:val="nil"/>
              <w:bottom w:val="single" w:color="auto" w:sz="8" w:space="0"/>
              <w:right w:val="single" w:color="000000" w:sz="8" w:space="0"/>
            </w:tcBorders>
            <w:vAlign w:val="center"/>
          </w:tcPr>
          <w:p w14:paraId="14DCE14E">
            <w:pPr>
              <w:widowControl/>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788" w:type="pct"/>
            <w:gridSpan w:val="2"/>
            <w:tcBorders>
              <w:top w:val="single" w:color="auto" w:sz="8" w:space="0"/>
              <w:left w:val="nil"/>
              <w:bottom w:val="single" w:color="auto" w:sz="8" w:space="0"/>
              <w:right w:val="single" w:color="000000" w:sz="8" w:space="0"/>
            </w:tcBorders>
            <w:vAlign w:val="center"/>
          </w:tcPr>
          <w:p w14:paraId="185DF6C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验收日期</w:t>
            </w:r>
          </w:p>
        </w:tc>
        <w:tc>
          <w:tcPr>
            <w:tcW w:w="1233" w:type="pct"/>
            <w:gridSpan w:val="3"/>
            <w:tcBorders>
              <w:top w:val="single" w:color="auto" w:sz="8" w:space="0"/>
              <w:left w:val="nil"/>
              <w:bottom w:val="single" w:color="auto" w:sz="8" w:space="0"/>
              <w:right w:val="single" w:color="000000" w:sz="8" w:space="0"/>
            </w:tcBorders>
            <w:vAlign w:val="center"/>
          </w:tcPr>
          <w:p w14:paraId="1CA49CE5">
            <w:pPr>
              <w:widowControl/>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55B89143">
        <w:tblPrEx>
          <w:tblCellMar>
            <w:top w:w="0" w:type="dxa"/>
            <w:left w:w="108" w:type="dxa"/>
            <w:bottom w:w="0" w:type="dxa"/>
            <w:right w:w="108" w:type="dxa"/>
          </w:tblCellMar>
        </w:tblPrEx>
        <w:trPr>
          <w:gridAfter w:val="1"/>
          <w:wAfter w:w="119" w:type="pct"/>
          <w:trHeight w:val="773" w:hRule="atLeast"/>
        </w:trPr>
        <w:tc>
          <w:tcPr>
            <w:tcW w:w="802" w:type="pct"/>
            <w:gridSpan w:val="2"/>
            <w:vMerge w:val="restart"/>
            <w:tcBorders>
              <w:top w:val="nil"/>
              <w:left w:val="single" w:color="auto" w:sz="8" w:space="0"/>
              <w:bottom w:val="single" w:color="000000" w:sz="8" w:space="0"/>
              <w:right w:val="single" w:color="auto" w:sz="8" w:space="0"/>
            </w:tcBorders>
            <w:vAlign w:val="center"/>
          </w:tcPr>
          <w:p w14:paraId="086C101F">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验收具体内容（按采购合同、采购文件、投标响应文件及验收方案等进行验收）</w:t>
            </w:r>
          </w:p>
        </w:tc>
        <w:tc>
          <w:tcPr>
            <w:tcW w:w="2844" w:type="pct"/>
            <w:gridSpan w:val="4"/>
            <w:tcBorders>
              <w:top w:val="single" w:color="auto" w:sz="8" w:space="0"/>
              <w:left w:val="nil"/>
              <w:bottom w:val="single" w:color="auto" w:sz="8" w:space="0"/>
              <w:right w:val="single" w:color="000000" w:sz="8" w:space="0"/>
            </w:tcBorders>
            <w:vAlign w:val="center"/>
          </w:tcPr>
          <w:p w14:paraId="011F8EE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在安装调试等方面是否符合合同约定和服务规范要求</w:t>
            </w:r>
          </w:p>
        </w:tc>
        <w:tc>
          <w:tcPr>
            <w:tcW w:w="1233" w:type="pct"/>
            <w:gridSpan w:val="3"/>
            <w:tcBorders>
              <w:top w:val="single" w:color="auto" w:sz="8" w:space="0"/>
              <w:left w:val="nil"/>
              <w:bottom w:val="single" w:color="auto" w:sz="8" w:space="0"/>
              <w:right w:val="single" w:color="000000" w:sz="8" w:space="0"/>
            </w:tcBorders>
            <w:vAlign w:val="center"/>
          </w:tcPr>
          <w:p w14:paraId="28EE9D4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456AF4DD">
        <w:tblPrEx>
          <w:tblCellMar>
            <w:top w:w="0" w:type="dxa"/>
            <w:left w:w="108" w:type="dxa"/>
            <w:bottom w:w="0" w:type="dxa"/>
            <w:right w:w="108" w:type="dxa"/>
          </w:tblCellMar>
        </w:tblPrEx>
        <w:trPr>
          <w:gridAfter w:val="1"/>
          <w:wAfter w:w="119" w:type="pct"/>
          <w:trHeight w:val="741" w:hRule="atLeast"/>
        </w:trPr>
        <w:tc>
          <w:tcPr>
            <w:tcW w:w="802" w:type="pct"/>
            <w:gridSpan w:val="2"/>
            <w:vMerge w:val="continue"/>
            <w:tcBorders>
              <w:top w:val="nil"/>
              <w:left w:val="single" w:color="auto" w:sz="8" w:space="0"/>
              <w:bottom w:val="single" w:color="000000" w:sz="8" w:space="0"/>
              <w:right w:val="single" w:color="auto" w:sz="8" w:space="0"/>
            </w:tcBorders>
            <w:vAlign w:val="center"/>
          </w:tcPr>
          <w:p w14:paraId="60B2AC92">
            <w:pPr>
              <w:widowControl/>
              <w:jc w:val="left"/>
              <w:rPr>
                <w:rFonts w:ascii="宋体" w:hAnsi="宋体" w:cs="宋体"/>
                <w:color w:val="auto"/>
                <w:kern w:val="0"/>
                <w:sz w:val="22"/>
                <w:highlight w:val="none"/>
              </w:rPr>
            </w:pPr>
          </w:p>
        </w:tc>
        <w:tc>
          <w:tcPr>
            <w:tcW w:w="2844" w:type="pct"/>
            <w:gridSpan w:val="4"/>
            <w:tcBorders>
              <w:top w:val="single" w:color="auto" w:sz="8" w:space="0"/>
              <w:left w:val="nil"/>
              <w:bottom w:val="single" w:color="auto" w:sz="8" w:space="0"/>
              <w:right w:val="single" w:color="000000" w:sz="8" w:space="0"/>
            </w:tcBorders>
            <w:vAlign w:val="center"/>
          </w:tcPr>
          <w:p w14:paraId="26F1BDA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提供的质量保证证明材料是否齐全</w:t>
            </w:r>
          </w:p>
        </w:tc>
        <w:tc>
          <w:tcPr>
            <w:tcW w:w="1233" w:type="pct"/>
            <w:gridSpan w:val="3"/>
            <w:tcBorders>
              <w:top w:val="single" w:color="auto" w:sz="8" w:space="0"/>
              <w:left w:val="nil"/>
              <w:bottom w:val="single" w:color="auto" w:sz="8" w:space="0"/>
              <w:right w:val="single" w:color="000000" w:sz="8" w:space="0"/>
            </w:tcBorders>
            <w:vAlign w:val="center"/>
          </w:tcPr>
          <w:p w14:paraId="4102856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609FAB4E">
        <w:tblPrEx>
          <w:tblCellMar>
            <w:top w:w="0" w:type="dxa"/>
            <w:left w:w="108" w:type="dxa"/>
            <w:bottom w:w="0" w:type="dxa"/>
            <w:right w:w="108" w:type="dxa"/>
          </w:tblCellMar>
        </w:tblPrEx>
        <w:trPr>
          <w:gridAfter w:val="1"/>
          <w:wAfter w:w="119" w:type="pct"/>
          <w:trHeight w:val="732" w:hRule="atLeast"/>
        </w:trPr>
        <w:tc>
          <w:tcPr>
            <w:tcW w:w="802" w:type="pct"/>
            <w:gridSpan w:val="2"/>
            <w:vMerge w:val="continue"/>
            <w:tcBorders>
              <w:top w:val="nil"/>
              <w:left w:val="single" w:color="auto" w:sz="8" w:space="0"/>
              <w:bottom w:val="single" w:color="000000" w:sz="8" w:space="0"/>
              <w:right w:val="single" w:color="auto" w:sz="8" w:space="0"/>
            </w:tcBorders>
            <w:vAlign w:val="center"/>
          </w:tcPr>
          <w:p w14:paraId="428C2EA1">
            <w:pPr>
              <w:widowControl/>
              <w:jc w:val="left"/>
              <w:rPr>
                <w:rFonts w:ascii="宋体" w:hAnsi="宋体" w:cs="宋体"/>
                <w:color w:val="auto"/>
                <w:kern w:val="0"/>
                <w:sz w:val="22"/>
                <w:highlight w:val="none"/>
              </w:rPr>
            </w:pPr>
          </w:p>
        </w:tc>
        <w:tc>
          <w:tcPr>
            <w:tcW w:w="2844" w:type="pct"/>
            <w:gridSpan w:val="4"/>
            <w:tcBorders>
              <w:top w:val="single" w:color="auto" w:sz="8" w:space="0"/>
              <w:left w:val="nil"/>
              <w:bottom w:val="single" w:color="auto" w:sz="8" w:space="0"/>
              <w:right w:val="single" w:color="000000" w:sz="8" w:space="0"/>
            </w:tcBorders>
            <w:vAlign w:val="center"/>
          </w:tcPr>
          <w:p w14:paraId="2707B8E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应有的配件及附件是否达到合同约定</w:t>
            </w:r>
          </w:p>
        </w:tc>
        <w:tc>
          <w:tcPr>
            <w:tcW w:w="1233" w:type="pct"/>
            <w:gridSpan w:val="3"/>
            <w:tcBorders>
              <w:top w:val="single" w:color="auto" w:sz="8" w:space="0"/>
              <w:left w:val="nil"/>
              <w:bottom w:val="single" w:color="auto" w:sz="8" w:space="0"/>
              <w:right w:val="single" w:color="000000" w:sz="8" w:space="0"/>
            </w:tcBorders>
            <w:vAlign w:val="center"/>
          </w:tcPr>
          <w:p w14:paraId="5326FB62">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50347524">
        <w:tblPrEx>
          <w:tblCellMar>
            <w:top w:w="0" w:type="dxa"/>
            <w:left w:w="108" w:type="dxa"/>
            <w:bottom w:w="0" w:type="dxa"/>
            <w:right w:w="108" w:type="dxa"/>
          </w:tblCellMar>
        </w:tblPrEx>
        <w:trPr>
          <w:gridAfter w:val="1"/>
          <w:wAfter w:w="119" w:type="pct"/>
          <w:trHeight w:val="922" w:hRule="atLeast"/>
        </w:trPr>
        <w:tc>
          <w:tcPr>
            <w:tcW w:w="802" w:type="pct"/>
            <w:gridSpan w:val="2"/>
            <w:vMerge w:val="continue"/>
            <w:tcBorders>
              <w:top w:val="nil"/>
              <w:left w:val="single" w:color="auto" w:sz="8" w:space="0"/>
              <w:bottom w:val="single" w:color="auto" w:sz="4" w:space="0"/>
              <w:right w:val="single" w:color="auto" w:sz="8" w:space="0"/>
            </w:tcBorders>
            <w:vAlign w:val="center"/>
          </w:tcPr>
          <w:p w14:paraId="6ECC7393">
            <w:pPr>
              <w:widowControl/>
              <w:jc w:val="left"/>
              <w:rPr>
                <w:rFonts w:ascii="宋体" w:hAnsi="宋体" w:cs="宋体"/>
                <w:color w:val="auto"/>
                <w:kern w:val="0"/>
                <w:sz w:val="22"/>
                <w:highlight w:val="none"/>
              </w:rPr>
            </w:pPr>
          </w:p>
        </w:tc>
        <w:tc>
          <w:tcPr>
            <w:tcW w:w="2844" w:type="pct"/>
            <w:gridSpan w:val="4"/>
            <w:tcBorders>
              <w:top w:val="single" w:color="auto" w:sz="8" w:space="0"/>
              <w:left w:val="nil"/>
              <w:bottom w:val="single" w:color="auto" w:sz="4" w:space="0"/>
              <w:right w:val="single" w:color="000000" w:sz="8" w:space="0"/>
            </w:tcBorders>
            <w:vAlign w:val="center"/>
          </w:tcPr>
          <w:p w14:paraId="47715012">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其他内容</w:t>
            </w:r>
          </w:p>
        </w:tc>
        <w:tc>
          <w:tcPr>
            <w:tcW w:w="1233" w:type="pct"/>
            <w:gridSpan w:val="3"/>
            <w:tcBorders>
              <w:top w:val="single" w:color="auto" w:sz="8" w:space="0"/>
              <w:left w:val="nil"/>
              <w:bottom w:val="single" w:color="auto" w:sz="4" w:space="0"/>
              <w:right w:val="single" w:color="000000" w:sz="8" w:space="0"/>
            </w:tcBorders>
            <w:vAlign w:val="center"/>
          </w:tcPr>
          <w:p w14:paraId="1B8138D8">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(可增附页）</w:t>
            </w:r>
          </w:p>
        </w:tc>
      </w:tr>
      <w:tr w14:paraId="2D8C03EE">
        <w:tblPrEx>
          <w:tblCellMar>
            <w:top w:w="0" w:type="dxa"/>
            <w:left w:w="108" w:type="dxa"/>
            <w:bottom w:w="0" w:type="dxa"/>
            <w:right w:w="108" w:type="dxa"/>
          </w:tblCellMar>
        </w:tblPrEx>
        <w:trPr>
          <w:gridAfter w:val="1"/>
          <w:wAfter w:w="119" w:type="pct"/>
          <w:trHeight w:val="536" w:hRule="atLeast"/>
        </w:trPr>
        <w:tc>
          <w:tcPr>
            <w:tcW w:w="802" w:type="pct"/>
            <w:gridSpan w:val="2"/>
            <w:vMerge w:val="restart"/>
            <w:tcBorders>
              <w:top w:val="single" w:color="auto" w:sz="4" w:space="0"/>
              <w:left w:val="single" w:color="auto" w:sz="4" w:space="0"/>
              <w:bottom w:val="single" w:color="auto" w:sz="4" w:space="0"/>
              <w:right w:val="single" w:color="auto" w:sz="4" w:space="0"/>
            </w:tcBorders>
            <w:vAlign w:val="center"/>
          </w:tcPr>
          <w:p w14:paraId="638B136F">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验收小组</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意见</w:t>
            </w:r>
          </w:p>
        </w:tc>
        <w:tc>
          <w:tcPr>
            <w:tcW w:w="4077" w:type="pct"/>
            <w:gridSpan w:val="7"/>
            <w:vMerge w:val="restart"/>
            <w:tcBorders>
              <w:top w:val="single" w:color="auto" w:sz="4" w:space="0"/>
              <w:left w:val="single" w:color="auto" w:sz="4" w:space="0"/>
              <w:bottom w:val="single" w:color="auto" w:sz="4" w:space="0"/>
              <w:right w:val="single" w:color="auto" w:sz="4" w:space="0"/>
            </w:tcBorders>
          </w:tcPr>
          <w:p w14:paraId="4EDE9990">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验收结论性意见：</w:t>
            </w:r>
          </w:p>
          <w:p w14:paraId="231D1823">
            <w:pPr>
              <w:widowControl/>
              <w:jc w:val="left"/>
              <w:rPr>
                <w:rFonts w:ascii="宋体" w:hAnsi="宋体" w:cs="宋体"/>
                <w:color w:val="auto"/>
                <w:kern w:val="0"/>
                <w:sz w:val="22"/>
                <w:highlight w:val="none"/>
              </w:rPr>
            </w:pPr>
          </w:p>
          <w:p w14:paraId="3C8AD36F">
            <w:pPr>
              <w:widowControl/>
              <w:jc w:val="left"/>
              <w:rPr>
                <w:rFonts w:ascii="宋体" w:hAnsi="宋体" w:cs="宋体"/>
                <w:color w:val="auto"/>
                <w:kern w:val="0"/>
                <w:sz w:val="22"/>
                <w:highlight w:val="none"/>
              </w:rPr>
            </w:pPr>
          </w:p>
          <w:p w14:paraId="06E80181">
            <w:pPr>
              <w:widowControl/>
              <w:jc w:val="left"/>
              <w:rPr>
                <w:rFonts w:ascii="宋体" w:hAnsi="宋体" w:cs="宋体"/>
                <w:color w:val="auto"/>
                <w:kern w:val="0"/>
                <w:sz w:val="22"/>
                <w:highlight w:val="none"/>
              </w:rPr>
            </w:pPr>
          </w:p>
          <w:p w14:paraId="12BFEC4F">
            <w:pPr>
              <w:widowControl/>
              <w:jc w:val="left"/>
              <w:rPr>
                <w:rFonts w:ascii="宋体" w:hAnsi="宋体" w:cs="宋体"/>
                <w:color w:val="auto"/>
                <w:kern w:val="0"/>
                <w:sz w:val="22"/>
                <w:highlight w:val="none"/>
              </w:rPr>
            </w:pPr>
          </w:p>
          <w:p w14:paraId="775E48D5">
            <w:pPr>
              <w:widowControl/>
              <w:jc w:val="left"/>
              <w:rPr>
                <w:rFonts w:ascii="宋体" w:hAnsi="宋体" w:cs="宋体"/>
                <w:color w:val="auto"/>
                <w:kern w:val="0"/>
                <w:sz w:val="22"/>
                <w:highlight w:val="none"/>
              </w:rPr>
            </w:pPr>
          </w:p>
        </w:tc>
      </w:tr>
      <w:tr w14:paraId="39B056B6">
        <w:tblPrEx>
          <w:tblCellMar>
            <w:top w:w="0" w:type="dxa"/>
            <w:left w:w="108" w:type="dxa"/>
            <w:bottom w:w="0" w:type="dxa"/>
            <w:right w:w="108" w:type="dxa"/>
          </w:tblCellMar>
        </w:tblPrEx>
        <w:trPr>
          <w:trHeight w:val="1289" w:hRule="atLeast"/>
        </w:trPr>
        <w:tc>
          <w:tcPr>
            <w:tcW w:w="802" w:type="pct"/>
            <w:gridSpan w:val="2"/>
            <w:vMerge w:val="continue"/>
            <w:tcBorders>
              <w:top w:val="single" w:color="auto" w:sz="4" w:space="0"/>
              <w:left w:val="single" w:color="auto" w:sz="8" w:space="0"/>
              <w:bottom w:val="nil"/>
              <w:right w:val="single" w:color="auto" w:sz="8" w:space="0"/>
            </w:tcBorders>
            <w:vAlign w:val="center"/>
          </w:tcPr>
          <w:p w14:paraId="52B4AAF8">
            <w:pPr>
              <w:widowControl/>
              <w:jc w:val="left"/>
              <w:rPr>
                <w:rFonts w:ascii="宋体" w:hAnsi="宋体" w:cs="宋体"/>
                <w:color w:val="auto"/>
                <w:kern w:val="0"/>
                <w:sz w:val="22"/>
                <w:highlight w:val="none"/>
              </w:rPr>
            </w:pPr>
          </w:p>
        </w:tc>
        <w:tc>
          <w:tcPr>
            <w:tcW w:w="4077" w:type="pct"/>
            <w:gridSpan w:val="7"/>
            <w:vMerge w:val="continue"/>
            <w:tcBorders>
              <w:top w:val="single" w:color="auto" w:sz="4" w:space="0"/>
              <w:left w:val="single" w:color="auto" w:sz="8" w:space="0"/>
              <w:bottom w:val="single" w:color="000000" w:sz="8" w:space="0"/>
              <w:right w:val="single" w:color="000000" w:sz="8" w:space="0"/>
            </w:tcBorders>
            <w:vAlign w:val="center"/>
          </w:tcPr>
          <w:p w14:paraId="75C99A7B">
            <w:pPr>
              <w:widowControl/>
              <w:jc w:val="left"/>
              <w:rPr>
                <w:rFonts w:ascii="宋体" w:hAnsi="宋体" w:cs="宋体"/>
                <w:color w:val="auto"/>
                <w:kern w:val="0"/>
                <w:sz w:val="22"/>
                <w:highlight w:val="none"/>
              </w:rPr>
            </w:pPr>
          </w:p>
        </w:tc>
        <w:tc>
          <w:tcPr>
            <w:tcW w:w="119" w:type="pct"/>
            <w:tcBorders>
              <w:top w:val="nil"/>
              <w:left w:val="nil"/>
              <w:bottom w:val="nil"/>
              <w:right w:val="nil"/>
            </w:tcBorders>
            <w:noWrap/>
            <w:vAlign w:val="center"/>
          </w:tcPr>
          <w:p w14:paraId="4A284237">
            <w:pPr>
              <w:widowControl/>
              <w:jc w:val="left"/>
              <w:rPr>
                <w:rFonts w:ascii="宋体" w:hAnsi="宋体" w:cs="宋体"/>
                <w:color w:val="auto"/>
                <w:kern w:val="0"/>
                <w:sz w:val="22"/>
                <w:highlight w:val="none"/>
              </w:rPr>
            </w:pPr>
          </w:p>
        </w:tc>
      </w:tr>
      <w:tr w14:paraId="1A31E3F6">
        <w:tblPrEx>
          <w:tblCellMar>
            <w:top w:w="0" w:type="dxa"/>
            <w:left w:w="108" w:type="dxa"/>
            <w:bottom w:w="0" w:type="dxa"/>
            <w:right w:w="108" w:type="dxa"/>
          </w:tblCellMar>
        </w:tblPrEx>
        <w:trPr>
          <w:trHeight w:val="322" w:hRule="atLeast"/>
        </w:trPr>
        <w:tc>
          <w:tcPr>
            <w:tcW w:w="802" w:type="pct"/>
            <w:gridSpan w:val="2"/>
            <w:vMerge w:val="continue"/>
            <w:tcBorders>
              <w:top w:val="nil"/>
              <w:left w:val="single" w:color="auto" w:sz="8" w:space="0"/>
              <w:bottom w:val="nil"/>
              <w:right w:val="single" w:color="auto" w:sz="8" w:space="0"/>
            </w:tcBorders>
            <w:vAlign w:val="center"/>
          </w:tcPr>
          <w:p w14:paraId="0CB98AE8">
            <w:pPr>
              <w:widowControl/>
              <w:jc w:val="left"/>
              <w:rPr>
                <w:rFonts w:ascii="宋体" w:hAnsi="宋体" w:cs="宋体"/>
                <w:color w:val="auto"/>
                <w:kern w:val="0"/>
                <w:sz w:val="22"/>
                <w:highlight w:val="none"/>
              </w:rPr>
            </w:pPr>
          </w:p>
        </w:tc>
        <w:tc>
          <w:tcPr>
            <w:tcW w:w="4077" w:type="pct"/>
            <w:gridSpan w:val="7"/>
            <w:tcBorders>
              <w:top w:val="single" w:color="auto" w:sz="8" w:space="0"/>
              <w:left w:val="nil"/>
              <w:bottom w:val="nil"/>
              <w:right w:val="single" w:color="000000" w:sz="8" w:space="0"/>
            </w:tcBorders>
          </w:tcPr>
          <w:p w14:paraId="0C397A60">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有异议的意见和说明理由：</w:t>
            </w:r>
          </w:p>
        </w:tc>
        <w:tc>
          <w:tcPr>
            <w:tcW w:w="119" w:type="pct"/>
            <w:vAlign w:val="center"/>
          </w:tcPr>
          <w:p w14:paraId="213A5913">
            <w:pPr>
              <w:widowControl/>
              <w:jc w:val="left"/>
              <w:rPr>
                <w:rFonts w:ascii="宋体" w:hAnsi="宋体" w:cs="宋体"/>
                <w:color w:val="auto"/>
                <w:kern w:val="0"/>
                <w:sz w:val="20"/>
                <w:szCs w:val="20"/>
                <w:highlight w:val="none"/>
              </w:rPr>
            </w:pPr>
          </w:p>
        </w:tc>
      </w:tr>
      <w:tr w14:paraId="7B3E6C12">
        <w:tblPrEx>
          <w:tblCellMar>
            <w:top w:w="0" w:type="dxa"/>
            <w:left w:w="108" w:type="dxa"/>
            <w:bottom w:w="0" w:type="dxa"/>
            <w:right w:w="108" w:type="dxa"/>
          </w:tblCellMar>
        </w:tblPrEx>
        <w:trPr>
          <w:trHeight w:val="406" w:hRule="atLeast"/>
        </w:trPr>
        <w:tc>
          <w:tcPr>
            <w:tcW w:w="802" w:type="pct"/>
            <w:gridSpan w:val="2"/>
            <w:vMerge w:val="continue"/>
            <w:tcBorders>
              <w:top w:val="nil"/>
              <w:left w:val="single" w:color="auto" w:sz="8" w:space="0"/>
              <w:bottom w:val="nil"/>
              <w:right w:val="single" w:color="auto" w:sz="8" w:space="0"/>
            </w:tcBorders>
            <w:vAlign w:val="center"/>
          </w:tcPr>
          <w:p w14:paraId="5211E0B2">
            <w:pPr>
              <w:widowControl/>
              <w:jc w:val="left"/>
              <w:rPr>
                <w:rFonts w:ascii="宋体" w:hAnsi="宋体" w:cs="宋体"/>
                <w:color w:val="auto"/>
                <w:kern w:val="0"/>
                <w:sz w:val="22"/>
                <w:highlight w:val="none"/>
              </w:rPr>
            </w:pPr>
          </w:p>
        </w:tc>
        <w:tc>
          <w:tcPr>
            <w:tcW w:w="4077" w:type="pct"/>
            <w:gridSpan w:val="7"/>
            <w:tcBorders>
              <w:top w:val="nil"/>
              <w:left w:val="nil"/>
              <w:bottom w:val="nil"/>
              <w:right w:val="single" w:color="000000" w:sz="8" w:space="0"/>
            </w:tcBorders>
            <w:vAlign w:val="center"/>
          </w:tcPr>
          <w:p w14:paraId="2AAF30E6">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                                           签字：</w:t>
            </w:r>
          </w:p>
        </w:tc>
        <w:tc>
          <w:tcPr>
            <w:tcW w:w="119" w:type="pct"/>
            <w:vAlign w:val="center"/>
          </w:tcPr>
          <w:p w14:paraId="4C7899DD">
            <w:pPr>
              <w:widowControl/>
              <w:jc w:val="left"/>
              <w:rPr>
                <w:rFonts w:ascii="宋体" w:hAnsi="宋体" w:cs="宋体"/>
                <w:color w:val="auto"/>
                <w:kern w:val="0"/>
                <w:sz w:val="20"/>
                <w:szCs w:val="20"/>
                <w:highlight w:val="none"/>
              </w:rPr>
            </w:pPr>
          </w:p>
        </w:tc>
      </w:tr>
      <w:tr w14:paraId="715F9780">
        <w:tblPrEx>
          <w:tblCellMar>
            <w:top w:w="0" w:type="dxa"/>
            <w:left w:w="108" w:type="dxa"/>
            <w:bottom w:w="0" w:type="dxa"/>
            <w:right w:w="108" w:type="dxa"/>
          </w:tblCellMar>
        </w:tblPrEx>
        <w:trPr>
          <w:trHeight w:val="484" w:hRule="atLeast"/>
        </w:trPr>
        <w:tc>
          <w:tcPr>
            <w:tcW w:w="4880" w:type="pct"/>
            <w:gridSpan w:val="9"/>
            <w:tcBorders>
              <w:top w:val="single" w:color="auto" w:sz="8" w:space="0"/>
              <w:left w:val="single" w:color="auto" w:sz="8" w:space="0"/>
              <w:bottom w:val="single" w:color="auto" w:sz="8" w:space="0"/>
              <w:right w:val="single" w:color="000000" w:sz="8" w:space="0"/>
            </w:tcBorders>
            <w:vAlign w:val="center"/>
          </w:tcPr>
          <w:p w14:paraId="7DC97D6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验收小组</w:t>
            </w:r>
            <w:r>
              <w:rPr>
                <w:rFonts w:hint="eastAsia" w:ascii="宋体" w:hAnsi="宋体" w:cs="宋体"/>
                <w:color w:val="auto"/>
                <w:kern w:val="0"/>
                <w:sz w:val="20"/>
                <w:szCs w:val="20"/>
                <w:highlight w:val="none"/>
              </w:rPr>
              <w:t>(3人或以上单数均可）</w:t>
            </w:r>
          </w:p>
        </w:tc>
        <w:tc>
          <w:tcPr>
            <w:tcW w:w="119" w:type="pct"/>
            <w:vAlign w:val="center"/>
          </w:tcPr>
          <w:p w14:paraId="7D187573">
            <w:pPr>
              <w:widowControl/>
              <w:jc w:val="left"/>
              <w:rPr>
                <w:rFonts w:ascii="宋体" w:hAnsi="宋体" w:cs="宋体"/>
                <w:color w:val="auto"/>
                <w:kern w:val="0"/>
                <w:sz w:val="20"/>
                <w:szCs w:val="20"/>
                <w:highlight w:val="none"/>
              </w:rPr>
            </w:pPr>
          </w:p>
        </w:tc>
      </w:tr>
      <w:tr w14:paraId="60DF5D38">
        <w:tblPrEx>
          <w:tblCellMar>
            <w:top w:w="0" w:type="dxa"/>
            <w:left w:w="108" w:type="dxa"/>
            <w:bottom w:w="0" w:type="dxa"/>
            <w:right w:w="108" w:type="dxa"/>
          </w:tblCellMar>
        </w:tblPrEx>
        <w:trPr>
          <w:trHeight w:val="625" w:hRule="atLeast"/>
        </w:trPr>
        <w:tc>
          <w:tcPr>
            <w:tcW w:w="1814" w:type="pct"/>
            <w:gridSpan w:val="3"/>
            <w:tcBorders>
              <w:top w:val="nil"/>
              <w:left w:val="single" w:color="auto" w:sz="8" w:space="0"/>
              <w:bottom w:val="single" w:color="auto" w:sz="8" w:space="0"/>
              <w:right w:val="single" w:color="auto" w:sz="8" w:space="0"/>
            </w:tcBorders>
            <w:vAlign w:val="center"/>
          </w:tcPr>
          <w:p w14:paraId="76C0C7C1">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姓 名</w:t>
            </w:r>
          </w:p>
        </w:tc>
        <w:tc>
          <w:tcPr>
            <w:tcW w:w="1043" w:type="pct"/>
            <w:tcBorders>
              <w:top w:val="nil"/>
              <w:left w:val="nil"/>
              <w:bottom w:val="single" w:color="auto" w:sz="8" w:space="0"/>
              <w:right w:val="single" w:color="auto" w:sz="8" w:space="0"/>
            </w:tcBorders>
            <w:vAlign w:val="center"/>
          </w:tcPr>
          <w:p w14:paraId="18C62DE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工作单位</w:t>
            </w:r>
          </w:p>
        </w:tc>
        <w:tc>
          <w:tcPr>
            <w:tcW w:w="653" w:type="pct"/>
            <w:tcBorders>
              <w:top w:val="nil"/>
              <w:left w:val="nil"/>
              <w:bottom w:val="single" w:color="auto" w:sz="8" w:space="0"/>
              <w:right w:val="single" w:color="auto" w:sz="8" w:space="0"/>
            </w:tcBorders>
            <w:vAlign w:val="center"/>
          </w:tcPr>
          <w:p w14:paraId="620EFC4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职  称</w:t>
            </w:r>
          </w:p>
        </w:tc>
        <w:tc>
          <w:tcPr>
            <w:tcW w:w="899" w:type="pct"/>
            <w:gridSpan w:val="3"/>
            <w:tcBorders>
              <w:top w:val="single" w:color="auto" w:sz="8" w:space="0"/>
              <w:left w:val="nil"/>
              <w:bottom w:val="single" w:color="auto" w:sz="8" w:space="0"/>
              <w:right w:val="single" w:color="000000" w:sz="8" w:space="0"/>
            </w:tcBorders>
            <w:vAlign w:val="center"/>
          </w:tcPr>
          <w:p w14:paraId="70FD82C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专业方向</w:t>
            </w:r>
          </w:p>
        </w:tc>
        <w:tc>
          <w:tcPr>
            <w:tcW w:w="469" w:type="pct"/>
            <w:tcBorders>
              <w:top w:val="nil"/>
              <w:left w:val="nil"/>
              <w:bottom w:val="single" w:color="auto" w:sz="8" w:space="0"/>
              <w:right w:val="single" w:color="auto" w:sz="8" w:space="0"/>
            </w:tcBorders>
            <w:vAlign w:val="center"/>
          </w:tcPr>
          <w:p w14:paraId="7AC40BB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本人签名</w:t>
            </w:r>
          </w:p>
        </w:tc>
        <w:tc>
          <w:tcPr>
            <w:tcW w:w="119" w:type="pct"/>
            <w:vAlign w:val="center"/>
          </w:tcPr>
          <w:p w14:paraId="6233303C">
            <w:pPr>
              <w:widowControl/>
              <w:jc w:val="left"/>
              <w:rPr>
                <w:rFonts w:ascii="宋体" w:hAnsi="宋体" w:cs="宋体"/>
                <w:color w:val="auto"/>
                <w:kern w:val="0"/>
                <w:sz w:val="20"/>
                <w:szCs w:val="20"/>
                <w:highlight w:val="none"/>
              </w:rPr>
            </w:pPr>
          </w:p>
        </w:tc>
      </w:tr>
      <w:tr w14:paraId="7208735C">
        <w:tblPrEx>
          <w:tblCellMar>
            <w:top w:w="0" w:type="dxa"/>
            <w:left w:w="108" w:type="dxa"/>
            <w:bottom w:w="0" w:type="dxa"/>
            <w:right w:w="108" w:type="dxa"/>
          </w:tblCellMar>
        </w:tblPrEx>
        <w:trPr>
          <w:trHeight w:val="484" w:hRule="atLeast"/>
        </w:trPr>
        <w:tc>
          <w:tcPr>
            <w:tcW w:w="802" w:type="pct"/>
            <w:gridSpan w:val="2"/>
            <w:tcBorders>
              <w:top w:val="nil"/>
              <w:left w:val="single" w:color="auto" w:sz="8" w:space="0"/>
              <w:bottom w:val="single" w:color="auto" w:sz="8" w:space="0"/>
              <w:right w:val="single" w:color="auto" w:sz="8" w:space="0"/>
            </w:tcBorders>
            <w:vAlign w:val="center"/>
          </w:tcPr>
          <w:p w14:paraId="034B519C">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小组负责人</w:t>
            </w:r>
          </w:p>
        </w:tc>
        <w:tc>
          <w:tcPr>
            <w:tcW w:w="1011" w:type="pct"/>
            <w:tcBorders>
              <w:top w:val="nil"/>
              <w:left w:val="nil"/>
              <w:bottom w:val="single" w:color="auto" w:sz="8" w:space="0"/>
              <w:right w:val="single" w:color="auto" w:sz="8" w:space="0"/>
            </w:tcBorders>
            <w:vAlign w:val="center"/>
          </w:tcPr>
          <w:p w14:paraId="1F091EC9">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043" w:type="pct"/>
            <w:tcBorders>
              <w:top w:val="nil"/>
              <w:left w:val="nil"/>
              <w:bottom w:val="single" w:color="auto" w:sz="8" w:space="0"/>
              <w:right w:val="single" w:color="auto" w:sz="8" w:space="0"/>
            </w:tcBorders>
            <w:vAlign w:val="center"/>
          </w:tcPr>
          <w:p w14:paraId="26F060F4">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653" w:type="pct"/>
            <w:tcBorders>
              <w:top w:val="nil"/>
              <w:left w:val="nil"/>
              <w:bottom w:val="single" w:color="auto" w:sz="8" w:space="0"/>
              <w:right w:val="single" w:color="auto" w:sz="8" w:space="0"/>
            </w:tcBorders>
            <w:vAlign w:val="center"/>
          </w:tcPr>
          <w:p w14:paraId="3EBC5A7D">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99" w:type="pct"/>
            <w:gridSpan w:val="3"/>
            <w:tcBorders>
              <w:top w:val="single" w:color="auto" w:sz="8" w:space="0"/>
              <w:left w:val="nil"/>
              <w:bottom w:val="single" w:color="auto" w:sz="8" w:space="0"/>
              <w:right w:val="single" w:color="000000" w:sz="8" w:space="0"/>
            </w:tcBorders>
            <w:vAlign w:val="center"/>
          </w:tcPr>
          <w:p w14:paraId="3903C20E">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469" w:type="pct"/>
            <w:tcBorders>
              <w:top w:val="nil"/>
              <w:left w:val="nil"/>
              <w:bottom w:val="single" w:color="auto" w:sz="8" w:space="0"/>
              <w:right w:val="single" w:color="auto" w:sz="8" w:space="0"/>
            </w:tcBorders>
            <w:vAlign w:val="center"/>
          </w:tcPr>
          <w:p w14:paraId="07CAD140">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19" w:type="pct"/>
            <w:vAlign w:val="center"/>
          </w:tcPr>
          <w:p w14:paraId="0D04EE23">
            <w:pPr>
              <w:widowControl/>
              <w:jc w:val="left"/>
              <w:rPr>
                <w:rFonts w:ascii="宋体" w:hAnsi="宋体" w:cs="宋体"/>
                <w:color w:val="auto"/>
                <w:kern w:val="0"/>
                <w:sz w:val="20"/>
                <w:szCs w:val="20"/>
                <w:highlight w:val="none"/>
              </w:rPr>
            </w:pPr>
          </w:p>
        </w:tc>
      </w:tr>
      <w:tr w14:paraId="38F7BF3F">
        <w:tblPrEx>
          <w:tblCellMar>
            <w:top w:w="0" w:type="dxa"/>
            <w:left w:w="108" w:type="dxa"/>
            <w:bottom w:w="0" w:type="dxa"/>
            <w:right w:w="108" w:type="dxa"/>
          </w:tblCellMar>
        </w:tblPrEx>
        <w:trPr>
          <w:trHeight w:val="484" w:hRule="atLeast"/>
        </w:trPr>
        <w:tc>
          <w:tcPr>
            <w:tcW w:w="802" w:type="pct"/>
            <w:gridSpan w:val="2"/>
            <w:tcBorders>
              <w:top w:val="nil"/>
              <w:left w:val="single" w:color="auto" w:sz="8" w:space="0"/>
              <w:bottom w:val="single" w:color="auto" w:sz="8" w:space="0"/>
              <w:right w:val="single" w:color="auto" w:sz="8" w:space="0"/>
            </w:tcBorders>
            <w:vAlign w:val="center"/>
          </w:tcPr>
          <w:p w14:paraId="3C9C844A">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小组成员</w:t>
            </w:r>
          </w:p>
        </w:tc>
        <w:tc>
          <w:tcPr>
            <w:tcW w:w="1011" w:type="pct"/>
            <w:tcBorders>
              <w:top w:val="nil"/>
              <w:left w:val="nil"/>
              <w:bottom w:val="single" w:color="auto" w:sz="8" w:space="0"/>
              <w:right w:val="single" w:color="auto" w:sz="8" w:space="0"/>
            </w:tcBorders>
            <w:vAlign w:val="center"/>
          </w:tcPr>
          <w:p w14:paraId="7A310A06">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043" w:type="pct"/>
            <w:tcBorders>
              <w:top w:val="nil"/>
              <w:left w:val="nil"/>
              <w:bottom w:val="single" w:color="auto" w:sz="8" w:space="0"/>
              <w:right w:val="single" w:color="auto" w:sz="8" w:space="0"/>
            </w:tcBorders>
            <w:vAlign w:val="center"/>
          </w:tcPr>
          <w:p w14:paraId="5C9FD7AC">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653" w:type="pct"/>
            <w:tcBorders>
              <w:top w:val="nil"/>
              <w:left w:val="nil"/>
              <w:bottom w:val="single" w:color="auto" w:sz="8" w:space="0"/>
              <w:right w:val="single" w:color="auto" w:sz="8" w:space="0"/>
            </w:tcBorders>
            <w:vAlign w:val="center"/>
          </w:tcPr>
          <w:p w14:paraId="4F3BDED3">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99" w:type="pct"/>
            <w:gridSpan w:val="3"/>
            <w:tcBorders>
              <w:top w:val="single" w:color="auto" w:sz="8" w:space="0"/>
              <w:left w:val="nil"/>
              <w:bottom w:val="single" w:color="auto" w:sz="8" w:space="0"/>
              <w:right w:val="single" w:color="000000" w:sz="8" w:space="0"/>
            </w:tcBorders>
            <w:vAlign w:val="center"/>
          </w:tcPr>
          <w:p w14:paraId="374D8CAF">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469" w:type="pct"/>
            <w:tcBorders>
              <w:top w:val="nil"/>
              <w:left w:val="nil"/>
              <w:bottom w:val="single" w:color="auto" w:sz="8" w:space="0"/>
              <w:right w:val="single" w:color="auto" w:sz="8" w:space="0"/>
            </w:tcBorders>
            <w:vAlign w:val="center"/>
          </w:tcPr>
          <w:p w14:paraId="7E94DCB5">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19" w:type="pct"/>
            <w:vAlign w:val="center"/>
          </w:tcPr>
          <w:p w14:paraId="09F7DAEE">
            <w:pPr>
              <w:widowControl/>
              <w:jc w:val="left"/>
              <w:rPr>
                <w:rFonts w:ascii="宋体" w:hAnsi="宋体" w:cs="宋体"/>
                <w:color w:val="auto"/>
                <w:kern w:val="0"/>
                <w:sz w:val="20"/>
                <w:szCs w:val="20"/>
                <w:highlight w:val="none"/>
              </w:rPr>
            </w:pPr>
          </w:p>
        </w:tc>
      </w:tr>
      <w:tr w14:paraId="64EAE56A">
        <w:tblPrEx>
          <w:tblCellMar>
            <w:top w:w="0" w:type="dxa"/>
            <w:left w:w="108" w:type="dxa"/>
            <w:bottom w:w="0" w:type="dxa"/>
            <w:right w:w="108" w:type="dxa"/>
          </w:tblCellMar>
        </w:tblPrEx>
        <w:trPr>
          <w:trHeight w:val="484" w:hRule="atLeast"/>
        </w:trPr>
        <w:tc>
          <w:tcPr>
            <w:tcW w:w="802" w:type="pct"/>
            <w:gridSpan w:val="2"/>
            <w:tcBorders>
              <w:top w:val="nil"/>
              <w:left w:val="single" w:color="auto" w:sz="8" w:space="0"/>
              <w:bottom w:val="single" w:color="auto" w:sz="8" w:space="0"/>
              <w:right w:val="single" w:color="auto" w:sz="8" w:space="0"/>
            </w:tcBorders>
            <w:vAlign w:val="center"/>
          </w:tcPr>
          <w:p w14:paraId="5ADBED2F">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小组成员</w:t>
            </w:r>
          </w:p>
        </w:tc>
        <w:tc>
          <w:tcPr>
            <w:tcW w:w="1011" w:type="pct"/>
            <w:tcBorders>
              <w:top w:val="nil"/>
              <w:left w:val="nil"/>
              <w:bottom w:val="single" w:color="auto" w:sz="8" w:space="0"/>
              <w:right w:val="single" w:color="auto" w:sz="8" w:space="0"/>
            </w:tcBorders>
            <w:vAlign w:val="center"/>
          </w:tcPr>
          <w:p w14:paraId="30DA68DD">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043" w:type="pct"/>
            <w:tcBorders>
              <w:top w:val="nil"/>
              <w:left w:val="nil"/>
              <w:bottom w:val="single" w:color="auto" w:sz="8" w:space="0"/>
              <w:right w:val="single" w:color="auto" w:sz="8" w:space="0"/>
            </w:tcBorders>
            <w:vAlign w:val="center"/>
          </w:tcPr>
          <w:p w14:paraId="2701FC02">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653" w:type="pct"/>
            <w:tcBorders>
              <w:top w:val="nil"/>
              <w:left w:val="nil"/>
              <w:bottom w:val="single" w:color="auto" w:sz="8" w:space="0"/>
              <w:right w:val="single" w:color="auto" w:sz="8" w:space="0"/>
            </w:tcBorders>
            <w:vAlign w:val="center"/>
          </w:tcPr>
          <w:p w14:paraId="33BC4CC0">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99" w:type="pct"/>
            <w:gridSpan w:val="3"/>
            <w:tcBorders>
              <w:top w:val="single" w:color="auto" w:sz="8" w:space="0"/>
              <w:left w:val="nil"/>
              <w:bottom w:val="single" w:color="auto" w:sz="8" w:space="0"/>
              <w:right w:val="single" w:color="000000" w:sz="8" w:space="0"/>
            </w:tcBorders>
            <w:vAlign w:val="center"/>
          </w:tcPr>
          <w:p w14:paraId="7872260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469" w:type="pct"/>
            <w:tcBorders>
              <w:top w:val="nil"/>
              <w:left w:val="nil"/>
              <w:bottom w:val="single" w:color="auto" w:sz="8" w:space="0"/>
              <w:right w:val="single" w:color="auto" w:sz="8" w:space="0"/>
            </w:tcBorders>
            <w:vAlign w:val="center"/>
          </w:tcPr>
          <w:p w14:paraId="2439FA7B">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19" w:type="pct"/>
            <w:vAlign w:val="center"/>
          </w:tcPr>
          <w:p w14:paraId="1680C486">
            <w:pPr>
              <w:widowControl/>
              <w:jc w:val="left"/>
              <w:rPr>
                <w:rFonts w:ascii="宋体" w:hAnsi="宋体" w:cs="宋体"/>
                <w:color w:val="auto"/>
                <w:kern w:val="0"/>
                <w:sz w:val="20"/>
                <w:szCs w:val="20"/>
                <w:highlight w:val="none"/>
              </w:rPr>
            </w:pPr>
          </w:p>
        </w:tc>
      </w:tr>
      <w:tr w14:paraId="433B623F">
        <w:tblPrEx>
          <w:tblCellMar>
            <w:top w:w="0" w:type="dxa"/>
            <w:left w:w="108" w:type="dxa"/>
            <w:bottom w:w="0" w:type="dxa"/>
            <w:right w:w="108" w:type="dxa"/>
          </w:tblCellMar>
        </w:tblPrEx>
        <w:trPr>
          <w:trHeight w:val="484" w:hRule="atLeast"/>
        </w:trPr>
        <w:tc>
          <w:tcPr>
            <w:tcW w:w="802" w:type="pct"/>
            <w:gridSpan w:val="2"/>
            <w:tcBorders>
              <w:top w:val="nil"/>
              <w:left w:val="single" w:color="auto" w:sz="8" w:space="0"/>
              <w:bottom w:val="single" w:color="auto" w:sz="8" w:space="0"/>
              <w:right w:val="single" w:color="auto" w:sz="8" w:space="0"/>
            </w:tcBorders>
            <w:vAlign w:val="center"/>
          </w:tcPr>
          <w:p w14:paraId="2231435F">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小组成员</w:t>
            </w:r>
          </w:p>
        </w:tc>
        <w:tc>
          <w:tcPr>
            <w:tcW w:w="1011" w:type="pct"/>
            <w:tcBorders>
              <w:top w:val="nil"/>
              <w:left w:val="nil"/>
              <w:bottom w:val="single" w:color="auto" w:sz="8" w:space="0"/>
              <w:right w:val="single" w:color="auto" w:sz="8" w:space="0"/>
            </w:tcBorders>
            <w:vAlign w:val="center"/>
          </w:tcPr>
          <w:p w14:paraId="4684CA0A">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043" w:type="pct"/>
            <w:tcBorders>
              <w:top w:val="nil"/>
              <w:left w:val="nil"/>
              <w:bottom w:val="single" w:color="auto" w:sz="8" w:space="0"/>
              <w:right w:val="single" w:color="auto" w:sz="8" w:space="0"/>
            </w:tcBorders>
            <w:vAlign w:val="center"/>
          </w:tcPr>
          <w:p w14:paraId="4363D9B1">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653" w:type="pct"/>
            <w:tcBorders>
              <w:top w:val="nil"/>
              <w:left w:val="nil"/>
              <w:bottom w:val="single" w:color="auto" w:sz="8" w:space="0"/>
              <w:right w:val="single" w:color="auto" w:sz="8" w:space="0"/>
            </w:tcBorders>
            <w:vAlign w:val="center"/>
          </w:tcPr>
          <w:p w14:paraId="5E391261">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99" w:type="pct"/>
            <w:gridSpan w:val="3"/>
            <w:tcBorders>
              <w:top w:val="single" w:color="auto" w:sz="8" w:space="0"/>
              <w:left w:val="nil"/>
              <w:bottom w:val="single" w:color="auto" w:sz="8" w:space="0"/>
              <w:right w:val="single" w:color="000000" w:sz="8" w:space="0"/>
            </w:tcBorders>
            <w:vAlign w:val="center"/>
          </w:tcPr>
          <w:p w14:paraId="3FE1B9FF">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469" w:type="pct"/>
            <w:tcBorders>
              <w:top w:val="nil"/>
              <w:left w:val="nil"/>
              <w:bottom w:val="single" w:color="auto" w:sz="8" w:space="0"/>
              <w:right w:val="single" w:color="auto" w:sz="8" w:space="0"/>
            </w:tcBorders>
            <w:vAlign w:val="center"/>
          </w:tcPr>
          <w:p w14:paraId="36530E88">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19" w:type="pct"/>
            <w:vAlign w:val="center"/>
          </w:tcPr>
          <w:p w14:paraId="0740A914">
            <w:pPr>
              <w:widowControl/>
              <w:jc w:val="left"/>
              <w:rPr>
                <w:rFonts w:ascii="宋体" w:hAnsi="宋体" w:cs="宋体"/>
                <w:color w:val="auto"/>
                <w:kern w:val="0"/>
                <w:sz w:val="20"/>
                <w:szCs w:val="20"/>
                <w:highlight w:val="none"/>
              </w:rPr>
            </w:pPr>
          </w:p>
        </w:tc>
      </w:tr>
      <w:tr w14:paraId="2CE3D3D2">
        <w:tblPrEx>
          <w:tblCellMar>
            <w:top w:w="0" w:type="dxa"/>
            <w:left w:w="108" w:type="dxa"/>
            <w:bottom w:w="0" w:type="dxa"/>
            <w:right w:w="108" w:type="dxa"/>
          </w:tblCellMar>
        </w:tblPrEx>
        <w:trPr>
          <w:trHeight w:val="484" w:hRule="atLeast"/>
        </w:trPr>
        <w:tc>
          <w:tcPr>
            <w:tcW w:w="802" w:type="pct"/>
            <w:gridSpan w:val="2"/>
            <w:tcBorders>
              <w:top w:val="nil"/>
              <w:left w:val="single" w:color="auto" w:sz="8" w:space="0"/>
              <w:bottom w:val="single" w:color="auto" w:sz="8" w:space="0"/>
              <w:right w:val="single" w:color="auto" w:sz="8" w:space="0"/>
            </w:tcBorders>
            <w:vAlign w:val="center"/>
          </w:tcPr>
          <w:p w14:paraId="58588628">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小组成员</w:t>
            </w:r>
          </w:p>
        </w:tc>
        <w:tc>
          <w:tcPr>
            <w:tcW w:w="1011" w:type="pct"/>
            <w:tcBorders>
              <w:top w:val="nil"/>
              <w:left w:val="nil"/>
              <w:bottom w:val="single" w:color="auto" w:sz="8" w:space="0"/>
              <w:right w:val="single" w:color="auto" w:sz="8" w:space="0"/>
            </w:tcBorders>
            <w:vAlign w:val="center"/>
          </w:tcPr>
          <w:p w14:paraId="0AF4BE76">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043" w:type="pct"/>
            <w:tcBorders>
              <w:top w:val="nil"/>
              <w:left w:val="nil"/>
              <w:bottom w:val="single" w:color="auto" w:sz="8" w:space="0"/>
              <w:right w:val="single" w:color="auto" w:sz="8" w:space="0"/>
            </w:tcBorders>
            <w:vAlign w:val="center"/>
          </w:tcPr>
          <w:p w14:paraId="1F1726CE">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653" w:type="pct"/>
            <w:tcBorders>
              <w:top w:val="nil"/>
              <w:left w:val="nil"/>
              <w:bottom w:val="single" w:color="auto" w:sz="8" w:space="0"/>
              <w:right w:val="single" w:color="auto" w:sz="8" w:space="0"/>
            </w:tcBorders>
            <w:vAlign w:val="center"/>
          </w:tcPr>
          <w:p w14:paraId="7CE8FE25">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99" w:type="pct"/>
            <w:gridSpan w:val="3"/>
            <w:tcBorders>
              <w:top w:val="single" w:color="auto" w:sz="8" w:space="0"/>
              <w:left w:val="nil"/>
              <w:bottom w:val="single" w:color="auto" w:sz="8" w:space="0"/>
              <w:right w:val="single" w:color="000000" w:sz="8" w:space="0"/>
            </w:tcBorders>
            <w:vAlign w:val="center"/>
          </w:tcPr>
          <w:p w14:paraId="2CCC9CA1">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469" w:type="pct"/>
            <w:tcBorders>
              <w:top w:val="nil"/>
              <w:left w:val="nil"/>
              <w:bottom w:val="single" w:color="auto" w:sz="8" w:space="0"/>
              <w:right w:val="single" w:color="auto" w:sz="8" w:space="0"/>
            </w:tcBorders>
            <w:vAlign w:val="center"/>
          </w:tcPr>
          <w:p w14:paraId="21B66C21">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19" w:type="pct"/>
            <w:vAlign w:val="center"/>
          </w:tcPr>
          <w:p w14:paraId="3F01C3D8">
            <w:pPr>
              <w:widowControl/>
              <w:jc w:val="left"/>
              <w:rPr>
                <w:rFonts w:ascii="宋体" w:hAnsi="宋体" w:cs="宋体"/>
                <w:color w:val="auto"/>
                <w:kern w:val="0"/>
                <w:sz w:val="20"/>
                <w:szCs w:val="20"/>
                <w:highlight w:val="none"/>
              </w:rPr>
            </w:pPr>
          </w:p>
        </w:tc>
      </w:tr>
      <w:tr w14:paraId="30149B86">
        <w:tblPrEx>
          <w:tblCellMar>
            <w:top w:w="0" w:type="dxa"/>
            <w:left w:w="108" w:type="dxa"/>
            <w:bottom w:w="0" w:type="dxa"/>
            <w:right w:w="108" w:type="dxa"/>
          </w:tblCellMar>
        </w:tblPrEx>
        <w:trPr>
          <w:trHeight w:val="498" w:hRule="atLeast"/>
        </w:trPr>
        <w:tc>
          <w:tcPr>
            <w:tcW w:w="4880" w:type="pct"/>
            <w:gridSpan w:val="9"/>
            <w:tcBorders>
              <w:top w:val="single" w:color="auto" w:sz="8" w:space="0"/>
              <w:left w:val="single" w:color="auto" w:sz="8" w:space="0"/>
              <w:bottom w:val="nil"/>
              <w:right w:val="single" w:color="auto" w:sz="8" w:space="0"/>
            </w:tcBorders>
          </w:tcPr>
          <w:p w14:paraId="2179EEAB">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其他相关人员签字：</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或受邀机构的意见（盖章）：</w:t>
            </w:r>
          </w:p>
        </w:tc>
        <w:tc>
          <w:tcPr>
            <w:tcW w:w="119" w:type="pct"/>
            <w:vAlign w:val="center"/>
          </w:tcPr>
          <w:p w14:paraId="28196C23">
            <w:pPr>
              <w:widowControl/>
              <w:jc w:val="left"/>
              <w:rPr>
                <w:rFonts w:ascii="宋体" w:hAnsi="宋体" w:cs="宋体"/>
                <w:color w:val="auto"/>
                <w:kern w:val="0"/>
                <w:sz w:val="20"/>
                <w:szCs w:val="20"/>
                <w:highlight w:val="none"/>
              </w:rPr>
            </w:pPr>
          </w:p>
        </w:tc>
      </w:tr>
      <w:tr w14:paraId="40617612">
        <w:tblPrEx>
          <w:tblCellMar>
            <w:top w:w="0" w:type="dxa"/>
            <w:left w:w="108" w:type="dxa"/>
            <w:bottom w:w="0" w:type="dxa"/>
            <w:right w:w="108" w:type="dxa"/>
          </w:tblCellMar>
        </w:tblPrEx>
        <w:trPr>
          <w:trHeight w:val="618" w:hRule="atLeast"/>
        </w:trPr>
        <w:tc>
          <w:tcPr>
            <w:tcW w:w="2858" w:type="pct"/>
            <w:gridSpan w:val="4"/>
            <w:tcBorders>
              <w:top w:val="single" w:color="auto" w:sz="8" w:space="0"/>
              <w:left w:val="single" w:color="auto" w:sz="8" w:space="0"/>
              <w:bottom w:val="nil"/>
              <w:right w:val="nil"/>
            </w:tcBorders>
            <w:vAlign w:val="center"/>
          </w:tcPr>
          <w:p w14:paraId="2BA95253">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中标或者成交供应商负责人签字或盖章：</w:t>
            </w:r>
          </w:p>
        </w:tc>
        <w:tc>
          <w:tcPr>
            <w:tcW w:w="2022" w:type="pct"/>
            <w:gridSpan w:val="5"/>
            <w:tcBorders>
              <w:top w:val="single" w:color="auto" w:sz="8" w:space="0"/>
              <w:left w:val="single" w:color="auto" w:sz="8" w:space="0"/>
              <w:bottom w:val="nil"/>
              <w:right w:val="single" w:color="000000" w:sz="8" w:space="0"/>
            </w:tcBorders>
            <w:vAlign w:val="center"/>
          </w:tcPr>
          <w:p w14:paraId="328F19CC">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学院（部门）领导签字：</w:t>
            </w:r>
          </w:p>
        </w:tc>
        <w:tc>
          <w:tcPr>
            <w:tcW w:w="119" w:type="pct"/>
            <w:vAlign w:val="center"/>
          </w:tcPr>
          <w:p w14:paraId="1D2E7F65">
            <w:pPr>
              <w:widowControl/>
              <w:jc w:val="left"/>
              <w:rPr>
                <w:rFonts w:ascii="宋体" w:hAnsi="宋体" w:cs="宋体"/>
                <w:color w:val="auto"/>
                <w:kern w:val="0"/>
                <w:sz w:val="20"/>
                <w:szCs w:val="20"/>
                <w:highlight w:val="none"/>
              </w:rPr>
            </w:pPr>
          </w:p>
        </w:tc>
      </w:tr>
      <w:tr w14:paraId="5DC3F3F9">
        <w:tblPrEx>
          <w:tblCellMar>
            <w:top w:w="0" w:type="dxa"/>
            <w:left w:w="108" w:type="dxa"/>
            <w:bottom w:w="0" w:type="dxa"/>
            <w:right w:w="108" w:type="dxa"/>
          </w:tblCellMar>
        </w:tblPrEx>
        <w:trPr>
          <w:trHeight w:val="362" w:hRule="atLeast"/>
        </w:trPr>
        <w:tc>
          <w:tcPr>
            <w:tcW w:w="2858" w:type="pct"/>
            <w:gridSpan w:val="4"/>
            <w:tcBorders>
              <w:top w:val="nil"/>
              <w:left w:val="single" w:color="auto" w:sz="8" w:space="0"/>
              <w:bottom w:val="single" w:color="auto" w:sz="8" w:space="0"/>
              <w:right w:val="nil"/>
            </w:tcBorders>
            <w:vAlign w:val="center"/>
          </w:tcPr>
          <w:p w14:paraId="4E8B7D9F">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联系电话：       年   月   日</w:t>
            </w:r>
          </w:p>
        </w:tc>
        <w:tc>
          <w:tcPr>
            <w:tcW w:w="2022" w:type="pct"/>
            <w:gridSpan w:val="5"/>
            <w:tcBorders>
              <w:top w:val="nil"/>
              <w:left w:val="single" w:color="auto" w:sz="8" w:space="0"/>
              <w:bottom w:val="single" w:color="auto" w:sz="8" w:space="0"/>
              <w:right w:val="single" w:color="000000" w:sz="8" w:space="0"/>
            </w:tcBorders>
            <w:vAlign w:val="center"/>
          </w:tcPr>
          <w:p w14:paraId="23FC20C2">
            <w:pPr>
              <w:widowControl/>
              <w:jc w:val="right"/>
              <w:rPr>
                <w:rFonts w:ascii="宋体" w:hAnsi="宋体" w:cs="宋体"/>
                <w:color w:val="auto"/>
                <w:kern w:val="0"/>
                <w:sz w:val="22"/>
                <w:highlight w:val="none"/>
              </w:rPr>
            </w:pPr>
            <w:r>
              <w:rPr>
                <w:rFonts w:hint="eastAsia" w:ascii="宋体" w:hAnsi="宋体" w:cs="宋体"/>
                <w:color w:val="auto"/>
                <w:kern w:val="0"/>
                <w:sz w:val="22"/>
                <w:highlight w:val="none"/>
              </w:rPr>
              <w:t>年   月   日</w:t>
            </w:r>
          </w:p>
        </w:tc>
        <w:tc>
          <w:tcPr>
            <w:tcW w:w="119" w:type="pct"/>
            <w:vAlign w:val="center"/>
          </w:tcPr>
          <w:p w14:paraId="16849D00">
            <w:pPr>
              <w:widowControl/>
              <w:jc w:val="left"/>
              <w:rPr>
                <w:rFonts w:ascii="宋体" w:hAnsi="宋体" w:cs="宋体"/>
                <w:color w:val="auto"/>
                <w:kern w:val="0"/>
                <w:sz w:val="20"/>
                <w:szCs w:val="20"/>
                <w:highlight w:val="none"/>
              </w:rPr>
            </w:pPr>
          </w:p>
        </w:tc>
      </w:tr>
    </w:tbl>
    <w:p w14:paraId="1431333C">
      <w:pPr>
        <w:pStyle w:val="26"/>
        <w:snapToGrid w:val="0"/>
        <w:rPr>
          <w:rFonts w:hAnsi="宋体" w:cs="宋体"/>
          <w:color w:val="auto"/>
          <w:highlight w:val="none"/>
        </w:rPr>
      </w:pPr>
    </w:p>
    <w:p w14:paraId="7723A3FE">
      <w:pPr>
        <w:rPr>
          <w:color w:val="auto"/>
          <w:highlight w:val="none"/>
        </w:rPr>
      </w:pPr>
      <w:r>
        <w:rPr>
          <w:rFonts w:hint="eastAsia"/>
          <w:color w:val="auto"/>
          <w:highlight w:val="none"/>
        </w:rPr>
        <w:br w:type="page"/>
      </w:r>
    </w:p>
    <w:tbl>
      <w:tblPr>
        <w:tblStyle w:val="52"/>
        <w:tblW w:w="4996" w:type="pct"/>
        <w:tblInd w:w="0" w:type="dxa"/>
        <w:tblLayout w:type="autofit"/>
        <w:tblCellMar>
          <w:top w:w="0" w:type="dxa"/>
          <w:left w:w="108" w:type="dxa"/>
          <w:bottom w:w="0" w:type="dxa"/>
          <w:right w:w="108" w:type="dxa"/>
        </w:tblCellMar>
      </w:tblPr>
      <w:tblGrid>
        <w:gridCol w:w="1756"/>
        <w:gridCol w:w="51"/>
        <w:gridCol w:w="437"/>
        <w:gridCol w:w="441"/>
        <w:gridCol w:w="437"/>
        <w:gridCol w:w="437"/>
        <w:gridCol w:w="441"/>
        <w:gridCol w:w="438"/>
        <w:gridCol w:w="442"/>
        <w:gridCol w:w="438"/>
        <w:gridCol w:w="438"/>
        <w:gridCol w:w="442"/>
        <w:gridCol w:w="438"/>
        <w:gridCol w:w="442"/>
        <w:gridCol w:w="438"/>
        <w:gridCol w:w="440"/>
        <w:gridCol w:w="438"/>
        <w:gridCol w:w="438"/>
        <w:gridCol w:w="449"/>
      </w:tblGrid>
      <w:tr w14:paraId="1C27C7D3">
        <w:tblPrEx>
          <w:tblCellMar>
            <w:top w:w="0" w:type="dxa"/>
            <w:left w:w="108" w:type="dxa"/>
            <w:bottom w:w="0" w:type="dxa"/>
            <w:right w:w="108" w:type="dxa"/>
          </w:tblCellMar>
        </w:tblPrEx>
        <w:trPr>
          <w:trHeight w:val="285" w:hRule="atLeast"/>
        </w:trPr>
        <w:tc>
          <w:tcPr>
            <w:tcW w:w="750" w:type="pct"/>
            <w:gridSpan w:val="2"/>
            <w:tcBorders>
              <w:top w:val="nil"/>
              <w:left w:val="nil"/>
              <w:bottom w:val="nil"/>
              <w:right w:val="nil"/>
            </w:tcBorders>
            <w:noWrap/>
            <w:vAlign w:val="center"/>
          </w:tcPr>
          <w:p w14:paraId="29324801">
            <w:pPr>
              <w:widowControl/>
              <w:jc w:val="left"/>
              <w:rPr>
                <w:rFonts w:ascii="宋体" w:hAnsi="宋体" w:cs="宋体"/>
                <w:color w:val="auto"/>
                <w:kern w:val="0"/>
                <w:sz w:val="22"/>
                <w:highlight w:val="none"/>
              </w:rPr>
            </w:pPr>
            <w:r>
              <w:rPr>
                <w:rFonts w:hint="eastAsia" w:ascii="宋体" w:hAnsi="宋体" w:cs="宋体"/>
                <w:b/>
                <w:bCs/>
                <w:color w:val="auto"/>
                <w:kern w:val="0"/>
                <w:sz w:val="28"/>
                <w:szCs w:val="28"/>
                <w:highlight w:val="none"/>
              </w:rPr>
              <w:t>附件2</w:t>
            </w:r>
          </w:p>
        </w:tc>
        <w:tc>
          <w:tcPr>
            <w:tcW w:w="249" w:type="pct"/>
            <w:tcBorders>
              <w:top w:val="nil"/>
              <w:left w:val="nil"/>
              <w:bottom w:val="nil"/>
              <w:right w:val="nil"/>
            </w:tcBorders>
            <w:noWrap/>
            <w:vAlign w:val="center"/>
          </w:tcPr>
          <w:p w14:paraId="62401EB0">
            <w:pPr>
              <w:widowControl/>
              <w:jc w:val="left"/>
              <w:rPr>
                <w:rFonts w:ascii="宋体" w:hAnsi="宋体" w:cs="宋体"/>
                <w:color w:val="auto"/>
                <w:kern w:val="0"/>
                <w:sz w:val="22"/>
                <w:highlight w:val="none"/>
              </w:rPr>
            </w:pPr>
          </w:p>
        </w:tc>
        <w:tc>
          <w:tcPr>
            <w:tcW w:w="249" w:type="pct"/>
            <w:tcBorders>
              <w:top w:val="nil"/>
              <w:left w:val="nil"/>
              <w:bottom w:val="nil"/>
              <w:right w:val="nil"/>
            </w:tcBorders>
            <w:noWrap/>
            <w:vAlign w:val="center"/>
          </w:tcPr>
          <w:p w14:paraId="0F361B10">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234C4B92">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49E75744">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1FAF8176">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64DA32BA">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432EE682">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5DEDC10B">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46F4EDBA">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2CE3D8BE">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26696EA8">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0AE4D1EB">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6787BA83">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30A3E183">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7BEF2BE8">
            <w:pPr>
              <w:widowControl/>
              <w:jc w:val="left"/>
              <w:rPr>
                <w:rFonts w:ascii="宋体" w:hAnsi="宋体" w:cs="宋体"/>
                <w:color w:val="auto"/>
                <w:kern w:val="0"/>
                <w:sz w:val="20"/>
                <w:szCs w:val="20"/>
                <w:highlight w:val="none"/>
              </w:rPr>
            </w:pPr>
          </w:p>
        </w:tc>
        <w:tc>
          <w:tcPr>
            <w:tcW w:w="249" w:type="pct"/>
            <w:tcBorders>
              <w:top w:val="nil"/>
              <w:left w:val="nil"/>
              <w:bottom w:val="nil"/>
              <w:right w:val="nil"/>
            </w:tcBorders>
            <w:noWrap/>
            <w:vAlign w:val="center"/>
          </w:tcPr>
          <w:p w14:paraId="573C980E">
            <w:pPr>
              <w:widowControl/>
              <w:jc w:val="left"/>
              <w:rPr>
                <w:rFonts w:ascii="宋体" w:hAnsi="宋体" w:cs="宋体"/>
                <w:color w:val="auto"/>
                <w:kern w:val="0"/>
                <w:sz w:val="20"/>
                <w:szCs w:val="20"/>
                <w:highlight w:val="none"/>
              </w:rPr>
            </w:pPr>
          </w:p>
        </w:tc>
        <w:tc>
          <w:tcPr>
            <w:tcW w:w="250" w:type="pct"/>
            <w:tcBorders>
              <w:top w:val="nil"/>
              <w:left w:val="nil"/>
              <w:bottom w:val="nil"/>
              <w:right w:val="nil"/>
            </w:tcBorders>
            <w:noWrap/>
            <w:vAlign w:val="center"/>
          </w:tcPr>
          <w:p w14:paraId="17B6E889">
            <w:pPr>
              <w:widowControl/>
              <w:jc w:val="left"/>
              <w:rPr>
                <w:rFonts w:ascii="宋体" w:hAnsi="宋体" w:cs="宋体"/>
                <w:color w:val="auto"/>
                <w:kern w:val="0"/>
                <w:sz w:val="20"/>
                <w:szCs w:val="20"/>
                <w:highlight w:val="none"/>
              </w:rPr>
            </w:pPr>
          </w:p>
        </w:tc>
      </w:tr>
      <w:tr w14:paraId="7091782F">
        <w:tblPrEx>
          <w:tblCellMar>
            <w:top w:w="0" w:type="dxa"/>
            <w:left w:w="108" w:type="dxa"/>
            <w:bottom w:w="0" w:type="dxa"/>
            <w:right w:w="108" w:type="dxa"/>
          </w:tblCellMar>
        </w:tblPrEx>
        <w:trPr>
          <w:trHeight w:val="500" w:hRule="atLeast"/>
        </w:trPr>
        <w:tc>
          <w:tcPr>
            <w:tcW w:w="5000" w:type="pct"/>
            <w:gridSpan w:val="19"/>
            <w:tcBorders>
              <w:top w:val="nil"/>
              <w:left w:val="nil"/>
              <w:bottom w:val="nil"/>
              <w:right w:val="nil"/>
            </w:tcBorders>
            <w:noWrap/>
            <w:vAlign w:val="center"/>
          </w:tcPr>
          <w:p w14:paraId="0ECC0EBF">
            <w:pPr>
              <w:widowControl/>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广西师范大学货物校级验收报告单</w:t>
            </w:r>
          </w:p>
        </w:tc>
      </w:tr>
      <w:tr w14:paraId="0E4243EB">
        <w:tblPrEx>
          <w:tblCellMar>
            <w:top w:w="0" w:type="dxa"/>
            <w:left w:w="108" w:type="dxa"/>
            <w:bottom w:w="0" w:type="dxa"/>
            <w:right w:w="108" w:type="dxa"/>
          </w:tblCellMar>
        </w:tblPrEx>
        <w:trPr>
          <w:trHeight w:val="333" w:hRule="atLeast"/>
        </w:trPr>
        <w:tc>
          <w:tcPr>
            <w:tcW w:w="5000" w:type="pct"/>
            <w:gridSpan w:val="19"/>
            <w:tcBorders>
              <w:top w:val="nil"/>
              <w:left w:val="nil"/>
              <w:bottom w:val="nil"/>
              <w:right w:val="nil"/>
            </w:tcBorders>
            <w:noWrap/>
            <w:vAlign w:val="center"/>
          </w:tcPr>
          <w:p w14:paraId="2BE52E0A">
            <w:pPr>
              <w:widowControl/>
              <w:jc w:val="center"/>
              <w:rPr>
                <w:rFonts w:ascii="宋体" w:hAnsi="宋体" w:cs="宋体"/>
                <w:b/>
                <w:bCs/>
                <w:color w:val="auto"/>
                <w:kern w:val="0"/>
                <w:sz w:val="32"/>
                <w:szCs w:val="32"/>
                <w:highlight w:val="none"/>
              </w:rPr>
            </w:pPr>
          </w:p>
        </w:tc>
      </w:tr>
      <w:tr w14:paraId="70B42CDF">
        <w:trPr>
          <w:trHeight w:val="600" w:hRule="atLeast"/>
        </w:trPr>
        <w:tc>
          <w:tcPr>
            <w:tcW w:w="750" w:type="pct"/>
            <w:gridSpan w:val="2"/>
            <w:tcBorders>
              <w:top w:val="single" w:color="auto" w:sz="8" w:space="0"/>
              <w:left w:val="single" w:color="auto" w:sz="8" w:space="0"/>
              <w:bottom w:val="single" w:color="auto" w:sz="8" w:space="0"/>
              <w:right w:val="single" w:color="auto" w:sz="8" w:space="0"/>
            </w:tcBorders>
            <w:noWrap/>
            <w:vAlign w:val="center"/>
          </w:tcPr>
          <w:p w14:paraId="30DD1E0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申购单位</w:t>
            </w:r>
          </w:p>
        </w:tc>
        <w:tc>
          <w:tcPr>
            <w:tcW w:w="1749" w:type="pct"/>
            <w:gridSpan w:val="7"/>
            <w:tcBorders>
              <w:top w:val="single" w:color="auto" w:sz="8" w:space="0"/>
              <w:left w:val="nil"/>
              <w:bottom w:val="single" w:color="auto" w:sz="8" w:space="0"/>
              <w:right w:val="single" w:color="000000" w:sz="8" w:space="0"/>
            </w:tcBorders>
            <w:noWrap/>
            <w:vAlign w:val="center"/>
          </w:tcPr>
          <w:p w14:paraId="7E9F8A82">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749" w:type="pct"/>
            <w:gridSpan w:val="3"/>
            <w:tcBorders>
              <w:top w:val="single" w:color="auto" w:sz="8" w:space="0"/>
              <w:left w:val="nil"/>
              <w:bottom w:val="single" w:color="auto" w:sz="8" w:space="0"/>
              <w:right w:val="single" w:color="000000" w:sz="8" w:space="0"/>
            </w:tcBorders>
            <w:vAlign w:val="center"/>
          </w:tcPr>
          <w:p w14:paraId="4000A07E">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合同编号</w:t>
            </w:r>
          </w:p>
        </w:tc>
        <w:tc>
          <w:tcPr>
            <w:tcW w:w="1750" w:type="pct"/>
            <w:gridSpan w:val="7"/>
            <w:tcBorders>
              <w:top w:val="single" w:color="auto" w:sz="8" w:space="0"/>
              <w:left w:val="nil"/>
              <w:bottom w:val="single" w:color="auto" w:sz="8" w:space="0"/>
              <w:right w:val="single" w:color="000000" w:sz="8" w:space="0"/>
            </w:tcBorders>
            <w:vAlign w:val="center"/>
          </w:tcPr>
          <w:p w14:paraId="546FE59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081BDE93">
        <w:tblPrEx>
          <w:tblCellMar>
            <w:top w:w="0" w:type="dxa"/>
            <w:left w:w="108" w:type="dxa"/>
            <w:bottom w:w="0" w:type="dxa"/>
            <w:right w:w="108" w:type="dxa"/>
          </w:tblCellMar>
        </w:tblPrEx>
        <w:trPr>
          <w:trHeight w:val="439" w:hRule="atLeast"/>
        </w:trPr>
        <w:tc>
          <w:tcPr>
            <w:tcW w:w="750" w:type="pct"/>
            <w:gridSpan w:val="2"/>
            <w:tcBorders>
              <w:top w:val="single" w:color="auto" w:sz="8" w:space="0"/>
              <w:left w:val="single" w:color="auto" w:sz="8" w:space="0"/>
              <w:bottom w:val="single" w:color="auto" w:sz="8" w:space="0"/>
              <w:right w:val="single" w:color="000000" w:sz="8" w:space="0"/>
            </w:tcBorders>
            <w:noWrap/>
            <w:vAlign w:val="center"/>
          </w:tcPr>
          <w:p w14:paraId="4D8707A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项目名称</w:t>
            </w:r>
          </w:p>
        </w:tc>
        <w:tc>
          <w:tcPr>
            <w:tcW w:w="4249" w:type="pct"/>
            <w:gridSpan w:val="17"/>
            <w:tcBorders>
              <w:top w:val="single" w:color="auto" w:sz="8" w:space="0"/>
              <w:left w:val="nil"/>
              <w:bottom w:val="single" w:color="auto" w:sz="8" w:space="0"/>
              <w:right w:val="single" w:color="000000" w:sz="8" w:space="0"/>
            </w:tcBorders>
            <w:noWrap/>
            <w:vAlign w:val="center"/>
          </w:tcPr>
          <w:p w14:paraId="2DDED07B">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4A3CD7B8">
        <w:tblPrEx>
          <w:tblCellMar>
            <w:top w:w="0" w:type="dxa"/>
            <w:left w:w="108" w:type="dxa"/>
            <w:bottom w:w="0" w:type="dxa"/>
            <w:right w:w="108" w:type="dxa"/>
          </w:tblCellMar>
        </w:tblPrEx>
        <w:trPr>
          <w:trHeight w:val="501" w:hRule="atLeast"/>
        </w:trPr>
        <w:tc>
          <w:tcPr>
            <w:tcW w:w="1250" w:type="pct"/>
            <w:gridSpan w:val="4"/>
            <w:tcBorders>
              <w:top w:val="single" w:color="auto" w:sz="8" w:space="0"/>
              <w:left w:val="single" w:color="auto" w:sz="8" w:space="0"/>
              <w:bottom w:val="single" w:color="auto" w:sz="8" w:space="0"/>
              <w:right w:val="single" w:color="auto" w:sz="8" w:space="0"/>
            </w:tcBorders>
            <w:vAlign w:val="center"/>
          </w:tcPr>
          <w:p w14:paraId="55BC9B7B">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合同金额（万元）</w:t>
            </w:r>
          </w:p>
        </w:tc>
        <w:tc>
          <w:tcPr>
            <w:tcW w:w="1249" w:type="pct"/>
            <w:gridSpan w:val="5"/>
            <w:tcBorders>
              <w:top w:val="single" w:color="auto" w:sz="8" w:space="0"/>
              <w:left w:val="nil"/>
              <w:bottom w:val="single" w:color="auto" w:sz="8" w:space="0"/>
              <w:right w:val="single" w:color="auto" w:sz="8" w:space="0"/>
            </w:tcBorders>
            <w:noWrap/>
            <w:vAlign w:val="center"/>
          </w:tcPr>
          <w:p w14:paraId="6E0ADEE7">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249" w:type="pct"/>
            <w:gridSpan w:val="5"/>
            <w:tcBorders>
              <w:top w:val="single" w:color="auto" w:sz="8" w:space="0"/>
              <w:left w:val="nil"/>
              <w:bottom w:val="single" w:color="auto" w:sz="8" w:space="0"/>
              <w:right w:val="single" w:color="000000" w:sz="8" w:space="0"/>
            </w:tcBorders>
            <w:noWrap/>
            <w:vAlign w:val="center"/>
          </w:tcPr>
          <w:p w14:paraId="3A8A544D">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校级验收日期</w:t>
            </w:r>
          </w:p>
        </w:tc>
        <w:tc>
          <w:tcPr>
            <w:tcW w:w="1250" w:type="pct"/>
            <w:gridSpan w:val="5"/>
            <w:tcBorders>
              <w:top w:val="single" w:color="auto" w:sz="8" w:space="0"/>
              <w:left w:val="nil"/>
              <w:bottom w:val="single" w:color="auto" w:sz="8" w:space="0"/>
              <w:right w:val="single" w:color="auto" w:sz="8" w:space="0"/>
            </w:tcBorders>
            <w:noWrap/>
            <w:vAlign w:val="center"/>
          </w:tcPr>
          <w:p w14:paraId="5A15FE3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415B29CD">
        <w:tblPrEx>
          <w:tblCellMar>
            <w:top w:w="0" w:type="dxa"/>
            <w:left w:w="108" w:type="dxa"/>
            <w:bottom w:w="0" w:type="dxa"/>
            <w:right w:w="108" w:type="dxa"/>
          </w:tblCellMar>
        </w:tblPrEx>
        <w:trPr>
          <w:trHeight w:val="474" w:hRule="atLeast"/>
        </w:trPr>
        <w:tc>
          <w:tcPr>
            <w:tcW w:w="1250" w:type="pct"/>
            <w:gridSpan w:val="4"/>
            <w:tcBorders>
              <w:top w:val="single" w:color="auto" w:sz="8" w:space="0"/>
              <w:left w:val="single" w:color="auto" w:sz="8" w:space="0"/>
              <w:bottom w:val="single" w:color="auto" w:sz="8" w:space="0"/>
              <w:right w:val="single" w:color="auto" w:sz="8" w:space="0"/>
            </w:tcBorders>
            <w:noWrap/>
            <w:vAlign w:val="center"/>
          </w:tcPr>
          <w:p w14:paraId="183F85F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验收方式</w:t>
            </w:r>
          </w:p>
        </w:tc>
        <w:tc>
          <w:tcPr>
            <w:tcW w:w="3749" w:type="pct"/>
            <w:gridSpan w:val="15"/>
            <w:tcBorders>
              <w:top w:val="single" w:color="auto" w:sz="8" w:space="0"/>
              <w:left w:val="nil"/>
              <w:bottom w:val="single" w:color="auto" w:sz="8" w:space="0"/>
              <w:right w:val="single" w:color="auto" w:sz="8" w:space="0"/>
            </w:tcBorders>
            <w:noWrap/>
            <w:vAlign w:val="center"/>
          </w:tcPr>
          <w:p w14:paraId="31E3B74E">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☑自行验收         □委托验收</w:t>
            </w:r>
          </w:p>
        </w:tc>
      </w:tr>
      <w:tr w14:paraId="06432F70">
        <w:tblPrEx>
          <w:tblCellMar>
            <w:top w:w="0" w:type="dxa"/>
            <w:left w:w="108" w:type="dxa"/>
            <w:bottom w:w="0" w:type="dxa"/>
            <w:right w:w="108" w:type="dxa"/>
          </w:tblCellMar>
        </w:tblPrEx>
        <w:trPr>
          <w:trHeight w:val="465" w:hRule="atLeast"/>
        </w:trPr>
        <w:tc>
          <w:tcPr>
            <w:tcW w:w="1250" w:type="pct"/>
            <w:gridSpan w:val="4"/>
            <w:vMerge w:val="restart"/>
            <w:tcBorders>
              <w:top w:val="single" w:color="auto" w:sz="8" w:space="0"/>
              <w:left w:val="single" w:color="auto" w:sz="8" w:space="0"/>
              <w:bottom w:val="single" w:color="auto" w:sz="8" w:space="0"/>
              <w:right w:val="single" w:color="auto" w:sz="8" w:space="0"/>
            </w:tcBorders>
            <w:vAlign w:val="center"/>
          </w:tcPr>
          <w:p w14:paraId="14727D7D">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学院（部门）级</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验收审核情况</w:t>
            </w:r>
          </w:p>
        </w:tc>
        <w:tc>
          <w:tcPr>
            <w:tcW w:w="3749" w:type="pct"/>
            <w:gridSpan w:val="15"/>
            <w:vMerge w:val="restart"/>
            <w:tcBorders>
              <w:top w:val="single" w:color="auto" w:sz="8" w:space="0"/>
              <w:left w:val="single" w:color="auto" w:sz="8" w:space="0"/>
              <w:bottom w:val="single" w:color="auto" w:sz="8" w:space="0"/>
              <w:right w:val="single" w:color="auto" w:sz="8" w:space="0"/>
            </w:tcBorders>
            <w:noWrap/>
            <w:vAlign w:val="center"/>
          </w:tcPr>
          <w:p w14:paraId="2176F471">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440977F9">
        <w:tblPrEx>
          <w:tblCellMar>
            <w:top w:w="0" w:type="dxa"/>
            <w:left w:w="108" w:type="dxa"/>
            <w:bottom w:w="0" w:type="dxa"/>
            <w:right w:w="108" w:type="dxa"/>
          </w:tblCellMar>
        </w:tblPrEx>
        <w:trPr>
          <w:trHeight w:val="285" w:hRule="atLeast"/>
        </w:trPr>
        <w:tc>
          <w:tcPr>
            <w:tcW w:w="1250" w:type="pct"/>
            <w:gridSpan w:val="4"/>
            <w:vMerge w:val="continue"/>
            <w:tcBorders>
              <w:top w:val="single" w:color="auto" w:sz="8" w:space="0"/>
              <w:left w:val="single" w:color="auto" w:sz="8" w:space="0"/>
              <w:bottom w:val="single" w:color="auto" w:sz="8" w:space="0"/>
              <w:right w:val="single" w:color="auto" w:sz="8" w:space="0"/>
            </w:tcBorders>
            <w:vAlign w:val="center"/>
          </w:tcPr>
          <w:p w14:paraId="01D0A260">
            <w:pPr>
              <w:widowControl/>
              <w:jc w:val="left"/>
              <w:rPr>
                <w:rFonts w:ascii="宋体" w:hAnsi="宋体" w:cs="宋体"/>
                <w:color w:val="auto"/>
                <w:kern w:val="0"/>
                <w:sz w:val="22"/>
                <w:highlight w:val="none"/>
              </w:rPr>
            </w:pPr>
          </w:p>
        </w:tc>
        <w:tc>
          <w:tcPr>
            <w:tcW w:w="3749" w:type="pct"/>
            <w:gridSpan w:val="15"/>
            <w:vMerge w:val="continue"/>
            <w:tcBorders>
              <w:top w:val="single" w:color="auto" w:sz="8" w:space="0"/>
              <w:left w:val="single" w:color="auto" w:sz="8" w:space="0"/>
              <w:bottom w:val="single" w:color="auto" w:sz="8" w:space="0"/>
              <w:right w:val="single" w:color="auto" w:sz="8" w:space="0"/>
            </w:tcBorders>
            <w:vAlign w:val="center"/>
          </w:tcPr>
          <w:p w14:paraId="74579B32">
            <w:pPr>
              <w:widowControl/>
              <w:jc w:val="left"/>
              <w:rPr>
                <w:rFonts w:ascii="宋体" w:hAnsi="宋体" w:cs="宋体"/>
                <w:color w:val="auto"/>
                <w:kern w:val="0"/>
                <w:sz w:val="22"/>
                <w:highlight w:val="none"/>
              </w:rPr>
            </w:pPr>
          </w:p>
        </w:tc>
      </w:tr>
      <w:tr w14:paraId="4FA4E7F5">
        <w:tblPrEx>
          <w:tblCellMar>
            <w:top w:w="0" w:type="dxa"/>
            <w:left w:w="108" w:type="dxa"/>
            <w:bottom w:w="0" w:type="dxa"/>
            <w:right w:w="108" w:type="dxa"/>
          </w:tblCellMar>
        </w:tblPrEx>
        <w:trPr>
          <w:trHeight w:val="285" w:hRule="atLeast"/>
        </w:trPr>
        <w:tc>
          <w:tcPr>
            <w:tcW w:w="1250" w:type="pct"/>
            <w:gridSpan w:val="4"/>
            <w:vMerge w:val="restart"/>
            <w:tcBorders>
              <w:top w:val="single" w:color="auto" w:sz="8" w:space="0"/>
              <w:left w:val="single" w:color="auto" w:sz="8" w:space="0"/>
              <w:bottom w:val="single" w:color="auto" w:sz="8" w:space="0"/>
              <w:right w:val="single" w:color="auto" w:sz="8" w:space="0"/>
            </w:tcBorders>
            <w:vAlign w:val="center"/>
          </w:tcPr>
          <w:p w14:paraId="69D6897D">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抽测情况</w:t>
            </w:r>
          </w:p>
        </w:tc>
        <w:tc>
          <w:tcPr>
            <w:tcW w:w="3749" w:type="pct"/>
            <w:gridSpan w:val="15"/>
            <w:vMerge w:val="restart"/>
            <w:tcBorders>
              <w:top w:val="single" w:color="auto" w:sz="8" w:space="0"/>
              <w:left w:val="single" w:color="auto" w:sz="8" w:space="0"/>
              <w:bottom w:val="single" w:color="auto" w:sz="8" w:space="0"/>
              <w:right w:val="single" w:color="auto" w:sz="8" w:space="0"/>
            </w:tcBorders>
            <w:noWrap/>
            <w:vAlign w:val="center"/>
          </w:tcPr>
          <w:p w14:paraId="5A11DFF9">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65035E04">
        <w:tblPrEx>
          <w:tblCellMar>
            <w:top w:w="0" w:type="dxa"/>
            <w:left w:w="108" w:type="dxa"/>
            <w:bottom w:w="0" w:type="dxa"/>
            <w:right w:w="108" w:type="dxa"/>
          </w:tblCellMar>
        </w:tblPrEx>
        <w:trPr>
          <w:trHeight w:val="285" w:hRule="atLeast"/>
        </w:trPr>
        <w:tc>
          <w:tcPr>
            <w:tcW w:w="1250" w:type="pct"/>
            <w:gridSpan w:val="4"/>
            <w:vMerge w:val="continue"/>
            <w:tcBorders>
              <w:top w:val="single" w:color="auto" w:sz="8" w:space="0"/>
              <w:left w:val="single" w:color="auto" w:sz="8" w:space="0"/>
              <w:bottom w:val="single" w:color="auto" w:sz="8" w:space="0"/>
              <w:right w:val="single" w:color="auto" w:sz="8" w:space="0"/>
            </w:tcBorders>
            <w:vAlign w:val="center"/>
          </w:tcPr>
          <w:p w14:paraId="14B7604C">
            <w:pPr>
              <w:widowControl/>
              <w:jc w:val="left"/>
              <w:rPr>
                <w:rFonts w:ascii="宋体" w:hAnsi="宋体" w:cs="宋体"/>
                <w:color w:val="auto"/>
                <w:kern w:val="0"/>
                <w:sz w:val="22"/>
                <w:highlight w:val="none"/>
              </w:rPr>
            </w:pPr>
          </w:p>
        </w:tc>
        <w:tc>
          <w:tcPr>
            <w:tcW w:w="3749" w:type="pct"/>
            <w:gridSpan w:val="15"/>
            <w:vMerge w:val="continue"/>
            <w:tcBorders>
              <w:top w:val="single" w:color="auto" w:sz="8" w:space="0"/>
              <w:left w:val="single" w:color="auto" w:sz="8" w:space="0"/>
              <w:bottom w:val="single" w:color="auto" w:sz="8" w:space="0"/>
              <w:right w:val="single" w:color="auto" w:sz="8" w:space="0"/>
            </w:tcBorders>
            <w:vAlign w:val="center"/>
          </w:tcPr>
          <w:p w14:paraId="56FA9DE8">
            <w:pPr>
              <w:widowControl/>
              <w:jc w:val="left"/>
              <w:rPr>
                <w:rFonts w:ascii="宋体" w:hAnsi="宋体" w:cs="宋体"/>
                <w:color w:val="auto"/>
                <w:kern w:val="0"/>
                <w:sz w:val="22"/>
                <w:highlight w:val="none"/>
              </w:rPr>
            </w:pPr>
          </w:p>
        </w:tc>
      </w:tr>
      <w:tr w14:paraId="45F137FD">
        <w:trPr>
          <w:trHeight w:val="285" w:hRule="atLeast"/>
        </w:trPr>
        <w:tc>
          <w:tcPr>
            <w:tcW w:w="1250" w:type="pct"/>
            <w:gridSpan w:val="4"/>
            <w:vMerge w:val="continue"/>
            <w:tcBorders>
              <w:top w:val="single" w:color="auto" w:sz="8" w:space="0"/>
              <w:left w:val="single" w:color="auto" w:sz="8" w:space="0"/>
              <w:bottom w:val="single" w:color="auto" w:sz="8" w:space="0"/>
              <w:right w:val="single" w:color="auto" w:sz="8" w:space="0"/>
            </w:tcBorders>
            <w:vAlign w:val="center"/>
          </w:tcPr>
          <w:p w14:paraId="4C6F40E6">
            <w:pPr>
              <w:widowControl/>
              <w:jc w:val="left"/>
              <w:rPr>
                <w:rFonts w:ascii="宋体" w:hAnsi="宋体" w:cs="宋体"/>
                <w:color w:val="auto"/>
                <w:kern w:val="0"/>
                <w:sz w:val="22"/>
                <w:highlight w:val="none"/>
              </w:rPr>
            </w:pPr>
          </w:p>
        </w:tc>
        <w:tc>
          <w:tcPr>
            <w:tcW w:w="3749" w:type="pct"/>
            <w:gridSpan w:val="15"/>
            <w:vMerge w:val="continue"/>
            <w:tcBorders>
              <w:top w:val="single" w:color="auto" w:sz="8" w:space="0"/>
              <w:left w:val="single" w:color="auto" w:sz="8" w:space="0"/>
              <w:bottom w:val="single" w:color="auto" w:sz="8" w:space="0"/>
              <w:right w:val="single" w:color="auto" w:sz="8" w:space="0"/>
            </w:tcBorders>
            <w:vAlign w:val="center"/>
          </w:tcPr>
          <w:p w14:paraId="65491A17">
            <w:pPr>
              <w:widowControl/>
              <w:jc w:val="left"/>
              <w:rPr>
                <w:rFonts w:ascii="宋体" w:hAnsi="宋体" w:cs="宋体"/>
                <w:color w:val="auto"/>
                <w:kern w:val="0"/>
                <w:sz w:val="22"/>
                <w:highlight w:val="none"/>
              </w:rPr>
            </w:pPr>
          </w:p>
        </w:tc>
      </w:tr>
      <w:tr w14:paraId="108286C5">
        <w:tblPrEx>
          <w:tblCellMar>
            <w:top w:w="0" w:type="dxa"/>
            <w:left w:w="108" w:type="dxa"/>
            <w:bottom w:w="0" w:type="dxa"/>
            <w:right w:w="108" w:type="dxa"/>
          </w:tblCellMar>
        </w:tblPrEx>
        <w:trPr>
          <w:trHeight w:val="285" w:hRule="atLeast"/>
        </w:trPr>
        <w:tc>
          <w:tcPr>
            <w:tcW w:w="1250" w:type="pct"/>
            <w:gridSpan w:val="4"/>
            <w:vMerge w:val="continue"/>
            <w:tcBorders>
              <w:top w:val="single" w:color="auto" w:sz="8" w:space="0"/>
              <w:left w:val="single" w:color="auto" w:sz="8" w:space="0"/>
              <w:bottom w:val="single" w:color="auto" w:sz="8" w:space="0"/>
              <w:right w:val="single" w:color="auto" w:sz="8" w:space="0"/>
            </w:tcBorders>
            <w:vAlign w:val="center"/>
          </w:tcPr>
          <w:p w14:paraId="22C3940B">
            <w:pPr>
              <w:widowControl/>
              <w:jc w:val="left"/>
              <w:rPr>
                <w:rFonts w:ascii="宋体" w:hAnsi="宋体" w:cs="宋体"/>
                <w:color w:val="auto"/>
                <w:kern w:val="0"/>
                <w:sz w:val="22"/>
                <w:highlight w:val="none"/>
              </w:rPr>
            </w:pPr>
          </w:p>
        </w:tc>
        <w:tc>
          <w:tcPr>
            <w:tcW w:w="3749" w:type="pct"/>
            <w:gridSpan w:val="15"/>
            <w:vMerge w:val="continue"/>
            <w:tcBorders>
              <w:top w:val="single" w:color="auto" w:sz="8" w:space="0"/>
              <w:left w:val="single" w:color="auto" w:sz="8" w:space="0"/>
              <w:bottom w:val="single" w:color="auto" w:sz="8" w:space="0"/>
              <w:right w:val="single" w:color="auto" w:sz="8" w:space="0"/>
            </w:tcBorders>
            <w:vAlign w:val="center"/>
          </w:tcPr>
          <w:p w14:paraId="02F9E32B">
            <w:pPr>
              <w:widowControl/>
              <w:jc w:val="left"/>
              <w:rPr>
                <w:rFonts w:ascii="宋体" w:hAnsi="宋体" w:cs="宋体"/>
                <w:color w:val="auto"/>
                <w:kern w:val="0"/>
                <w:sz w:val="22"/>
                <w:highlight w:val="none"/>
              </w:rPr>
            </w:pPr>
          </w:p>
        </w:tc>
      </w:tr>
      <w:tr w14:paraId="369A5B2D">
        <w:tblPrEx>
          <w:tblCellMar>
            <w:top w:w="0" w:type="dxa"/>
            <w:left w:w="108" w:type="dxa"/>
            <w:bottom w:w="0" w:type="dxa"/>
            <w:right w:w="108" w:type="dxa"/>
          </w:tblCellMar>
        </w:tblPrEx>
        <w:trPr>
          <w:trHeight w:val="420" w:hRule="atLeast"/>
        </w:trPr>
        <w:tc>
          <w:tcPr>
            <w:tcW w:w="1250" w:type="pct"/>
            <w:gridSpan w:val="4"/>
            <w:vMerge w:val="restart"/>
            <w:tcBorders>
              <w:top w:val="single" w:color="auto" w:sz="8" w:space="0"/>
              <w:left w:val="single" w:color="auto" w:sz="8" w:space="0"/>
              <w:bottom w:val="single" w:color="auto" w:sz="8" w:space="0"/>
              <w:right w:val="single" w:color="auto" w:sz="8" w:space="0"/>
            </w:tcBorders>
            <w:vAlign w:val="center"/>
          </w:tcPr>
          <w:p w14:paraId="0B983CE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验收结论</w:t>
            </w:r>
          </w:p>
        </w:tc>
        <w:tc>
          <w:tcPr>
            <w:tcW w:w="3749" w:type="pct"/>
            <w:gridSpan w:val="15"/>
            <w:vMerge w:val="restart"/>
            <w:tcBorders>
              <w:top w:val="single" w:color="auto" w:sz="8" w:space="0"/>
              <w:left w:val="single" w:color="auto" w:sz="8" w:space="0"/>
              <w:bottom w:val="single" w:color="auto" w:sz="8" w:space="0"/>
              <w:right w:val="single" w:color="auto" w:sz="8" w:space="0"/>
            </w:tcBorders>
            <w:noWrap/>
            <w:vAlign w:val="center"/>
          </w:tcPr>
          <w:p w14:paraId="1033DAA9">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00549395">
        <w:trPr>
          <w:trHeight w:val="309" w:hRule="atLeast"/>
        </w:trPr>
        <w:tc>
          <w:tcPr>
            <w:tcW w:w="1250" w:type="pct"/>
            <w:gridSpan w:val="4"/>
            <w:vMerge w:val="continue"/>
            <w:tcBorders>
              <w:top w:val="single" w:color="auto" w:sz="8" w:space="0"/>
              <w:left w:val="single" w:color="auto" w:sz="8" w:space="0"/>
              <w:bottom w:val="single" w:color="auto" w:sz="8" w:space="0"/>
              <w:right w:val="single" w:color="auto" w:sz="8" w:space="0"/>
            </w:tcBorders>
            <w:vAlign w:val="center"/>
          </w:tcPr>
          <w:p w14:paraId="420A0440">
            <w:pPr>
              <w:widowControl/>
              <w:jc w:val="left"/>
              <w:rPr>
                <w:rFonts w:ascii="宋体" w:hAnsi="宋体" w:cs="宋体"/>
                <w:color w:val="auto"/>
                <w:kern w:val="0"/>
                <w:sz w:val="22"/>
                <w:highlight w:val="none"/>
              </w:rPr>
            </w:pPr>
          </w:p>
        </w:tc>
        <w:tc>
          <w:tcPr>
            <w:tcW w:w="3749" w:type="pct"/>
            <w:gridSpan w:val="15"/>
            <w:vMerge w:val="continue"/>
            <w:tcBorders>
              <w:top w:val="single" w:color="auto" w:sz="8" w:space="0"/>
              <w:left w:val="single" w:color="auto" w:sz="8" w:space="0"/>
              <w:bottom w:val="single" w:color="auto" w:sz="8" w:space="0"/>
              <w:right w:val="single" w:color="auto" w:sz="8" w:space="0"/>
            </w:tcBorders>
            <w:vAlign w:val="center"/>
          </w:tcPr>
          <w:p w14:paraId="4FCEABB0">
            <w:pPr>
              <w:widowControl/>
              <w:jc w:val="left"/>
              <w:rPr>
                <w:rFonts w:ascii="宋体" w:hAnsi="宋体" w:cs="宋体"/>
                <w:color w:val="auto"/>
                <w:kern w:val="0"/>
                <w:sz w:val="22"/>
                <w:highlight w:val="none"/>
              </w:rPr>
            </w:pPr>
          </w:p>
        </w:tc>
      </w:tr>
      <w:tr w14:paraId="312EF21E">
        <w:tblPrEx>
          <w:tblCellMar>
            <w:top w:w="0" w:type="dxa"/>
            <w:left w:w="108" w:type="dxa"/>
            <w:bottom w:w="0" w:type="dxa"/>
            <w:right w:w="108" w:type="dxa"/>
          </w:tblCellMar>
        </w:tblPrEx>
        <w:trPr>
          <w:trHeight w:val="382" w:hRule="atLeast"/>
        </w:trPr>
        <w:tc>
          <w:tcPr>
            <w:tcW w:w="5000" w:type="pct"/>
            <w:gridSpan w:val="19"/>
            <w:tcBorders>
              <w:top w:val="single" w:color="auto" w:sz="8" w:space="0"/>
              <w:left w:val="single" w:color="auto" w:sz="8" w:space="0"/>
              <w:bottom w:val="single" w:color="auto" w:sz="8" w:space="0"/>
              <w:right w:val="single" w:color="auto" w:sz="8" w:space="0"/>
            </w:tcBorders>
            <w:noWrap/>
            <w:vAlign w:val="center"/>
          </w:tcPr>
          <w:p w14:paraId="7E37B7F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参加验收人员</w:t>
            </w:r>
          </w:p>
        </w:tc>
      </w:tr>
      <w:tr w14:paraId="6F8B2573">
        <w:trPr>
          <w:trHeight w:val="600" w:hRule="atLeast"/>
        </w:trPr>
        <w:tc>
          <w:tcPr>
            <w:tcW w:w="750" w:type="pct"/>
            <w:gridSpan w:val="2"/>
            <w:tcBorders>
              <w:top w:val="single" w:color="auto" w:sz="8" w:space="0"/>
              <w:left w:val="single" w:color="auto" w:sz="8" w:space="0"/>
              <w:bottom w:val="single" w:color="auto" w:sz="8" w:space="0"/>
              <w:right w:val="single" w:color="auto" w:sz="8" w:space="0"/>
            </w:tcBorders>
            <w:noWrap/>
            <w:vAlign w:val="center"/>
          </w:tcPr>
          <w:p w14:paraId="72846FD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姓名</w:t>
            </w:r>
          </w:p>
        </w:tc>
        <w:tc>
          <w:tcPr>
            <w:tcW w:w="1249" w:type="pct"/>
            <w:gridSpan w:val="5"/>
            <w:tcBorders>
              <w:top w:val="single" w:color="auto" w:sz="8" w:space="0"/>
              <w:left w:val="nil"/>
              <w:bottom w:val="single" w:color="auto" w:sz="8" w:space="0"/>
              <w:right w:val="single" w:color="auto" w:sz="8" w:space="0"/>
            </w:tcBorders>
            <w:noWrap/>
            <w:vAlign w:val="center"/>
          </w:tcPr>
          <w:p w14:paraId="7B211561">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工作单位</w:t>
            </w:r>
          </w:p>
        </w:tc>
        <w:tc>
          <w:tcPr>
            <w:tcW w:w="1249" w:type="pct"/>
            <w:gridSpan w:val="5"/>
            <w:tcBorders>
              <w:top w:val="single" w:color="auto" w:sz="8" w:space="0"/>
              <w:left w:val="nil"/>
              <w:bottom w:val="single" w:color="auto" w:sz="8" w:space="0"/>
              <w:right w:val="single" w:color="auto" w:sz="8" w:space="0"/>
            </w:tcBorders>
            <w:noWrap/>
            <w:vAlign w:val="center"/>
          </w:tcPr>
          <w:p w14:paraId="091D791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职称</w:t>
            </w:r>
          </w:p>
        </w:tc>
        <w:tc>
          <w:tcPr>
            <w:tcW w:w="999" w:type="pct"/>
            <w:gridSpan w:val="4"/>
            <w:tcBorders>
              <w:top w:val="single" w:color="auto" w:sz="8" w:space="0"/>
              <w:left w:val="nil"/>
              <w:bottom w:val="single" w:color="auto" w:sz="8" w:space="0"/>
              <w:right w:val="single" w:color="auto" w:sz="8" w:space="0"/>
            </w:tcBorders>
            <w:noWrap/>
            <w:vAlign w:val="center"/>
          </w:tcPr>
          <w:p w14:paraId="72F0479B">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专业方向</w:t>
            </w:r>
          </w:p>
        </w:tc>
        <w:tc>
          <w:tcPr>
            <w:tcW w:w="750" w:type="pct"/>
            <w:gridSpan w:val="3"/>
            <w:tcBorders>
              <w:top w:val="single" w:color="auto" w:sz="8" w:space="0"/>
              <w:left w:val="nil"/>
              <w:bottom w:val="single" w:color="auto" w:sz="8" w:space="0"/>
              <w:right w:val="single" w:color="auto" w:sz="8" w:space="0"/>
            </w:tcBorders>
            <w:noWrap/>
            <w:vAlign w:val="center"/>
          </w:tcPr>
          <w:p w14:paraId="1596E5A5">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本人签名</w:t>
            </w:r>
          </w:p>
        </w:tc>
      </w:tr>
      <w:tr w14:paraId="6C8BBE39">
        <w:tblPrEx>
          <w:tblCellMar>
            <w:top w:w="0" w:type="dxa"/>
            <w:left w:w="108" w:type="dxa"/>
            <w:bottom w:w="0" w:type="dxa"/>
            <w:right w:w="108" w:type="dxa"/>
          </w:tblCellMar>
        </w:tblPrEx>
        <w:trPr>
          <w:trHeight w:val="600" w:hRule="atLeast"/>
        </w:trPr>
        <w:tc>
          <w:tcPr>
            <w:tcW w:w="750" w:type="pct"/>
            <w:gridSpan w:val="2"/>
            <w:tcBorders>
              <w:top w:val="single" w:color="auto" w:sz="8" w:space="0"/>
              <w:left w:val="single" w:color="auto" w:sz="8" w:space="0"/>
              <w:bottom w:val="single" w:color="auto" w:sz="8" w:space="0"/>
              <w:right w:val="single" w:color="auto" w:sz="8" w:space="0"/>
            </w:tcBorders>
            <w:noWrap/>
            <w:vAlign w:val="center"/>
          </w:tcPr>
          <w:p w14:paraId="6AD63FF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249" w:type="pct"/>
            <w:gridSpan w:val="5"/>
            <w:tcBorders>
              <w:top w:val="single" w:color="auto" w:sz="8" w:space="0"/>
              <w:left w:val="nil"/>
              <w:bottom w:val="single" w:color="auto" w:sz="8" w:space="0"/>
              <w:right w:val="single" w:color="auto" w:sz="8" w:space="0"/>
            </w:tcBorders>
            <w:noWrap/>
            <w:vAlign w:val="center"/>
          </w:tcPr>
          <w:p w14:paraId="453B667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249" w:type="pct"/>
            <w:gridSpan w:val="5"/>
            <w:tcBorders>
              <w:top w:val="single" w:color="auto" w:sz="8" w:space="0"/>
              <w:left w:val="nil"/>
              <w:bottom w:val="single" w:color="auto" w:sz="8" w:space="0"/>
              <w:right w:val="single" w:color="auto" w:sz="8" w:space="0"/>
            </w:tcBorders>
            <w:noWrap/>
            <w:vAlign w:val="center"/>
          </w:tcPr>
          <w:p w14:paraId="368B188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999" w:type="pct"/>
            <w:gridSpan w:val="4"/>
            <w:tcBorders>
              <w:top w:val="single" w:color="auto" w:sz="8" w:space="0"/>
              <w:left w:val="nil"/>
              <w:bottom w:val="single" w:color="auto" w:sz="8" w:space="0"/>
              <w:right w:val="single" w:color="auto" w:sz="8" w:space="0"/>
            </w:tcBorders>
            <w:noWrap/>
            <w:vAlign w:val="center"/>
          </w:tcPr>
          <w:p w14:paraId="205180D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750" w:type="pct"/>
            <w:gridSpan w:val="3"/>
            <w:tcBorders>
              <w:top w:val="single" w:color="auto" w:sz="8" w:space="0"/>
              <w:left w:val="nil"/>
              <w:bottom w:val="single" w:color="auto" w:sz="8" w:space="0"/>
              <w:right w:val="single" w:color="auto" w:sz="8" w:space="0"/>
            </w:tcBorders>
            <w:noWrap/>
            <w:vAlign w:val="center"/>
          </w:tcPr>
          <w:p w14:paraId="0B43398E">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7DA87EBA">
        <w:tblPrEx>
          <w:tblCellMar>
            <w:top w:w="0" w:type="dxa"/>
            <w:left w:w="108" w:type="dxa"/>
            <w:bottom w:w="0" w:type="dxa"/>
            <w:right w:w="108" w:type="dxa"/>
          </w:tblCellMar>
        </w:tblPrEx>
        <w:trPr>
          <w:trHeight w:val="600" w:hRule="atLeast"/>
        </w:trPr>
        <w:tc>
          <w:tcPr>
            <w:tcW w:w="750" w:type="pct"/>
            <w:gridSpan w:val="2"/>
            <w:tcBorders>
              <w:top w:val="single" w:color="auto" w:sz="8" w:space="0"/>
              <w:left w:val="single" w:color="auto" w:sz="8" w:space="0"/>
              <w:bottom w:val="single" w:color="auto" w:sz="8" w:space="0"/>
              <w:right w:val="single" w:color="auto" w:sz="8" w:space="0"/>
            </w:tcBorders>
            <w:noWrap/>
            <w:vAlign w:val="center"/>
          </w:tcPr>
          <w:p w14:paraId="2EDAC1EF">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249" w:type="pct"/>
            <w:gridSpan w:val="5"/>
            <w:tcBorders>
              <w:top w:val="single" w:color="auto" w:sz="8" w:space="0"/>
              <w:left w:val="nil"/>
              <w:bottom w:val="single" w:color="auto" w:sz="8" w:space="0"/>
              <w:right w:val="single" w:color="auto" w:sz="8" w:space="0"/>
            </w:tcBorders>
            <w:noWrap/>
            <w:vAlign w:val="center"/>
          </w:tcPr>
          <w:p w14:paraId="4DCB4AE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249" w:type="pct"/>
            <w:gridSpan w:val="5"/>
            <w:tcBorders>
              <w:top w:val="single" w:color="auto" w:sz="8" w:space="0"/>
              <w:left w:val="nil"/>
              <w:bottom w:val="single" w:color="auto" w:sz="8" w:space="0"/>
              <w:right w:val="single" w:color="auto" w:sz="8" w:space="0"/>
            </w:tcBorders>
            <w:noWrap/>
            <w:vAlign w:val="center"/>
          </w:tcPr>
          <w:p w14:paraId="1A25CC0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999" w:type="pct"/>
            <w:gridSpan w:val="4"/>
            <w:tcBorders>
              <w:top w:val="single" w:color="auto" w:sz="8" w:space="0"/>
              <w:left w:val="nil"/>
              <w:bottom w:val="single" w:color="auto" w:sz="8" w:space="0"/>
              <w:right w:val="single" w:color="auto" w:sz="8" w:space="0"/>
            </w:tcBorders>
            <w:noWrap/>
            <w:vAlign w:val="center"/>
          </w:tcPr>
          <w:p w14:paraId="543EFB3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750" w:type="pct"/>
            <w:gridSpan w:val="3"/>
            <w:tcBorders>
              <w:top w:val="single" w:color="auto" w:sz="8" w:space="0"/>
              <w:left w:val="nil"/>
              <w:bottom w:val="single" w:color="auto" w:sz="8" w:space="0"/>
              <w:right w:val="single" w:color="auto" w:sz="8" w:space="0"/>
            </w:tcBorders>
            <w:noWrap/>
            <w:vAlign w:val="center"/>
          </w:tcPr>
          <w:p w14:paraId="0B372DBD">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11C1399B">
        <w:tblPrEx>
          <w:tblCellMar>
            <w:top w:w="0" w:type="dxa"/>
            <w:left w:w="108" w:type="dxa"/>
            <w:bottom w:w="0" w:type="dxa"/>
            <w:right w:w="108" w:type="dxa"/>
          </w:tblCellMar>
        </w:tblPrEx>
        <w:trPr>
          <w:trHeight w:val="600" w:hRule="atLeast"/>
        </w:trPr>
        <w:tc>
          <w:tcPr>
            <w:tcW w:w="750" w:type="pct"/>
            <w:gridSpan w:val="2"/>
            <w:tcBorders>
              <w:top w:val="single" w:color="auto" w:sz="8" w:space="0"/>
              <w:left w:val="single" w:color="auto" w:sz="8" w:space="0"/>
              <w:bottom w:val="single" w:color="auto" w:sz="8" w:space="0"/>
              <w:right w:val="single" w:color="auto" w:sz="8" w:space="0"/>
            </w:tcBorders>
            <w:noWrap/>
            <w:vAlign w:val="center"/>
          </w:tcPr>
          <w:p w14:paraId="5E27DEFD">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249" w:type="pct"/>
            <w:gridSpan w:val="5"/>
            <w:tcBorders>
              <w:top w:val="single" w:color="auto" w:sz="8" w:space="0"/>
              <w:left w:val="nil"/>
              <w:bottom w:val="single" w:color="auto" w:sz="8" w:space="0"/>
              <w:right w:val="single" w:color="auto" w:sz="8" w:space="0"/>
            </w:tcBorders>
            <w:noWrap/>
            <w:vAlign w:val="center"/>
          </w:tcPr>
          <w:p w14:paraId="2C2BD9E1">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1249" w:type="pct"/>
            <w:gridSpan w:val="5"/>
            <w:tcBorders>
              <w:top w:val="single" w:color="auto" w:sz="8" w:space="0"/>
              <w:left w:val="nil"/>
              <w:bottom w:val="single" w:color="auto" w:sz="8" w:space="0"/>
              <w:right w:val="single" w:color="auto" w:sz="8" w:space="0"/>
            </w:tcBorders>
            <w:noWrap/>
            <w:vAlign w:val="center"/>
          </w:tcPr>
          <w:p w14:paraId="3C60948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999" w:type="pct"/>
            <w:gridSpan w:val="4"/>
            <w:tcBorders>
              <w:top w:val="single" w:color="auto" w:sz="8" w:space="0"/>
              <w:left w:val="nil"/>
              <w:bottom w:val="single" w:color="auto" w:sz="8" w:space="0"/>
              <w:right w:val="single" w:color="auto" w:sz="8" w:space="0"/>
            </w:tcBorders>
            <w:noWrap/>
            <w:vAlign w:val="center"/>
          </w:tcPr>
          <w:p w14:paraId="775DC5C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750" w:type="pct"/>
            <w:gridSpan w:val="3"/>
            <w:tcBorders>
              <w:top w:val="single" w:color="auto" w:sz="8" w:space="0"/>
              <w:left w:val="nil"/>
              <w:bottom w:val="single" w:color="auto" w:sz="8" w:space="0"/>
              <w:right w:val="single" w:color="auto" w:sz="8" w:space="0"/>
            </w:tcBorders>
            <w:noWrap/>
            <w:vAlign w:val="center"/>
          </w:tcPr>
          <w:p w14:paraId="71C2040E">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18E5D0F1">
        <w:tblPrEx>
          <w:tblCellMar>
            <w:top w:w="0" w:type="dxa"/>
            <w:left w:w="108" w:type="dxa"/>
            <w:bottom w:w="0" w:type="dxa"/>
            <w:right w:w="108" w:type="dxa"/>
          </w:tblCellMar>
        </w:tblPrEx>
        <w:trPr>
          <w:trHeight w:val="600" w:hRule="atLeast"/>
        </w:trPr>
        <w:tc>
          <w:tcPr>
            <w:tcW w:w="5000" w:type="pct"/>
            <w:gridSpan w:val="19"/>
            <w:tcBorders>
              <w:top w:val="single" w:color="auto" w:sz="8" w:space="0"/>
              <w:left w:val="single" w:color="auto" w:sz="8" w:space="0"/>
              <w:bottom w:val="nil"/>
              <w:right w:val="single" w:color="000000" w:sz="8" w:space="0"/>
            </w:tcBorders>
            <w:noWrap/>
            <w:vAlign w:val="center"/>
          </w:tcPr>
          <w:p w14:paraId="06EC28D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tc>
      </w:tr>
      <w:tr w14:paraId="6728E175">
        <w:tblPrEx>
          <w:tblCellMar>
            <w:top w:w="0" w:type="dxa"/>
            <w:left w:w="108" w:type="dxa"/>
            <w:bottom w:w="0" w:type="dxa"/>
            <w:right w:w="108" w:type="dxa"/>
          </w:tblCellMar>
        </w:tblPrEx>
        <w:trPr>
          <w:trHeight w:val="387" w:hRule="atLeast"/>
        </w:trPr>
        <w:tc>
          <w:tcPr>
            <w:tcW w:w="5000" w:type="pct"/>
            <w:gridSpan w:val="19"/>
            <w:tcBorders>
              <w:top w:val="nil"/>
              <w:left w:val="single" w:color="auto" w:sz="8" w:space="0"/>
              <w:bottom w:val="single" w:color="auto" w:sz="4" w:space="0"/>
              <w:right w:val="single" w:color="000000" w:sz="8" w:space="0"/>
            </w:tcBorders>
            <w:noWrap/>
            <w:vAlign w:val="center"/>
          </w:tcPr>
          <w:p w14:paraId="1C84748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430DA72B">
        <w:tblPrEx>
          <w:tblCellMar>
            <w:top w:w="0" w:type="dxa"/>
            <w:left w:w="108" w:type="dxa"/>
            <w:bottom w:w="0" w:type="dxa"/>
            <w:right w:w="108" w:type="dxa"/>
          </w:tblCellMar>
        </w:tblPrEx>
        <w:trPr>
          <w:trHeight w:val="1325" w:hRule="atLeast"/>
        </w:trPr>
        <w:tc>
          <w:tcPr>
            <w:tcW w:w="709" w:type="pct"/>
            <w:vMerge w:val="restart"/>
            <w:tcBorders>
              <w:top w:val="single" w:color="auto" w:sz="4" w:space="0"/>
              <w:left w:val="single" w:color="auto" w:sz="4" w:space="0"/>
              <w:bottom w:val="single" w:color="auto" w:sz="4" w:space="0"/>
              <w:right w:val="single" w:color="auto" w:sz="4" w:space="0"/>
            </w:tcBorders>
            <w:noWrap/>
            <w:vAlign w:val="center"/>
          </w:tcPr>
          <w:p w14:paraId="5B28E4E5">
            <w:pPr>
              <w:ind w:left="220" w:hanging="220" w:hangingChars="100"/>
              <w:jc w:val="left"/>
              <w:rPr>
                <w:rFonts w:ascii="宋体" w:hAnsi="宋体" w:cs="宋体"/>
                <w:color w:val="auto"/>
                <w:kern w:val="0"/>
                <w:sz w:val="22"/>
                <w:highlight w:val="none"/>
              </w:rPr>
            </w:pPr>
            <w:r>
              <w:rPr>
                <w:rFonts w:hint="eastAsia" w:ascii="宋体" w:hAnsi="宋体" w:cs="宋体"/>
                <w:color w:val="auto"/>
                <w:kern w:val="0"/>
                <w:sz w:val="22"/>
                <w:highlight w:val="none"/>
              </w:rPr>
              <w:t>资产管理处意见</w:t>
            </w:r>
          </w:p>
        </w:tc>
        <w:tc>
          <w:tcPr>
            <w:tcW w:w="4290" w:type="pct"/>
            <w:gridSpan w:val="18"/>
            <w:tcBorders>
              <w:top w:val="single" w:color="auto" w:sz="4" w:space="0"/>
              <w:left w:val="single" w:color="auto" w:sz="4" w:space="0"/>
              <w:bottom w:val="single" w:color="auto" w:sz="4" w:space="0"/>
              <w:right w:val="single" w:color="auto" w:sz="4" w:space="0"/>
            </w:tcBorders>
            <w:vAlign w:val="center"/>
          </w:tcPr>
          <w:p w14:paraId="03D1D4E4">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分管副处长意见：</w:t>
            </w:r>
          </w:p>
          <w:p w14:paraId="63257B3E">
            <w:pPr>
              <w:widowControl/>
              <w:jc w:val="left"/>
              <w:rPr>
                <w:rFonts w:ascii="宋体" w:hAnsi="宋体" w:cs="宋体"/>
                <w:color w:val="auto"/>
                <w:kern w:val="0"/>
                <w:sz w:val="22"/>
                <w:highlight w:val="none"/>
              </w:rPr>
            </w:pPr>
          </w:p>
          <w:p w14:paraId="50283F36">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        </w:t>
            </w:r>
          </w:p>
          <w:p w14:paraId="0FEB33CD">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                                                   年      月    日</w:t>
            </w:r>
          </w:p>
        </w:tc>
      </w:tr>
      <w:tr w14:paraId="2DA601AF">
        <w:tblPrEx>
          <w:tblCellMar>
            <w:top w:w="0" w:type="dxa"/>
            <w:left w:w="108" w:type="dxa"/>
            <w:bottom w:w="0" w:type="dxa"/>
            <w:right w:w="108" w:type="dxa"/>
          </w:tblCellMar>
        </w:tblPrEx>
        <w:trPr>
          <w:trHeight w:val="420" w:hRule="atLeast"/>
        </w:trPr>
        <w:tc>
          <w:tcPr>
            <w:tcW w:w="709" w:type="pct"/>
            <w:vMerge w:val="continue"/>
            <w:tcBorders>
              <w:top w:val="single" w:color="auto" w:sz="4" w:space="0"/>
              <w:left w:val="single" w:color="auto" w:sz="4" w:space="0"/>
              <w:bottom w:val="single" w:color="auto" w:sz="4" w:space="0"/>
              <w:right w:val="single" w:color="auto" w:sz="4" w:space="0"/>
            </w:tcBorders>
            <w:noWrap/>
            <w:vAlign w:val="center"/>
          </w:tcPr>
          <w:p w14:paraId="1CA7AAE7">
            <w:pPr>
              <w:widowControl/>
              <w:jc w:val="left"/>
              <w:rPr>
                <w:rFonts w:ascii="宋体" w:hAnsi="宋体" w:cs="宋体"/>
                <w:color w:val="auto"/>
                <w:kern w:val="0"/>
                <w:sz w:val="22"/>
                <w:highlight w:val="none"/>
              </w:rPr>
            </w:pPr>
          </w:p>
        </w:tc>
        <w:tc>
          <w:tcPr>
            <w:tcW w:w="4290" w:type="pct"/>
            <w:gridSpan w:val="18"/>
            <w:tcBorders>
              <w:top w:val="single" w:color="auto" w:sz="4" w:space="0"/>
              <w:left w:val="single" w:color="auto" w:sz="4" w:space="0"/>
              <w:bottom w:val="single" w:color="auto" w:sz="4" w:space="0"/>
              <w:right w:val="single" w:color="auto" w:sz="4" w:space="0"/>
            </w:tcBorders>
            <w:vAlign w:val="center"/>
          </w:tcPr>
          <w:p w14:paraId="0E35DFCA">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处长意见：</w:t>
            </w:r>
          </w:p>
          <w:p w14:paraId="53B70CBA">
            <w:pPr>
              <w:widowControl/>
              <w:jc w:val="left"/>
              <w:rPr>
                <w:rFonts w:ascii="宋体" w:hAnsi="宋体" w:cs="宋体"/>
                <w:color w:val="auto"/>
                <w:kern w:val="0"/>
                <w:sz w:val="22"/>
                <w:highlight w:val="none"/>
              </w:rPr>
            </w:pPr>
          </w:p>
          <w:p w14:paraId="771E7D2A">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                </w:t>
            </w:r>
          </w:p>
          <w:p w14:paraId="5E5AA328">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                                                   年      月    日</w:t>
            </w:r>
          </w:p>
        </w:tc>
      </w:tr>
    </w:tbl>
    <w:p w14:paraId="7C4D87DC">
      <w:pPr>
        <w:pStyle w:val="26"/>
        <w:snapToGrid w:val="0"/>
        <w:spacing w:before="120" w:after="120"/>
        <w:rPr>
          <w:rFonts w:hAnsi="宋体" w:cs="宋体"/>
          <w:color w:val="auto"/>
          <w:highlight w:val="none"/>
        </w:rPr>
      </w:pPr>
      <w:r>
        <w:rPr>
          <w:rFonts w:hint="eastAsia" w:hAnsi="宋体" w:cs="宋体"/>
          <w:color w:val="auto"/>
          <w:highlight w:val="none"/>
        </w:rPr>
        <w:br w:type="page"/>
      </w:r>
    </w:p>
    <w:p w14:paraId="4B7AC68C">
      <w:pPr>
        <w:pStyle w:val="26"/>
        <w:snapToGrid w:val="0"/>
        <w:spacing w:before="120" w:after="120"/>
        <w:rPr>
          <w:rFonts w:hAnsi="宋体" w:cs="宋体"/>
          <w:color w:val="auto"/>
          <w:highlight w:val="none"/>
        </w:rPr>
      </w:pPr>
    </w:p>
    <w:p w14:paraId="27817D32">
      <w:pPr>
        <w:pStyle w:val="26"/>
        <w:snapToGrid w:val="0"/>
        <w:spacing w:before="120" w:after="120"/>
        <w:rPr>
          <w:rFonts w:hAnsi="宋体" w:cs="宋体"/>
          <w:color w:val="auto"/>
          <w:highlight w:val="none"/>
        </w:rPr>
      </w:pPr>
    </w:p>
    <w:p w14:paraId="4AADE699">
      <w:pPr>
        <w:pStyle w:val="26"/>
        <w:snapToGrid w:val="0"/>
        <w:spacing w:before="120" w:after="120"/>
        <w:rPr>
          <w:rFonts w:hAnsi="宋体" w:cs="宋体"/>
          <w:color w:val="auto"/>
          <w:highlight w:val="none"/>
        </w:rPr>
      </w:pPr>
    </w:p>
    <w:p w14:paraId="47FBC865">
      <w:pPr>
        <w:pStyle w:val="26"/>
        <w:snapToGrid w:val="0"/>
        <w:spacing w:before="120" w:after="120"/>
        <w:rPr>
          <w:rFonts w:hAnsi="宋体" w:cs="宋体"/>
          <w:color w:val="auto"/>
          <w:highlight w:val="none"/>
        </w:rPr>
      </w:pPr>
    </w:p>
    <w:p w14:paraId="36A9CC71">
      <w:pPr>
        <w:pStyle w:val="26"/>
        <w:snapToGrid w:val="0"/>
        <w:spacing w:before="120" w:after="120"/>
        <w:rPr>
          <w:rFonts w:hAnsi="宋体" w:cs="宋体"/>
          <w:color w:val="auto"/>
          <w:highlight w:val="none"/>
        </w:rPr>
      </w:pPr>
    </w:p>
    <w:p w14:paraId="67B00D7F">
      <w:pPr>
        <w:rPr>
          <w:rFonts w:hAnsi="Arial"/>
          <w:color w:val="auto"/>
          <w:highlight w:val="none"/>
        </w:rPr>
      </w:pPr>
    </w:p>
    <w:p w14:paraId="3CB7184B">
      <w:pPr>
        <w:rPr>
          <w:rFonts w:hAnsi="宋体" w:cs="宋体"/>
          <w:color w:val="auto"/>
          <w:highlight w:val="none"/>
        </w:rPr>
      </w:pPr>
    </w:p>
    <w:p w14:paraId="66AA3AFB">
      <w:pPr>
        <w:pStyle w:val="19"/>
        <w:rPr>
          <w:rFonts w:hAnsi="宋体" w:cs="宋体"/>
          <w:color w:val="auto"/>
          <w:highlight w:val="none"/>
        </w:rPr>
      </w:pPr>
    </w:p>
    <w:p w14:paraId="0AAFE325">
      <w:pPr>
        <w:rPr>
          <w:color w:val="auto"/>
          <w:highlight w:val="none"/>
        </w:rPr>
      </w:pPr>
    </w:p>
    <w:p w14:paraId="1CEAE008">
      <w:pPr>
        <w:pStyle w:val="26"/>
        <w:snapToGrid w:val="0"/>
        <w:spacing w:before="120" w:after="120"/>
        <w:rPr>
          <w:rFonts w:hAnsi="宋体" w:cs="宋体"/>
          <w:color w:val="auto"/>
          <w:highlight w:val="none"/>
        </w:rPr>
      </w:pPr>
    </w:p>
    <w:p w14:paraId="4FC7DA79">
      <w:pPr>
        <w:pStyle w:val="26"/>
        <w:snapToGrid w:val="0"/>
        <w:spacing w:before="120" w:after="120"/>
        <w:rPr>
          <w:rFonts w:hAnsi="宋体" w:cs="宋体"/>
          <w:color w:val="auto"/>
          <w:highlight w:val="none"/>
        </w:rPr>
      </w:pPr>
    </w:p>
    <w:p w14:paraId="1B675125">
      <w:pPr>
        <w:pStyle w:val="26"/>
        <w:snapToGrid w:val="0"/>
        <w:spacing w:before="120" w:after="120"/>
        <w:rPr>
          <w:rFonts w:hAnsi="宋体" w:cs="宋体"/>
          <w:color w:val="auto"/>
          <w:highlight w:val="none"/>
        </w:rPr>
      </w:pPr>
    </w:p>
    <w:p w14:paraId="0B74262B">
      <w:pPr>
        <w:pStyle w:val="3"/>
        <w:keepNext w:val="0"/>
        <w:keepLines w:val="0"/>
        <w:rPr>
          <w:color w:val="auto"/>
          <w:highlight w:val="none"/>
        </w:rPr>
      </w:pPr>
      <w:r>
        <w:rPr>
          <w:rFonts w:hint="eastAsia"/>
          <w:color w:val="auto"/>
          <w:highlight w:val="none"/>
        </w:rPr>
        <w:t>第四章、评标方法及评标标准</w:t>
      </w:r>
      <w:bookmarkEnd w:id="133"/>
      <w:bookmarkEnd w:id="134"/>
      <w:bookmarkEnd w:id="135"/>
      <w:bookmarkEnd w:id="136"/>
      <w:bookmarkEnd w:id="137"/>
      <w:bookmarkEnd w:id="138"/>
      <w:bookmarkEnd w:id="139"/>
    </w:p>
    <w:p w14:paraId="15C493AE">
      <w:pPr>
        <w:spacing w:before="120" w:after="120"/>
        <w:rPr>
          <w:rFonts w:ascii="宋体" w:hAnsi="宋体" w:cs="宋体"/>
          <w:color w:val="auto"/>
          <w:highlight w:val="none"/>
        </w:rPr>
      </w:pPr>
      <w:bookmarkStart w:id="141" w:name="_Toc254970690"/>
      <w:bookmarkStart w:id="142" w:name="_Toc254970549"/>
    </w:p>
    <w:bookmarkEnd w:id="141"/>
    <w:bookmarkEnd w:id="142"/>
    <w:p w14:paraId="2AD629C9">
      <w:pPr>
        <w:spacing w:before="120" w:after="120"/>
        <w:rPr>
          <w:rFonts w:ascii="宋体" w:hAnsi="宋体" w:cs="宋体"/>
          <w:color w:val="auto"/>
          <w:highlight w:val="none"/>
        </w:rPr>
      </w:pPr>
    </w:p>
    <w:p w14:paraId="36FDD75F">
      <w:pPr>
        <w:spacing w:before="120" w:after="120"/>
        <w:rPr>
          <w:rFonts w:ascii="宋体" w:hAnsi="宋体" w:cs="宋体"/>
          <w:color w:val="auto"/>
          <w:highlight w:val="none"/>
        </w:rPr>
      </w:pPr>
    </w:p>
    <w:p w14:paraId="73EB8989">
      <w:pPr>
        <w:spacing w:before="120" w:after="120"/>
        <w:rPr>
          <w:rFonts w:ascii="宋体" w:hAnsi="宋体" w:cs="宋体"/>
          <w:color w:val="auto"/>
          <w:highlight w:val="none"/>
        </w:rPr>
      </w:pPr>
    </w:p>
    <w:p w14:paraId="6A6AE05B">
      <w:pPr>
        <w:spacing w:before="120" w:beforeLines="50" w:after="120" w:afterLines="50" w:line="400" w:lineRule="exact"/>
        <w:rPr>
          <w:rFonts w:ascii="宋体" w:hAnsi="宋体" w:cs="宋体"/>
          <w:b/>
          <w:color w:val="auto"/>
          <w:sz w:val="24"/>
          <w:highlight w:val="none"/>
        </w:rPr>
      </w:pPr>
    </w:p>
    <w:p w14:paraId="290A18CC">
      <w:pPr>
        <w:spacing w:before="120" w:beforeLines="50" w:after="120" w:afterLines="50" w:line="400" w:lineRule="exact"/>
        <w:rPr>
          <w:rFonts w:ascii="宋体" w:hAnsi="宋体" w:cs="宋体"/>
          <w:b/>
          <w:color w:val="auto"/>
          <w:sz w:val="24"/>
          <w:highlight w:val="none"/>
        </w:rPr>
      </w:pPr>
    </w:p>
    <w:p w14:paraId="67E2C4A5">
      <w:pPr>
        <w:spacing w:before="120" w:beforeLines="50" w:after="120" w:afterLines="50" w:line="400" w:lineRule="exact"/>
        <w:rPr>
          <w:rFonts w:ascii="宋体" w:hAnsi="宋体" w:cs="宋体"/>
          <w:b/>
          <w:color w:val="auto"/>
          <w:sz w:val="24"/>
          <w:highlight w:val="none"/>
        </w:rPr>
      </w:pPr>
    </w:p>
    <w:p w14:paraId="366BCB01">
      <w:pPr>
        <w:pStyle w:val="26"/>
        <w:spacing w:line="360" w:lineRule="exact"/>
        <w:rPr>
          <w:rFonts w:hAnsi="宋体" w:cs="宋体"/>
          <w:b/>
          <w:color w:val="auto"/>
          <w:sz w:val="24"/>
          <w:highlight w:val="none"/>
        </w:rPr>
      </w:pPr>
    </w:p>
    <w:p w14:paraId="4C1A78F9">
      <w:pPr>
        <w:pStyle w:val="26"/>
        <w:spacing w:line="360" w:lineRule="exact"/>
        <w:rPr>
          <w:rFonts w:hAnsi="宋体" w:cs="宋体"/>
          <w:b/>
          <w:color w:val="auto"/>
          <w:sz w:val="24"/>
          <w:highlight w:val="none"/>
        </w:rPr>
      </w:pPr>
    </w:p>
    <w:p w14:paraId="21C9806F">
      <w:pPr>
        <w:pStyle w:val="26"/>
        <w:spacing w:line="360" w:lineRule="exact"/>
        <w:rPr>
          <w:rFonts w:hAnsi="宋体" w:cs="宋体"/>
          <w:b/>
          <w:color w:val="auto"/>
          <w:sz w:val="24"/>
          <w:highlight w:val="none"/>
        </w:rPr>
      </w:pPr>
    </w:p>
    <w:p w14:paraId="7DEE91E4">
      <w:pPr>
        <w:pStyle w:val="26"/>
        <w:spacing w:line="360" w:lineRule="exact"/>
        <w:rPr>
          <w:rFonts w:hAnsi="宋体" w:cs="宋体"/>
          <w:bCs/>
          <w:color w:val="auto"/>
          <w:highlight w:val="none"/>
        </w:rPr>
      </w:pPr>
    </w:p>
    <w:p w14:paraId="3596494E">
      <w:pPr>
        <w:pStyle w:val="5"/>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一、评标方法</w:t>
      </w:r>
    </w:p>
    <w:p w14:paraId="39DA612C">
      <w:pPr>
        <w:pStyle w:val="26"/>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4177B00F">
      <w:pPr>
        <w:pStyle w:val="26"/>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316CDBBF">
      <w:pPr>
        <w:pStyle w:val="5"/>
        <w:keepNext w:val="0"/>
        <w:keepLines w:val="0"/>
        <w:jc w:val="center"/>
        <w:rPr>
          <w:rFonts w:ascii="宋体" w:hAnsi="宋体" w:cs="宋体"/>
          <w:color w:val="auto"/>
          <w:highlight w:val="none"/>
        </w:rPr>
      </w:pPr>
      <w:r>
        <w:rPr>
          <w:rFonts w:hint="eastAsia" w:ascii="宋体" w:hAnsi="宋体" w:cs="宋体"/>
          <w:color w:val="auto"/>
          <w:highlight w:val="none"/>
        </w:rPr>
        <w:t>二、评标程序</w:t>
      </w:r>
    </w:p>
    <w:p w14:paraId="5E9E6724">
      <w:pPr>
        <w:pStyle w:val="7"/>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2DEE9B99">
      <w:pPr>
        <w:pStyle w:val="26"/>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19248E79">
      <w:pPr>
        <w:pStyle w:val="7"/>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442570F9">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3262F5B5">
      <w:pPr>
        <w:pStyle w:val="7"/>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2586D9BD">
      <w:pPr>
        <w:pStyle w:val="9"/>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投标文件未提供“投标人须知前附表”第13.1条规定中“必须提供”的文件资料的；</w:t>
      </w:r>
    </w:p>
    <w:p w14:paraId="6F08C834">
      <w:pPr>
        <w:pStyle w:val="9"/>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5678BECA">
      <w:pPr>
        <w:pStyle w:val="9"/>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报价超出招标文件规定最高限价，或者超出采购预算金额的；</w:t>
      </w:r>
    </w:p>
    <w:p w14:paraId="5C7BF78E">
      <w:pPr>
        <w:pStyle w:val="9"/>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未就所投项目进行报价或者存在漏项报价；投标人未就所投项目的单项内容作唯一报价；投标人未就所投项目的全部内容作唯一总价报价；存在有选择、有条件报价的（招标文件允许有备选方案或者其他约定的除外）；</w:t>
      </w:r>
    </w:p>
    <w:p w14:paraId="001E990B">
      <w:pPr>
        <w:pStyle w:val="9"/>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447C3A6C">
      <w:pPr>
        <w:pStyle w:val="9"/>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投标人属于本章第5条第（2）项情形的。</w:t>
      </w:r>
    </w:p>
    <w:p w14:paraId="19D53765">
      <w:pPr>
        <w:pStyle w:val="7"/>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0CBD4B04">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0A0A6ED4">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委托代理人未能出具有效身份证明或者出具的身份证明与授权委托书中的信息不符的； </w:t>
      </w:r>
    </w:p>
    <w:p w14:paraId="6CD76B15">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013FC31B">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28FE6900">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投标有效期、项目完成时间（交货时间、服务完成时间或者服务期等）、质保期、售后服务等招标文件中的商务条款发生负偏离的；</w:t>
      </w:r>
    </w:p>
    <w:p w14:paraId="4FFF6602">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商务条款评审允许负偏离的条款数超过“投标人须知前附表”规定项数的；</w:t>
      </w:r>
    </w:p>
    <w:p w14:paraId="3EBA6719">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170B0ECC">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4698541B">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1AF91CE9">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02D5327B">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45D18945">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196EA08B">
      <w:pPr>
        <w:pStyle w:val="7"/>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6C93F0FD">
      <w:pPr>
        <w:pStyle w:val="20"/>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w:t>
      </w:r>
      <w:r>
        <w:rPr>
          <w:rFonts w:hint="eastAsia" w:ascii="宋体" w:hAnsi="宋体" w:eastAsia="宋体" w:cs="宋体"/>
          <w:color w:val="auto"/>
          <w:sz w:val="21"/>
          <w:szCs w:val="21"/>
          <w:highlight w:val="none"/>
        </w:rPr>
        <w:t>明显不满足招标文件要求的技术规格、安全、质量标准，</w:t>
      </w:r>
      <w:r>
        <w:rPr>
          <w:rFonts w:hint="eastAsia" w:ascii="宋体" w:hAnsi="宋体" w:eastAsia="宋体" w:cs="宋体"/>
          <w:b/>
          <w:bCs/>
          <w:color w:val="auto"/>
          <w:sz w:val="21"/>
          <w:szCs w:val="21"/>
          <w:highlight w:val="none"/>
        </w:rPr>
        <w:t>或者与招标文件中技术需求发生负偏离的；</w:t>
      </w:r>
    </w:p>
    <w:p w14:paraId="594C3E2E">
      <w:pPr>
        <w:pStyle w:val="20"/>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（2）技术需求评审允许负偏离的条款数超过“投标人须知前附表”规定项数的；</w:t>
      </w:r>
    </w:p>
    <w:p w14:paraId="351B0FA2">
      <w:pPr>
        <w:pStyle w:val="20"/>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（3）投标文件未提供“投标人须知前附表”第13.1条规定中“必须提供”的文件资料的；</w:t>
      </w:r>
    </w:p>
    <w:p w14:paraId="61355C16">
      <w:pPr>
        <w:pStyle w:val="20"/>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（4）虚假投标，或者出现其他情形而导致被评标委员会认定无效的；</w:t>
      </w:r>
    </w:p>
    <w:p w14:paraId="0A5DF84F">
      <w:pPr>
        <w:pStyle w:val="20"/>
        <w:snapToGrid w:val="0"/>
        <w:spacing w:line="360" w:lineRule="auto"/>
        <w:ind w:firstLine="413" w:firstLineChars="196"/>
        <w:rPr>
          <w:rFonts w:ascii="宋体" w:hAnsi="宋体" w:eastAsia="宋体" w:cs="宋体"/>
          <w:color w:val="auto"/>
          <w:sz w:val="21"/>
          <w:szCs w:val="21"/>
          <w:highlight w:val="none"/>
        </w:rPr>
      </w:pPr>
      <w:r>
        <w:rPr>
          <w:rFonts w:hint="eastAsia" w:ascii="宋体" w:hAnsi="宋体" w:eastAsia="宋体" w:cs="宋体"/>
          <w:b/>
          <w:color w:val="auto"/>
          <w:kern w:val="2"/>
          <w:sz w:val="21"/>
          <w:szCs w:val="21"/>
          <w:highlight w:val="none"/>
        </w:rPr>
        <w:t>（5）投标技术方案不明确，招标文件未允许但存在一个或者一个以上备选（替代）投标方案的。</w:t>
      </w:r>
    </w:p>
    <w:p w14:paraId="7C3DBD2D">
      <w:pPr>
        <w:pStyle w:val="7"/>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0AA07BBB">
      <w:pPr>
        <w:spacing w:line="360" w:lineRule="auto"/>
        <w:ind w:firstLine="420" w:firstLineChars="200"/>
        <w:rPr>
          <w:rFonts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E5C3264">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C8E607E">
      <w:pPr>
        <w:snapToGrid w:val="0"/>
        <w:spacing w:line="360" w:lineRule="auto"/>
        <w:ind w:firstLine="420" w:firstLineChars="200"/>
        <w:rPr>
          <w:color w:val="auto"/>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70B8151E">
      <w:pPr>
        <w:pStyle w:val="7"/>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25A654AF">
      <w:pPr>
        <w:pStyle w:val="7"/>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51B5C1FA">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4C914238">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255B1415">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7D2EEA6C">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211AB857">
      <w:pPr>
        <w:pStyle w:val="26"/>
        <w:snapToGrid w:val="0"/>
        <w:spacing w:line="360" w:lineRule="auto"/>
        <w:ind w:firstLine="420" w:firstLineChars="200"/>
        <w:rPr>
          <w:rFonts w:hAnsi="宋体" w:cs="宋体"/>
          <w:b/>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54E067E3">
      <w:pPr>
        <w:pStyle w:val="26"/>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4.2经投标人确认修正后的报价若超过采购预算金额或者最高限价，</w:t>
      </w:r>
      <w:r>
        <w:rPr>
          <w:rFonts w:hint="eastAsia" w:hAnsi="宋体" w:cs="宋体"/>
          <w:color w:val="auto"/>
          <w:sz w:val="21"/>
          <w:highlight w:val="none"/>
        </w:rPr>
        <w:t>投标人的投标文件作无效投标处理</w:t>
      </w:r>
      <w:r>
        <w:rPr>
          <w:rFonts w:hint="eastAsia" w:hAnsi="宋体" w:cs="宋体"/>
          <w:b/>
          <w:color w:val="auto"/>
          <w:sz w:val="21"/>
          <w:highlight w:val="none"/>
        </w:rPr>
        <w:t>。</w:t>
      </w:r>
    </w:p>
    <w:p w14:paraId="0CA35D5A">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4.3经投标人确认修正后的报价作为签订合同的依据，并以此报价计算价格分。</w:t>
      </w:r>
    </w:p>
    <w:p w14:paraId="3A12547E">
      <w:pPr>
        <w:pStyle w:val="7"/>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5.比较与评价</w:t>
      </w:r>
    </w:p>
    <w:p w14:paraId="484414D1">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（1）评标委员会按照招标文件中规定的评标方法和评标标准，对符合性审查合格的投标文件进行商务和技术评估，综合比较与评价。</w:t>
      </w:r>
    </w:p>
    <w:p w14:paraId="242EE5F9">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（2）评标委员会独立对每个投标人的投标文件进行评价，并汇总每个投标人的得分。</w:t>
      </w:r>
    </w:p>
    <w:p w14:paraId="08C5294C">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认为投标人的报价明显低于其他通过符合性审查投标人的报价，有可能影响服务质量或者不能诚信履约的，应当要求其在规定时间内作出必要的澄清、说明或者补正，必要时提交相关证明材料；投标人不能证明其报价合理性的，</w:t>
      </w:r>
      <w:r>
        <w:rPr>
          <w:rFonts w:hint="eastAsia" w:hAnsi="宋体" w:cs="宋体"/>
          <w:b/>
          <w:color w:val="auto"/>
          <w:kern w:val="2"/>
          <w:sz w:val="21"/>
          <w:highlight w:val="none"/>
        </w:rPr>
        <w:t>评标委员会将其作为无效投标处理</w:t>
      </w:r>
      <w:r>
        <w:rPr>
          <w:rFonts w:hint="eastAsia" w:hAnsi="宋体" w:cs="宋体"/>
          <w:color w:val="auto"/>
          <w:sz w:val="21"/>
          <w:highlight w:val="none"/>
        </w:rPr>
        <w:t>。</w:t>
      </w:r>
    </w:p>
    <w:p w14:paraId="140D3A3F">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（3）评标委员会按照招标文件中规定的评标方法和标准计算各投标人的报价得分。在计算过程中，不得去掉最高报价或者最低报价。</w:t>
      </w:r>
    </w:p>
    <w:p w14:paraId="0A7E6136">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（4）各投标人的得分为所有评委的有效评分的算术平均数。</w:t>
      </w:r>
    </w:p>
    <w:p w14:paraId="3B6169C4">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（5）评标委员会按照招标文件中的规定推荐中标候选人。</w:t>
      </w:r>
    </w:p>
    <w:p w14:paraId="3766061F">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2AB6491">
      <w:pPr>
        <w:pStyle w:val="26"/>
        <w:spacing w:line="360" w:lineRule="auto"/>
        <w:ind w:firstLine="420"/>
        <w:rPr>
          <w:rFonts w:hAnsi="宋体" w:cs="宋体"/>
          <w:b/>
          <w:bCs/>
          <w:color w:val="auto"/>
          <w:sz w:val="21"/>
          <w:highlight w:val="none"/>
        </w:rPr>
      </w:pPr>
      <w:r>
        <w:rPr>
          <w:rFonts w:hint="eastAsia" w:hAnsi="宋体" w:cs="宋体"/>
          <w:b/>
          <w:bCs/>
          <w:color w:val="auto"/>
          <w:sz w:val="21"/>
          <w:highlight w:val="none"/>
        </w:rPr>
        <w:t>6.属于下列情形之一的，应予废标：</w:t>
      </w:r>
    </w:p>
    <w:p w14:paraId="2E412722">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（1）符合专业条件的供应商或者对招标文件作实质响应的投标人不足三家的；</w:t>
      </w:r>
    </w:p>
    <w:p w14:paraId="2D6E7D22">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（2）出现影响采购公正的违法、违规行为的；</w:t>
      </w:r>
    </w:p>
    <w:p w14:paraId="36C15BA2">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（3）投标人的报价均超过了采购预算，采购人不能支付的；</w:t>
      </w:r>
    </w:p>
    <w:p w14:paraId="7FA08949">
      <w:pPr>
        <w:pStyle w:val="26"/>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（4）因重大变故，采购任务取消的</w:t>
      </w:r>
    </w:p>
    <w:p w14:paraId="624157B1">
      <w:pPr>
        <w:pStyle w:val="14"/>
        <w:ind w:left="0"/>
        <w:rPr>
          <w:color w:val="auto"/>
          <w:highlight w:val="none"/>
        </w:rPr>
      </w:pPr>
    </w:p>
    <w:p w14:paraId="0605B778">
      <w:pPr>
        <w:rPr>
          <w:rFonts w:ascii="宋体" w:hAnsi="宋体" w:cs="宋体"/>
          <w:color w:val="auto"/>
          <w:highlight w:val="none"/>
        </w:rPr>
      </w:pPr>
    </w:p>
    <w:p w14:paraId="45644F45">
      <w:pPr>
        <w:pStyle w:val="5"/>
        <w:keepNext w:val="0"/>
        <w:keepLines w:val="0"/>
        <w:jc w:val="center"/>
        <w:rPr>
          <w:rFonts w:ascii="宋体" w:hAnsi="宋体" w:cs="宋体"/>
          <w:color w:val="auto"/>
          <w:highlight w:val="none"/>
        </w:rPr>
      </w:pPr>
      <w:r>
        <w:rPr>
          <w:rFonts w:hint="eastAsia" w:ascii="宋体" w:hAnsi="宋体" w:cs="宋体"/>
          <w:color w:val="auto"/>
          <w:highlight w:val="none"/>
        </w:rPr>
        <w:br w:type="page"/>
      </w:r>
      <w:bookmarkStart w:id="242" w:name="_GoBack"/>
      <w:bookmarkEnd w:id="242"/>
      <w:r>
        <w:rPr>
          <w:rFonts w:hint="eastAsia" w:ascii="宋体" w:hAnsi="宋体" w:cs="宋体"/>
          <w:color w:val="auto"/>
          <w:highlight w:val="none"/>
        </w:rPr>
        <w:t>三、评标标准（综合评分法）</w:t>
      </w:r>
    </w:p>
    <w:tbl>
      <w:tblPr>
        <w:tblStyle w:val="52"/>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786"/>
        <w:gridCol w:w="1495"/>
        <w:gridCol w:w="110"/>
        <w:gridCol w:w="5300"/>
      </w:tblGrid>
      <w:tr w14:paraId="7BA2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14:paraId="5D9DACC0">
            <w:pPr>
              <w:adjustRightInd w:val="0"/>
              <w:snapToGri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序号</w:t>
            </w:r>
          </w:p>
        </w:tc>
        <w:tc>
          <w:tcPr>
            <w:tcW w:w="1786" w:type="dxa"/>
            <w:tcBorders>
              <w:top w:val="single" w:color="auto" w:sz="4" w:space="0"/>
              <w:left w:val="single" w:color="auto" w:sz="4" w:space="0"/>
              <w:bottom w:val="single" w:color="auto" w:sz="4" w:space="0"/>
              <w:right w:val="single" w:color="auto" w:sz="4" w:space="0"/>
            </w:tcBorders>
            <w:vAlign w:val="center"/>
          </w:tcPr>
          <w:p w14:paraId="252789D5">
            <w:pPr>
              <w:adjustRightInd w:val="0"/>
              <w:snapToGri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评审因素</w:t>
            </w:r>
          </w:p>
        </w:tc>
        <w:tc>
          <w:tcPr>
            <w:tcW w:w="6905" w:type="dxa"/>
            <w:gridSpan w:val="3"/>
            <w:tcBorders>
              <w:top w:val="single" w:color="auto" w:sz="4" w:space="0"/>
              <w:left w:val="single" w:color="auto" w:sz="4" w:space="0"/>
              <w:bottom w:val="single" w:color="auto" w:sz="4" w:space="0"/>
              <w:right w:val="single" w:color="auto" w:sz="4" w:space="0"/>
            </w:tcBorders>
            <w:vAlign w:val="center"/>
          </w:tcPr>
          <w:p w14:paraId="207B94C0">
            <w:pPr>
              <w:adjustRightInd w:val="0"/>
              <w:snapToGri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评标标准</w:t>
            </w:r>
          </w:p>
        </w:tc>
      </w:tr>
      <w:tr w14:paraId="4696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14:paraId="60748222">
            <w:pPr>
              <w:adjustRightInd w:val="0"/>
              <w:snapToGri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1</w:t>
            </w:r>
          </w:p>
        </w:tc>
        <w:tc>
          <w:tcPr>
            <w:tcW w:w="1786" w:type="dxa"/>
            <w:tcBorders>
              <w:top w:val="single" w:color="auto" w:sz="4" w:space="0"/>
              <w:left w:val="single" w:color="auto" w:sz="4" w:space="0"/>
              <w:bottom w:val="single" w:color="auto" w:sz="4" w:space="0"/>
              <w:right w:val="single" w:color="auto" w:sz="4" w:space="0"/>
            </w:tcBorders>
            <w:vAlign w:val="center"/>
          </w:tcPr>
          <w:p w14:paraId="539F76A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价格分</w:t>
            </w:r>
          </w:p>
          <w:p w14:paraId="6F239AC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（满分10分）</w:t>
            </w:r>
          </w:p>
        </w:tc>
        <w:tc>
          <w:tcPr>
            <w:tcW w:w="6905" w:type="dxa"/>
            <w:gridSpan w:val="3"/>
            <w:tcBorders>
              <w:top w:val="single" w:color="auto" w:sz="4" w:space="0"/>
              <w:left w:val="single" w:color="auto" w:sz="4" w:space="0"/>
              <w:bottom w:val="single" w:color="auto" w:sz="4" w:space="0"/>
              <w:right w:val="single" w:color="auto" w:sz="4" w:space="0"/>
            </w:tcBorders>
            <w:vAlign w:val="center"/>
          </w:tcPr>
          <w:p w14:paraId="148F5791">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评标价为投标人的投标报价进行政策性扣除后的价格，评标价只是作为评标时使用。最终中标人的中标金额=投标报价。</w:t>
            </w:r>
          </w:p>
          <w:p w14:paraId="2102D730">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2）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20%的扣除，扣除后的价格为评标价，即评标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价，即评标价=投标报价×（1-4%）。除上述情况外，评标价=投标报价。</w:t>
            </w:r>
          </w:p>
          <w:p w14:paraId="33343664">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6E58CED">
            <w:pPr>
              <w:spacing w:line="360" w:lineRule="auto"/>
              <w:ind w:firstLine="435"/>
              <w:rPr>
                <w:rFonts w:ascii="宋体" w:hAnsi="宋体" w:cs="宋体"/>
                <w:color w:val="auto"/>
                <w:sz w:val="24"/>
                <w:highlight w:val="none"/>
              </w:rPr>
            </w:pPr>
            <w:r>
              <w:rPr>
                <w:rFonts w:hint="eastAsia" w:ascii="宋体" w:hAnsi="宋体" w:cs="宋体"/>
                <w:bCs/>
                <w:color w:val="auto"/>
                <w:sz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0725788">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（5）政策性扣除计算方法。</w:t>
            </w:r>
          </w:p>
          <w:p w14:paraId="7471BE4A">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投标人被认定为监狱企业或残疾人福利性单位或小型和微型企业的，该投标报价给予20%的扣除，扣除后的价格为评标价，即评标价=投标报价×（1-20%）；除上述情况外，评标价=投标报价。</w:t>
            </w:r>
          </w:p>
          <w:p w14:paraId="10E4E852">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（6）满足招标文件要求且评标价最低的评标价为评标基准价，其价格分为满分。</w:t>
            </w:r>
          </w:p>
          <w:p w14:paraId="0463F93C">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（7）价格分计算公式：</w:t>
            </w:r>
          </w:p>
          <w:p w14:paraId="390A8404">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某投标人价格分=</w:t>
            </w:r>
            <w:r>
              <w:rPr>
                <w:rFonts w:ascii="宋体" w:hAnsi="宋体" w:cs="宋体"/>
                <w:color w:val="auto"/>
                <w:sz w:val="24"/>
                <w:highlight w:val="none"/>
              </w:rPr>
              <w:t>（评标</w:t>
            </w:r>
            <w:r>
              <w:rPr>
                <w:rFonts w:hint="eastAsia" w:ascii="宋体" w:hAnsi="宋体" w:cs="宋体"/>
                <w:color w:val="auto"/>
                <w:sz w:val="24"/>
                <w:highlight w:val="none"/>
              </w:rPr>
              <w:t>基准价/某投标人评标价</w:t>
            </w:r>
            <w:r>
              <w:rPr>
                <w:rFonts w:ascii="宋体" w:hAnsi="宋体" w:cs="宋体"/>
                <w:color w:val="auto"/>
                <w:sz w:val="24"/>
                <w:highlight w:val="none"/>
              </w:rPr>
              <w:t>）</w:t>
            </w:r>
            <w:r>
              <w:rPr>
                <w:rFonts w:hint="eastAsia" w:ascii="宋体" w:hAnsi="宋体" w:cs="宋体"/>
                <w:color w:val="auto"/>
                <w:sz w:val="24"/>
                <w:highlight w:val="none"/>
              </w:rPr>
              <w:t>×10分。</w:t>
            </w:r>
          </w:p>
          <w:p w14:paraId="21AEC56F">
            <w:pPr>
              <w:spacing w:line="360" w:lineRule="auto"/>
              <w:ind w:firstLine="435"/>
              <w:rPr>
                <w:rFonts w:ascii="宋体" w:hAnsi="宋体" w:cs="宋体"/>
                <w:bCs/>
                <w:color w:val="auto"/>
                <w:sz w:val="24"/>
                <w:highlight w:val="none"/>
              </w:rPr>
            </w:pPr>
            <w:r>
              <w:rPr>
                <w:rFonts w:hint="eastAsia" w:ascii="宋体" w:hAnsi="宋体" w:cs="宋体"/>
                <w:color w:val="auto"/>
                <w:sz w:val="24"/>
                <w:highlight w:val="none"/>
              </w:rPr>
              <w:t>注：评审过程中，如评标委员会认为某投标报价明显低于成本报价或明显低于其他通过符合性审查投标人的报价，有可能影响服务质量或者不能诚信履约的，有权要求其在</w:t>
            </w:r>
            <w:r>
              <w:rPr>
                <w:rFonts w:ascii="宋体" w:hAnsi="宋体" w:cs="宋体"/>
                <w:color w:val="auto"/>
                <w:sz w:val="24"/>
                <w:highlight w:val="none"/>
              </w:rPr>
              <w:t>评标委员会</w:t>
            </w:r>
            <w:r>
              <w:rPr>
                <w:rFonts w:hint="eastAsia" w:ascii="宋体" w:hAnsi="宋体" w:cs="宋体"/>
                <w:color w:val="auto"/>
                <w:sz w:val="24"/>
                <w:highlight w:val="none"/>
              </w:rPr>
              <w:t>规定的时间内上传情况说明及相关证明材料，投标人不能证明其报价合理性的，评标委员会有权将其作为无效投标处理。【情况说明及证明材料至少包括“本次服务采购项目实施和完成服务所用装备费、器材费、管理费、利润、税费、人工成本等完成服务所必须的一切成本费用，以及招标文件及合同包含的所有风险、责任等各项已列明费用或未列明费用的说明。其中：人工成本需包含人工工资、人员服装费、</w:t>
            </w:r>
            <w:r>
              <w:rPr>
                <w:rFonts w:ascii="宋体" w:hAnsi="宋体" w:cs="宋体"/>
                <w:color w:val="auto"/>
                <w:sz w:val="24"/>
                <w:highlight w:val="none"/>
              </w:rPr>
              <w:t>法定社会保险（养老保险、医疗保险、失业保险、工伤保险、生育保险）</w:t>
            </w:r>
            <w:r>
              <w:rPr>
                <w:rFonts w:hint="eastAsia" w:ascii="宋体" w:hAnsi="宋体" w:cs="宋体"/>
                <w:color w:val="auto"/>
                <w:sz w:val="24"/>
                <w:highlight w:val="none"/>
              </w:rPr>
              <w:t>、福利费、其他商业保险及在人员使用上应包括的一切费用。】</w:t>
            </w:r>
          </w:p>
        </w:tc>
      </w:tr>
      <w:tr w14:paraId="46C7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restart"/>
            <w:tcBorders>
              <w:top w:val="single" w:color="auto" w:sz="4" w:space="0"/>
              <w:left w:val="single" w:color="auto" w:sz="4" w:space="0"/>
              <w:right w:val="single" w:color="auto" w:sz="4" w:space="0"/>
            </w:tcBorders>
            <w:vAlign w:val="center"/>
          </w:tcPr>
          <w:p w14:paraId="6478D1EA">
            <w:pPr>
              <w:adjustRightInd w:val="0"/>
              <w:snapToGrid w:val="0"/>
              <w:spacing w:line="360" w:lineRule="auto"/>
              <w:jc w:val="center"/>
              <w:textAlignment w:val="baseline"/>
              <w:rPr>
                <w:rFonts w:ascii="宋体" w:hAnsi="宋体" w:cs="宋体"/>
                <w:bCs/>
                <w:color w:val="auto"/>
                <w:kern w:val="0"/>
                <w:sz w:val="24"/>
                <w:highlight w:val="none"/>
              </w:rPr>
            </w:pPr>
            <w:r>
              <w:rPr>
                <w:rFonts w:hint="eastAsia" w:ascii="宋体" w:hAnsi="宋体" w:cs="宋体"/>
                <w:b/>
                <w:color w:val="auto"/>
                <w:sz w:val="24"/>
                <w:highlight w:val="none"/>
              </w:rPr>
              <w:t>2</w:t>
            </w:r>
          </w:p>
        </w:tc>
        <w:tc>
          <w:tcPr>
            <w:tcW w:w="1786" w:type="dxa"/>
            <w:vMerge w:val="restart"/>
            <w:tcBorders>
              <w:top w:val="single" w:color="auto" w:sz="4" w:space="0"/>
              <w:left w:val="single" w:color="auto" w:sz="4" w:space="0"/>
              <w:right w:val="single" w:color="auto" w:sz="4" w:space="0"/>
            </w:tcBorders>
            <w:vAlign w:val="center"/>
          </w:tcPr>
          <w:p w14:paraId="38B7EE18">
            <w:pPr>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项目实施方案分</w:t>
            </w:r>
          </w:p>
          <w:p w14:paraId="6A6A74FE">
            <w:pPr>
              <w:snapToGrid w:val="0"/>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t>（满分52分）</w:t>
            </w:r>
          </w:p>
        </w:tc>
        <w:tc>
          <w:tcPr>
            <w:tcW w:w="1495" w:type="dxa"/>
            <w:tcBorders>
              <w:top w:val="single" w:color="auto" w:sz="4" w:space="0"/>
              <w:left w:val="single" w:color="auto" w:sz="4" w:space="0"/>
              <w:bottom w:val="single" w:color="auto" w:sz="4" w:space="0"/>
              <w:right w:val="single" w:color="auto" w:sz="4" w:space="0"/>
            </w:tcBorders>
            <w:vAlign w:val="center"/>
          </w:tcPr>
          <w:p w14:paraId="78D42101">
            <w:pPr>
              <w:spacing w:line="360" w:lineRule="auto"/>
              <w:rPr>
                <w:rFonts w:ascii="宋体" w:hAnsi="宋体" w:cs="宋体"/>
                <w:color w:val="auto"/>
                <w:sz w:val="24"/>
                <w:highlight w:val="none"/>
              </w:rPr>
            </w:pPr>
            <w:r>
              <w:rPr>
                <w:rFonts w:hint="eastAsia" w:ascii="宋体" w:hAnsi="宋体" w:cs="宋体"/>
                <w:color w:val="auto"/>
                <w:sz w:val="24"/>
                <w:highlight w:val="none"/>
              </w:rPr>
              <w:t>（1）服务区域安保管理措施（满分15分）</w:t>
            </w:r>
          </w:p>
        </w:tc>
        <w:tc>
          <w:tcPr>
            <w:tcW w:w="5410" w:type="dxa"/>
            <w:gridSpan w:val="2"/>
            <w:tcBorders>
              <w:top w:val="single" w:color="auto" w:sz="4" w:space="0"/>
              <w:left w:val="single" w:color="auto" w:sz="4" w:space="0"/>
              <w:bottom w:val="single" w:color="auto" w:sz="4" w:space="0"/>
              <w:right w:val="single" w:color="auto" w:sz="4" w:space="0"/>
            </w:tcBorders>
            <w:vAlign w:val="center"/>
          </w:tcPr>
          <w:p w14:paraId="3C27160A">
            <w:pPr>
              <w:spacing w:line="360" w:lineRule="auto"/>
              <w:ind w:firstLine="435"/>
              <w:rPr>
                <w:rFonts w:ascii="宋体" w:hAnsi="宋体" w:cs="宋体"/>
                <w:color w:val="auto"/>
                <w:sz w:val="24"/>
                <w:highlight w:val="none"/>
              </w:rPr>
            </w:pPr>
            <w:r>
              <w:rPr>
                <w:rFonts w:hint="eastAsia" w:ascii="宋体" w:hAnsi="宋体" w:cs="宋体"/>
                <w:b/>
                <w:bCs/>
                <w:color w:val="auto"/>
                <w:sz w:val="24"/>
                <w:highlight w:val="none"/>
              </w:rPr>
              <w:t>（1）评标委员会对各投标人提供的“服务区域安保管理措施”内容的完整性、针对性、合理性等方面进行独立评审并独立打分：</w:t>
            </w:r>
          </w:p>
          <w:p w14:paraId="66A91047">
            <w:pPr>
              <w:widowControl/>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一档（5分）：基本理解项目采购需求及采购人安保服务的特殊性，据此提供安保管理措施。涵盖岗位职责、项目组织结构、人员录用与考勤、日常巡逻、交通管理、治安管理（含专项消防安全管理措施）、特殊时段管理、治安宣传等招标文件规定的内容。满足招标文件规定的人员配置及资格要求。承诺落实企业在安全、质量、社会及教育方面的责任，提供具体落实措施。</w:t>
            </w:r>
          </w:p>
          <w:p w14:paraId="0D207C14">
            <w:pPr>
              <w:widowControl/>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二档（10分）：理解项目采购需求及采购人安保服务的特殊性（尤其是与教育教学活动相关的特点），据此提供具有针对性的安保管理措施。该措施内容完整，涵盖岗位职责、项目组织结构、人员录用与考勤、日常巡逻、交通管理、治安管理（含专项消防安全管理措施）、特殊时段管理、治安宣传及增值服务措施等招标文件规定的全部内容，各项管理措施要点清晰、可操作。在满足招标文件</w:t>
            </w:r>
            <w:r>
              <w:rPr>
                <w:rFonts w:ascii="宋体" w:hAnsi="宋体" w:cs="宋体"/>
                <w:bCs/>
                <w:color w:val="auto"/>
                <w:sz w:val="24"/>
                <w:highlight w:val="none"/>
              </w:rPr>
              <w:t>规定的人员配置及资格要求</w:t>
            </w:r>
            <w:r>
              <w:rPr>
                <w:rFonts w:hint="eastAsia" w:ascii="宋体" w:hAnsi="宋体" w:cs="宋体"/>
                <w:bCs/>
                <w:color w:val="auto"/>
                <w:sz w:val="24"/>
                <w:highlight w:val="none"/>
              </w:rPr>
              <w:t>的基础上，措施中的人员配置（如专业技能、经验结构、应急能力等）符合采购人需求。承诺落实企业在安全、质量、社会及教育方面的责任，提供具体落实措施。</w:t>
            </w:r>
          </w:p>
          <w:p w14:paraId="0DB972E3">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三档（15分）：能完全且准确理解项目采购需求及采购人安保服务的特殊性（尤其是与教育教学活动相关的特点），据此提供</w:t>
            </w:r>
            <w:r>
              <w:rPr>
                <w:rStyle w:val="55"/>
                <w:rFonts w:hint="eastAsia" w:ascii="宋体" w:hAnsi="宋体" w:cs="宋体"/>
                <w:b w:val="0"/>
                <w:bCs/>
                <w:color w:val="auto"/>
                <w:sz w:val="24"/>
                <w:highlight w:val="none"/>
              </w:rPr>
              <w:t>具有高度针对性的安保管理措施</w:t>
            </w:r>
            <w:r>
              <w:rPr>
                <w:rFonts w:hint="eastAsia" w:ascii="宋体" w:hAnsi="宋体" w:cs="宋体"/>
                <w:bCs/>
                <w:color w:val="auto"/>
                <w:sz w:val="24"/>
                <w:highlight w:val="none"/>
              </w:rPr>
              <w:t>。该措施</w:t>
            </w:r>
            <w:r>
              <w:rPr>
                <w:rStyle w:val="55"/>
                <w:rFonts w:hint="eastAsia" w:ascii="宋体" w:hAnsi="宋体" w:cs="宋体"/>
                <w:b w:val="0"/>
                <w:bCs/>
                <w:color w:val="auto"/>
                <w:sz w:val="24"/>
                <w:highlight w:val="none"/>
              </w:rPr>
              <w:t>内容完整清晰</w:t>
            </w:r>
            <w:r>
              <w:rPr>
                <w:rFonts w:hint="eastAsia" w:ascii="宋体" w:hAnsi="宋体" w:cs="宋体"/>
                <w:bCs/>
                <w:color w:val="auto"/>
                <w:sz w:val="24"/>
                <w:highlight w:val="none"/>
              </w:rPr>
              <w:t>，</w:t>
            </w:r>
            <w:r>
              <w:rPr>
                <w:rFonts w:ascii="宋体" w:hAnsi="宋体" w:cs="宋体"/>
                <w:bCs/>
                <w:color w:val="auto"/>
                <w:sz w:val="24"/>
                <w:highlight w:val="none"/>
              </w:rPr>
              <w:t>全面</w:t>
            </w:r>
            <w:r>
              <w:rPr>
                <w:rFonts w:hint="eastAsia" w:ascii="宋体" w:hAnsi="宋体" w:cs="宋体"/>
                <w:bCs/>
                <w:color w:val="auto"/>
                <w:sz w:val="24"/>
                <w:highlight w:val="none"/>
              </w:rPr>
              <w:t>涵盖岗位职责、项目组织结构、人员录用与考勤、日常巡逻、交通管理、治安管理（</w:t>
            </w:r>
            <w:r>
              <w:rPr>
                <w:rStyle w:val="55"/>
                <w:rFonts w:hint="eastAsia" w:ascii="宋体" w:hAnsi="宋体" w:cs="宋体"/>
                <w:b w:val="0"/>
                <w:bCs/>
                <w:color w:val="auto"/>
                <w:sz w:val="24"/>
                <w:highlight w:val="none"/>
              </w:rPr>
              <w:t>含专项消防安全管理措施</w:t>
            </w:r>
            <w:r>
              <w:rPr>
                <w:rFonts w:hint="eastAsia" w:ascii="宋体" w:hAnsi="宋体" w:cs="宋体"/>
                <w:bCs/>
                <w:color w:val="auto"/>
                <w:sz w:val="24"/>
                <w:highlight w:val="none"/>
              </w:rPr>
              <w:t>）、特殊时段管理、治安宣传及增值服务措施等招标文件规定的全部内容，各项管理措施要点清晰、可操作性强。在满足招标文件</w:t>
            </w:r>
            <w:r>
              <w:rPr>
                <w:rFonts w:ascii="宋体" w:hAnsi="宋体" w:cs="宋体"/>
                <w:bCs/>
                <w:color w:val="auto"/>
                <w:sz w:val="24"/>
                <w:highlight w:val="none"/>
              </w:rPr>
              <w:t>规定的人员配置及资格要求</w:t>
            </w:r>
            <w:r>
              <w:rPr>
                <w:rFonts w:hint="eastAsia" w:ascii="宋体" w:hAnsi="宋体" w:cs="宋体"/>
                <w:bCs/>
                <w:color w:val="auto"/>
                <w:sz w:val="24"/>
                <w:highlight w:val="none"/>
              </w:rPr>
              <w:t>的基础上，措施中的人员配置（如专业技能、经验结构、应急能力等）</w:t>
            </w:r>
            <w:r>
              <w:rPr>
                <w:rFonts w:ascii="宋体" w:hAnsi="宋体" w:cs="宋体"/>
                <w:bCs/>
                <w:color w:val="auto"/>
                <w:sz w:val="24"/>
                <w:highlight w:val="none"/>
              </w:rPr>
              <w:t>体现出显著</w:t>
            </w:r>
            <w:r>
              <w:rPr>
                <w:rFonts w:hint="eastAsia" w:ascii="宋体" w:hAnsi="宋体" w:cs="宋体"/>
                <w:bCs/>
                <w:color w:val="auto"/>
                <w:sz w:val="24"/>
                <w:highlight w:val="none"/>
              </w:rPr>
              <w:t>具体</w:t>
            </w:r>
            <w:r>
              <w:rPr>
                <w:rFonts w:ascii="宋体" w:hAnsi="宋体" w:cs="宋体"/>
                <w:bCs/>
                <w:color w:val="auto"/>
                <w:sz w:val="24"/>
                <w:highlight w:val="none"/>
              </w:rPr>
              <w:t>优势或强化配置方案</w:t>
            </w:r>
            <w:r>
              <w:rPr>
                <w:rFonts w:hint="eastAsia" w:ascii="宋体" w:hAnsi="宋体" w:cs="宋体"/>
                <w:bCs/>
                <w:color w:val="auto"/>
                <w:sz w:val="24"/>
                <w:highlight w:val="none"/>
              </w:rPr>
              <w:t>。清晰认知并承诺落实企业在安全、质量、社会及教育方面的责任，提供具体落实措施。</w:t>
            </w:r>
          </w:p>
          <w:p w14:paraId="2887073A">
            <w:pPr>
              <w:spacing w:line="360" w:lineRule="auto"/>
              <w:ind w:firstLine="435"/>
              <w:rPr>
                <w:rFonts w:ascii="宋体" w:hAnsi="宋体" w:cs="宋体"/>
                <w:bCs/>
                <w:color w:val="auto"/>
                <w:sz w:val="24"/>
                <w:highlight w:val="none"/>
              </w:rPr>
            </w:pPr>
            <w:r>
              <w:rPr>
                <w:rFonts w:hint="eastAsia" w:ascii="宋体" w:hAnsi="宋体" w:cs="宋体"/>
                <w:b/>
                <w:bCs/>
                <w:color w:val="auto"/>
                <w:kern w:val="0"/>
                <w:sz w:val="24"/>
                <w:highlight w:val="none"/>
              </w:rPr>
              <w:t>注：未提供该项内容或未达到一档的，本项不得分。</w:t>
            </w:r>
          </w:p>
        </w:tc>
      </w:tr>
      <w:tr w14:paraId="7C2B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686A147F">
            <w:pPr>
              <w:adjustRightInd w:val="0"/>
              <w:snapToGrid w:val="0"/>
              <w:spacing w:line="360" w:lineRule="auto"/>
              <w:jc w:val="center"/>
              <w:textAlignment w:val="baseline"/>
              <w:rPr>
                <w:rFonts w:ascii="宋体" w:hAnsi="宋体" w:cs="宋体"/>
                <w:b/>
                <w:color w:val="auto"/>
                <w:sz w:val="24"/>
                <w:highlight w:val="none"/>
              </w:rPr>
            </w:pPr>
          </w:p>
        </w:tc>
        <w:tc>
          <w:tcPr>
            <w:tcW w:w="1786" w:type="dxa"/>
            <w:vMerge w:val="continue"/>
            <w:tcBorders>
              <w:left w:val="single" w:color="auto" w:sz="4" w:space="0"/>
              <w:right w:val="single" w:color="auto" w:sz="4" w:space="0"/>
            </w:tcBorders>
            <w:vAlign w:val="center"/>
          </w:tcPr>
          <w:p w14:paraId="31B8836F">
            <w:pPr>
              <w:snapToGrid w:val="0"/>
              <w:spacing w:line="360" w:lineRule="auto"/>
              <w:jc w:val="center"/>
              <w:rPr>
                <w:rFonts w:ascii="宋体" w:hAnsi="宋体" w:cs="宋体"/>
                <w:b/>
                <w:bCs/>
                <w:color w:val="auto"/>
                <w:sz w:val="24"/>
                <w:highlight w:val="none"/>
              </w:rPr>
            </w:pPr>
          </w:p>
        </w:tc>
        <w:tc>
          <w:tcPr>
            <w:tcW w:w="1495" w:type="dxa"/>
            <w:tcBorders>
              <w:top w:val="single" w:color="auto" w:sz="4" w:space="0"/>
              <w:left w:val="single" w:color="auto" w:sz="4" w:space="0"/>
              <w:bottom w:val="single" w:color="auto" w:sz="4" w:space="0"/>
              <w:right w:val="single" w:color="auto" w:sz="4" w:space="0"/>
            </w:tcBorders>
            <w:vAlign w:val="center"/>
          </w:tcPr>
          <w:p w14:paraId="74405E0E">
            <w:pPr>
              <w:spacing w:line="360" w:lineRule="auto"/>
              <w:rPr>
                <w:rFonts w:ascii="宋体" w:hAnsi="宋体" w:cs="宋体"/>
                <w:color w:val="auto"/>
                <w:sz w:val="24"/>
                <w:highlight w:val="none"/>
              </w:rPr>
            </w:pPr>
            <w:r>
              <w:rPr>
                <w:rFonts w:hint="eastAsia" w:ascii="宋体" w:hAnsi="宋体" w:cs="宋体"/>
                <w:color w:val="auto"/>
                <w:sz w:val="24"/>
                <w:highlight w:val="none"/>
              </w:rPr>
              <w:t>（2）人员管理制度、人员培训方案（满分8分）</w:t>
            </w:r>
          </w:p>
        </w:tc>
        <w:tc>
          <w:tcPr>
            <w:tcW w:w="5410" w:type="dxa"/>
            <w:gridSpan w:val="2"/>
            <w:tcBorders>
              <w:top w:val="single" w:color="auto" w:sz="4" w:space="0"/>
              <w:left w:val="single" w:color="auto" w:sz="4" w:space="0"/>
              <w:bottom w:val="single" w:color="auto" w:sz="4" w:space="0"/>
              <w:right w:val="single" w:color="auto" w:sz="4" w:space="0"/>
            </w:tcBorders>
            <w:vAlign w:val="center"/>
          </w:tcPr>
          <w:p w14:paraId="5EE9DD66">
            <w:pPr>
              <w:spacing w:line="360" w:lineRule="auto"/>
              <w:ind w:firstLine="435"/>
              <w:rPr>
                <w:rFonts w:ascii="宋体" w:hAnsi="宋体" w:cs="宋体"/>
                <w:b/>
                <w:bCs/>
                <w:color w:val="auto"/>
                <w:sz w:val="24"/>
                <w:highlight w:val="none"/>
              </w:rPr>
            </w:pPr>
            <w:r>
              <w:rPr>
                <w:rFonts w:hint="eastAsia" w:ascii="宋体" w:hAnsi="宋体" w:cs="宋体"/>
                <w:b/>
                <w:bCs/>
                <w:color w:val="auto"/>
                <w:sz w:val="24"/>
                <w:highlight w:val="none"/>
              </w:rPr>
              <w:t>（2）评标委员会对各投标人提供的“人员管理制度、人员培训方案”内容的完整性、针对性、合理性等方面进行独立评审并独立打分：</w:t>
            </w:r>
          </w:p>
          <w:p w14:paraId="713F70F8">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一档（2分）：人员管理制度涵盖招标要求，包括但不限于岗位权责、操作流程及考核标准、人员招聘配置、稳定性措施、劳动/劳务纠纷处理机制等，基本符合采购需求要求。人员培训方案包括但不限于培训大纲（含</w:t>
            </w:r>
            <w:r>
              <w:rPr>
                <w:rFonts w:hint="eastAsia" w:ascii="宋体" w:hAnsi="宋体" w:cs="宋体"/>
                <w:color w:val="auto"/>
                <w:kern w:val="0"/>
                <w:sz w:val="24"/>
                <w:highlight w:val="none"/>
              </w:rPr>
              <w:t>岗位职责、流程、</w:t>
            </w:r>
            <w:r>
              <w:rPr>
                <w:rFonts w:hint="eastAsia" w:ascii="宋体" w:hAnsi="宋体" w:cs="宋体"/>
                <w:bCs/>
                <w:color w:val="auto"/>
                <w:sz w:val="24"/>
                <w:highlight w:val="none"/>
              </w:rPr>
              <w:t>技能与文明</w:t>
            </w:r>
            <w:r>
              <w:rPr>
                <w:rFonts w:ascii="宋体" w:hAnsi="宋体" w:cs="宋体"/>
                <w:bCs/>
                <w:color w:val="auto"/>
                <w:sz w:val="24"/>
                <w:highlight w:val="none"/>
              </w:rPr>
              <w:t>行为</w:t>
            </w:r>
            <w:r>
              <w:rPr>
                <w:rFonts w:hint="eastAsia" w:ascii="宋体" w:hAnsi="宋体" w:cs="宋体"/>
                <w:bCs/>
                <w:color w:val="auto"/>
                <w:sz w:val="24"/>
                <w:highlight w:val="none"/>
              </w:rPr>
              <w:t>规范教育等）</w:t>
            </w:r>
            <w:r>
              <w:rPr>
                <w:rFonts w:hint="eastAsia" w:ascii="宋体" w:hAnsi="宋体" w:cs="宋体"/>
                <w:color w:val="auto"/>
                <w:kern w:val="0"/>
                <w:sz w:val="24"/>
                <w:highlight w:val="none"/>
              </w:rPr>
              <w:t>、理论知识培训（含职业道德、法律常识、保安礼仪、基本救护知识等）、</w:t>
            </w:r>
            <w:r>
              <w:rPr>
                <w:rFonts w:hint="eastAsia" w:ascii="宋体" w:hAnsi="宋体" w:cs="宋体"/>
                <w:bCs/>
                <w:color w:val="auto"/>
                <w:kern w:val="0"/>
                <w:sz w:val="24"/>
                <w:highlight w:val="none"/>
              </w:rPr>
              <w:t>培训效果评估等</w:t>
            </w:r>
            <w:r>
              <w:rPr>
                <w:rFonts w:hint="eastAsia" w:ascii="宋体" w:hAnsi="宋体" w:cs="宋体"/>
                <w:bCs/>
                <w:color w:val="auto"/>
                <w:sz w:val="24"/>
                <w:highlight w:val="none"/>
              </w:rPr>
              <w:t>，基本符合采购需求要求</w:t>
            </w:r>
            <w:r>
              <w:rPr>
                <w:rFonts w:hint="eastAsia" w:ascii="宋体" w:hAnsi="宋体" w:cs="宋体"/>
                <w:color w:val="auto"/>
                <w:kern w:val="0"/>
                <w:sz w:val="24"/>
                <w:highlight w:val="none"/>
              </w:rPr>
              <w:t>。</w:t>
            </w:r>
          </w:p>
          <w:p w14:paraId="3F48BB2F">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二档（5分）：人员管理制度全面涵盖招标要求，包括但不限于岗位权责、操作流程及考核标准、人员招聘配置、稳定性措施、劳动/劳务纠纷处理机制等，符合采购需求要求，兼具针对性、可操作性。人员培训方案包括但不限于培训大纲（含</w:t>
            </w:r>
            <w:r>
              <w:rPr>
                <w:rFonts w:hint="eastAsia" w:ascii="宋体" w:hAnsi="宋体" w:cs="宋体"/>
                <w:color w:val="auto"/>
                <w:kern w:val="0"/>
                <w:sz w:val="24"/>
                <w:highlight w:val="none"/>
              </w:rPr>
              <w:t>岗位职责、流程、</w:t>
            </w:r>
            <w:r>
              <w:rPr>
                <w:rFonts w:hint="eastAsia" w:ascii="宋体" w:hAnsi="宋体" w:cs="宋体"/>
                <w:bCs/>
                <w:color w:val="auto"/>
                <w:sz w:val="24"/>
                <w:highlight w:val="none"/>
              </w:rPr>
              <w:t>技能与文明</w:t>
            </w:r>
            <w:r>
              <w:rPr>
                <w:rFonts w:ascii="宋体" w:hAnsi="宋体" w:cs="宋体"/>
                <w:bCs/>
                <w:color w:val="auto"/>
                <w:sz w:val="24"/>
                <w:highlight w:val="none"/>
              </w:rPr>
              <w:t>行为</w:t>
            </w:r>
            <w:r>
              <w:rPr>
                <w:rFonts w:hint="eastAsia" w:ascii="宋体" w:hAnsi="宋体" w:cs="宋体"/>
                <w:bCs/>
                <w:color w:val="auto"/>
                <w:sz w:val="24"/>
                <w:highlight w:val="none"/>
              </w:rPr>
              <w:t>规范教育等）</w:t>
            </w:r>
            <w:r>
              <w:rPr>
                <w:rFonts w:hint="eastAsia" w:ascii="宋体" w:hAnsi="宋体" w:cs="宋体"/>
                <w:color w:val="auto"/>
                <w:kern w:val="0"/>
                <w:sz w:val="24"/>
                <w:highlight w:val="none"/>
              </w:rPr>
              <w:t>、理论知识培训（含职业道德、法律常识、保安礼仪、基本救护知识等）、</w:t>
            </w:r>
            <w:r>
              <w:rPr>
                <w:rFonts w:hint="eastAsia" w:ascii="宋体" w:hAnsi="宋体" w:cs="宋体"/>
                <w:bCs/>
                <w:color w:val="auto"/>
                <w:kern w:val="0"/>
                <w:sz w:val="24"/>
                <w:highlight w:val="none"/>
              </w:rPr>
              <w:t>培训效果评估等</w:t>
            </w:r>
            <w:r>
              <w:rPr>
                <w:rFonts w:hint="eastAsia" w:ascii="宋体" w:hAnsi="宋体" w:cs="宋体"/>
                <w:bCs/>
                <w:color w:val="auto"/>
                <w:sz w:val="24"/>
                <w:highlight w:val="none"/>
              </w:rPr>
              <w:t>，方案有管理流程（附流程图）等，</w:t>
            </w:r>
            <w:r>
              <w:rPr>
                <w:rFonts w:hint="eastAsia" w:ascii="宋体" w:hAnsi="宋体" w:cs="宋体"/>
                <w:color w:val="auto"/>
                <w:sz w:val="24"/>
                <w:highlight w:val="none"/>
              </w:rPr>
              <w:t>培训方案整体合理</w:t>
            </w:r>
            <w:r>
              <w:rPr>
                <w:rFonts w:hint="eastAsia" w:ascii="宋体" w:hAnsi="宋体" w:cs="宋体"/>
                <w:bCs/>
                <w:color w:val="auto"/>
                <w:sz w:val="24"/>
                <w:highlight w:val="none"/>
              </w:rPr>
              <w:t>，兼具针对性、可操作性</w:t>
            </w:r>
            <w:r>
              <w:rPr>
                <w:rFonts w:hint="eastAsia" w:ascii="宋体" w:hAnsi="宋体" w:cs="宋体"/>
                <w:color w:val="auto"/>
                <w:kern w:val="0"/>
                <w:sz w:val="24"/>
                <w:highlight w:val="none"/>
              </w:rPr>
              <w:t>。</w:t>
            </w:r>
          </w:p>
          <w:p w14:paraId="4D8C3CF4">
            <w:pPr>
              <w:spacing w:line="360" w:lineRule="auto"/>
              <w:ind w:firstLine="435"/>
              <w:rPr>
                <w:rFonts w:ascii="宋体" w:hAnsi="宋体" w:cs="宋体"/>
                <w:color w:val="auto"/>
                <w:kern w:val="0"/>
                <w:sz w:val="24"/>
                <w:highlight w:val="none"/>
              </w:rPr>
            </w:pPr>
            <w:r>
              <w:rPr>
                <w:rFonts w:hint="eastAsia" w:ascii="宋体" w:hAnsi="宋体" w:cs="宋体"/>
                <w:bCs/>
                <w:color w:val="auto"/>
                <w:sz w:val="24"/>
                <w:highlight w:val="none"/>
              </w:rPr>
              <w:t>三档（8分）：人员管理制度全面涵盖招标要求，包括但不限于岗位权责、操作流程及考核标准、人员招聘配置、稳定性措施、劳动/劳务纠纷处理机制等，完全符合采购需求要求，针对性、可操作性及实践指导性更强。人员培训方案包括但不限于培训大纲（含</w:t>
            </w:r>
            <w:r>
              <w:rPr>
                <w:rFonts w:hint="eastAsia" w:ascii="宋体" w:hAnsi="宋体" w:cs="宋体"/>
                <w:color w:val="auto"/>
                <w:kern w:val="0"/>
                <w:sz w:val="24"/>
                <w:highlight w:val="none"/>
              </w:rPr>
              <w:t>岗位职责、流程、</w:t>
            </w:r>
            <w:r>
              <w:rPr>
                <w:rFonts w:hint="eastAsia" w:ascii="宋体" w:hAnsi="宋体" w:cs="宋体"/>
                <w:bCs/>
                <w:color w:val="auto"/>
                <w:sz w:val="24"/>
                <w:highlight w:val="none"/>
              </w:rPr>
              <w:t>技能与文明</w:t>
            </w:r>
            <w:r>
              <w:rPr>
                <w:rFonts w:ascii="宋体" w:hAnsi="宋体" w:cs="宋体"/>
                <w:bCs/>
                <w:color w:val="auto"/>
                <w:sz w:val="24"/>
                <w:highlight w:val="none"/>
              </w:rPr>
              <w:t>行为</w:t>
            </w:r>
            <w:r>
              <w:rPr>
                <w:rFonts w:hint="eastAsia" w:ascii="宋体" w:hAnsi="宋体" w:cs="宋体"/>
                <w:bCs/>
                <w:color w:val="auto"/>
                <w:sz w:val="24"/>
                <w:highlight w:val="none"/>
              </w:rPr>
              <w:t>规范教育等）</w:t>
            </w:r>
            <w:r>
              <w:rPr>
                <w:rFonts w:hint="eastAsia" w:ascii="宋体" w:hAnsi="宋体" w:cs="宋体"/>
                <w:color w:val="auto"/>
                <w:kern w:val="0"/>
                <w:sz w:val="24"/>
                <w:highlight w:val="none"/>
              </w:rPr>
              <w:t>、理论知识培训（含职业道德、法律常识、保安礼仪、基本救护知识等）、</w:t>
            </w:r>
            <w:r>
              <w:rPr>
                <w:rFonts w:hint="eastAsia" w:ascii="宋体" w:hAnsi="宋体" w:cs="宋体"/>
                <w:bCs/>
                <w:color w:val="auto"/>
                <w:kern w:val="0"/>
                <w:sz w:val="24"/>
                <w:highlight w:val="none"/>
              </w:rPr>
              <w:t>培训效果评估等</w:t>
            </w:r>
            <w:r>
              <w:rPr>
                <w:rFonts w:hint="eastAsia" w:ascii="宋体" w:hAnsi="宋体" w:cs="宋体"/>
                <w:bCs/>
                <w:color w:val="auto"/>
                <w:sz w:val="24"/>
                <w:highlight w:val="none"/>
              </w:rPr>
              <w:t>，方案有针对性的管理流程（附流程图）等，</w:t>
            </w:r>
            <w:r>
              <w:rPr>
                <w:rFonts w:hint="eastAsia" w:ascii="宋体" w:hAnsi="宋体" w:cs="宋体"/>
                <w:color w:val="auto"/>
                <w:sz w:val="24"/>
                <w:highlight w:val="none"/>
              </w:rPr>
              <w:t>培训方案整体科学合理</w:t>
            </w:r>
            <w:r>
              <w:rPr>
                <w:rFonts w:hint="eastAsia" w:ascii="宋体" w:hAnsi="宋体" w:cs="宋体"/>
                <w:bCs/>
                <w:color w:val="auto"/>
                <w:sz w:val="24"/>
                <w:highlight w:val="none"/>
              </w:rPr>
              <w:t>，针对性、可操作性及实践指导性更强</w:t>
            </w:r>
            <w:r>
              <w:rPr>
                <w:rFonts w:hint="eastAsia" w:ascii="宋体" w:hAnsi="宋体" w:cs="宋体"/>
                <w:color w:val="auto"/>
                <w:sz w:val="24"/>
                <w:highlight w:val="none"/>
              </w:rPr>
              <w:t>，并提供有利于采购人项目实施和完善服务的其它培训建议</w:t>
            </w:r>
            <w:r>
              <w:rPr>
                <w:rFonts w:hint="eastAsia" w:ascii="宋体" w:hAnsi="宋体" w:cs="宋体"/>
                <w:color w:val="auto"/>
                <w:kern w:val="0"/>
                <w:sz w:val="24"/>
                <w:highlight w:val="none"/>
              </w:rPr>
              <w:t>。</w:t>
            </w:r>
          </w:p>
          <w:p w14:paraId="4B0C63C5">
            <w:pPr>
              <w:spacing w:line="360" w:lineRule="auto"/>
              <w:ind w:firstLine="435"/>
              <w:rPr>
                <w:rFonts w:ascii="宋体" w:hAnsi="宋体" w:cs="宋体"/>
                <w:color w:val="auto"/>
                <w:kern w:val="0"/>
                <w:sz w:val="24"/>
                <w:highlight w:val="none"/>
              </w:rPr>
            </w:pPr>
            <w:r>
              <w:rPr>
                <w:rFonts w:hint="eastAsia" w:ascii="宋体" w:hAnsi="宋体" w:cs="宋体"/>
                <w:b/>
                <w:bCs/>
                <w:color w:val="auto"/>
                <w:kern w:val="0"/>
                <w:sz w:val="24"/>
                <w:highlight w:val="none"/>
              </w:rPr>
              <w:t>注：未提供该项内容或未达到一档的，本项不得分。</w:t>
            </w:r>
          </w:p>
        </w:tc>
      </w:tr>
      <w:tr w14:paraId="39FA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4A0BC9B4">
            <w:pPr>
              <w:adjustRightInd w:val="0"/>
              <w:snapToGrid w:val="0"/>
              <w:spacing w:line="360" w:lineRule="auto"/>
              <w:jc w:val="center"/>
              <w:textAlignment w:val="baseline"/>
              <w:rPr>
                <w:rFonts w:ascii="宋体" w:hAnsi="宋体" w:cs="宋体"/>
                <w:b/>
                <w:color w:val="auto"/>
                <w:sz w:val="24"/>
                <w:highlight w:val="none"/>
              </w:rPr>
            </w:pPr>
          </w:p>
        </w:tc>
        <w:tc>
          <w:tcPr>
            <w:tcW w:w="1786" w:type="dxa"/>
            <w:vMerge w:val="continue"/>
            <w:tcBorders>
              <w:left w:val="single" w:color="auto" w:sz="4" w:space="0"/>
              <w:right w:val="single" w:color="auto" w:sz="4" w:space="0"/>
            </w:tcBorders>
            <w:vAlign w:val="center"/>
          </w:tcPr>
          <w:p w14:paraId="1211C051">
            <w:pPr>
              <w:snapToGrid w:val="0"/>
              <w:spacing w:line="360" w:lineRule="auto"/>
              <w:jc w:val="center"/>
              <w:rPr>
                <w:rFonts w:ascii="宋体" w:hAnsi="宋体" w:cs="宋体"/>
                <w:b/>
                <w:bCs/>
                <w:color w:val="auto"/>
                <w:sz w:val="24"/>
                <w:highlight w:val="none"/>
              </w:rPr>
            </w:pPr>
          </w:p>
        </w:tc>
        <w:tc>
          <w:tcPr>
            <w:tcW w:w="1495" w:type="dxa"/>
            <w:tcBorders>
              <w:top w:val="single" w:color="auto" w:sz="4" w:space="0"/>
              <w:left w:val="single" w:color="auto" w:sz="4" w:space="0"/>
              <w:bottom w:val="single" w:color="auto" w:sz="4" w:space="0"/>
              <w:right w:val="single" w:color="auto" w:sz="4" w:space="0"/>
            </w:tcBorders>
            <w:vAlign w:val="center"/>
          </w:tcPr>
          <w:p w14:paraId="79F709F5">
            <w:pPr>
              <w:spacing w:line="360" w:lineRule="auto"/>
              <w:rPr>
                <w:rFonts w:ascii="宋体" w:hAnsi="宋体" w:cs="宋体"/>
                <w:color w:val="auto"/>
                <w:sz w:val="24"/>
                <w:highlight w:val="none"/>
              </w:rPr>
            </w:pPr>
            <w:r>
              <w:rPr>
                <w:rFonts w:hint="eastAsia" w:ascii="宋体" w:hAnsi="宋体" w:cs="宋体"/>
                <w:color w:val="auto"/>
                <w:sz w:val="24"/>
                <w:highlight w:val="none"/>
              </w:rPr>
              <w:t>（3）物资装备配</w:t>
            </w:r>
            <w:r>
              <w:rPr>
                <w:rFonts w:ascii="宋体" w:hAnsi="宋体" w:cs="宋体"/>
                <w:color w:val="auto"/>
                <w:sz w:val="24"/>
                <w:highlight w:val="none"/>
              </w:rPr>
              <w:t>置</w:t>
            </w:r>
            <w:r>
              <w:rPr>
                <w:rFonts w:hint="eastAsia" w:ascii="宋体" w:hAnsi="宋体" w:cs="宋体"/>
                <w:color w:val="auto"/>
                <w:sz w:val="24"/>
                <w:highlight w:val="none"/>
              </w:rPr>
              <w:t>方案（满分5分）</w:t>
            </w:r>
          </w:p>
        </w:tc>
        <w:tc>
          <w:tcPr>
            <w:tcW w:w="5410" w:type="dxa"/>
            <w:gridSpan w:val="2"/>
            <w:tcBorders>
              <w:top w:val="single" w:color="auto" w:sz="4" w:space="0"/>
              <w:left w:val="single" w:color="auto" w:sz="4" w:space="0"/>
              <w:bottom w:val="single" w:color="auto" w:sz="4" w:space="0"/>
              <w:right w:val="single" w:color="auto" w:sz="4" w:space="0"/>
            </w:tcBorders>
            <w:vAlign w:val="center"/>
          </w:tcPr>
          <w:p w14:paraId="50EF3609">
            <w:pPr>
              <w:spacing w:line="360" w:lineRule="auto"/>
              <w:ind w:firstLine="435"/>
              <w:rPr>
                <w:rFonts w:ascii="宋体" w:hAnsi="宋体" w:cs="宋体"/>
                <w:color w:val="auto"/>
                <w:sz w:val="24"/>
                <w:highlight w:val="none"/>
              </w:rPr>
            </w:pPr>
            <w:r>
              <w:rPr>
                <w:rFonts w:hint="eastAsia" w:ascii="宋体" w:hAnsi="宋体" w:cs="宋体"/>
                <w:b/>
                <w:bCs/>
                <w:color w:val="auto"/>
                <w:sz w:val="24"/>
                <w:highlight w:val="none"/>
              </w:rPr>
              <w:t>（3）评标委员会根据本项目采购需求及要求，对各投标人提供的“物资装备配</w:t>
            </w:r>
            <w:r>
              <w:rPr>
                <w:rFonts w:ascii="宋体" w:hAnsi="宋体" w:cs="宋体"/>
                <w:b/>
                <w:bCs/>
                <w:color w:val="auto"/>
                <w:sz w:val="24"/>
                <w:highlight w:val="none"/>
              </w:rPr>
              <w:t>置</w:t>
            </w:r>
            <w:r>
              <w:rPr>
                <w:rFonts w:hint="eastAsia" w:ascii="宋体" w:hAnsi="宋体" w:cs="宋体"/>
                <w:b/>
                <w:bCs/>
                <w:color w:val="auto"/>
                <w:sz w:val="24"/>
                <w:highlight w:val="none"/>
              </w:rPr>
              <w:t>方案”内容的完整性、针对性、合理性等方面进行独立评审并独立打分：</w:t>
            </w:r>
          </w:p>
          <w:p w14:paraId="52BDCE24">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一档（1分）：物资装备配置合理，物资装备</w:t>
            </w:r>
            <w:r>
              <w:rPr>
                <w:rFonts w:ascii="宋体" w:hAnsi="宋体" w:cs="宋体"/>
                <w:bCs/>
                <w:color w:val="auto"/>
                <w:sz w:val="24"/>
                <w:highlight w:val="none"/>
              </w:rPr>
              <w:t>配置</w:t>
            </w:r>
            <w:r>
              <w:rPr>
                <w:rFonts w:hint="eastAsia" w:ascii="宋体" w:hAnsi="宋体" w:cs="宋体"/>
                <w:bCs/>
                <w:color w:val="auto"/>
                <w:sz w:val="24"/>
                <w:highlight w:val="none"/>
              </w:rPr>
              <w:t>方案内容基本齐全</w:t>
            </w:r>
            <w:r>
              <w:rPr>
                <w:rFonts w:ascii="宋体" w:hAnsi="宋体" w:cs="宋体"/>
                <w:bCs/>
                <w:color w:val="auto"/>
                <w:sz w:val="24"/>
                <w:highlight w:val="none"/>
              </w:rPr>
              <w:t>，</w:t>
            </w:r>
            <w:r>
              <w:rPr>
                <w:rFonts w:hint="eastAsia" w:ascii="宋体" w:hAnsi="宋体" w:cs="宋体"/>
                <w:bCs/>
                <w:color w:val="auto"/>
                <w:sz w:val="24"/>
                <w:highlight w:val="none"/>
              </w:rPr>
              <w:t>基本满足项目采购需求。</w:t>
            </w:r>
          </w:p>
          <w:p w14:paraId="1DAA04CD">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二档（3分）：物资装备配置合理、完整，物资</w:t>
            </w:r>
            <w:r>
              <w:rPr>
                <w:rFonts w:ascii="宋体" w:hAnsi="宋体" w:cs="宋体"/>
                <w:bCs/>
                <w:color w:val="auto"/>
                <w:sz w:val="24"/>
                <w:highlight w:val="none"/>
              </w:rPr>
              <w:t>装备</w:t>
            </w:r>
            <w:r>
              <w:rPr>
                <w:rFonts w:hint="eastAsia" w:ascii="宋体" w:hAnsi="宋体" w:cs="宋体"/>
                <w:bCs/>
                <w:color w:val="auto"/>
                <w:sz w:val="24"/>
                <w:highlight w:val="none"/>
              </w:rPr>
              <w:t>配置方案内容详细、全面，可行、具有针对性、可操作性，针对采购人的整体布局特点提出针对性配置方案，整个方案满足项目采购需求。</w:t>
            </w:r>
          </w:p>
          <w:p w14:paraId="14D28310">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三档（5分）：物资装备配置合理、完整、详细，物资</w:t>
            </w:r>
            <w:r>
              <w:rPr>
                <w:rFonts w:ascii="宋体" w:hAnsi="宋体" w:cs="宋体"/>
                <w:bCs/>
                <w:color w:val="auto"/>
                <w:sz w:val="24"/>
                <w:highlight w:val="none"/>
              </w:rPr>
              <w:t>装备</w:t>
            </w:r>
            <w:r>
              <w:rPr>
                <w:rFonts w:hint="eastAsia" w:ascii="宋体" w:hAnsi="宋体" w:cs="宋体"/>
                <w:bCs/>
                <w:color w:val="auto"/>
                <w:sz w:val="24"/>
                <w:highlight w:val="none"/>
              </w:rPr>
              <w:t>配置方案内容详细、全面、科学、具体、专业、针对性、可操作性及实践指导性，具备应用现代安保技术与设备设施的能力及相应专业人员更强，承诺在本项目中采用</w:t>
            </w:r>
            <w:r>
              <w:rPr>
                <w:rStyle w:val="55"/>
                <w:rFonts w:hint="eastAsia" w:ascii="宋体" w:hAnsi="宋体" w:cs="宋体"/>
                <w:b w:val="0"/>
                <w:bCs/>
                <w:color w:val="auto"/>
                <w:sz w:val="24"/>
                <w:highlight w:val="none"/>
              </w:rPr>
              <w:t>智能化技术手段</w:t>
            </w:r>
            <w:r>
              <w:rPr>
                <w:rFonts w:hint="eastAsia" w:ascii="宋体" w:hAnsi="宋体" w:cs="宋体"/>
                <w:bCs/>
                <w:color w:val="auto"/>
                <w:sz w:val="24"/>
                <w:highlight w:val="none"/>
              </w:rPr>
              <w:t>（如：AI识别、数据分析等）提升服务质量。针对采购人的整体布局特点提出针对性配置方案，整个方案</w:t>
            </w:r>
            <w:r>
              <w:rPr>
                <w:rFonts w:hint="eastAsia" w:ascii="宋体" w:hAnsi="宋体" w:cs="宋体"/>
                <w:bCs/>
                <w:color w:val="auto"/>
                <w:sz w:val="24"/>
                <w:highlight w:val="none"/>
                <w:lang w:bidi="ar"/>
              </w:rPr>
              <w:t>优于并</w:t>
            </w:r>
            <w:r>
              <w:rPr>
                <w:rFonts w:ascii="宋体" w:hAnsi="宋体" w:cs="宋体"/>
                <w:bCs/>
                <w:color w:val="auto"/>
                <w:sz w:val="24"/>
                <w:highlight w:val="none"/>
              </w:rPr>
              <w:t>完全</w:t>
            </w:r>
            <w:r>
              <w:rPr>
                <w:rFonts w:hint="eastAsia" w:ascii="宋体" w:hAnsi="宋体" w:cs="宋体"/>
                <w:bCs/>
                <w:color w:val="auto"/>
                <w:sz w:val="24"/>
                <w:highlight w:val="none"/>
              </w:rPr>
              <w:t>满足项目采购需求。</w:t>
            </w:r>
          </w:p>
          <w:p w14:paraId="4EB69C2E">
            <w:pPr>
              <w:spacing w:line="360" w:lineRule="auto"/>
              <w:ind w:firstLine="435"/>
              <w:rPr>
                <w:rFonts w:ascii="宋体" w:hAnsi="宋体" w:cs="宋体"/>
                <w:bCs/>
                <w:color w:val="auto"/>
                <w:sz w:val="24"/>
                <w:highlight w:val="none"/>
              </w:rPr>
            </w:pPr>
            <w:r>
              <w:rPr>
                <w:rFonts w:hint="eastAsia" w:ascii="宋体" w:hAnsi="宋体" w:cs="宋体"/>
                <w:b/>
                <w:bCs/>
                <w:color w:val="auto"/>
                <w:kern w:val="0"/>
                <w:sz w:val="24"/>
                <w:highlight w:val="none"/>
              </w:rPr>
              <w:t>注：未提供该项内容或未达到一档的，本项不得分。</w:t>
            </w:r>
          </w:p>
        </w:tc>
      </w:tr>
      <w:tr w14:paraId="145B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530CD8F2">
            <w:pPr>
              <w:adjustRightInd w:val="0"/>
              <w:snapToGrid w:val="0"/>
              <w:spacing w:line="360" w:lineRule="auto"/>
              <w:jc w:val="center"/>
              <w:textAlignment w:val="baseline"/>
              <w:rPr>
                <w:rFonts w:ascii="宋体" w:hAnsi="宋体" w:cs="宋体"/>
                <w:b/>
                <w:color w:val="auto"/>
                <w:sz w:val="24"/>
                <w:highlight w:val="none"/>
              </w:rPr>
            </w:pPr>
          </w:p>
        </w:tc>
        <w:tc>
          <w:tcPr>
            <w:tcW w:w="1786" w:type="dxa"/>
            <w:vMerge w:val="continue"/>
            <w:tcBorders>
              <w:left w:val="single" w:color="auto" w:sz="4" w:space="0"/>
              <w:right w:val="single" w:color="auto" w:sz="4" w:space="0"/>
            </w:tcBorders>
            <w:vAlign w:val="center"/>
          </w:tcPr>
          <w:p w14:paraId="32D868BD">
            <w:pPr>
              <w:snapToGrid w:val="0"/>
              <w:spacing w:line="360" w:lineRule="auto"/>
              <w:jc w:val="center"/>
              <w:rPr>
                <w:rFonts w:ascii="宋体" w:hAnsi="宋体" w:cs="宋体"/>
                <w:b/>
                <w:bCs/>
                <w:color w:val="auto"/>
                <w:sz w:val="24"/>
                <w:highlight w:val="none"/>
              </w:rPr>
            </w:pPr>
          </w:p>
        </w:tc>
        <w:tc>
          <w:tcPr>
            <w:tcW w:w="1495" w:type="dxa"/>
            <w:tcBorders>
              <w:top w:val="single" w:color="auto" w:sz="4" w:space="0"/>
              <w:left w:val="single" w:color="auto" w:sz="4" w:space="0"/>
              <w:bottom w:val="single" w:color="auto" w:sz="4" w:space="0"/>
              <w:right w:val="single" w:color="auto" w:sz="4" w:space="0"/>
            </w:tcBorders>
            <w:vAlign w:val="center"/>
          </w:tcPr>
          <w:p w14:paraId="0B43AA2F">
            <w:pPr>
              <w:spacing w:line="360" w:lineRule="auto"/>
              <w:rPr>
                <w:rFonts w:ascii="宋体" w:hAnsi="宋体" w:cs="宋体"/>
                <w:color w:val="auto"/>
                <w:sz w:val="24"/>
                <w:highlight w:val="none"/>
              </w:rPr>
            </w:pPr>
            <w:r>
              <w:rPr>
                <w:rFonts w:hint="eastAsia" w:ascii="宋体" w:hAnsi="宋体" w:cs="宋体"/>
                <w:color w:val="auto"/>
                <w:sz w:val="24"/>
                <w:highlight w:val="none"/>
              </w:rPr>
              <w:t>（4）应急处置预案（满分12分）</w:t>
            </w:r>
          </w:p>
        </w:tc>
        <w:tc>
          <w:tcPr>
            <w:tcW w:w="5410" w:type="dxa"/>
            <w:gridSpan w:val="2"/>
            <w:tcBorders>
              <w:top w:val="single" w:color="auto" w:sz="4" w:space="0"/>
              <w:left w:val="single" w:color="auto" w:sz="4" w:space="0"/>
              <w:bottom w:val="single" w:color="auto" w:sz="4" w:space="0"/>
              <w:right w:val="single" w:color="auto" w:sz="4" w:space="0"/>
            </w:tcBorders>
            <w:vAlign w:val="center"/>
          </w:tcPr>
          <w:p w14:paraId="4FDB0305">
            <w:pPr>
              <w:spacing w:line="360" w:lineRule="auto"/>
              <w:ind w:firstLine="435"/>
              <w:rPr>
                <w:rFonts w:ascii="宋体" w:hAnsi="宋体" w:cs="宋体"/>
                <w:bCs/>
                <w:color w:val="auto"/>
                <w:sz w:val="24"/>
                <w:highlight w:val="none"/>
              </w:rPr>
            </w:pPr>
            <w:r>
              <w:rPr>
                <w:rFonts w:hint="eastAsia" w:ascii="宋体" w:hAnsi="宋体" w:cs="宋体"/>
                <w:b/>
                <w:bCs/>
                <w:color w:val="auto"/>
                <w:sz w:val="24"/>
                <w:highlight w:val="none"/>
              </w:rPr>
              <w:t>（4）评标委员会对各投标人提供的“应急处置预案”内容的完整性、针对性、合理性等方面进行独立评审并独立打分：</w:t>
            </w:r>
          </w:p>
          <w:p w14:paraId="7439E194">
            <w:pPr>
              <w:widowControl/>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一档（4分）：应急处置预案内容基本齐全。有应急指挥机构及职责分工、应急资源（人力、物资、装备、通讯）保障方案。有应急处置预案、应急响应流程及响应流程图。针对不同类型场景的的专项应急预案，包括但不限于：重大活动保障（如招生、迎新、开学典礼、军训、毕业典礼等校级以上活动）、节假日安全保障、突发事件处置（包括自然灾害、火灾、交通事故、治安事件、反恐防暴等）、结合各区域特点及采购人可能发生的其他特殊情况的预案。承诺在保障措施可行基础上，人员安排、设备、响应时间等方面能较好应对突发事件。</w:t>
            </w:r>
          </w:p>
          <w:p w14:paraId="68A6CB4D">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二档（8分）：应急处置预案内容齐全、考虑周全。有应急指挥机构及职责分工、应急资源（人力、物资、装备、通讯）保障方案。有整体应急处置预案、标准化的应急响应流程及直观的响应流程图。针对不同类型场景的详细、可操作的专项应急预案，包括但不限于：重大活动保障（如招生、迎新、开学典礼、军训、毕业典礼等校级以上活动）、节假日安全保障、突发事件处置（包括自然灾害、火灾、交通事故、治安事件、反恐防暴等）、结合各区域特点及采购人可能发生的其他特殊情况的预案，且各专项预案须措施可行、保障有力。有响应能力保障与实施预案相关应急资源的证明材料，提供支撑应急响应（特别是为实现快速响应目标）的人员部署图、通讯联络保障方案、关键应急装备清单及状态说明、相关岗位人员安排计划。承诺在保障措施可行基础上，承诺核心区/重点部位突发事件10分钟内响应，20分钟内安保人员到场；其他区域15分钟内响应，30分钟内到场。</w:t>
            </w:r>
          </w:p>
          <w:p w14:paraId="42CD84B2">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三档（12分）：应急处置预案内容全面详尽、考虑周全。有明确的应急指挥机构及职责分工、可靠的应急资源（人力、物资、装备、通讯）保障方案。完整的整体应急处置预案、标准化的应急响应流程及直观的响应流程图。针对不同类型场景的详细、具体、可操作性高的专项应急预案，涵盖：重大活动保障（如招生、迎新、开学典礼、军训、毕业典礼等校级以上活动）、节假日安全保障、突发事件处置（包括自然灾害、火灾、交通事故、治安事件、反恐防暴等）、结合各区域特点及采购人可能发生的其他特殊情况的预案，且各专项预案须措施可行、保障有力，体现科学合理的人员部署、充足的设备支持、高效的响应机制，确保能有效应对。有响应能力保障与实施预案相关应急资源的证明材料，提供支撑应急响应（特别是为实现快速响应目标）的详细人员部署图、通讯联络保障方案、关键应急装备清单及状态说明、相关岗位人员安排计划。承诺在保障措施完全可行的基础上，承诺核心区/重点部位突发事件5分钟内响应，15分钟内安保人员到场；其他区域10分钟内响应，20分钟内到场。</w:t>
            </w:r>
          </w:p>
          <w:p w14:paraId="4C6E6596">
            <w:pPr>
              <w:spacing w:line="360" w:lineRule="auto"/>
              <w:ind w:firstLine="435"/>
              <w:rPr>
                <w:rFonts w:ascii="宋体" w:hAnsi="宋体" w:cs="宋体"/>
                <w:bCs/>
                <w:color w:val="auto"/>
                <w:sz w:val="24"/>
                <w:highlight w:val="none"/>
              </w:rPr>
            </w:pPr>
            <w:r>
              <w:rPr>
                <w:rFonts w:hint="eastAsia" w:ascii="宋体" w:hAnsi="宋体" w:cs="宋体"/>
                <w:b/>
                <w:bCs/>
                <w:color w:val="auto"/>
                <w:kern w:val="0"/>
                <w:sz w:val="24"/>
                <w:highlight w:val="none"/>
              </w:rPr>
              <w:t>注：未提供该项内容或未达到一档的，本项不得分。</w:t>
            </w:r>
          </w:p>
        </w:tc>
      </w:tr>
      <w:tr w14:paraId="28C7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2453520E">
            <w:pPr>
              <w:adjustRightInd w:val="0"/>
              <w:snapToGrid w:val="0"/>
              <w:spacing w:line="360" w:lineRule="auto"/>
              <w:jc w:val="center"/>
              <w:textAlignment w:val="baseline"/>
              <w:rPr>
                <w:rFonts w:ascii="宋体" w:hAnsi="宋体" w:cs="宋体"/>
                <w:b/>
                <w:color w:val="auto"/>
                <w:sz w:val="24"/>
                <w:highlight w:val="none"/>
              </w:rPr>
            </w:pPr>
          </w:p>
        </w:tc>
        <w:tc>
          <w:tcPr>
            <w:tcW w:w="1786" w:type="dxa"/>
            <w:vMerge w:val="continue"/>
            <w:tcBorders>
              <w:left w:val="single" w:color="auto" w:sz="4" w:space="0"/>
              <w:right w:val="single" w:color="auto" w:sz="4" w:space="0"/>
            </w:tcBorders>
            <w:vAlign w:val="center"/>
          </w:tcPr>
          <w:p w14:paraId="697C0F4B">
            <w:pPr>
              <w:snapToGrid w:val="0"/>
              <w:spacing w:line="360" w:lineRule="auto"/>
              <w:jc w:val="center"/>
              <w:rPr>
                <w:rFonts w:ascii="宋体" w:hAnsi="宋体" w:cs="宋体"/>
                <w:b/>
                <w:bCs/>
                <w:color w:val="auto"/>
                <w:sz w:val="24"/>
                <w:highlight w:val="none"/>
              </w:rPr>
            </w:pPr>
          </w:p>
        </w:tc>
        <w:tc>
          <w:tcPr>
            <w:tcW w:w="1495" w:type="dxa"/>
            <w:tcBorders>
              <w:top w:val="single" w:color="auto" w:sz="4" w:space="0"/>
              <w:left w:val="single" w:color="auto" w:sz="4" w:space="0"/>
              <w:bottom w:val="single" w:color="auto" w:sz="4" w:space="0"/>
              <w:right w:val="single" w:color="auto" w:sz="4" w:space="0"/>
            </w:tcBorders>
            <w:vAlign w:val="center"/>
          </w:tcPr>
          <w:p w14:paraId="01292689">
            <w:pPr>
              <w:spacing w:line="360" w:lineRule="auto"/>
              <w:rPr>
                <w:rFonts w:ascii="宋体" w:hAnsi="宋体" w:cs="宋体"/>
                <w:color w:val="auto"/>
                <w:sz w:val="24"/>
                <w:highlight w:val="none"/>
              </w:rPr>
            </w:pPr>
            <w:r>
              <w:rPr>
                <w:rFonts w:hint="eastAsia" w:ascii="宋体" w:hAnsi="宋体" w:cs="宋体"/>
                <w:color w:val="auto"/>
                <w:sz w:val="24"/>
                <w:highlight w:val="none"/>
              </w:rPr>
              <w:t>（5）其他服务措施（满分12分）</w:t>
            </w:r>
          </w:p>
        </w:tc>
        <w:tc>
          <w:tcPr>
            <w:tcW w:w="5410" w:type="dxa"/>
            <w:gridSpan w:val="2"/>
            <w:tcBorders>
              <w:top w:val="single" w:color="auto" w:sz="4" w:space="0"/>
              <w:left w:val="single" w:color="auto" w:sz="4" w:space="0"/>
              <w:bottom w:val="single" w:color="auto" w:sz="4" w:space="0"/>
              <w:right w:val="single" w:color="auto" w:sz="4" w:space="0"/>
            </w:tcBorders>
            <w:vAlign w:val="center"/>
          </w:tcPr>
          <w:p w14:paraId="71C1B902">
            <w:pPr>
              <w:widowControl/>
              <w:spacing w:line="360" w:lineRule="auto"/>
              <w:ind w:firstLine="482" w:firstLineChars="200"/>
              <w:jc w:val="left"/>
              <w:rPr>
                <w:rFonts w:ascii="宋体" w:hAnsi="宋体" w:cs="宋体"/>
                <w:bCs/>
                <w:color w:val="auto"/>
                <w:sz w:val="24"/>
                <w:highlight w:val="none"/>
              </w:rPr>
            </w:pPr>
            <w:r>
              <w:rPr>
                <w:rFonts w:hint="eastAsia" w:ascii="宋体" w:hAnsi="宋体" w:cs="宋体"/>
                <w:b/>
                <w:bCs/>
                <w:color w:val="auto"/>
                <w:sz w:val="24"/>
                <w:highlight w:val="none"/>
              </w:rPr>
              <w:t>（5）评标委员会对各投标人提供的“其他服务措施”（投标人处理与校园周边村委关系措施、与辖区公安机关及消防部门的联动方案、学校举行大型活动的人员物资保障服务措施等）等方面的完整性、针对性、合理性三个方面进行独立评审并独立打分：</w:t>
            </w:r>
          </w:p>
          <w:p w14:paraId="5AF3A72C">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一档（4分）：结合本项目特点及采购人要求，提供具体的服务措施。该措施包括但不限于以下方面：服务质量保障措施、安全保障措施、人员物资保障措施、责任追究机制措施、企业对质量安全管理的责任认知与落实措施、支持采购人教育教学活动的具体措施、处理与校园周边村委关系措施。</w:t>
            </w:r>
          </w:p>
          <w:p w14:paraId="3E86212D">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二档(8分)：结合本项目特点及采购人要求，提供内容详细、具体可行的服务措施。该措施需具有针对性及可操作性，包括但不限于以下方面：服务质量保障措施、安全保障措施、人员物资保障措施、责任追究机制措施、企业对质量安全管理的责任认知与落实措施、支持采购人教育教学活动的具体措施、处理与校园周边村委关系措施、为采购人特殊时期（如重大活动、节假日、与相关部门联动演习等）提供有针对性的特殊保障服务措施。</w:t>
            </w:r>
          </w:p>
          <w:p w14:paraId="19FB4B8C">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三档(12分)：紧密结合本项目特点及采购人要求，提供内容详细、具体可行的服务措施。该措施需具有高度的针对性及可操作性，包括但不限于以下方面：服务质量保障措施、安全保障措施、人员物资保障措施、责任追究机制措施、企业对质量安全管理的责任认知与落实措施、支持采购人教育教学活动的具体措施、处理与校园周边村委关系措施、为采购人特殊时期（如重大活动、节假日、与相关部门联动演习等）提供有针对性的特殊保障服务措施。同时，承诺为采购人提供具体、有益的增值服务方案（例如：安全教育培训、应急演练支持等）。</w:t>
            </w:r>
          </w:p>
          <w:p w14:paraId="13458E02">
            <w:pPr>
              <w:widowControl/>
              <w:spacing w:line="360" w:lineRule="auto"/>
              <w:ind w:firstLine="482" w:firstLineChars="200"/>
              <w:jc w:val="left"/>
              <w:rPr>
                <w:rFonts w:ascii="宋体" w:hAnsi="宋体" w:cs="宋体"/>
                <w:bCs/>
                <w:color w:val="auto"/>
                <w:sz w:val="24"/>
                <w:highlight w:val="none"/>
              </w:rPr>
            </w:pPr>
            <w:r>
              <w:rPr>
                <w:rFonts w:hint="eastAsia" w:ascii="宋体" w:hAnsi="宋体" w:cs="宋体"/>
                <w:b/>
                <w:bCs/>
                <w:color w:val="auto"/>
                <w:kern w:val="0"/>
                <w:sz w:val="24"/>
                <w:highlight w:val="none"/>
              </w:rPr>
              <w:t>注：未提供该项内容或未达到一档的，本项不得分。</w:t>
            </w:r>
          </w:p>
        </w:tc>
      </w:tr>
      <w:tr w14:paraId="3BBA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left w:val="single" w:color="auto" w:sz="4" w:space="0"/>
              <w:right w:val="single" w:color="auto" w:sz="4" w:space="0"/>
            </w:tcBorders>
            <w:vAlign w:val="center"/>
          </w:tcPr>
          <w:p w14:paraId="5ADECE36">
            <w:pP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t>3</w:t>
            </w:r>
          </w:p>
        </w:tc>
        <w:tc>
          <w:tcPr>
            <w:tcW w:w="1786" w:type="dxa"/>
            <w:tcBorders>
              <w:left w:val="single" w:color="auto" w:sz="4" w:space="0"/>
              <w:right w:val="single" w:color="auto" w:sz="4" w:space="0"/>
            </w:tcBorders>
            <w:vAlign w:val="center"/>
          </w:tcPr>
          <w:p w14:paraId="25D4D1DD">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服务承诺分</w:t>
            </w:r>
          </w:p>
          <w:p w14:paraId="5D4E6BA0">
            <w:pP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t>（满分10分）</w:t>
            </w:r>
          </w:p>
        </w:tc>
        <w:tc>
          <w:tcPr>
            <w:tcW w:w="6905" w:type="dxa"/>
            <w:gridSpan w:val="3"/>
            <w:tcBorders>
              <w:top w:val="single" w:color="auto" w:sz="4" w:space="0"/>
              <w:left w:val="single" w:color="auto" w:sz="4" w:space="0"/>
              <w:right w:val="single" w:color="auto" w:sz="4" w:space="0"/>
            </w:tcBorders>
            <w:vAlign w:val="center"/>
          </w:tcPr>
          <w:p w14:paraId="53C69F76">
            <w:pPr>
              <w:spacing w:line="360" w:lineRule="auto"/>
              <w:ind w:firstLine="435"/>
              <w:rPr>
                <w:rFonts w:ascii="宋体" w:hAnsi="宋体" w:cs="宋体"/>
                <w:color w:val="auto"/>
                <w:sz w:val="24"/>
                <w:highlight w:val="none"/>
              </w:rPr>
            </w:pPr>
            <w:r>
              <w:rPr>
                <w:rFonts w:hint="eastAsia" w:ascii="宋体" w:hAnsi="宋体" w:cs="宋体"/>
                <w:b/>
                <w:bCs/>
                <w:color w:val="auto"/>
                <w:sz w:val="24"/>
                <w:highlight w:val="none"/>
              </w:rPr>
              <w:t>评标委员会对各投标人提供的“服务承诺”内容的完整性、针对性、合理性等方面进行独立评审并独立打分：</w:t>
            </w:r>
          </w:p>
          <w:p w14:paraId="3285658C">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一档（2分）：基本理解项目采购需求及采购人安保服务的特殊性，据此提供安保服务承诺。承诺服务质量符合招标文件及《保安服务管理条例》要求，承诺落实企业在安全、质量、社会及教育方面的责任。特别承诺对师生员工及家属的投诉做到有效反馈率在80%以上，并在四个工作日内完成处理反馈，并提供专项承诺作为证明。</w:t>
            </w:r>
          </w:p>
          <w:p w14:paraId="64AF1FD3">
            <w:pPr>
              <w:widowControl/>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二档（6分）：理解项目采购需求及采购人安保服务的特殊性（尤其是与教育教学活动相关的特点），据此提供具有针对性的安保服务承诺。服务承诺内容完整，承诺服务质量符合招标文件及《保安服务管理条例》要求，且承诺要点清晰、可操作。在满足招标文件人员配置基本要求（人数、资质）的基础上，承诺派驻的人员配置（如专业技能、经验结构、应急能力等）有优势或措施，承诺落实企业在安全、质量、社会及教育方面的责任。特别承诺对师生员工及家属的投诉做到有效反馈率在90%以上，并在72小时内完成处理反馈，并提供专项承诺作为证明，且专项承诺中有质量与安全保障措施。</w:t>
            </w:r>
          </w:p>
          <w:p w14:paraId="300C95EE">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三档（10分）：能完全且准确理解项目采购需求及采购人安保服务的特殊性（尤其是与教育教学活动相关的特点），据此提供</w:t>
            </w:r>
            <w:r>
              <w:rPr>
                <w:rStyle w:val="55"/>
                <w:rFonts w:hint="eastAsia" w:ascii="宋体" w:hAnsi="宋体" w:cs="宋体"/>
                <w:b w:val="0"/>
                <w:bCs/>
                <w:color w:val="auto"/>
                <w:sz w:val="24"/>
                <w:highlight w:val="none"/>
              </w:rPr>
              <w:t>具有高度针对性的安保</w:t>
            </w:r>
            <w:r>
              <w:rPr>
                <w:rFonts w:hint="eastAsia" w:ascii="宋体" w:hAnsi="宋体" w:cs="宋体"/>
                <w:bCs/>
                <w:color w:val="auto"/>
                <w:sz w:val="24"/>
                <w:highlight w:val="none"/>
              </w:rPr>
              <w:t>服务</w:t>
            </w:r>
            <w:r>
              <w:rPr>
                <w:rStyle w:val="55"/>
                <w:rFonts w:hint="eastAsia" w:ascii="宋体" w:hAnsi="宋体" w:cs="宋体"/>
                <w:b w:val="0"/>
                <w:bCs/>
                <w:color w:val="auto"/>
                <w:sz w:val="24"/>
                <w:highlight w:val="none"/>
              </w:rPr>
              <w:t>承诺</w:t>
            </w:r>
            <w:r>
              <w:rPr>
                <w:rFonts w:hint="eastAsia" w:ascii="宋体" w:hAnsi="宋体" w:cs="宋体"/>
                <w:bCs/>
                <w:color w:val="auto"/>
                <w:sz w:val="24"/>
                <w:highlight w:val="none"/>
              </w:rPr>
              <w:t>。服务承诺</w:t>
            </w:r>
            <w:r>
              <w:rPr>
                <w:rStyle w:val="55"/>
                <w:rFonts w:hint="eastAsia" w:ascii="宋体" w:hAnsi="宋体" w:cs="宋体"/>
                <w:b w:val="0"/>
                <w:bCs/>
                <w:color w:val="auto"/>
                <w:sz w:val="24"/>
                <w:highlight w:val="none"/>
              </w:rPr>
              <w:t>内容完整、清晰、</w:t>
            </w:r>
            <w:r>
              <w:rPr>
                <w:rFonts w:hint="eastAsia" w:ascii="宋体" w:hAnsi="宋体" w:cs="宋体"/>
                <w:bCs/>
                <w:color w:val="auto"/>
                <w:sz w:val="24"/>
                <w:highlight w:val="none"/>
              </w:rPr>
              <w:t>详细全面，承诺服务质量符合招标文件及《保安服务管理条例》要求，且承诺要点清晰、可操作性强。在满足招标文件人员配置基本要求（人数、资质）的基础上，承诺派驻的人员配置（如专业技能、经验结构、应急能力等）体现明显优势或强化措施，清晰认知并承诺落实企业在安全、质量、社会及教育方面的责任，提供具体落实方案。特别承诺对师生员工及家属的投诉做到“事事有回音，件件有着落”，并在</w:t>
            </w:r>
            <w:r>
              <w:rPr>
                <w:rStyle w:val="55"/>
                <w:rFonts w:hint="eastAsia" w:ascii="宋体" w:hAnsi="宋体" w:cs="宋体"/>
                <w:b w:val="0"/>
                <w:bCs/>
                <w:color w:val="auto"/>
                <w:sz w:val="24"/>
                <w:highlight w:val="none"/>
              </w:rPr>
              <w:t>48小时内完成处理反馈</w:t>
            </w:r>
            <w:r>
              <w:rPr>
                <w:rFonts w:hint="eastAsia" w:ascii="宋体" w:hAnsi="宋体" w:cs="宋体"/>
                <w:bCs/>
                <w:color w:val="auto"/>
                <w:sz w:val="24"/>
                <w:highlight w:val="none"/>
              </w:rPr>
              <w:t>，并提供专项承诺作为证明，且专项承诺中有明确详细的质量与安全保障措施。</w:t>
            </w:r>
          </w:p>
          <w:p w14:paraId="422B0BE1">
            <w:pPr>
              <w:spacing w:line="360" w:lineRule="auto"/>
              <w:ind w:firstLine="435"/>
              <w:rPr>
                <w:rFonts w:ascii="宋体" w:hAnsi="宋体" w:cs="宋体"/>
                <w:bCs/>
                <w:color w:val="auto"/>
                <w:sz w:val="24"/>
                <w:highlight w:val="none"/>
              </w:rPr>
            </w:pPr>
            <w:r>
              <w:rPr>
                <w:rFonts w:hint="eastAsia" w:ascii="宋体" w:hAnsi="宋体" w:cs="宋体"/>
                <w:b/>
                <w:bCs/>
                <w:color w:val="auto"/>
                <w:kern w:val="0"/>
                <w:sz w:val="24"/>
                <w:highlight w:val="none"/>
              </w:rPr>
              <w:t>注：未提供该项内容或未达到一档的，本项不得分。</w:t>
            </w:r>
          </w:p>
        </w:tc>
      </w:tr>
      <w:tr w14:paraId="1380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restart"/>
            <w:tcBorders>
              <w:left w:val="single" w:color="auto" w:sz="4" w:space="0"/>
              <w:right w:val="single" w:color="auto" w:sz="4" w:space="0"/>
            </w:tcBorders>
            <w:vAlign w:val="center"/>
          </w:tcPr>
          <w:p w14:paraId="2E72534C">
            <w:pPr>
              <w:snapToGrid w:val="0"/>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t>4</w:t>
            </w:r>
          </w:p>
        </w:tc>
        <w:tc>
          <w:tcPr>
            <w:tcW w:w="1786" w:type="dxa"/>
            <w:vMerge w:val="restart"/>
            <w:tcBorders>
              <w:left w:val="single" w:color="auto" w:sz="4" w:space="0"/>
              <w:right w:val="single" w:color="auto" w:sz="4" w:space="0"/>
            </w:tcBorders>
            <w:tcMar>
              <w:left w:w="57" w:type="dxa"/>
              <w:right w:w="57" w:type="dxa"/>
            </w:tcMar>
            <w:vAlign w:val="center"/>
          </w:tcPr>
          <w:p w14:paraId="35816593">
            <w:pPr>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履约能力分</w:t>
            </w:r>
          </w:p>
          <w:p w14:paraId="78516129">
            <w:pPr>
              <w:snapToGrid w:val="0"/>
              <w:spacing w:line="360" w:lineRule="auto"/>
              <w:jc w:val="center"/>
              <w:rPr>
                <w:rFonts w:ascii="宋体" w:hAnsi="宋体" w:cs="宋体"/>
                <w:bCs/>
                <w:color w:val="auto"/>
                <w:sz w:val="24"/>
                <w:highlight w:val="none"/>
              </w:rPr>
            </w:pPr>
            <w:r>
              <w:rPr>
                <w:rFonts w:hint="eastAsia" w:ascii="宋体" w:hAnsi="宋体" w:cs="宋体"/>
                <w:b/>
                <w:bCs/>
                <w:color w:val="auto"/>
                <w:sz w:val="24"/>
                <w:highlight w:val="none"/>
              </w:rPr>
              <w:t>（满分28分）</w:t>
            </w:r>
          </w:p>
        </w:tc>
        <w:tc>
          <w:tcPr>
            <w:tcW w:w="1605" w:type="dxa"/>
            <w:gridSpan w:val="2"/>
            <w:vMerge w:val="restart"/>
            <w:tcBorders>
              <w:top w:val="single" w:color="auto" w:sz="4" w:space="0"/>
              <w:left w:val="single" w:color="auto" w:sz="4" w:space="0"/>
              <w:right w:val="single" w:color="auto" w:sz="4" w:space="0"/>
            </w:tcBorders>
            <w:vAlign w:val="center"/>
          </w:tcPr>
          <w:p w14:paraId="7E4AA8EA">
            <w:pPr>
              <w:spacing w:line="360" w:lineRule="auto"/>
              <w:rPr>
                <w:rFonts w:ascii="宋体" w:hAnsi="宋体" w:cs="宋体"/>
                <w:bCs/>
                <w:color w:val="auto"/>
                <w:sz w:val="24"/>
                <w:highlight w:val="none"/>
              </w:rPr>
            </w:pPr>
            <w:r>
              <w:rPr>
                <w:rFonts w:hint="eastAsia" w:ascii="宋体" w:hAnsi="宋体" w:cs="宋体"/>
                <w:color w:val="auto"/>
                <w:sz w:val="24"/>
                <w:highlight w:val="none"/>
              </w:rPr>
              <w:t>（1）管理人员资质配备情况（满分10分）</w:t>
            </w:r>
          </w:p>
        </w:tc>
        <w:tc>
          <w:tcPr>
            <w:tcW w:w="5300" w:type="dxa"/>
            <w:tcBorders>
              <w:top w:val="single" w:color="auto" w:sz="4" w:space="0"/>
              <w:left w:val="single" w:color="auto" w:sz="4" w:space="0"/>
              <w:right w:val="single" w:color="auto" w:sz="4" w:space="0"/>
            </w:tcBorders>
            <w:vAlign w:val="center"/>
          </w:tcPr>
          <w:p w14:paraId="3B895D53">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1）投标人拟派保安主管（2名保安主管同时满足以下条件，方可得分）：（</w:t>
            </w:r>
            <w:r>
              <w:rPr>
                <w:rFonts w:hint="eastAsia" w:ascii="宋体" w:hAnsi="宋体" w:cs="宋体"/>
                <w:bCs/>
                <w:color w:val="auto"/>
                <w:sz w:val="24"/>
                <w:highlight w:val="none"/>
              </w:rPr>
              <w:t>满分5分</w:t>
            </w:r>
            <w:r>
              <w:rPr>
                <w:rFonts w:hint="eastAsia" w:ascii="宋体" w:hAnsi="宋体" w:cs="宋体"/>
                <w:b/>
                <w:color w:val="auto"/>
                <w:sz w:val="24"/>
                <w:highlight w:val="none"/>
              </w:rPr>
              <w:t>）</w:t>
            </w:r>
          </w:p>
          <w:p w14:paraId="231472BD">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①</w:t>
            </w:r>
            <w:r>
              <w:rPr>
                <w:rFonts w:hint="eastAsia" w:ascii="宋体" w:hAnsi="宋体" w:cs="宋体"/>
                <w:color w:val="auto"/>
                <w:sz w:val="24"/>
                <w:highlight w:val="none"/>
              </w:rPr>
              <w:t>持有大专及以上学历</w:t>
            </w:r>
            <w:r>
              <w:rPr>
                <w:rFonts w:hint="eastAsia" w:ascii="宋体" w:hAnsi="宋体" w:cs="宋体"/>
                <w:bCs/>
                <w:color w:val="auto"/>
                <w:sz w:val="24"/>
                <w:highlight w:val="none"/>
              </w:rPr>
              <w:t>证，得1分；</w:t>
            </w:r>
          </w:p>
          <w:p w14:paraId="2F16EB7D">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②行政主管部门或行政主管部门认可的第三方机构颁发的有效</w:t>
            </w:r>
            <w:r>
              <w:rPr>
                <w:rFonts w:hint="eastAsia" w:ascii="宋体" w:hAnsi="宋体" w:cs="宋体"/>
                <w:color w:val="auto"/>
                <w:sz w:val="24"/>
                <w:highlight w:val="none"/>
              </w:rPr>
              <w:t>的保安员证</w:t>
            </w:r>
            <w:r>
              <w:rPr>
                <w:rFonts w:hint="eastAsia" w:ascii="宋体" w:hAnsi="宋体" w:cs="宋体"/>
                <w:bCs/>
                <w:color w:val="auto"/>
                <w:sz w:val="24"/>
                <w:highlight w:val="none"/>
              </w:rPr>
              <w:t>，得2分；</w:t>
            </w:r>
          </w:p>
          <w:p w14:paraId="62DB5294">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③具有行政主管部门或行政主管部门认可的第三方机构颁发的有效应急救援员证（或红十字救护员证）的，得2分。</w:t>
            </w:r>
          </w:p>
          <w:p w14:paraId="2B29DE87">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【提供拟派保安主管身份证、毕业证、相关资格证书、投标人与其签订的劳动（或劳务）合同（或投标人为其缴纳的投标截止日期前半年内任意连续3个月的社保证明），否则不予以计分。】</w:t>
            </w:r>
          </w:p>
        </w:tc>
      </w:tr>
      <w:tr w14:paraId="376F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30AEDE38">
            <w:pPr>
              <w:snapToGrid w:val="0"/>
              <w:spacing w:line="360" w:lineRule="auto"/>
              <w:jc w:val="center"/>
              <w:rPr>
                <w:rFonts w:ascii="宋体" w:hAnsi="宋体" w:cs="宋体"/>
                <w:b/>
                <w:bCs/>
                <w:color w:val="auto"/>
                <w:sz w:val="24"/>
                <w:highlight w:val="none"/>
              </w:rPr>
            </w:pPr>
          </w:p>
        </w:tc>
        <w:tc>
          <w:tcPr>
            <w:tcW w:w="1786" w:type="dxa"/>
            <w:vMerge w:val="continue"/>
            <w:tcBorders>
              <w:left w:val="single" w:color="auto" w:sz="4" w:space="0"/>
              <w:right w:val="single" w:color="auto" w:sz="4" w:space="0"/>
            </w:tcBorders>
            <w:tcMar>
              <w:left w:w="57" w:type="dxa"/>
              <w:right w:w="57" w:type="dxa"/>
            </w:tcMar>
            <w:vAlign w:val="center"/>
          </w:tcPr>
          <w:p w14:paraId="49F9F07B">
            <w:pPr>
              <w:snapToGrid w:val="0"/>
              <w:spacing w:line="360" w:lineRule="auto"/>
              <w:jc w:val="center"/>
              <w:rPr>
                <w:rFonts w:ascii="宋体" w:hAnsi="宋体" w:cs="宋体"/>
                <w:b/>
                <w:bCs/>
                <w:color w:val="auto"/>
                <w:sz w:val="24"/>
                <w:highlight w:val="none"/>
              </w:rPr>
            </w:pPr>
          </w:p>
        </w:tc>
        <w:tc>
          <w:tcPr>
            <w:tcW w:w="1605" w:type="dxa"/>
            <w:gridSpan w:val="2"/>
            <w:vMerge w:val="continue"/>
            <w:tcBorders>
              <w:left w:val="single" w:color="auto" w:sz="4" w:space="0"/>
              <w:right w:val="single" w:color="auto" w:sz="4" w:space="0"/>
            </w:tcBorders>
            <w:vAlign w:val="center"/>
          </w:tcPr>
          <w:p w14:paraId="042977AC">
            <w:pPr>
              <w:spacing w:line="360" w:lineRule="auto"/>
              <w:ind w:firstLine="435"/>
              <w:rPr>
                <w:rFonts w:ascii="宋体" w:hAnsi="宋体" w:cs="宋体"/>
                <w:bCs/>
                <w:color w:val="auto"/>
                <w:sz w:val="24"/>
                <w:highlight w:val="none"/>
              </w:rPr>
            </w:pPr>
          </w:p>
        </w:tc>
        <w:tc>
          <w:tcPr>
            <w:tcW w:w="5300" w:type="dxa"/>
            <w:tcBorders>
              <w:top w:val="single" w:color="auto" w:sz="4" w:space="0"/>
              <w:left w:val="single" w:color="auto" w:sz="4" w:space="0"/>
              <w:right w:val="single" w:color="auto" w:sz="4" w:space="0"/>
            </w:tcBorders>
            <w:vAlign w:val="center"/>
          </w:tcPr>
          <w:p w14:paraId="2662243C">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2）投标人拟派保安班长（6名保安班长在育才校区和王城校区各有1人同时具备以下条件，方可得分）：（</w:t>
            </w:r>
            <w:r>
              <w:rPr>
                <w:rFonts w:hint="eastAsia" w:ascii="宋体" w:hAnsi="宋体" w:cs="宋体"/>
                <w:bCs/>
                <w:color w:val="auto"/>
                <w:sz w:val="24"/>
                <w:highlight w:val="none"/>
              </w:rPr>
              <w:t>满分5分</w:t>
            </w:r>
            <w:r>
              <w:rPr>
                <w:rFonts w:hint="eastAsia" w:ascii="宋体" w:hAnsi="宋体" w:cs="宋体"/>
                <w:b/>
                <w:color w:val="auto"/>
                <w:sz w:val="24"/>
                <w:highlight w:val="none"/>
              </w:rPr>
              <w:t>）</w:t>
            </w:r>
          </w:p>
          <w:p w14:paraId="2D1BC68B">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①</w:t>
            </w:r>
            <w:r>
              <w:rPr>
                <w:rFonts w:hint="eastAsia" w:ascii="宋体" w:hAnsi="宋体" w:cs="宋体"/>
                <w:color w:val="auto"/>
                <w:sz w:val="24"/>
                <w:highlight w:val="none"/>
              </w:rPr>
              <w:t>持有大专及以上学历</w:t>
            </w:r>
            <w:r>
              <w:rPr>
                <w:rFonts w:hint="eastAsia" w:ascii="宋体" w:hAnsi="宋体" w:cs="宋体"/>
                <w:bCs/>
                <w:color w:val="auto"/>
                <w:sz w:val="24"/>
                <w:highlight w:val="none"/>
              </w:rPr>
              <w:t>证，得1分；</w:t>
            </w:r>
          </w:p>
          <w:p w14:paraId="4F68E8ED">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②为退役军人的，得2分；</w:t>
            </w:r>
          </w:p>
          <w:p w14:paraId="1A24557E">
            <w:pPr>
              <w:spacing w:line="360" w:lineRule="auto"/>
              <w:ind w:firstLine="435"/>
              <w:rPr>
                <w:rFonts w:ascii="宋体" w:hAnsi="宋体" w:cs="宋体"/>
                <w:bCs/>
                <w:color w:val="auto"/>
                <w:sz w:val="24"/>
                <w:highlight w:val="none"/>
              </w:rPr>
            </w:pPr>
            <w:r>
              <w:rPr>
                <w:rFonts w:hint="eastAsia" w:ascii="宋体" w:hAnsi="宋体" w:cs="宋体"/>
                <w:bCs/>
                <w:color w:val="auto"/>
                <w:sz w:val="24"/>
                <w:highlight w:val="none"/>
              </w:rPr>
              <w:t>③具有行政主管部门或行政主管部门认可的第三方机构颁发的有效保安员证，得2分。</w:t>
            </w:r>
          </w:p>
          <w:p w14:paraId="0BBAC3AE">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【提供拟派班长身份证、毕业证、相关资格证书、投标人与其签订的劳动（或劳务）合同（或投标人为其缴纳的投标截止日期前半年内任意连续3个月的社保证明），否则不予以计分。】</w:t>
            </w:r>
          </w:p>
        </w:tc>
      </w:tr>
      <w:tr w14:paraId="596B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64970EEB">
            <w:pPr>
              <w:snapToGrid w:val="0"/>
              <w:spacing w:line="360" w:lineRule="auto"/>
              <w:jc w:val="center"/>
              <w:rPr>
                <w:rFonts w:ascii="宋体" w:hAnsi="宋体" w:cs="宋体"/>
                <w:b/>
                <w:bCs/>
                <w:color w:val="auto"/>
                <w:sz w:val="24"/>
                <w:highlight w:val="none"/>
              </w:rPr>
            </w:pPr>
          </w:p>
        </w:tc>
        <w:tc>
          <w:tcPr>
            <w:tcW w:w="1786" w:type="dxa"/>
            <w:vMerge w:val="continue"/>
            <w:tcBorders>
              <w:left w:val="single" w:color="auto" w:sz="4" w:space="0"/>
              <w:right w:val="single" w:color="auto" w:sz="4" w:space="0"/>
            </w:tcBorders>
            <w:tcMar>
              <w:left w:w="57" w:type="dxa"/>
              <w:right w:w="57" w:type="dxa"/>
            </w:tcMar>
            <w:vAlign w:val="center"/>
          </w:tcPr>
          <w:p w14:paraId="35484558">
            <w:pPr>
              <w:snapToGrid w:val="0"/>
              <w:spacing w:line="360" w:lineRule="auto"/>
              <w:jc w:val="center"/>
              <w:rPr>
                <w:rFonts w:ascii="宋体" w:hAnsi="宋体" w:cs="宋体"/>
                <w:b/>
                <w:bCs/>
                <w:color w:val="auto"/>
                <w:sz w:val="24"/>
                <w:highlight w:val="none"/>
              </w:rPr>
            </w:pPr>
          </w:p>
        </w:tc>
        <w:tc>
          <w:tcPr>
            <w:tcW w:w="1605" w:type="dxa"/>
            <w:gridSpan w:val="2"/>
            <w:vMerge w:val="restart"/>
            <w:tcBorders>
              <w:top w:val="single" w:color="auto" w:sz="4" w:space="0"/>
              <w:left w:val="single" w:color="auto" w:sz="4" w:space="0"/>
              <w:right w:val="single" w:color="auto" w:sz="4" w:space="0"/>
            </w:tcBorders>
            <w:vAlign w:val="center"/>
          </w:tcPr>
          <w:p w14:paraId="55081718">
            <w:pPr>
              <w:spacing w:line="360" w:lineRule="auto"/>
              <w:rPr>
                <w:rFonts w:ascii="宋体" w:hAnsi="宋体" w:cs="宋体"/>
                <w:color w:val="auto"/>
                <w:sz w:val="24"/>
                <w:highlight w:val="none"/>
              </w:rPr>
            </w:pPr>
            <w:r>
              <w:rPr>
                <w:rFonts w:hint="eastAsia" w:ascii="宋体" w:hAnsi="宋体" w:cs="宋体"/>
                <w:color w:val="auto"/>
                <w:sz w:val="24"/>
                <w:highlight w:val="none"/>
              </w:rPr>
              <w:t>（2）人员资质配备情况（满分12分）</w:t>
            </w:r>
          </w:p>
        </w:tc>
        <w:tc>
          <w:tcPr>
            <w:tcW w:w="5300" w:type="dxa"/>
            <w:tcBorders>
              <w:top w:val="single" w:color="auto" w:sz="4" w:space="0"/>
              <w:left w:val="single" w:color="auto" w:sz="4" w:space="0"/>
              <w:right w:val="single" w:color="auto" w:sz="4" w:space="0"/>
            </w:tcBorders>
            <w:vAlign w:val="center"/>
          </w:tcPr>
          <w:p w14:paraId="47E21136">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1）派驻人员</w:t>
            </w:r>
            <w:r>
              <w:rPr>
                <w:rFonts w:hint="eastAsia" w:ascii="宋体" w:hAnsi="宋体" w:cs="宋体"/>
                <w:b/>
                <w:color w:val="auto"/>
                <w:sz w:val="24"/>
                <w:highlight w:val="none"/>
              </w:rPr>
              <w:t>（除保安主管、班长外）</w:t>
            </w:r>
            <w:r>
              <w:rPr>
                <w:rFonts w:hint="eastAsia" w:ascii="宋体" w:hAnsi="宋体" w:cs="宋体"/>
                <w:bCs/>
                <w:color w:val="auto"/>
                <w:sz w:val="24"/>
                <w:highlight w:val="none"/>
              </w:rPr>
              <w:t>在满足“派驻保安人员中退役军人占比≥10%”基础上，每额外配备1名退役军人（或警校毕业生、或军校毕业生）</w:t>
            </w:r>
            <w:r>
              <w:rPr>
                <w:rFonts w:ascii="宋体" w:hAnsi="宋体" w:cs="宋体"/>
                <w:bCs/>
                <w:color w:val="auto"/>
                <w:sz w:val="24"/>
                <w:highlight w:val="none"/>
              </w:rPr>
              <w:t>的</w:t>
            </w:r>
            <w:r>
              <w:rPr>
                <w:rFonts w:hint="eastAsia" w:ascii="宋体" w:hAnsi="宋体" w:cs="宋体"/>
                <w:bCs/>
                <w:color w:val="auto"/>
                <w:sz w:val="24"/>
                <w:highlight w:val="none"/>
              </w:rPr>
              <w:t>，得0.5分。</w:t>
            </w:r>
            <w:r>
              <w:rPr>
                <w:rFonts w:hint="eastAsia" w:ascii="宋体" w:hAnsi="宋体" w:cs="宋体"/>
                <w:b/>
                <w:color w:val="auto"/>
                <w:sz w:val="24"/>
                <w:highlight w:val="none"/>
              </w:rPr>
              <w:t>（</w:t>
            </w:r>
            <w:r>
              <w:rPr>
                <w:rFonts w:hint="eastAsia" w:ascii="宋体" w:hAnsi="宋体" w:cs="宋体"/>
                <w:bCs/>
                <w:color w:val="auto"/>
                <w:sz w:val="24"/>
                <w:highlight w:val="none"/>
              </w:rPr>
              <w:t>满分5分</w:t>
            </w:r>
            <w:r>
              <w:rPr>
                <w:rFonts w:hint="eastAsia" w:ascii="宋体" w:hAnsi="宋体" w:cs="宋体"/>
                <w:b/>
                <w:color w:val="auto"/>
                <w:sz w:val="24"/>
                <w:highlight w:val="none"/>
              </w:rPr>
              <w:t>）</w:t>
            </w:r>
          </w:p>
          <w:p w14:paraId="3DC1E097">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【提供派驻人员身份证、相关资格证、投标人与其签订的劳动（或劳务）合同（或投标人为其缴纳的投标截止日期前半年内任意连续3个月的社保证明），否则不予以计分。】</w:t>
            </w:r>
          </w:p>
        </w:tc>
      </w:tr>
      <w:tr w14:paraId="1AC3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56663F83">
            <w:pPr>
              <w:snapToGrid w:val="0"/>
              <w:spacing w:line="360" w:lineRule="auto"/>
              <w:jc w:val="center"/>
              <w:rPr>
                <w:rFonts w:ascii="宋体" w:hAnsi="宋体" w:cs="宋体"/>
                <w:b/>
                <w:bCs/>
                <w:color w:val="auto"/>
                <w:sz w:val="24"/>
                <w:highlight w:val="none"/>
              </w:rPr>
            </w:pPr>
          </w:p>
        </w:tc>
        <w:tc>
          <w:tcPr>
            <w:tcW w:w="1786" w:type="dxa"/>
            <w:vMerge w:val="continue"/>
            <w:tcBorders>
              <w:left w:val="single" w:color="auto" w:sz="4" w:space="0"/>
              <w:right w:val="single" w:color="auto" w:sz="4" w:space="0"/>
            </w:tcBorders>
            <w:tcMar>
              <w:left w:w="57" w:type="dxa"/>
              <w:right w:w="57" w:type="dxa"/>
            </w:tcMar>
            <w:vAlign w:val="center"/>
          </w:tcPr>
          <w:p w14:paraId="6F9FC1BC">
            <w:pPr>
              <w:snapToGrid w:val="0"/>
              <w:spacing w:line="360" w:lineRule="auto"/>
              <w:jc w:val="center"/>
              <w:rPr>
                <w:rFonts w:ascii="宋体" w:hAnsi="宋体" w:cs="宋体"/>
                <w:b/>
                <w:bCs/>
                <w:color w:val="auto"/>
                <w:sz w:val="24"/>
                <w:highlight w:val="none"/>
              </w:rPr>
            </w:pPr>
          </w:p>
        </w:tc>
        <w:tc>
          <w:tcPr>
            <w:tcW w:w="1605" w:type="dxa"/>
            <w:gridSpan w:val="2"/>
            <w:vMerge w:val="continue"/>
            <w:tcBorders>
              <w:left w:val="single" w:color="auto" w:sz="4" w:space="0"/>
              <w:right w:val="single" w:color="auto" w:sz="4" w:space="0"/>
            </w:tcBorders>
            <w:vAlign w:val="center"/>
          </w:tcPr>
          <w:p w14:paraId="0C63F5FC">
            <w:pPr>
              <w:spacing w:line="360" w:lineRule="auto"/>
              <w:ind w:firstLine="435"/>
              <w:rPr>
                <w:rFonts w:ascii="宋体" w:hAnsi="宋体" w:cs="宋体"/>
                <w:bCs/>
                <w:color w:val="auto"/>
                <w:sz w:val="24"/>
                <w:highlight w:val="none"/>
              </w:rPr>
            </w:pPr>
          </w:p>
        </w:tc>
        <w:tc>
          <w:tcPr>
            <w:tcW w:w="5300" w:type="dxa"/>
            <w:tcBorders>
              <w:top w:val="single" w:color="auto" w:sz="4" w:space="0"/>
              <w:left w:val="single" w:color="auto" w:sz="4" w:space="0"/>
              <w:right w:val="single" w:color="auto" w:sz="4" w:space="0"/>
            </w:tcBorders>
            <w:vAlign w:val="center"/>
          </w:tcPr>
          <w:p w14:paraId="07BAAC8B">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2）派驻人员</w:t>
            </w:r>
            <w:r>
              <w:rPr>
                <w:rFonts w:hint="eastAsia" w:ascii="宋体" w:hAnsi="宋体" w:cs="宋体"/>
                <w:b/>
                <w:color w:val="auto"/>
                <w:sz w:val="24"/>
                <w:highlight w:val="none"/>
              </w:rPr>
              <w:t>（除保安主管、班长外）</w:t>
            </w:r>
            <w:r>
              <w:rPr>
                <w:rFonts w:ascii="宋体" w:hAnsi="宋体" w:cs="宋体"/>
                <w:bCs/>
                <w:color w:val="auto"/>
                <w:sz w:val="24"/>
                <w:highlight w:val="none"/>
              </w:rPr>
              <w:t>在满足</w:t>
            </w:r>
            <w:r>
              <w:rPr>
                <w:rFonts w:hAnsi="宋体" w:cs="宋体"/>
                <w:bCs/>
                <w:color w:val="auto"/>
                <w:sz w:val="24"/>
                <w:highlight w:val="none"/>
              </w:rPr>
              <w:t>“</w:t>
            </w:r>
            <w:r>
              <w:rPr>
                <w:rFonts w:ascii="宋体" w:hAnsi="宋体" w:cs="宋体"/>
                <w:bCs/>
                <w:color w:val="auto"/>
                <w:sz w:val="24"/>
                <w:highlight w:val="none"/>
              </w:rPr>
              <w:t>采购需求中要求的消防控制岗的8名工作人员持有的消防设施操作员证</w:t>
            </w:r>
            <w:r>
              <w:rPr>
                <w:rFonts w:hint="eastAsia" w:ascii="宋体" w:hAnsi="宋体" w:cs="宋体"/>
                <w:bCs/>
                <w:color w:val="auto"/>
                <w:sz w:val="24"/>
                <w:highlight w:val="none"/>
              </w:rPr>
              <w:t>（或</w:t>
            </w:r>
            <w:r>
              <w:rPr>
                <w:rFonts w:ascii="宋体" w:hAnsi="宋体" w:cs="宋体"/>
                <w:bCs/>
                <w:color w:val="auto"/>
                <w:sz w:val="24"/>
                <w:highlight w:val="none"/>
              </w:rPr>
              <w:t>建（构）筑物消防员证</w:t>
            </w:r>
            <w:r>
              <w:rPr>
                <w:rFonts w:hint="eastAsia" w:ascii="宋体" w:hAnsi="宋体" w:cs="宋体"/>
                <w:bCs/>
                <w:color w:val="auto"/>
                <w:sz w:val="24"/>
                <w:highlight w:val="none"/>
              </w:rPr>
              <w:t>）</w:t>
            </w:r>
            <w:r>
              <w:rPr>
                <w:rFonts w:hAnsi="宋体" w:cs="宋体"/>
                <w:bCs/>
                <w:color w:val="auto"/>
                <w:sz w:val="24"/>
                <w:highlight w:val="none"/>
              </w:rPr>
              <w:t>”基础上，每额外配备1名</w:t>
            </w:r>
            <w:r>
              <w:rPr>
                <w:rFonts w:hint="eastAsia" w:ascii="宋体" w:hAnsi="宋体" w:cs="宋体"/>
                <w:bCs/>
                <w:color w:val="auto"/>
                <w:sz w:val="24"/>
                <w:highlight w:val="none"/>
              </w:rPr>
              <w:t>具有行政主管部门或行政主管部门认可的第三方机构颁发的有效消防设施操作员证（或建（构）筑物消防员证）</w:t>
            </w:r>
            <w:r>
              <w:rPr>
                <w:rFonts w:ascii="宋体" w:hAnsi="宋体" w:cs="宋体"/>
                <w:bCs/>
                <w:color w:val="auto"/>
                <w:sz w:val="24"/>
                <w:highlight w:val="none"/>
              </w:rPr>
              <w:t>的</w:t>
            </w:r>
            <w:r>
              <w:rPr>
                <w:rFonts w:hint="eastAsia" w:ascii="宋体" w:hAnsi="宋体" w:cs="宋体"/>
                <w:bCs/>
                <w:color w:val="auto"/>
                <w:sz w:val="24"/>
                <w:highlight w:val="none"/>
              </w:rPr>
              <w:t>，得2分；</w:t>
            </w:r>
            <w:r>
              <w:rPr>
                <w:rFonts w:ascii="宋体" w:hAnsi="宋体" w:cs="宋体"/>
                <w:bCs/>
                <w:color w:val="auto"/>
                <w:sz w:val="24"/>
                <w:highlight w:val="none"/>
              </w:rPr>
              <w:t>每额外配备1名具</w:t>
            </w:r>
            <w:r>
              <w:rPr>
                <w:rFonts w:hint="eastAsia" w:ascii="宋体" w:hAnsi="宋体" w:cs="宋体"/>
                <w:bCs/>
                <w:color w:val="auto"/>
                <w:sz w:val="24"/>
                <w:highlight w:val="none"/>
              </w:rPr>
              <w:t>有注册消防工程师证的，得4分。</w:t>
            </w:r>
            <w:r>
              <w:rPr>
                <w:rFonts w:hint="eastAsia" w:ascii="宋体" w:hAnsi="宋体" w:cs="宋体"/>
                <w:b/>
                <w:color w:val="auto"/>
                <w:sz w:val="24"/>
                <w:highlight w:val="none"/>
              </w:rPr>
              <w:t>（</w:t>
            </w:r>
            <w:r>
              <w:rPr>
                <w:rFonts w:hint="eastAsia" w:ascii="宋体" w:hAnsi="宋体" w:cs="宋体"/>
                <w:bCs/>
                <w:color w:val="auto"/>
                <w:sz w:val="24"/>
                <w:highlight w:val="none"/>
              </w:rPr>
              <w:t>满分4分</w:t>
            </w:r>
            <w:r>
              <w:rPr>
                <w:rFonts w:hint="eastAsia" w:ascii="宋体" w:hAnsi="宋体" w:cs="宋体"/>
                <w:b/>
                <w:color w:val="auto"/>
                <w:sz w:val="24"/>
                <w:highlight w:val="none"/>
              </w:rPr>
              <w:t>）</w:t>
            </w:r>
          </w:p>
          <w:p w14:paraId="7D12B1C0">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【提供派驻人员身份证、相关资格证、投标人与其签订的劳动（或劳务）合同（或投标人为其缴纳的投标截止日期前半年内任意连续3个月的社保证明），否则不予以计分。】</w:t>
            </w:r>
          </w:p>
        </w:tc>
      </w:tr>
      <w:tr w14:paraId="3A62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47E5364E">
            <w:pPr>
              <w:snapToGrid w:val="0"/>
              <w:spacing w:line="360" w:lineRule="auto"/>
              <w:jc w:val="center"/>
              <w:rPr>
                <w:rFonts w:ascii="宋体" w:hAnsi="宋体" w:cs="宋体"/>
                <w:b/>
                <w:bCs/>
                <w:color w:val="auto"/>
                <w:sz w:val="24"/>
                <w:highlight w:val="none"/>
              </w:rPr>
            </w:pPr>
          </w:p>
        </w:tc>
        <w:tc>
          <w:tcPr>
            <w:tcW w:w="1786" w:type="dxa"/>
            <w:vMerge w:val="continue"/>
            <w:tcBorders>
              <w:left w:val="single" w:color="auto" w:sz="4" w:space="0"/>
              <w:right w:val="single" w:color="auto" w:sz="4" w:space="0"/>
            </w:tcBorders>
            <w:tcMar>
              <w:left w:w="57" w:type="dxa"/>
              <w:right w:w="57" w:type="dxa"/>
            </w:tcMar>
            <w:vAlign w:val="center"/>
          </w:tcPr>
          <w:p w14:paraId="43767109">
            <w:pPr>
              <w:snapToGrid w:val="0"/>
              <w:spacing w:line="360" w:lineRule="auto"/>
              <w:jc w:val="center"/>
              <w:rPr>
                <w:rFonts w:ascii="宋体" w:hAnsi="宋体" w:cs="宋体"/>
                <w:b/>
                <w:bCs/>
                <w:color w:val="auto"/>
                <w:sz w:val="24"/>
                <w:highlight w:val="none"/>
              </w:rPr>
            </w:pPr>
          </w:p>
        </w:tc>
        <w:tc>
          <w:tcPr>
            <w:tcW w:w="1605" w:type="dxa"/>
            <w:gridSpan w:val="2"/>
            <w:vMerge w:val="continue"/>
            <w:tcBorders>
              <w:left w:val="single" w:color="auto" w:sz="4" w:space="0"/>
              <w:right w:val="single" w:color="auto" w:sz="4" w:space="0"/>
            </w:tcBorders>
            <w:vAlign w:val="center"/>
          </w:tcPr>
          <w:p w14:paraId="797A7788">
            <w:pPr>
              <w:spacing w:line="360" w:lineRule="auto"/>
              <w:ind w:firstLine="435"/>
              <w:rPr>
                <w:rFonts w:ascii="宋体" w:hAnsi="宋体" w:cs="宋体"/>
                <w:bCs/>
                <w:color w:val="auto"/>
                <w:sz w:val="24"/>
                <w:highlight w:val="none"/>
              </w:rPr>
            </w:pPr>
          </w:p>
        </w:tc>
        <w:tc>
          <w:tcPr>
            <w:tcW w:w="5300" w:type="dxa"/>
            <w:tcBorders>
              <w:top w:val="single" w:color="auto" w:sz="4" w:space="0"/>
              <w:left w:val="single" w:color="auto" w:sz="4" w:space="0"/>
              <w:right w:val="single" w:color="auto" w:sz="4" w:space="0"/>
            </w:tcBorders>
            <w:vAlign w:val="center"/>
          </w:tcPr>
          <w:p w14:paraId="52BDA995">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3）派驻人员（</w:t>
            </w:r>
            <w:r>
              <w:rPr>
                <w:rFonts w:hint="eastAsia" w:ascii="宋体" w:hAnsi="宋体" w:cs="宋体"/>
                <w:b/>
                <w:color w:val="auto"/>
                <w:sz w:val="24"/>
                <w:highlight w:val="none"/>
              </w:rPr>
              <w:t>除保安主管、班长外</w:t>
            </w:r>
            <w:r>
              <w:rPr>
                <w:rFonts w:hint="eastAsia" w:ascii="宋体" w:hAnsi="宋体" w:cs="宋体"/>
                <w:bCs/>
                <w:color w:val="auto"/>
                <w:sz w:val="24"/>
                <w:highlight w:val="none"/>
              </w:rPr>
              <w:t>）具有行政主管部门或行政主管部门认可的第三方机构颁发的有效应急救援员证（或红十字救护员证）的，每有1人得1分。（满分3分）</w:t>
            </w:r>
          </w:p>
          <w:p w14:paraId="5C119844">
            <w:pPr>
              <w:widowControl/>
              <w:spacing w:line="360" w:lineRule="auto"/>
              <w:ind w:firstLine="480" w:firstLineChars="200"/>
              <w:jc w:val="left"/>
              <w:rPr>
                <w:rFonts w:ascii="宋体" w:hAnsi="宋体" w:cs="宋体"/>
                <w:b/>
                <w:bCs/>
                <w:color w:val="auto"/>
                <w:kern w:val="0"/>
                <w:sz w:val="24"/>
                <w:highlight w:val="none"/>
              </w:rPr>
            </w:pPr>
            <w:r>
              <w:rPr>
                <w:rFonts w:hint="eastAsia" w:ascii="宋体" w:hAnsi="宋体" w:cs="宋体"/>
                <w:bCs/>
                <w:color w:val="auto"/>
                <w:sz w:val="24"/>
                <w:highlight w:val="none"/>
              </w:rPr>
              <w:t>【提供派驻人员身份证、相关资格证、投标人与其签订的劳动（或劳务）合同（或投标人为其缴纳的投标截止日期前半年内任意连续3月的社保证明），否则不予以计分。】</w:t>
            </w:r>
          </w:p>
        </w:tc>
      </w:tr>
      <w:tr w14:paraId="1B37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75A3EE51">
            <w:pPr>
              <w:snapToGrid w:val="0"/>
              <w:spacing w:line="360" w:lineRule="auto"/>
              <w:jc w:val="center"/>
              <w:rPr>
                <w:rFonts w:ascii="宋体" w:hAnsi="宋体" w:cs="宋体"/>
                <w:b/>
                <w:bCs/>
                <w:color w:val="auto"/>
                <w:sz w:val="24"/>
                <w:highlight w:val="none"/>
              </w:rPr>
            </w:pPr>
          </w:p>
        </w:tc>
        <w:tc>
          <w:tcPr>
            <w:tcW w:w="1786" w:type="dxa"/>
            <w:vMerge w:val="continue"/>
            <w:tcBorders>
              <w:left w:val="single" w:color="auto" w:sz="4" w:space="0"/>
              <w:right w:val="single" w:color="auto" w:sz="4" w:space="0"/>
            </w:tcBorders>
            <w:tcMar>
              <w:left w:w="57" w:type="dxa"/>
              <w:right w:w="57" w:type="dxa"/>
            </w:tcMar>
            <w:vAlign w:val="center"/>
          </w:tcPr>
          <w:p w14:paraId="1FACBFEC">
            <w:pPr>
              <w:snapToGrid w:val="0"/>
              <w:spacing w:line="360" w:lineRule="auto"/>
              <w:jc w:val="center"/>
              <w:rPr>
                <w:rFonts w:ascii="宋体" w:hAnsi="宋体" w:cs="宋体"/>
                <w:b/>
                <w:bCs/>
                <w:color w:val="auto"/>
                <w:sz w:val="24"/>
                <w:highlight w:val="none"/>
              </w:rPr>
            </w:pPr>
          </w:p>
        </w:tc>
        <w:tc>
          <w:tcPr>
            <w:tcW w:w="6905" w:type="dxa"/>
            <w:gridSpan w:val="3"/>
            <w:tcBorders>
              <w:top w:val="single" w:color="auto" w:sz="4" w:space="0"/>
              <w:left w:val="single" w:color="auto" w:sz="4" w:space="0"/>
              <w:right w:val="single" w:color="auto" w:sz="4" w:space="0"/>
            </w:tcBorders>
            <w:vAlign w:val="center"/>
          </w:tcPr>
          <w:p w14:paraId="5CDCB8C4">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（3）投标人具备保安信息化管理和处理能力，在项目实施过程中承诺能采用自主研发（或购买）与安防（或保安、或安保）相关的智能化系统辅助的，</w:t>
            </w:r>
            <w:r>
              <w:rPr>
                <w:rFonts w:hint="eastAsia" w:ascii="宋体" w:hAnsi="宋体" w:cs="宋体"/>
                <w:color w:val="auto"/>
                <w:sz w:val="24"/>
                <w:highlight w:val="none"/>
                <w:lang w:val="en-US" w:eastAsia="zh-CN"/>
              </w:rPr>
              <w:t>每有1个</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满分2分</w:t>
            </w:r>
            <w:r>
              <w:rPr>
                <w:rFonts w:hint="eastAsia" w:ascii="宋体" w:hAnsi="宋体" w:cs="宋体"/>
                <w:color w:val="auto"/>
                <w:sz w:val="24"/>
                <w:highlight w:val="none"/>
              </w:rPr>
              <w:t>。</w:t>
            </w:r>
          </w:p>
          <w:p w14:paraId="0702D1BE">
            <w:pPr>
              <w:spacing w:line="360" w:lineRule="auto"/>
              <w:ind w:firstLine="435"/>
              <w:rPr>
                <w:color w:val="auto"/>
                <w:sz w:val="24"/>
                <w:highlight w:val="none"/>
              </w:rPr>
            </w:pPr>
            <w:r>
              <w:rPr>
                <w:rFonts w:hint="eastAsia" w:ascii="宋体" w:hAnsi="宋体" w:cs="宋体"/>
                <w:bCs/>
                <w:color w:val="auto"/>
                <w:sz w:val="24"/>
                <w:highlight w:val="none"/>
              </w:rPr>
              <w:t>【提供</w:t>
            </w:r>
            <w:r>
              <w:rPr>
                <w:rFonts w:hint="eastAsia" w:cs="宋体"/>
                <w:color w:val="auto"/>
                <w:sz w:val="24"/>
                <w:highlight w:val="none"/>
              </w:rPr>
              <w:t>相关证明材料。如是自主研发的，须提供计算机软件著作权登记证书</w:t>
            </w:r>
            <w:r>
              <w:rPr>
                <w:rFonts w:hint="eastAsia" w:cs="宋体"/>
                <w:bCs/>
                <w:color w:val="auto"/>
                <w:sz w:val="24"/>
                <w:highlight w:val="none"/>
              </w:rPr>
              <w:t>且证书明确的著作权人为投标人；如是购买的，须提供购买的销售合同及发票</w:t>
            </w:r>
            <w:r>
              <w:rPr>
                <w:rFonts w:hint="eastAsia" w:ascii="宋体" w:hAnsi="宋体" w:cs="宋体"/>
                <w:bCs/>
                <w:color w:val="auto"/>
                <w:sz w:val="24"/>
                <w:highlight w:val="none"/>
              </w:rPr>
              <w:t>，否则不予以计分。】</w:t>
            </w:r>
          </w:p>
        </w:tc>
      </w:tr>
      <w:tr w14:paraId="2F01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tcBorders>
              <w:left w:val="single" w:color="auto" w:sz="4" w:space="0"/>
              <w:right w:val="single" w:color="auto" w:sz="4" w:space="0"/>
            </w:tcBorders>
            <w:vAlign w:val="center"/>
          </w:tcPr>
          <w:p w14:paraId="292BFB5D">
            <w:pPr>
              <w:snapToGrid w:val="0"/>
              <w:spacing w:line="360" w:lineRule="auto"/>
              <w:jc w:val="center"/>
              <w:rPr>
                <w:rFonts w:ascii="宋体" w:hAnsi="宋体" w:cs="宋体"/>
                <w:b/>
                <w:bCs/>
                <w:color w:val="auto"/>
                <w:sz w:val="24"/>
                <w:highlight w:val="none"/>
              </w:rPr>
            </w:pPr>
          </w:p>
        </w:tc>
        <w:tc>
          <w:tcPr>
            <w:tcW w:w="1786" w:type="dxa"/>
            <w:vMerge w:val="continue"/>
            <w:tcBorders>
              <w:left w:val="single" w:color="auto" w:sz="4" w:space="0"/>
              <w:right w:val="single" w:color="auto" w:sz="4" w:space="0"/>
            </w:tcBorders>
            <w:tcMar>
              <w:left w:w="57" w:type="dxa"/>
              <w:right w:w="57" w:type="dxa"/>
            </w:tcMar>
            <w:vAlign w:val="center"/>
          </w:tcPr>
          <w:p w14:paraId="6ED73616">
            <w:pPr>
              <w:snapToGrid w:val="0"/>
              <w:spacing w:line="360" w:lineRule="auto"/>
              <w:jc w:val="center"/>
              <w:rPr>
                <w:rFonts w:ascii="宋体" w:hAnsi="宋体" w:cs="宋体"/>
                <w:b/>
                <w:bCs/>
                <w:color w:val="auto"/>
                <w:sz w:val="24"/>
                <w:highlight w:val="none"/>
              </w:rPr>
            </w:pPr>
          </w:p>
        </w:tc>
        <w:tc>
          <w:tcPr>
            <w:tcW w:w="6905" w:type="dxa"/>
            <w:gridSpan w:val="3"/>
            <w:tcBorders>
              <w:top w:val="single" w:color="auto" w:sz="4" w:space="0"/>
              <w:left w:val="single" w:color="auto" w:sz="4" w:space="0"/>
              <w:right w:val="single" w:color="auto" w:sz="4" w:space="0"/>
            </w:tcBorders>
            <w:vAlign w:val="center"/>
          </w:tcPr>
          <w:p w14:paraId="6FB5DE89">
            <w:pPr>
              <w:pStyle w:val="95"/>
              <w:spacing w:line="360" w:lineRule="auto"/>
              <w:ind w:firstLine="480"/>
              <w:rPr>
                <w:rFonts w:ascii="宋体" w:hAnsi="宋体" w:cs="宋体"/>
                <w:bCs/>
                <w:color w:val="auto"/>
                <w:sz w:val="24"/>
                <w:highlight w:val="none"/>
              </w:rPr>
            </w:pPr>
            <w:r>
              <w:rPr>
                <w:rFonts w:ascii="宋体" w:hAnsi="宋体" w:cs="宋体"/>
                <w:bCs/>
                <w:color w:val="auto"/>
                <w:sz w:val="24"/>
                <w:highlight w:val="none"/>
              </w:rPr>
              <w:t>（</w:t>
            </w:r>
            <w:r>
              <w:rPr>
                <w:rFonts w:hint="eastAsia" w:ascii="宋体" w:hAnsi="宋体" w:cs="宋体"/>
                <w:bCs/>
                <w:color w:val="auto"/>
                <w:sz w:val="24"/>
                <w:highlight w:val="none"/>
              </w:rPr>
              <w:t>4</w:t>
            </w:r>
            <w:r>
              <w:rPr>
                <w:rFonts w:ascii="宋体" w:hAnsi="宋体" w:cs="宋体"/>
                <w:bCs/>
                <w:color w:val="auto"/>
                <w:sz w:val="24"/>
                <w:highlight w:val="none"/>
              </w:rPr>
              <w:t>）</w:t>
            </w:r>
            <w:r>
              <w:rPr>
                <w:rFonts w:hint="eastAsia" w:ascii="宋体" w:hAnsi="宋体" w:cs="宋体"/>
                <w:bCs/>
                <w:color w:val="auto"/>
                <w:sz w:val="24"/>
                <w:highlight w:val="none"/>
              </w:rPr>
              <w:t>投标人提供2022年1月1日以来（以合同签订时间为准）类似服务（指安保或保安服务）业绩得1分，最多计4分。</w:t>
            </w:r>
          </w:p>
          <w:p w14:paraId="0706CC49">
            <w:pPr>
              <w:pStyle w:val="95"/>
              <w:spacing w:line="360" w:lineRule="auto"/>
              <w:ind w:firstLine="480"/>
              <w:rPr>
                <w:rFonts w:ascii="宋体" w:hAnsi="宋体" w:cs="宋体"/>
                <w:bCs/>
                <w:color w:val="auto"/>
                <w:sz w:val="24"/>
                <w:highlight w:val="none"/>
              </w:rPr>
            </w:pPr>
            <w:r>
              <w:rPr>
                <w:rFonts w:ascii="宋体" w:hAnsi="宋体" w:cs="宋体"/>
                <w:bCs/>
                <w:color w:val="auto"/>
                <w:sz w:val="24"/>
                <w:highlight w:val="none"/>
              </w:rPr>
              <w:t>【</w:t>
            </w:r>
            <w:r>
              <w:rPr>
                <w:rFonts w:hint="eastAsia" w:ascii="宋体" w:hAnsi="宋体" w:cs="宋体"/>
                <w:bCs/>
                <w:color w:val="auto"/>
                <w:sz w:val="24"/>
                <w:highlight w:val="none"/>
              </w:rPr>
              <w:t>以</w:t>
            </w:r>
            <w:r>
              <w:rPr>
                <w:rFonts w:hint="eastAsia" w:ascii="宋体" w:hAnsi="宋体" w:cs="宋体"/>
                <w:color w:val="auto"/>
                <w:sz w:val="24"/>
                <w:highlight w:val="none"/>
              </w:rPr>
              <w:t>中标（成交）通知书或服务合同为准；同一个编号的项目有两个或两个以上的分标中标的只计一次</w:t>
            </w:r>
            <w:r>
              <w:rPr>
                <w:rFonts w:ascii="宋体" w:hAnsi="宋体" w:cs="宋体"/>
                <w:color w:val="auto"/>
                <w:sz w:val="24"/>
                <w:highlight w:val="none"/>
              </w:rPr>
              <w:t>得分</w:t>
            </w:r>
            <w:r>
              <w:rPr>
                <w:rFonts w:hint="eastAsia" w:ascii="宋体" w:hAnsi="宋体" w:cs="宋体"/>
                <w:color w:val="auto"/>
                <w:sz w:val="24"/>
                <w:highlight w:val="none"/>
              </w:rPr>
              <w:t>。</w:t>
            </w:r>
            <w:r>
              <w:rPr>
                <w:rFonts w:ascii="宋体" w:hAnsi="宋体" w:cs="宋体"/>
                <w:color w:val="auto"/>
                <w:sz w:val="24"/>
                <w:highlight w:val="none"/>
              </w:rPr>
              <w:t>】</w:t>
            </w:r>
          </w:p>
        </w:tc>
      </w:tr>
      <w:tr w14:paraId="6434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9" w:type="dxa"/>
            <w:gridSpan w:val="5"/>
            <w:tcBorders>
              <w:top w:val="single" w:color="auto" w:sz="4" w:space="0"/>
              <w:left w:val="single" w:color="auto" w:sz="4" w:space="0"/>
              <w:bottom w:val="single" w:color="auto" w:sz="4" w:space="0"/>
              <w:right w:val="single" w:color="auto" w:sz="4" w:space="0"/>
            </w:tcBorders>
            <w:vAlign w:val="center"/>
          </w:tcPr>
          <w:p w14:paraId="5B466AAD">
            <w:pPr>
              <w:pStyle w:val="21"/>
              <w:widowControl w:val="0"/>
              <w:adjustRightInd w:val="0"/>
              <w:snapToGrid w:val="0"/>
              <w:spacing w:before="0" w:beforeAutospacing="0" w:after="0" w:afterAutospacing="0" w:line="360" w:lineRule="auto"/>
              <w:jc w:val="both"/>
              <w:rPr>
                <w:rFonts w:cs="宋体"/>
                <w:bCs/>
                <w:color w:val="auto"/>
                <w:kern w:val="2"/>
                <w:highlight w:val="none"/>
              </w:rPr>
            </w:pPr>
            <w:r>
              <w:rPr>
                <w:rFonts w:hint="eastAsia" w:cs="宋体"/>
                <w:b/>
                <w:bCs/>
                <w:color w:val="auto"/>
                <w:kern w:val="2"/>
                <w:highlight w:val="none"/>
              </w:rPr>
              <w:t>总得分=1+2+3+4。</w:t>
            </w:r>
          </w:p>
        </w:tc>
      </w:tr>
    </w:tbl>
    <w:p w14:paraId="1E63D81C">
      <w:pPr>
        <w:pStyle w:val="5"/>
        <w:keepNext w:val="0"/>
        <w:keepLines w:val="0"/>
        <w:jc w:val="center"/>
        <w:rPr>
          <w:color w:val="auto"/>
          <w:sz w:val="30"/>
          <w:szCs w:val="30"/>
          <w:highlight w:val="none"/>
        </w:rPr>
      </w:pPr>
      <w:r>
        <w:rPr>
          <w:rFonts w:hint="eastAsia"/>
          <w:color w:val="auto"/>
          <w:sz w:val="30"/>
          <w:szCs w:val="30"/>
          <w:highlight w:val="none"/>
        </w:rPr>
        <w:t>四、中标候选人推荐原则</w:t>
      </w:r>
    </w:p>
    <w:p w14:paraId="411902B7">
      <w:pPr>
        <w:pStyle w:val="26"/>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19BE3414">
      <w:pPr>
        <w:pStyle w:val="26"/>
        <w:spacing w:line="360" w:lineRule="auto"/>
        <w:ind w:firstLine="420" w:firstLineChars="200"/>
        <w:contextualSpacing/>
        <w:rPr>
          <w:rFonts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w:t>
      </w:r>
      <w:r>
        <w:rPr>
          <w:rFonts w:hint="eastAsia" w:hAnsi="宋体" w:cs="宋体"/>
          <w:color w:val="auto"/>
          <w:sz w:val="21"/>
          <w:highlight w:val="none"/>
        </w:rPr>
        <w:t>按技术得分由高到低排列。</w:t>
      </w:r>
      <w:r>
        <w:rPr>
          <w:rFonts w:hint="eastAsia" w:hAnsi="宋体"/>
          <w:color w:val="auto"/>
          <w:sz w:val="21"/>
          <w:highlight w:val="none"/>
        </w:rPr>
        <w:t>得分相同、投标报价相同且技术得分相同的，投标文件满足招标文件全部实质性要求，且按照评审因素的量化指标评审得分最高的投标人为排名第一的中标候选人。</w:t>
      </w:r>
    </w:p>
    <w:p w14:paraId="404713FF">
      <w:pPr>
        <w:pStyle w:val="26"/>
        <w:spacing w:line="360" w:lineRule="auto"/>
        <w:ind w:firstLine="420" w:firstLineChars="200"/>
        <w:rPr>
          <w:color w:val="auto"/>
          <w:sz w:val="21"/>
          <w:highlight w:val="none"/>
        </w:rPr>
      </w:pPr>
    </w:p>
    <w:p w14:paraId="7BAD6289">
      <w:pPr>
        <w:rPr>
          <w:rFonts w:ascii="宋体" w:hAnsi="宋体" w:cs="宋体"/>
          <w:color w:val="auto"/>
          <w:sz w:val="24"/>
          <w:highlight w:val="none"/>
        </w:rPr>
      </w:pPr>
      <w:r>
        <w:rPr>
          <w:rFonts w:ascii="宋体" w:hAnsi="宋体" w:cs="宋体"/>
          <w:color w:val="auto"/>
          <w:sz w:val="24"/>
          <w:highlight w:val="none"/>
        </w:rPr>
        <w:br w:type="page"/>
      </w:r>
    </w:p>
    <w:p w14:paraId="1B9D9A8A">
      <w:pPr>
        <w:pStyle w:val="70"/>
        <w:ind w:firstLine="640"/>
        <w:rPr>
          <w:color w:val="auto"/>
          <w:highlight w:val="none"/>
        </w:rPr>
      </w:pPr>
    </w:p>
    <w:p w14:paraId="22A1EC96">
      <w:pPr>
        <w:spacing w:before="120" w:beforeLines="50" w:after="120" w:afterLines="50" w:line="400" w:lineRule="exact"/>
        <w:rPr>
          <w:rFonts w:ascii="宋体" w:hAnsi="宋体" w:cs="宋体"/>
          <w:b/>
          <w:color w:val="auto"/>
          <w:sz w:val="24"/>
          <w:highlight w:val="none"/>
        </w:rPr>
      </w:pPr>
    </w:p>
    <w:p w14:paraId="7B3C6738">
      <w:pPr>
        <w:spacing w:before="120" w:beforeLines="50" w:after="120" w:afterLines="50" w:line="400" w:lineRule="exact"/>
        <w:rPr>
          <w:rFonts w:ascii="宋体" w:hAnsi="宋体" w:cs="宋体"/>
          <w:b/>
          <w:color w:val="auto"/>
          <w:sz w:val="24"/>
          <w:highlight w:val="none"/>
        </w:rPr>
      </w:pPr>
    </w:p>
    <w:p w14:paraId="391E0166">
      <w:pPr>
        <w:pStyle w:val="19"/>
        <w:rPr>
          <w:rFonts w:ascii="宋体" w:hAnsi="宋体" w:cs="宋体"/>
          <w:b/>
          <w:color w:val="auto"/>
          <w:highlight w:val="none"/>
        </w:rPr>
      </w:pPr>
    </w:p>
    <w:p w14:paraId="2EA0CF13">
      <w:pPr>
        <w:rPr>
          <w:rFonts w:ascii="宋体" w:hAnsi="宋体" w:cs="宋体"/>
          <w:b/>
          <w:color w:val="auto"/>
          <w:sz w:val="24"/>
          <w:highlight w:val="none"/>
        </w:rPr>
      </w:pPr>
    </w:p>
    <w:p w14:paraId="3C38AD4F">
      <w:pPr>
        <w:pStyle w:val="19"/>
        <w:rPr>
          <w:rFonts w:ascii="宋体" w:hAnsi="宋体" w:cs="宋体"/>
          <w:b/>
          <w:color w:val="auto"/>
          <w:highlight w:val="none"/>
        </w:rPr>
      </w:pPr>
    </w:p>
    <w:p w14:paraId="4EFB13FD">
      <w:pPr>
        <w:rPr>
          <w:rFonts w:ascii="宋体" w:hAnsi="宋体" w:cs="宋体"/>
          <w:b/>
          <w:color w:val="auto"/>
          <w:sz w:val="24"/>
          <w:highlight w:val="none"/>
        </w:rPr>
      </w:pPr>
    </w:p>
    <w:p w14:paraId="26389748">
      <w:pPr>
        <w:pStyle w:val="19"/>
        <w:rPr>
          <w:rFonts w:ascii="宋体" w:hAnsi="宋体" w:cs="宋体"/>
          <w:b/>
          <w:color w:val="auto"/>
          <w:highlight w:val="none"/>
        </w:rPr>
      </w:pPr>
    </w:p>
    <w:p w14:paraId="57664760">
      <w:pPr>
        <w:rPr>
          <w:rFonts w:ascii="宋体" w:hAnsi="宋体" w:cs="宋体"/>
          <w:b/>
          <w:color w:val="auto"/>
          <w:sz w:val="24"/>
          <w:highlight w:val="none"/>
        </w:rPr>
      </w:pPr>
    </w:p>
    <w:p w14:paraId="2BF48474">
      <w:pPr>
        <w:pStyle w:val="19"/>
        <w:rPr>
          <w:rFonts w:ascii="宋体" w:hAnsi="宋体" w:cs="宋体"/>
          <w:b/>
          <w:color w:val="auto"/>
          <w:highlight w:val="none"/>
        </w:rPr>
      </w:pPr>
    </w:p>
    <w:p w14:paraId="63D1016E">
      <w:pPr>
        <w:rPr>
          <w:rFonts w:ascii="宋体" w:hAnsi="宋体" w:cs="宋体"/>
          <w:b/>
          <w:color w:val="auto"/>
          <w:sz w:val="24"/>
          <w:highlight w:val="none"/>
        </w:rPr>
      </w:pPr>
    </w:p>
    <w:p w14:paraId="14DE063A">
      <w:pPr>
        <w:pStyle w:val="19"/>
        <w:rPr>
          <w:rFonts w:ascii="宋体" w:hAnsi="宋体" w:cs="宋体"/>
          <w:b/>
          <w:color w:val="auto"/>
          <w:highlight w:val="none"/>
        </w:rPr>
      </w:pPr>
    </w:p>
    <w:p w14:paraId="2C1C152A">
      <w:pPr>
        <w:rPr>
          <w:color w:val="auto"/>
          <w:highlight w:val="none"/>
        </w:rPr>
      </w:pPr>
    </w:p>
    <w:p w14:paraId="7B66F115">
      <w:pPr>
        <w:pStyle w:val="3"/>
        <w:keepNext w:val="0"/>
        <w:keepLines w:val="0"/>
        <w:rPr>
          <w:color w:val="auto"/>
          <w:highlight w:val="none"/>
        </w:rPr>
      </w:pPr>
      <w:bookmarkStart w:id="143" w:name="_Toc27205"/>
      <w:bookmarkStart w:id="144" w:name="_Toc19686833"/>
      <w:bookmarkStart w:id="145" w:name="_Toc22305"/>
      <w:bookmarkStart w:id="146" w:name="_Toc18451"/>
      <w:r>
        <w:rPr>
          <w:rFonts w:hint="eastAsia"/>
          <w:color w:val="auto"/>
          <w:highlight w:val="none"/>
        </w:rPr>
        <w:t>第五章、拟签订的合同文本</w:t>
      </w:r>
      <w:bookmarkEnd w:id="143"/>
      <w:bookmarkEnd w:id="144"/>
      <w:bookmarkEnd w:id="145"/>
      <w:bookmarkEnd w:id="146"/>
    </w:p>
    <w:p w14:paraId="259A0469">
      <w:pPr>
        <w:snapToGrid w:val="0"/>
        <w:jc w:val="center"/>
        <w:rPr>
          <w:rFonts w:ascii="宋体" w:hAnsi="宋体" w:cs="宋体"/>
          <w:bCs/>
          <w:color w:val="auto"/>
          <w:sz w:val="32"/>
          <w:szCs w:val="32"/>
          <w:highlight w:val="none"/>
        </w:rPr>
      </w:pPr>
    </w:p>
    <w:p w14:paraId="561FB926">
      <w:pPr>
        <w:snapToGrid w:val="0"/>
        <w:jc w:val="center"/>
        <w:rPr>
          <w:rFonts w:ascii="宋体" w:hAnsi="宋体" w:cs="宋体"/>
          <w:bCs/>
          <w:color w:val="auto"/>
          <w:sz w:val="32"/>
          <w:szCs w:val="32"/>
          <w:highlight w:val="none"/>
        </w:rPr>
      </w:pPr>
    </w:p>
    <w:p w14:paraId="33E4BB23">
      <w:pPr>
        <w:snapToGrid w:val="0"/>
        <w:jc w:val="center"/>
        <w:rPr>
          <w:rFonts w:ascii="宋体" w:hAnsi="宋体" w:cs="宋体"/>
          <w:bCs/>
          <w:color w:val="auto"/>
          <w:sz w:val="32"/>
          <w:szCs w:val="32"/>
          <w:highlight w:val="none"/>
        </w:rPr>
      </w:pPr>
    </w:p>
    <w:p w14:paraId="6D26261C">
      <w:pPr>
        <w:snapToGrid w:val="0"/>
        <w:jc w:val="center"/>
        <w:rPr>
          <w:rFonts w:ascii="宋体" w:hAnsi="宋体" w:cs="宋体"/>
          <w:bCs/>
          <w:color w:val="auto"/>
          <w:sz w:val="32"/>
          <w:szCs w:val="32"/>
          <w:highlight w:val="none"/>
        </w:rPr>
      </w:pPr>
    </w:p>
    <w:p w14:paraId="4F508668">
      <w:pPr>
        <w:snapToGrid w:val="0"/>
        <w:jc w:val="center"/>
        <w:rPr>
          <w:rFonts w:ascii="宋体" w:hAnsi="宋体" w:cs="宋体"/>
          <w:bCs/>
          <w:color w:val="auto"/>
          <w:sz w:val="32"/>
          <w:szCs w:val="32"/>
          <w:highlight w:val="none"/>
        </w:rPr>
      </w:pPr>
    </w:p>
    <w:p w14:paraId="72F833F8">
      <w:pPr>
        <w:jc w:val="left"/>
        <w:rPr>
          <w:rFonts w:ascii="宋体" w:hAnsi="宋体" w:cs="宋体"/>
          <w:bCs/>
          <w:color w:val="auto"/>
          <w:sz w:val="32"/>
          <w:szCs w:val="32"/>
          <w:highlight w:val="none"/>
        </w:rPr>
      </w:pPr>
      <w:r>
        <w:rPr>
          <w:rFonts w:ascii="宋体" w:hAnsi="宋体" w:cs="宋体"/>
          <w:bCs/>
          <w:color w:val="auto"/>
          <w:sz w:val="32"/>
          <w:szCs w:val="32"/>
          <w:highlight w:val="none"/>
        </w:rPr>
        <w:br w:type="page"/>
      </w:r>
    </w:p>
    <w:p w14:paraId="10CC880A">
      <w:pPr>
        <w:snapToGrid w:val="0"/>
        <w:spacing w:line="288" w:lineRule="auto"/>
        <w:jc w:val="center"/>
        <w:rPr>
          <w:rFonts w:ascii="Arial" w:hAnsi="Arial" w:cs="Arial"/>
          <w:b/>
          <w:bCs/>
          <w:color w:val="auto"/>
          <w:sz w:val="36"/>
          <w:szCs w:val="36"/>
          <w:highlight w:val="none"/>
        </w:rPr>
      </w:pPr>
      <w:r>
        <w:rPr>
          <w:rFonts w:ascii="Arial" w:hAnsi="Arial" w:cs="Arial"/>
          <w:b/>
          <w:bCs/>
          <w:color w:val="auto"/>
          <w:sz w:val="36"/>
          <w:szCs w:val="36"/>
          <w:highlight w:val="none"/>
        </w:rPr>
        <w:t>《广西壮族自治区政府采购合同》</w:t>
      </w:r>
    </w:p>
    <w:p w14:paraId="156E404A">
      <w:pPr>
        <w:snapToGrid w:val="0"/>
        <w:spacing w:line="360" w:lineRule="auto"/>
        <w:ind w:right="480" w:firstLine="6720" w:firstLineChars="3200"/>
        <w:rPr>
          <w:rFonts w:ascii="宋体" w:hAnsi="宋体" w:cs="宋体"/>
          <w:bCs/>
          <w:color w:val="auto"/>
          <w:szCs w:val="21"/>
          <w:highlight w:val="none"/>
          <w:u w:val="single"/>
        </w:rPr>
      </w:pPr>
      <w:r>
        <w:rPr>
          <w:rFonts w:hint="eastAsia" w:ascii="宋体" w:hAnsi="宋体" w:cs="宋体"/>
          <w:bCs/>
          <w:color w:val="auto"/>
          <w:szCs w:val="21"/>
          <w:highlight w:val="none"/>
        </w:rPr>
        <w:t>合同编号：</w:t>
      </w:r>
    </w:p>
    <w:p w14:paraId="08003390">
      <w:pPr>
        <w:snapToGrid w:val="0"/>
        <w:spacing w:line="360" w:lineRule="auto"/>
        <w:rPr>
          <w:rFonts w:ascii="宋体" w:hAnsi="宋体" w:cs="宋体"/>
          <w:color w:val="auto"/>
          <w:szCs w:val="21"/>
          <w:highlight w:val="none"/>
        </w:rPr>
      </w:pPr>
    </w:p>
    <w:p w14:paraId="15CCA31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广西师范大学      </w:t>
      </w:r>
      <w:r>
        <w:rPr>
          <w:rFonts w:hint="eastAsia" w:ascii="宋体" w:hAnsi="宋体" w:cs="宋体"/>
          <w:color w:val="auto"/>
          <w:szCs w:val="21"/>
          <w:highlight w:val="none"/>
        </w:rPr>
        <w:t xml:space="preserve">               采购计划文号：</w:t>
      </w:r>
      <w:r>
        <w:rPr>
          <w:rFonts w:hint="eastAsia" w:ascii="宋体" w:hAnsi="宋体" w:cs="宋体"/>
          <w:color w:val="auto"/>
          <w:szCs w:val="21"/>
          <w:highlight w:val="none"/>
          <w:u w:val="single"/>
        </w:rPr>
        <w:t xml:space="preserve">           </w:t>
      </w:r>
    </w:p>
    <w:p w14:paraId="2AAB58D5">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投标人（乙方）: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p w14:paraId="67712620">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广西桂林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15B906F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w:t>
      </w:r>
      <w:r>
        <w:rPr>
          <w:rFonts w:hint="eastAsia" w:ascii="宋体" w:hAnsi="宋体" w:cs="宋体"/>
          <w:color w:val="auto"/>
          <w:highlight w:val="none"/>
        </w:rPr>
        <w:t>《中华人民共和国政府采购法实施条例》、</w:t>
      </w:r>
      <w:r>
        <w:rPr>
          <w:rFonts w:hint="eastAsia" w:ascii="宋体" w:hAnsi="宋体" w:cs="宋体"/>
          <w:color w:val="auto"/>
          <w:szCs w:val="21"/>
          <w:highlight w:val="none"/>
        </w:rPr>
        <w:t>《</w:t>
      </w:r>
      <w:r>
        <w:rPr>
          <w:rFonts w:hint="eastAsia" w:ascii="宋体" w:hAnsi="宋体" w:cs="宋体"/>
          <w:color w:val="auto"/>
          <w:szCs w:val="21"/>
          <w:highlight w:val="none"/>
          <w:shd w:val="clear" w:color="auto" w:fill="FFFFFF"/>
        </w:rPr>
        <w:t>中华人民共和国民法典</w:t>
      </w:r>
      <w:r>
        <w:rPr>
          <w:rFonts w:hint="eastAsia" w:ascii="宋体" w:hAnsi="宋体" w:cs="宋体"/>
          <w:color w:val="auto"/>
          <w:szCs w:val="21"/>
          <w:highlight w:val="none"/>
        </w:rPr>
        <w:t>》等法律、法规规定，按照招标文件 (以下简称采购文件)规定条款和乙方承诺，甲乙双方签订本合同。</w:t>
      </w:r>
    </w:p>
    <w:p w14:paraId="1AE57CA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第一条、合同标的</w:t>
      </w:r>
    </w:p>
    <w:p w14:paraId="2F0542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1、服务内容一览表</w:t>
      </w:r>
    </w:p>
    <w:tbl>
      <w:tblPr>
        <w:tblStyle w:val="52"/>
        <w:tblW w:w="505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5"/>
        <w:gridCol w:w="1631"/>
        <w:gridCol w:w="932"/>
        <w:gridCol w:w="1031"/>
        <w:gridCol w:w="1266"/>
        <w:gridCol w:w="1253"/>
        <w:gridCol w:w="943"/>
        <w:gridCol w:w="1573"/>
      </w:tblGrid>
      <w:tr w14:paraId="21DA7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057" w:hRule="atLeast"/>
        </w:trPr>
        <w:tc>
          <w:tcPr>
            <w:tcW w:w="407" w:type="pct"/>
            <w:tcBorders>
              <w:top w:val="single" w:color="auto" w:sz="4" w:space="0"/>
              <w:left w:val="single" w:color="auto" w:sz="4" w:space="0"/>
              <w:bottom w:val="single" w:color="auto" w:sz="4" w:space="0"/>
              <w:right w:val="single" w:color="auto" w:sz="4" w:space="0"/>
            </w:tcBorders>
            <w:vAlign w:val="center"/>
          </w:tcPr>
          <w:p w14:paraId="47860F0B">
            <w:pPr>
              <w:spacing w:line="360" w:lineRule="auto"/>
              <w:rPr>
                <w:rFonts w:ascii="宋体" w:hAnsi="宋体" w:cs="宋体"/>
                <w:color w:val="auto"/>
                <w:szCs w:val="21"/>
                <w:highlight w:val="none"/>
              </w:rPr>
            </w:pPr>
            <w:r>
              <w:rPr>
                <w:rFonts w:hint="eastAsia" w:ascii="宋体" w:hAnsi="宋体" w:cs="宋体"/>
                <w:color w:val="auto"/>
                <w:szCs w:val="21"/>
                <w:highlight w:val="none"/>
              </w:rPr>
              <w:t>项号</w:t>
            </w:r>
          </w:p>
        </w:tc>
        <w:tc>
          <w:tcPr>
            <w:tcW w:w="868" w:type="pct"/>
            <w:tcBorders>
              <w:top w:val="single" w:color="auto" w:sz="4" w:space="0"/>
              <w:left w:val="single" w:color="auto" w:sz="4" w:space="0"/>
              <w:bottom w:val="single" w:color="auto" w:sz="4" w:space="0"/>
              <w:right w:val="single" w:color="auto" w:sz="4" w:space="0"/>
            </w:tcBorders>
            <w:vAlign w:val="center"/>
          </w:tcPr>
          <w:p w14:paraId="3D002F57">
            <w:pPr>
              <w:spacing w:line="360" w:lineRule="auto"/>
              <w:rPr>
                <w:rFonts w:ascii="宋体" w:hAnsi="宋体" w:cs="宋体"/>
                <w:color w:val="auto"/>
                <w:szCs w:val="21"/>
                <w:highlight w:val="none"/>
              </w:rPr>
            </w:pPr>
            <w:r>
              <w:rPr>
                <w:rFonts w:hint="eastAsia" w:ascii="宋体" w:hAnsi="宋体" w:cs="宋体"/>
                <w:color w:val="auto"/>
                <w:szCs w:val="21"/>
                <w:highlight w:val="none"/>
              </w:rPr>
              <w:t>标的名称</w:t>
            </w:r>
          </w:p>
        </w:tc>
        <w:tc>
          <w:tcPr>
            <w:tcW w:w="496" w:type="pct"/>
            <w:tcBorders>
              <w:top w:val="single" w:color="auto" w:sz="4" w:space="0"/>
              <w:left w:val="single" w:color="auto" w:sz="4" w:space="0"/>
              <w:bottom w:val="single" w:color="auto" w:sz="4" w:space="0"/>
              <w:right w:val="single" w:color="auto" w:sz="4" w:space="0"/>
            </w:tcBorders>
            <w:vAlign w:val="center"/>
          </w:tcPr>
          <w:p w14:paraId="555BE5D4">
            <w:pPr>
              <w:spacing w:line="360" w:lineRule="auto"/>
              <w:rPr>
                <w:rFonts w:ascii="宋体" w:hAnsi="宋体" w:cs="宋体"/>
                <w:color w:val="auto"/>
                <w:szCs w:val="21"/>
                <w:highlight w:val="none"/>
              </w:rPr>
            </w:pPr>
            <w:r>
              <w:rPr>
                <w:rFonts w:hint="eastAsia" w:ascii="宋体" w:hAnsi="宋体" w:cs="宋体"/>
                <w:color w:val="auto"/>
                <w:szCs w:val="21"/>
                <w:highlight w:val="none"/>
              </w:rPr>
              <w:t>数量①</w:t>
            </w:r>
          </w:p>
        </w:tc>
        <w:tc>
          <w:tcPr>
            <w:tcW w:w="549" w:type="pct"/>
            <w:tcBorders>
              <w:top w:val="single" w:color="auto" w:sz="4" w:space="0"/>
              <w:left w:val="single" w:color="auto" w:sz="4" w:space="0"/>
              <w:bottom w:val="single" w:color="auto" w:sz="4" w:space="0"/>
              <w:right w:val="single" w:color="auto" w:sz="4" w:space="0"/>
            </w:tcBorders>
            <w:vAlign w:val="center"/>
          </w:tcPr>
          <w:p w14:paraId="372289C8">
            <w:pPr>
              <w:spacing w:line="360" w:lineRule="auto"/>
              <w:rPr>
                <w:rFonts w:ascii="宋体" w:hAnsi="宋体" w:cs="宋体"/>
                <w:color w:val="auto"/>
                <w:szCs w:val="21"/>
                <w:highlight w:val="none"/>
              </w:rPr>
            </w:pPr>
            <w:r>
              <w:rPr>
                <w:rFonts w:hint="eastAsia" w:ascii="宋体" w:hAnsi="宋体" w:cs="宋体"/>
                <w:color w:val="auto"/>
                <w:szCs w:val="21"/>
                <w:highlight w:val="none"/>
              </w:rPr>
              <w:t>单价（元/月/人）②</w:t>
            </w:r>
          </w:p>
        </w:tc>
        <w:tc>
          <w:tcPr>
            <w:tcW w:w="674" w:type="pct"/>
            <w:tcBorders>
              <w:top w:val="single" w:color="auto" w:sz="4" w:space="0"/>
              <w:left w:val="single" w:color="auto" w:sz="4" w:space="0"/>
              <w:bottom w:val="single" w:color="auto" w:sz="4" w:space="0"/>
              <w:right w:val="single" w:color="auto" w:sz="4" w:space="0"/>
            </w:tcBorders>
            <w:vAlign w:val="center"/>
          </w:tcPr>
          <w:p w14:paraId="1D52D353">
            <w:pPr>
              <w:spacing w:line="360" w:lineRule="auto"/>
              <w:rPr>
                <w:rFonts w:ascii="宋体" w:hAnsi="宋体" w:cs="宋体"/>
                <w:color w:val="auto"/>
                <w:szCs w:val="21"/>
                <w:highlight w:val="none"/>
              </w:rPr>
            </w:pPr>
            <w:r>
              <w:rPr>
                <w:rFonts w:hint="eastAsia" w:ascii="宋体" w:hAnsi="宋体" w:cs="宋体"/>
                <w:color w:val="auto"/>
                <w:szCs w:val="21"/>
                <w:highlight w:val="none"/>
              </w:rPr>
              <w:t>每个月服务费用（元）（③=①×②）</w:t>
            </w:r>
          </w:p>
        </w:tc>
        <w:tc>
          <w:tcPr>
            <w:tcW w:w="667" w:type="pct"/>
            <w:tcBorders>
              <w:top w:val="single" w:color="auto" w:sz="4" w:space="0"/>
              <w:left w:val="nil"/>
              <w:bottom w:val="single" w:color="auto" w:sz="4" w:space="0"/>
              <w:right w:val="single" w:color="auto" w:sz="4" w:space="0"/>
            </w:tcBorders>
            <w:vAlign w:val="center"/>
          </w:tcPr>
          <w:p w14:paraId="00D39E1E">
            <w:pPr>
              <w:spacing w:line="360" w:lineRule="auto"/>
              <w:rPr>
                <w:rFonts w:ascii="宋体" w:hAnsi="宋体" w:cs="宋体"/>
                <w:color w:val="auto"/>
                <w:szCs w:val="21"/>
                <w:highlight w:val="none"/>
              </w:rPr>
            </w:pPr>
            <w:r>
              <w:rPr>
                <w:rFonts w:hint="eastAsia" w:ascii="宋体" w:hAnsi="宋体" w:cs="宋体"/>
                <w:color w:val="auto"/>
                <w:szCs w:val="21"/>
                <w:highlight w:val="none"/>
              </w:rPr>
              <w:t>每年服务费用（元）（④=③×12）</w:t>
            </w:r>
          </w:p>
        </w:tc>
        <w:tc>
          <w:tcPr>
            <w:tcW w:w="502" w:type="pct"/>
            <w:tcBorders>
              <w:top w:val="single" w:color="auto" w:sz="4" w:space="0"/>
              <w:left w:val="single" w:color="auto" w:sz="4" w:space="0"/>
              <w:bottom w:val="single" w:color="auto" w:sz="4" w:space="0"/>
              <w:right w:val="single" w:color="auto" w:sz="4" w:space="0"/>
            </w:tcBorders>
            <w:vAlign w:val="center"/>
          </w:tcPr>
          <w:p w14:paraId="2821C771">
            <w:pPr>
              <w:spacing w:line="360" w:lineRule="auto"/>
              <w:rPr>
                <w:rFonts w:ascii="宋体" w:hAnsi="宋体" w:cs="宋体"/>
                <w:color w:val="auto"/>
                <w:szCs w:val="21"/>
                <w:highlight w:val="none"/>
              </w:rPr>
            </w:pPr>
            <w:r>
              <w:rPr>
                <w:rFonts w:hint="eastAsia" w:ascii="宋体" w:hAnsi="宋体" w:cs="宋体"/>
                <w:color w:val="auto"/>
                <w:szCs w:val="21"/>
                <w:highlight w:val="none"/>
              </w:rPr>
              <w:t>服务期限⑤</w:t>
            </w:r>
          </w:p>
        </w:tc>
        <w:tc>
          <w:tcPr>
            <w:tcW w:w="832" w:type="pct"/>
            <w:tcBorders>
              <w:top w:val="single" w:color="auto" w:sz="4" w:space="0"/>
              <w:left w:val="nil"/>
              <w:bottom w:val="single" w:color="auto" w:sz="4" w:space="0"/>
              <w:right w:val="single" w:color="auto" w:sz="4" w:space="0"/>
            </w:tcBorders>
            <w:vAlign w:val="center"/>
          </w:tcPr>
          <w:p w14:paraId="316E61D5">
            <w:pPr>
              <w:spacing w:line="360" w:lineRule="auto"/>
              <w:rPr>
                <w:rFonts w:ascii="宋体" w:hAnsi="宋体" w:cs="宋体"/>
                <w:color w:val="auto"/>
                <w:szCs w:val="21"/>
                <w:highlight w:val="none"/>
              </w:rPr>
            </w:pPr>
            <w:r>
              <w:rPr>
                <w:rFonts w:hint="eastAsia" w:ascii="宋体" w:hAnsi="宋体" w:cs="宋体"/>
                <w:color w:val="auto"/>
                <w:szCs w:val="21"/>
                <w:highlight w:val="none"/>
              </w:rPr>
              <w:t>合同金额（元）</w:t>
            </w:r>
          </w:p>
          <w:p w14:paraId="42125327">
            <w:pPr>
              <w:spacing w:line="360" w:lineRule="auto"/>
              <w:rPr>
                <w:rFonts w:ascii="宋体" w:hAnsi="宋体" w:cs="宋体"/>
                <w:color w:val="auto"/>
                <w:szCs w:val="21"/>
                <w:highlight w:val="none"/>
              </w:rPr>
            </w:pPr>
            <w:r>
              <w:rPr>
                <w:rFonts w:hint="eastAsia" w:ascii="宋体" w:hAnsi="宋体" w:cs="宋体"/>
                <w:color w:val="auto"/>
                <w:szCs w:val="21"/>
                <w:highlight w:val="none"/>
              </w:rPr>
              <w:t>（⑥=④×⑤）</w:t>
            </w:r>
          </w:p>
        </w:tc>
      </w:tr>
      <w:tr w14:paraId="4BB36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13" w:hRule="atLeast"/>
        </w:trPr>
        <w:tc>
          <w:tcPr>
            <w:tcW w:w="407" w:type="pct"/>
            <w:tcBorders>
              <w:top w:val="single" w:color="auto" w:sz="4" w:space="0"/>
              <w:left w:val="single" w:color="auto" w:sz="4" w:space="0"/>
              <w:right w:val="single" w:color="auto" w:sz="4" w:space="0"/>
            </w:tcBorders>
            <w:vAlign w:val="center"/>
          </w:tcPr>
          <w:p w14:paraId="200305C4">
            <w:pPr>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868" w:type="pct"/>
            <w:tcBorders>
              <w:top w:val="single" w:color="auto" w:sz="4" w:space="0"/>
              <w:left w:val="single" w:color="auto" w:sz="4" w:space="0"/>
              <w:right w:val="single" w:color="auto" w:sz="4" w:space="0"/>
            </w:tcBorders>
            <w:vAlign w:val="center"/>
          </w:tcPr>
          <w:p w14:paraId="007F32EA">
            <w:pPr>
              <w:spacing w:line="360" w:lineRule="auto"/>
              <w:rPr>
                <w:rFonts w:ascii="宋体" w:hAnsi="宋体" w:cs="宋体"/>
                <w:color w:val="auto"/>
                <w:szCs w:val="21"/>
                <w:highlight w:val="none"/>
              </w:rPr>
            </w:pPr>
            <w:r>
              <w:rPr>
                <w:rFonts w:hint="eastAsia" w:ascii="宋体" w:hAnsi="宋体" w:cs="宋体"/>
                <w:color w:val="auto"/>
                <w:szCs w:val="21"/>
                <w:highlight w:val="none"/>
              </w:rPr>
              <w:t>2026-2027年度王城、育才校区安保外包服务采购</w:t>
            </w:r>
          </w:p>
        </w:tc>
        <w:tc>
          <w:tcPr>
            <w:tcW w:w="496" w:type="pct"/>
            <w:tcBorders>
              <w:top w:val="single" w:color="auto" w:sz="4" w:space="0"/>
              <w:left w:val="single" w:color="auto" w:sz="4" w:space="0"/>
              <w:bottom w:val="single" w:color="auto" w:sz="4" w:space="0"/>
              <w:right w:val="single" w:color="auto" w:sz="4" w:space="0"/>
            </w:tcBorders>
            <w:vAlign w:val="center"/>
          </w:tcPr>
          <w:p w14:paraId="07D8BFC7">
            <w:pPr>
              <w:spacing w:line="360" w:lineRule="auto"/>
              <w:ind w:firstLine="420" w:firstLineChars="200"/>
              <w:rPr>
                <w:rFonts w:ascii="宋体" w:hAnsi="宋体" w:cs="宋体"/>
                <w:color w:val="auto"/>
                <w:szCs w:val="21"/>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14:paraId="6ADEBDC0">
            <w:pPr>
              <w:spacing w:line="360" w:lineRule="auto"/>
              <w:ind w:firstLine="420" w:firstLineChars="200"/>
              <w:rPr>
                <w:rFonts w:ascii="宋体" w:hAnsi="宋体" w:cs="宋体"/>
                <w:color w:val="auto"/>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14:paraId="4762A128">
            <w:pPr>
              <w:spacing w:line="360" w:lineRule="auto"/>
              <w:ind w:firstLine="420" w:firstLineChars="200"/>
              <w:rPr>
                <w:rFonts w:ascii="宋体" w:hAnsi="宋体" w:cs="宋体"/>
                <w:color w:val="auto"/>
                <w:szCs w:val="21"/>
                <w:highlight w:val="none"/>
              </w:rPr>
            </w:pPr>
          </w:p>
        </w:tc>
        <w:tc>
          <w:tcPr>
            <w:tcW w:w="667" w:type="pct"/>
            <w:tcBorders>
              <w:top w:val="single" w:color="auto" w:sz="4" w:space="0"/>
              <w:left w:val="nil"/>
              <w:bottom w:val="single" w:color="auto" w:sz="4" w:space="0"/>
              <w:right w:val="single" w:color="auto" w:sz="4" w:space="0"/>
            </w:tcBorders>
            <w:vAlign w:val="center"/>
          </w:tcPr>
          <w:p w14:paraId="79321166">
            <w:pPr>
              <w:spacing w:line="360" w:lineRule="auto"/>
              <w:ind w:firstLine="420" w:firstLineChars="200"/>
              <w:rPr>
                <w:rFonts w:ascii="宋体" w:hAnsi="宋体" w:cs="宋体"/>
                <w:color w:val="auto"/>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0A672799">
            <w:pPr>
              <w:spacing w:line="360" w:lineRule="auto"/>
              <w:ind w:firstLine="420" w:firstLineChars="200"/>
              <w:rPr>
                <w:rFonts w:ascii="宋体" w:hAnsi="宋体" w:cs="宋体"/>
                <w:color w:val="auto"/>
                <w:szCs w:val="21"/>
                <w:highlight w:val="none"/>
              </w:rPr>
            </w:pPr>
          </w:p>
        </w:tc>
        <w:tc>
          <w:tcPr>
            <w:tcW w:w="832" w:type="pct"/>
            <w:tcBorders>
              <w:top w:val="single" w:color="auto" w:sz="4" w:space="0"/>
              <w:left w:val="nil"/>
              <w:bottom w:val="single" w:color="auto" w:sz="4" w:space="0"/>
              <w:right w:val="single" w:color="auto" w:sz="4" w:space="0"/>
            </w:tcBorders>
            <w:vAlign w:val="center"/>
          </w:tcPr>
          <w:p w14:paraId="2298108F">
            <w:pPr>
              <w:spacing w:line="360" w:lineRule="auto"/>
              <w:ind w:firstLine="420" w:firstLineChars="200"/>
              <w:rPr>
                <w:rFonts w:ascii="宋体" w:hAnsi="宋体" w:cs="宋体"/>
                <w:color w:val="auto"/>
                <w:szCs w:val="21"/>
                <w:highlight w:val="none"/>
              </w:rPr>
            </w:pPr>
          </w:p>
        </w:tc>
      </w:tr>
      <w:tr w14:paraId="36520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3C019C8D">
            <w:pPr>
              <w:spacing w:line="360" w:lineRule="auto"/>
              <w:rPr>
                <w:rFonts w:ascii="宋体" w:hAnsi="宋体" w:cs="宋体"/>
                <w:color w:val="auto"/>
                <w:szCs w:val="21"/>
                <w:highlight w:val="none"/>
              </w:rPr>
            </w:pPr>
            <w:r>
              <w:rPr>
                <w:rFonts w:hint="eastAsia" w:ascii="宋体" w:hAnsi="宋体" w:cs="宋体"/>
                <w:color w:val="auto"/>
                <w:szCs w:val="21"/>
                <w:highlight w:val="none"/>
              </w:rPr>
              <w:t>服务标准：</w:t>
            </w:r>
          </w:p>
        </w:tc>
      </w:tr>
    </w:tbl>
    <w:p w14:paraId="147D5B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合计金额为完成采购需求中安保服务的一切费用（含税价），包括但不限于服务价格、本次服务采购项目实施和完成服务所用装备费、器材费、管理费、利润、税费、人工成本【人工工资、人员服装费、法定社会保险（养老保险、医疗保险、失业保险、工伤保险、生育保险）、福利费、其他商业保险及在人员使用上应包括的一切费用】等完成服务所必须的一切成本费用，以及招标文件及合同包含的所有风险、责任等各项已列明费用或未列明费用。</w:t>
      </w:r>
    </w:p>
    <w:p w14:paraId="6F00B98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第二条、质量保证</w:t>
      </w:r>
    </w:p>
    <w:p w14:paraId="769B61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乙方所提供的服务内容必须与招投标文件和承诺相一致。</w:t>
      </w:r>
    </w:p>
    <w:p w14:paraId="05CCC68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第三条、权利保证</w:t>
      </w:r>
    </w:p>
    <w:p w14:paraId="05F9D0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1.乙方应保证所提供服务不会侵犯任何第三方的专利权、商标权、设计权或其他权利。</w:t>
      </w:r>
    </w:p>
    <w:p w14:paraId="3DEB01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2.乙方应按招标文件规定的时间向甲方提供服务成果的有关技术资料。</w:t>
      </w:r>
    </w:p>
    <w:p w14:paraId="019D17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B43B0E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第四条、服务期限及地点</w:t>
      </w:r>
    </w:p>
    <w:p w14:paraId="3E7EF8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服务期限：2026年1月1日至2027年12月31日</w:t>
      </w:r>
    </w:p>
    <w:p w14:paraId="050BB6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服务地点： </w:t>
      </w:r>
    </w:p>
    <w:p w14:paraId="1953CE0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第五条、乙方提供的服务内容及要求</w:t>
      </w:r>
    </w:p>
    <w:p w14:paraId="1A09A014">
      <w:pPr>
        <w:spacing w:line="360" w:lineRule="auto"/>
        <w:ind w:firstLine="420" w:firstLineChars="200"/>
        <w:rPr>
          <w:rFonts w:ascii="宋体" w:hAnsi="宋体" w:cs="宋体"/>
          <w:color w:val="auto"/>
          <w:szCs w:val="21"/>
          <w:highlight w:val="none"/>
          <w:lang w:eastAsia="zh-TW"/>
        </w:rPr>
      </w:pPr>
      <w:r>
        <w:rPr>
          <w:rFonts w:hint="eastAsia" w:ascii="宋体" w:hAnsi="宋体" w:cs="宋体"/>
          <w:color w:val="auto"/>
          <w:szCs w:val="21"/>
          <w:highlight w:val="none"/>
          <w:lang w:eastAsia="zh-TW"/>
        </w:rPr>
        <w:t>（</w:t>
      </w:r>
      <w:r>
        <w:rPr>
          <w:rFonts w:hint="eastAsia" w:ascii="宋体" w:hAnsi="宋体" w:cs="宋体"/>
          <w:color w:val="auto"/>
          <w:szCs w:val="21"/>
          <w:highlight w:val="none"/>
        </w:rPr>
        <w:t>三</w:t>
      </w:r>
      <w:r>
        <w:rPr>
          <w:rFonts w:hint="eastAsia" w:ascii="宋体" w:hAnsi="宋体" w:cs="宋体"/>
          <w:color w:val="auto"/>
          <w:szCs w:val="21"/>
          <w:highlight w:val="none"/>
          <w:lang w:eastAsia="zh-TW"/>
        </w:rPr>
        <w:t>）岗位工作职责要求</w:t>
      </w:r>
    </w:p>
    <w:p w14:paraId="3D3B1A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1.主管岗位职责（包括副主管）</w:t>
      </w:r>
    </w:p>
    <w:p w14:paraId="6F0AD1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（1）负责对接学校工作，对保安人员落实24小时值班制度的情况进行监督和检查。密切保持保安人员的通信联络，检查各值班岗位人员的值勤情况。</w:t>
      </w:r>
    </w:p>
    <w:p w14:paraId="1C03CB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（2）制定突发事件的处理程序，建立和健全各项安全保卫制度，密切配合学校各项工作。</w:t>
      </w:r>
    </w:p>
    <w:p w14:paraId="04EBB2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（3）每天定时或不定时巡视管辖区域的安全工作，并做好记录，建立正常的巡逻制度并明确重点保卫目标。</w:t>
      </w:r>
    </w:p>
    <w:p w14:paraId="6D8E30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（4）完善管辖区域的安全防范措施，安全岗位设施、设备器材等使用情况，保证其能在工作中达到预先的使用效果。</w:t>
      </w:r>
    </w:p>
    <w:p w14:paraId="58FB6C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（5）检查管辖区域内有无妨害公共安全和社会治安秩序的行为，并及时进行纠正，提出整改意见，跟进处理结果，并做好记录、归档。</w:t>
      </w:r>
    </w:p>
    <w:p w14:paraId="72226E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（6）接待投诉，协助学校处理各种突发事件和治安违纪行为。</w:t>
      </w:r>
    </w:p>
    <w:p w14:paraId="3520B8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（7）做好保安人员的出勤统计，业绩考核等的登记管理工作。</w:t>
      </w:r>
    </w:p>
    <w:p w14:paraId="24C222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（8）掌握保安人员的思想动态，定期召开员工会议，做好员工的沟通工作。定期对保安人员进行职业安全思想道德和各类业务技能的培训工作。</w:t>
      </w:r>
    </w:p>
    <w:p w14:paraId="1053A1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（9）以身作则，亲力亲为，全面提高安全管理工作与服务的质量。</w:t>
      </w:r>
    </w:p>
    <w:p w14:paraId="0CEBC3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2.保安班长岗位职责</w:t>
      </w:r>
    </w:p>
    <w:p w14:paraId="5DC73D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（1）严格执行学校的规章制度。</w:t>
      </w:r>
    </w:p>
    <w:p w14:paraId="69144B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（2）做好队员的思想工作，要关心爱护队员，了解队员的思想、工作、家庭等的情况，及时发现问题。如实向队长反映队员工作、思想动态和意见。做到政治上关心，思想上信任，工作上教导，生活上体贴。</w:t>
      </w:r>
    </w:p>
    <w:p w14:paraId="352F47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（3）负责保安队伍日常管理工作。根据人员、岗位的要求进行人次、人员调配。公平、公正地处理队员在工作中发生的各类矛盾，严格管理，不歧视、打骂、侮辱队员。</w:t>
      </w:r>
    </w:p>
    <w:p w14:paraId="4C90C5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（4）不断提高队员的业务素质。要有计划地组织队员学习业务，检查督促队员管好、用好装备和消防器材，使其保持良好工作状态。</w:t>
      </w:r>
    </w:p>
    <w:p w14:paraId="220E8E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（5）认真做好考勤工作。制定每月排班表，监督下属的出勤，做好在岗状况交接班记录的检查，及时、准确填报公司印发的各项表格，及时总结当月工作情况和计划下月的工作目标。</w:t>
      </w:r>
    </w:p>
    <w:p w14:paraId="0818A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（6）加强岗位检查。队长每日至少要进行一次岗位检查，对检查中发现的问题要进行登记，好的表扬，差的批评。</w:t>
      </w:r>
    </w:p>
    <w:p w14:paraId="235888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（7）抓好队容队纪。按着装规定，每日要检查队员的着装，并定期进行检查评比。及时纠正违反着装规定的现象。经常不断地进行语言、举止、行为的教育，创造良好的保安形象。</w:t>
      </w:r>
    </w:p>
    <w:p w14:paraId="14B83F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（8）突发事件的处理（火灾、偷窃、打架等）等安全保障。</w:t>
      </w:r>
    </w:p>
    <w:p w14:paraId="38B75E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（9）遇到治安、突发事件等应立即赶到现场，并组织队员进行现场秩序维护和处理，并及时上报上级领导。</w:t>
      </w:r>
    </w:p>
    <w:p w14:paraId="0CEF08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（10）负责顶替休假/请假/临时离岗人员的岗位工作。</w:t>
      </w:r>
    </w:p>
    <w:p w14:paraId="720CBB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3.大门值守保安岗位职责</w:t>
      </w:r>
    </w:p>
    <w:p w14:paraId="067D15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大门是学校安全的第一道防线，大门值守保安也是学校形象的代表，应具有良好的素质与修养，并认真履行以下岗位职责：</w:t>
      </w:r>
    </w:p>
    <w:p w14:paraId="062CE0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（1）按时交接班。白天交接班时，双方应交接有关情况和物品。接班人员未按时到岗，交班人员不得擅自离开岗位。</w:t>
      </w:r>
    </w:p>
    <w:p w14:paraId="3DF35E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（2）严格执行门卫制度，着装整洁，保持良好的精神状态。</w:t>
      </w:r>
    </w:p>
    <w:p w14:paraId="03FF5A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（3）积极配合学校做好安全管理等各项工作，严格落实学校各项管理制度。</w:t>
      </w:r>
    </w:p>
    <w:p w14:paraId="30CA0A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（4）加强自身修养，坚持文明值班，礼貌待人，遇事冷静。对不服从管理的人员，应耐心解释、说明，不得用不文明的方式对待任何人。</w:t>
      </w:r>
    </w:p>
    <w:p w14:paraId="38728F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（5）坚守岗位，不得擅离职守，不做与工作无关的事情，时刻注意进出校门的人员情况。</w:t>
      </w:r>
    </w:p>
    <w:p w14:paraId="50869F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（6）保持值班室内外清洁，发现垃圾或丢弃物应及时清扫。交班前，整理好室内物品。</w:t>
      </w:r>
    </w:p>
    <w:p w14:paraId="7B8158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（7）爱护值班室内外的设施、设备，发现问题或故障，应及时保修，不得影响工作。</w:t>
      </w:r>
    </w:p>
    <w:p w14:paraId="232359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（8）认真记录值班时发生和处理的各种情况以及接听的重要电话，及时报告有关领导。交班时，应将重要事项向交班人交代清楚。</w:t>
      </w:r>
    </w:p>
    <w:p w14:paraId="1DFA61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4.巡逻岗位职责：</w:t>
      </w:r>
    </w:p>
    <w:p w14:paraId="5D2B4F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（1）服装整齐，文明礼貌执勤，不脱岗。</w:t>
      </w:r>
    </w:p>
    <w:p w14:paraId="3BC906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（2）负责学校日常防火、防盗等安全巡查，及时发现安全隐患，防止意外事故发生，严格落实学校安全巡逻制度。</w:t>
      </w:r>
    </w:p>
    <w:p w14:paraId="35C71F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（3）保持大门口畅通，车辆停放整齐。</w:t>
      </w:r>
    </w:p>
    <w:p w14:paraId="194F4E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（4）严格管理好车辆的停放，保持学校内应急通道畅通。</w:t>
      </w:r>
    </w:p>
    <w:p w14:paraId="6DD95D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（5）巡逻保安必须勤巡逻，对学校内的重要部位勤巡、勤看，并做好详细登记，发现异常情况要及时报告学校安全办或“110”指挥中心。</w:t>
      </w:r>
    </w:p>
    <w:p w14:paraId="736841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（6）在值班过程中发现火灾隐患及火情要及时报告相关领导或“119”火警。</w:t>
      </w:r>
    </w:p>
    <w:p w14:paraId="09ACA4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（四）具体岗位及人员要求</w:t>
      </w:r>
    </w:p>
    <w:tbl>
      <w:tblPr>
        <w:tblStyle w:val="5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503"/>
        <w:gridCol w:w="1606"/>
        <w:gridCol w:w="4223"/>
        <w:gridCol w:w="1155"/>
      </w:tblGrid>
      <w:tr w14:paraId="0420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22" w:type="dxa"/>
            <w:vAlign w:val="center"/>
          </w:tcPr>
          <w:p w14:paraId="33465858">
            <w:pPr>
              <w:snapToGrid w:val="0"/>
              <w:spacing w:line="380" w:lineRule="exact"/>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校区</w:t>
            </w:r>
          </w:p>
        </w:tc>
        <w:tc>
          <w:tcPr>
            <w:tcW w:w="1849" w:type="dxa"/>
            <w:vAlign w:val="center"/>
          </w:tcPr>
          <w:p w14:paraId="3D1299D8">
            <w:pPr>
              <w:snapToGrid w:val="0"/>
              <w:spacing w:line="380" w:lineRule="exact"/>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岗位设置</w:t>
            </w:r>
          </w:p>
        </w:tc>
        <w:tc>
          <w:tcPr>
            <w:tcW w:w="1849" w:type="dxa"/>
            <w:vAlign w:val="center"/>
          </w:tcPr>
          <w:p w14:paraId="24E1AE3D">
            <w:pPr>
              <w:snapToGrid w:val="0"/>
              <w:spacing w:line="380" w:lineRule="exact"/>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岗位数量</w:t>
            </w:r>
          </w:p>
          <w:p w14:paraId="6C9E4767">
            <w:pPr>
              <w:snapToGrid w:val="0"/>
              <w:spacing w:line="380" w:lineRule="exact"/>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（个）</w:t>
            </w:r>
          </w:p>
        </w:tc>
        <w:tc>
          <w:tcPr>
            <w:tcW w:w="5264" w:type="dxa"/>
            <w:vAlign w:val="center"/>
          </w:tcPr>
          <w:p w14:paraId="75D5F5B9">
            <w:pPr>
              <w:snapToGrid w:val="0"/>
              <w:spacing w:line="380" w:lineRule="exact"/>
              <w:ind w:firstLine="562"/>
              <w:jc w:val="center"/>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工作内容</w:t>
            </w:r>
          </w:p>
        </w:tc>
        <w:tc>
          <w:tcPr>
            <w:tcW w:w="1253" w:type="dxa"/>
            <w:vAlign w:val="center"/>
          </w:tcPr>
          <w:p w14:paraId="5ABE9C24">
            <w:pPr>
              <w:snapToGrid w:val="0"/>
              <w:spacing w:line="380" w:lineRule="exac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人数（人）</w:t>
            </w:r>
          </w:p>
        </w:tc>
      </w:tr>
      <w:tr w14:paraId="0B71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restart"/>
            <w:vAlign w:val="center"/>
          </w:tcPr>
          <w:p w14:paraId="4ED5384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育才校区</w:t>
            </w:r>
          </w:p>
        </w:tc>
        <w:tc>
          <w:tcPr>
            <w:tcW w:w="1849" w:type="dxa"/>
            <w:vAlign w:val="center"/>
          </w:tcPr>
          <w:p w14:paraId="47119383">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主管</w:t>
            </w:r>
          </w:p>
        </w:tc>
        <w:tc>
          <w:tcPr>
            <w:tcW w:w="1849" w:type="dxa"/>
            <w:vAlign w:val="center"/>
          </w:tcPr>
          <w:p w14:paraId="255D450C">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7398622E">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负责对保安队伍的管理</w:t>
            </w:r>
          </w:p>
        </w:tc>
        <w:tc>
          <w:tcPr>
            <w:tcW w:w="1253" w:type="dxa"/>
            <w:vAlign w:val="center"/>
          </w:tcPr>
          <w:p w14:paraId="04659914">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r>
      <w:tr w14:paraId="3E1E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597706F3">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063EB3D3">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副主管</w:t>
            </w:r>
          </w:p>
        </w:tc>
        <w:tc>
          <w:tcPr>
            <w:tcW w:w="1849" w:type="dxa"/>
            <w:vAlign w:val="center"/>
          </w:tcPr>
          <w:p w14:paraId="55A63B67">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48D35F0E">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负责对保安队伍的管理</w:t>
            </w:r>
          </w:p>
        </w:tc>
        <w:tc>
          <w:tcPr>
            <w:tcW w:w="1253" w:type="dxa"/>
            <w:vAlign w:val="center"/>
          </w:tcPr>
          <w:p w14:paraId="5703CB0C">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r>
      <w:tr w14:paraId="1B28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1621D2D9">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5D155213">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班长</w:t>
            </w:r>
          </w:p>
        </w:tc>
        <w:tc>
          <w:tcPr>
            <w:tcW w:w="1849" w:type="dxa"/>
            <w:vAlign w:val="center"/>
          </w:tcPr>
          <w:p w14:paraId="52BD0183">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5D93D8B2">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负责各班各岗点保安值勤、巡视、检查，</w:t>
            </w:r>
          </w:p>
          <w:p w14:paraId="5ED1A56C">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快速处置突发事件</w:t>
            </w:r>
          </w:p>
        </w:tc>
        <w:tc>
          <w:tcPr>
            <w:tcW w:w="1253" w:type="dxa"/>
            <w:vAlign w:val="center"/>
          </w:tcPr>
          <w:p w14:paraId="2D6045B4">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w:t>
            </w:r>
          </w:p>
        </w:tc>
      </w:tr>
      <w:tr w14:paraId="67E5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01320EFB">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6D626AED">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监控室</w:t>
            </w:r>
          </w:p>
        </w:tc>
        <w:tc>
          <w:tcPr>
            <w:tcW w:w="1849" w:type="dxa"/>
            <w:vAlign w:val="center"/>
          </w:tcPr>
          <w:p w14:paraId="236C89A1">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5CEA80F3">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负责监控的监视及数据的采集、接警并处置指挥、登记和汇报</w:t>
            </w:r>
          </w:p>
        </w:tc>
        <w:tc>
          <w:tcPr>
            <w:tcW w:w="1253" w:type="dxa"/>
            <w:vAlign w:val="center"/>
          </w:tcPr>
          <w:p w14:paraId="3F760189">
            <w:pPr>
              <w:snapToGrid w:val="0"/>
              <w:spacing w:line="380" w:lineRule="exact"/>
              <w:jc w:val="center"/>
              <w:rPr>
                <w:rFonts w:asciiTheme="majorEastAsia" w:hAnsiTheme="majorEastAsia" w:eastAsiaTheme="majorEastAsia" w:cstheme="majorEastAsia"/>
                <w:color w:val="auto"/>
                <w:sz w:val="21"/>
                <w:szCs w:val="21"/>
                <w:highlight w:val="none"/>
              </w:rPr>
            </w:pPr>
          </w:p>
        </w:tc>
      </w:tr>
      <w:tr w14:paraId="5185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2" w:type="dxa"/>
            <w:vMerge w:val="continue"/>
            <w:vAlign w:val="center"/>
          </w:tcPr>
          <w:p w14:paraId="7DF6E8C2">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2CAF376E">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消防控制室</w:t>
            </w:r>
          </w:p>
        </w:tc>
        <w:tc>
          <w:tcPr>
            <w:tcW w:w="1849" w:type="dxa"/>
            <w:vAlign w:val="center"/>
          </w:tcPr>
          <w:p w14:paraId="728BAD9A">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5264" w:type="dxa"/>
            <w:vAlign w:val="center"/>
          </w:tcPr>
          <w:p w14:paraId="4EDEB820">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消防总控室值班和火警排查处置</w:t>
            </w:r>
          </w:p>
        </w:tc>
        <w:tc>
          <w:tcPr>
            <w:tcW w:w="1253" w:type="dxa"/>
            <w:vAlign w:val="center"/>
          </w:tcPr>
          <w:p w14:paraId="1A23D345">
            <w:pPr>
              <w:snapToGrid w:val="0"/>
              <w:spacing w:line="380" w:lineRule="exact"/>
              <w:jc w:val="center"/>
              <w:rPr>
                <w:rFonts w:asciiTheme="majorEastAsia" w:hAnsiTheme="majorEastAsia" w:eastAsiaTheme="majorEastAsia" w:cstheme="majorEastAsia"/>
                <w:color w:val="auto"/>
                <w:sz w:val="21"/>
                <w:szCs w:val="21"/>
                <w:highlight w:val="none"/>
              </w:rPr>
            </w:pPr>
          </w:p>
        </w:tc>
      </w:tr>
      <w:tr w14:paraId="5FFD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2" w:type="dxa"/>
            <w:vMerge w:val="continue"/>
            <w:vAlign w:val="center"/>
          </w:tcPr>
          <w:p w14:paraId="3A736157">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591B6B51">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消防巡逻</w:t>
            </w:r>
          </w:p>
        </w:tc>
        <w:tc>
          <w:tcPr>
            <w:tcW w:w="1849" w:type="dxa"/>
            <w:vAlign w:val="center"/>
          </w:tcPr>
          <w:p w14:paraId="2C604C5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7588F444">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负责楼宇的安全检查和火警排查处置</w:t>
            </w:r>
          </w:p>
        </w:tc>
        <w:tc>
          <w:tcPr>
            <w:tcW w:w="1253" w:type="dxa"/>
            <w:vAlign w:val="center"/>
          </w:tcPr>
          <w:p w14:paraId="4743F596">
            <w:pPr>
              <w:snapToGrid w:val="0"/>
              <w:spacing w:line="380" w:lineRule="exact"/>
              <w:jc w:val="center"/>
              <w:rPr>
                <w:rFonts w:asciiTheme="majorEastAsia" w:hAnsiTheme="majorEastAsia" w:eastAsiaTheme="majorEastAsia" w:cstheme="majorEastAsia"/>
                <w:color w:val="auto"/>
                <w:sz w:val="21"/>
                <w:szCs w:val="21"/>
                <w:highlight w:val="none"/>
              </w:rPr>
            </w:pPr>
          </w:p>
        </w:tc>
      </w:tr>
      <w:tr w14:paraId="6209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54DA1729">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0EE24009">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西大门</w:t>
            </w:r>
          </w:p>
        </w:tc>
        <w:tc>
          <w:tcPr>
            <w:tcW w:w="1849" w:type="dxa"/>
            <w:vAlign w:val="center"/>
          </w:tcPr>
          <w:p w14:paraId="131EABD9">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5264" w:type="dxa"/>
            <w:vAlign w:val="center"/>
          </w:tcPr>
          <w:p w14:paraId="0EC2B0B5">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0CC2ACD4">
            <w:pPr>
              <w:snapToGrid w:val="0"/>
              <w:spacing w:line="380" w:lineRule="exact"/>
              <w:jc w:val="center"/>
              <w:rPr>
                <w:rFonts w:asciiTheme="majorEastAsia" w:hAnsiTheme="majorEastAsia" w:eastAsiaTheme="majorEastAsia" w:cstheme="majorEastAsia"/>
                <w:color w:val="auto"/>
                <w:sz w:val="21"/>
                <w:szCs w:val="21"/>
                <w:highlight w:val="none"/>
              </w:rPr>
            </w:pPr>
          </w:p>
        </w:tc>
      </w:tr>
      <w:tr w14:paraId="3384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525CFFB6">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2D3C5576">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南大门</w:t>
            </w:r>
          </w:p>
        </w:tc>
        <w:tc>
          <w:tcPr>
            <w:tcW w:w="1849" w:type="dxa"/>
            <w:vAlign w:val="center"/>
          </w:tcPr>
          <w:p w14:paraId="62D96627">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w:t>
            </w:r>
          </w:p>
        </w:tc>
        <w:tc>
          <w:tcPr>
            <w:tcW w:w="5264" w:type="dxa"/>
            <w:vAlign w:val="center"/>
          </w:tcPr>
          <w:p w14:paraId="0F6BA390">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6D29AAA9">
            <w:pPr>
              <w:snapToGrid w:val="0"/>
              <w:spacing w:line="380" w:lineRule="exact"/>
              <w:jc w:val="center"/>
              <w:rPr>
                <w:rFonts w:asciiTheme="majorEastAsia" w:hAnsiTheme="majorEastAsia" w:eastAsiaTheme="majorEastAsia" w:cstheme="majorEastAsia"/>
                <w:color w:val="auto"/>
                <w:sz w:val="21"/>
                <w:szCs w:val="21"/>
                <w:highlight w:val="none"/>
              </w:rPr>
            </w:pPr>
          </w:p>
        </w:tc>
      </w:tr>
      <w:tr w14:paraId="5F8C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1A822F43">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6E0A3E3C">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小东门</w:t>
            </w:r>
          </w:p>
        </w:tc>
        <w:tc>
          <w:tcPr>
            <w:tcW w:w="1849" w:type="dxa"/>
            <w:vAlign w:val="center"/>
          </w:tcPr>
          <w:p w14:paraId="0FFD8535">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5BA55E64">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7FC2FDD6">
            <w:pPr>
              <w:snapToGrid w:val="0"/>
              <w:spacing w:line="380" w:lineRule="exact"/>
              <w:jc w:val="center"/>
              <w:rPr>
                <w:rFonts w:asciiTheme="majorEastAsia" w:hAnsiTheme="majorEastAsia" w:eastAsiaTheme="majorEastAsia" w:cstheme="majorEastAsia"/>
                <w:color w:val="auto"/>
                <w:sz w:val="21"/>
                <w:szCs w:val="21"/>
                <w:highlight w:val="none"/>
              </w:rPr>
            </w:pPr>
          </w:p>
        </w:tc>
      </w:tr>
      <w:tr w14:paraId="0119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2" w:type="dxa"/>
            <w:vMerge w:val="continue"/>
            <w:vAlign w:val="center"/>
          </w:tcPr>
          <w:p w14:paraId="4C9E353F">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4718B44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东院门</w:t>
            </w:r>
          </w:p>
        </w:tc>
        <w:tc>
          <w:tcPr>
            <w:tcW w:w="1849" w:type="dxa"/>
            <w:vAlign w:val="center"/>
          </w:tcPr>
          <w:p w14:paraId="165BC241">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055A2F82">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0CF6AF40">
            <w:pPr>
              <w:snapToGrid w:val="0"/>
              <w:spacing w:line="380" w:lineRule="exact"/>
              <w:jc w:val="center"/>
              <w:rPr>
                <w:rFonts w:asciiTheme="majorEastAsia" w:hAnsiTheme="majorEastAsia" w:eastAsiaTheme="majorEastAsia" w:cstheme="majorEastAsia"/>
                <w:color w:val="auto"/>
                <w:sz w:val="21"/>
                <w:szCs w:val="21"/>
                <w:highlight w:val="none"/>
              </w:rPr>
            </w:pPr>
          </w:p>
        </w:tc>
      </w:tr>
      <w:tr w14:paraId="60EE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058219AA">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3458922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校办岗</w:t>
            </w:r>
          </w:p>
        </w:tc>
        <w:tc>
          <w:tcPr>
            <w:tcW w:w="1849" w:type="dxa"/>
            <w:vAlign w:val="center"/>
          </w:tcPr>
          <w:p w14:paraId="03D18CAC">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561A476D">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负责来访人员登记及周边安全巡查</w:t>
            </w:r>
          </w:p>
        </w:tc>
        <w:tc>
          <w:tcPr>
            <w:tcW w:w="1253" w:type="dxa"/>
            <w:vAlign w:val="center"/>
          </w:tcPr>
          <w:p w14:paraId="38B1E480">
            <w:pPr>
              <w:snapToGrid w:val="0"/>
              <w:spacing w:line="380" w:lineRule="exact"/>
              <w:jc w:val="center"/>
              <w:rPr>
                <w:rFonts w:asciiTheme="majorEastAsia" w:hAnsiTheme="majorEastAsia" w:eastAsiaTheme="majorEastAsia" w:cstheme="majorEastAsia"/>
                <w:color w:val="auto"/>
                <w:sz w:val="21"/>
                <w:szCs w:val="21"/>
                <w:highlight w:val="none"/>
              </w:rPr>
            </w:pPr>
          </w:p>
        </w:tc>
      </w:tr>
      <w:tr w14:paraId="2277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0EAA2029">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191C4FD6">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南院大门</w:t>
            </w:r>
          </w:p>
        </w:tc>
        <w:tc>
          <w:tcPr>
            <w:tcW w:w="1849" w:type="dxa"/>
            <w:vAlign w:val="center"/>
          </w:tcPr>
          <w:p w14:paraId="09A86D22">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5264" w:type="dxa"/>
            <w:vAlign w:val="center"/>
          </w:tcPr>
          <w:p w14:paraId="002CA2D2">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53B7BED3">
            <w:pPr>
              <w:snapToGrid w:val="0"/>
              <w:spacing w:line="380" w:lineRule="exact"/>
              <w:jc w:val="center"/>
              <w:rPr>
                <w:rFonts w:asciiTheme="majorEastAsia" w:hAnsiTheme="majorEastAsia" w:eastAsiaTheme="majorEastAsia" w:cstheme="majorEastAsia"/>
                <w:color w:val="auto"/>
                <w:sz w:val="21"/>
                <w:szCs w:val="21"/>
                <w:highlight w:val="none"/>
              </w:rPr>
            </w:pPr>
          </w:p>
        </w:tc>
      </w:tr>
      <w:tr w14:paraId="523F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2" w:type="dxa"/>
            <w:vMerge w:val="continue"/>
            <w:vAlign w:val="center"/>
          </w:tcPr>
          <w:p w14:paraId="7BC61224">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2A8A17B5">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南院西</w:t>
            </w:r>
          </w:p>
        </w:tc>
        <w:tc>
          <w:tcPr>
            <w:tcW w:w="1849" w:type="dxa"/>
            <w:vAlign w:val="center"/>
          </w:tcPr>
          <w:p w14:paraId="3F432F9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280DC9F7">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414524AE">
            <w:pPr>
              <w:snapToGrid w:val="0"/>
              <w:spacing w:line="380" w:lineRule="exact"/>
              <w:jc w:val="center"/>
              <w:rPr>
                <w:rFonts w:asciiTheme="majorEastAsia" w:hAnsiTheme="majorEastAsia" w:eastAsiaTheme="majorEastAsia" w:cstheme="majorEastAsia"/>
                <w:color w:val="auto"/>
                <w:sz w:val="21"/>
                <w:szCs w:val="21"/>
                <w:highlight w:val="none"/>
              </w:rPr>
            </w:pPr>
          </w:p>
        </w:tc>
      </w:tr>
      <w:tr w14:paraId="4564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2" w:type="dxa"/>
            <w:vMerge w:val="continue"/>
            <w:vAlign w:val="center"/>
          </w:tcPr>
          <w:p w14:paraId="1C7DF671">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4BDF4AA6">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南院南</w:t>
            </w:r>
          </w:p>
        </w:tc>
        <w:tc>
          <w:tcPr>
            <w:tcW w:w="1849" w:type="dxa"/>
            <w:vAlign w:val="center"/>
          </w:tcPr>
          <w:p w14:paraId="33B232FD">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1181FC95">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6D9C3D94">
            <w:pPr>
              <w:snapToGrid w:val="0"/>
              <w:spacing w:line="380" w:lineRule="exact"/>
              <w:jc w:val="center"/>
              <w:rPr>
                <w:rFonts w:asciiTheme="majorEastAsia" w:hAnsiTheme="majorEastAsia" w:eastAsiaTheme="majorEastAsia" w:cstheme="majorEastAsia"/>
                <w:color w:val="auto"/>
                <w:sz w:val="21"/>
                <w:szCs w:val="21"/>
                <w:highlight w:val="none"/>
              </w:rPr>
            </w:pPr>
          </w:p>
        </w:tc>
      </w:tr>
      <w:tr w14:paraId="4879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037BDC45">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342D62E0">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幼儿园南园</w:t>
            </w:r>
          </w:p>
        </w:tc>
        <w:tc>
          <w:tcPr>
            <w:tcW w:w="1849" w:type="dxa"/>
            <w:vAlign w:val="center"/>
          </w:tcPr>
          <w:p w14:paraId="777D65EE">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70B4C4AC">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3DCF041A">
            <w:pPr>
              <w:snapToGrid w:val="0"/>
              <w:spacing w:line="380" w:lineRule="exact"/>
              <w:jc w:val="center"/>
              <w:rPr>
                <w:rFonts w:asciiTheme="majorEastAsia" w:hAnsiTheme="majorEastAsia" w:eastAsiaTheme="majorEastAsia" w:cstheme="majorEastAsia"/>
                <w:color w:val="auto"/>
                <w:sz w:val="21"/>
                <w:szCs w:val="21"/>
                <w:highlight w:val="none"/>
              </w:rPr>
            </w:pPr>
          </w:p>
        </w:tc>
      </w:tr>
      <w:tr w14:paraId="213E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2" w:type="dxa"/>
            <w:vMerge w:val="continue"/>
            <w:vAlign w:val="center"/>
          </w:tcPr>
          <w:p w14:paraId="0A9CE3F6">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4C0CDF4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巡逻岗校区</w:t>
            </w:r>
          </w:p>
        </w:tc>
        <w:tc>
          <w:tcPr>
            <w:tcW w:w="1849" w:type="dxa"/>
            <w:vAlign w:val="center"/>
          </w:tcPr>
          <w:p w14:paraId="21DCBEF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w:t>
            </w:r>
          </w:p>
        </w:tc>
        <w:tc>
          <w:tcPr>
            <w:tcW w:w="5264" w:type="dxa"/>
            <w:vAlign w:val="center"/>
          </w:tcPr>
          <w:p w14:paraId="7397FEDC">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负责整个校区的安全巡查</w:t>
            </w:r>
          </w:p>
        </w:tc>
        <w:tc>
          <w:tcPr>
            <w:tcW w:w="1253" w:type="dxa"/>
            <w:vAlign w:val="center"/>
          </w:tcPr>
          <w:p w14:paraId="2DED47FF">
            <w:pPr>
              <w:snapToGrid w:val="0"/>
              <w:spacing w:line="380" w:lineRule="exact"/>
              <w:jc w:val="center"/>
              <w:rPr>
                <w:rFonts w:asciiTheme="majorEastAsia" w:hAnsiTheme="majorEastAsia" w:eastAsiaTheme="majorEastAsia" w:cstheme="majorEastAsia"/>
                <w:color w:val="auto"/>
                <w:sz w:val="21"/>
                <w:szCs w:val="21"/>
                <w:highlight w:val="none"/>
              </w:rPr>
            </w:pPr>
          </w:p>
        </w:tc>
      </w:tr>
      <w:tr w14:paraId="62AE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32AF5613">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141FC4E1">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巡逻岗南院</w:t>
            </w:r>
          </w:p>
        </w:tc>
        <w:tc>
          <w:tcPr>
            <w:tcW w:w="1849" w:type="dxa"/>
            <w:vAlign w:val="center"/>
          </w:tcPr>
          <w:p w14:paraId="1F69FF0A">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5264" w:type="dxa"/>
            <w:vAlign w:val="center"/>
          </w:tcPr>
          <w:p w14:paraId="2D28652D">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负责南院内外、主干道</w:t>
            </w:r>
          </w:p>
        </w:tc>
        <w:tc>
          <w:tcPr>
            <w:tcW w:w="1253" w:type="dxa"/>
            <w:vAlign w:val="center"/>
          </w:tcPr>
          <w:p w14:paraId="1D38FCFE">
            <w:pPr>
              <w:snapToGrid w:val="0"/>
              <w:spacing w:line="380" w:lineRule="exact"/>
              <w:jc w:val="center"/>
              <w:rPr>
                <w:rFonts w:asciiTheme="majorEastAsia" w:hAnsiTheme="majorEastAsia" w:eastAsiaTheme="majorEastAsia" w:cstheme="majorEastAsia"/>
                <w:color w:val="auto"/>
                <w:sz w:val="21"/>
                <w:szCs w:val="21"/>
                <w:highlight w:val="none"/>
              </w:rPr>
            </w:pPr>
          </w:p>
        </w:tc>
      </w:tr>
      <w:tr w14:paraId="499E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restart"/>
            <w:vAlign w:val="center"/>
          </w:tcPr>
          <w:p w14:paraId="7A11B1C0">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王城校区</w:t>
            </w:r>
          </w:p>
        </w:tc>
        <w:tc>
          <w:tcPr>
            <w:tcW w:w="1849" w:type="dxa"/>
            <w:vAlign w:val="center"/>
          </w:tcPr>
          <w:p w14:paraId="3F0F415F">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主管</w:t>
            </w:r>
          </w:p>
        </w:tc>
        <w:tc>
          <w:tcPr>
            <w:tcW w:w="1849" w:type="dxa"/>
            <w:vAlign w:val="center"/>
          </w:tcPr>
          <w:p w14:paraId="40B58731">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09A217F0">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负责对保安队伍的管理</w:t>
            </w:r>
          </w:p>
        </w:tc>
        <w:tc>
          <w:tcPr>
            <w:tcW w:w="1253" w:type="dxa"/>
            <w:vAlign w:val="center"/>
          </w:tcPr>
          <w:p w14:paraId="447A7A3E">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r>
      <w:tr w14:paraId="0576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62A167CD">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5DF351DB">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班长</w:t>
            </w:r>
          </w:p>
        </w:tc>
        <w:tc>
          <w:tcPr>
            <w:tcW w:w="1849" w:type="dxa"/>
            <w:vAlign w:val="center"/>
          </w:tcPr>
          <w:p w14:paraId="76A8090F">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65A62D4F">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负责各班各岗点保安值勤、巡视、检查，</w:t>
            </w:r>
          </w:p>
          <w:p w14:paraId="0767E5F9">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快速处置突发事件</w:t>
            </w:r>
          </w:p>
        </w:tc>
        <w:tc>
          <w:tcPr>
            <w:tcW w:w="1253" w:type="dxa"/>
            <w:vAlign w:val="center"/>
          </w:tcPr>
          <w:p w14:paraId="3319299A">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w:t>
            </w:r>
          </w:p>
        </w:tc>
      </w:tr>
      <w:tr w14:paraId="2F88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4A860EB1">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3F9D3ABA">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监控室</w:t>
            </w:r>
          </w:p>
        </w:tc>
        <w:tc>
          <w:tcPr>
            <w:tcW w:w="1849" w:type="dxa"/>
            <w:vAlign w:val="center"/>
          </w:tcPr>
          <w:p w14:paraId="1F4C9FDB">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083182BE">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负责监控的监视及数据的采集、接警并处置指挥、登记和汇报</w:t>
            </w:r>
          </w:p>
        </w:tc>
        <w:tc>
          <w:tcPr>
            <w:tcW w:w="1253" w:type="dxa"/>
            <w:vAlign w:val="center"/>
          </w:tcPr>
          <w:p w14:paraId="3378CD52">
            <w:pPr>
              <w:snapToGrid w:val="0"/>
              <w:spacing w:line="380" w:lineRule="exact"/>
              <w:jc w:val="center"/>
              <w:rPr>
                <w:rFonts w:asciiTheme="majorEastAsia" w:hAnsiTheme="majorEastAsia" w:eastAsiaTheme="majorEastAsia" w:cstheme="majorEastAsia"/>
                <w:color w:val="auto"/>
                <w:sz w:val="21"/>
                <w:szCs w:val="21"/>
                <w:highlight w:val="none"/>
              </w:rPr>
            </w:pPr>
          </w:p>
        </w:tc>
      </w:tr>
      <w:tr w14:paraId="4F32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0237631A">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226F7009">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前门门岗</w:t>
            </w:r>
          </w:p>
        </w:tc>
        <w:tc>
          <w:tcPr>
            <w:tcW w:w="1849" w:type="dxa"/>
            <w:vAlign w:val="center"/>
          </w:tcPr>
          <w:p w14:paraId="4FED2B87">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07021106">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78B42035">
            <w:pPr>
              <w:snapToGrid w:val="0"/>
              <w:spacing w:line="380" w:lineRule="exact"/>
              <w:jc w:val="center"/>
              <w:rPr>
                <w:rFonts w:asciiTheme="majorEastAsia" w:hAnsiTheme="majorEastAsia" w:eastAsiaTheme="majorEastAsia" w:cstheme="majorEastAsia"/>
                <w:color w:val="auto"/>
                <w:sz w:val="21"/>
                <w:szCs w:val="21"/>
                <w:highlight w:val="none"/>
              </w:rPr>
            </w:pPr>
          </w:p>
        </w:tc>
      </w:tr>
      <w:tr w14:paraId="5217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24557C47">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55966D64">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后门门岗</w:t>
            </w:r>
          </w:p>
        </w:tc>
        <w:tc>
          <w:tcPr>
            <w:tcW w:w="1849" w:type="dxa"/>
            <w:vAlign w:val="center"/>
          </w:tcPr>
          <w:p w14:paraId="5F35235D">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6B9939CC">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0E90378D">
            <w:pPr>
              <w:snapToGrid w:val="0"/>
              <w:spacing w:line="380" w:lineRule="exact"/>
              <w:jc w:val="center"/>
              <w:rPr>
                <w:rFonts w:asciiTheme="majorEastAsia" w:hAnsiTheme="majorEastAsia" w:eastAsiaTheme="majorEastAsia" w:cstheme="majorEastAsia"/>
                <w:color w:val="auto"/>
                <w:sz w:val="21"/>
                <w:szCs w:val="21"/>
                <w:highlight w:val="none"/>
              </w:rPr>
            </w:pPr>
          </w:p>
        </w:tc>
      </w:tr>
      <w:tr w14:paraId="155B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7D753C5A">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509460A6">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1号门岗</w:t>
            </w:r>
          </w:p>
        </w:tc>
        <w:tc>
          <w:tcPr>
            <w:tcW w:w="1849" w:type="dxa"/>
            <w:vAlign w:val="center"/>
          </w:tcPr>
          <w:p w14:paraId="5A900CC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02557A23">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2E9BEDF0">
            <w:pPr>
              <w:snapToGrid w:val="0"/>
              <w:spacing w:line="380" w:lineRule="exact"/>
              <w:jc w:val="center"/>
              <w:rPr>
                <w:rFonts w:asciiTheme="majorEastAsia" w:hAnsiTheme="majorEastAsia" w:eastAsiaTheme="majorEastAsia" w:cstheme="majorEastAsia"/>
                <w:color w:val="auto"/>
                <w:sz w:val="21"/>
                <w:szCs w:val="21"/>
                <w:highlight w:val="none"/>
              </w:rPr>
            </w:pPr>
          </w:p>
        </w:tc>
      </w:tr>
      <w:tr w14:paraId="7BDA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1648B823">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5FE30EF7">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3号门岗</w:t>
            </w:r>
          </w:p>
        </w:tc>
        <w:tc>
          <w:tcPr>
            <w:tcW w:w="1849" w:type="dxa"/>
            <w:vAlign w:val="center"/>
          </w:tcPr>
          <w:p w14:paraId="246AEF23">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223DCAC1">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3ADD9DF3">
            <w:pPr>
              <w:snapToGrid w:val="0"/>
              <w:spacing w:line="380" w:lineRule="exact"/>
              <w:jc w:val="center"/>
              <w:rPr>
                <w:rFonts w:asciiTheme="majorEastAsia" w:hAnsiTheme="majorEastAsia" w:eastAsiaTheme="majorEastAsia" w:cstheme="majorEastAsia"/>
                <w:color w:val="auto"/>
                <w:sz w:val="21"/>
                <w:szCs w:val="21"/>
                <w:highlight w:val="none"/>
              </w:rPr>
            </w:pPr>
          </w:p>
        </w:tc>
      </w:tr>
      <w:tr w14:paraId="1E80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2" w:type="dxa"/>
            <w:vMerge w:val="continue"/>
            <w:vAlign w:val="center"/>
          </w:tcPr>
          <w:p w14:paraId="2E79FBCF">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5B8CD36E">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东区门岗</w:t>
            </w:r>
          </w:p>
        </w:tc>
        <w:tc>
          <w:tcPr>
            <w:tcW w:w="1849" w:type="dxa"/>
            <w:vAlign w:val="center"/>
          </w:tcPr>
          <w:p w14:paraId="67B23F05">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05FE2067">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0DE01729">
            <w:pPr>
              <w:snapToGrid w:val="0"/>
              <w:spacing w:line="380" w:lineRule="exact"/>
              <w:jc w:val="center"/>
              <w:rPr>
                <w:rFonts w:asciiTheme="majorEastAsia" w:hAnsiTheme="majorEastAsia" w:eastAsiaTheme="majorEastAsia" w:cstheme="majorEastAsia"/>
                <w:color w:val="auto"/>
                <w:sz w:val="21"/>
                <w:szCs w:val="21"/>
                <w:highlight w:val="none"/>
              </w:rPr>
            </w:pPr>
          </w:p>
        </w:tc>
      </w:tr>
      <w:tr w14:paraId="166B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3DBD4047">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4D74A7C1">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南区门岗</w:t>
            </w:r>
          </w:p>
        </w:tc>
        <w:tc>
          <w:tcPr>
            <w:tcW w:w="1849" w:type="dxa"/>
            <w:vAlign w:val="center"/>
          </w:tcPr>
          <w:p w14:paraId="298597B2">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5264" w:type="dxa"/>
            <w:vAlign w:val="center"/>
          </w:tcPr>
          <w:p w14:paraId="6EDF4289">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负责来访人员登记和车辆进出收费、大件物品检查</w:t>
            </w:r>
          </w:p>
        </w:tc>
        <w:tc>
          <w:tcPr>
            <w:tcW w:w="1253" w:type="dxa"/>
            <w:vAlign w:val="center"/>
          </w:tcPr>
          <w:p w14:paraId="4C927275">
            <w:pPr>
              <w:snapToGrid w:val="0"/>
              <w:spacing w:line="380" w:lineRule="exact"/>
              <w:jc w:val="center"/>
              <w:rPr>
                <w:rFonts w:asciiTheme="majorEastAsia" w:hAnsiTheme="majorEastAsia" w:eastAsiaTheme="majorEastAsia" w:cstheme="majorEastAsia"/>
                <w:color w:val="auto"/>
                <w:sz w:val="21"/>
                <w:szCs w:val="21"/>
                <w:highlight w:val="none"/>
              </w:rPr>
            </w:pPr>
          </w:p>
        </w:tc>
      </w:tr>
      <w:tr w14:paraId="3EA8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Merge w:val="continue"/>
            <w:vAlign w:val="center"/>
          </w:tcPr>
          <w:p w14:paraId="430ABE47">
            <w:pPr>
              <w:snapToGrid w:val="0"/>
              <w:spacing w:line="380" w:lineRule="exact"/>
              <w:jc w:val="center"/>
              <w:rPr>
                <w:rFonts w:asciiTheme="majorEastAsia" w:hAnsiTheme="majorEastAsia" w:eastAsiaTheme="majorEastAsia" w:cstheme="majorEastAsia"/>
                <w:color w:val="auto"/>
                <w:sz w:val="21"/>
                <w:szCs w:val="21"/>
                <w:highlight w:val="none"/>
              </w:rPr>
            </w:pPr>
          </w:p>
        </w:tc>
        <w:tc>
          <w:tcPr>
            <w:tcW w:w="1849" w:type="dxa"/>
            <w:vAlign w:val="center"/>
          </w:tcPr>
          <w:p w14:paraId="5716539B">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校园机动执勤</w:t>
            </w:r>
          </w:p>
        </w:tc>
        <w:tc>
          <w:tcPr>
            <w:tcW w:w="1849" w:type="dxa"/>
            <w:vAlign w:val="center"/>
          </w:tcPr>
          <w:p w14:paraId="7A1CD328">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w:t>
            </w:r>
          </w:p>
        </w:tc>
        <w:tc>
          <w:tcPr>
            <w:tcW w:w="5264" w:type="dxa"/>
            <w:vAlign w:val="center"/>
          </w:tcPr>
          <w:p w14:paraId="1776049B">
            <w:pPr>
              <w:snapToGrid w:val="0"/>
              <w:spacing w:line="380" w:lineRule="exact"/>
              <w:jc w:val="center"/>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负责整个校区的安全巡查</w:t>
            </w:r>
          </w:p>
        </w:tc>
        <w:tc>
          <w:tcPr>
            <w:tcW w:w="1253" w:type="dxa"/>
            <w:vAlign w:val="center"/>
          </w:tcPr>
          <w:p w14:paraId="5D07142C">
            <w:pPr>
              <w:snapToGrid w:val="0"/>
              <w:spacing w:line="380" w:lineRule="exact"/>
              <w:jc w:val="center"/>
              <w:rPr>
                <w:rFonts w:asciiTheme="majorEastAsia" w:hAnsiTheme="majorEastAsia" w:eastAsiaTheme="majorEastAsia" w:cstheme="majorEastAsia"/>
                <w:color w:val="auto"/>
                <w:sz w:val="21"/>
                <w:szCs w:val="21"/>
                <w:highlight w:val="none"/>
              </w:rPr>
            </w:pPr>
          </w:p>
        </w:tc>
      </w:tr>
    </w:tbl>
    <w:p w14:paraId="360B67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（五）服务要求</w:t>
      </w:r>
    </w:p>
    <w:p w14:paraId="1E2DFF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门卫管理：学校大门的24小时门卫管理，严格执行人员、车辆、物资进出管理；按时立岗，礼貌待人，树立良好的窗口形象；对来访人员实行验证登记制度，禁止闲杂人员混入校园；对携物出门实行出门验证审核制度，防止财务流失；维护责任区域秩序，与各岗位互通信息；值班室无闲杂人员滞留，保持内外环境整洁卫生，防止携带宠物进校园，门前卫生三包。</w:t>
      </w:r>
    </w:p>
    <w:p w14:paraId="7D75F5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2.负责教学区整体的交通安全管理，保障各类车辆（含自行车）有序停放及安全，确保校园交通安全畅顺，管理交通安全设施设备。校外电瓶车、未预约校外机动车未经允许不得进入校园。</w:t>
      </w:r>
    </w:p>
    <w:p w14:paraId="6F2547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区域守护（楼宇）：做好各楼宇的24小时安全值守和巡查，来人来访的通报、证件检查、物品出入查验登记工作；每天夜间、节假日全天的定时清场；熟悉守护区域的情况特点，定点守卫与区域巡查相结合；掌握消防栓、灭火器等安全设施的位置、性能和使用方法；及时处置突发事件，维护责任区域公共秩序，协助各岗位开展校园交通秩序管理；发现可疑人员主动盘问，发现违规行为，大胆管理，主动干预，发现异常及安全隐患排查，立即采取措施并报告，制止暴力事件，有效处置各种违法犯罪行为；保持岗位卫生整洁，无闲杂人员滞留。</w:t>
      </w:r>
    </w:p>
    <w:p w14:paraId="7DBCD0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治安巡逻：发现和排除各种不安全因素，及时处置各种违法犯罪行为；善于发现、分析处理各种事故隐患和突发事件；配置巡逻车辆，根据不同情况，灵活执行相应的巡逻方案；加强对重点区域、要害部位的安全巡查，巡查踩点不流于形式，并与监控中心保持联动；协助各岗位开展校园秩序维护和交通秩序管理工作；协助楼宇管理人员及责任部门开展安全防范，负责学校教工生活区楼宇的夜间巡逻，校园公共部位安全隐患检查、排除及上报；建筑施工期间，做好施工区域保卫工作，禁止师生通行；如实记录汇报巡逻记录，每日巡逻频次不低于4次，发现安全隐患或突发情况及时处理并汇报。</w:t>
      </w:r>
    </w:p>
    <w:p w14:paraId="24A44E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5.如突发公共卫生事件，严格执行学校要求，做好防控管理工作； 保持校门及周边公共卫生，做好门岗门前卫生三包工作。</w:t>
      </w:r>
    </w:p>
    <w:p w14:paraId="63A2FC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6.消防管理</w:t>
      </w:r>
    </w:p>
    <w:p w14:paraId="4A1634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（1）建立完善的消防管理台账、制度并严格执行。</w:t>
      </w:r>
    </w:p>
    <w:p w14:paraId="4DC6AE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（2）保证配备的人员熟练掌握防火、灭火知识和消防器材使用方法。</w:t>
      </w:r>
    </w:p>
    <w:p w14:paraId="6DA894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（3）做好消防监控工作，对一般火情火险能及时发现报警，及时扑灭。</w:t>
      </w:r>
    </w:p>
    <w:p w14:paraId="2B2F97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（4）做好日常消防的宣传和防范工作，及时发现并消除消防隐患。</w:t>
      </w:r>
    </w:p>
    <w:p w14:paraId="766131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（5）按照委托人安全防火工作的需要，按行业标准做好消防系统、设备、器材的使用和日常保养工作，保证系统、设备和器材的完好，系统24小时正常运行。</w:t>
      </w:r>
    </w:p>
    <w:p w14:paraId="6286DB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以上岗位需要做好相关登记及存档工作。</w:t>
      </w:r>
    </w:p>
    <w:p w14:paraId="41F935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7.树立“服务第一，师生至上”的管理理念，加强与甲方的沟通交流，服从甲方的管理，切实维护学校与师生的人身和财产安全。</w:t>
      </w:r>
    </w:p>
    <w:p w14:paraId="7B6821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8.坚持原则、缜密严谨；以人为本、主动热情服务；处理问题有理有节、及时到位，严禁与师生发生冲突。</w:t>
      </w:r>
    </w:p>
    <w:p w14:paraId="3B8D20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9.上岗人员仪表整洁，业务操作规范，礼貌待人，保持岗位卫生整洁。</w:t>
      </w:r>
    </w:p>
    <w:p w14:paraId="7D3EC5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10.依法办事，文明执勤，不与师生发生争吵，杜绝保安与师生发生冲突，禁止保安出手伤及师生人身安全。</w:t>
      </w:r>
    </w:p>
    <w:p w14:paraId="6EC262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11.师生有求必应，有险情必出。</w:t>
      </w:r>
    </w:p>
    <w:p w14:paraId="5391BD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12.依法办事，文明执勤，严格管理，及时发现校园安全隐患，及时处理突发安全事故，具备应急救护能力，保障学校财产和师生人身不受侵害，维护正常的教育教学、生活秩序。</w:t>
      </w:r>
    </w:p>
    <w:p w14:paraId="3E0137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乙方应认真理解学校安保服务的教育属性，熟悉校园管理的特点，做好保安队员服务意识培训，根据校园内的不同服务对象，提供切实可行的校园安保服务，完善专项管理制度，乙方必须于每季度到甲方实际管理部门接洽安保管理工作至少一次。</w:t>
      </w:r>
    </w:p>
    <w:p w14:paraId="306D79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（六）队伍建设与管理要求</w:t>
      </w:r>
    </w:p>
    <w:p w14:paraId="0BFD28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1.乙方负责提供进驻保安人员值勤所需的保安服装、对讲机、武装带、警械、手电、雨具、常用办公用品及耗材等。</w:t>
      </w:r>
    </w:p>
    <w:p w14:paraId="49A559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2.保安人员（包括管理人员）上岗必须统一着装（着保安服，系武装带，配警棍、对讲机，夜间配手电筒），坚守岗位，履行职责，文明执勤。</w:t>
      </w:r>
    </w:p>
    <w:p w14:paraId="704173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3.从学校安全实际出发，每月开展1—2次在岗人员业务技能培训和应急预案演练。</w:t>
      </w:r>
    </w:p>
    <w:p w14:paraId="5C4553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4.内部管理体制健全，保证日常保安队伍的规范化管理。保安人员要遵守并严格执行甲方制定的有关规章制度，接受甲方的统一管理，维护甲方的利益。</w:t>
      </w:r>
    </w:p>
    <w:p w14:paraId="59D4BE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5.乙方具备相关信息化管理能力，通过信息化管理提高学校整体工作效能、服务质量和管理水平。</w:t>
      </w:r>
    </w:p>
    <w:p w14:paraId="4998F6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6.乙方必须采取切实有效措施保持保安队伍的稳定；保安队伍管理人员更换，应提前一个月以书面形式通知甲方，其他队员更换要提前三天告知甲方，确保服务质量不因人员变动而受影响。</w:t>
      </w:r>
    </w:p>
    <w:p w14:paraId="34E254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甲方有权随时对保安人员工作情况进行检查，有权对违规或不称职保安人员提出处罚、调换或辞退要求，甲方应在三天内予以相应处理；如保安人员违反甲方管理规定，乙方必须接受甲方根据双方认可的管理与考核制度进行的处罚（包括提前解约）。</w:t>
      </w:r>
    </w:p>
    <w:p w14:paraId="13C8F4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8.保安应聘、录用、离职等管理档案规范，手续齐全，相应资料必须报甲方备案。</w:t>
      </w:r>
    </w:p>
    <w:p w14:paraId="5A200C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9.加强对保安人员业务的管理，确保保安队员遵纪守法，在校园内无违规违法事件发生。</w:t>
      </w:r>
    </w:p>
    <w:p w14:paraId="4721DC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（七）保安人员职责及突发事件处置要求</w:t>
      </w:r>
    </w:p>
    <w:p w14:paraId="68B643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1.遵守乙方及甲方的各项规章制度，不迟到、不早退、不脱岗、不睡岗、不酒后上岗，不做与工作无关的事，听从指挥，服从调度。</w:t>
      </w:r>
    </w:p>
    <w:p w14:paraId="68498F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2.上岗执勤时，应着装整齐、配带好防护器材，保持高度警戒。</w:t>
      </w:r>
    </w:p>
    <w:p w14:paraId="5E4104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3.当发现校内有争吵、大声喧哗的人员时，应立即上前了解情况，委婉劝说并及时制止。</w:t>
      </w:r>
    </w:p>
    <w:p w14:paraId="444046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4.当发现有人恶意敲击或损坏校内的物品时，应立即上前阻止并及时上报。</w:t>
      </w:r>
    </w:p>
    <w:p w14:paraId="22D8AE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5.当校内出现打架、斗殴事件时，应积极果断进行劝阻，防止事态进一步扩大，同时,立即报告管理人员,视情况拨打“110”报警。</w:t>
      </w:r>
    </w:p>
    <w:p w14:paraId="283370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负责学校举办重大活动（如招生、迎新、开学典礼、军训、毕业典礼等校级以上活动）的秩序保障、安全警戒和防恐防暴工作，配合做好节假日及敏感时期的安全保障工作。对校园内核心区/重点部位做重点安全保障服务，同时对其他区域做合理安全保障服务。</w:t>
      </w:r>
    </w:p>
    <w:p w14:paraId="15C079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7.积极主动配合甲方教育教学活动，协助甲方处理与校园周边村委关系，为甲方特殊时期（如重大活动、节假日、与相关部门联动演习等）提供安全保障服务。</w:t>
      </w:r>
    </w:p>
    <w:p w14:paraId="3308C9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做好消防安全工作，熟悉校园内消防设施、设备的数量、位置等情况，每日检查火灾报警控制器的自检、消音、复位功能以及主备电源切换功能、消防联动控制器的运行状况，掌握和了解消防设施的运行、误报警、故障等有关情况，发现消防隐患及时报告，发现火情做好报警报告、疏散人员、现场管控等工作。熟练掌握《火灾事故应急处置程序》，火灾情况下能够按照程序开展灭火救援工作。</w:t>
      </w:r>
    </w:p>
    <w:p w14:paraId="1FC080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校内如果发生自然灾害、地震、火灾、水灾、交通事故、治安事件、反恐防暴等突发事件时，应立即组织人员疏散，防止事态扩大及次生灾害发生，同时报告管理人员和拨打“110”报警；掌握基本应急救援及救护知识，发现有人受伤时，安排应急救援人员做好应急救援工作，同时立即拨打“120”急救电话。发生火灾时应立即向管理人员报告并采取措施控制火情，同时拨打“119”火警电话报警。</w:t>
      </w:r>
    </w:p>
    <w:p w14:paraId="489F26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10.当在校内发现从事违法活动犯罪嫌疑人时，应立即予以制止并通知其它岗位队员齐力抓获犯罪嫌疑人并移交甲方；不能控制的，应记住嫌疑人的主要体貌特征和逃跑方向，立即报警并协助警方破案。</w:t>
      </w:r>
    </w:p>
    <w:p w14:paraId="4DF1BF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当校内发生暴恐、抢劫等恶性案件时，应立即使用警用器械予以制止，确保受害人和自身的人身安全，并记住犯罪嫌疑人的主要体貌特征和所持凶器、逃跑方向，迅速报警；有人受伤时，应立即拔打“120”急救。</w:t>
      </w:r>
    </w:p>
    <w:p w14:paraId="425E34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12.各类突发事件及处置情况及时向管理人员汇报并及时总结经验教训。</w:t>
      </w:r>
    </w:p>
    <w:p w14:paraId="2551CC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（八）保安人员的招聘与录用条件</w:t>
      </w:r>
    </w:p>
    <w:p w14:paraId="270B03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1.保安人员的招聘工作由乙方负责；录用条件为无犯罪记录且满足《保安服务管理条例》等相关法律法规规定的保安人员的任职资格和合法手续。</w:t>
      </w:r>
    </w:p>
    <w:p w14:paraId="6774B3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向甲方派遣的保安人员必须遵守法纪，无违法记录，身体健康（中标后向甲方出具所派遣人员的《健康证》），接受过正规专业训练（持《保安上岗证》）且身高不低于1.65米，年龄在20—55岁之间（45-55岁之间队员人数不能超过总队员人数的30%），初中以上（含初中）学历。</w:t>
      </w:r>
    </w:p>
    <w:p w14:paraId="5072FC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保安主管：年龄50岁以下，身体健康，大专及以上文化程度，具有国家行政机关颁发的二级保安员证书，并且有1年及以上校园管理的工作经验，熟悉安保管理法规，政治素质好，作风正派，管理能力强，有开拓创新精神。</w:t>
      </w:r>
    </w:p>
    <w:p w14:paraId="4A4650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保安班长：年龄40岁以下；政治素质好，大专及以上文化程度，具有国家行政机关颁发的三级及以上保安员证书，身体健康，反应灵敏，形象较好，具有一定的管理能力，接受过专业保安管理训练，能带领队员较好完成工作任务。</w:t>
      </w:r>
    </w:p>
    <w:p w14:paraId="5A750C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视频监控岗位：年龄在20—40岁之间，身高在1.55米以上，政治素质好，高中以上学历，计算机专业或熟悉计算机操作。</w:t>
      </w:r>
    </w:p>
    <w:p w14:paraId="35AE7C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消防控制室岗位：反应灵敏，政治素质好，高中以上学历，计算机专业或熟悉计算机操作，须持消防部门要求证件上岗。</w:t>
      </w:r>
    </w:p>
    <w:p w14:paraId="47418C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3.派驻的保安员必须经过岗前培训并取得保安员证（所有证件建档备查）。</w:t>
      </w:r>
    </w:p>
    <w:p w14:paraId="2F1188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4.派驻人员需经甲方审核通过后方可派遣到甲方校内进行保安服务。</w:t>
      </w:r>
    </w:p>
    <w:p w14:paraId="6E2FBD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乙方负责对派驻保安员的思想教育、劳动纪律和技能培训等日常管理工作。派驻人员在甲方工作区域内的失职、违法犯罪和本人责任的安全事故等行为及后果，给甲方造成损失及人身伤害的，由乙方负责，涉嫌犯罪人员移交公安机关处理。</w:t>
      </w:r>
    </w:p>
    <w:p w14:paraId="2C64AF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6.乙方负责与派驻保安员签订劳动合同，建立劳动关系，为其办理相关保险以及按时支付服务人员劳动报酬，发放劳保等用品。</w:t>
      </w:r>
    </w:p>
    <w:p w14:paraId="3F6D25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7.派驻保安员中有8名以上持有消防设施操作员证（或建（构）筑物消防员证）（所有证件建档备查）。</w:t>
      </w:r>
    </w:p>
    <w:p w14:paraId="220E8F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8.派驻保安员至少有10%是复退军人。</w:t>
      </w:r>
    </w:p>
    <w:p w14:paraId="24F818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9.派驻的保安员应穿着制服，佩戴《上岗证》，文明执勤、依法执勤、礼貌待人。</w:t>
      </w:r>
    </w:p>
    <w:p w14:paraId="4B4D89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10.派驻的保安员应当接受甲方的管理和指挥，完成临时交办的相关工作。</w:t>
      </w:r>
    </w:p>
    <w:p w14:paraId="5D6F79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11.保安员按照规定，有权坚持原则，履行职责，以维护甲方合法利益。如保安员按照要求在执勤中遇到违规问题的，有权进行制止，做好记录或通报甲方，甲方应给予支持配合，并积极协助妥善处理。</w:t>
      </w:r>
    </w:p>
    <w:p w14:paraId="39375F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甲方的各项规章制度，乙方需遵照执行并组织保安人员学习，乙方需遵照执行并组织保安人员学习，保安人员上岗前应确保理解到位；所派保安人员有损毁、侵占甲方公私财物行为的，必须无条件赔偿全部损失并清退相关责任人，涉嫌犯罪的移交公安机关处理。</w:t>
      </w:r>
    </w:p>
    <w:p w14:paraId="2E5047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13.建立服务管理档案并负责及时记载有关变更情况。</w:t>
      </w:r>
    </w:p>
    <w:p w14:paraId="4C20FB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（九）承担风险</w:t>
      </w:r>
    </w:p>
    <w:p w14:paraId="2545BE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1.甲方将对乙方服务质量进行全过程监控，乙方日常工作不到位、不达标或有违约现象，将依据合同约定，作出相应的违约处理与处罚。</w:t>
      </w:r>
    </w:p>
    <w:p w14:paraId="1D93E4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2.保安人员在岗履行工作职责期间，发生的自身意外伤害、死亡事故，均由乙方负责处理并承担法律和道义上的责任，甲方不承担任何责任。</w:t>
      </w:r>
    </w:p>
    <w:p w14:paraId="2B66DD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3.乙方违反国家相关法规，与聘用人员发生纠纷，均由乙方负责调解与处理，甲方不承担责任。</w:t>
      </w:r>
    </w:p>
    <w:p w14:paraId="42BD70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4.乙方在保安服务中违反国家相关法规或保安行业规范，因过失造成他人人身伤亡的，均由乙方负责处理并承担法律和道义上的责任，甲方不承担任何责任</w:t>
      </w:r>
    </w:p>
    <w:p w14:paraId="09DCF4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（十）服务期限及标准</w:t>
      </w:r>
    </w:p>
    <w:p w14:paraId="6D1223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服务期限：2026年1月1日至2027年12月31日。</w:t>
      </w:r>
    </w:p>
    <w:p w14:paraId="3239F2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服务标准：符合国家相关法规、保安行业规范和甲方规定要求。实行定期考核，每季度作为一个考核期，达不到学校要求即刻解约。</w:t>
      </w:r>
    </w:p>
    <w:p w14:paraId="66DBFF6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第六条、售后服务</w:t>
      </w:r>
    </w:p>
    <w:p w14:paraId="0E870D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1、乙方应按照国家有关法律法规和“三包”规定以及招投标文件和本合同所附的《服务承诺》，为甲方提供售后服务。</w:t>
      </w:r>
    </w:p>
    <w:p w14:paraId="51AF9F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2、乙方提供的服务承诺和售后服务责任等其它具体约定事项。</w:t>
      </w:r>
    </w:p>
    <w:p w14:paraId="17C379E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第七条、付款方式</w:t>
      </w:r>
    </w:p>
    <w:p w14:paraId="7914C6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1.资金性质：   财政性资金      。</w:t>
      </w:r>
    </w:p>
    <w:p w14:paraId="636276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2.付款方式：</w:t>
      </w:r>
      <w:r>
        <w:rPr>
          <w:rFonts w:hint="eastAsia" w:asciiTheme="majorEastAsia" w:hAnsiTheme="majorEastAsia" w:eastAsiaTheme="majorEastAsia" w:cstheme="majorEastAsia"/>
          <w:color w:val="auto"/>
          <w:szCs w:val="21"/>
          <w:highlight w:val="none"/>
          <w:lang w:bidi="en-US"/>
        </w:rPr>
        <w:t>合同期内，乙方每月5号前交上月发票，甲方于每月10日前（如遇节假日顺延至第一个工作日）为乙方办理上月服务费支付手续，甲方提供服务不足一个月时按日计算。</w:t>
      </w:r>
    </w:p>
    <w:p w14:paraId="423D99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3.合同期内，如广西壮族自治区人民政府对全区最低工资标准进行调整，甲方将按广西壮族自治区文件要求对中标单价进行相应调整。</w:t>
      </w:r>
    </w:p>
    <w:p w14:paraId="152BE5A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第八条、履约保证金</w:t>
      </w:r>
    </w:p>
    <w:p w14:paraId="09F49D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1.履约保证金金额：</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中标金额的5%</w:t>
      </w:r>
      <w:r>
        <w:rPr>
          <w:rFonts w:hint="eastAsia" w:ascii="宋体" w:hAnsi="宋体" w:cs="宋体"/>
          <w:color w:val="auto"/>
          <w:szCs w:val="21"/>
          <w:highlight w:val="none"/>
        </w:rPr>
        <w:t>（若中标供应商为</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小微企业的，则</w:t>
      </w:r>
      <w:r>
        <w:rPr>
          <w:rFonts w:hint="eastAsia" w:ascii="宋体" w:hAnsi="宋体" w:cs="宋体"/>
          <w:color w:val="auto"/>
          <w:szCs w:val="21"/>
          <w:highlight w:val="none"/>
          <w:lang w:val="en-US" w:eastAsia="zh-CN"/>
        </w:rPr>
        <w:t>按中标金额的2%</w:t>
      </w:r>
      <w:r>
        <w:rPr>
          <w:rFonts w:hint="eastAsia" w:ascii="宋体" w:hAnsi="宋体" w:cs="宋体"/>
          <w:color w:val="auto"/>
          <w:szCs w:val="21"/>
          <w:highlight w:val="none"/>
        </w:rPr>
        <w:t>）。</w:t>
      </w:r>
    </w:p>
    <w:p w14:paraId="183A5D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2.履约保证金递交方式：银行转账、支票、汇票、本票或者银行、保险机构出具的保函等非现金方式。</w:t>
      </w:r>
    </w:p>
    <w:p w14:paraId="5AE994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3.履约保证金递交方式及相关要求</w:t>
      </w:r>
    </w:p>
    <w:p w14:paraId="0E34D2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（1）履约保证金采用银行转账交纳方式的，乙方在签订合同前交至甲方指定账户并且到账。</w:t>
      </w:r>
    </w:p>
    <w:p w14:paraId="387FEC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（2）履约保证金采用支票、汇票或本票交纳方式的，乙方在签订合同前，向甲方提交支票、汇票或本票原件。</w:t>
      </w:r>
    </w:p>
    <w:p w14:paraId="1B2C73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（3）履约保证金采用银行、保险机构出具的保函交纳方式的，乙方在签订合同前，向甲方提交保函原件。</w:t>
      </w:r>
    </w:p>
    <w:p w14:paraId="64124F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（4）履约保证金指定账户</w:t>
      </w:r>
    </w:p>
    <w:p w14:paraId="425DE9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开户名称：广西师范大学</w:t>
      </w:r>
    </w:p>
    <w:p w14:paraId="2F1B93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开户银行：中国工商银行股份有限公司桂林市高新科技支行</w:t>
      </w:r>
    </w:p>
    <w:p w14:paraId="038FBD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账    号：2103215109264004618</w:t>
      </w:r>
    </w:p>
    <w:p w14:paraId="6B8E68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4.履约保证金退付方式、时间及条件：</w:t>
      </w:r>
    </w:p>
    <w:p w14:paraId="700D35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（1）乙方履行完合同约定的权利义务（包括免费保修服务等）事项后7个工作日内，由乙方向履约保证金收取单位办理退还手续（不计利息）。</w:t>
      </w:r>
    </w:p>
    <w:p w14:paraId="79004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（2）乙方在签订合同后存在违约情形的，履约保证金或保函原件不予退还。保函形式的甲方按相关规定由出具保函的银行、保险机构承担供应商违约赔付责任，履约保证金不足以赔偿损失的，按实际损失赔偿。</w:t>
      </w:r>
    </w:p>
    <w:p w14:paraId="3EAD78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（3）在履约保证金退还日期前，若乙方的开户名称、开户银行、账号有变动的，请以书面形式通知履约保证金收取单位，否则由此产生的后果由乙方自负。</w:t>
      </w:r>
    </w:p>
    <w:p w14:paraId="7439B1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履约保证金不足额缴纳的，或银行、保险机构出具的保函额度不足的或者保函有效期低于合同履行期限（即签订采购合同之日起至履行完合同约定的权利及义务之日止）的，不予签订合同。采用银行、保险机构出具的保函的，必须为无条件保函，否则不予签订合同。</w:t>
      </w:r>
    </w:p>
    <w:p w14:paraId="6F71FB6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第九条、税费</w:t>
      </w:r>
    </w:p>
    <w:p w14:paraId="307C80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3C8564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第十条、处罚标准及解除合同条款</w:t>
      </w:r>
    </w:p>
    <w:p w14:paraId="17338F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方（保卫处）负责每季度对乙方保安队伍进行考核，在工作中发现保安人员存在以下违规违纪行为者，甲方将对乙方进行累计扣分，累计扣分≥30分则启动整改程序，整改后仍不达标，则视为乙方违约，甲方可单方面即刻解除合同。相关考核管理办法如下：</w:t>
      </w:r>
    </w:p>
    <w:tbl>
      <w:tblPr>
        <w:tblStyle w:val="53"/>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5842"/>
        <w:gridCol w:w="833"/>
        <w:gridCol w:w="817"/>
        <w:gridCol w:w="922"/>
      </w:tblGrid>
      <w:tr w14:paraId="7DEB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5" w:type="dxa"/>
            <w:gridSpan w:val="5"/>
          </w:tcPr>
          <w:p w14:paraId="6F7020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广西师范大学安保队伍考核管理办法</w:t>
            </w:r>
          </w:p>
        </w:tc>
      </w:tr>
      <w:tr w14:paraId="0270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543A8702">
            <w:pPr>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5842" w:type="dxa"/>
            <w:vAlign w:val="center"/>
          </w:tcPr>
          <w:p w14:paraId="1EF04250">
            <w:pPr>
              <w:spacing w:line="360" w:lineRule="auto"/>
              <w:rPr>
                <w:rFonts w:ascii="宋体" w:hAnsi="宋体" w:cs="宋体"/>
                <w:color w:val="auto"/>
                <w:szCs w:val="21"/>
                <w:highlight w:val="none"/>
              </w:rPr>
            </w:pPr>
            <w:r>
              <w:rPr>
                <w:rFonts w:hint="eastAsia" w:ascii="宋体" w:hAnsi="宋体" w:cs="宋体"/>
                <w:color w:val="auto"/>
                <w:szCs w:val="21"/>
                <w:highlight w:val="none"/>
              </w:rPr>
              <w:t>考核情况</w:t>
            </w:r>
          </w:p>
        </w:tc>
        <w:tc>
          <w:tcPr>
            <w:tcW w:w="833" w:type="dxa"/>
            <w:vAlign w:val="center"/>
          </w:tcPr>
          <w:p w14:paraId="23E53542">
            <w:pPr>
              <w:spacing w:line="360" w:lineRule="auto"/>
              <w:rPr>
                <w:rFonts w:ascii="宋体" w:hAnsi="宋体" w:cs="宋体"/>
                <w:color w:val="auto"/>
                <w:szCs w:val="21"/>
                <w:highlight w:val="none"/>
              </w:rPr>
            </w:pPr>
            <w:r>
              <w:rPr>
                <w:rFonts w:hint="eastAsia" w:ascii="宋体" w:hAnsi="宋体" w:cs="宋体"/>
                <w:color w:val="auto"/>
                <w:szCs w:val="21"/>
                <w:highlight w:val="none"/>
              </w:rPr>
              <w:t>扣分情况</w:t>
            </w:r>
          </w:p>
        </w:tc>
        <w:tc>
          <w:tcPr>
            <w:tcW w:w="817" w:type="dxa"/>
            <w:vAlign w:val="center"/>
          </w:tcPr>
          <w:p w14:paraId="7FEE630B">
            <w:pPr>
              <w:spacing w:line="360" w:lineRule="auto"/>
              <w:rPr>
                <w:rFonts w:ascii="宋体" w:hAnsi="宋体" w:cs="宋体"/>
                <w:color w:val="auto"/>
                <w:szCs w:val="21"/>
                <w:highlight w:val="none"/>
              </w:rPr>
            </w:pPr>
            <w:r>
              <w:rPr>
                <w:rFonts w:hint="eastAsia" w:ascii="宋体" w:hAnsi="宋体" w:cs="宋体"/>
                <w:color w:val="auto"/>
                <w:szCs w:val="21"/>
                <w:highlight w:val="none"/>
              </w:rPr>
              <w:t>扣分说明</w:t>
            </w:r>
          </w:p>
        </w:tc>
        <w:tc>
          <w:tcPr>
            <w:tcW w:w="922" w:type="dxa"/>
            <w:vAlign w:val="center"/>
          </w:tcPr>
          <w:p w14:paraId="651D4BE2">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tc>
      </w:tr>
      <w:tr w14:paraId="5AA2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172D6C4E">
            <w:pPr>
              <w:spacing w:line="360" w:lineRule="auto"/>
              <w:ind w:firstLine="420" w:firstLineChars="200"/>
              <w:rPr>
                <w:rFonts w:ascii="宋体" w:hAnsi="宋体" w:cs="宋体"/>
                <w:color w:val="auto"/>
                <w:szCs w:val="21"/>
                <w:highlight w:val="none"/>
              </w:rPr>
            </w:pPr>
          </w:p>
        </w:tc>
        <w:tc>
          <w:tcPr>
            <w:tcW w:w="5842" w:type="dxa"/>
          </w:tcPr>
          <w:p w14:paraId="0ADCDEA9">
            <w:pPr>
              <w:spacing w:line="360" w:lineRule="auto"/>
              <w:rPr>
                <w:rFonts w:ascii="宋体" w:hAnsi="宋体" w:cs="宋体"/>
                <w:color w:val="auto"/>
                <w:szCs w:val="21"/>
                <w:highlight w:val="none"/>
              </w:rPr>
            </w:pPr>
            <w:r>
              <w:rPr>
                <w:rFonts w:hint="eastAsia" w:ascii="宋体" w:hAnsi="宋体" w:cs="宋体"/>
                <w:color w:val="auto"/>
                <w:szCs w:val="21"/>
                <w:highlight w:val="none"/>
              </w:rPr>
              <w:t>值班期间有睡岗，未按规定着装、吸烟、酗酒上岗等违反值班规定的，发现一次扣1分</w:t>
            </w:r>
          </w:p>
        </w:tc>
        <w:tc>
          <w:tcPr>
            <w:tcW w:w="833" w:type="dxa"/>
          </w:tcPr>
          <w:p w14:paraId="606C1E65">
            <w:pPr>
              <w:spacing w:line="360" w:lineRule="auto"/>
              <w:ind w:firstLine="420" w:firstLineChars="200"/>
              <w:rPr>
                <w:rFonts w:ascii="宋体" w:hAnsi="宋体" w:cs="宋体"/>
                <w:color w:val="auto"/>
                <w:szCs w:val="21"/>
                <w:highlight w:val="none"/>
              </w:rPr>
            </w:pPr>
          </w:p>
        </w:tc>
        <w:tc>
          <w:tcPr>
            <w:tcW w:w="817" w:type="dxa"/>
          </w:tcPr>
          <w:p w14:paraId="1CD097D1">
            <w:pPr>
              <w:spacing w:line="360" w:lineRule="auto"/>
              <w:ind w:firstLine="420" w:firstLineChars="200"/>
              <w:rPr>
                <w:rFonts w:ascii="宋体" w:hAnsi="宋体" w:cs="宋体"/>
                <w:color w:val="auto"/>
                <w:szCs w:val="21"/>
                <w:highlight w:val="none"/>
              </w:rPr>
            </w:pPr>
          </w:p>
        </w:tc>
        <w:tc>
          <w:tcPr>
            <w:tcW w:w="922" w:type="dxa"/>
          </w:tcPr>
          <w:p w14:paraId="0C64A1EC">
            <w:pPr>
              <w:spacing w:line="360" w:lineRule="auto"/>
              <w:ind w:firstLine="420" w:firstLineChars="200"/>
              <w:rPr>
                <w:rFonts w:ascii="宋体" w:hAnsi="宋体" w:cs="宋体"/>
                <w:color w:val="auto"/>
                <w:szCs w:val="21"/>
                <w:highlight w:val="none"/>
              </w:rPr>
            </w:pPr>
          </w:p>
        </w:tc>
      </w:tr>
      <w:tr w14:paraId="3F82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51AF518E">
            <w:pPr>
              <w:spacing w:line="360" w:lineRule="auto"/>
              <w:ind w:firstLine="420" w:firstLineChars="200"/>
              <w:rPr>
                <w:rFonts w:ascii="宋体" w:hAnsi="宋体" w:cs="宋体"/>
                <w:color w:val="auto"/>
                <w:szCs w:val="21"/>
                <w:highlight w:val="none"/>
              </w:rPr>
            </w:pPr>
          </w:p>
        </w:tc>
        <w:tc>
          <w:tcPr>
            <w:tcW w:w="5842" w:type="dxa"/>
          </w:tcPr>
          <w:p w14:paraId="3E5A396C">
            <w:pPr>
              <w:spacing w:line="360" w:lineRule="auto"/>
              <w:rPr>
                <w:rFonts w:ascii="宋体" w:hAnsi="宋体" w:cs="宋体"/>
                <w:color w:val="auto"/>
                <w:szCs w:val="21"/>
                <w:highlight w:val="none"/>
              </w:rPr>
            </w:pPr>
            <w:r>
              <w:rPr>
                <w:rFonts w:hint="eastAsia" w:ascii="宋体" w:hAnsi="宋体" w:cs="宋体"/>
                <w:color w:val="auto"/>
                <w:szCs w:val="21"/>
                <w:highlight w:val="none"/>
              </w:rPr>
              <w:t>值班人员不履行岗位职责或不服从保卫处工作安排的，每人次扣2分</w:t>
            </w:r>
          </w:p>
        </w:tc>
        <w:tc>
          <w:tcPr>
            <w:tcW w:w="833" w:type="dxa"/>
          </w:tcPr>
          <w:p w14:paraId="18ED5C10">
            <w:pPr>
              <w:spacing w:line="360" w:lineRule="auto"/>
              <w:ind w:firstLine="420" w:firstLineChars="200"/>
              <w:rPr>
                <w:rFonts w:ascii="宋体" w:hAnsi="宋体" w:cs="宋体"/>
                <w:color w:val="auto"/>
                <w:szCs w:val="21"/>
                <w:highlight w:val="none"/>
              </w:rPr>
            </w:pPr>
          </w:p>
        </w:tc>
        <w:tc>
          <w:tcPr>
            <w:tcW w:w="817" w:type="dxa"/>
          </w:tcPr>
          <w:p w14:paraId="0930FDA3">
            <w:pPr>
              <w:spacing w:line="360" w:lineRule="auto"/>
              <w:ind w:firstLine="420" w:firstLineChars="200"/>
              <w:rPr>
                <w:rFonts w:ascii="宋体" w:hAnsi="宋体" w:cs="宋体"/>
                <w:color w:val="auto"/>
                <w:szCs w:val="21"/>
                <w:highlight w:val="none"/>
              </w:rPr>
            </w:pPr>
          </w:p>
        </w:tc>
        <w:tc>
          <w:tcPr>
            <w:tcW w:w="922" w:type="dxa"/>
          </w:tcPr>
          <w:p w14:paraId="0C206387">
            <w:pPr>
              <w:spacing w:line="360" w:lineRule="auto"/>
              <w:ind w:firstLine="420" w:firstLineChars="200"/>
              <w:rPr>
                <w:rFonts w:ascii="宋体" w:hAnsi="宋体" w:cs="宋体"/>
                <w:color w:val="auto"/>
                <w:szCs w:val="21"/>
                <w:highlight w:val="none"/>
              </w:rPr>
            </w:pPr>
          </w:p>
        </w:tc>
      </w:tr>
      <w:tr w14:paraId="6C5B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4936E70A">
            <w:pPr>
              <w:spacing w:line="360" w:lineRule="auto"/>
              <w:ind w:firstLine="420" w:firstLineChars="200"/>
              <w:rPr>
                <w:rFonts w:ascii="宋体" w:hAnsi="宋体" w:cs="宋体"/>
                <w:color w:val="auto"/>
                <w:szCs w:val="21"/>
                <w:highlight w:val="none"/>
              </w:rPr>
            </w:pPr>
          </w:p>
        </w:tc>
        <w:tc>
          <w:tcPr>
            <w:tcW w:w="5842" w:type="dxa"/>
          </w:tcPr>
          <w:p w14:paraId="7C60333F">
            <w:pPr>
              <w:spacing w:line="360" w:lineRule="auto"/>
              <w:rPr>
                <w:rFonts w:ascii="宋体" w:hAnsi="宋体" w:cs="宋体"/>
                <w:color w:val="auto"/>
                <w:szCs w:val="21"/>
                <w:highlight w:val="none"/>
              </w:rPr>
            </w:pPr>
            <w:r>
              <w:rPr>
                <w:rFonts w:hint="eastAsia" w:ascii="宋体" w:hAnsi="宋体" w:cs="宋体"/>
                <w:color w:val="auto"/>
                <w:szCs w:val="21"/>
                <w:highlight w:val="none"/>
              </w:rPr>
              <w:t>值班人员在岗时不按规定检查离校物资出门证，导致学校及师生财物流失的，除照价赔偿外，每次扣2分</w:t>
            </w:r>
          </w:p>
        </w:tc>
        <w:tc>
          <w:tcPr>
            <w:tcW w:w="833" w:type="dxa"/>
          </w:tcPr>
          <w:p w14:paraId="0C1F2546">
            <w:pPr>
              <w:spacing w:line="360" w:lineRule="auto"/>
              <w:ind w:firstLine="420" w:firstLineChars="200"/>
              <w:rPr>
                <w:rFonts w:ascii="宋体" w:hAnsi="宋体" w:cs="宋体"/>
                <w:color w:val="auto"/>
                <w:szCs w:val="21"/>
                <w:highlight w:val="none"/>
              </w:rPr>
            </w:pPr>
          </w:p>
        </w:tc>
        <w:tc>
          <w:tcPr>
            <w:tcW w:w="817" w:type="dxa"/>
          </w:tcPr>
          <w:p w14:paraId="736ED463">
            <w:pPr>
              <w:spacing w:line="360" w:lineRule="auto"/>
              <w:ind w:firstLine="420" w:firstLineChars="200"/>
              <w:rPr>
                <w:rFonts w:ascii="宋体" w:hAnsi="宋体" w:cs="宋体"/>
                <w:color w:val="auto"/>
                <w:szCs w:val="21"/>
                <w:highlight w:val="none"/>
              </w:rPr>
            </w:pPr>
          </w:p>
        </w:tc>
        <w:tc>
          <w:tcPr>
            <w:tcW w:w="922" w:type="dxa"/>
          </w:tcPr>
          <w:p w14:paraId="133EF857">
            <w:pPr>
              <w:spacing w:line="360" w:lineRule="auto"/>
              <w:ind w:firstLine="420" w:firstLineChars="200"/>
              <w:rPr>
                <w:rFonts w:ascii="宋体" w:hAnsi="宋体" w:cs="宋体"/>
                <w:color w:val="auto"/>
                <w:szCs w:val="21"/>
                <w:highlight w:val="none"/>
              </w:rPr>
            </w:pPr>
          </w:p>
        </w:tc>
      </w:tr>
      <w:tr w14:paraId="16AC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269D236D">
            <w:pPr>
              <w:spacing w:line="360" w:lineRule="auto"/>
              <w:ind w:firstLine="420" w:firstLineChars="200"/>
              <w:rPr>
                <w:rFonts w:ascii="宋体" w:hAnsi="宋体" w:cs="宋体"/>
                <w:color w:val="auto"/>
                <w:szCs w:val="21"/>
                <w:highlight w:val="none"/>
              </w:rPr>
            </w:pPr>
          </w:p>
        </w:tc>
        <w:tc>
          <w:tcPr>
            <w:tcW w:w="5842" w:type="dxa"/>
          </w:tcPr>
          <w:p w14:paraId="6CFD7CA5">
            <w:pPr>
              <w:spacing w:line="360" w:lineRule="auto"/>
              <w:rPr>
                <w:rFonts w:ascii="宋体" w:hAnsi="宋体" w:cs="宋体"/>
                <w:color w:val="auto"/>
                <w:szCs w:val="21"/>
                <w:highlight w:val="none"/>
              </w:rPr>
            </w:pPr>
            <w:r>
              <w:rPr>
                <w:rFonts w:hint="eastAsia" w:ascii="宋体" w:hAnsi="宋体" w:cs="宋体"/>
                <w:color w:val="auto"/>
                <w:szCs w:val="21"/>
                <w:highlight w:val="none"/>
              </w:rPr>
              <w:t>保安人员由于失职而造成重大事故的，乙方须赔偿一切经济损失，并将责任人移交公安机关处理，同时每次扣10分</w:t>
            </w:r>
          </w:p>
        </w:tc>
        <w:tc>
          <w:tcPr>
            <w:tcW w:w="833" w:type="dxa"/>
          </w:tcPr>
          <w:p w14:paraId="7BA46E49">
            <w:pPr>
              <w:spacing w:line="360" w:lineRule="auto"/>
              <w:ind w:firstLine="420" w:firstLineChars="200"/>
              <w:rPr>
                <w:rFonts w:ascii="宋体" w:hAnsi="宋体" w:cs="宋体"/>
                <w:color w:val="auto"/>
                <w:szCs w:val="21"/>
                <w:highlight w:val="none"/>
              </w:rPr>
            </w:pPr>
          </w:p>
        </w:tc>
        <w:tc>
          <w:tcPr>
            <w:tcW w:w="817" w:type="dxa"/>
          </w:tcPr>
          <w:p w14:paraId="79462374">
            <w:pPr>
              <w:spacing w:line="360" w:lineRule="auto"/>
              <w:ind w:firstLine="420" w:firstLineChars="200"/>
              <w:rPr>
                <w:rFonts w:ascii="宋体" w:hAnsi="宋体" w:cs="宋体"/>
                <w:color w:val="auto"/>
                <w:szCs w:val="21"/>
                <w:highlight w:val="none"/>
              </w:rPr>
            </w:pPr>
          </w:p>
        </w:tc>
        <w:tc>
          <w:tcPr>
            <w:tcW w:w="922" w:type="dxa"/>
          </w:tcPr>
          <w:p w14:paraId="745C2275">
            <w:pPr>
              <w:spacing w:line="360" w:lineRule="auto"/>
              <w:ind w:firstLine="420" w:firstLineChars="200"/>
              <w:rPr>
                <w:rFonts w:ascii="宋体" w:hAnsi="宋体" w:cs="宋体"/>
                <w:color w:val="auto"/>
                <w:szCs w:val="21"/>
                <w:highlight w:val="none"/>
              </w:rPr>
            </w:pPr>
          </w:p>
        </w:tc>
      </w:tr>
      <w:tr w14:paraId="638C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3A6365F1">
            <w:pPr>
              <w:spacing w:line="360" w:lineRule="auto"/>
              <w:ind w:firstLine="420" w:firstLineChars="200"/>
              <w:rPr>
                <w:rFonts w:ascii="宋体" w:hAnsi="宋体" w:cs="宋体"/>
                <w:color w:val="auto"/>
                <w:szCs w:val="21"/>
                <w:highlight w:val="none"/>
              </w:rPr>
            </w:pPr>
          </w:p>
        </w:tc>
        <w:tc>
          <w:tcPr>
            <w:tcW w:w="5842" w:type="dxa"/>
          </w:tcPr>
          <w:p w14:paraId="79F94C7D">
            <w:pPr>
              <w:spacing w:line="360" w:lineRule="auto"/>
              <w:rPr>
                <w:rFonts w:ascii="宋体" w:hAnsi="宋体" w:cs="宋体"/>
                <w:color w:val="auto"/>
                <w:szCs w:val="21"/>
                <w:highlight w:val="none"/>
              </w:rPr>
            </w:pPr>
            <w:r>
              <w:rPr>
                <w:rFonts w:hint="eastAsia" w:ascii="宋体" w:hAnsi="宋体" w:cs="宋体"/>
                <w:color w:val="auto"/>
                <w:szCs w:val="21"/>
                <w:highlight w:val="none"/>
              </w:rPr>
              <w:t>保安人员如有偷盗或其他违法犯罪行为，乙方必须承担一切经济损失和法律责任，每次扣10分</w:t>
            </w:r>
          </w:p>
        </w:tc>
        <w:tc>
          <w:tcPr>
            <w:tcW w:w="833" w:type="dxa"/>
          </w:tcPr>
          <w:p w14:paraId="1D3E9164">
            <w:pPr>
              <w:spacing w:line="360" w:lineRule="auto"/>
              <w:ind w:firstLine="420" w:firstLineChars="200"/>
              <w:rPr>
                <w:rFonts w:ascii="宋体" w:hAnsi="宋体" w:cs="宋体"/>
                <w:color w:val="auto"/>
                <w:szCs w:val="21"/>
                <w:highlight w:val="none"/>
              </w:rPr>
            </w:pPr>
          </w:p>
        </w:tc>
        <w:tc>
          <w:tcPr>
            <w:tcW w:w="817" w:type="dxa"/>
          </w:tcPr>
          <w:p w14:paraId="0EE60F6D">
            <w:pPr>
              <w:spacing w:line="360" w:lineRule="auto"/>
              <w:ind w:firstLine="420" w:firstLineChars="200"/>
              <w:rPr>
                <w:rFonts w:ascii="宋体" w:hAnsi="宋体" w:cs="宋体"/>
                <w:color w:val="auto"/>
                <w:szCs w:val="21"/>
                <w:highlight w:val="none"/>
              </w:rPr>
            </w:pPr>
          </w:p>
        </w:tc>
        <w:tc>
          <w:tcPr>
            <w:tcW w:w="922" w:type="dxa"/>
          </w:tcPr>
          <w:p w14:paraId="47C7E3DE">
            <w:pPr>
              <w:spacing w:line="360" w:lineRule="auto"/>
              <w:ind w:firstLine="420" w:firstLineChars="200"/>
              <w:rPr>
                <w:rFonts w:ascii="宋体" w:hAnsi="宋体" w:cs="宋体"/>
                <w:color w:val="auto"/>
                <w:szCs w:val="21"/>
                <w:highlight w:val="none"/>
              </w:rPr>
            </w:pPr>
          </w:p>
        </w:tc>
      </w:tr>
      <w:tr w14:paraId="4ACB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1B2FF21B">
            <w:pPr>
              <w:spacing w:line="360" w:lineRule="auto"/>
              <w:ind w:firstLine="420" w:firstLineChars="200"/>
              <w:rPr>
                <w:rFonts w:ascii="宋体" w:hAnsi="宋体" w:cs="宋体"/>
                <w:color w:val="auto"/>
                <w:szCs w:val="21"/>
                <w:highlight w:val="none"/>
              </w:rPr>
            </w:pPr>
          </w:p>
        </w:tc>
        <w:tc>
          <w:tcPr>
            <w:tcW w:w="5842" w:type="dxa"/>
          </w:tcPr>
          <w:p w14:paraId="7024FEB8">
            <w:pPr>
              <w:spacing w:line="360" w:lineRule="auto"/>
              <w:rPr>
                <w:rFonts w:ascii="宋体" w:hAnsi="宋体" w:cs="宋体"/>
                <w:color w:val="auto"/>
                <w:szCs w:val="21"/>
                <w:highlight w:val="none"/>
              </w:rPr>
            </w:pPr>
            <w:r>
              <w:rPr>
                <w:rFonts w:hint="eastAsia" w:ascii="宋体" w:hAnsi="宋体" w:cs="宋体"/>
                <w:color w:val="auto"/>
                <w:szCs w:val="21"/>
                <w:highlight w:val="none"/>
              </w:rPr>
              <w:t>保安人员粗暴值勤，被老师和学生投诉或与师生发生肢体冲突的，除将责任人移交公安部门处理外，每次扣10分</w:t>
            </w:r>
          </w:p>
        </w:tc>
        <w:tc>
          <w:tcPr>
            <w:tcW w:w="833" w:type="dxa"/>
          </w:tcPr>
          <w:p w14:paraId="65C16CB7">
            <w:pPr>
              <w:spacing w:line="360" w:lineRule="auto"/>
              <w:ind w:firstLine="420" w:firstLineChars="200"/>
              <w:rPr>
                <w:rFonts w:ascii="宋体" w:hAnsi="宋体" w:cs="宋体"/>
                <w:color w:val="auto"/>
                <w:szCs w:val="21"/>
                <w:highlight w:val="none"/>
              </w:rPr>
            </w:pPr>
          </w:p>
        </w:tc>
        <w:tc>
          <w:tcPr>
            <w:tcW w:w="817" w:type="dxa"/>
          </w:tcPr>
          <w:p w14:paraId="6895B29B">
            <w:pPr>
              <w:spacing w:line="360" w:lineRule="auto"/>
              <w:ind w:firstLine="420" w:firstLineChars="200"/>
              <w:rPr>
                <w:rFonts w:ascii="宋体" w:hAnsi="宋体" w:cs="宋体"/>
                <w:color w:val="auto"/>
                <w:szCs w:val="21"/>
                <w:highlight w:val="none"/>
              </w:rPr>
            </w:pPr>
          </w:p>
        </w:tc>
        <w:tc>
          <w:tcPr>
            <w:tcW w:w="922" w:type="dxa"/>
          </w:tcPr>
          <w:p w14:paraId="3A0A8187">
            <w:pPr>
              <w:spacing w:line="360" w:lineRule="auto"/>
              <w:ind w:firstLine="420" w:firstLineChars="200"/>
              <w:rPr>
                <w:rFonts w:ascii="宋体" w:hAnsi="宋体" w:cs="宋体"/>
                <w:color w:val="auto"/>
                <w:szCs w:val="21"/>
                <w:highlight w:val="none"/>
              </w:rPr>
            </w:pPr>
          </w:p>
        </w:tc>
      </w:tr>
      <w:tr w14:paraId="1668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07CE1CDD">
            <w:pPr>
              <w:spacing w:line="360" w:lineRule="auto"/>
              <w:ind w:firstLine="420" w:firstLineChars="200"/>
              <w:rPr>
                <w:rFonts w:ascii="宋体" w:hAnsi="宋体" w:cs="宋体"/>
                <w:color w:val="auto"/>
                <w:szCs w:val="21"/>
                <w:highlight w:val="none"/>
              </w:rPr>
            </w:pPr>
          </w:p>
        </w:tc>
        <w:tc>
          <w:tcPr>
            <w:tcW w:w="5842" w:type="dxa"/>
          </w:tcPr>
          <w:p w14:paraId="4D887DA2">
            <w:pPr>
              <w:spacing w:line="360" w:lineRule="auto"/>
              <w:rPr>
                <w:rFonts w:ascii="宋体" w:hAnsi="宋体" w:cs="宋体"/>
                <w:color w:val="auto"/>
                <w:szCs w:val="21"/>
                <w:highlight w:val="none"/>
              </w:rPr>
            </w:pPr>
            <w:r>
              <w:rPr>
                <w:rFonts w:hint="eastAsia" w:ascii="宋体" w:hAnsi="宋体" w:cs="宋体"/>
                <w:color w:val="auto"/>
                <w:szCs w:val="21"/>
                <w:highlight w:val="none"/>
              </w:rPr>
              <w:t>保安人员在值班期间被发现有脱岗、串岗等情况的，每人次扣2分，若造成重大损失的（5万元以上），每人次扣10分</w:t>
            </w:r>
          </w:p>
        </w:tc>
        <w:tc>
          <w:tcPr>
            <w:tcW w:w="833" w:type="dxa"/>
          </w:tcPr>
          <w:p w14:paraId="0D3E59B7">
            <w:pPr>
              <w:spacing w:line="360" w:lineRule="auto"/>
              <w:ind w:firstLine="420" w:firstLineChars="200"/>
              <w:rPr>
                <w:rFonts w:ascii="宋体" w:hAnsi="宋体" w:cs="宋体"/>
                <w:color w:val="auto"/>
                <w:szCs w:val="21"/>
                <w:highlight w:val="none"/>
              </w:rPr>
            </w:pPr>
          </w:p>
        </w:tc>
        <w:tc>
          <w:tcPr>
            <w:tcW w:w="817" w:type="dxa"/>
          </w:tcPr>
          <w:p w14:paraId="3C36AEBF">
            <w:pPr>
              <w:spacing w:line="360" w:lineRule="auto"/>
              <w:ind w:firstLine="420" w:firstLineChars="200"/>
              <w:rPr>
                <w:rFonts w:ascii="宋体" w:hAnsi="宋体" w:cs="宋体"/>
                <w:color w:val="auto"/>
                <w:szCs w:val="21"/>
                <w:highlight w:val="none"/>
              </w:rPr>
            </w:pPr>
          </w:p>
        </w:tc>
        <w:tc>
          <w:tcPr>
            <w:tcW w:w="922" w:type="dxa"/>
          </w:tcPr>
          <w:p w14:paraId="0C2A5E6C">
            <w:pPr>
              <w:spacing w:line="360" w:lineRule="auto"/>
              <w:ind w:firstLine="420" w:firstLineChars="200"/>
              <w:rPr>
                <w:rFonts w:ascii="宋体" w:hAnsi="宋体" w:cs="宋体"/>
                <w:color w:val="auto"/>
                <w:szCs w:val="21"/>
                <w:highlight w:val="none"/>
              </w:rPr>
            </w:pPr>
          </w:p>
        </w:tc>
      </w:tr>
      <w:tr w14:paraId="73B5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316BACEB">
            <w:pPr>
              <w:spacing w:line="360" w:lineRule="auto"/>
              <w:ind w:firstLine="420" w:firstLineChars="200"/>
              <w:rPr>
                <w:rFonts w:ascii="宋体" w:hAnsi="宋体" w:cs="宋体"/>
                <w:color w:val="auto"/>
                <w:szCs w:val="21"/>
                <w:highlight w:val="none"/>
              </w:rPr>
            </w:pPr>
          </w:p>
        </w:tc>
        <w:tc>
          <w:tcPr>
            <w:tcW w:w="5842" w:type="dxa"/>
          </w:tcPr>
          <w:p w14:paraId="0799FA23">
            <w:pPr>
              <w:spacing w:line="360" w:lineRule="auto"/>
              <w:rPr>
                <w:rFonts w:ascii="宋体" w:hAnsi="宋体" w:cs="宋体"/>
                <w:color w:val="auto"/>
                <w:szCs w:val="21"/>
                <w:highlight w:val="none"/>
              </w:rPr>
            </w:pPr>
            <w:r>
              <w:rPr>
                <w:rFonts w:hint="eastAsia" w:ascii="宋体" w:hAnsi="宋体" w:cs="宋体"/>
                <w:color w:val="auto"/>
                <w:szCs w:val="21"/>
                <w:highlight w:val="none"/>
              </w:rPr>
              <w:t>保安人员涉及造谣、传谣、引发重大社会舆情、泄漏学校机密等行为，每次扣20分</w:t>
            </w:r>
          </w:p>
        </w:tc>
        <w:tc>
          <w:tcPr>
            <w:tcW w:w="833" w:type="dxa"/>
          </w:tcPr>
          <w:p w14:paraId="6108BB35">
            <w:pPr>
              <w:spacing w:line="360" w:lineRule="auto"/>
              <w:ind w:firstLine="420" w:firstLineChars="200"/>
              <w:rPr>
                <w:rFonts w:ascii="宋体" w:hAnsi="宋体" w:cs="宋体"/>
                <w:color w:val="auto"/>
                <w:szCs w:val="21"/>
                <w:highlight w:val="none"/>
              </w:rPr>
            </w:pPr>
          </w:p>
        </w:tc>
        <w:tc>
          <w:tcPr>
            <w:tcW w:w="817" w:type="dxa"/>
          </w:tcPr>
          <w:p w14:paraId="1072FA55">
            <w:pPr>
              <w:spacing w:line="360" w:lineRule="auto"/>
              <w:ind w:firstLine="420" w:firstLineChars="200"/>
              <w:rPr>
                <w:rFonts w:ascii="宋体" w:hAnsi="宋体" w:cs="宋体"/>
                <w:color w:val="auto"/>
                <w:szCs w:val="21"/>
                <w:highlight w:val="none"/>
              </w:rPr>
            </w:pPr>
          </w:p>
        </w:tc>
        <w:tc>
          <w:tcPr>
            <w:tcW w:w="922" w:type="dxa"/>
          </w:tcPr>
          <w:p w14:paraId="6E520690">
            <w:pPr>
              <w:spacing w:line="360" w:lineRule="auto"/>
              <w:ind w:firstLine="420" w:firstLineChars="200"/>
              <w:rPr>
                <w:rFonts w:ascii="宋体" w:hAnsi="宋体" w:cs="宋体"/>
                <w:color w:val="auto"/>
                <w:szCs w:val="21"/>
                <w:highlight w:val="none"/>
              </w:rPr>
            </w:pPr>
          </w:p>
        </w:tc>
      </w:tr>
      <w:tr w14:paraId="6EF3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06E2CE50">
            <w:pPr>
              <w:spacing w:line="360" w:lineRule="auto"/>
              <w:ind w:firstLine="420" w:firstLineChars="200"/>
              <w:rPr>
                <w:rFonts w:ascii="宋体" w:hAnsi="宋体" w:cs="宋体"/>
                <w:color w:val="auto"/>
                <w:szCs w:val="21"/>
                <w:highlight w:val="none"/>
              </w:rPr>
            </w:pPr>
          </w:p>
        </w:tc>
        <w:tc>
          <w:tcPr>
            <w:tcW w:w="5842" w:type="dxa"/>
          </w:tcPr>
          <w:p w14:paraId="3BB611C9">
            <w:pPr>
              <w:spacing w:line="360" w:lineRule="auto"/>
              <w:rPr>
                <w:rFonts w:ascii="宋体" w:hAnsi="宋体" w:cs="宋体"/>
                <w:color w:val="auto"/>
                <w:szCs w:val="21"/>
                <w:highlight w:val="none"/>
              </w:rPr>
            </w:pPr>
            <w:r>
              <w:rPr>
                <w:rFonts w:hint="eastAsia" w:ascii="宋体" w:hAnsi="宋体" w:cs="宋体"/>
                <w:color w:val="auto"/>
                <w:szCs w:val="21"/>
                <w:highlight w:val="none"/>
              </w:rPr>
              <w:t>其它工作不到位造成严重影响的，依照以上情况作相应处理。</w:t>
            </w:r>
          </w:p>
        </w:tc>
        <w:tc>
          <w:tcPr>
            <w:tcW w:w="833" w:type="dxa"/>
          </w:tcPr>
          <w:p w14:paraId="5E6A7A6A">
            <w:pPr>
              <w:spacing w:line="360" w:lineRule="auto"/>
              <w:ind w:firstLine="420" w:firstLineChars="200"/>
              <w:rPr>
                <w:rFonts w:ascii="宋体" w:hAnsi="宋体" w:cs="宋体"/>
                <w:color w:val="auto"/>
                <w:szCs w:val="21"/>
                <w:highlight w:val="none"/>
              </w:rPr>
            </w:pPr>
          </w:p>
        </w:tc>
        <w:tc>
          <w:tcPr>
            <w:tcW w:w="817" w:type="dxa"/>
          </w:tcPr>
          <w:p w14:paraId="6717D2C5">
            <w:pPr>
              <w:spacing w:line="360" w:lineRule="auto"/>
              <w:ind w:firstLine="420" w:firstLineChars="200"/>
              <w:rPr>
                <w:rFonts w:ascii="宋体" w:hAnsi="宋体" w:cs="宋体"/>
                <w:color w:val="auto"/>
                <w:szCs w:val="21"/>
                <w:highlight w:val="none"/>
              </w:rPr>
            </w:pPr>
          </w:p>
        </w:tc>
        <w:tc>
          <w:tcPr>
            <w:tcW w:w="922" w:type="dxa"/>
          </w:tcPr>
          <w:p w14:paraId="29EDF685">
            <w:pPr>
              <w:spacing w:line="360" w:lineRule="auto"/>
              <w:ind w:firstLine="420" w:firstLineChars="200"/>
              <w:rPr>
                <w:rFonts w:ascii="宋体" w:hAnsi="宋体" w:cs="宋体"/>
                <w:color w:val="auto"/>
                <w:szCs w:val="21"/>
                <w:highlight w:val="none"/>
              </w:rPr>
            </w:pPr>
          </w:p>
        </w:tc>
      </w:tr>
      <w:tr w14:paraId="71C7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187EF26E">
            <w:pPr>
              <w:spacing w:line="360" w:lineRule="auto"/>
              <w:ind w:firstLine="420" w:firstLineChars="200"/>
              <w:rPr>
                <w:rFonts w:ascii="宋体" w:hAnsi="宋体" w:cs="宋体"/>
                <w:color w:val="auto"/>
                <w:szCs w:val="21"/>
                <w:highlight w:val="none"/>
              </w:rPr>
            </w:pPr>
          </w:p>
        </w:tc>
        <w:tc>
          <w:tcPr>
            <w:tcW w:w="5842" w:type="dxa"/>
          </w:tcPr>
          <w:p w14:paraId="55CAA8F5">
            <w:pPr>
              <w:spacing w:line="360" w:lineRule="auto"/>
              <w:rPr>
                <w:rFonts w:ascii="宋体" w:hAnsi="宋体" w:cs="宋体"/>
                <w:color w:val="auto"/>
                <w:szCs w:val="21"/>
                <w:highlight w:val="none"/>
              </w:rPr>
            </w:pPr>
            <w:r>
              <w:rPr>
                <w:rFonts w:hint="eastAsia" w:ascii="宋体" w:hAnsi="宋体" w:cs="宋体"/>
                <w:color w:val="auto"/>
                <w:szCs w:val="21"/>
                <w:highlight w:val="none"/>
              </w:rPr>
              <w:t>在处理突发事件过程中，保安队员出现畏缩不前、不听从甲方指令的，每次扣15分。</w:t>
            </w:r>
          </w:p>
        </w:tc>
        <w:tc>
          <w:tcPr>
            <w:tcW w:w="833" w:type="dxa"/>
          </w:tcPr>
          <w:p w14:paraId="1F479BDF">
            <w:pPr>
              <w:spacing w:line="360" w:lineRule="auto"/>
              <w:ind w:firstLine="420" w:firstLineChars="200"/>
              <w:rPr>
                <w:rFonts w:ascii="宋体" w:hAnsi="宋体" w:cs="宋体"/>
                <w:color w:val="auto"/>
                <w:szCs w:val="21"/>
                <w:highlight w:val="none"/>
              </w:rPr>
            </w:pPr>
          </w:p>
        </w:tc>
        <w:tc>
          <w:tcPr>
            <w:tcW w:w="817" w:type="dxa"/>
          </w:tcPr>
          <w:p w14:paraId="1C2B0578">
            <w:pPr>
              <w:spacing w:line="360" w:lineRule="auto"/>
              <w:ind w:firstLine="420" w:firstLineChars="200"/>
              <w:rPr>
                <w:rFonts w:ascii="宋体" w:hAnsi="宋体" w:cs="宋体"/>
                <w:color w:val="auto"/>
                <w:szCs w:val="21"/>
                <w:highlight w:val="none"/>
              </w:rPr>
            </w:pPr>
          </w:p>
        </w:tc>
        <w:tc>
          <w:tcPr>
            <w:tcW w:w="922" w:type="dxa"/>
          </w:tcPr>
          <w:p w14:paraId="55DA1127">
            <w:pPr>
              <w:spacing w:line="360" w:lineRule="auto"/>
              <w:ind w:firstLine="420" w:firstLineChars="200"/>
              <w:rPr>
                <w:rFonts w:ascii="宋体" w:hAnsi="宋体" w:cs="宋体"/>
                <w:color w:val="auto"/>
                <w:szCs w:val="21"/>
                <w:highlight w:val="none"/>
              </w:rPr>
            </w:pPr>
          </w:p>
        </w:tc>
      </w:tr>
      <w:tr w14:paraId="344D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6AE80302">
            <w:pPr>
              <w:spacing w:line="360" w:lineRule="auto"/>
              <w:ind w:firstLine="420" w:firstLineChars="200"/>
              <w:rPr>
                <w:rFonts w:ascii="宋体" w:hAnsi="宋体" w:cs="宋体"/>
                <w:color w:val="auto"/>
                <w:szCs w:val="21"/>
                <w:highlight w:val="none"/>
              </w:rPr>
            </w:pPr>
          </w:p>
        </w:tc>
        <w:tc>
          <w:tcPr>
            <w:tcW w:w="5842" w:type="dxa"/>
          </w:tcPr>
          <w:p w14:paraId="7D66B823">
            <w:pPr>
              <w:spacing w:line="360" w:lineRule="auto"/>
              <w:rPr>
                <w:rFonts w:ascii="宋体" w:hAnsi="宋体" w:cs="宋体"/>
                <w:color w:val="auto"/>
                <w:szCs w:val="21"/>
                <w:highlight w:val="none"/>
              </w:rPr>
            </w:pPr>
            <w:r>
              <w:rPr>
                <w:rFonts w:hint="eastAsia" w:ascii="宋体" w:hAnsi="宋体" w:cs="宋体"/>
                <w:color w:val="auto"/>
                <w:szCs w:val="21"/>
                <w:highlight w:val="none"/>
              </w:rPr>
              <w:t>未经甲方许可随意更换或提拔保安管理人员、在队员招聘过程中任人唯亲、放松管理或未按招标文件要求招聘队员，保安队员人数与实际人数严重不符的，一经查实，扣除当季度考核分30分。</w:t>
            </w:r>
          </w:p>
        </w:tc>
        <w:tc>
          <w:tcPr>
            <w:tcW w:w="833" w:type="dxa"/>
          </w:tcPr>
          <w:p w14:paraId="047EB5EC">
            <w:pPr>
              <w:spacing w:line="360" w:lineRule="auto"/>
              <w:ind w:firstLine="420" w:firstLineChars="200"/>
              <w:rPr>
                <w:rFonts w:ascii="宋体" w:hAnsi="宋体" w:cs="宋体"/>
                <w:color w:val="auto"/>
                <w:szCs w:val="21"/>
                <w:highlight w:val="none"/>
              </w:rPr>
            </w:pPr>
          </w:p>
        </w:tc>
        <w:tc>
          <w:tcPr>
            <w:tcW w:w="817" w:type="dxa"/>
          </w:tcPr>
          <w:p w14:paraId="17ED4E24">
            <w:pPr>
              <w:spacing w:line="360" w:lineRule="auto"/>
              <w:ind w:firstLine="420" w:firstLineChars="200"/>
              <w:rPr>
                <w:rFonts w:ascii="宋体" w:hAnsi="宋体" w:cs="宋体"/>
                <w:color w:val="auto"/>
                <w:szCs w:val="21"/>
                <w:highlight w:val="none"/>
              </w:rPr>
            </w:pPr>
          </w:p>
        </w:tc>
        <w:tc>
          <w:tcPr>
            <w:tcW w:w="922" w:type="dxa"/>
          </w:tcPr>
          <w:p w14:paraId="5FFBB96D">
            <w:pPr>
              <w:spacing w:line="360" w:lineRule="auto"/>
              <w:ind w:firstLine="420" w:firstLineChars="200"/>
              <w:rPr>
                <w:rFonts w:ascii="宋体" w:hAnsi="宋体" w:cs="宋体"/>
                <w:color w:val="auto"/>
                <w:szCs w:val="21"/>
                <w:highlight w:val="none"/>
              </w:rPr>
            </w:pPr>
          </w:p>
        </w:tc>
      </w:tr>
      <w:tr w14:paraId="0FF9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2598FA2C">
            <w:pPr>
              <w:spacing w:line="360" w:lineRule="auto"/>
              <w:ind w:firstLine="420" w:firstLineChars="200"/>
              <w:rPr>
                <w:rFonts w:ascii="宋体" w:hAnsi="宋体" w:cs="宋体"/>
                <w:color w:val="auto"/>
                <w:szCs w:val="21"/>
                <w:highlight w:val="none"/>
              </w:rPr>
            </w:pPr>
          </w:p>
        </w:tc>
        <w:tc>
          <w:tcPr>
            <w:tcW w:w="5842" w:type="dxa"/>
          </w:tcPr>
          <w:p w14:paraId="2D38B7B0">
            <w:pPr>
              <w:spacing w:line="360" w:lineRule="auto"/>
              <w:rPr>
                <w:rFonts w:ascii="宋体" w:hAnsi="宋体" w:cs="宋体"/>
                <w:color w:val="auto"/>
                <w:szCs w:val="21"/>
                <w:highlight w:val="none"/>
              </w:rPr>
            </w:pPr>
            <w:r>
              <w:rPr>
                <w:rFonts w:hint="eastAsia" w:ascii="宋体" w:hAnsi="宋体" w:cs="宋体"/>
                <w:color w:val="auto"/>
                <w:szCs w:val="21"/>
                <w:highlight w:val="none"/>
              </w:rPr>
              <w:t>乙方在处理内部劳务纠纷或解决队员意外伤害事故过程中互相推诿而引发针对甲方重大舆情、严重影响甲方形象的，扣除当季度考核分30分。</w:t>
            </w:r>
          </w:p>
        </w:tc>
        <w:tc>
          <w:tcPr>
            <w:tcW w:w="833" w:type="dxa"/>
          </w:tcPr>
          <w:p w14:paraId="5301FE04">
            <w:pPr>
              <w:spacing w:line="360" w:lineRule="auto"/>
              <w:ind w:firstLine="420" w:firstLineChars="200"/>
              <w:rPr>
                <w:rFonts w:ascii="宋体" w:hAnsi="宋体" w:cs="宋体"/>
                <w:color w:val="auto"/>
                <w:szCs w:val="21"/>
                <w:highlight w:val="none"/>
              </w:rPr>
            </w:pPr>
          </w:p>
        </w:tc>
        <w:tc>
          <w:tcPr>
            <w:tcW w:w="817" w:type="dxa"/>
          </w:tcPr>
          <w:p w14:paraId="10AA8D4B">
            <w:pPr>
              <w:spacing w:line="360" w:lineRule="auto"/>
              <w:ind w:firstLine="420" w:firstLineChars="200"/>
              <w:rPr>
                <w:rFonts w:ascii="宋体" w:hAnsi="宋体" w:cs="宋体"/>
                <w:color w:val="auto"/>
                <w:szCs w:val="21"/>
                <w:highlight w:val="none"/>
              </w:rPr>
            </w:pPr>
          </w:p>
        </w:tc>
        <w:tc>
          <w:tcPr>
            <w:tcW w:w="922" w:type="dxa"/>
          </w:tcPr>
          <w:p w14:paraId="7837D3B5">
            <w:pPr>
              <w:spacing w:line="360" w:lineRule="auto"/>
              <w:ind w:firstLine="420" w:firstLineChars="200"/>
              <w:rPr>
                <w:rFonts w:ascii="宋体" w:hAnsi="宋体" w:cs="宋体"/>
                <w:color w:val="auto"/>
                <w:szCs w:val="21"/>
                <w:highlight w:val="none"/>
              </w:rPr>
            </w:pPr>
          </w:p>
        </w:tc>
      </w:tr>
      <w:tr w14:paraId="3A9E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5" w:type="dxa"/>
            <w:gridSpan w:val="5"/>
          </w:tcPr>
          <w:p w14:paraId="5FA75B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考核总分值设定为100分，每季度考核期内王城、育才两校区累计扣分达到30分，甲方立即要求乙方进行整改，下一个考核期内仍未达标，学校有权提前解除合同。</w:t>
            </w:r>
          </w:p>
        </w:tc>
      </w:tr>
    </w:tbl>
    <w:p w14:paraId="2120B50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第十一条、不可抗力事件处理</w:t>
      </w:r>
    </w:p>
    <w:p w14:paraId="66A5FF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1EF803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3F9D5A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3.不可抗力事件延续120天以上，双方应通过友好协商，确定是否继续履行合同。</w:t>
      </w:r>
    </w:p>
    <w:p w14:paraId="76E5297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第十二条、合同争议解决</w:t>
      </w:r>
    </w:p>
    <w:p w14:paraId="0AC6F6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因履行本合同引起的或与本合同有关的争议，甲乙双方应首先通过友好协商解决，如果协商不能解决，可向甲方所在地的人民法院提起诉讼。</w:t>
      </w:r>
    </w:p>
    <w:p w14:paraId="2E08D39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第十三条、合同生效及其它</w:t>
      </w:r>
    </w:p>
    <w:p w14:paraId="01D874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1.合同经双方法定代表人（负责人/自然人）或委托代理人签字并加盖单位公章后生效（委托代理人签字的需后附法定代表人授权委托书，格式自拟）。</w:t>
      </w:r>
    </w:p>
    <w:p w14:paraId="43BBE2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2.合同执行中涉及采购资金和采购内容修改或补充的，须经财政部门审批，并签书面补充协议报财政部门备案，方可作为主合同不可分割的一部分。</w:t>
      </w:r>
    </w:p>
    <w:p w14:paraId="3A470B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1FE03D9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第十四条、合同的变更、终止与转让</w:t>
      </w:r>
    </w:p>
    <w:p w14:paraId="666AF2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3CDBA7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6D24162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第十五条、签订本合同依据</w:t>
      </w:r>
    </w:p>
    <w:p w14:paraId="5FE2C4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1.中标（成交）通知书；</w:t>
      </w:r>
    </w:p>
    <w:p w14:paraId="0573FE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采购文件；</w:t>
      </w:r>
    </w:p>
    <w:p w14:paraId="2B1ACE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3.乙方提供的投标(响应)文件、应答文件；</w:t>
      </w:r>
    </w:p>
    <w:p w14:paraId="53D79A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4.投标函、开标一览表；</w:t>
      </w:r>
    </w:p>
    <w:p w14:paraId="472401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5.商务响应表；</w:t>
      </w:r>
    </w:p>
    <w:p w14:paraId="637968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6.技术响应表；</w:t>
      </w:r>
    </w:p>
    <w:p w14:paraId="0268E7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7.售后服务承诺书；</w:t>
      </w:r>
    </w:p>
    <w:p w14:paraId="12DA1E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8.其他合同文件。</w:t>
      </w:r>
    </w:p>
    <w:p w14:paraId="565F7666">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第十六条　</w:t>
      </w:r>
      <w:r>
        <w:rPr>
          <w:rFonts w:hint="eastAsia" w:ascii="宋体" w:hAnsi="宋体" w:cs="宋体"/>
          <w:color w:val="auto"/>
          <w:szCs w:val="21"/>
          <w:highlight w:val="none"/>
        </w:rPr>
        <w:t>本合同一式四份，具有同等法律效力，甲方两份、乙方一份、采购代理机构一份（可根据需要另增加）。</w:t>
      </w:r>
    </w:p>
    <w:p w14:paraId="0EFAFEA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本合同甲乙双方签字并盖章后生效。</w:t>
      </w:r>
    </w:p>
    <w:p w14:paraId="555264F8">
      <w:pPr>
        <w:tabs>
          <w:tab w:val="left" w:pos="4320"/>
          <w:tab w:val="left" w:pos="4500"/>
        </w:tabs>
        <w:spacing w:line="400" w:lineRule="exact"/>
        <w:rPr>
          <w:rFonts w:ascii="宋体" w:hAnsi="宋体" w:cs="宋体"/>
          <w:color w:val="auto"/>
          <w:highlight w:val="none"/>
          <w:u w:val="single"/>
        </w:rPr>
      </w:pPr>
      <w:r>
        <w:rPr>
          <w:rFonts w:hint="eastAsia" w:ascii="仿宋_GB2312" w:eastAsia="仿宋_GB2312"/>
          <w:b/>
          <w:color w:val="auto"/>
          <w:sz w:val="28"/>
          <w:szCs w:val="28"/>
          <w:highlight w:val="none"/>
        </w:rPr>
        <w:t>、</w:t>
      </w:r>
      <w:r>
        <w:rPr>
          <w:rFonts w:hint="eastAsia" w:ascii="宋体" w:hAnsi="宋体" w:cs="宋体"/>
          <w:color w:val="auto"/>
          <w:highlight w:val="none"/>
        </w:rPr>
        <w:t>甲方名称（公章）：</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乙方名称（公章）：</w:t>
      </w:r>
      <w:r>
        <w:rPr>
          <w:rFonts w:hint="eastAsia" w:ascii="宋体" w:hAnsi="宋体" w:cs="宋体"/>
          <w:color w:val="auto"/>
          <w:highlight w:val="none"/>
          <w:u w:val="single"/>
        </w:rPr>
        <w:t xml:space="preserve">                           </w:t>
      </w:r>
    </w:p>
    <w:p w14:paraId="2E4216D4">
      <w:pPr>
        <w:spacing w:line="400" w:lineRule="exact"/>
        <w:ind w:left="4620" w:hanging="4620" w:hangingChars="2200"/>
        <w:rPr>
          <w:rFonts w:ascii="宋体" w:hAnsi="宋体" w:cs="宋体"/>
          <w:color w:val="auto"/>
          <w:highlight w:val="none"/>
          <w:u w:val="singl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法定代表人签字：</w:t>
      </w:r>
      <w:r>
        <w:rPr>
          <w:rFonts w:hint="eastAsia" w:ascii="宋体" w:hAnsi="宋体" w:cs="宋体"/>
          <w:color w:val="auto"/>
          <w:highlight w:val="none"/>
          <w:u w:val="single"/>
        </w:rPr>
        <w:t xml:space="preserve">                               </w:t>
      </w:r>
    </w:p>
    <w:p w14:paraId="542371EC">
      <w:pPr>
        <w:tabs>
          <w:tab w:val="left" w:pos="4680"/>
        </w:tabs>
        <w:spacing w:line="400" w:lineRule="exact"/>
        <w:rPr>
          <w:rFonts w:ascii="宋体" w:hAnsi="宋体" w:cs="宋体"/>
          <w:color w:val="auto"/>
          <w:highlight w:val="none"/>
          <w:u w:val="single"/>
        </w:rPr>
      </w:pPr>
      <w:r>
        <w:rPr>
          <w:rFonts w:hint="eastAsia" w:ascii="宋体" w:hAnsi="宋体" w:cs="宋体"/>
          <w:color w:val="auto"/>
          <w:highlight w:val="none"/>
        </w:rPr>
        <w:t>委托代理人：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w:t>
      </w:r>
      <w:r>
        <w:rPr>
          <w:rFonts w:hint="eastAsia" w:ascii="宋体" w:hAnsi="宋体" w:cs="宋体"/>
          <w:color w:val="auto"/>
          <w:highlight w:val="none"/>
          <w:u w:val="single"/>
        </w:rPr>
        <w:t xml:space="preserve">                                 </w:t>
      </w:r>
    </w:p>
    <w:p w14:paraId="36016EAC">
      <w:pPr>
        <w:tabs>
          <w:tab w:val="left" w:pos="5040"/>
        </w:tabs>
        <w:spacing w:line="400" w:lineRule="exact"/>
        <w:rPr>
          <w:rFonts w:ascii="宋体" w:hAnsi="宋体" w:cs="宋体"/>
          <w:color w:val="auto"/>
          <w:highlight w:val="none"/>
          <w:u w:val="singl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ascii="宋体" w:hAnsi="宋体" w:cs="宋体"/>
          <w:color w:val="auto"/>
          <w:highlight w:val="none"/>
          <w:u w:val="single"/>
        </w:rPr>
        <w:t>07732535678</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 </w:t>
      </w:r>
      <w:r>
        <w:rPr>
          <w:rFonts w:hint="eastAsia" w:ascii="宋体" w:hAnsi="宋体" w:cs="宋体"/>
          <w:color w:val="auto"/>
          <w:highlight w:val="none"/>
          <w:u w:val="single"/>
        </w:rPr>
        <w:t xml:space="preserve">                                  </w:t>
      </w:r>
    </w:p>
    <w:p w14:paraId="51E4BFDA">
      <w:pPr>
        <w:tabs>
          <w:tab w:val="left" w:pos="5040"/>
        </w:tabs>
        <w:spacing w:line="400" w:lineRule="exact"/>
        <w:rPr>
          <w:rFonts w:ascii="宋体" w:hAnsi="宋体" w:cs="宋体"/>
          <w:color w:val="auto"/>
          <w:highlight w:val="none"/>
        </w:rPr>
      </w:pPr>
      <w:r>
        <w:rPr>
          <w:rFonts w:hint="eastAsia" w:ascii="宋体" w:hAnsi="宋体" w:cs="宋体"/>
          <w:color w:val="auto"/>
          <w:highlight w:val="none"/>
        </w:rPr>
        <w:t>开户名称：广西师范大学</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开户名称：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0E10FEF4">
      <w:pPr>
        <w:tabs>
          <w:tab w:val="left" w:pos="5040"/>
        </w:tabs>
        <w:spacing w:line="400" w:lineRule="exact"/>
        <w:rPr>
          <w:rFonts w:ascii="宋体" w:hAnsi="宋体" w:cs="宋体"/>
          <w:color w:val="auto"/>
          <w:highlight w:val="none"/>
          <w:u w:val="singl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bookmarkStart w:id="147" w:name="_Hlk207966311"/>
      <w:r>
        <w:rPr>
          <w:rFonts w:hint="eastAsia" w:ascii="宋体" w:hAnsi="宋体"/>
          <w:color w:val="auto"/>
          <w:sz w:val="20"/>
          <w:szCs w:val="20"/>
          <w:highlight w:val="none"/>
          <w:u w:val="single"/>
          <w:shd w:val="clear" w:color="auto" w:fill="FFFFFF"/>
        </w:rPr>
        <w:t>中国工商银行股份有限公司</w:t>
      </w:r>
      <w:bookmarkEnd w:id="147"/>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p>
    <w:p w14:paraId="54A33E07">
      <w:pPr>
        <w:tabs>
          <w:tab w:val="left" w:pos="5040"/>
        </w:tabs>
        <w:spacing w:line="400" w:lineRule="exact"/>
        <w:ind w:firstLine="1200" w:firstLineChars="600"/>
        <w:rPr>
          <w:rFonts w:ascii="宋体" w:hAnsi="宋体" w:cs="宋体"/>
          <w:color w:val="auto"/>
          <w:highlight w:val="none"/>
        </w:rPr>
      </w:pPr>
      <w:r>
        <w:rPr>
          <w:rFonts w:hint="eastAsia" w:ascii="宋体" w:hAnsi="宋体"/>
          <w:color w:val="auto"/>
          <w:sz w:val="20"/>
          <w:szCs w:val="20"/>
          <w:highlight w:val="none"/>
          <w:u w:val="single"/>
          <w:shd w:val="clear" w:color="auto" w:fill="FFFFFF"/>
        </w:rPr>
        <w:t>桂林市高新科技支行</w:t>
      </w:r>
    </w:p>
    <w:p w14:paraId="41B4E6C5">
      <w:pPr>
        <w:tabs>
          <w:tab w:val="left" w:pos="5040"/>
        </w:tabs>
        <w:spacing w:line="400" w:lineRule="exact"/>
        <w:rPr>
          <w:rFonts w:ascii="宋体" w:hAnsi="宋体" w:cs="宋体"/>
          <w:color w:val="auto"/>
          <w:highlight w:val="none"/>
        </w:rPr>
      </w:pPr>
      <w:r>
        <w:rPr>
          <w:rFonts w:hint="eastAsia" w:ascii="宋体" w:hAnsi="宋体" w:cs="宋体"/>
          <w:color w:val="auto"/>
          <w:highlight w:val="none"/>
        </w:rPr>
        <w:t>银行账号：</w:t>
      </w:r>
      <w:r>
        <w:rPr>
          <w:rFonts w:hint="eastAsia" w:ascii="宋体" w:hAnsi="宋体" w:cs="宋体"/>
          <w:color w:val="auto"/>
          <w:highlight w:val="none"/>
          <w:u w:val="single"/>
        </w:rPr>
        <w:t xml:space="preserve"> </w:t>
      </w:r>
      <w:bookmarkStart w:id="148" w:name="_Hlk207966373"/>
      <w:r>
        <w:rPr>
          <w:rFonts w:eastAsia="微软雅黑"/>
          <w:color w:val="auto"/>
          <w:sz w:val="20"/>
          <w:szCs w:val="20"/>
          <w:highlight w:val="none"/>
          <w:u w:val="single"/>
          <w:shd w:val="clear" w:color="auto" w:fill="FFFFFF"/>
        </w:rPr>
        <w:t>2103 2151 0926 4004 618</w:t>
      </w:r>
      <w:bookmarkEnd w:id="148"/>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银行账号：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5AF941AB">
      <w:pPr>
        <w:tabs>
          <w:tab w:val="left" w:pos="5040"/>
        </w:tabs>
        <w:spacing w:line="400" w:lineRule="exact"/>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14:paraId="039F421F">
      <w:pPr>
        <w:snapToGrid w:val="0"/>
        <w:spacing w:line="360" w:lineRule="exact"/>
        <w:jc w:val="center"/>
        <w:rPr>
          <w:rFonts w:ascii="仿宋_GB2312" w:eastAsia="仿宋_GB2312"/>
          <w:b/>
          <w:color w:val="auto"/>
          <w:sz w:val="28"/>
          <w:szCs w:val="28"/>
          <w:highlight w:val="none"/>
        </w:rPr>
      </w:pPr>
    </w:p>
    <w:p w14:paraId="4C45E0CB">
      <w:pPr>
        <w:spacing w:line="480" w:lineRule="auto"/>
        <w:jc w:val="left"/>
        <w:rPr>
          <w:rFonts w:ascii="宋体" w:hAnsi="宋体" w:cs="宋体"/>
          <w:color w:val="auto"/>
          <w:sz w:val="28"/>
          <w:szCs w:val="28"/>
          <w:highlight w:val="none"/>
        </w:rPr>
      </w:pPr>
    </w:p>
    <w:p w14:paraId="19BEDBB9">
      <w:pPr>
        <w:snapToGrid w:val="0"/>
        <w:jc w:val="center"/>
        <w:rPr>
          <w:rFonts w:ascii="宋体" w:hAnsi="宋体" w:cs="宋体"/>
          <w:bCs/>
          <w:color w:val="auto"/>
          <w:sz w:val="32"/>
          <w:szCs w:val="32"/>
          <w:highlight w:val="none"/>
        </w:rPr>
      </w:pPr>
    </w:p>
    <w:p w14:paraId="30FB9230">
      <w:pPr>
        <w:jc w:val="left"/>
        <w:rPr>
          <w:rFonts w:ascii="宋体" w:hAnsi="宋体" w:cs="宋体"/>
          <w:color w:val="auto"/>
          <w:szCs w:val="21"/>
          <w:highlight w:val="none"/>
        </w:rPr>
      </w:pPr>
      <w:bookmarkStart w:id="149" w:name="_Hlk55381736"/>
      <w:r>
        <w:rPr>
          <w:rFonts w:ascii="宋体" w:hAnsi="宋体" w:cs="宋体"/>
          <w:color w:val="auto"/>
          <w:szCs w:val="21"/>
          <w:highlight w:val="none"/>
        </w:rPr>
        <w:br w:type="page"/>
      </w:r>
    </w:p>
    <w:p w14:paraId="3F37D2B0">
      <w:pPr>
        <w:pStyle w:val="2"/>
        <w:rPr>
          <w:color w:val="auto"/>
          <w:highlight w:val="none"/>
        </w:rPr>
      </w:pPr>
    </w:p>
    <w:bookmarkEnd w:id="149"/>
    <w:p w14:paraId="6CE98B64">
      <w:pPr>
        <w:snapToGrid w:val="0"/>
        <w:spacing w:line="480" w:lineRule="auto"/>
        <w:rPr>
          <w:rFonts w:ascii="宋体" w:hAnsi="宋体" w:cs="宋体"/>
          <w:bCs/>
          <w:color w:val="auto"/>
          <w:sz w:val="32"/>
          <w:szCs w:val="32"/>
          <w:highlight w:val="none"/>
        </w:rPr>
      </w:pPr>
    </w:p>
    <w:p w14:paraId="07C9FD6F">
      <w:pPr>
        <w:snapToGrid w:val="0"/>
        <w:jc w:val="center"/>
        <w:rPr>
          <w:rFonts w:ascii="宋体" w:hAnsi="宋体" w:cs="宋体"/>
          <w:bCs/>
          <w:color w:val="auto"/>
          <w:sz w:val="32"/>
          <w:szCs w:val="32"/>
          <w:highlight w:val="none"/>
        </w:rPr>
      </w:pPr>
    </w:p>
    <w:p w14:paraId="2677DB2D">
      <w:pPr>
        <w:snapToGrid w:val="0"/>
        <w:jc w:val="center"/>
        <w:rPr>
          <w:rFonts w:ascii="宋体" w:hAnsi="宋体" w:cs="宋体"/>
          <w:bCs/>
          <w:color w:val="auto"/>
          <w:sz w:val="32"/>
          <w:szCs w:val="32"/>
          <w:highlight w:val="none"/>
        </w:rPr>
      </w:pPr>
    </w:p>
    <w:p w14:paraId="38DFF9D0">
      <w:pPr>
        <w:snapToGrid w:val="0"/>
        <w:jc w:val="center"/>
        <w:rPr>
          <w:rFonts w:ascii="宋体" w:hAnsi="宋体" w:cs="宋体"/>
          <w:bCs/>
          <w:color w:val="auto"/>
          <w:sz w:val="32"/>
          <w:szCs w:val="32"/>
          <w:highlight w:val="none"/>
        </w:rPr>
      </w:pPr>
    </w:p>
    <w:p w14:paraId="7DDE7998">
      <w:pPr>
        <w:snapToGrid w:val="0"/>
        <w:jc w:val="center"/>
        <w:rPr>
          <w:rFonts w:ascii="宋体" w:hAnsi="宋体" w:cs="宋体"/>
          <w:bCs/>
          <w:color w:val="auto"/>
          <w:sz w:val="32"/>
          <w:szCs w:val="32"/>
          <w:highlight w:val="none"/>
        </w:rPr>
      </w:pPr>
    </w:p>
    <w:p w14:paraId="5489579C">
      <w:pPr>
        <w:snapToGrid w:val="0"/>
        <w:jc w:val="center"/>
        <w:rPr>
          <w:rFonts w:ascii="宋体" w:hAnsi="宋体" w:cs="宋体"/>
          <w:bCs/>
          <w:color w:val="auto"/>
          <w:sz w:val="32"/>
          <w:szCs w:val="32"/>
          <w:highlight w:val="none"/>
        </w:rPr>
      </w:pPr>
    </w:p>
    <w:p w14:paraId="78E1F4A4">
      <w:pPr>
        <w:snapToGrid w:val="0"/>
        <w:jc w:val="center"/>
        <w:rPr>
          <w:rFonts w:ascii="宋体" w:hAnsi="宋体" w:cs="宋体"/>
          <w:bCs/>
          <w:color w:val="auto"/>
          <w:sz w:val="32"/>
          <w:szCs w:val="32"/>
          <w:highlight w:val="none"/>
        </w:rPr>
      </w:pPr>
    </w:p>
    <w:p w14:paraId="46B376E4">
      <w:pPr>
        <w:pStyle w:val="3"/>
        <w:rPr>
          <w:color w:val="auto"/>
          <w:highlight w:val="none"/>
        </w:rPr>
      </w:pPr>
      <w:bookmarkStart w:id="150" w:name="_Toc6656"/>
      <w:bookmarkStart w:id="151" w:name="_Toc12390"/>
      <w:bookmarkStart w:id="152" w:name="_Toc32428"/>
      <w:bookmarkStart w:id="153" w:name="_Toc19686834"/>
      <w:r>
        <w:rPr>
          <w:rFonts w:hint="eastAsia"/>
          <w:color w:val="auto"/>
          <w:highlight w:val="none"/>
        </w:rPr>
        <w:t>第六章、投标文件格式</w:t>
      </w:r>
      <w:bookmarkEnd w:id="150"/>
      <w:bookmarkEnd w:id="151"/>
      <w:bookmarkEnd w:id="152"/>
      <w:bookmarkEnd w:id="153"/>
    </w:p>
    <w:p w14:paraId="1705B25B">
      <w:pPr>
        <w:rPr>
          <w:rFonts w:ascii="宋体" w:hAnsi="宋体" w:cs="宋体"/>
          <w:color w:val="auto"/>
          <w:highlight w:val="none"/>
        </w:rPr>
      </w:pPr>
    </w:p>
    <w:p w14:paraId="4FEEED14">
      <w:pPr>
        <w:rPr>
          <w:rFonts w:ascii="宋体" w:hAnsi="宋体" w:cs="宋体"/>
          <w:color w:val="auto"/>
          <w:highlight w:val="none"/>
        </w:rPr>
      </w:pPr>
    </w:p>
    <w:p w14:paraId="6F9EAFF8">
      <w:pPr>
        <w:rPr>
          <w:rFonts w:ascii="宋体" w:hAnsi="宋体" w:cs="宋体"/>
          <w:color w:val="auto"/>
          <w:highlight w:val="none"/>
        </w:rPr>
      </w:pPr>
    </w:p>
    <w:p w14:paraId="4F9EBECF">
      <w:pPr>
        <w:rPr>
          <w:rFonts w:ascii="宋体" w:hAnsi="宋体" w:cs="宋体"/>
          <w:color w:val="auto"/>
          <w:highlight w:val="none"/>
        </w:rPr>
      </w:pPr>
    </w:p>
    <w:p w14:paraId="46334D05">
      <w:pPr>
        <w:rPr>
          <w:rFonts w:ascii="宋体" w:hAnsi="宋体" w:cs="宋体"/>
          <w:color w:val="auto"/>
          <w:highlight w:val="none"/>
        </w:rPr>
      </w:pPr>
    </w:p>
    <w:p w14:paraId="70722051">
      <w:pPr>
        <w:rPr>
          <w:rFonts w:ascii="宋体" w:hAnsi="宋体" w:cs="宋体"/>
          <w:color w:val="auto"/>
          <w:highlight w:val="none"/>
        </w:rPr>
      </w:pPr>
    </w:p>
    <w:p w14:paraId="278252A1">
      <w:pPr>
        <w:rPr>
          <w:rFonts w:ascii="宋体" w:hAnsi="宋体" w:cs="宋体"/>
          <w:color w:val="auto"/>
          <w:highlight w:val="none"/>
        </w:rPr>
      </w:pPr>
    </w:p>
    <w:p w14:paraId="75103FD0">
      <w:pPr>
        <w:rPr>
          <w:rFonts w:ascii="宋体" w:hAnsi="宋体" w:cs="宋体"/>
          <w:color w:val="auto"/>
          <w:highlight w:val="none"/>
        </w:rPr>
      </w:pPr>
    </w:p>
    <w:p w14:paraId="560A25D9">
      <w:pPr>
        <w:rPr>
          <w:rFonts w:ascii="宋体" w:hAnsi="宋体" w:cs="宋体"/>
          <w:color w:val="auto"/>
          <w:highlight w:val="none"/>
        </w:rPr>
      </w:pPr>
    </w:p>
    <w:p w14:paraId="300FFE2D">
      <w:pPr>
        <w:jc w:val="left"/>
        <w:rPr>
          <w:rFonts w:ascii="宋体" w:hAnsi="宋体" w:cs="宋体"/>
          <w:color w:val="auto"/>
          <w:highlight w:val="none"/>
        </w:rPr>
      </w:pPr>
      <w:r>
        <w:rPr>
          <w:rFonts w:hint="eastAsia" w:ascii="宋体" w:hAnsi="宋体" w:cs="宋体"/>
          <w:color w:val="auto"/>
          <w:highlight w:val="none"/>
        </w:rPr>
        <w:br w:type="page"/>
      </w:r>
    </w:p>
    <w:p w14:paraId="6E9E6082">
      <w:pPr>
        <w:pStyle w:val="4"/>
        <w:rPr>
          <w:color w:val="auto"/>
          <w:highlight w:val="none"/>
        </w:rPr>
      </w:pPr>
      <w:bookmarkStart w:id="154" w:name="_Toc19686836"/>
      <w:bookmarkStart w:id="155" w:name="_Toc254970557"/>
      <w:bookmarkStart w:id="156" w:name="_Toc254970698"/>
      <w:r>
        <w:rPr>
          <w:rFonts w:hint="eastAsia"/>
          <w:color w:val="auto"/>
          <w:highlight w:val="none"/>
        </w:rPr>
        <w:t>一、报价文件格式</w:t>
      </w:r>
      <w:bookmarkEnd w:id="154"/>
    </w:p>
    <w:p w14:paraId="473C034B">
      <w:pPr>
        <w:snapToGrid w:val="0"/>
        <w:spacing w:before="120" w:beforeLines="50" w:after="50" w:line="400" w:lineRule="exact"/>
        <w:jc w:val="center"/>
        <w:rPr>
          <w:rFonts w:ascii="宋体" w:hAnsi="宋体" w:cs="宋体"/>
          <w:bCs/>
          <w:color w:val="auto"/>
          <w:sz w:val="24"/>
          <w:szCs w:val="20"/>
          <w:highlight w:val="none"/>
        </w:rPr>
      </w:pPr>
    </w:p>
    <w:p w14:paraId="2EDC4D13">
      <w:pPr>
        <w:pStyle w:val="9"/>
        <w:rPr>
          <w:color w:val="auto"/>
          <w:highlight w:val="none"/>
        </w:rPr>
      </w:pPr>
    </w:p>
    <w:p w14:paraId="6A623C7E">
      <w:pPr>
        <w:pStyle w:val="9"/>
        <w:rPr>
          <w:color w:val="auto"/>
          <w:highlight w:val="none"/>
        </w:rPr>
      </w:pPr>
    </w:p>
    <w:p w14:paraId="30D7F349">
      <w:pPr>
        <w:pStyle w:val="9"/>
        <w:rPr>
          <w:color w:val="auto"/>
          <w:highlight w:val="none"/>
        </w:rPr>
      </w:pPr>
    </w:p>
    <w:p w14:paraId="3E2B69F2">
      <w:pPr>
        <w:pStyle w:val="9"/>
        <w:rPr>
          <w:color w:val="auto"/>
          <w:highlight w:val="none"/>
        </w:rPr>
      </w:pPr>
    </w:p>
    <w:p w14:paraId="06B25D3E">
      <w:pPr>
        <w:pStyle w:val="9"/>
        <w:rPr>
          <w:color w:val="auto"/>
          <w:highlight w:val="none"/>
        </w:rPr>
      </w:pPr>
    </w:p>
    <w:p w14:paraId="724D67CA">
      <w:pPr>
        <w:pStyle w:val="9"/>
        <w:rPr>
          <w:color w:val="auto"/>
          <w:highlight w:val="none"/>
        </w:rPr>
      </w:pPr>
    </w:p>
    <w:p w14:paraId="1873D59E">
      <w:pPr>
        <w:pStyle w:val="9"/>
        <w:rPr>
          <w:color w:val="auto"/>
          <w:highlight w:val="none"/>
        </w:rPr>
      </w:pPr>
    </w:p>
    <w:p w14:paraId="670FFEAA">
      <w:pPr>
        <w:pStyle w:val="9"/>
        <w:rPr>
          <w:color w:val="auto"/>
          <w:highlight w:val="none"/>
        </w:rPr>
      </w:pPr>
    </w:p>
    <w:p w14:paraId="1EBE66CC">
      <w:pPr>
        <w:pStyle w:val="9"/>
        <w:rPr>
          <w:color w:val="auto"/>
          <w:highlight w:val="none"/>
        </w:rPr>
      </w:pPr>
    </w:p>
    <w:p w14:paraId="67E788F2">
      <w:pPr>
        <w:pStyle w:val="9"/>
        <w:rPr>
          <w:color w:val="auto"/>
          <w:highlight w:val="none"/>
        </w:rPr>
      </w:pPr>
    </w:p>
    <w:p w14:paraId="2F955A7E">
      <w:pPr>
        <w:pStyle w:val="9"/>
        <w:rPr>
          <w:color w:val="auto"/>
          <w:highlight w:val="none"/>
        </w:rPr>
      </w:pPr>
    </w:p>
    <w:p w14:paraId="66094353">
      <w:pPr>
        <w:pStyle w:val="9"/>
        <w:rPr>
          <w:color w:val="auto"/>
          <w:highlight w:val="none"/>
        </w:rPr>
      </w:pPr>
    </w:p>
    <w:p w14:paraId="11FA155E">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0DB7D176">
      <w:pPr>
        <w:snapToGrid w:val="0"/>
        <w:spacing w:before="120" w:beforeLines="50" w:after="50" w:line="400" w:lineRule="exact"/>
        <w:rPr>
          <w:rFonts w:ascii="宋体" w:hAnsi="宋体" w:cs="宋体"/>
          <w:bCs/>
          <w:color w:val="auto"/>
          <w:sz w:val="24"/>
          <w:szCs w:val="20"/>
          <w:highlight w:val="none"/>
        </w:rPr>
      </w:pPr>
    </w:p>
    <w:p w14:paraId="30E2785E">
      <w:pPr>
        <w:snapToGrid w:val="0"/>
        <w:spacing w:before="120" w:beforeLines="50" w:after="50" w:line="400" w:lineRule="exact"/>
        <w:rPr>
          <w:rFonts w:ascii="宋体" w:hAnsi="宋体" w:cs="宋体"/>
          <w:bCs/>
          <w:color w:val="auto"/>
          <w:sz w:val="24"/>
          <w:szCs w:val="20"/>
          <w:highlight w:val="none"/>
        </w:rPr>
      </w:pPr>
    </w:p>
    <w:p w14:paraId="543E3D32">
      <w:pPr>
        <w:snapToGrid w:val="0"/>
        <w:spacing w:before="120" w:beforeLines="50" w:after="50" w:line="400" w:lineRule="exact"/>
        <w:rPr>
          <w:rFonts w:ascii="宋体" w:hAnsi="宋体" w:cs="宋体"/>
          <w:bCs/>
          <w:color w:val="auto"/>
          <w:sz w:val="24"/>
          <w:szCs w:val="20"/>
          <w:highlight w:val="none"/>
        </w:rPr>
      </w:pPr>
    </w:p>
    <w:p w14:paraId="354C40A7">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1352D6EC">
      <w:pPr>
        <w:snapToGrid w:val="0"/>
        <w:spacing w:before="120" w:beforeLines="50" w:after="50" w:line="400" w:lineRule="exact"/>
        <w:ind w:firstLine="360" w:firstLineChars="150"/>
        <w:rPr>
          <w:rFonts w:ascii="宋体" w:hAnsi="宋体" w:cs="宋体"/>
          <w:bCs/>
          <w:color w:val="auto"/>
          <w:sz w:val="24"/>
          <w:highlight w:val="none"/>
        </w:rPr>
      </w:pPr>
    </w:p>
    <w:p w14:paraId="2901467C">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1693C20B">
      <w:pPr>
        <w:snapToGrid w:val="0"/>
        <w:spacing w:before="120" w:beforeLines="50" w:after="50" w:line="400" w:lineRule="exact"/>
        <w:ind w:firstLine="360" w:firstLineChars="150"/>
        <w:rPr>
          <w:rFonts w:ascii="宋体" w:hAnsi="宋体" w:cs="宋体"/>
          <w:bCs/>
          <w:color w:val="auto"/>
          <w:sz w:val="24"/>
          <w:highlight w:val="none"/>
        </w:rPr>
      </w:pPr>
    </w:p>
    <w:p w14:paraId="7CD1665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78FC72DB">
      <w:pPr>
        <w:snapToGrid w:val="0"/>
        <w:spacing w:before="120" w:beforeLines="50" w:after="50" w:line="400" w:lineRule="exact"/>
        <w:ind w:firstLine="360" w:firstLineChars="150"/>
        <w:rPr>
          <w:rFonts w:ascii="宋体" w:hAnsi="宋体" w:cs="宋体"/>
          <w:bCs/>
          <w:color w:val="auto"/>
          <w:sz w:val="24"/>
          <w:highlight w:val="none"/>
        </w:rPr>
      </w:pPr>
    </w:p>
    <w:p w14:paraId="4AA7167F">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26085930">
      <w:pPr>
        <w:pStyle w:val="9"/>
        <w:snapToGrid w:val="0"/>
        <w:spacing w:before="50" w:after="50" w:line="400" w:lineRule="exact"/>
        <w:ind w:firstLine="960" w:firstLineChars="400"/>
        <w:rPr>
          <w:rFonts w:ascii="宋体" w:hAnsi="宋体" w:cs="宋体"/>
          <w:bCs/>
          <w:color w:val="auto"/>
          <w:sz w:val="24"/>
          <w:szCs w:val="24"/>
          <w:highlight w:val="none"/>
        </w:rPr>
      </w:pPr>
    </w:p>
    <w:p w14:paraId="79705D99">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531271A7">
      <w:pPr>
        <w:pStyle w:val="5"/>
        <w:snapToGrid w:val="0"/>
        <w:spacing w:before="120" w:beforeLines="50" w:after="50"/>
        <w:jc w:val="left"/>
        <w:rPr>
          <w:rFonts w:ascii="宋体" w:hAnsi="宋体" w:cs="宋体"/>
          <w:color w:val="auto"/>
          <w:sz w:val="24"/>
          <w:szCs w:val="20"/>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1.报价文件目录</w:t>
      </w:r>
    </w:p>
    <w:p w14:paraId="2DEDADF6">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4730F839">
      <w:pPr>
        <w:snapToGrid w:val="0"/>
        <w:spacing w:before="120" w:beforeLines="50" w:after="50"/>
        <w:rPr>
          <w:rFonts w:ascii="宋体" w:hAnsi="宋体" w:cs="宋体"/>
          <w:b/>
          <w:color w:val="auto"/>
          <w:sz w:val="24"/>
          <w:highlight w:val="none"/>
        </w:rPr>
      </w:pPr>
    </w:p>
    <w:p w14:paraId="48CFA278">
      <w:pPr>
        <w:snapToGrid w:val="0"/>
        <w:spacing w:before="120" w:beforeLines="50" w:after="50"/>
        <w:rPr>
          <w:rFonts w:ascii="宋体" w:hAnsi="宋体" w:cs="宋体"/>
          <w:b/>
          <w:color w:val="auto"/>
          <w:sz w:val="24"/>
          <w:highlight w:val="none"/>
        </w:rPr>
      </w:pPr>
    </w:p>
    <w:p w14:paraId="695851A3">
      <w:pPr>
        <w:snapToGrid w:val="0"/>
        <w:spacing w:before="120" w:beforeLines="50" w:after="50"/>
        <w:rPr>
          <w:rFonts w:ascii="宋体" w:hAnsi="宋体" w:cs="宋体"/>
          <w:b/>
          <w:color w:val="auto"/>
          <w:sz w:val="24"/>
          <w:highlight w:val="none"/>
        </w:rPr>
      </w:pPr>
    </w:p>
    <w:p w14:paraId="57BB2F2D">
      <w:pPr>
        <w:pStyle w:val="5"/>
        <w:snapToGrid w:val="0"/>
        <w:spacing w:before="120" w:beforeLines="50" w:after="50"/>
        <w:ind w:left="142"/>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2.投标函格式</w:t>
      </w:r>
    </w:p>
    <w:p w14:paraId="5ADB31EF">
      <w:pPr>
        <w:snapToGrid w:val="0"/>
        <w:spacing w:before="120" w:beforeLines="50" w:after="50"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投标函</w:t>
      </w:r>
    </w:p>
    <w:p w14:paraId="169E6A0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73737C24">
      <w:pPr>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项目名称（项目编号：            ）</w:t>
      </w:r>
      <w:r>
        <w:rPr>
          <w:rFonts w:hint="eastAsia" w:ascii="宋体" w:hAnsi="宋体" w:cs="宋体"/>
          <w:color w:val="auto"/>
          <w:szCs w:val="21"/>
          <w:highlight w:val="none"/>
        </w:rPr>
        <w:t>的招标公告，签字代表______（姓名）经正式授权并代表投标人</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提交投标文件。</w:t>
      </w:r>
    </w:p>
    <w:p w14:paraId="21E6450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据此函，我方宣布同意如下：</w:t>
      </w:r>
    </w:p>
    <w:p w14:paraId="1D02C07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C67DF6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79A2FA92">
      <w:pPr>
        <w:widowControl/>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bidi="ar"/>
        </w:rPr>
        <w:t>我方承诺投标有效期为招标文件规定的期限</w:t>
      </w:r>
    </w:p>
    <w:p w14:paraId="5011069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4.如中标，本投标文件至本项目合同履行完毕止均保持有效，我方将按“招标文件”及政府采购法律、法规的规定履行合同责任和义务。</w:t>
      </w:r>
    </w:p>
    <w:p w14:paraId="294271B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3013ABB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442C735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2489EE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7685E6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□我方本次投标文件内容中未涉及商业秘密；</w:t>
      </w:r>
    </w:p>
    <w:p w14:paraId="32CE4DD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□我方本次投标文件涉及商业秘密的内容有</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91BA90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9.与本投标有关的一切正式往来信函请寄：</w:t>
      </w:r>
    </w:p>
    <w:p w14:paraId="48A41A3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地址：    邮编：     电话：     传真：</w:t>
      </w:r>
    </w:p>
    <w:p w14:paraId="0C48D50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投标人名称:       开户银行：   银行帐号：</w:t>
      </w:r>
    </w:p>
    <w:p w14:paraId="7336DCA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法定代表人或者委托代理人[公章(CA签章)、自然人除外]:___________ </w:t>
      </w:r>
    </w:p>
    <w:p w14:paraId="0BBC0924">
      <w:pPr>
        <w:pStyle w:val="26"/>
        <w:snapToGrid w:val="0"/>
        <w:spacing w:before="295" w:after="295" w:line="360" w:lineRule="auto"/>
        <w:jc w:val="center"/>
        <w:rPr>
          <w:rFonts w:hAnsi="宋体" w:cs="宋体"/>
          <w:color w:val="auto"/>
          <w:sz w:val="21"/>
          <w:highlight w:val="none"/>
          <w:u w:val="single"/>
        </w:rPr>
      </w:pPr>
      <w:r>
        <w:rPr>
          <w:rFonts w:hint="eastAsia" w:hAnsi="宋体" w:cs="宋体"/>
          <w:color w:val="auto"/>
          <w:sz w:val="21"/>
          <w:highlight w:val="none"/>
        </w:rPr>
        <w:t>投标人[公章(CA签章)、自然人除外]：</w:t>
      </w:r>
    </w:p>
    <w:p w14:paraId="30877881">
      <w:pPr>
        <w:pStyle w:val="26"/>
        <w:snapToGrid w:val="0"/>
        <w:spacing w:before="295" w:after="295" w:line="360" w:lineRule="auto"/>
        <w:jc w:val="center"/>
        <w:rPr>
          <w:rFonts w:hAnsi="宋体" w:cs="宋体"/>
          <w:color w:val="auto"/>
          <w:sz w:val="21"/>
          <w:highlight w:val="none"/>
        </w:rPr>
      </w:pPr>
      <w:r>
        <w:rPr>
          <w:rFonts w:hint="eastAsia" w:hAnsi="宋体" w:cs="宋体"/>
          <w:color w:val="auto"/>
          <w:sz w:val="21"/>
          <w:highlight w:val="none"/>
        </w:rPr>
        <w:t>年    月    日</w:t>
      </w:r>
    </w:p>
    <w:p w14:paraId="4DCDE745">
      <w:pPr>
        <w:pStyle w:val="5"/>
        <w:snapToGrid w:val="0"/>
        <w:spacing w:before="120" w:beforeLines="50" w:after="50"/>
        <w:jc w:val="left"/>
        <w:rPr>
          <w:rFonts w:ascii="宋体" w:hAnsi="宋体" w:cs="宋体"/>
          <w:color w:val="auto"/>
          <w:sz w:val="24"/>
          <w:szCs w:val="20"/>
          <w:highlight w:val="none"/>
        </w:rPr>
      </w:pPr>
      <w:r>
        <w:rPr>
          <w:rFonts w:hint="eastAsia" w:ascii="宋体" w:hAnsi="宋体" w:cs="宋体"/>
          <w:color w:val="auto"/>
          <w:highlight w:val="none"/>
          <w:u w:val="single"/>
        </w:rPr>
        <w:br w:type="page"/>
      </w:r>
      <w:r>
        <w:rPr>
          <w:rFonts w:hint="eastAsia" w:ascii="宋体" w:hAnsi="宋体" w:cs="宋体"/>
          <w:color w:val="auto"/>
          <w:sz w:val="24"/>
          <w:highlight w:val="none"/>
        </w:rPr>
        <w:t>3.开标一览表</w:t>
      </w:r>
    </w:p>
    <w:p w14:paraId="27717478">
      <w:pPr>
        <w:snapToGrid w:val="0"/>
        <w:spacing w:before="50" w:after="50"/>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455AEC8B">
      <w:pPr>
        <w:snapToGrid w:val="0"/>
        <w:spacing w:before="50" w:after="50"/>
        <w:jc w:val="center"/>
        <w:rPr>
          <w:rFonts w:ascii="宋体" w:hAnsi="宋体" w:cs="宋体"/>
          <w:b/>
          <w:color w:val="auto"/>
          <w:sz w:val="30"/>
          <w:szCs w:val="20"/>
          <w:highlight w:val="none"/>
        </w:rPr>
      </w:pPr>
    </w:p>
    <w:p w14:paraId="07C5B9C8">
      <w:pPr>
        <w:snapToGrid w:val="0"/>
        <w:spacing w:before="50" w:after="50" w:line="360" w:lineRule="auto"/>
        <w:rPr>
          <w:rFonts w:ascii="宋体" w:hAnsi="宋体" w:cs="宋体"/>
          <w:color w:val="auto"/>
          <w:szCs w:val="21"/>
          <w:highlight w:val="none"/>
        </w:rPr>
      </w:pPr>
      <w:r>
        <w:rPr>
          <w:rFonts w:hint="eastAsia" w:ascii="宋体" w:hAnsi="宋体" w:cs="宋体"/>
          <w:color w:val="auto"/>
          <w:szCs w:val="21"/>
          <w:highlight w:val="none"/>
        </w:rPr>
        <w:t>项目名称：         项目编号：</w:t>
      </w:r>
    </w:p>
    <w:p w14:paraId="2C8B9CAB">
      <w:pPr>
        <w:snapToGrid w:val="0"/>
        <w:spacing w:before="50" w:after="50" w:line="360" w:lineRule="auto"/>
        <w:rPr>
          <w:rFonts w:ascii="宋体" w:hAnsi="宋体" w:cs="宋体"/>
          <w:color w:val="auto"/>
          <w:szCs w:val="21"/>
          <w:highlight w:val="none"/>
        </w:rPr>
      </w:pPr>
      <w:r>
        <w:rPr>
          <w:rFonts w:hint="eastAsia" w:ascii="宋体" w:hAnsi="宋体" w:cs="宋体"/>
          <w:color w:val="auto"/>
          <w:szCs w:val="21"/>
          <w:highlight w:val="none"/>
        </w:rPr>
        <w:t>投标人名称：                      单位：元</w:t>
      </w:r>
    </w:p>
    <w:tbl>
      <w:tblPr>
        <w:tblStyle w:val="52"/>
        <w:tblW w:w="505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5"/>
        <w:gridCol w:w="1631"/>
        <w:gridCol w:w="932"/>
        <w:gridCol w:w="1032"/>
        <w:gridCol w:w="1267"/>
        <w:gridCol w:w="1253"/>
        <w:gridCol w:w="943"/>
        <w:gridCol w:w="1573"/>
      </w:tblGrid>
      <w:tr w14:paraId="3F170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7" w:hRule="atLeast"/>
        </w:trPr>
        <w:tc>
          <w:tcPr>
            <w:tcW w:w="407" w:type="pct"/>
            <w:tcBorders>
              <w:top w:val="single" w:color="auto" w:sz="4" w:space="0"/>
              <w:left w:val="single" w:color="auto" w:sz="4" w:space="0"/>
              <w:bottom w:val="single" w:color="auto" w:sz="4" w:space="0"/>
              <w:right w:val="single" w:color="auto" w:sz="4" w:space="0"/>
            </w:tcBorders>
            <w:vAlign w:val="center"/>
          </w:tcPr>
          <w:p w14:paraId="7F9BAD11">
            <w:pPr>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项号</w:t>
            </w:r>
          </w:p>
        </w:tc>
        <w:tc>
          <w:tcPr>
            <w:tcW w:w="868" w:type="pct"/>
            <w:tcBorders>
              <w:top w:val="single" w:color="auto" w:sz="4" w:space="0"/>
              <w:left w:val="single" w:color="auto" w:sz="4" w:space="0"/>
              <w:bottom w:val="single" w:color="auto" w:sz="4" w:space="0"/>
              <w:right w:val="single" w:color="auto" w:sz="4" w:space="0"/>
            </w:tcBorders>
            <w:vAlign w:val="center"/>
          </w:tcPr>
          <w:p w14:paraId="432B5021">
            <w:pPr>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781B446">
            <w:pPr>
              <w:spacing w:line="320" w:lineRule="exact"/>
              <w:jc w:val="center"/>
              <w:rPr>
                <w:rFonts w:ascii="宋体" w:hAnsi="宋体" w:cs="宋体"/>
                <w:color w:val="auto"/>
                <w:kern w:val="0"/>
                <w:highlight w:val="none"/>
              </w:rPr>
            </w:pPr>
            <w:r>
              <w:rPr>
                <w:rFonts w:hint="eastAsia" w:ascii="宋体" w:hAnsi="宋体" w:cs="宋体"/>
                <w:b/>
                <w:color w:val="auto"/>
                <w:szCs w:val="21"/>
                <w:highlight w:val="none"/>
              </w:rPr>
              <w:t>数量①</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139A7A7">
            <w:pPr>
              <w:widowControl/>
              <w:spacing w:line="320" w:lineRule="exact"/>
              <w:jc w:val="center"/>
              <w:rPr>
                <w:rFonts w:ascii="宋体" w:hAnsi="宋体" w:cs="宋体"/>
                <w:b/>
                <w:color w:val="auto"/>
                <w:szCs w:val="21"/>
                <w:highlight w:val="none"/>
              </w:rPr>
            </w:pPr>
            <w:r>
              <w:rPr>
                <w:rFonts w:hint="eastAsia" w:ascii="宋体" w:hAnsi="宋体" w:cs="宋体"/>
                <w:b/>
                <w:color w:val="auto"/>
                <w:szCs w:val="21"/>
                <w:highlight w:val="none"/>
                <w:lang w:bidi="ar"/>
              </w:rPr>
              <w:t>单价（元/月/人）②</w:t>
            </w:r>
          </w:p>
        </w:tc>
        <w:tc>
          <w:tcPr>
            <w:tcW w:w="674" w:type="pct"/>
            <w:tcBorders>
              <w:top w:val="single" w:color="auto" w:sz="4" w:space="0"/>
              <w:left w:val="single" w:color="auto" w:sz="4" w:space="0"/>
              <w:bottom w:val="single" w:color="auto" w:sz="4" w:space="0"/>
              <w:right w:val="single" w:color="auto" w:sz="4" w:space="0"/>
            </w:tcBorders>
            <w:vAlign w:val="center"/>
          </w:tcPr>
          <w:p w14:paraId="25A52557">
            <w:pPr>
              <w:widowControl/>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每个月服务费用（元）（③=①×②）</w:t>
            </w:r>
          </w:p>
        </w:tc>
        <w:tc>
          <w:tcPr>
            <w:tcW w:w="667" w:type="pct"/>
            <w:tcBorders>
              <w:top w:val="single" w:color="auto" w:sz="4" w:space="0"/>
              <w:left w:val="nil"/>
              <w:bottom w:val="single" w:color="auto" w:sz="4" w:space="0"/>
              <w:right w:val="single" w:color="auto" w:sz="4" w:space="0"/>
            </w:tcBorders>
            <w:vAlign w:val="center"/>
          </w:tcPr>
          <w:p w14:paraId="7CB59598">
            <w:pPr>
              <w:spacing w:line="320" w:lineRule="exact"/>
              <w:jc w:val="center"/>
              <w:rPr>
                <w:rFonts w:ascii="宋体" w:hAnsi="宋体" w:cs="宋体"/>
                <w:color w:val="auto"/>
                <w:highlight w:val="none"/>
              </w:rPr>
            </w:pPr>
            <w:r>
              <w:rPr>
                <w:rFonts w:hint="eastAsia" w:ascii="宋体" w:hAnsi="宋体" w:cs="宋体"/>
                <w:b/>
                <w:color w:val="auto"/>
                <w:szCs w:val="21"/>
                <w:highlight w:val="none"/>
              </w:rPr>
              <w:t>每年服务费用（元）（④=③×12）</w:t>
            </w:r>
          </w:p>
        </w:tc>
        <w:tc>
          <w:tcPr>
            <w:tcW w:w="502" w:type="pct"/>
            <w:tcBorders>
              <w:top w:val="single" w:color="auto" w:sz="4" w:space="0"/>
              <w:left w:val="single" w:color="auto" w:sz="4" w:space="0"/>
              <w:bottom w:val="single" w:color="auto" w:sz="4" w:space="0"/>
              <w:right w:val="single" w:color="auto" w:sz="4" w:space="0"/>
            </w:tcBorders>
            <w:vAlign w:val="center"/>
          </w:tcPr>
          <w:p w14:paraId="045DD18C">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服务期限⑤</w:t>
            </w:r>
          </w:p>
        </w:tc>
        <w:tc>
          <w:tcPr>
            <w:tcW w:w="832" w:type="pct"/>
            <w:tcBorders>
              <w:top w:val="single" w:color="auto" w:sz="4" w:space="0"/>
              <w:left w:val="nil"/>
              <w:bottom w:val="single" w:color="auto" w:sz="4" w:space="0"/>
              <w:right w:val="single" w:color="auto" w:sz="4" w:space="0"/>
            </w:tcBorders>
            <w:vAlign w:val="center"/>
          </w:tcPr>
          <w:p w14:paraId="7EC3B871">
            <w:pPr>
              <w:snapToGrid w:val="0"/>
              <w:spacing w:before="50" w:after="50"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投标报价合计（元）</w:t>
            </w:r>
          </w:p>
          <w:p w14:paraId="4AB19A0E">
            <w:pPr>
              <w:spacing w:line="320" w:lineRule="exact"/>
              <w:jc w:val="center"/>
              <w:rPr>
                <w:rFonts w:ascii="宋体" w:hAnsi="宋体" w:cs="宋体"/>
                <w:b/>
                <w:color w:val="auto"/>
                <w:highlight w:val="none"/>
              </w:rPr>
            </w:pPr>
            <w:r>
              <w:rPr>
                <w:rFonts w:hint="eastAsia" w:ascii="宋体" w:hAnsi="宋体" w:cs="宋体"/>
                <w:b/>
                <w:color w:val="auto"/>
                <w:szCs w:val="21"/>
                <w:highlight w:val="none"/>
              </w:rPr>
              <w:t>（⑥=④×⑤）</w:t>
            </w:r>
          </w:p>
        </w:tc>
      </w:tr>
      <w:tr w14:paraId="53531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13" w:hRule="atLeast"/>
        </w:trPr>
        <w:tc>
          <w:tcPr>
            <w:tcW w:w="407" w:type="pct"/>
            <w:tcBorders>
              <w:top w:val="single" w:color="auto" w:sz="4" w:space="0"/>
              <w:left w:val="single" w:color="auto" w:sz="4" w:space="0"/>
              <w:right w:val="single" w:color="auto" w:sz="4" w:space="0"/>
            </w:tcBorders>
            <w:vAlign w:val="center"/>
          </w:tcPr>
          <w:p w14:paraId="3A7F7548">
            <w:pPr>
              <w:spacing w:line="320" w:lineRule="exact"/>
              <w:jc w:val="center"/>
              <w:rPr>
                <w:rFonts w:ascii="宋体" w:hAnsi="宋体" w:cs="宋体"/>
                <w:color w:val="auto"/>
                <w:kern w:val="0"/>
                <w:szCs w:val="21"/>
                <w:highlight w:val="none"/>
              </w:rPr>
            </w:pPr>
            <w:r>
              <w:rPr>
                <w:rFonts w:ascii="宋体" w:hAnsi="宋体"/>
                <w:color w:val="auto"/>
                <w:szCs w:val="21"/>
                <w:highlight w:val="none"/>
              </w:rPr>
              <w:t>1</w:t>
            </w:r>
          </w:p>
        </w:tc>
        <w:tc>
          <w:tcPr>
            <w:tcW w:w="868" w:type="pct"/>
            <w:tcBorders>
              <w:top w:val="single" w:color="auto" w:sz="4" w:space="0"/>
              <w:left w:val="single" w:color="auto" w:sz="4" w:space="0"/>
              <w:right w:val="single" w:color="auto" w:sz="4" w:space="0"/>
            </w:tcBorders>
            <w:vAlign w:val="center"/>
          </w:tcPr>
          <w:p w14:paraId="35DE4F05">
            <w:pPr>
              <w:spacing w:line="320" w:lineRule="exact"/>
              <w:jc w:val="left"/>
              <w:rPr>
                <w:rFonts w:ascii="宋体" w:hAnsi="宋体"/>
                <w:bCs/>
                <w:color w:val="auto"/>
                <w:szCs w:val="21"/>
                <w:highlight w:val="none"/>
              </w:rPr>
            </w:pPr>
            <w:r>
              <w:rPr>
                <w:rFonts w:hint="eastAsia" w:ascii="宋体" w:hAnsi="宋体" w:cs="宋体"/>
                <w:color w:val="auto"/>
                <w:szCs w:val="21"/>
                <w:highlight w:val="none"/>
              </w:rPr>
              <w:t>2026-2027年度王城、育才校区安保外包服务采购</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4E9F8C3">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149人</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096793D">
            <w:pPr>
              <w:spacing w:line="320" w:lineRule="exact"/>
              <w:jc w:val="center"/>
              <w:rPr>
                <w:rFonts w:ascii="宋体" w:hAnsi="宋体" w:cs="宋体"/>
                <w:color w:val="auto"/>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14:paraId="2CFC2327">
            <w:pPr>
              <w:spacing w:line="320" w:lineRule="exact"/>
              <w:jc w:val="center"/>
              <w:rPr>
                <w:rFonts w:ascii="宋体" w:hAnsi="宋体" w:cs="宋体"/>
                <w:color w:val="auto"/>
                <w:szCs w:val="21"/>
                <w:highlight w:val="none"/>
              </w:rPr>
            </w:pPr>
          </w:p>
        </w:tc>
        <w:tc>
          <w:tcPr>
            <w:tcW w:w="667" w:type="pct"/>
            <w:tcBorders>
              <w:top w:val="single" w:color="auto" w:sz="4" w:space="0"/>
              <w:left w:val="nil"/>
              <w:bottom w:val="single" w:color="auto" w:sz="4" w:space="0"/>
              <w:right w:val="single" w:color="auto" w:sz="4" w:space="0"/>
            </w:tcBorders>
            <w:vAlign w:val="center"/>
          </w:tcPr>
          <w:p w14:paraId="474A3C31">
            <w:pPr>
              <w:spacing w:line="320" w:lineRule="exact"/>
              <w:jc w:val="center"/>
              <w:rPr>
                <w:rFonts w:ascii="宋体" w:hAnsi="宋体" w:cs="宋体"/>
                <w:color w:val="auto"/>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25A47683">
            <w:pPr>
              <w:spacing w:line="320" w:lineRule="exact"/>
              <w:jc w:val="center"/>
              <w:rPr>
                <w:rFonts w:ascii="宋体" w:hAnsi="宋体" w:cs="宋体"/>
                <w:color w:val="auto"/>
                <w:highlight w:val="none"/>
              </w:rPr>
            </w:pPr>
            <w:r>
              <w:rPr>
                <w:rFonts w:hint="eastAsia" w:ascii="宋体" w:hAnsi="宋体" w:cs="宋体"/>
                <w:color w:val="auto"/>
                <w:highlight w:val="none"/>
              </w:rPr>
              <w:t xml:space="preserve"> </w:t>
            </w:r>
          </w:p>
        </w:tc>
        <w:tc>
          <w:tcPr>
            <w:tcW w:w="832" w:type="pct"/>
            <w:tcBorders>
              <w:top w:val="single" w:color="auto" w:sz="4" w:space="0"/>
              <w:left w:val="nil"/>
              <w:bottom w:val="single" w:color="auto" w:sz="4" w:space="0"/>
              <w:right w:val="single" w:color="auto" w:sz="4" w:space="0"/>
            </w:tcBorders>
            <w:vAlign w:val="center"/>
          </w:tcPr>
          <w:p w14:paraId="64DA54FF">
            <w:pPr>
              <w:spacing w:line="320" w:lineRule="exact"/>
              <w:jc w:val="center"/>
              <w:rPr>
                <w:rFonts w:ascii="宋体" w:hAnsi="宋体" w:cs="宋体"/>
                <w:color w:val="auto"/>
                <w:highlight w:val="none"/>
              </w:rPr>
            </w:pPr>
          </w:p>
        </w:tc>
      </w:tr>
      <w:tr w14:paraId="144F0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4DA53D7B">
            <w:pPr>
              <w:spacing w:line="320" w:lineRule="exact"/>
              <w:rPr>
                <w:color w:val="auto"/>
                <w:highlight w:val="none"/>
              </w:rPr>
            </w:pPr>
            <w:r>
              <w:rPr>
                <w:rFonts w:hint="eastAsia"/>
                <w:color w:val="auto"/>
                <w:highlight w:val="none"/>
              </w:rPr>
              <w:t>服务期限：</w:t>
            </w:r>
          </w:p>
        </w:tc>
      </w:tr>
      <w:tr w14:paraId="4D21F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9386C07">
            <w:pPr>
              <w:spacing w:line="320" w:lineRule="exact"/>
              <w:rPr>
                <w:color w:val="auto"/>
                <w:highlight w:val="none"/>
              </w:rPr>
            </w:pPr>
            <w:r>
              <w:rPr>
                <w:rFonts w:hint="eastAsia"/>
                <w:color w:val="auto"/>
                <w:highlight w:val="none"/>
              </w:rPr>
              <w:t>服务标准：</w:t>
            </w:r>
          </w:p>
        </w:tc>
      </w:tr>
      <w:tr w14:paraId="4C5B5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4"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1618E9A">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注：</w:t>
            </w:r>
            <w:r>
              <w:rPr>
                <w:rFonts w:hint="eastAsia" w:ascii="宋体" w:hAnsi="宋体"/>
                <w:color w:val="auto"/>
                <w:szCs w:val="21"/>
                <w:highlight w:val="none"/>
              </w:rPr>
              <w:t>投标报价应</w:t>
            </w:r>
            <w:r>
              <w:rPr>
                <w:rFonts w:hint="eastAsia" w:ascii="宋体" w:hAnsi="宋体" w:cs="宋体"/>
                <w:color w:val="auto"/>
                <w:szCs w:val="21"/>
                <w:highlight w:val="none"/>
              </w:rPr>
              <w:t>为完成采购需求中安保服务的一切费用（含税价），包括但不限于服务价格、本次服务采购项目实施和完成服务所用装备费、器材费、管理费、利润、税费、人工成本【人工工资、人员服装费、法定社会保险（养老保险、医疗保险、失业保险、工伤保险、生育保险）、福利费、其他商业保险及在人员使用上应包括的一切费用】等完成服务所必须的一切成本费用，以及招标文件及合同包含的所有风险、责任等各项已列明费用或未列明费用。</w:t>
            </w:r>
          </w:p>
        </w:tc>
      </w:tr>
    </w:tbl>
    <w:p w14:paraId="70D7A691">
      <w:pPr>
        <w:rPr>
          <w:rFonts w:ascii="宋体" w:hAnsi="宋体"/>
          <w:color w:val="auto"/>
          <w:sz w:val="24"/>
          <w:highlight w:val="none"/>
        </w:rPr>
      </w:pPr>
      <w:r>
        <w:rPr>
          <w:rFonts w:ascii="宋体" w:hAnsi="宋体"/>
          <w:color w:val="auto"/>
          <w:sz w:val="24"/>
          <w:highlight w:val="none"/>
        </w:rPr>
        <w:br w:type="page"/>
      </w:r>
    </w:p>
    <w:p w14:paraId="6929F6FB">
      <w:pPr>
        <w:pStyle w:val="5"/>
        <w:snapToGrid w:val="0"/>
        <w:spacing w:before="120" w:beforeLines="50" w:after="50"/>
        <w:jc w:val="left"/>
        <w:rPr>
          <w:color w:val="auto"/>
          <w:highlight w:val="none"/>
        </w:rPr>
      </w:pPr>
      <w:r>
        <w:rPr>
          <w:rFonts w:hint="eastAsia"/>
          <w:color w:val="auto"/>
          <w:highlight w:val="none"/>
        </w:rPr>
        <w:t>4.投标人针对报价需要说明的其他文件和说明（格式自拟）。</w:t>
      </w:r>
    </w:p>
    <w:p w14:paraId="155A4F7A">
      <w:pPr>
        <w:pStyle w:val="101"/>
        <w:jc w:val="both"/>
        <w:rPr>
          <w:rFonts w:ascii="宋体" w:eastAsia="宋体" w:cs="宋体"/>
          <w:color w:val="auto"/>
          <w:sz w:val="30"/>
          <w:highlight w:val="none"/>
        </w:rPr>
      </w:pPr>
    </w:p>
    <w:p w14:paraId="4AD43BC7">
      <w:pPr>
        <w:pStyle w:val="4"/>
        <w:spacing w:before="120" w:beforeLines="50" w:after="50"/>
        <w:rPr>
          <w:rFonts w:ascii="宋体" w:hAnsi="宋体" w:cs="宋体"/>
          <w:color w:val="auto"/>
          <w:sz w:val="28"/>
          <w:szCs w:val="28"/>
          <w:highlight w:val="none"/>
        </w:rPr>
      </w:pPr>
      <w:r>
        <w:rPr>
          <w:rFonts w:hint="eastAsia" w:ascii="宋体" w:hAnsi="宋体" w:cs="宋体"/>
          <w:b w:val="0"/>
          <w:bCs w:val="0"/>
          <w:color w:val="auto"/>
          <w:sz w:val="24"/>
          <w:highlight w:val="none"/>
        </w:rPr>
        <w:br w:type="page"/>
      </w:r>
      <w:bookmarkStart w:id="157" w:name="_Toc19686837"/>
      <w:r>
        <w:rPr>
          <w:rFonts w:hint="eastAsia" w:ascii="宋体" w:hAnsi="宋体" w:cs="宋体"/>
          <w:color w:val="auto"/>
          <w:sz w:val="28"/>
          <w:szCs w:val="28"/>
          <w:highlight w:val="none"/>
        </w:rPr>
        <w:t>二、资格证明文件格式</w:t>
      </w:r>
      <w:bookmarkEnd w:id="155"/>
      <w:bookmarkEnd w:id="156"/>
      <w:bookmarkEnd w:id="157"/>
    </w:p>
    <w:p w14:paraId="42B8B6ED">
      <w:pPr>
        <w:snapToGrid w:val="0"/>
        <w:spacing w:before="120" w:beforeLines="50" w:after="50"/>
        <w:rPr>
          <w:rFonts w:ascii="宋体" w:hAnsi="宋体" w:cs="宋体"/>
          <w:color w:val="auto"/>
          <w:sz w:val="24"/>
          <w:szCs w:val="20"/>
          <w:highlight w:val="none"/>
        </w:rPr>
      </w:pPr>
    </w:p>
    <w:p w14:paraId="1568D845">
      <w:pPr>
        <w:pStyle w:val="9"/>
        <w:rPr>
          <w:color w:val="auto"/>
          <w:highlight w:val="none"/>
        </w:rPr>
      </w:pPr>
    </w:p>
    <w:p w14:paraId="64BC5BBA">
      <w:pPr>
        <w:snapToGrid w:val="0"/>
        <w:spacing w:before="120" w:beforeLines="50" w:after="50"/>
        <w:jc w:val="center"/>
        <w:rPr>
          <w:rFonts w:ascii="宋体" w:hAnsi="宋体" w:cs="宋体"/>
          <w:b/>
          <w:color w:val="auto"/>
          <w:sz w:val="32"/>
          <w:szCs w:val="32"/>
          <w:highlight w:val="none"/>
        </w:rPr>
      </w:pPr>
    </w:p>
    <w:p w14:paraId="613991BC">
      <w:pPr>
        <w:snapToGrid w:val="0"/>
        <w:spacing w:before="120" w:beforeLines="50" w:after="50"/>
        <w:jc w:val="center"/>
        <w:rPr>
          <w:rFonts w:ascii="宋体" w:hAnsi="宋体" w:cs="宋体"/>
          <w:b/>
          <w:color w:val="auto"/>
          <w:sz w:val="32"/>
          <w:szCs w:val="32"/>
          <w:highlight w:val="none"/>
        </w:rPr>
      </w:pPr>
    </w:p>
    <w:p w14:paraId="13DFD330">
      <w:pPr>
        <w:snapToGrid w:val="0"/>
        <w:spacing w:before="120" w:beforeLines="50" w:after="50"/>
        <w:jc w:val="center"/>
        <w:rPr>
          <w:rFonts w:ascii="宋体" w:hAnsi="宋体" w:cs="宋体"/>
          <w:b/>
          <w:color w:val="auto"/>
          <w:sz w:val="32"/>
          <w:szCs w:val="32"/>
          <w:highlight w:val="none"/>
        </w:rPr>
      </w:pPr>
    </w:p>
    <w:p w14:paraId="70D75171">
      <w:pPr>
        <w:snapToGrid w:val="0"/>
        <w:spacing w:before="120" w:beforeLines="50" w:after="50"/>
        <w:jc w:val="center"/>
        <w:rPr>
          <w:rFonts w:ascii="宋体" w:hAnsi="宋体" w:cs="宋体"/>
          <w:b/>
          <w:color w:val="auto"/>
          <w:sz w:val="32"/>
          <w:szCs w:val="32"/>
          <w:highlight w:val="none"/>
        </w:rPr>
      </w:pPr>
    </w:p>
    <w:p w14:paraId="20BDC6D5">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631114F5">
      <w:pPr>
        <w:snapToGrid w:val="0"/>
        <w:spacing w:before="120" w:beforeLines="50" w:after="50"/>
        <w:rPr>
          <w:rFonts w:ascii="宋体" w:hAnsi="宋体" w:cs="宋体"/>
          <w:bCs/>
          <w:color w:val="auto"/>
          <w:sz w:val="24"/>
          <w:szCs w:val="20"/>
          <w:highlight w:val="none"/>
        </w:rPr>
      </w:pPr>
    </w:p>
    <w:p w14:paraId="21B56F2E">
      <w:pPr>
        <w:snapToGrid w:val="0"/>
        <w:spacing w:before="120" w:beforeLines="50" w:after="50"/>
        <w:rPr>
          <w:rFonts w:ascii="宋体" w:hAnsi="宋体" w:cs="宋体"/>
          <w:bCs/>
          <w:color w:val="auto"/>
          <w:sz w:val="24"/>
          <w:szCs w:val="20"/>
          <w:highlight w:val="none"/>
        </w:rPr>
      </w:pPr>
    </w:p>
    <w:p w14:paraId="46FF3289">
      <w:pPr>
        <w:snapToGrid w:val="0"/>
        <w:spacing w:before="120" w:beforeLines="50" w:after="50"/>
        <w:rPr>
          <w:rFonts w:ascii="宋体" w:hAnsi="宋体" w:cs="宋体"/>
          <w:bCs/>
          <w:color w:val="auto"/>
          <w:sz w:val="24"/>
          <w:szCs w:val="20"/>
          <w:highlight w:val="none"/>
        </w:rPr>
      </w:pPr>
    </w:p>
    <w:p w14:paraId="1F4AF3BA">
      <w:pPr>
        <w:snapToGrid w:val="0"/>
        <w:spacing w:before="120" w:beforeLines="50" w:after="50"/>
        <w:rPr>
          <w:rFonts w:ascii="宋体" w:hAnsi="宋体" w:cs="宋体"/>
          <w:bCs/>
          <w:color w:val="auto"/>
          <w:sz w:val="24"/>
          <w:szCs w:val="20"/>
          <w:highlight w:val="none"/>
        </w:rPr>
      </w:pPr>
    </w:p>
    <w:p w14:paraId="1C9C2B62">
      <w:pPr>
        <w:snapToGrid w:val="0"/>
        <w:spacing w:before="120" w:beforeLines="50" w:after="50"/>
        <w:ind w:firstLine="540" w:firstLineChars="225"/>
        <w:rPr>
          <w:rFonts w:ascii="宋体" w:hAnsi="宋体" w:cs="宋体"/>
          <w:bCs/>
          <w:color w:val="auto"/>
          <w:sz w:val="24"/>
          <w:highlight w:val="none"/>
        </w:rPr>
      </w:pPr>
    </w:p>
    <w:p w14:paraId="6EAA196D">
      <w:pPr>
        <w:snapToGrid w:val="0"/>
        <w:spacing w:before="120" w:beforeLines="50" w:after="50"/>
        <w:ind w:firstLine="540" w:firstLineChars="225"/>
        <w:rPr>
          <w:rFonts w:ascii="宋体" w:hAnsi="宋体" w:cs="宋体"/>
          <w:bCs/>
          <w:color w:val="auto"/>
          <w:sz w:val="24"/>
          <w:highlight w:val="none"/>
        </w:rPr>
      </w:pPr>
    </w:p>
    <w:p w14:paraId="0DD9BE8B">
      <w:pPr>
        <w:snapToGrid w:val="0"/>
        <w:spacing w:before="120" w:beforeLines="50" w:after="50"/>
        <w:ind w:firstLine="540" w:firstLineChars="225"/>
        <w:rPr>
          <w:rFonts w:ascii="宋体" w:hAnsi="宋体" w:cs="宋体"/>
          <w:bCs/>
          <w:color w:val="auto"/>
          <w:sz w:val="24"/>
          <w:highlight w:val="none"/>
        </w:rPr>
      </w:pPr>
    </w:p>
    <w:p w14:paraId="4570ABAE">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42AA99D1">
      <w:pPr>
        <w:snapToGrid w:val="0"/>
        <w:spacing w:before="120" w:beforeLines="50" w:after="50"/>
        <w:ind w:firstLine="540" w:firstLineChars="225"/>
        <w:rPr>
          <w:rFonts w:ascii="宋体" w:hAnsi="宋体" w:cs="宋体"/>
          <w:bCs/>
          <w:color w:val="auto"/>
          <w:sz w:val="24"/>
          <w:highlight w:val="none"/>
        </w:rPr>
      </w:pPr>
    </w:p>
    <w:p w14:paraId="753B50AE">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0B3E3AA2">
      <w:pPr>
        <w:snapToGrid w:val="0"/>
        <w:spacing w:before="120" w:beforeLines="50" w:after="50"/>
        <w:ind w:firstLine="540" w:firstLineChars="225"/>
        <w:rPr>
          <w:rFonts w:ascii="宋体" w:hAnsi="宋体" w:cs="宋体"/>
          <w:bCs/>
          <w:color w:val="auto"/>
          <w:sz w:val="24"/>
          <w:highlight w:val="none"/>
        </w:rPr>
      </w:pPr>
    </w:p>
    <w:p w14:paraId="4C412A69">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投标人名称：</w:t>
      </w:r>
    </w:p>
    <w:p w14:paraId="344A1023">
      <w:pPr>
        <w:snapToGrid w:val="0"/>
        <w:spacing w:before="120" w:beforeLines="50" w:after="50"/>
        <w:ind w:firstLine="540" w:firstLineChars="225"/>
        <w:rPr>
          <w:rFonts w:ascii="宋体" w:hAnsi="宋体" w:cs="宋体"/>
          <w:bCs/>
          <w:color w:val="auto"/>
          <w:sz w:val="24"/>
          <w:highlight w:val="none"/>
        </w:rPr>
      </w:pPr>
    </w:p>
    <w:p w14:paraId="05B13FC2">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投标人地址：</w:t>
      </w:r>
    </w:p>
    <w:p w14:paraId="0FFB0659">
      <w:pPr>
        <w:pStyle w:val="9"/>
        <w:snapToGrid w:val="0"/>
        <w:spacing w:before="50" w:after="50"/>
        <w:ind w:firstLine="960" w:firstLineChars="400"/>
        <w:rPr>
          <w:rFonts w:ascii="宋体" w:hAnsi="宋体" w:cs="宋体"/>
          <w:bCs/>
          <w:color w:val="auto"/>
          <w:sz w:val="24"/>
          <w:szCs w:val="24"/>
          <w:highlight w:val="none"/>
        </w:rPr>
      </w:pPr>
    </w:p>
    <w:p w14:paraId="136BF7B7">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3ED4A0CA">
      <w:pPr>
        <w:snapToGrid w:val="0"/>
        <w:spacing w:before="120" w:beforeLines="50" w:after="50"/>
        <w:rPr>
          <w:rFonts w:ascii="宋体" w:hAnsi="宋体" w:cs="宋体"/>
          <w:color w:val="auto"/>
          <w:sz w:val="24"/>
          <w:szCs w:val="20"/>
          <w:highlight w:val="none"/>
        </w:rPr>
      </w:pPr>
    </w:p>
    <w:p w14:paraId="7036D8F9">
      <w:pPr>
        <w:snapToGrid w:val="0"/>
        <w:spacing w:before="120" w:beforeLines="50" w:after="50"/>
        <w:rPr>
          <w:rFonts w:ascii="宋体" w:hAnsi="宋体" w:cs="宋体"/>
          <w:color w:val="auto"/>
          <w:sz w:val="24"/>
          <w:szCs w:val="20"/>
          <w:highlight w:val="none"/>
        </w:rPr>
      </w:pPr>
    </w:p>
    <w:p w14:paraId="23E507A6">
      <w:pPr>
        <w:numPr>
          <w:ilvl w:val="2"/>
          <w:numId w:val="0"/>
        </w:num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1.资格证明文件目录</w:t>
      </w:r>
    </w:p>
    <w:p w14:paraId="4F993C2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42131A26">
      <w:pPr>
        <w:snapToGrid w:val="0"/>
        <w:spacing w:before="50" w:after="120" w:afterLines="50"/>
        <w:jc w:val="left"/>
        <w:rPr>
          <w:rFonts w:ascii="宋体" w:hAnsi="宋体" w:cs="宋体"/>
          <w:color w:val="auto"/>
          <w:sz w:val="24"/>
          <w:highlight w:val="none"/>
        </w:rPr>
      </w:pPr>
    </w:p>
    <w:p w14:paraId="510F2BE8">
      <w:pPr>
        <w:snapToGrid w:val="0"/>
        <w:spacing w:before="50" w:after="120" w:afterLines="50"/>
        <w:jc w:val="left"/>
        <w:rPr>
          <w:rFonts w:ascii="宋体" w:hAnsi="宋体" w:cs="宋体"/>
          <w:color w:val="auto"/>
          <w:sz w:val="24"/>
          <w:highlight w:val="none"/>
        </w:rPr>
      </w:pPr>
    </w:p>
    <w:p w14:paraId="437AC645">
      <w:pPr>
        <w:numPr>
          <w:ilvl w:val="2"/>
          <w:numId w:val="0"/>
        </w:num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p>
    <w:p w14:paraId="3216DC0E">
      <w:pPr>
        <w:numPr>
          <w:ilvl w:val="2"/>
          <w:numId w:val="0"/>
        </w:numPr>
        <w:snapToGrid w:val="0"/>
        <w:spacing w:before="120" w:beforeLines="50" w:after="50"/>
        <w:jc w:val="left"/>
        <w:rPr>
          <w:rFonts w:ascii="宋体" w:hAnsi="宋体" w:cs="宋体"/>
          <w:b/>
          <w:color w:val="auto"/>
          <w:sz w:val="28"/>
          <w:szCs w:val="28"/>
          <w:highlight w:val="none"/>
        </w:rPr>
      </w:pPr>
      <w:r>
        <w:rPr>
          <w:rFonts w:hint="eastAsia" w:ascii="宋体" w:hAnsi="宋体" w:cs="宋体"/>
          <w:b/>
          <w:color w:val="auto"/>
          <w:sz w:val="28"/>
          <w:szCs w:val="28"/>
          <w:highlight w:val="none"/>
        </w:rPr>
        <w:t>2.投标人为法人或者其他组织的，提供营业执照等证明文件（如营业执照或者事业单位法人证书或者执业许可证等）；投标人为自然人的，提供身份证；（必须提供，否则作无效投标处理）</w:t>
      </w:r>
    </w:p>
    <w:p w14:paraId="3C8D31A3">
      <w:pPr>
        <w:rPr>
          <w:color w:val="auto"/>
          <w:highlight w:val="none"/>
        </w:rPr>
      </w:pPr>
    </w:p>
    <w:p w14:paraId="4B858D8A">
      <w:pPr>
        <w:numPr>
          <w:ilvl w:val="2"/>
          <w:numId w:val="0"/>
        </w:numPr>
        <w:snapToGrid w:val="0"/>
        <w:spacing w:before="120" w:beforeLines="50" w:after="50"/>
        <w:jc w:val="left"/>
        <w:rPr>
          <w:rFonts w:ascii="宋体" w:hAnsi="宋体" w:cs="宋体"/>
          <w:b/>
          <w:color w:val="auto"/>
          <w:sz w:val="28"/>
          <w:szCs w:val="28"/>
          <w:highlight w:val="none"/>
        </w:rPr>
      </w:pPr>
    </w:p>
    <w:p w14:paraId="4691EE68">
      <w:pPr>
        <w:numPr>
          <w:ilvl w:val="2"/>
          <w:numId w:val="0"/>
        </w:numPr>
        <w:snapToGrid w:val="0"/>
        <w:spacing w:before="120" w:beforeLines="50" w:after="50"/>
        <w:jc w:val="left"/>
        <w:rPr>
          <w:rFonts w:ascii="宋体" w:hAnsi="宋体" w:cs="宋体"/>
          <w:b/>
          <w:color w:val="auto"/>
          <w:sz w:val="28"/>
          <w:szCs w:val="28"/>
          <w:highlight w:val="none"/>
        </w:rPr>
      </w:pPr>
      <w:r>
        <w:rPr>
          <w:rFonts w:hint="eastAsia" w:ascii="宋体" w:hAnsi="宋体" w:cs="宋体"/>
          <w:b/>
          <w:color w:val="auto"/>
          <w:sz w:val="28"/>
          <w:szCs w:val="28"/>
          <w:highlight w:val="none"/>
        </w:rPr>
        <w:t>3.具有有效的《保安服务许可证》；（必须提供，否则作无效投标处理）</w:t>
      </w:r>
    </w:p>
    <w:p w14:paraId="0D3E965E">
      <w:pPr>
        <w:numPr>
          <w:ilvl w:val="2"/>
          <w:numId w:val="0"/>
        </w:numPr>
        <w:snapToGrid w:val="0"/>
        <w:spacing w:before="120" w:beforeLines="50" w:after="50"/>
        <w:ind w:firstLine="356"/>
        <w:jc w:val="left"/>
        <w:rPr>
          <w:rFonts w:ascii="宋体" w:hAnsi="宋体" w:cs="宋体"/>
          <w:b/>
          <w:color w:val="auto"/>
          <w:sz w:val="28"/>
          <w:szCs w:val="28"/>
          <w:highlight w:val="none"/>
        </w:rPr>
      </w:pPr>
    </w:p>
    <w:p w14:paraId="3459FC47">
      <w:pPr>
        <w:numPr>
          <w:ilvl w:val="2"/>
          <w:numId w:val="0"/>
        </w:numPr>
        <w:snapToGrid w:val="0"/>
        <w:spacing w:before="120" w:beforeLines="50" w:after="50"/>
        <w:jc w:val="left"/>
        <w:rPr>
          <w:rFonts w:ascii="宋体" w:hAnsi="宋体" w:cs="宋体"/>
          <w:b/>
          <w:color w:val="auto"/>
          <w:sz w:val="28"/>
          <w:szCs w:val="28"/>
          <w:highlight w:val="none"/>
        </w:rPr>
      </w:pPr>
      <w:r>
        <w:rPr>
          <w:rFonts w:hint="eastAsia" w:ascii="宋体" w:hAnsi="宋体" w:cs="宋体"/>
          <w:b/>
          <w:color w:val="auto"/>
          <w:sz w:val="28"/>
          <w:szCs w:val="28"/>
          <w:highlight w:val="none"/>
        </w:rPr>
        <w:t>4.投标人依法缴纳税收的相关材料【提交投标文件截止时间前半年内任意一个月的依法缴纳税收的凭据；依法免税的投标人，必须提供相应文件证明其依法免税。从取得营业执照时间起到投标文件提交截止时间为止不足要求月数的，只需提供从取得营业执照起的依法缴纳税收相应证明文件，或提供依法缴纳税的承诺函（格式自拟）】；（必须提供，否则作无效投标处理）</w:t>
      </w:r>
    </w:p>
    <w:p w14:paraId="2203E146">
      <w:pPr>
        <w:numPr>
          <w:ilvl w:val="2"/>
          <w:numId w:val="0"/>
        </w:numPr>
        <w:snapToGrid w:val="0"/>
        <w:spacing w:before="120" w:beforeLines="50" w:after="50"/>
        <w:jc w:val="left"/>
        <w:rPr>
          <w:rFonts w:ascii="宋体" w:hAnsi="宋体" w:cs="宋体"/>
          <w:b/>
          <w:color w:val="auto"/>
          <w:sz w:val="28"/>
          <w:szCs w:val="28"/>
          <w:highlight w:val="none"/>
        </w:rPr>
      </w:pPr>
    </w:p>
    <w:p w14:paraId="0822A9C2">
      <w:pPr>
        <w:numPr>
          <w:ilvl w:val="2"/>
          <w:numId w:val="0"/>
        </w:numPr>
        <w:snapToGrid w:val="0"/>
        <w:spacing w:before="120" w:beforeLines="50" w:after="50"/>
        <w:jc w:val="left"/>
        <w:rPr>
          <w:rFonts w:ascii="宋体" w:hAnsi="宋体" w:cs="宋体"/>
          <w:b/>
          <w:color w:val="auto"/>
          <w:sz w:val="28"/>
          <w:szCs w:val="28"/>
          <w:highlight w:val="none"/>
        </w:rPr>
      </w:pPr>
      <w:r>
        <w:rPr>
          <w:rFonts w:hint="eastAsia" w:ascii="宋体" w:hAnsi="宋体" w:cs="宋体"/>
          <w:b/>
          <w:color w:val="auto"/>
          <w:sz w:val="28"/>
          <w:szCs w:val="28"/>
          <w:highlight w:val="none"/>
        </w:rPr>
        <w:t>5.投标人依法缴纳社会保障资金的相关材料【提交投标文件截止时间前半年内任意一个月的依法缴纳社会保障资金的缴费凭证；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或提供依法缴纳社会保险费的承诺函（格式自拟）】；（必须提供，否则作无效投标处理）</w:t>
      </w:r>
    </w:p>
    <w:p w14:paraId="4BF39D26">
      <w:pPr>
        <w:numPr>
          <w:ilvl w:val="2"/>
          <w:numId w:val="0"/>
        </w:numPr>
        <w:snapToGrid w:val="0"/>
        <w:spacing w:before="120" w:beforeLines="50" w:after="50"/>
        <w:jc w:val="left"/>
        <w:rPr>
          <w:rFonts w:ascii="宋体" w:hAnsi="宋体" w:cs="宋体"/>
          <w:b/>
          <w:color w:val="auto"/>
          <w:sz w:val="28"/>
          <w:szCs w:val="28"/>
          <w:highlight w:val="none"/>
        </w:rPr>
      </w:pPr>
    </w:p>
    <w:p w14:paraId="16521043">
      <w:pPr>
        <w:numPr>
          <w:ilvl w:val="2"/>
          <w:numId w:val="0"/>
        </w:numPr>
        <w:snapToGrid w:val="0"/>
        <w:spacing w:before="120" w:beforeLines="50" w:after="50"/>
        <w:jc w:val="left"/>
        <w:rPr>
          <w:rFonts w:ascii="宋体" w:hAnsi="宋体" w:cs="宋体"/>
          <w:b/>
          <w:color w:val="auto"/>
          <w:sz w:val="28"/>
          <w:szCs w:val="28"/>
          <w:highlight w:val="none"/>
        </w:rPr>
      </w:pPr>
      <w:r>
        <w:rPr>
          <w:rFonts w:hint="eastAsia" w:ascii="宋体" w:hAnsi="宋体" w:cs="宋体"/>
          <w:b/>
          <w:color w:val="auto"/>
          <w:sz w:val="28"/>
          <w:szCs w:val="28"/>
          <w:highlight w:val="none"/>
        </w:rPr>
        <w:t>6.投标人财务状况报告【投标人应提供2024年度经审计的财务报告或者其基本开户银行出具的资信证明；投标截止日当年成立的投标人，只需提供从取得营业执照起的财务状况报告，或提供财务状况正常的承诺函（格式自拟）】；（必须提供，否则作无效投标处理）</w:t>
      </w:r>
    </w:p>
    <w:p w14:paraId="7958526B">
      <w:pPr>
        <w:numPr>
          <w:ilvl w:val="2"/>
          <w:numId w:val="0"/>
        </w:numPr>
        <w:snapToGrid w:val="0"/>
        <w:spacing w:before="120" w:beforeLines="50" w:after="50"/>
        <w:jc w:val="left"/>
        <w:rPr>
          <w:rFonts w:ascii="宋体" w:hAnsi="宋体" w:cs="宋体"/>
          <w:b/>
          <w:color w:val="auto"/>
          <w:sz w:val="28"/>
          <w:szCs w:val="28"/>
          <w:highlight w:val="none"/>
        </w:rPr>
      </w:pPr>
    </w:p>
    <w:p w14:paraId="357EFA6B">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4F656FA">
      <w:pPr>
        <w:numPr>
          <w:ilvl w:val="2"/>
          <w:numId w:val="0"/>
        </w:num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8"/>
          <w:szCs w:val="28"/>
          <w:highlight w:val="none"/>
        </w:rPr>
        <w:t>7.投标人直接控股、管理关系信息表</w:t>
      </w:r>
    </w:p>
    <w:p w14:paraId="419DF0F9">
      <w:pPr>
        <w:snapToGrid w:val="0"/>
        <w:spacing w:before="50" w:after="120" w:afterLines="50"/>
        <w:jc w:val="center"/>
        <w:rPr>
          <w:rFonts w:ascii="宋体" w:hAnsi="宋体" w:cs="宋体"/>
          <w:b/>
          <w:color w:val="auto"/>
          <w:sz w:val="28"/>
          <w:szCs w:val="28"/>
          <w:highlight w:val="none"/>
        </w:rPr>
      </w:pPr>
    </w:p>
    <w:p w14:paraId="38930991">
      <w:pPr>
        <w:snapToGrid w:val="0"/>
        <w:spacing w:before="50" w:after="120" w:afterLines="50"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投标人直接控股股东信息表</w:t>
      </w:r>
    </w:p>
    <w:tbl>
      <w:tblPr>
        <w:tblStyle w:val="52"/>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43DBDF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3B1093">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6B8B28">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F595E9">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5854E1F">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81902C">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3EEE85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C4581E">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A48710">
            <w:pPr>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FF0D2E">
            <w:pPr>
              <w:spacing w:line="360" w:lineRule="auto"/>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DCFC4D">
            <w:pPr>
              <w:spacing w:line="360" w:lineRule="auto"/>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DE0B70">
            <w:pPr>
              <w:spacing w:line="360" w:lineRule="auto"/>
              <w:jc w:val="center"/>
              <w:rPr>
                <w:rFonts w:ascii="宋体" w:hAnsi="宋体" w:cs="宋体"/>
                <w:color w:val="auto"/>
                <w:kern w:val="0"/>
                <w:szCs w:val="21"/>
                <w:highlight w:val="none"/>
              </w:rPr>
            </w:pPr>
          </w:p>
        </w:tc>
      </w:tr>
      <w:tr w14:paraId="1F3B2E9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581835">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D6B55B">
            <w:pPr>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BB6A61">
            <w:pPr>
              <w:spacing w:line="360" w:lineRule="auto"/>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D752C6">
            <w:pPr>
              <w:spacing w:line="360" w:lineRule="auto"/>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54D452">
            <w:pPr>
              <w:spacing w:line="360" w:lineRule="auto"/>
              <w:jc w:val="center"/>
              <w:rPr>
                <w:rFonts w:ascii="宋体" w:hAnsi="宋体" w:cs="宋体"/>
                <w:color w:val="auto"/>
                <w:kern w:val="0"/>
                <w:szCs w:val="21"/>
                <w:highlight w:val="none"/>
              </w:rPr>
            </w:pPr>
          </w:p>
        </w:tc>
      </w:tr>
      <w:tr w14:paraId="177C8AF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F0C2EB">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BCDA47">
            <w:pPr>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292686">
            <w:pPr>
              <w:spacing w:line="360" w:lineRule="auto"/>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BE7964">
            <w:pPr>
              <w:spacing w:line="360" w:lineRule="auto"/>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100A9B">
            <w:pPr>
              <w:spacing w:line="360" w:lineRule="auto"/>
              <w:jc w:val="center"/>
              <w:rPr>
                <w:rFonts w:ascii="宋体" w:hAnsi="宋体" w:cs="宋体"/>
                <w:color w:val="auto"/>
                <w:kern w:val="0"/>
                <w:szCs w:val="21"/>
                <w:highlight w:val="none"/>
              </w:rPr>
            </w:pPr>
          </w:p>
        </w:tc>
      </w:tr>
      <w:tr w14:paraId="3FEB40D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60C049">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9B898C">
            <w:pPr>
              <w:spacing w:line="360" w:lineRule="auto"/>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D66E5B">
            <w:pPr>
              <w:spacing w:line="360" w:lineRule="auto"/>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8A95E7">
            <w:pPr>
              <w:spacing w:line="360" w:lineRule="auto"/>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8291E9">
            <w:pPr>
              <w:spacing w:line="360" w:lineRule="auto"/>
              <w:jc w:val="center"/>
              <w:rPr>
                <w:rFonts w:ascii="宋体" w:hAnsi="宋体" w:cs="宋体"/>
                <w:color w:val="auto"/>
                <w:kern w:val="0"/>
                <w:szCs w:val="21"/>
                <w:highlight w:val="none"/>
              </w:rPr>
            </w:pPr>
          </w:p>
        </w:tc>
      </w:tr>
    </w:tbl>
    <w:p w14:paraId="771E5EA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注：</w:t>
      </w:r>
    </w:p>
    <w:p w14:paraId="0A4854C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F175B9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003A3CA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3.投标人不存在直接控股股东的，则填“无”。</w:t>
      </w:r>
    </w:p>
    <w:p w14:paraId="397CBB93">
      <w:pPr>
        <w:snapToGrid w:val="0"/>
        <w:spacing w:line="360" w:lineRule="auto"/>
        <w:jc w:val="left"/>
        <w:rPr>
          <w:rFonts w:ascii="宋体" w:hAnsi="宋体" w:cs="宋体"/>
          <w:color w:val="auto"/>
          <w:sz w:val="24"/>
          <w:highlight w:val="none"/>
        </w:rPr>
      </w:pPr>
    </w:p>
    <w:p w14:paraId="57472298">
      <w:pPr>
        <w:snapToGrid w:val="0"/>
        <w:spacing w:line="360" w:lineRule="auto"/>
        <w:jc w:val="left"/>
        <w:rPr>
          <w:rFonts w:ascii="宋体" w:hAnsi="宋体" w:cs="宋体"/>
          <w:color w:val="auto"/>
          <w:sz w:val="24"/>
          <w:highlight w:val="none"/>
        </w:rPr>
      </w:pPr>
    </w:p>
    <w:p w14:paraId="12855000">
      <w:pPr>
        <w:pStyle w:val="26"/>
        <w:spacing w:line="320" w:lineRule="exact"/>
        <w:rPr>
          <w:rFonts w:hAnsi="宋体" w:cs="宋体"/>
          <w:color w:val="auto"/>
          <w:sz w:val="24"/>
          <w:highlight w:val="none"/>
        </w:rPr>
      </w:pPr>
    </w:p>
    <w:p w14:paraId="7D0D50E4">
      <w:pPr>
        <w:pStyle w:val="26"/>
        <w:spacing w:line="360" w:lineRule="auto"/>
        <w:rPr>
          <w:rFonts w:hAnsi="宋体" w:cs="宋体"/>
          <w:color w:val="auto"/>
          <w:sz w:val="21"/>
          <w:highlight w:val="none"/>
        </w:rPr>
      </w:pPr>
      <w:r>
        <w:rPr>
          <w:rFonts w:hint="eastAsia" w:hAnsi="宋体" w:cs="宋体"/>
          <w:color w:val="auto"/>
          <w:sz w:val="21"/>
          <w:highlight w:val="none"/>
        </w:rPr>
        <w:t>法定代表人或者委托代理人签字[或盖章(CA签章)]</w:t>
      </w:r>
    </w:p>
    <w:p w14:paraId="40D7A1BE">
      <w:pPr>
        <w:snapToGrid w:val="0"/>
        <w:spacing w:before="120" w:beforeLines="50" w:line="360" w:lineRule="auto"/>
        <w:ind w:right="480"/>
        <w:rPr>
          <w:rFonts w:ascii="宋体" w:hAnsi="宋体" w:cs="宋体"/>
          <w:color w:val="auto"/>
          <w:szCs w:val="21"/>
          <w:highlight w:val="none"/>
          <w:u w:val="single"/>
        </w:rPr>
      </w:pPr>
      <w:r>
        <w:rPr>
          <w:rFonts w:hint="eastAsia" w:ascii="宋体" w:hAnsi="宋体" w:cs="宋体"/>
          <w:color w:val="auto"/>
          <w:szCs w:val="21"/>
          <w:highlight w:val="none"/>
        </w:rPr>
        <w:t>（属自然人的应在签名处加盖大拇指指印或个人CA签章）：</w:t>
      </w:r>
    </w:p>
    <w:p w14:paraId="05D944AE">
      <w:pPr>
        <w:snapToGrid w:val="0"/>
        <w:spacing w:before="120" w:beforeLines="50" w:after="50" w:line="360" w:lineRule="auto"/>
        <w:ind w:right="480"/>
        <w:rPr>
          <w:rFonts w:ascii="宋体" w:hAnsi="宋体" w:cs="宋体"/>
          <w:color w:val="auto"/>
          <w:szCs w:val="21"/>
          <w:highlight w:val="none"/>
          <w:u w:val="single"/>
        </w:rPr>
      </w:pPr>
      <w:r>
        <w:rPr>
          <w:rFonts w:hint="eastAsia" w:ascii="宋体" w:hAnsi="宋体" w:cs="宋体"/>
          <w:color w:val="auto"/>
          <w:szCs w:val="21"/>
          <w:highlight w:val="none"/>
        </w:rPr>
        <w:t>投标人[公章(CA签章)、自然人除外]：</w:t>
      </w:r>
    </w:p>
    <w:p w14:paraId="12A8AF4A">
      <w:pPr>
        <w:snapToGrid w:val="0"/>
        <w:spacing w:before="120" w:beforeLines="50" w:after="50" w:line="360" w:lineRule="auto"/>
        <w:ind w:right="480" w:firstLine="4830" w:firstLineChars="2300"/>
        <w:rPr>
          <w:rFonts w:ascii="宋体" w:hAnsi="宋体" w:cs="宋体"/>
          <w:color w:val="auto"/>
          <w:szCs w:val="21"/>
          <w:highlight w:val="none"/>
        </w:rPr>
      </w:pPr>
      <w:r>
        <w:rPr>
          <w:rFonts w:hint="eastAsia" w:ascii="宋体" w:hAnsi="宋体" w:cs="宋体"/>
          <w:color w:val="auto"/>
          <w:szCs w:val="21"/>
          <w:highlight w:val="none"/>
        </w:rPr>
        <w:t>年    月    日</w:t>
      </w:r>
    </w:p>
    <w:p w14:paraId="3065B580">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6B3DED63">
      <w:pPr>
        <w:snapToGrid w:val="0"/>
        <w:spacing w:line="360" w:lineRule="auto"/>
        <w:jc w:val="center"/>
        <w:rPr>
          <w:rFonts w:ascii="宋体" w:hAnsi="宋体" w:cs="宋体"/>
          <w:color w:val="auto"/>
          <w:sz w:val="24"/>
          <w:highlight w:val="none"/>
        </w:rPr>
      </w:pPr>
      <w:r>
        <w:rPr>
          <w:rFonts w:hint="eastAsia" w:ascii="宋体" w:hAnsi="宋体" w:cs="宋体"/>
          <w:b/>
          <w:color w:val="auto"/>
          <w:sz w:val="24"/>
          <w:highlight w:val="none"/>
        </w:rPr>
        <w:t>投标人直接管理关系信息表</w:t>
      </w:r>
    </w:p>
    <w:tbl>
      <w:tblPr>
        <w:tblStyle w:val="52"/>
        <w:tblW w:w="9200" w:type="dxa"/>
        <w:tblInd w:w="0" w:type="dxa"/>
        <w:shd w:val="clear" w:color="auto" w:fill="FBFBFB"/>
        <w:tblLayout w:type="fixed"/>
        <w:tblCellMar>
          <w:top w:w="0" w:type="dxa"/>
          <w:left w:w="0" w:type="dxa"/>
          <w:bottom w:w="0" w:type="dxa"/>
          <w:right w:w="0" w:type="dxa"/>
        </w:tblCellMar>
      </w:tblPr>
      <w:tblGrid>
        <w:gridCol w:w="1005"/>
        <w:gridCol w:w="2659"/>
        <w:gridCol w:w="3924"/>
        <w:gridCol w:w="1612"/>
      </w:tblGrid>
      <w:tr w14:paraId="644A35C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474EC6">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52F4A5">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48F534">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61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D997E60">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499D77B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A4FB4B">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34C20D">
            <w:pPr>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B82236">
            <w:pPr>
              <w:spacing w:line="360" w:lineRule="auto"/>
              <w:jc w:val="center"/>
              <w:rPr>
                <w:rFonts w:ascii="宋体" w:hAnsi="宋体" w:cs="宋体"/>
                <w:color w:val="auto"/>
                <w:kern w:val="0"/>
                <w:szCs w:val="21"/>
                <w:highlight w:val="none"/>
              </w:rPr>
            </w:pPr>
          </w:p>
        </w:tc>
        <w:tc>
          <w:tcPr>
            <w:tcW w:w="161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B60A52">
            <w:pPr>
              <w:spacing w:line="360" w:lineRule="auto"/>
              <w:jc w:val="center"/>
              <w:rPr>
                <w:rFonts w:ascii="宋体" w:hAnsi="宋体" w:cs="宋体"/>
                <w:color w:val="auto"/>
                <w:kern w:val="0"/>
                <w:szCs w:val="21"/>
                <w:highlight w:val="none"/>
              </w:rPr>
            </w:pPr>
          </w:p>
        </w:tc>
      </w:tr>
      <w:tr w14:paraId="7DB2BBB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9C6868">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C5D9BB">
            <w:pPr>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1E9931">
            <w:pPr>
              <w:spacing w:line="360" w:lineRule="auto"/>
              <w:jc w:val="center"/>
              <w:rPr>
                <w:rFonts w:ascii="宋体" w:hAnsi="宋体" w:cs="宋体"/>
                <w:color w:val="auto"/>
                <w:kern w:val="0"/>
                <w:szCs w:val="21"/>
                <w:highlight w:val="none"/>
              </w:rPr>
            </w:pPr>
          </w:p>
        </w:tc>
        <w:tc>
          <w:tcPr>
            <w:tcW w:w="161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9FF58F">
            <w:pPr>
              <w:spacing w:line="360" w:lineRule="auto"/>
              <w:jc w:val="center"/>
              <w:rPr>
                <w:rFonts w:ascii="宋体" w:hAnsi="宋体" w:cs="宋体"/>
                <w:color w:val="auto"/>
                <w:kern w:val="0"/>
                <w:szCs w:val="21"/>
                <w:highlight w:val="none"/>
              </w:rPr>
            </w:pPr>
          </w:p>
        </w:tc>
      </w:tr>
      <w:tr w14:paraId="7919E2F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3A9094">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8A6813">
            <w:pPr>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F71569">
            <w:pPr>
              <w:spacing w:line="360" w:lineRule="auto"/>
              <w:jc w:val="center"/>
              <w:rPr>
                <w:rFonts w:ascii="宋体" w:hAnsi="宋体" w:cs="宋体"/>
                <w:color w:val="auto"/>
                <w:kern w:val="0"/>
                <w:szCs w:val="21"/>
                <w:highlight w:val="none"/>
              </w:rPr>
            </w:pPr>
          </w:p>
        </w:tc>
        <w:tc>
          <w:tcPr>
            <w:tcW w:w="161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0126BC">
            <w:pPr>
              <w:spacing w:line="360" w:lineRule="auto"/>
              <w:jc w:val="center"/>
              <w:rPr>
                <w:rFonts w:ascii="宋体" w:hAnsi="宋体" w:cs="宋体"/>
                <w:color w:val="auto"/>
                <w:kern w:val="0"/>
                <w:szCs w:val="21"/>
                <w:highlight w:val="none"/>
              </w:rPr>
            </w:pPr>
          </w:p>
        </w:tc>
      </w:tr>
      <w:tr w14:paraId="391CE7B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24A1CA">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C93E40">
            <w:pPr>
              <w:spacing w:line="360" w:lineRule="auto"/>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40D0A1">
            <w:pPr>
              <w:spacing w:line="360" w:lineRule="auto"/>
              <w:jc w:val="center"/>
              <w:rPr>
                <w:rFonts w:ascii="宋体" w:hAnsi="宋体" w:cs="宋体"/>
                <w:color w:val="auto"/>
                <w:kern w:val="0"/>
                <w:szCs w:val="21"/>
                <w:highlight w:val="none"/>
              </w:rPr>
            </w:pPr>
          </w:p>
        </w:tc>
        <w:tc>
          <w:tcPr>
            <w:tcW w:w="161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ACB341">
            <w:pPr>
              <w:spacing w:line="360" w:lineRule="auto"/>
              <w:jc w:val="center"/>
              <w:rPr>
                <w:rFonts w:ascii="宋体" w:hAnsi="宋体" w:cs="宋体"/>
                <w:color w:val="auto"/>
                <w:kern w:val="0"/>
                <w:szCs w:val="21"/>
                <w:highlight w:val="none"/>
              </w:rPr>
            </w:pPr>
          </w:p>
        </w:tc>
      </w:tr>
    </w:tbl>
    <w:p w14:paraId="147AD84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注：</w:t>
      </w:r>
    </w:p>
    <w:p w14:paraId="5E7EE48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59F5AA6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6B0E1C0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3.投标人不存在直接管理关系的，则填“无”。</w:t>
      </w:r>
    </w:p>
    <w:p w14:paraId="15A5E3F6">
      <w:pPr>
        <w:snapToGrid w:val="0"/>
        <w:spacing w:line="360" w:lineRule="auto"/>
        <w:jc w:val="left"/>
        <w:rPr>
          <w:rFonts w:ascii="宋体" w:hAnsi="宋体" w:cs="宋体"/>
          <w:color w:val="auto"/>
          <w:szCs w:val="21"/>
          <w:highlight w:val="none"/>
        </w:rPr>
      </w:pPr>
    </w:p>
    <w:p w14:paraId="08A4A837">
      <w:pPr>
        <w:snapToGrid w:val="0"/>
        <w:spacing w:line="360" w:lineRule="auto"/>
        <w:jc w:val="left"/>
        <w:rPr>
          <w:rFonts w:ascii="宋体" w:hAnsi="宋体" w:cs="宋体"/>
          <w:color w:val="auto"/>
          <w:sz w:val="24"/>
          <w:highlight w:val="none"/>
        </w:rPr>
      </w:pPr>
    </w:p>
    <w:p w14:paraId="49F16D4C">
      <w:pPr>
        <w:snapToGrid w:val="0"/>
        <w:spacing w:line="360" w:lineRule="auto"/>
        <w:jc w:val="left"/>
        <w:rPr>
          <w:rFonts w:ascii="宋体" w:hAnsi="宋体" w:cs="宋体"/>
          <w:color w:val="auto"/>
          <w:sz w:val="24"/>
          <w:highlight w:val="none"/>
        </w:rPr>
      </w:pPr>
    </w:p>
    <w:p w14:paraId="5FCDBD58">
      <w:pPr>
        <w:snapToGrid w:val="0"/>
        <w:spacing w:line="360" w:lineRule="auto"/>
        <w:jc w:val="left"/>
        <w:rPr>
          <w:rFonts w:ascii="宋体" w:hAnsi="宋体" w:cs="宋体"/>
          <w:color w:val="auto"/>
          <w:sz w:val="24"/>
          <w:highlight w:val="none"/>
        </w:rPr>
      </w:pPr>
    </w:p>
    <w:p w14:paraId="0AB75EC9">
      <w:pPr>
        <w:snapToGrid w:val="0"/>
        <w:spacing w:line="360" w:lineRule="auto"/>
        <w:jc w:val="left"/>
        <w:rPr>
          <w:rFonts w:ascii="宋体" w:hAnsi="宋体" w:cs="宋体"/>
          <w:color w:val="auto"/>
          <w:sz w:val="24"/>
          <w:highlight w:val="none"/>
        </w:rPr>
      </w:pPr>
    </w:p>
    <w:p w14:paraId="65B97044">
      <w:pPr>
        <w:snapToGrid w:val="0"/>
        <w:spacing w:line="360" w:lineRule="auto"/>
        <w:jc w:val="left"/>
        <w:rPr>
          <w:rFonts w:ascii="宋体" w:hAnsi="宋体" w:cs="宋体"/>
          <w:color w:val="auto"/>
          <w:sz w:val="24"/>
          <w:highlight w:val="none"/>
        </w:rPr>
      </w:pPr>
    </w:p>
    <w:p w14:paraId="7942EC75">
      <w:pPr>
        <w:snapToGrid w:val="0"/>
        <w:spacing w:line="360" w:lineRule="auto"/>
        <w:jc w:val="left"/>
        <w:rPr>
          <w:rFonts w:ascii="宋体" w:hAnsi="宋体" w:cs="宋体"/>
          <w:color w:val="auto"/>
          <w:szCs w:val="21"/>
          <w:highlight w:val="none"/>
        </w:rPr>
      </w:pPr>
    </w:p>
    <w:p w14:paraId="30282276">
      <w:pPr>
        <w:pStyle w:val="26"/>
        <w:spacing w:line="360" w:lineRule="auto"/>
        <w:rPr>
          <w:rFonts w:hAnsi="宋体" w:cs="宋体"/>
          <w:color w:val="auto"/>
          <w:sz w:val="21"/>
          <w:highlight w:val="none"/>
        </w:rPr>
      </w:pPr>
      <w:r>
        <w:rPr>
          <w:rFonts w:hint="eastAsia" w:hAnsi="宋体" w:cs="宋体"/>
          <w:color w:val="auto"/>
          <w:sz w:val="21"/>
          <w:highlight w:val="none"/>
        </w:rPr>
        <w:t>法定代表人或者委托代理人签字[或盖章(CA签章)]</w:t>
      </w:r>
    </w:p>
    <w:p w14:paraId="68FA5464">
      <w:pPr>
        <w:snapToGrid w:val="0"/>
        <w:spacing w:before="120" w:beforeLines="50" w:line="360" w:lineRule="auto"/>
        <w:ind w:right="480"/>
        <w:rPr>
          <w:rFonts w:ascii="宋体" w:hAnsi="宋体" w:cs="宋体"/>
          <w:color w:val="auto"/>
          <w:szCs w:val="21"/>
          <w:highlight w:val="none"/>
          <w:u w:val="single"/>
        </w:rPr>
      </w:pPr>
      <w:r>
        <w:rPr>
          <w:rFonts w:hint="eastAsia" w:ascii="宋体" w:hAnsi="宋体" w:cs="宋体"/>
          <w:color w:val="auto"/>
          <w:szCs w:val="21"/>
          <w:highlight w:val="none"/>
        </w:rPr>
        <w:t>（属自然人的应在签名处加盖大拇指指印或个人CA签章）：</w:t>
      </w:r>
    </w:p>
    <w:p w14:paraId="4B13150C">
      <w:pPr>
        <w:snapToGrid w:val="0"/>
        <w:spacing w:before="120" w:beforeLines="50" w:after="50" w:line="360" w:lineRule="auto"/>
        <w:ind w:right="480"/>
        <w:rPr>
          <w:rFonts w:ascii="宋体" w:hAnsi="宋体" w:cs="宋体"/>
          <w:color w:val="auto"/>
          <w:szCs w:val="21"/>
          <w:highlight w:val="none"/>
        </w:rPr>
      </w:pPr>
      <w:r>
        <w:rPr>
          <w:rFonts w:hint="eastAsia" w:ascii="宋体" w:hAnsi="宋体" w:cs="宋体"/>
          <w:color w:val="auto"/>
          <w:szCs w:val="21"/>
          <w:highlight w:val="none"/>
        </w:rPr>
        <w:t>投标人[公章(CA签章)、自然人除外]：</w:t>
      </w:r>
    </w:p>
    <w:p w14:paraId="0FE8B342">
      <w:pPr>
        <w:snapToGrid w:val="0"/>
        <w:spacing w:before="120" w:beforeLines="50" w:after="50" w:line="360" w:lineRule="auto"/>
        <w:ind w:right="480" w:firstLine="210" w:firstLineChars="100"/>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22082F71">
      <w:pPr>
        <w:snapToGrid w:val="0"/>
        <w:spacing w:before="50" w:after="120" w:afterLines="50"/>
        <w:jc w:val="left"/>
        <w:rPr>
          <w:rFonts w:ascii="宋体" w:hAnsi="宋体" w:cs="宋体"/>
          <w:color w:val="auto"/>
          <w:szCs w:val="21"/>
          <w:highlight w:val="none"/>
        </w:rPr>
      </w:pPr>
    </w:p>
    <w:p w14:paraId="41668919">
      <w:pPr>
        <w:snapToGrid w:val="0"/>
        <w:spacing w:before="120" w:beforeLines="50" w:after="50"/>
        <w:jc w:val="left"/>
        <w:rPr>
          <w:rFonts w:ascii="宋体" w:hAnsi="宋体" w:cs="宋体"/>
          <w:b/>
          <w:color w:val="auto"/>
          <w:sz w:val="24"/>
          <w:szCs w:val="20"/>
          <w:highlight w:val="none"/>
        </w:rPr>
      </w:pPr>
    </w:p>
    <w:p w14:paraId="1BA02E05">
      <w:pPr>
        <w:numPr>
          <w:ilvl w:val="2"/>
          <w:numId w:val="0"/>
        </w:num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8.投标声明</w:t>
      </w:r>
    </w:p>
    <w:p w14:paraId="1691FEE1">
      <w:pPr>
        <w:snapToGrid w:val="0"/>
        <w:spacing w:before="50" w:after="120" w:afterLines="50"/>
        <w:jc w:val="center"/>
        <w:rPr>
          <w:rFonts w:ascii="宋体" w:hAnsi="宋体" w:cs="宋体"/>
          <w:b/>
          <w:color w:val="auto"/>
          <w:sz w:val="32"/>
          <w:szCs w:val="32"/>
          <w:highlight w:val="none"/>
        </w:rPr>
      </w:pPr>
    </w:p>
    <w:p w14:paraId="285AEDDB">
      <w:pPr>
        <w:snapToGrid w:val="0"/>
        <w:spacing w:before="50" w:after="120" w:afterLines="5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投标声明</w:t>
      </w:r>
    </w:p>
    <w:p w14:paraId="19254BDE">
      <w:pPr>
        <w:snapToGrid w:val="0"/>
        <w:spacing w:before="50" w:after="120" w:afterLines="50"/>
        <w:jc w:val="left"/>
        <w:rPr>
          <w:rFonts w:ascii="宋体" w:hAnsi="宋体" w:cs="宋体"/>
          <w:color w:val="auto"/>
          <w:sz w:val="24"/>
          <w:highlight w:val="none"/>
        </w:rPr>
      </w:pPr>
    </w:p>
    <w:p w14:paraId="0717994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11E4D736">
      <w:pPr>
        <w:snapToGrid w:val="0"/>
        <w:spacing w:line="360" w:lineRule="auto"/>
        <w:ind w:firstLine="405"/>
        <w:jc w:val="left"/>
        <w:rPr>
          <w:rFonts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（项目名称）（项目编号：         ）</w:t>
      </w:r>
      <w:r>
        <w:rPr>
          <w:rFonts w:hint="eastAsia" w:ascii="宋体" w:hAnsi="宋体" w:cs="宋体"/>
          <w:color w:val="auto"/>
          <w:szCs w:val="21"/>
          <w:highlight w:val="none"/>
        </w:rPr>
        <w:t>的政府采购活动。我方在此郑重声明：</w:t>
      </w:r>
    </w:p>
    <w:p w14:paraId="67897FA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投标人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投标人资格条件，我方对此声明负全部法律责任。</w:t>
      </w:r>
    </w:p>
    <w:p w14:paraId="2C25DB0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投标人；在获知本项目采购信息后，与采购人聘请的为此项目提供咨询服务的公司及其附属机构没有任何联系。</w:t>
      </w:r>
    </w:p>
    <w:p w14:paraId="52EA7B2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我方承诺符合《中华人民共和国政府采购法》第二十二条规定：</w:t>
      </w:r>
    </w:p>
    <w:p w14:paraId="1711706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3B33A05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3D75A30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60B76F2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7437CE7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12E9EC9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54AD0B1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2099A58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特此承诺。</w:t>
      </w:r>
    </w:p>
    <w:p w14:paraId="06E8B738">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注：如为联合体投标，盖章处须加盖联合体各方公章并由联合体各方法定代表人分别签署，否则投标无效。</w:t>
      </w:r>
    </w:p>
    <w:p w14:paraId="7E3384EB">
      <w:pPr>
        <w:pStyle w:val="26"/>
        <w:spacing w:line="360" w:lineRule="auto"/>
        <w:jc w:val="left"/>
        <w:rPr>
          <w:rFonts w:hAnsi="宋体" w:cs="宋体"/>
          <w:color w:val="auto"/>
          <w:sz w:val="21"/>
          <w:highlight w:val="none"/>
        </w:rPr>
      </w:pPr>
    </w:p>
    <w:p w14:paraId="4C82376B">
      <w:pPr>
        <w:pStyle w:val="26"/>
        <w:spacing w:line="360" w:lineRule="auto"/>
        <w:jc w:val="left"/>
        <w:rPr>
          <w:rFonts w:hAnsi="宋体" w:cs="宋体"/>
          <w:color w:val="auto"/>
          <w:sz w:val="21"/>
          <w:highlight w:val="none"/>
        </w:rPr>
      </w:pPr>
      <w:r>
        <w:rPr>
          <w:rFonts w:hint="eastAsia" w:hAnsi="宋体" w:cs="宋体"/>
          <w:color w:val="auto"/>
          <w:sz w:val="21"/>
          <w:highlight w:val="none"/>
        </w:rPr>
        <w:t>法定代表人或者委托代理人签字[或盖章(CA签章)]（属自然人的应在签名处加盖大拇指指印或个人CA签章）：</w:t>
      </w:r>
    </w:p>
    <w:p w14:paraId="05E982F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投标人[公章(CA签章)、自然人除外]：</w:t>
      </w:r>
    </w:p>
    <w:p w14:paraId="46D8BA0D">
      <w:pPr>
        <w:snapToGrid w:val="0"/>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0E84F512">
      <w:pPr>
        <w:snapToGrid w:val="0"/>
        <w:spacing w:before="50" w:after="120" w:afterLines="50"/>
        <w:jc w:val="left"/>
        <w:rPr>
          <w:rFonts w:ascii="宋体" w:hAnsi="宋体" w:cs="宋体"/>
          <w:color w:val="auto"/>
          <w:sz w:val="24"/>
          <w:highlight w:val="none"/>
        </w:rPr>
      </w:pPr>
    </w:p>
    <w:p w14:paraId="4A6D7B49">
      <w:pPr>
        <w:numPr>
          <w:ilvl w:val="2"/>
          <w:numId w:val="0"/>
        </w:num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9.中小企业声明函</w:t>
      </w:r>
    </w:p>
    <w:p w14:paraId="7E16FF91">
      <w:pPr>
        <w:spacing w:line="520" w:lineRule="exact"/>
        <w:rPr>
          <w:rFonts w:ascii="仿宋_GB2312" w:hAnsi="仿宋_GB2312" w:eastAsia="仿宋_GB2312" w:cs="仿宋_GB2312"/>
          <w:color w:val="auto"/>
          <w:sz w:val="32"/>
          <w:szCs w:val="32"/>
          <w:highlight w:val="none"/>
        </w:rPr>
      </w:pPr>
    </w:p>
    <w:p w14:paraId="7F953C64">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1F0AC6E9">
      <w:pPr>
        <w:spacing w:before="2" w:line="500" w:lineRule="exact"/>
        <w:rPr>
          <w:rFonts w:ascii="宋体" w:hAnsi="宋体" w:cs="宋体"/>
          <w:b/>
          <w:bCs/>
          <w:color w:val="auto"/>
          <w:sz w:val="24"/>
          <w:highlight w:val="none"/>
        </w:rPr>
      </w:pPr>
    </w:p>
    <w:p w14:paraId="74ED7948">
      <w:pPr>
        <w:pStyle w:val="19"/>
        <w:spacing w:line="500" w:lineRule="exact"/>
        <w:ind w:right="142" w:firstLine="480" w:firstLineChars="20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0853568C">
      <w:pPr>
        <w:tabs>
          <w:tab w:val="left" w:pos="1384"/>
          <w:tab w:val="left" w:pos="4562"/>
          <w:tab w:val="left" w:pos="6803"/>
        </w:tabs>
        <w:spacing w:before="13" w:line="500" w:lineRule="exact"/>
        <w:ind w:right="142" w:firstLine="686" w:firstLineChars="286"/>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996F666">
      <w:pPr>
        <w:tabs>
          <w:tab w:val="left" w:pos="1065"/>
          <w:tab w:val="left" w:pos="4262"/>
          <w:tab w:val="left" w:pos="6477"/>
        </w:tabs>
        <w:spacing w:before="20" w:line="500" w:lineRule="exact"/>
        <w:ind w:right="84" w:firstLine="686" w:firstLineChars="286"/>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4413317B">
      <w:pPr>
        <w:pStyle w:val="19"/>
        <w:spacing w:before="34" w:line="500" w:lineRule="exact"/>
        <w:ind w:left="765" w:right="142" w:hanging="5"/>
        <w:rPr>
          <w:rFonts w:ascii="宋体" w:hAnsi="宋体"/>
          <w:color w:val="auto"/>
          <w:highlight w:val="none"/>
        </w:rPr>
      </w:pPr>
      <w:r>
        <w:rPr>
          <w:rFonts w:ascii="宋体" w:hAnsi="宋体"/>
          <w:color w:val="auto"/>
          <w:highlight w:val="none"/>
        </w:rPr>
        <w:t xml:space="preserve">…… </w:t>
      </w:r>
    </w:p>
    <w:p w14:paraId="338D3E10">
      <w:pPr>
        <w:pStyle w:val="19"/>
        <w:spacing w:before="34" w:line="500" w:lineRule="exact"/>
        <w:ind w:right="142" w:firstLine="480" w:firstLineChars="200"/>
        <w:rPr>
          <w:rFonts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1C6DAC03">
      <w:pPr>
        <w:pStyle w:val="19"/>
        <w:spacing w:before="34" w:line="500" w:lineRule="exact"/>
        <w:ind w:right="142" w:firstLine="480" w:firstLineChars="200"/>
        <w:rPr>
          <w:rFonts w:ascii="宋体" w:hAnsi="宋体"/>
          <w:color w:val="auto"/>
          <w:highlight w:val="none"/>
        </w:rPr>
      </w:pPr>
      <w:r>
        <w:rPr>
          <w:rFonts w:ascii="宋体" w:hAnsi="宋体"/>
          <w:color w:val="auto"/>
          <w:highlight w:val="none"/>
        </w:rPr>
        <w:t>本企业对上述声明内容的真实性负责。如有虚假，将依法承担相应责任。</w:t>
      </w:r>
    </w:p>
    <w:p w14:paraId="7B1A3326">
      <w:pPr>
        <w:pStyle w:val="19"/>
        <w:spacing w:before="56" w:line="500" w:lineRule="exact"/>
        <w:ind w:left="3960" w:right="1808"/>
        <w:rPr>
          <w:rFonts w:ascii="宋体" w:hAnsi="宋体"/>
          <w:color w:val="auto"/>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w:t>
      </w:r>
    </w:p>
    <w:p w14:paraId="1FE4AF7F">
      <w:pPr>
        <w:pStyle w:val="19"/>
        <w:spacing w:before="56" w:line="500" w:lineRule="exact"/>
        <w:ind w:left="3960" w:right="1808"/>
        <w:rPr>
          <w:rFonts w:ascii="宋体" w:hAnsi="宋体"/>
          <w:color w:val="auto"/>
          <w:highlight w:val="none"/>
        </w:rPr>
      </w:pPr>
      <w:r>
        <w:rPr>
          <w:rFonts w:ascii="宋体" w:hAnsi="宋体"/>
          <w:color w:val="auto"/>
          <w:highlight w:val="none"/>
        </w:rPr>
        <w:t>日 期：</w:t>
      </w:r>
    </w:p>
    <w:p w14:paraId="7DF9518E">
      <w:pPr>
        <w:rPr>
          <w:rFonts w:ascii="宋体" w:hAnsi="宋体"/>
          <w:color w:val="auto"/>
          <w:sz w:val="24"/>
          <w:highlight w:val="none"/>
        </w:rPr>
      </w:pPr>
    </w:p>
    <w:p w14:paraId="635A76F7">
      <w:pPr>
        <w:spacing w:line="360" w:lineRule="auto"/>
        <w:rPr>
          <w:rFonts w:ascii="仿宋_GB2312" w:hAnsi="仿宋_GB2312" w:eastAsia="仿宋_GB2312" w:cs="仿宋_GB2312"/>
          <w:color w:val="auto"/>
          <w:szCs w:val="21"/>
          <w:highlight w:val="none"/>
        </w:rPr>
      </w:pPr>
      <w:r>
        <w:rPr>
          <w:rFonts w:hint="eastAsia" w:ascii="宋体" w:hAnsi="宋体"/>
          <w:color w:val="auto"/>
          <w:kern w:val="0"/>
          <w:sz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2594B974">
      <w:pPr>
        <w:spacing w:line="520" w:lineRule="exact"/>
        <w:jc w:val="center"/>
        <w:rPr>
          <w:rFonts w:ascii="宋体" w:hAnsi="宋体" w:cs="宋体"/>
          <w:b/>
          <w:bCs/>
          <w:color w:val="auto"/>
          <w:sz w:val="28"/>
          <w:szCs w:val="28"/>
          <w:highlight w:val="none"/>
        </w:rPr>
      </w:pPr>
      <w:r>
        <w:rPr>
          <w:rFonts w:ascii="宋体" w:hAnsi="宋体"/>
          <w:color w:val="auto"/>
          <w:sz w:val="24"/>
          <w:highlight w:val="none"/>
        </w:rPr>
        <w:br w:type="page"/>
      </w:r>
      <w:r>
        <w:rPr>
          <w:rFonts w:hint="eastAsia" w:ascii="宋体" w:hAnsi="宋体" w:cs="宋体"/>
          <w:b/>
          <w:bCs/>
          <w:color w:val="auto"/>
          <w:sz w:val="28"/>
          <w:szCs w:val="28"/>
          <w:highlight w:val="none"/>
        </w:rPr>
        <w:t>残疾人福利性单位声明函</w:t>
      </w:r>
    </w:p>
    <w:p w14:paraId="7C44AC26">
      <w:pPr>
        <w:spacing w:line="520" w:lineRule="exact"/>
        <w:rPr>
          <w:rFonts w:ascii="仿宋_GB2312" w:hAnsi="仿宋_GB2312" w:eastAsia="仿宋_GB2312" w:cs="仿宋_GB2312"/>
          <w:color w:val="auto"/>
          <w:sz w:val="32"/>
          <w:szCs w:val="32"/>
          <w:highlight w:val="none"/>
        </w:rPr>
      </w:pPr>
    </w:p>
    <w:p w14:paraId="3DBF2546">
      <w:pPr>
        <w:spacing w:line="360" w:lineRule="auto"/>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06D3913">
      <w:pPr>
        <w:spacing w:line="360" w:lineRule="auto"/>
        <w:ind w:firstLine="420" w:firstLineChars="200"/>
        <w:rPr>
          <w:rFonts w:ascii="宋体" w:hAnsi="宋体" w:cs="仿宋_GB2312"/>
          <w:color w:val="auto"/>
          <w:sz w:val="24"/>
          <w:highlight w:val="none"/>
        </w:rPr>
      </w:pPr>
      <w:r>
        <w:rPr>
          <w:rFonts w:hint="eastAsia" w:ascii="宋体" w:hAnsi="宋体" w:cs="仿宋_GB2312"/>
          <w:color w:val="auto"/>
          <w:szCs w:val="21"/>
          <w:highlight w:val="none"/>
        </w:rPr>
        <w:t>本单位对上述声明的真实性负责。如有虚假，将依法承担相应责任。</w:t>
      </w:r>
    </w:p>
    <w:p w14:paraId="69459C6F">
      <w:pPr>
        <w:spacing w:line="360" w:lineRule="auto"/>
        <w:rPr>
          <w:rFonts w:ascii="宋体" w:hAnsi="宋体" w:cs="仿宋_GB2312"/>
          <w:color w:val="auto"/>
          <w:sz w:val="24"/>
          <w:highlight w:val="none"/>
        </w:rPr>
      </w:pPr>
    </w:p>
    <w:p w14:paraId="5EC7A643">
      <w:pPr>
        <w:spacing w:line="360" w:lineRule="auto"/>
        <w:rPr>
          <w:rFonts w:ascii="宋体" w:hAnsi="宋体" w:cs="仿宋_GB2312"/>
          <w:color w:val="auto"/>
          <w:sz w:val="24"/>
          <w:highlight w:val="none"/>
        </w:rPr>
      </w:pPr>
    </w:p>
    <w:p w14:paraId="3D7B2FEA">
      <w:pPr>
        <w:spacing w:line="360" w:lineRule="auto"/>
        <w:rPr>
          <w:rFonts w:ascii="宋体" w:hAnsi="宋体" w:cs="仿宋_GB2312"/>
          <w:color w:val="auto"/>
          <w:sz w:val="24"/>
          <w:highlight w:val="none"/>
        </w:rPr>
      </w:pPr>
    </w:p>
    <w:p w14:paraId="118F6C1B">
      <w:pPr>
        <w:spacing w:line="360" w:lineRule="auto"/>
        <w:ind w:firstLine="3150" w:firstLineChars="1500"/>
        <w:rPr>
          <w:rFonts w:ascii="宋体" w:hAnsi="宋体" w:cs="仿宋_GB2312"/>
          <w:color w:val="auto"/>
          <w:szCs w:val="21"/>
          <w:highlight w:val="none"/>
        </w:rPr>
      </w:pPr>
      <w:r>
        <w:rPr>
          <w:rFonts w:hint="eastAsia" w:ascii="宋体" w:hAnsi="宋体" w:cs="仿宋_GB2312"/>
          <w:color w:val="auto"/>
          <w:szCs w:val="21"/>
          <w:highlight w:val="none"/>
        </w:rPr>
        <w:t>投标人[公章（CA签章）]：</w:t>
      </w:r>
    </w:p>
    <w:p w14:paraId="5B242E02">
      <w:pPr>
        <w:spacing w:line="360" w:lineRule="auto"/>
        <w:ind w:firstLine="3150" w:firstLineChars="1500"/>
        <w:rPr>
          <w:rFonts w:ascii="宋体" w:hAnsi="宋体" w:cs="仿宋_GB2312"/>
          <w:color w:val="auto"/>
          <w:szCs w:val="21"/>
          <w:highlight w:val="none"/>
        </w:rPr>
      </w:pPr>
      <w:r>
        <w:rPr>
          <w:rFonts w:hint="eastAsia" w:ascii="宋体" w:hAnsi="宋体" w:cs="仿宋_GB2312"/>
          <w:color w:val="auto"/>
          <w:szCs w:val="21"/>
          <w:highlight w:val="none"/>
        </w:rPr>
        <w:t>日  期：</w:t>
      </w:r>
    </w:p>
    <w:p w14:paraId="54AF93AA">
      <w:pPr>
        <w:spacing w:line="360" w:lineRule="auto"/>
        <w:rPr>
          <w:rFonts w:ascii="宋体" w:hAnsi="宋体" w:cs="仿宋_GB2312"/>
          <w:color w:val="auto"/>
          <w:sz w:val="24"/>
          <w:highlight w:val="none"/>
        </w:rPr>
      </w:pPr>
    </w:p>
    <w:p w14:paraId="49D7084D">
      <w:pPr>
        <w:spacing w:line="360" w:lineRule="auto"/>
        <w:rPr>
          <w:rFonts w:ascii="宋体" w:hAnsi="宋体" w:cs="仿宋_GB2312"/>
          <w:color w:val="auto"/>
          <w:sz w:val="24"/>
          <w:highlight w:val="none"/>
        </w:rPr>
      </w:pPr>
    </w:p>
    <w:p w14:paraId="6EFFBB02">
      <w:pPr>
        <w:spacing w:line="360" w:lineRule="auto"/>
        <w:rPr>
          <w:rFonts w:ascii="宋体" w:hAnsi="宋体" w:cs="仿宋_GB2312"/>
          <w:color w:val="auto"/>
          <w:sz w:val="24"/>
          <w:highlight w:val="none"/>
        </w:rPr>
      </w:pPr>
    </w:p>
    <w:p w14:paraId="77239DF8">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B31844A">
      <w:pPr>
        <w:rPr>
          <w:color w:val="auto"/>
          <w:highlight w:val="none"/>
        </w:rPr>
      </w:pPr>
      <w:r>
        <w:rPr>
          <w:rFonts w:ascii="宋体" w:hAnsi="宋体" w:cs="仿宋_GB2312"/>
          <w:color w:val="auto"/>
          <w:sz w:val="24"/>
          <w:highlight w:val="none"/>
        </w:rPr>
        <w:br w:type="page"/>
      </w:r>
    </w:p>
    <w:p w14:paraId="19E14848">
      <w:pPr>
        <w:numPr>
          <w:ilvl w:val="2"/>
          <w:numId w:val="0"/>
        </w:num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10.除招标文件规定必须提供以外，投标人认为需要提供的其他证明材料。</w:t>
      </w:r>
    </w:p>
    <w:p w14:paraId="1E839AD7">
      <w:pPr>
        <w:pStyle w:val="4"/>
        <w:spacing w:before="120" w:beforeLines="50" w:after="50" w:line="240" w:lineRule="auto"/>
        <w:rPr>
          <w:rFonts w:ascii="宋体" w:hAnsi="宋体" w:cs="宋体"/>
          <w:color w:val="auto"/>
          <w:sz w:val="28"/>
          <w:szCs w:val="28"/>
          <w:highlight w:val="none"/>
        </w:rPr>
      </w:pPr>
      <w:r>
        <w:rPr>
          <w:rFonts w:hint="eastAsia" w:ascii="宋体" w:hAnsi="宋体" w:cs="宋体"/>
          <w:color w:val="auto"/>
          <w:sz w:val="24"/>
          <w:highlight w:val="none"/>
        </w:rPr>
        <w:br w:type="page"/>
      </w:r>
      <w:bookmarkStart w:id="158" w:name="_Toc19686838"/>
      <w:r>
        <w:rPr>
          <w:rFonts w:hint="eastAsia" w:ascii="宋体" w:hAnsi="宋体" w:cs="宋体"/>
          <w:color w:val="auto"/>
          <w:sz w:val="28"/>
          <w:szCs w:val="28"/>
          <w:highlight w:val="none"/>
        </w:rPr>
        <w:t>三、商务文件、技术文件格式</w:t>
      </w:r>
      <w:bookmarkEnd w:id="158"/>
    </w:p>
    <w:p w14:paraId="33764359">
      <w:pPr>
        <w:snapToGrid w:val="0"/>
        <w:spacing w:before="120" w:beforeLines="50" w:after="50" w:line="360" w:lineRule="auto"/>
        <w:jc w:val="left"/>
        <w:rPr>
          <w:rFonts w:ascii="宋体" w:hAnsi="宋体" w:cs="宋体"/>
          <w:b/>
          <w:color w:val="auto"/>
          <w:sz w:val="24"/>
          <w:highlight w:val="none"/>
        </w:rPr>
      </w:pPr>
    </w:p>
    <w:p w14:paraId="7B1AC039">
      <w:pPr>
        <w:snapToGrid w:val="0"/>
        <w:spacing w:before="120" w:beforeLines="50" w:after="50"/>
        <w:rPr>
          <w:rFonts w:ascii="宋体" w:hAnsi="宋体" w:cs="宋体"/>
          <w:color w:val="auto"/>
          <w:sz w:val="24"/>
          <w:szCs w:val="20"/>
          <w:highlight w:val="none"/>
        </w:rPr>
      </w:pPr>
    </w:p>
    <w:p w14:paraId="0261DD1C">
      <w:pPr>
        <w:snapToGrid w:val="0"/>
        <w:spacing w:before="120" w:beforeLines="50" w:after="50"/>
        <w:jc w:val="center"/>
        <w:rPr>
          <w:rFonts w:ascii="宋体" w:hAnsi="宋体" w:cs="宋体"/>
          <w:b/>
          <w:color w:val="auto"/>
          <w:sz w:val="32"/>
          <w:szCs w:val="32"/>
          <w:highlight w:val="none"/>
        </w:rPr>
      </w:pPr>
    </w:p>
    <w:p w14:paraId="00ACE97E">
      <w:pPr>
        <w:snapToGrid w:val="0"/>
        <w:spacing w:before="120" w:beforeLines="50" w:after="50"/>
        <w:jc w:val="center"/>
        <w:rPr>
          <w:rFonts w:ascii="宋体" w:hAnsi="宋体" w:cs="宋体"/>
          <w:b/>
          <w:color w:val="auto"/>
          <w:sz w:val="32"/>
          <w:szCs w:val="32"/>
          <w:highlight w:val="none"/>
        </w:rPr>
      </w:pPr>
    </w:p>
    <w:p w14:paraId="7B8A97E2">
      <w:pPr>
        <w:snapToGrid w:val="0"/>
        <w:spacing w:before="120" w:beforeLines="50" w:after="50"/>
        <w:jc w:val="center"/>
        <w:rPr>
          <w:rFonts w:ascii="宋体" w:hAnsi="宋体" w:cs="宋体"/>
          <w:b/>
          <w:color w:val="auto"/>
          <w:sz w:val="32"/>
          <w:szCs w:val="32"/>
          <w:highlight w:val="none"/>
        </w:rPr>
      </w:pPr>
    </w:p>
    <w:p w14:paraId="6269E051">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商务文件、技术文件</w:t>
      </w:r>
    </w:p>
    <w:p w14:paraId="6BBF3628">
      <w:pPr>
        <w:snapToGrid w:val="0"/>
        <w:spacing w:before="120" w:beforeLines="50" w:after="50"/>
        <w:rPr>
          <w:rFonts w:ascii="宋体" w:hAnsi="宋体" w:cs="宋体"/>
          <w:bCs/>
          <w:color w:val="auto"/>
          <w:sz w:val="24"/>
          <w:szCs w:val="20"/>
          <w:highlight w:val="none"/>
        </w:rPr>
      </w:pPr>
    </w:p>
    <w:p w14:paraId="30C94CC2">
      <w:pPr>
        <w:snapToGrid w:val="0"/>
        <w:spacing w:before="120" w:beforeLines="50" w:after="50"/>
        <w:ind w:firstLine="540" w:firstLineChars="225"/>
        <w:rPr>
          <w:rFonts w:ascii="宋体" w:hAnsi="宋体" w:cs="宋体"/>
          <w:bCs/>
          <w:color w:val="auto"/>
          <w:sz w:val="24"/>
          <w:highlight w:val="none"/>
        </w:rPr>
      </w:pPr>
    </w:p>
    <w:p w14:paraId="35E9ED60">
      <w:pPr>
        <w:snapToGrid w:val="0"/>
        <w:spacing w:before="120" w:beforeLines="50" w:after="50"/>
        <w:ind w:firstLine="540" w:firstLineChars="225"/>
        <w:rPr>
          <w:rFonts w:ascii="宋体" w:hAnsi="宋体" w:cs="宋体"/>
          <w:bCs/>
          <w:color w:val="auto"/>
          <w:sz w:val="24"/>
          <w:highlight w:val="none"/>
        </w:rPr>
      </w:pPr>
    </w:p>
    <w:p w14:paraId="347582A5">
      <w:pPr>
        <w:snapToGrid w:val="0"/>
        <w:spacing w:before="120" w:beforeLines="50" w:after="50"/>
        <w:ind w:firstLine="540" w:firstLineChars="225"/>
        <w:rPr>
          <w:rFonts w:ascii="宋体" w:hAnsi="宋体" w:cs="宋体"/>
          <w:bCs/>
          <w:color w:val="auto"/>
          <w:sz w:val="24"/>
          <w:highlight w:val="none"/>
        </w:rPr>
      </w:pPr>
    </w:p>
    <w:p w14:paraId="4145B264">
      <w:pPr>
        <w:snapToGrid w:val="0"/>
        <w:spacing w:before="120" w:beforeLines="50" w:after="50" w:line="480" w:lineRule="auto"/>
        <w:ind w:firstLine="540" w:firstLineChars="225"/>
        <w:rPr>
          <w:rFonts w:ascii="宋体" w:hAnsi="宋体" w:cs="宋体"/>
          <w:bCs/>
          <w:color w:val="auto"/>
          <w:sz w:val="24"/>
          <w:highlight w:val="none"/>
        </w:rPr>
      </w:pPr>
    </w:p>
    <w:p w14:paraId="32EF22DE">
      <w:pPr>
        <w:snapToGrid w:val="0"/>
        <w:spacing w:before="120" w:beforeLines="50" w:after="50" w:line="48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2B48CEBF">
      <w:pPr>
        <w:snapToGrid w:val="0"/>
        <w:spacing w:before="120" w:beforeLines="50" w:after="50" w:line="48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0E89EF9B">
      <w:pPr>
        <w:snapToGrid w:val="0"/>
        <w:spacing w:before="120" w:beforeLines="50" w:after="50" w:line="48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投标人名称：</w:t>
      </w:r>
    </w:p>
    <w:p w14:paraId="76E12A1F">
      <w:pPr>
        <w:snapToGrid w:val="0"/>
        <w:spacing w:before="120" w:beforeLines="50" w:after="50" w:line="48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投标人地址：</w:t>
      </w:r>
    </w:p>
    <w:p w14:paraId="7936CA47">
      <w:pPr>
        <w:pStyle w:val="9"/>
        <w:snapToGrid w:val="0"/>
        <w:spacing w:before="50" w:after="50"/>
        <w:ind w:firstLine="960" w:firstLineChars="400"/>
        <w:rPr>
          <w:rFonts w:ascii="宋体" w:hAnsi="宋体" w:cs="宋体"/>
          <w:bCs/>
          <w:color w:val="auto"/>
          <w:sz w:val="24"/>
          <w:szCs w:val="24"/>
          <w:highlight w:val="none"/>
        </w:rPr>
      </w:pPr>
    </w:p>
    <w:p w14:paraId="234B6E4B">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6536693E">
      <w:pPr>
        <w:snapToGrid w:val="0"/>
        <w:spacing w:before="120" w:beforeLines="50" w:after="50"/>
        <w:jc w:val="left"/>
        <w:rPr>
          <w:rFonts w:ascii="宋体" w:hAnsi="宋体" w:cs="宋体"/>
          <w:color w:val="auto"/>
          <w:sz w:val="72"/>
          <w:szCs w:val="72"/>
          <w:highlight w:val="none"/>
        </w:rPr>
      </w:pPr>
    </w:p>
    <w:p w14:paraId="10997D62">
      <w:pPr>
        <w:snapToGrid w:val="0"/>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br w:type="page"/>
      </w:r>
    </w:p>
    <w:p w14:paraId="2BD3DBDD">
      <w:pPr>
        <w:snapToGrid w:val="0"/>
        <w:spacing w:line="360" w:lineRule="auto"/>
        <w:rPr>
          <w:rFonts w:ascii="宋体" w:hAnsi="宋体" w:cs="宋体"/>
          <w:color w:val="auto"/>
          <w:sz w:val="24"/>
          <w:szCs w:val="20"/>
          <w:highlight w:val="none"/>
        </w:rPr>
      </w:pPr>
    </w:p>
    <w:p w14:paraId="75705D5B">
      <w:pPr>
        <w:snapToGrid w:val="0"/>
        <w:spacing w:line="360" w:lineRule="auto"/>
        <w:rPr>
          <w:rFonts w:ascii="宋体" w:hAnsi="宋体" w:cs="宋体"/>
          <w:color w:val="auto"/>
          <w:sz w:val="24"/>
          <w:szCs w:val="20"/>
          <w:highlight w:val="none"/>
        </w:rPr>
      </w:pPr>
    </w:p>
    <w:p w14:paraId="5814B667">
      <w:pPr>
        <w:snapToGrid w:val="0"/>
        <w:spacing w:line="360" w:lineRule="auto"/>
        <w:rPr>
          <w:rFonts w:ascii="宋体" w:hAnsi="宋体" w:cs="宋体"/>
          <w:color w:val="auto"/>
          <w:sz w:val="24"/>
          <w:szCs w:val="20"/>
          <w:highlight w:val="none"/>
        </w:rPr>
      </w:pPr>
    </w:p>
    <w:p w14:paraId="2B7AF91B">
      <w:pPr>
        <w:snapToGrid w:val="0"/>
        <w:spacing w:line="360" w:lineRule="auto"/>
        <w:rPr>
          <w:rFonts w:ascii="宋体" w:hAnsi="宋体" w:cs="宋体"/>
          <w:color w:val="auto"/>
          <w:sz w:val="24"/>
          <w:szCs w:val="20"/>
          <w:highlight w:val="none"/>
        </w:rPr>
      </w:pPr>
    </w:p>
    <w:p w14:paraId="4853F45D">
      <w:pPr>
        <w:snapToGrid w:val="0"/>
        <w:spacing w:line="360" w:lineRule="auto"/>
        <w:rPr>
          <w:rFonts w:ascii="宋体" w:hAnsi="宋体" w:cs="宋体"/>
          <w:color w:val="auto"/>
          <w:sz w:val="24"/>
          <w:szCs w:val="20"/>
          <w:highlight w:val="none"/>
        </w:rPr>
      </w:pPr>
    </w:p>
    <w:p w14:paraId="46974B21">
      <w:pPr>
        <w:snapToGrid w:val="0"/>
        <w:spacing w:line="360" w:lineRule="auto"/>
        <w:rPr>
          <w:rFonts w:ascii="宋体" w:hAnsi="宋体" w:cs="宋体"/>
          <w:color w:val="auto"/>
          <w:sz w:val="24"/>
          <w:szCs w:val="20"/>
          <w:highlight w:val="none"/>
        </w:rPr>
      </w:pPr>
    </w:p>
    <w:p w14:paraId="1B75BBB3">
      <w:pPr>
        <w:snapToGrid w:val="0"/>
        <w:spacing w:line="360" w:lineRule="auto"/>
        <w:rPr>
          <w:rFonts w:ascii="宋体" w:hAnsi="宋体" w:cs="宋体"/>
          <w:color w:val="auto"/>
          <w:sz w:val="44"/>
          <w:szCs w:val="44"/>
          <w:highlight w:val="none"/>
        </w:rPr>
      </w:pPr>
    </w:p>
    <w:p w14:paraId="612B0E4B">
      <w:pPr>
        <w:snapToGrid w:val="0"/>
        <w:spacing w:line="360" w:lineRule="auto"/>
        <w:rPr>
          <w:rFonts w:ascii="宋体" w:hAnsi="宋体" w:cs="宋体"/>
          <w:color w:val="auto"/>
          <w:sz w:val="44"/>
          <w:szCs w:val="44"/>
          <w:highlight w:val="none"/>
        </w:rPr>
      </w:pPr>
    </w:p>
    <w:p w14:paraId="03C129DE">
      <w:pPr>
        <w:snapToGrid w:val="0"/>
        <w:spacing w:line="360" w:lineRule="auto"/>
        <w:rPr>
          <w:rFonts w:ascii="宋体" w:hAnsi="宋体" w:cs="宋体"/>
          <w:color w:val="auto"/>
          <w:sz w:val="44"/>
          <w:szCs w:val="44"/>
          <w:highlight w:val="none"/>
        </w:rPr>
      </w:pPr>
    </w:p>
    <w:p w14:paraId="573DD62D">
      <w:pPr>
        <w:pStyle w:val="5"/>
        <w:rPr>
          <w:color w:val="auto"/>
          <w:highlight w:val="none"/>
        </w:rPr>
      </w:pPr>
      <w:r>
        <w:rPr>
          <w:rFonts w:hint="eastAsia"/>
          <w:color w:val="auto"/>
          <w:highlight w:val="none"/>
        </w:rPr>
        <w:t>（一）商务文件</w:t>
      </w:r>
    </w:p>
    <w:p w14:paraId="441D2DAD">
      <w:pPr>
        <w:pStyle w:val="6"/>
        <w:rPr>
          <w:rFonts w:ascii="宋体" w:hAnsi="宋体" w:cs="宋体"/>
          <w:bCs/>
          <w:color w:val="auto"/>
          <w:szCs w:val="28"/>
          <w:highlight w:val="none"/>
        </w:rPr>
      </w:pPr>
      <w:r>
        <w:rPr>
          <w:rFonts w:hint="eastAsia" w:ascii="宋体" w:hAnsi="宋体" w:cs="宋体"/>
          <w:color w:val="auto"/>
          <w:sz w:val="24"/>
          <w:szCs w:val="20"/>
          <w:highlight w:val="none"/>
        </w:rPr>
        <w:br w:type="page"/>
      </w:r>
      <w:r>
        <w:rPr>
          <w:rFonts w:hint="eastAsia" w:ascii="宋体" w:hAnsi="宋体" w:cs="宋体"/>
          <w:bCs/>
          <w:color w:val="auto"/>
          <w:szCs w:val="28"/>
          <w:highlight w:val="none"/>
        </w:rPr>
        <w:t>1.商务文件目录</w:t>
      </w:r>
    </w:p>
    <w:p w14:paraId="4EDDBF93">
      <w:pPr>
        <w:snapToGrid w:val="0"/>
        <w:spacing w:before="50" w:after="120" w:afterLines="50" w:line="360" w:lineRule="auto"/>
        <w:jc w:val="left"/>
        <w:rPr>
          <w:rFonts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232B85B7">
      <w:pPr>
        <w:snapToGrid w:val="0"/>
        <w:spacing w:before="50" w:after="120" w:afterLines="50"/>
        <w:jc w:val="left"/>
        <w:rPr>
          <w:rFonts w:ascii="宋体" w:hAnsi="宋体" w:cs="宋体"/>
          <w:color w:val="auto"/>
          <w:highlight w:val="none"/>
        </w:rPr>
      </w:pPr>
    </w:p>
    <w:p w14:paraId="74C386D7">
      <w:pPr>
        <w:pStyle w:val="6"/>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2.投标人参加本项目无围标串标行为的承诺</w:t>
      </w:r>
    </w:p>
    <w:p w14:paraId="542E042A">
      <w:pPr>
        <w:snapToGrid w:val="0"/>
        <w:spacing w:before="120" w:beforeLines="50" w:after="50"/>
        <w:ind w:left="420"/>
        <w:jc w:val="center"/>
        <w:rPr>
          <w:rFonts w:ascii="宋体" w:hAnsi="宋体" w:cs="宋体"/>
          <w:b/>
          <w:color w:val="auto"/>
          <w:sz w:val="32"/>
          <w:szCs w:val="32"/>
          <w:highlight w:val="none"/>
        </w:rPr>
      </w:pPr>
    </w:p>
    <w:p w14:paraId="12737A96">
      <w:pPr>
        <w:snapToGrid w:val="0"/>
        <w:spacing w:before="120" w:beforeLines="50" w:after="50"/>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投标人参加本项目无围标串标行为的承诺函</w:t>
      </w:r>
    </w:p>
    <w:p w14:paraId="0D9BDC8C">
      <w:pPr>
        <w:snapToGrid w:val="0"/>
        <w:spacing w:before="120" w:beforeLines="50" w:after="50"/>
        <w:jc w:val="left"/>
        <w:rPr>
          <w:rFonts w:ascii="宋体" w:hAnsi="宋体" w:cs="宋体"/>
          <w:b/>
          <w:color w:val="auto"/>
          <w:sz w:val="24"/>
          <w:highlight w:val="none"/>
        </w:rPr>
      </w:pPr>
    </w:p>
    <w:p w14:paraId="2AFD8D7B">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27C3DCA1">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w:t>
      </w:r>
    </w:p>
    <w:p w14:paraId="04566713">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32D43F9F">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309088A4">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44C4053D">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146FA5ED">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5FAEFF24">
      <w:pPr>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56F7D9FE">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19702D1D">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4E5A8894">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0DD2BC75">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2896A706">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948BD9E">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1F3C1984">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4D8322AB">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13ECA141">
      <w:pPr>
        <w:pStyle w:val="26"/>
        <w:snapToGrid w:val="0"/>
        <w:spacing w:line="360" w:lineRule="auto"/>
        <w:ind w:firstLine="5985" w:firstLineChars="2850"/>
        <w:rPr>
          <w:rFonts w:hAnsi="宋体" w:cs="宋体"/>
          <w:color w:val="auto"/>
          <w:sz w:val="21"/>
          <w:highlight w:val="none"/>
        </w:rPr>
      </w:pPr>
    </w:p>
    <w:p w14:paraId="60E44AFF">
      <w:pPr>
        <w:pStyle w:val="26"/>
        <w:snapToGrid w:val="0"/>
        <w:spacing w:line="360" w:lineRule="auto"/>
        <w:jc w:val="center"/>
        <w:rPr>
          <w:rFonts w:hAnsi="宋体" w:cs="宋体"/>
          <w:color w:val="auto"/>
          <w:sz w:val="21"/>
          <w:highlight w:val="none"/>
        </w:rPr>
      </w:pPr>
      <w:r>
        <w:rPr>
          <w:rFonts w:hint="eastAsia" w:hAnsi="宋体" w:cs="宋体"/>
          <w:color w:val="auto"/>
          <w:sz w:val="21"/>
          <w:highlight w:val="none"/>
        </w:rPr>
        <w:t>投标人名称</w:t>
      </w:r>
      <w:r>
        <w:rPr>
          <w:rFonts w:hint="eastAsia" w:hAnsi="宋体" w:cs="宋体"/>
          <w:bCs/>
          <w:color w:val="auto"/>
          <w:sz w:val="21"/>
          <w:highlight w:val="none"/>
        </w:rPr>
        <w:t>[公章(CA签章)、自然人除外]</w:t>
      </w:r>
    </w:p>
    <w:p w14:paraId="3340F896">
      <w:pPr>
        <w:pStyle w:val="26"/>
        <w:snapToGrid w:val="0"/>
        <w:spacing w:line="360" w:lineRule="auto"/>
        <w:jc w:val="center"/>
        <w:rPr>
          <w:rFonts w:hAnsi="宋体" w:cs="宋体"/>
          <w:color w:val="auto"/>
          <w:sz w:val="21"/>
          <w:highlight w:val="none"/>
        </w:rPr>
      </w:pPr>
      <w:r>
        <w:rPr>
          <w:rFonts w:hint="eastAsia" w:hAnsi="宋体" w:cs="宋体"/>
          <w:color w:val="auto"/>
          <w:sz w:val="21"/>
          <w:highlight w:val="none"/>
        </w:rPr>
        <w:t>年   月  日</w:t>
      </w:r>
    </w:p>
    <w:p w14:paraId="603F4DD2">
      <w:pPr>
        <w:pStyle w:val="6"/>
        <w:rPr>
          <w:rFonts w:ascii="宋体" w:hAnsi="宋体" w:eastAsia="宋体" w:cs="宋体"/>
          <w:color w:val="auto"/>
          <w:sz w:val="24"/>
          <w:highlight w:val="none"/>
        </w:rPr>
      </w:pPr>
      <w:r>
        <w:rPr>
          <w:rFonts w:hint="eastAsia" w:ascii="宋体" w:hAnsi="宋体" w:cs="宋体"/>
          <w:color w:val="auto"/>
          <w:sz w:val="24"/>
          <w:highlight w:val="none"/>
        </w:rPr>
        <w:br w:type="page"/>
      </w:r>
      <w:r>
        <w:rPr>
          <w:rFonts w:hint="eastAsia" w:ascii="宋体" w:hAnsi="宋体" w:eastAsia="宋体" w:cs="宋体"/>
          <w:color w:val="auto"/>
          <w:sz w:val="24"/>
          <w:highlight w:val="none"/>
        </w:rPr>
        <w:t>3.法定代表人（负责人）身份证明</w:t>
      </w:r>
      <w:r>
        <w:rPr>
          <w:rFonts w:hint="eastAsia"/>
          <w:color w:val="auto"/>
          <w:highlight w:val="none"/>
        </w:rPr>
        <w:t>（格式）</w:t>
      </w:r>
    </w:p>
    <w:p w14:paraId="77217BA2">
      <w:pPr>
        <w:spacing w:before="240" w:beforeLines="100" w:after="120" w:afterLines="50"/>
        <w:ind w:left="540"/>
        <w:jc w:val="center"/>
        <w:rPr>
          <w:rFonts w:ascii="宋体" w:hAnsi="宋体" w:cs="宋体"/>
          <w:b/>
          <w:color w:val="auto"/>
          <w:sz w:val="32"/>
          <w:szCs w:val="32"/>
          <w:highlight w:val="none"/>
        </w:rPr>
      </w:pPr>
    </w:p>
    <w:p w14:paraId="3F5B7E8A">
      <w:pPr>
        <w:spacing w:before="240" w:beforeLines="100" w:after="120" w:afterLines="50"/>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法定代表人（负责人）身份证明</w:t>
      </w:r>
    </w:p>
    <w:p w14:paraId="047D906C">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投 标 人：</w:t>
      </w:r>
    </w:p>
    <w:p w14:paraId="519214B0">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地    址：</w:t>
      </w:r>
    </w:p>
    <w:p w14:paraId="706F0059">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姓    名：性      别：</w:t>
      </w:r>
    </w:p>
    <w:p w14:paraId="70075AC0">
      <w:pPr>
        <w:spacing w:line="500" w:lineRule="exact"/>
        <w:ind w:left="540"/>
        <w:rPr>
          <w:rFonts w:ascii="宋体" w:hAnsi="宋体" w:cs="宋体"/>
          <w:color w:val="auto"/>
          <w:szCs w:val="21"/>
          <w:highlight w:val="none"/>
          <w:u w:val="single"/>
        </w:rPr>
      </w:pPr>
      <w:r>
        <w:rPr>
          <w:rFonts w:hint="eastAsia" w:ascii="宋体" w:hAnsi="宋体" w:cs="宋体"/>
          <w:color w:val="auto"/>
          <w:szCs w:val="21"/>
          <w:highlight w:val="none"/>
        </w:rPr>
        <w:t>年    龄：职      务：</w:t>
      </w:r>
    </w:p>
    <w:p w14:paraId="14944BDF">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身份证号码：</w:t>
      </w:r>
    </w:p>
    <w:p w14:paraId="71CF4405">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的法定代表人（负责人）。</w:t>
      </w:r>
    </w:p>
    <w:p w14:paraId="375B7214">
      <w:pPr>
        <w:spacing w:line="500" w:lineRule="exact"/>
        <w:ind w:left="540"/>
        <w:rPr>
          <w:rFonts w:ascii="宋体" w:hAnsi="宋体" w:cs="宋体"/>
          <w:color w:val="auto"/>
          <w:szCs w:val="21"/>
          <w:highlight w:val="none"/>
        </w:rPr>
      </w:pPr>
      <w:r>
        <w:rPr>
          <w:rFonts w:hint="eastAsia" w:ascii="宋体" w:hAnsi="宋体" w:cs="宋体"/>
          <w:color w:val="auto"/>
          <w:szCs w:val="21"/>
          <w:highlight w:val="none"/>
        </w:rPr>
        <w:t>特此证明。</w:t>
      </w:r>
    </w:p>
    <w:p w14:paraId="108DDA61">
      <w:pPr>
        <w:spacing w:line="500" w:lineRule="exact"/>
        <w:ind w:left="540"/>
        <w:rPr>
          <w:rFonts w:ascii="宋体" w:hAnsi="宋体" w:cs="宋体"/>
          <w:color w:val="auto"/>
          <w:sz w:val="24"/>
          <w:highlight w:val="none"/>
        </w:rPr>
      </w:pPr>
    </w:p>
    <w:p w14:paraId="19019ED9">
      <w:pPr>
        <w:spacing w:line="360" w:lineRule="auto"/>
        <w:ind w:left="540"/>
        <w:rPr>
          <w:rFonts w:ascii="宋体" w:hAnsi="宋体" w:cs="宋体"/>
          <w:color w:val="auto"/>
          <w:szCs w:val="21"/>
          <w:highlight w:val="none"/>
        </w:rPr>
      </w:pPr>
    </w:p>
    <w:p w14:paraId="6D3CE05F">
      <w:pPr>
        <w:spacing w:line="360" w:lineRule="auto"/>
        <w:ind w:left="540"/>
        <w:rPr>
          <w:rFonts w:ascii="宋体" w:hAnsi="宋体" w:cs="宋体"/>
          <w:color w:val="auto"/>
          <w:szCs w:val="21"/>
          <w:highlight w:val="none"/>
        </w:rPr>
      </w:pPr>
      <w:r>
        <w:rPr>
          <w:rFonts w:hint="eastAsia" w:ascii="宋体" w:hAnsi="宋体" w:cs="宋体"/>
          <w:color w:val="auto"/>
          <w:szCs w:val="21"/>
          <w:highlight w:val="none"/>
        </w:rPr>
        <w:t>附件：法定代表人（负责人）有效身份证正反面</w:t>
      </w:r>
    </w:p>
    <w:p w14:paraId="200329DD">
      <w:pPr>
        <w:spacing w:line="360" w:lineRule="auto"/>
        <w:ind w:left="540"/>
        <w:rPr>
          <w:rFonts w:ascii="宋体" w:hAnsi="宋体" w:cs="宋体"/>
          <w:color w:val="auto"/>
          <w:szCs w:val="21"/>
          <w:highlight w:val="none"/>
        </w:rPr>
      </w:pPr>
    </w:p>
    <w:p w14:paraId="38237C41">
      <w:pPr>
        <w:spacing w:line="360" w:lineRule="auto"/>
        <w:ind w:left="540"/>
        <w:jc w:val="right"/>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bCs/>
          <w:color w:val="auto"/>
          <w:szCs w:val="21"/>
          <w:highlight w:val="none"/>
        </w:rPr>
        <w:t>[公章(CA签章)、自然人除外]</w:t>
      </w:r>
    </w:p>
    <w:p w14:paraId="4BCE9C4F">
      <w:pPr>
        <w:spacing w:line="360" w:lineRule="auto"/>
        <w:ind w:left="540"/>
        <w:jc w:val="right"/>
        <w:rPr>
          <w:rFonts w:ascii="宋体" w:hAnsi="宋体" w:cs="宋体"/>
          <w:color w:val="auto"/>
          <w:szCs w:val="21"/>
          <w:highlight w:val="none"/>
        </w:rPr>
      </w:pPr>
    </w:p>
    <w:p w14:paraId="03449A70">
      <w:pPr>
        <w:snapToGrid w:val="0"/>
        <w:spacing w:before="120" w:beforeLines="50" w:after="50" w:line="360" w:lineRule="auto"/>
        <w:ind w:left="540"/>
        <w:jc w:val="right"/>
        <w:rPr>
          <w:rFonts w:ascii="宋体" w:hAnsi="宋体" w:cs="宋体"/>
          <w:color w:val="auto"/>
          <w:szCs w:val="21"/>
          <w:highlight w:val="none"/>
        </w:rPr>
      </w:pPr>
      <w:r>
        <w:rPr>
          <w:rFonts w:hint="eastAsia" w:ascii="宋体" w:hAnsi="宋体" w:cs="宋体"/>
          <w:color w:val="auto"/>
          <w:szCs w:val="21"/>
          <w:highlight w:val="none"/>
        </w:rPr>
        <w:t>年   月   日</w:t>
      </w:r>
    </w:p>
    <w:p w14:paraId="3B0E57B7">
      <w:pPr>
        <w:snapToGrid w:val="0"/>
        <w:spacing w:before="120" w:beforeLines="50" w:after="50"/>
        <w:jc w:val="center"/>
        <w:rPr>
          <w:rFonts w:ascii="宋体" w:hAnsi="宋体" w:cs="宋体"/>
          <w:b/>
          <w:color w:val="auto"/>
          <w:sz w:val="24"/>
          <w:highlight w:val="none"/>
        </w:rPr>
      </w:pPr>
    </w:p>
    <w:p w14:paraId="09496AAA">
      <w:pPr>
        <w:spacing w:line="360" w:lineRule="auto"/>
        <w:ind w:left="540"/>
        <w:jc w:val="left"/>
        <w:rPr>
          <w:rFonts w:ascii="宋体" w:hAnsi="宋体" w:cs="宋体"/>
          <w:color w:val="auto"/>
          <w:szCs w:val="21"/>
          <w:highlight w:val="none"/>
        </w:rPr>
      </w:pPr>
      <w:r>
        <w:rPr>
          <w:rFonts w:hint="eastAsia" w:ascii="宋体" w:hAnsi="宋体" w:cs="宋体"/>
          <w:color w:val="auto"/>
          <w:szCs w:val="21"/>
          <w:highlight w:val="none"/>
        </w:rPr>
        <w:t>注：自然人投标的无需提供</w:t>
      </w:r>
    </w:p>
    <w:p w14:paraId="33FBD95F">
      <w:pPr>
        <w:pStyle w:val="6"/>
        <w:rPr>
          <w:rFonts w:ascii="宋体" w:hAnsi="宋体" w:cs="宋体"/>
          <w:color w:val="auto"/>
          <w:sz w:val="24"/>
          <w:szCs w:val="20"/>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4.法定代表人授权委托书</w:t>
      </w:r>
      <w:r>
        <w:rPr>
          <w:rFonts w:hint="eastAsia"/>
          <w:color w:val="auto"/>
          <w:highlight w:val="none"/>
        </w:rPr>
        <w:t>（格式）</w:t>
      </w:r>
    </w:p>
    <w:p w14:paraId="1D3CF2BF">
      <w:pPr>
        <w:snapToGrid w:val="0"/>
        <w:spacing w:before="120" w:beforeLines="50" w:after="50"/>
        <w:jc w:val="center"/>
        <w:rPr>
          <w:rFonts w:ascii="宋体" w:hAnsi="宋体" w:cs="宋体"/>
          <w:b/>
          <w:color w:val="auto"/>
          <w:sz w:val="44"/>
          <w:szCs w:val="44"/>
          <w:highlight w:val="none"/>
        </w:rPr>
      </w:pPr>
    </w:p>
    <w:p w14:paraId="5A943F6B">
      <w:pPr>
        <w:snapToGrid w:val="0"/>
        <w:spacing w:before="120"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6A5B91A7">
      <w:pPr>
        <w:snapToGrid w:val="0"/>
        <w:spacing w:before="120"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6919294B">
      <w:pPr>
        <w:snapToGrid w:val="0"/>
        <w:spacing w:before="120" w:beforeLines="50" w:after="50"/>
        <w:jc w:val="center"/>
        <w:rPr>
          <w:rFonts w:ascii="宋体" w:hAnsi="宋体" w:cs="宋体"/>
          <w:b/>
          <w:color w:val="auto"/>
          <w:sz w:val="24"/>
          <w:highlight w:val="none"/>
        </w:rPr>
      </w:pPr>
      <w:r>
        <w:rPr>
          <w:rFonts w:hint="eastAsia" w:ascii="宋体" w:hAnsi="宋体" w:cs="宋体"/>
          <w:b/>
          <w:color w:val="auto"/>
          <w:sz w:val="32"/>
          <w:szCs w:val="32"/>
          <w:highlight w:val="none"/>
        </w:rPr>
        <w:t>（如有委托时）</w:t>
      </w:r>
    </w:p>
    <w:p w14:paraId="01E330D4">
      <w:pPr>
        <w:snapToGrid w:val="0"/>
        <w:spacing w:before="120" w:beforeLines="50" w:after="50"/>
        <w:jc w:val="center"/>
        <w:rPr>
          <w:rFonts w:ascii="宋体" w:hAnsi="宋体" w:cs="宋体"/>
          <w:b/>
          <w:color w:val="auto"/>
          <w:sz w:val="24"/>
          <w:highlight w:val="none"/>
        </w:rPr>
      </w:pPr>
    </w:p>
    <w:p w14:paraId="733CF193">
      <w:pPr>
        <w:snapToGrid w:val="0"/>
        <w:spacing w:before="120" w:beforeLines="50" w:after="50" w:line="360" w:lineRule="auto"/>
        <w:rPr>
          <w:rFonts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3B8E262E">
      <w:pPr>
        <w:snapToGrid w:val="0"/>
        <w:spacing w:before="120" w:beforeLines="50" w:after="50"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我（姓名）系（投标人名称）的法定代表人（负责人），现授权委托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以我方的名义参加项目的投标活动，并代表我方全权办理针对上述项目的所有采购程序和环节的具体事务和签署相关文件。</w:t>
      </w:r>
    </w:p>
    <w:p w14:paraId="4E17B1C8">
      <w:pPr>
        <w:snapToGrid w:val="0"/>
        <w:spacing w:before="120" w:beforeLines="50" w:after="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我方对委托代理人的签字事项负全部责任。</w:t>
      </w:r>
    </w:p>
    <w:p w14:paraId="192985F5">
      <w:pPr>
        <w:snapToGrid w:val="0"/>
        <w:spacing w:before="120" w:beforeLines="50" w:after="50" w:line="360" w:lineRule="auto"/>
        <w:ind w:firstLine="480"/>
        <w:rPr>
          <w:rFonts w:ascii="宋体" w:hAnsi="宋体" w:cs="宋体"/>
          <w:color w:val="auto"/>
          <w:szCs w:val="21"/>
          <w:highlight w:val="none"/>
        </w:rPr>
      </w:pPr>
      <w:r>
        <w:rPr>
          <w:rFonts w:hint="eastAsia" w:ascii="宋体" w:hAnsi="宋体" w:cs="宋体"/>
          <w:color w:val="auto"/>
          <w:szCs w:val="21"/>
          <w:highlight w:val="none"/>
          <w:u w:val="single"/>
        </w:rPr>
        <w:t>有效期：   年   月   日 至   年  月  日。</w:t>
      </w:r>
    </w:p>
    <w:p w14:paraId="6CAE09EF">
      <w:pPr>
        <w:snapToGrid w:val="0"/>
        <w:spacing w:before="120" w:beforeLines="50" w:after="50" w:line="360" w:lineRule="auto"/>
        <w:ind w:firstLine="480"/>
        <w:rPr>
          <w:rFonts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6ED6608D">
      <w:pPr>
        <w:snapToGrid w:val="0"/>
        <w:spacing w:before="120" w:beforeLines="50" w:after="50" w:line="360" w:lineRule="auto"/>
        <w:ind w:firstLine="480"/>
        <w:rPr>
          <w:rFonts w:ascii="宋体" w:hAnsi="宋体" w:cs="宋体"/>
          <w:color w:val="auto"/>
          <w:szCs w:val="21"/>
          <w:highlight w:val="none"/>
        </w:rPr>
      </w:pPr>
      <w:r>
        <w:rPr>
          <w:rFonts w:hint="eastAsia" w:ascii="宋体" w:hAnsi="宋体" w:cs="宋体"/>
          <w:color w:val="auto"/>
          <w:szCs w:val="21"/>
          <w:highlight w:val="none"/>
        </w:rPr>
        <w:t>附：法定代表人（负责人）身份证明及委托代理人有效身份证正反面</w:t>
      </w:r>
    </w:p>
    <w:p w14:paraId="27E2C2BA">
      <w:pPr>
        <w:snapToGrid w:val="0"/>
        <w:spacing w:before="120" w:beforeLines="50" w:after="50" w:line="360" w:lineRule="auto"/>
        <w:rPr>
          <w:rFonts w:ascii="宋体" w:hAnsi="宋体" w:cs="宋体"/>
          <w:color w:val="auto"/>
          <w:szCs w:val="21"/>
          <w:highlight w:val="none"/>
        </w:rPr>
      </w:pPr>
    </w:p>
    <w:p w14:paraId="27AAB31D">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我已在下面签字，以资证明。</w:t>
      </w:r>
    </w:p>
    <w:p w14:paraId="7D152AEE">
      <w:pPr>
        <w:snapToGrid w:val="0"/>
        <w:spacing w:line="360" w:lineRule="auto"/>
        <w:ind w:firstLine="420"/>
        <w:rPr>
          <w:rFonts w:ascii="宋体" w:hAnsi="宋体" w:cs="宋体"/>
          <w:color w:val="auto"/>
          <w:szCs w:val="21"/>
          <w:highlight w:val="none"/>
        </w:rPr>
      </w:pPr>
    </w:p>
    <w:p w14:paraId="12F8C611">
      <w:pPr>
        <w:snapToGrid w:val="0"/>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投标人[公章（CA签章）]：</w:t>
      </w:r>
    </w:p>
    <w:p w14:paraId="797A75A3">
      <w:pPr>
        <w:snapToGrid w:val="0"/>
        <w:spacing w:line="360" w:lineRule="auto"/>
        <w:ind w:firstLine="420"/>
        <w:rPr>
          <w:rFonts w:ascii="宋体" w:hAnsi="宋体" w:cs="宋体"/>
          <w:color w:val="auto"/>
          <w:szCs w:val="21"/>
          <w:highlight w:val="none"/>
          <w:u w:val="single"/>
        </w:rPr>
      </w:pPr>
    </w:p>
    <w:p w14:paraId="618A26FF">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法定代表人（负责人）签字（或私章或个人CA签章）：</w:t>
      </w:r>
    </w:p>
    <w:p w14:paraId="7EFEFAFA">
      <w:pPr>
        <w:snapToGrid w:val="0"/>
        <w:spacing w:line="360" w:lineRule="auto"/>
        <w:ind w:firstLine="420"/>
        <w:jc w:val="left"/>
        <w:rPr>
          <w:rFonts w:ascii="宋体" w:hAnsi="宋体" w:cs="宋体"/>
          <w:color w:val="auto"/>
          <w:szCs w:val="21"/>
          <w:highlight w:val="none"/>
        </w:rPr>
      </w:pPr>
    </w:p>
    <w:p w14:paraId="73FC0E63">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年    月    日</w:t>
      </w:r>
    </w:p>
    <w:p w14:paraId="230F97E0">
      <w:pPr>
        <w:snapToGrid w:val="0"/>
        <w:spacing w:before="120" w:beforeLines="50" w:after="50"/>
        <w:jc w:val="center"/>
        <w:rPr>
          <w:rFonts w:ascii="宋体" w:hAnsi="宋体" w:cs="宋体"/>
          <w:color w:val="auto"/>
          <w:sz w:val="24"/>
          <w:highlight w:val="none"/>
        </w:rPr>
      </w:pPr>
    </w:p>
    <w:p w14:paraId="326837A8">
      <w:pPr>
        <w:snapToGrid w:val="0"/>
        <w:spacing w:before="120" w:beforeLines="50" w:after="50"/>
        <w:ind w:firstLine="566" w:firstLineChars="236"/>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法定代表人授权委托书</w:t>
      </w:r>
    </w:p>
    <w:p w14:paraId="56508F41">
      <w:pPr>
        <w:snapToGrid w:val="0"/>
        <w:spacing w:before="120" w:beforeLines="50" w:after="50"/>
        <w:ind w:firstLine="758" w:firstLineChars="236"/>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（联合体投标格式）</w:t>
      </w:r>
    </w:p>
    <w:p w14:paraId="025C5561">
      <w:pPr>
        <w:snapToGrid w:val="0"/>
        <w:spacing w:before="120" w:beforeLines="50" w:after="50"/>
        <w:ind w:firstLine="758" w:firstLineChars="236"/>
        <w:jc w:val="center"/>
        <w:rPr>
          <w:rFonts w:ascii="宋体" w:hAnsi="宋体" w:cs="宋体"/>
          <w:color w:val="auto"/>
          <w:sz w:val="24"/>
          <w:highlight w:val="none"/>
        </w:rPr>
      </w:pPr>
      <w:r>
        <w:rPr>
          <w:rFonts w:hint="eastAsia" w:ascii="宋体" w:hAnsi="宋体" w:cs="宋体"/>
          <w:b/>
          <w:bCs/>
          <w:color w:val="auto"/>
          <w:sz w:val="32"/>
          <w:szCs w:val="32"/>
          <w:highlight w:val="none"/>
        </w:rPr>
        <w:t>（如有委托时）</w:t>
      </w:r>
    </w:p>
    <w:p w14:paraId="5D0FAEE9">
      <w:pPr>
        <w:snapToGrid w:val="0"/>
        <w:spacing w:line="360" w:lineRule="auto"/>
        <w:jc w:val="left"/>
        <w:rPr>
          <w:rFonts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2C24CE33">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 xml:space="preserve">根据 </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与</w:t>
      </w:r>
      <w:r>
        <w:rPr>
          <w:rFonts w:hint="eastAsia" w:ascii="宋体" w:hAnsi="宋体" w:cs="宋体"/>
          <w:color w:val="auto"/>
          <w:szCs w:val="21"/>
          <w:highlight w:val="none"/>
          <w:u w:val="single"/>
        </w:rPr>
        <w:t>（联合体其他成员名称）</w:t>
      </w:r>
      <w:r>
        <w:rPr>
          <w:rFonts w:hint="eastAsia" w:ascii="宋体" w:hAnsi="宋体" w:cs="宋体"/>
          <w:color w:val="auto"/>
          <w:szCs w:val="21"/>
          <w:highlight w:val="none"/>
        </w:rPr>
        <w:t>签订的《联合体投标协议书》的内容，</w:t>
      </w:r>
      <w:r>
        <w:rPr>
          <w:rFonts w:hint="eastAsia" w:ascii="宋体" w:hAnsi="宋体" w:cs="宋体"/>
          <w:color w:val="auto"/>
          <w:szCs w:val="21"/>
          <w:highlight w:val="none"/>
          <w:u w:val="single"/>
        </w:rPr>
        <w:t>（牵头人名称）</w:t>
      </w:r>
      <w:r>
        <w:rPr>
          <w:rFonts w:hint="eastAsia" w:ascii="宋体" w:hAnsi="宋体" w:cs="宋体"/>
          <w:color w:val="auto"/>
          <w:szCs w:val="21"/>
          <w:highlight w:val="none"/>
        </w:rPr>
        <w:t>的法定代表人</w:t>
      </w:r>
      <w:r>
        <w:rPr>
          <w:rFonts w:hint="eastAsia" w:ascii="宋体" w:hAnsi="宋体" w:cs="宋体"/>
          <w:color w:val="auto"/>
          <w:szCs w:val="21"/>
          <w:highlight w:val="none"/>
          <w:u w:val="single"/>
        </w:rPr>
        <w:t>（姓名）</w:t>
      </w:r>
      <w:r>
        <w:rPr>
          <w:rFonts w:hint="eastAsia" w:ascii="宋体" w:hAnsi="宋体" w:cs="宋体"/>
          <w:color w:val="auto"/>
          <w:szCs w:val="21"/>
          <w:highlight w:val="none"/>
        </w:rPr>
        <w:t>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以我方的名义参加项目的投标活动，并代表我方全权办理针对上述项目的所有采购程序和环节的具体事务和签署相关文件。</w:t>
      </w:r>
    </w:p>
    <w:p w14:paraId="2F25E4A7">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我方对委托代理人的签字事项负全部责任。</w:t>
      </w:r>
    </w:p>
    <w:p w14:paraId="068AF1BB">
      <w:pPr>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u w:val="single"/>
        </w:rPr>
        <w:t>有效期：   年   月   日 至   年  月  日。</w:t>
      </w:r>
    </w:p>
    <w:p w14:paraId="610FFEB2">
      <w:pPr>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66D7AB07">
      <w:pPr>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附：法定代表人（负责人）身份证明及委托代理人有效身份证正反面</w:t>
      </w:r>
    </w:p>
    <w:p w14:paraId="22B191AD">
      <w:pPr>
        <w:snapToGrid w:val="0"/>
        <w:spacing w:line="360" w:lineRule="auto"/>
        <w:ind w:firstLine="495" w:firstLineChars="236"/>
        <w:rPr>
          <w:rFonts w:ascii="宋体" w:hAnsi="宋体" w:cs="宋体"/>
          <w:color w:val="auto"/>
          <w:szCs w:val="21"/>
          <w:highlight w:val="none"/>
        </w:rPr>
      </w:pPr>
    </w:p>
    <w:p w14:paraId="03F9C586">
      <w:pPr>
        <w:snapToGrid w:val="0"/>
        <w:spacing w:line="360" w:lineRule="auto"/>
        <w:ind w:firstLine="495" w:firstLineChars="236"/>
        <w:rPr>
          <w:rFonts w:ascii="宋体" w:hAnsi="宋体" w:cs="宋体"/>
          <w:color w:val="auto"/>
          <w:szCs w:val="21"/>
          <w:highlight w:val="none"/>
        </w:rPr>
      </w:pPr>
    </w:p>
    <w:p w14:paraId="71FB16E6">
      <w:pPr>
        <w:pStyle w:val="26"/>
        <w:spacing w:line="360" w:lineRule="auto"/>
        <w:ind w:firstLine="420"/>
        <w:rPr>
          <w:rFonts w:hAnsi="宋体" w:cs="宋体"/>
          <w:color w:val="auto"/>
          <w:sz w:val="21"/>
          <w:highlight w:val="none"/>
        </w:rPr>
      </w:pPr>
      <w:r>
        <w:rPr>
          <w:rFonts w:hint="eastAsia" w:hAnsi="宋体" w:cs="宋体"/>
          <w:color w:val="auto"/>
          <w:sz w:val="21"/>
          <w:highlight w:val="none"/>
        </w:rPr>
        <w:t>牵头人法定代表人签字[或盖章(CA签章)]：</w:t>
      </w:r>
    </w:p>
    <w:p w14:paraId="6D0E842D">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牵头人[公章(CA签章)、自然人除外]：</w:t>
      </w:r>
    </w:p>
    <w:p w14:paraId="43A8F9F9">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日期：    年   月   日</w:t>
      </w:r>
    </w:p>
    <w:p w14:paraId="114FA22A">
      <w:pPr>
        <w:snapToGrid w:val="0"/>
        <w:spacing w:line="360" w:lineRule="auto"/>
        <w:ind w:firstLine="495" w:firstLineChars="236"/>
        <w:rPr>
          <w:rFonts w:ascii="宋体" w:hAnsi="宋体" w:cs="宋体"/>
          <w:color w:val="auto"/>
          <w:szCs w:val="21"/>
          <w:highlight w:val="none"/>
        </w:rPr>
      </w:pPr>
    </w:p>
    <w:p w14:paraId="2EE0C3DD">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被授权人（签字）：</w:t>
      </w:r>
    </w:p>
    <w:p w14:paraId="750A8847">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日期：    年   月   日</w:t>
      </w:r>
    </w:p>
    <w:p w14:paraId="2EEEDE22">
      <w:pPr>
        <w:rPr>
          <w:rFonts w:ascii="宋体" w:hAnsi="宋体" w:cs="宋体"/>
          <w:color w:val="auto"/>
          <w:sz w:val="24"/>
          <w:highlight w:val="none"/>
        </w:rPr>
      </w:pPr>
    </w:p>
    <w:p w14:paraId="5103D00A">
      <w:pPr>
        <w:rPr>
          <w:rFonts w:ascii="宋体" w:hAnsi="宋体" w:cs="宋体"/>
          <w:b/>
          <w:color w:val="auto"/>
          <w:sz w:val="24"/>
          <w:highlight w:val="none"/>
        </w:rPr>
      </w:pPr>
      <w:r>
        <w:rPr>
          <w:rFonts w:hint="eastAsia" w:ascii="宋体" w:hAnsi="宋体" w:cs="宋体"/>
          <w:b/>
          <w:color w:val="auto"/>
          <w:sz w:val="24"/>
          <w:highlight w:val="none"/>
        </w:rPr>
        <w:br w:type="page"/>
      </w:r>
    </w:p>
    <w:p w14:paraId="5489E68C">
      <w:pPr>
        <w:pStyle w:val="6"/>
        <w:rPr>
          <w:color w:val="auto"/>
          <w:highlight w:val="none"/>
        </w:rPr>
      </w:pPr>
      <w:r>
        <w:rPr>
          <w:rFonts w:hint="eastAsia"/>
          <w:color w:val="auto"/>
          <w:highlight w:val="none"/>
        </w:rPr>
        <w:t>5.商务条款偏离表（格式）</w:t>
      </w:r>
    </w:p>
    <w:p w14:paraId="15893021">
      <w:pPr>
        <w:snapToGrid w:val="0"/>
        <w:spacing w:before="50"/>
        <w:jc w:val="left"/>
        <w:rPr>
          <w:rFonts w:ascii="宋体" w:hAnsi="宋体" w:cs="宋体"/>
          <w:color w:val="auto"/>
          <w:sz w:val="24"/>
          <w:highlight w:val="none"/>
        </w:rPr>
      </w:pPr>
    </w:p>
    <w:p w14:paraId="308206A9">
      <w:pPr>
        <w:snapToGrid w:val="0"/>
        <w:spacing w:before="50"/>
        <w:jc w:val="left"/>
        <w:rPr>
          <w:rFonts w:ascii="宋体" w:hAnsi="宋体" w:cs="宋体"/>
          <w:color w:val="auto"/>
          <w:sz w:val="24"/>
          <w:highlight w:val="none"/>
          <w:u w:val="single"/>
        </w:rPr>
      </w:pPr>
    </w:p>
    <w:tbl>
      <w:tblPr>
        <w:tblStyle w:val="52"/>
        <w:tblW w:w="91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7"/>
        <w:gridCol w:w="918"/>
        <w:gridCol w:w="3048"/>
        <w:gridCol w:w="2744"/>
        <w:gridCol w:w="1497"/>
      </w:tblGrid>
      <w:tr w14:paraId="74D094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1DDA3B42">
            <w:pPr>
              <w:pStyle w:val="20"/>
              <w:spacing w:line="360" w:lineRule="auto"/>
              <w:ind w:firstLine="0" w:firstLineChars="0"/>
              <w:jc w:val="center"/>
              <w:rPr>
                <w:rFonts w:ascii="宋体" w:hAnsi="宋体" w:eastAsia="宋体" w:cs="仿宋_GB2312"/>
                <w:color w:val="auto"/>
                <w:kern w:val="2"/>
                <w:sz w:val="24"/>
                <w:szCs w:val="24"/>
                <w:highlight w:val="none"/>
              </w:rPr>
            </w:pPr>
            <w:bookmarkStart w:id="159" w:name="_Toc173211900"/>
            <w:bookmarkStart w:id="160" w:name="_Toc383699906"/>
            <w:bookmarkStart w:id="161" w:name="_Toc297193185"/>
            <w:bookmarkStart w:id="162" w:name="_Toc301781611"/>
            <w:bookmarkStart w:id="163" w:name="_Toc254970588"/>
            <w:bookmarkStart w:id="164" w:name="_Toc173066401"/>
            <w:bookmarkStart w:id="165" w:name="_Toc254970729"/>
            <w:bookmarkStart w:id="166" w:name="_Toc295404981"/>
            <w:bookmarkStart w:id="167" w:name="_Toc373333689"/>
            <w:r>
              <w:rPr>
                <w:rFonts w:hint="eastAsia" w:ascii="宋体" w:hAnsi="宋体" w:eastAsia="宋体" w:cs="仿宋_GB2312"/>
                <w:color w:val="auto"/>
                <w:kern w:val="2"/>
                <w:sz w:val="24"/>
                <w:szCs w:val="24"/>
                <w:highlight w:val="none"/>
              </w:rPr>
              <w:t>序号</w:t>
            </w:r>
            <w:bookmarkEnd w:id="159"/>
            <w:bookmarkEnd w:id="160"/>
            <w:bookmarkEnd w:id="161"/>
            <w:bookmarkEnd w:id="162"/>
            <w:bookmarkEnd w:id="163"/>
            <w:bookmarkEnd w:id="164"/>
            <w:bookmarkEnd w:id="165"/>
            <w:bookmarkEnd w:id="166"/>
            <w:bookmarkEnd w:id="167"/>
          </w:p>
        </w:tc>
        <w:tc>
          <w:tcPr>
            <w:tcW w:w="906" w:type="dxa"/>
            <w:tcBorders>
              <w:right w:val="single" w:color="auto" w:sz="4" w:space="0"/>
            </w:tcBorders>
            <w:vAlign w:val="center"/>
          </w:tcPr>
          <w:p w14:paraId="3AE38A11">
            <w:pPr>
              <w:pStyle w:val="2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3008" w:type="dxa"/>
            <w:tcBorders>
              <w:left w:val="single" w:color="auto" w:sz="4" w:space="0"/>
            </w:tcBorders>
            <w:vAlign w:val="center"/>
          </w:tcPr>
          <w:p w14:paraId="61AEA5E8">
            <w:pPr>
              <w:pStyle w:val="2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招标文件商务条款要求</w:t>
            </w:r>
          </w:p>
        </w:tc>
        <w:tc>
          <w:tcPr>
            <w:tcW w:w="2708" w:type="dxa"/>
            <w:vAlign w:val="center"/>
          </w:tcPr>
          <w:p w14:paraId="0FB03787">
            <w:pPr>
              <w:pStyle w:val="2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投标人的承诺</w:t>
            </w:r>
          </w:p>
        </w:tc>
        <w:tc>
          <w:tcPr>
            <w:tcW w:w="1477" w:type="dxa"/>
            <w:vAlign w:val="center"/>
          </w:tcPr>
          <w:p w14:paraId="1FB56A85">
            <w:pPr>
              <w:pStyle w:val="20"/>
              <w:spacing w:line="360" w:lineRule="auto"/>
              <w:ind w:firstLine="0" w:firstLineChars="0"/>
              <w:jc w:val="center"/>
              <w:rPr>
                <w:rFonts w:ascii="宋体" w:hAnsi="宋体" w:eastAsia="宋体" w:cs="仿宋_GB2312"/>
                <w:color w:val="auto"/>
                <w:kern w:val="2"/>
                <w:sz w:val="24"/>
                <w:szCs w:val="24"/>
                <w:highlight w:val="none"/>
              </w:rPr>
            </w:pPr>
            <w:bookmarkStart w:id="168" w:name="_Toc383699909"/>
            <w:bookmarkStart w:id="169" w:name="_Toc295404984"/>
            <w:bookmarkStart w:id="170" w:name="_Toc173211903"/>
            <w:bookmarkStart w:id="171" w:name="_Toc373333692"/>
            <w:bookmarkStart w:id="172" w:name="_Toc301781614"/>
            <w:bookmarkStart w:id="173" w:name="_Toc173066404"/>
            <w:bookmarkStart w:id="174" w:name="_Toc254970732"/>
            <w:bookmarkStart w:id="175" w:name="_Toc254970591"/>
            <w:bookmarkStart w:id="176" w:name="_Toc297193188"/>
            <w:r>
              <w:rPr>
                <w:rFonts w:hint="eastAsia" w:ascii="宋体" w:hAnsi="宋体" w:eastAsia="宋体" w:cs="仿宋_GB2312"/>
                <w:color w:val="auto"/>
                <w:kern w:val="2"/>
                <w:sz w:val="24"/>
                <w:szCs w:val="24"/>
                <w:highlight w:val="none"/>
              </w:rPr>
              <w:t>偏离</w:t>
            </w:r>
            <w:bookmarkEnd w:id="168"/>
            <w:bookmarkEnd w:id="169"/>
            <w:bookmarkEnd w:id="170"/>
            <w:bookmarkEnd w:id="171"/>
            <w:bookmarkEnd w:id="172"/>
            <w:bookmarkEnd w:id="173"/>
            <w:bookmarkEnd w:id="174"/>
            <w:bookmarkEnd w:id="175"/>
            <w:bookmarkEnd w:id="176"/>
            <w:bookmarkStart w:id="177" w:name="_Toc254970592"/>
            <w:bookmarkStart w:id="178" w:name="_Toc295404985"/>
            <w:bookmarkStart w:id="179" w:name="_Toc373333693"/>
            <w:bookmarkStart w:id="180" w:name="_Toc297193189"/>
            <w:bookmarkStart w:id="181" w:name="_Toc173066405"/>
            <w:bookmarkStart w:id="182" w:name="_Toc383699910"/>
            <w:bookmarkStart w:id="183" w:name="_Toc301781615"/>
            <w:bookmarkStart w:id="184" w:name="_Toc254970733"/>
            <w:bookmarkStart w:id="185" w:name="_Toc173211904"/>
            <w:r>
              <w:rPr>
                <w:rFonts w:hint="eastAsia" w:ascii="宋体" w:hAnsi="宋体" w:eastAsia="宋体" w:cs="仿宋_GB2312"/>
                <w:color w:val="auto"/>
                <w:kern w:val="2"/>
                <w:sz w:val="24"/>
                <w:szCs w:val="24"/>
                <w:highlight w:val="none"/>
              </w:rPr>
              <w:t>说明</w:t>
            </w:r>
            <w:bookmarkEnd w:id="177"/>
            <w:bookmarkEnd w:id="178"/>
            <w:bookmarkEnd w:id="179"/>
            <w:bookmarkEnd w:id="180"/>
            <w:bookmarkEnd w:id="181"/>
            <w:bookmarkEnd w:id="182"/>
            <w:bookmarkEnd w:id="183"/>
            <w:bookmarkEnd w:id="184"/>
            <w:bookmarkEnd w:id="185"/>
          </w:p>
        </w:tc>
      </w:tr>
      <w:tr w14:paraId="592CC2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527B09B4">
            <w:pPr>
              <w:pStyle w:val="20"/>
              <w:spacing w:line="360" w:lineRule="auto"/>
              <w:ind w:firstLine="0" w:firstLineChars="0"/>
              <w:jc w:val="center"/>
              <w:rPr>
                <w:rFonts w:ascii="宋体" w:hAnsi="宋体" w:eastAsia="宋体" w:cs="仿宋_GB2312"/>
                <w:color w:val="auto"/>
                <w:kern w:val="2"/>
                <w:sz w:val="24"/>
                <w:szCs w:val="24"/>
                <w:highlight w:val="none"/>
              </w:rPr>
            </w:pPr>
            <w:bookmarkStart w:id="186" w:name="_Toc301781616"/>
            <w:bookmarkStart w:id="187" w:name="_Toc173066406"/>
            <w:bookmarkStart w:id="188" w:name="_Toc254970593"/>
            <w:bookmarkStart w:id="189" w:name="_Toc297193190"/>
            <w:bookmarkStart w:id="190" w:name="_Toc173211905"/>
            <w:bookmarkStart w:id="191" w:name="_Toc254970734"/>
            <w:bookmarkStart w:id="192" w:name="_Toc383699911"/>
            <w:bookmarkStart w:id="193" w:name="_Toc373333694"/>
            <w:bookmarkStart w:id="194" w:name="_Toc295404986"/>
            <w:r>
              <w:rPr>
                <w:rFonts w:hint="eastAsia" w:ascii="宋体" w:hAnsi="宋体" w:eastAsia="宋体" w:cs="仿宋_GB2312"/>
                <w:color w:val="auto"/>
                <w:kern w:val="2"/>
                <w:sz w:val="24"/>
                <w:szCs w:val="24"/>
                <w:highlight w:val="none"/>
              </w:rPr>
              <w:t>1</w:t>
            </w:r>
            <w:bookmarkEnd w:id="186"/>
            <w:bookmarkEnd w:id="187"/>
            <w:bookmarkEnd w:id="188"/>
            <w:bookmarkEnd w:id="189"/>
            <w:bookmarkEnd w:id="190"/>
            <w:bookmarkEnd w:id="191"/>
            <w:bookmarkEnd w:id="192"/>
            <w:bookmarkEnd w:id="193"/>
            <w:bookmarkEnd w:id="194"/>
          </w:p>
        </w:tc>
        <w:tc>
          <w:tcPr>
            <w:tcW w:w="906" w:type="dxa"/>
            <w:tcBorders>
              <w:right w:val="single" w:color="auto" w:sz="4" w:space="0"/>
            </w:tcBorders>
            <w:vAlign w:val="center"/>
          </w:tcPr>
          <w:p w14:paraId="181C7E64">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3008" w:type="dxa"/>
            <w:tcBorders>
              <w:left w:val="single" w:color="auto" w:sz="4" w:space="0"/>
            </w:tcBorders>
            <w:vAlign w:val="center"/>
          </w:tcPr>
          <w:p w14:paraId="397D878F">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2708" w:type="dxa"/>
            <w:vAlign w:val="center"/>
          </w:tcPr>
          <w:p w14:paraId="5B48F39F">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1477" w:type="dxa"/>
            <w:vAlign w:val="center"/>
          </w:tcPr>
          <w:p w14:paraId="5F5AE3AE">
            <w:pPr>
              <w:pStyle w:val="20"/>
              <w:spacing w:line="360" w:lineRule="auto"/>
              <w:ind w:firstLine="0" w:firstLineChars="0"/>
              <w:jc w:val="center"/>
              <w:rPr>
                <w:rFonts w:ascii="宋体" w:hAnsi="宋体" w:eastAsia="宋体" w:cs="仿宋_GB2312"/>
                <w:color w:val="auto"/>
                <w:kern w:val="2"/>
                <w:sz w:val="24"/>
                <w:szCs w:val="24"/>
                <w:highlight w:val="none"/>
              </w:rPr>
            </w:pPr>
          </w:p>
        </w:tc>
      </w:tr>
      <w:tr w14:paraId="54C1BC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4F95208F">
            <w:pPr>
              <w:pStyle w:val="20"/>
              <w:spacing w:line="360" w:lineRule="auto"/>
              <w:ind w:firstLine="0" w:firstLineChars="0"/>
              <w:jc w:val="center"/>
              <w:rPr>
                <w:rFonts w:ascii="宋体" w:hAnsi="宋体" w:eastAsia="宋体" w:cs="仿宋_GB2312"/>
                <w:color w:val="auto"/>
                <w:kern w:val="2"/>
                <w:sz w:val="24"/>
                <w:szCs w:val="24"/>
                <w:highlight w:val="none"/>
              </w:rPr>
            </w:pPr>
            <w:bookmarkStart w:id="195" w:name="_Toc301781617"/>
            <w:bookmarkStart w:id="196" w:name="_Toc383699912"/>
            <w:bookmarkStart w:id="197" w:name="_Toc373333695"/>
            <w:bookmarkStart w:id="198" w:name="_Toc297193191"/>
            <w:bookmarkStart w:id="199" w:name="_Toc254970594"/>
            <w:bookmarkStart w:id="200" w:name="_Toc295404987"/>
            <w:bookmarkStart w:id="201" w:name="_Toc173066407"/>
            <w:bookmarkStart w:id="202" w:name="_Toc254970735"/>
            <w:bookmarkStart w:id="203" w:name="_Toc173211906"/>
            <w:r>
              <w:rPr>
                <w:rFonts w:hint="eastAsia" w:ascii="宋体" w:hAnsi="宋体" w:eastAsia="宋体" w:cs="仿宋_GB2312"/>
                <w:color w:val="auto"/>
                <w:kern w:val="2"/>
                <w:sz w:val="24"/>
                <w:szCs w:val="24"/>
                <w:highlight w:val="none"/>
              </w:rPr>
              <w:t>2</w:t>
            </w:r>
            <w:bookmarkEnd w:id="195"/>
            <w:bookmarkEnd w:id="196"/>
            <w:bookmarkEnd w:id="197"/>
            <w:bookmarkEnd w:id="198"/>
            <w:bookmarkEnd w:id="199"/>
            <w:bookmarkEnd w:id="200"/>
            <w:bookmarkEnd w:id="201"/>
            <w:bookmarkEnd w:id="202"/>
            <w:bookmarkEnd w:id="203"/>
          </w:p>
        </w:tc>
        <w:tc>
          <w:tcPr>
            <w:tcW w:w="906" w:type="dxa"/>
            <w:tcBorders>
              <w:right w:val="single" w:color="auto" w:sz="4" w:space="0"/>
            </w:tcBorders>
            <w:vAlign w:val="center"/>
          </w:tcPr>
          <w:p w14:paraId="018CF4E4">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3008" w:type="dxa"/>
            <w:tcBorders>
              <w:left w:val="single" w:color="auto" w:sz="4" w:space="0"/>
            </w:tcBorders>
            <w:vAlign w:val="center"/>
          </w:tcPr>
          <w:p w14:paraId="2E24EA7B">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2708" w:type="dxa"/>
            <w:vAlign w:val="center"/>
          </w:tcPr>
          <w:p w14:paraId="2468D2BF">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1477" w:type="dxa"/>
            <w:vAlign w:val="center"/>
          </w:tcPr>
          <w:p w14:paraId="21EA1174">
            <w:pPr>
              <w:pStyle w:val="20"/>
              <w:spacing w:line="360" w:lineRule="auto"/>
              <w:ind w:firstLine="0" w:firstLineChars="0"/>
              <w:jc w:val="center"/>
              <w:rPr>
                <w:rFonts w:ascii="宋体" w:hAnsi="宋体" w:eastAsia="宋体" w:cs="仿宋_GB2312"/>
                <w:color w:val="auto"/>
                <w:kern w:val="2"/>
                <w:sz w:val="24"/>
                <w:szCs w:val="24"/>
                <w:highlight w:val="none"/>
              </w:rPr>
            </w:pPr>
          </w:p>
        </w:tc>
      </w:tr>
      <w:tr w14:paraId="0E29EA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6C7CA9BD">
            <w:pPr>
              <w:pStyle w:val="20"/>
              <w:spacing w:line="360" w:lineRule="auto"/>
              <w:ind w:firstLine="0" w:firstLineChars="0"/>
              <w:jc w:val="center"/>
              <w:rPr>
                <w:rFonts w:ascii="宋体" w:hAnsi="宋体" w:eastAsia="宋体" w:cs="仿宋_GB2312"/>
                <w:color w:val="auto"/>
                <w:kern w:val="2"/>
                <w:sz w:val="24"/>
                <w:szCs w:val="24"/>
                <w:highlight w:val="none"/>
              </w:rPr>
            </w:pPr>
            <w:bookmarkStart w:id="204" w:name="_Toc173066408"/>
            <w:bookmarkStart w:id="205" w:name="_Toc173211907"/>
            <w:bookmarkStart w:id="206" w:name="_Toc383699913"/>
            <w:bookmarkStart w:id="207" w:name="_Toc295404988"/>
            <w:bookmarkStart w:id="208" w:name="_Toc297193192"/>
            <w:bookmarkStart w:id="209" w:name="_Toc301781618"/>
            <w:bookmarkStart w:id="210" w:name="_Toc373333696"/>
            <w:bookmarkStart w:id="211" w:name="_Toc254970736"/>
            <w:bookmarkStart w:id="212" w:name="_Toc254970595"/>
            <w:r>
              <w:rPr>
                <w:rFonts w:hint="eastAsia" w:ascii="宋体" w:hAnsi="宋体" w:eastAsia="宋体" w:cs="仿宋_GB2312"/>
                <w:color w:val="auto"/>
                <w:kern w:val="2"/>
                <w:sz w:val="24"/>
                <w:szCs w:val="24"/>
                <w:highlight w:val="none"/>
              </w:rPr>
              <w:t>3</w:t>
            </w:r>
            <w:bookmarkEnd w:id="204"/>
            <w:bookmarkEnd w:id="205"/>
            <w:bookmarkEnd w:id="206"/>
            <w:bookmarkEnd w:id="207"/>
            <w:bookmarkEnd w:id="208"/>
            <w:bookmarkEnd w:id="209"/>
            <w:bookmarkEnd w:id="210"/>
            <w:bookmarkEnd w:id="211"/>
            <w:bookmarkEnd w:id="212"/>
          </w:p>
        </w:tc>
        <w:tc>
          <w:tcPr>
            <w:tcW w:w="906" w:type="dxa"/>
            <w:tcBorders>
              <w:right w:val="single" w:color="auto" w:sz="4" w:space="0"/>
            </w:tcBorders>
            <w:vAlign w:val="center"/>
          </w:tcPr>
          <w:p w14:paraId="66752B4A">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3008" w:type="dxa"/>
            <w:tcBorders>
              <w:left w:val="single" w:color="auto" w:sz="4" w:space="0"/>
            </w:tcBorders>
            <w:vAlign w:val="center"/>
          </w:tcPr>
          <w:p w14:paraId="3BF87C93">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2708" w:type="dxa"/>
            <w:vAlign w:val="center"/>
          </w:tcPr>
          <w:p w14:paraId="72920704">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1477" w:type="dxa"/>
            <w:vAlign w:val="center"/>
          </w:tcPr>
          <w:p w14:paraId="21000466">
            <w:pPr>
              <w:pStyle w:val="20"/>
              <w:spacing w:line="360" w:lineRule="auto"/>
              <w:ind w:firstLine="0" w:firstLineChars="0"/>
              <w:jc w:val="center"/>
              <w:rPr>
                <w:rFonts w:ascii="宋体" w:hAnsi="宋体" w:eastAsia="宋体" w:cs="仿宋_GB2312"/>
                <w:color w:val="auto"/>
                <w:kern w:val="2"/>
                <w:sz w:val="24"/>
                <w:szCs w:val="24"/>
                <w:highlight w:val="none"/>
              </w:rPr>
            </w:pPr>
          </w:p>
        </w:tc>
      </w:tr>
      <w:tr w14:paraId="126F09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4135F7A6">
            <w:pPr>
              <w:pStyle w:val="20"/>
              <w:spacing w:line="360" w:lineRule="auto"/>
              <w:ind w:firstLine="0" w:firstLineChars="0"/>
              <w:jc w:val="center"/>
              <w:rPr>
                <w:rFonts w:ascii="宋体" w:hAnsi="宋体" w:eastAsia="宋体" w:cs="仿宋_GB2312"/>
                <w:color w:val="auto"/>
                <w:kern w:val="2"/>
                <w:sz w:val="24"/>
                <w:szCs w:val="24"/>
                <w:highlight w:val="none"/>
              </w:rPr>
            </w:pPr>
            <w:bookmarkStart w:id="213" w:name="_Toc254970596"/>
            <w:bookmarkStart w:id="214" w:name="_Toc373333697"/>
            <w:bookmarkStart w:id="215" w:name="_Toc254970737"/>
            <w:bookmarkStart w:id="216" w:name="_Toc173211908"/>
            <w:bookmarkStart w:id="217" w:name="_Toc301781619"/>
            <w:bookmarkStart w:id="218" w:name="_Toc295404989"/>
            <w:bookmarkStart w:id="219" w:name="_Toc173066409"/>
            <w:bookmarkStart w:id="220" w:name="_Toc383699914"/>
            <w:bookmarkStart w:id="221" w:name="_Toc297193193"/>
            <w:r>
              <w:rPr>
                <w:rFonts w:hint="eastAsia" w:ascii="宋体" w:hAnsi="宋体" w:eastAsia="宋体" w:cs="仿宋_GB2312"/>
                <w:color w:val="auto"/>
                <w:kern w:val="2"/>
                <w:sz w:val="24"/>
                <w:szCs w:val="24"/>
                <w:highlight w:val="none"/>
              </w:rPr>
              <w:t>4</w:t>
            </w:r>
            <w:bookmarkEnd w:id="213"/>
            <w:bookmarkEnd w:id="214"/>
            <w:bookmarkEnd w:id="215"/>
            <w:bookmarkEnd w:id="216"/>
            <w:bookmarkEnd w:id="217"/>
            <w:bookmarkEnd w:id="218"/>
            <w:bookmarkEnd w:id="219"/>
            <w:bookmarkEnd w:id="220"/>
            <w:bookmarkEnd w:id="221"/>
          </w:p>
        </w:tc>
        <w:tc>
          <w:tcPr>
            <w:tcW w:w="906" w:type="dxa"/>
            <w:tcBorders>
              <w:right w:val="single" w:color="auto" w:sz="4" w:space="0"/>
            </w:tcBorders>
            <w:vAlign w:val="center"/>
          </w:tcPr>
          <w:p w14:paraId="3660FC27">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3008" w:type="dxa"/>
            <w:tcBorders>
              <w:left w:val="single" w:color="auto" w:sz="4" w:space="0"/>
            </w:tcBorders>
            <w:vAlign w:val="center"/>
          </w:tcPr>
          <w:p w14:paraId="26190E4A">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2708" w:type="dxa"/>
            <w:vAlign w:val="center"/>
          </w:tcPr>
          <w:p w14:paraId="06F2CC2E">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1477" w:type="dxa"/>
            <w:vAlign w:val="center"/>
          </w:tcPr>
          <w:p w14:paraId="3F1A3F6F">
            <w:pPr>
              <w:pStyle w:val="20"/>
              <w:spacing w:line="360" w:lineRule="auto"/>
              <w:ind w:firstLine="0" w:firstLineChars="0"/>
              <w:jc w:val="center"/>
              <w:rPr>
                <w:rFonts w:ascii="宋体" w:hAnsi="宋体" w:eastAsia="宋体" w:cs="仿宋_GB2312"/>
                <w:color w:val="auto"/>
                <w:kern w:val="2"/>
                <w:sz w:val="24"/>
                <w:szCs w:val="24"/>
                <w:highlight w:val="none"/>
              </w:rPr>
            </w:pPr>
          </w:p>
        </w:tc>
      </w:tr>
      <w:tr w14:paraId="63CEC3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2DB6BB1F">
            <w:pPr>
              <w:pStyle w:val="20"/>
              <w:spacing w:line="360" w:lineRule="auto"/>
              <w:ind w:firstLine="0" w:firstLineChars="0"/>
              <w:jc w:val="center"/>
              <w:rPr>
                <w:rFonts w:ascii="宋体" w:hAnsi="宋体" w:eastAsia="宋体" w:cs="仿宋_GB2312"/>
                <w:color w:val="auto"/>
                <w:kern w:val="2"/>
                <w:sz w:val="24"/>
                <w:szCs w:val="24"/>
                <w:highlight w:val="none"/>
              </w:rPr>
            </w:pPr>
            <w:bookmarkStart w:id="222" w:name="_Toc254970597"/>
            <w:bookmarkStart w:id="223" w:name="_Toc173066410"/>
            <w:bookmarkStart w:id="224" w:name="_Toc297193194"/>
            <w:bookmarkStart w:id="225" w:name="_Toc301781620"/>
            <w:bookmarkStart w:id="226" w:name="_Toc173211909"/>
            <w:bookmarkStart w:id="227" w:name="_Toc373333698"/>
            <w:bookmarkStart w:id="228" w:name="_Toc254970738"/>
            <w:bookmarkStart w:id="229" w:name="_Toc295404990"/>
            <w:bookmarkStart w:id="230" w:name="_Toc383699915"/>
            <w:r>
              <w:rPr>
                <w:rFonts w:hint="eastAsia" w:ascii="宋体" w:hAnsi="宋体" w:eastAsia="宋体" w:cs="仿宋_GB2312"/>
                <w:color w:val="auto"/>
                <w:kern w:val="2"/>
                <w:sz w:val="24"/>
                <w:szCs w:val="24"/>
                <w:highlight w:val="none"/>
              </w:rPr>
              <w:t>5</w:t>
            </w:r>
            <w:bookmarkEnd w:id="222"/>
            <w:bookmarkEnd w:id="223"/>
            <w:bookmarkEnd w:id="224"/>
            <w:bookmarkEnd w:id="225"/>
            <w:bookmarkEnd w:id="226"/>
            <w:bookmarkEnd w:id="227"/>
            <w:bookmarkEnd w:id="228"/>
            <w:bookmarkEnd w:id="229"/>
            <w:bookmarkEnd w:id="230"/>
          </w:p>
        </w:tc>
        <w:tc>
          <w:tcPr>
            <w:tcW w:w="906" w:type="dxa"/>
            <w:tcBorders>
              <w:right w:val="single" w:color="auto" w:sz="4" w:space="0"/>
            </w:tcBorders>
            <w:vAlign w:val="center"/>
          </w:tcPr>
          <w:p w14:paraId="4660F0E0">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3008" w:type="dxa"/>
            <w:tcBorders>
              <w:left w:val="single" w:color="auto" w:sz="4" w:space="0"/>
            </w:tcBorders>
            <w:vAlign w:val="center"/>
          </w:tcPr>
          <w:p w14:paraId="1EEFAA78">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2708" w:type="dxa"/>
            <w:vAlign w:val="center"/>
          </w:tcPr>
          <w:p w14:paraId="3578EB4C">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1477" w:type="dxa"/>
            <w:vAlign w:val="center"/>
          </w:tcPr>
          <w:p w14:paraId="30836B0F">
            <w:pPr>
              <w:pStyle w:val="20"/>
              <w:spacing w:line="360" w:lineRule="auto"/>
              <w:ind w:firstLine="0" w:firstLineChars="0"/>
              <w:jc w:val="center"/>
              <w:rPr>
                <w:rFonts w:ascii="宋体" w:hAnsi="宋体" w:eastAsia="宋体" w:cs="仿宋_GB2312"/>
                <w:color w:val="auto"/>
                <w:kern w:val="2"/>
                <w:sz w:val="24"/>
                <w:szCs w:val="24"/>
                <w:highlight w:val="none"/>
              </w:rPr>
            </w:pPr>
          </w:p>
        </w:tc>
      </w:tr>
      <w:tr w14:paraId="3693A4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6" w:type="dxa"/>
            <w:vAlign w:val="center"/>
          </w:tcPr>
          <w:p w14:paraId="02A6F807">
            <w:pPr>
              <w:pStyle w:val="20"/>
              <w:spacing w:line="360" w:lineRule="auto"/>
              <w:ind w:firstLine="0" w:firstLineChars="0"/>
              <w:jc w:val="center"/>
              <w:rPr>
                <w:rFonts w:ascii="宋体" w:hAnsi="宋体" w:eastAsia="宋体" w:cs="仿宋_GB2312"/>
                <w:color w:val="auto"/>
                <w:kern w:val="2"/>
                <w:sz w:val="24"/>
                <w:szCs w:val="24"/>
                <w:highlight w:val="none"/>
              </w:rPr>
            </w:pPr>
            <w:bookmarkStart w:id="231" w:name="_Toc301781621"/>
            <w:bookmarkStart w:id="232" w:name="_Toc173066415"/>
            <w:bookmarkStart w:id="233" w:name="_Toc297193195"/>
            <w:bookmarkStart w:id="234" w:name="_Toc254970602"/>
            <w:bookmarkStart w:id="235" w:name="_Toc254970743"/>
            <w:bookmarkStart w:id="236" w:name="_Toc373333699"/>
            <w:bookmarkStart w:id="237" w:name="_Toc383699916"/>
            <w:bookmarkStart w:id="238" w:name="_Toc295404991"/>
            <w:bookmarkStart w:id="239" w:name="_Toc173211914"/>
            <w:r>
              <w:rPr>
                <w:rFonts w:hint="eastAsia" w:ascii="宋体" w:hAnsi="宋体" w:eastAsia="宋体" w:cs="仿宋_GB2312"/>
                <w:color w:val="auto"/>
                <w:kern w:val="2"/>
                <w:sz w:val="24"/>
                <w:szCs w:val="24"/>
                <w:highlight w:val="none"/>
              </w:rPr>
              <w:t>…</w:t>
            </w:r>
            <w:bookmarkEnd w:id="231"/>
            <w:bookmarkEnd w:id="232"/>
            <w:bookmarkEnd w:id="233"/>
            <w:bookmarkEnd w:id="234"/>
            <w:bookmarkEnd w:id="235"/>
            <w:bookmarkEnd w:id="236"/>
            <w:bookmarkEnd w:id="237"/>
            <w:bookmarkEnd w:id="238"/>
            <w:bookmarkEnd w:id="239"/>
          </w:p>
        </w:tc>
        <w:tc>
          <w:tcPr>
            <w:tcW w:w="906" w:type="dxa"/>
            <w:tcBorders>
              <w:right w:val="single" w:color="auto" w:sz="4" w:space="0"/>
            </w:tcBorders>
            <w:vAlign w:val="center"/>
          </w:tcPr>
          <w:p w14:paraId="1F461652">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3008" w:type="dxa"/>
            <w:tcBorders>
              <w:left w:val="single" w:color="auto" w:sz="4" w:space="0"/>
            </w:tcBorders>
            <w:vAlign w:val="center"/>
          </w:tcPr>
          <w:p w14:paraId="67EF1FE9">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2708" w:type="dxa"/>
            <w:vAlign w:val="center"/>
          </w:tcPr>
          <w:p w14:paraId="5E43E71B">
            <w:pPr>
              <w:pStyle w:val="20"/>
              <w:spacing w:line="360" w:lineRule="auto"/>
              <w:ind w:firstLine="0" w:firstLineChars="0"/>
              <w:jc w:val="center"/>
              <w:rPr>
                <w:rFonts w:ascii="宋体" w:hAnsi="宋体" w:eastAsia="宋体" w:cs="仿宋_GB2312"/>
                <w:color w:val="auto"/>
                <w:kern w:val="2"/>
                <w:sz w:val="24"/>
                <w:szCs w:val="24"/>
                <w:highlight w:val="none"/>
              </w:rPr>
            </w:pPr>
          </w:p>
        </w:tc>
        <w:tc>
          <w:tcPr>
            <w:tcW w:w="1477" w:type="dxa"/>
            <w:tcBorders>
              <w:right w:val="single" w:color="auto" w:sz="4" w:space="0"/>
            </w:tcBorders>
            <w:vAlign w:val="center"/>
          </w:tcPr>
          <w:p w14:paraId="0E6A7DEA">
            <w:pPr>
              <w:pStyle w:val="20"/>
              <w:spacing w:line="360" w:lineRule="auto"/>
              <w:ind w:firstLine="0" w:firstLineChars="0"/>
              <w:jc w:val="center"/>
              <w:rPr>
                <w:rFonts w:ascii="宋体" w:hAnsi="宋体" w:eastAsia="宋体" w:cs="仿宋_GB2312"/>
                <w:color w:val="auto"/>
                <w:kern w:val="2"/>
                <w:sz w:val="24"/>
                <w:szCs w:val="24"/>
                <w:highlight w:val="none"/>
              </w:rPr>
            </w:pPr>
          </w:p>
        </w:tc>
      </w:tr>
    </w:tbl>
    <w:p w14:paraId="2E8C9E4F">
      <w:pPr>
        <w:pStyle w:val="18"/>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注：</w:t>
      </w:r>
    </w:p>
    <w:p w14:paraId="3B2751C4">
      <w:pPr>
        <w:pStyle w:val="20"/>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说明：应对照招标文件“第二章 采购需求”中的商务条款逐条实质性响应，并作出偏离说明。</w:t>
      </w:r>
    </w:p>
    <w:p w14:paraId="6E8D49E3">
      <w:pPr>
        <w:pStyle w:val="18"/>
        <w:spacing w:line="360" w:lineRule="auto"/>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2.投标人应根据自身的承诺，对照招标文件要求在“偏离说明”中注明“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”或者“</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”。既不属于“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”也不属于“</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”即为“</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w:t>
      </w:r>
    </w:p>
    <w:p w14:paraId="175D3815">
      <w:pPr>
        <w:snapToGrid w:val="0"/>
        <w:spacing w:line="360" w:lineRule="auto"/>
        <w:rPr>
          <w:rFonts w:ascii="宋体" w:hAnsi="宋体" w:cs="宋体"/>
          <w:color w:val="auto"/>
          <w:szCs w:val="21"/>
          <w:highlight w:val="none"/>
        </w:rPr>
      </w:pPr>
    </w:p>
    <w:p w14:paraId="257CB1E1">
      <w:pPr>
        <w:pStyle w:val="26"/>
        <w:spacing w:line="360" w:lineRule="auto"/>
        <w:rPr>
          <w:rFonts w:hAnsi="宋体" w:cs="宋体"/>
          <w:color w:val="auto"/>
          <w:spacing w:val="20"/>
          <w:sz w:val="21"/>
          <w:highlight w:val="none"/>
          <w:u w:val="single"/>
        </w:rPr>
      </w:pPr>
      <w:r>
        <w:rPr>
          <w:rFonts w:hint="eastAsia" w:hAnsi="宋体" w:cs="宋体"/>
          <w:color w:val="auto"/>
          <w:sz w:val="21"/>
          <w:highlight w:val="none"/>
        </w:rPr>
        <w:t>法定代表人或者委托代理人</w:t>
      </w:r>
      <w:r>
        <w:rPr>
          <w:rFonts w:hint="eastAsia" w:hAnsi="宋体" w:cs="宋体"/>
          <w:color w:val="auto"/>
          <w:spacing w:val="20"/>
          <w:sz w:val="21"/>
          <w:highlight w:val="none"/>
        </w:rPr>
        <w:t>签字</w:t>
      </w:r>
      <w:r>
        <w:rPr>
          <w:rFonts w:hint="eastAsia" w:hAnsi="宋体" w:cs="宋体"/>
          <w:color w:val="auto"/>
          <w:sz w:val="21"/>
          <w:highlight w:val="none"/>
        </w:rPr>
        <w:t>[或盖章(CA签章)]（属自然人的应在签名处加盖大拇指指印或个人CA签章）</w:t>
      </w:r>
      <w:r>
        <w:rPr>
          <w:rFonts w:hint="eastAsia" w:hAnsi="宋体" w:cs="宋体"/>
          <w:color w:val="auto"/>
          <w:spacing w:val="20"/>
          <w:sz w:val="21"/>
          <w:highlight w:val="none"/>
        </w:rPr>
        <w:t>：</w:t>
      </w:r>
    </w:p>
    <w:p w14:paraId="2B9E23A6">
      <w:pPr>
        <w:snapToGrid w:val="0"/>
        <w:spacing w:line="360" w:lineRule="auto"/>
        <w:rPr>
          <w:rFonts w:ascii="宋体" w:hAnsi="宋体" w:cs="宋体"/>
          <w:color w:val="auto"/>
          <w:spacing w:val="20"/>
          <w:szCs w:val="21"/>
          <w:highlight w:val="none"/>
        </w:rPr>
      </w:pPr>
      <w:r>
        <w:rPr>
          <w:rFonts w:hint="eastAsia" w:ascii="宋体" w:hAnsi="宋体" w:cs="宋体"/>
          <w:color w:val="auto"/>
          <w:spacing w:val="20"/>
          <w:szCs w:val="21"/>
          <w:highlight w:val="none"/>
        </w:rPr>
        <w:t>投标人</w:t>
      </w:r>
      <w:r>
        <w:rPr>
          <w:rFonts w:hint="eastAsia" w:ascii="宋体" w:hAnsi="宋体" w:cs="宋体"/>
          <w:bCs/>
          <w:color w:val="auto"/>
          <w:szCs w:val="21"/>
          <w:highlight w:val="none"/>
        </w:rPr>
        <w:t>[公章(CA签章)、自然人除外]</w:t>
      </w:r>
      <w:r>
        <w:rPr>
          <w:rFonts w:hint="eastAsia" w:ascii="宋体" w:hAnsi="宋体" w:cs="宋体"/>
          <w:color w:val="auto"/>
          <w:spacing w:val="20"/>
          <w:szCs w:val="21"/>
          <w:highlight w:val="none"/>
        </w:rPr>
        <w:t>：</w:t>
      </w:r>
    </w:p>
    <w:p w14:paraId="504D67B1">
      <w:pPr>
        <w:snapToGrid w:val="0"/>
        <w:spacing w:line="360" w:lineRule="auto"/>
        <w:rPr>
          <w:rFonts w:ascii="宋体" w:hAnsi="宋体" w:cs="宋体"/>
          <w:color w:val="auto"/>
          <w:szCs w:val="21"/>
          <w:highlight w:val="none"/>
        </w:rPr>
      </w:pPr>
      <w:r>
        <w:rPr>
          <w:rFonts w:hint="eastAsia" w:ascii="宋体" w:hAnsi="宋体" w:cs="宋体"/>
          <w:color w:val="auto"/>
          <w:spacing w:val="20"/>
          <w:szCs w:val="21"/>
          <w:highlight w:val="none"/>
        </w:rPr>
        <w:t>日  期：</w:t>
      </w:r>
    </w:p>
    <w:p w14:paraId="22FD9A96">
      <w:pPr>
        <w:snapToGrid w:val="0"/>
        <w:spacing w:before="120" w:beforeLines="50"/>
        <w:rPr>
          <w:rFonts w:ascii="宋体" w:hAnsi="宋体" w:cs="宋体"/>
          <w:color w:val="auto"/>
          <w:sz w:val="24"/>
          <w:szCs w:val="20"/>
          <w:highlight w:val="none"/>
        </w:rPr>
      </w:pPr>
    </w:p>
    <w:p w14:paraId="1F1E5D8F">
      <w:pPr>
        <w:snapToGrid w:val="0"/>
        <w:spacing w:before="120" w:beforeLines="50" w:after="50"/>
        <w:jc w:val="left"/>
        <w:rPr>
          <w:rFonts w:ascii="宋体" w:hAnsi="宋体" w:cs="宋体"/>
          <w:color w:val="auto"/>
          <w:sz w:val="24"/>
          <w:szCs w:val="20"/>
          <w:highlight w:val="none"/>
        </w:rPr>
        <w:sectPr>
          <w:headerReference r:id="rId9" w:type="default"/>
          <w:footerReference r:id="rId10" w:type="default"/>
          <w:pgSz w:w="11906" w:h="16838"/>
          <w:pgMar w:top="1417" w:right="1417" w:bottom="1417" w:left="1417" w:header="851" w:footer="992" w:gutter="0"/>
          <w:pgNumType w:start="1"/>
          <w:cols w:space="720" w:num="1"/>
          <w:docGrid w:linePitch="312" w:charSpace="0"/>
        </w:sectPr>
      </w:pPr>
    </w:p>
    <w:p w14:paraId="16D915AD">
      <w:pPr>
        <w:pStyle w:val="6"/>
        <w:rPr>
          <w:rFonts w:eastAsia="宋体"/>
          <w:color w:val="auto"/>
          <w:highlight w:val="none"/>
        </w:rPr>
      </w:pPr>
      <w:r>
        <w:rPr>
          <w:rFonts w:hint="eastAsia"/>
          <w:color w:val="auto"/>
          <w:highlight w:val="none"/>
        </w:rPr>
        <w:t>6.服务承诺（格式自拟）</w:t>
      </w:r>
    </w:p>
    <w:p w14:paraId="1008D029">
      <w:pPr>
        <w:rPr>
          <w:color w:val="auto"/>
          <w:highlight w:val="none"/>
        </w:rPr>
      </w:pPr>
      <w:r>
        <w:rPr>
          <w:rFonts w:hint="eastAsia"/>
          <w:color w:val="auto"/>
          <w:highlight w:val="none"/>
        </w:rPr>
        <w:br w:type="page"/>
      </w:r>
    </w:p>
    <w:p w14:paraId="5DF992C3">
      <w:pPr>
        <w:pStyle w:val="6"/>
        <w:rPr>
          <w:color w:val="auto"/>
          <w:highlight w:val="none"/>
        </w:rPr>
      </w:pPr>
      <w:r>
        <w:rPr>
          <w:rFonts w:hint="eastAsia"/>
          <w:color w:val="auto"/>
          <w:highlight w:val="none"/>
        </w:rPr>
        <w:t>7.投标人类似的业绩证明（格式）</w:t>
      </w:r>
    </w:p>
    <w:p w14:paraId="0946D21D">
      <w:pPr>
        <w:pStyle w:val="40"/>
        <w:snapToGrid w:val="0"/>
        <w:ind w:left="480" w:hanging="480"/>
        <w:rPr>
          <w:rFonts w:ascii="宋体" w:hAnsi="宋体" w:cs="宋体"/>
          <w:color w:val="auto"/>
          <w:sz w:val="24"/>
          <w:highlight w:val="none"/>
        </w:rPr>
      </w:pPr>
    </w:p>
    <w:p w14:paraId="126FCC87">
      <w:pPr>
        <w:pStyle w:val="40"/>
        <w:snapToGrid w:val="0"/>
        <w:ind w:left="420" w:hanging="420"/>
        <w:rPr>
          <w:rFonts w:ascii="宋体" w:hAnsi="宋体" w:cs="宋体"/>
          <w:color w:val="auto"/>
          <w:sz w:val="21"/>
          <w:szCs w:val="21"/>
          <w:highlight w:val="none"/>
        </w:rPr>
      </w:pPr>
      <w:r>
        <w:rPr>
          <w:rFonts w:hint="eastAsia" w:ascii="宋体" w:hAnsi="宋体" w:cs="宋体"/>
          <w:color w:val="auto"/>
          <w:sz w:val="21"/>
          <w:szCs w:val="21"/>
          <w:highlight w:val="none"/>
        </w:rPr>
        <w:t>投标人同类项目情况一览表格式：（投标人同类项目合同、中标通知书等）</w:t>
      </w:r>
    </w:p>
    <w:tbl>
      <w:tblPr>
        <w:tblStyle w:val="52"/>
        <w:tblW w:w="91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0"/>
        <w:gridCol w:w="2712"/>
        <w:gridCol w:w="1996"/>
        <w:gridCol w:w="2080"/>
      </w:tblGrid>
      <w:tr w14:paraId="092FB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atLeast"/>
        </w:trPr>
        <w:tc>
          <w:tcPr>
            <w:tcW w:w="2410" w:type="dxa"/>
            <w:vMerge w:val="restart"/>
            <w:tcBorders>
              <w:top w:val="single" w:color="auto" w:sz="4" w:space="0"/>
              <w:left w:val="single" w:color="auto" w:sz="4" w:space="0"/>
              <w:bottom w:val="single" w:color="auto" w:sz="4" w:space="0"/>
              <w:right w:val="single" w:color="auto" w:sz="4" w:space="0"/>
            </w:tcBorders>
            <w:vAlign w:val="center"/>
          </w:tcPr>
          <w:p w14:paraId="0CFDE181">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采购人名称</w:t>
            </w:r>
          </w:p>
        </w:tc>
        <w:tc>
          <w:tcPr>
            <w:tcW w:w="2712" w:type="dxa"/>
            <w:vMerge w:val="restart"/>
            <w:tcBorders>
              <w:top w:val="single" w:color="auto" w:sz="4" w:space="0"/>
              <w:left w:val="single" w:color="auto" w:sz="4" w:space="0"/>
              <w:bottom w:val="single" w:color="auto" w:sz="4" w:space="0"/>
              <w:right w:val="single" w:color="auto" w:sz="4" w:space="0"/>
            </w:tcBorders>
            <w:vAlign w:val="center"/>
          </w:tcPr>
          <w:p w14:paraId="37DC190C">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996" w:type="dxa"/>
            <w:vMerge w:val="restart"/>
            <w:tcBorders>
              <w:top w:val="single" w:color="auto" w:sz="4" w:space="0"/>
              <w:left w:val="single" w:color="auto" w:sz="4" w:space="0"/>
              <w:bottom w:val="single" w:color="auto" w:sz="4" w:space="0"/>
              <w:right w:val="single" w:color="auto" w:sz="4" w:space="0"/>
            </w:tcBorders>
            <w:vAlign w:val="center"/>
          </w:tcPr>
          <w:p w14:paraId="6EE60DB5">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合同</w:t>
            </w:r>
          </w:p>
          <w:p w14:paraId="5158AC11">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金额</w:t>
            </w:r>
          </w:p>
          <w:p w14:paraId="75D1ADDC">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2080" w:type="dxa"/>
            <w:vMerge w:val="restart"/>
            <w:tcBorders>
              <w:top w:val="single" w:color="auto" w:sz="4" w:space="0"/>
              <w:left w:val="single" w:color="auto" w:sz="4" w:space="0"/>
              <w:bottom w:val="single" w:color="auto" w:sz="4" w:space="0"/>
              <w:right w:val="single" w:color="auto" w:sz="4" w:space="0"/>
            </w:tcBorders>
            <w:vAlign w:val="center"/>
          </w:tcPr>
          <w:p w14:paraId="38B5FAFB">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证明材料（合同/中标通知书）</w:t>
            </w:r>
          </w:p>
        </w:tc>
      </w:tr>
      <w:tr w14:paraId="4CC96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5" w:hRule="atLeast"/>
        </w:trPr>
        <w:tc>
          <w:tcPr>
            <w:tcW w:w="2410" w:type="dxa"/>
            <w:vMerge w:val="continue"/>
            <w:tcBorders>
              <w:top w:val="single" w:color="auto" w:sz="4" w:space="0"/>
              <w:left w:val="single" w:color="auto" w:sz="4" w:space="0"/>
              <w:bottom w:val="single" w:color="auto" w:sz="4" w:space="0"/>
              <w:right w:val="single" w:color="auto" w:sz="4" w:space="0"/>
            </w:tcBorders>
            <w:vAlign w:val="center"/>
          </w:tcPr>
          <w:p w14:paraId="545B529E">
            <w:pPr>
              <w:jc w:val="left"/>
              <w:rPr>
                <w:rFonts w:ascii="宋体" w:hAnsi="宋体" w:cs="宋体"/>
                <w:color w:val="auto"/>
                <w:szCs w:val="21"/>
                <w:highlight w:val="none"/>
              </w:rPr>
            </w:pPr>
          </w:p>
        </w:tc>
        <w:tc>
          <w:tcPr>
            <w:tcW w:w="2712" w:type="dxa"/>
            <w:vMerge w:val="continue"/>
            <w:tcBorders>
              <w:top w:val="single" w:color="auto" w:sz="4" w:space="0"/>
              <w:left w:val="single" w:color="auto" w:sz="4" w:space="0"/>
              <w:bottom w:val="single" w:color="auto" w:sz="4" w:space="0"/>
              <w:right w:val="single" w:color="auto" w:sz="4" w:space="0"/>
            </w:tcBorders>
            <w:vAlign w:val="center"/>
          </w:tcPr>
          <w:p w14:paraId="0B26322A">
            <w:pPr>
              <w:jc w:val="left"/>
              <w:rPr>
                <w:rFonts w:ascii="宋体" w:hAnsi="宋体" w:cs="宋体"/>
                <w:color w:val="auto"/>
                <w:szCs w:val="21"/>
                <w:highlight w:val="none"/>
              </w:rPr>
            </w:pPr>
          </w:p>
        </w:tc>
        <w:tc>
          <w:tcPr>
            <w:tcW w:w="1996" w:type="dxa"/>
            <w:vMerge w:val="continue"/>
            <w:tcBorders>
              <w:top w:val="single" w:color="auto" w:sz="4" w:space="0"/>
              <w:left w:val="single" w:color="auto" w:sz="4" w:space="0"/>
              <w:bottom w:val="single" w:color="auto" w:sz="4" w:space="0"/>
              <w:right w:val="single" w:color="auto" w:sz="4" w:space="0"/>
            </w:tcBorders>
            <w:vAlign w:val="center"/>
          </w:tcPr>
          <w:p w14:paraId="1C04ACD2">
            <w:pPr>
              <w:jc w:val="left"/>
              <w:rPr>
                <w:rFonts w:ascii="宋体" w:hAnsi="宋体" w:cs="宋体"/>
                <w:color w:val="auto"/>
                <w:szCs w:val="21"/>
                <w:highlight w:val="none"/>
              </w:rPr>
            </w:pP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2D8BCD94">
            <w:pPr>
              <w:jc w:val="left"/>
              <w:rPr>
                <w:rFonts w:ascii="宋体" w:hAnsi="宋体" w:cs="宋体"/>
                <w:color w:val="auto"/>
                <w:szCs w:val="21"/>
                <w:highlight w:val="none"/>
              </w:rPr>
            </w:pPr>
          </w:p>
        </w:tc>
      </w:tr>
      <w:tr w14:paraId="36C60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2410" w:type="dxa"/>
            <w:tcBorders>
              <w:top w:val="single" w:color="auto" w:sz="4" w:space="0"/>
              <w:left w:val="single" w:color="auto" w:sz="4" w:space="0"/>
              <w:bottom w:val="single" w:color="auto" w:sz="4" w:space="0"/>
              <w:right w:val="single" w:color="auto" w:sz="4" w:space="0"/>
            </w:tcBorders>
          </w:tcPr>
          <w:p w14:paraId="1FC715A3">
            <w:pPr>
              <w:snapToGrid w:val="0"/>
              <w:spacing w:line="240" w:lineRule="exact"/>
              <w:jc w:val="left"/>
              <w:rPr>
                <w:rFonts w:ascii="宋体" w:hAnsi="宋体" w:cs="宋体"/>
                <w:color w:val="auto"/>
                <w:szCs w:val="21"/>
                <w:highlight w:val="none"/>
              </w:rPr>
            </w:pPr>
          </w:p>
        </w:tc>
        <w:tc>
          <w:tcPr>
            <w:tcW w:w="2712" w:type="dxa"/>
            <w:tcBorders>
              <w:top w:val="single" w:color="auto" w:sz="4" w:space="0"/>
              <w:left w:val="single" w:color="auto" w:sz="4" w:space="0"/>
              <w:bottom w:val="single" w:color="auto" w:sz="4" w:space="0"/>
              <w:right w:val="single" w:color="auto" w:sz="4" w:space="0"/>
            </w:tcBorders>
          </w:tcPr>
          <w:p w14:paraId="657C3B95">
            <w:pPr>
              <w:snapToGrid w:val="0"/>
              <w:spacing w:line="240" w:lineRule="exact"/>
              <w:jc w:val="left"/>
              <w:rPr>
                <w:rFonts w:ascii="宋体" w:hAnsi="宋体" w:cs="宋体"/>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tcPr>
          <w:p w14:paraId="0A8F58BF">
            <w:pPr>
              <w:snapToGrid w:val="0"/>
              <w:spacing w:line="240" w:lineRule="exact"/>
              <w:jc w:val="left"/>
              <w:rPr>
                <w:rFonts w:ascii="宋体" w:hAnsi="宋体" w:cs="宋体"/>
                <w:color w:val="auto"/>
                <w:szCs w:val="21"/>
                <w:highlight w:val="none"/>
              </w:rPr>
            </w:pPr>
          </w:p>
        </w:tc>
        <w:tc>
          <w:tcPr>
            <w:tcW w:w="2080" w:type="dxa"/>
            <w:tcBorders>
              <w:top w:val="single" w:color="auto" w:sz="4" w:space="0"/>
              <w:left w:val="single" w:color="auto" w:sz="4" w:space="0"/>
              <w:bottom w:val="single" w:color="auto" w:sz="4" w:space="0"/>
              <w:right w:val="single" w:color="auto" w:sz="4" w:space="0"/>
            </w:tcBorders>
          </w:tcPr>
          <w:p w14:paraId="099FAB10">
            <w:pPr>
              <w:snapToGrid w:val="0"/>
              <w:spacing w:line="240" w:lineRule="exact"/>
              <w:jc w:val="left"/>
              <w:rPr>
                <w:rFonts w:ascii="宋体" w:hAnsi="宋体" w:cs="宋体"/>
                <w:color w:val="auto"/>
                <w:szCs w:val="21"/>
                <w:highlight w:val="none"/>
              </w:rPr>
            </w:pPr>
          </w:p>
        </w:tc>
      </w:tr>
      <w:tr w14:paraId="1CC24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2410" w:type="dxa"/>
            <w:tcBorders>
              <w:top w:val="single" w:color="auto" w:sz="4" w:space="0"/>
              <w:left w:val="single" w:color="auto" w:sz="4" w:space="0"/>
              <w:bottom w:val="single" w:color="auto" w:sz="4" w:space="0"/>
              <w:right w:val="single" w:color="auto" w:sz="4" w:space="0"/>
            </w:tcBorders>
          </w:tcPr>
          <w:p w14:paraId="0F88C1BF">
            <w:pPr>
              <w:snapToGrid w:val="0"/>
              <w:spacing w:before="50" w:after="120" w:afterLines="50" w:line="400" w:lineRule="exact"/>
              <w:jc w:val="left"/>
              <w:rPr>
                <w:rFonts w:ascii="宋体" w:hAnsi="宋体" w:cs="宋体"/>
                <w:color w:val="auto"/>
                <w:szCs w:val="21"/>
                <w:highlight w:val="none"/>
              </w:rPr>
            </w:pPr>
          </w:p>
        </w:tc>
        <w:tc>
          <w:tcPr>
            <w:tcW w:w="2712" w:type="dxa"/>
            <w:tcBorders>
              <w:top w:val="single" w:color="auto" w:sz="4" w:space="0"/>
              <w:left w:val="single" w:color="auto" w:sz="4" w:space="0"/>
              <w:bottom w:val="single" w:color="auto" w:sz="4" w:space="0"/>
              <w:right w:val="single" w:color="auto" w:sz="4" w:space="0"/>
            </w:tcBorders>
          </w:tcPr>
          <w:p w14:paraId="3CAD7067">
            <w:pPr>
              <w:snapToGrid w:val="0"/>
              <w:spacing w:before="50" w:after="120" w:afterLines="50" w:line="400" w:lineRule="exact"/>
              <w:jc w:val="left"/>
              <w:rPr>
                <w:rFonts w:ascii="宋体" w:hAnsi="宋体" w:cs="宋体"/>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tcPr>
          <w:p w14:paraId="38CA1435">
            <w:pPr>
              <w:snapToGrid w:val="0"/>
              <w:spacing w:before="50" w:after="120" w:afterLines="50" w:line="400" w:lineRule="exact"/>
              <w:jc w:val="left"/>
              <w:rPr>
                <w:rFonts w:ascii="宋体" w:hAnsi="宋体" w:cs="宋体"/>
                <w:color w:val="auto"/>
                <w:szCs w:val="21"/>
                <w:highlight w:val="none"/>
              </w:rPr>
            </w:pPr>
          </w:p>
        </w:tc>
        <w:tc>
          <w:tcPr>
            <w:tcW w:w="2080" w:type="dxa"/>
            <w:tcBorders>
              <w:top w:val="single" w:color="auto" w:sz="4" w:space="0"/>
              <w:left w:val="single" w:color="auto" w:sz="4" w:space="0"/>
              <w:bottom w:val="single" w:color="auto" w:sz="4" w:space="0"/>
              <w:right w:val="single" w:color="auto" w:sz="4" w:space="0"/>
            </w:tcBorders>
          </w:tcPr>
          <w:p w14:paraId="4C32A20F">
            <w:pPr>
              <w:snapToGrid w:val="0"/>
              <w:spacing w:before="50" w:after="120" w:afterLines="50" w:line="400" w:lineRule="exact"/>
              <w:jc w:val="left"/>
              <w:rPr>
                <w:rFonts w:ascii="宋体" w:hAnsi="宋体" w:cs="宋体"/>
                <w:color w:val="auto"/>
                <w:szCs w:val="21"/>
                <w:highlight w:val="none"/>
              </w:rPr>
            </w:pPr>
          </w:p>
        </w:tc>
      </w:tr>
      <w:tr w14:paraId="222329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2410" w:type="dxa"/>
            <w:tcBorders>
              <w:top w:val="single" w:color="auto" w:sz="4" w:space="0"/>
              <w:left w:val="single" w:color="auto" w:sz="4" w:space="0"/>
              <w:bottom w:val="single" w:color="auto" w:sz="4" w:space="0"/>
              <w:right w:val="single" w:color="auto" w:sz="4" w:space="0"/>
            </w:tcBorders>
          </w:tcPr>
          <w:p w14:paraId="0952FDE2">
            <w:pPr>
              <w:snapToGrid w:val="0"/>
              <w:spacing w:before="50" w:after="120" w:afterLines="50" w:line="400" w:lineRule="exact"/>
              <w:jc w:val="left"/>
              <w:rPr>
                <w:rFonts w:ascii="宋体" w:hAnsi="宋体" w:cs="宋体"/>
                <w:color w:val="auto"/>
                <w:szCs w:val="21"/>
                <w:highlight w:val="none"/>
              </w:rPr>
            </w:pPr>
          </w:p>
        </w:tc>
        <w:tc>
          <w:tcPr>
            <w:tcW w:w="2712" w:type="dxa"/>
            <w:tcBorders>
              <w:top w:val="single" w:color="auto" w:sz="4" w:space="0"/>
              <w:left w:val="single" w:color="auto" w:sz="4" w:space="0"/>
              <w:bottom w:val="single" w:color="auto" w:sz="4" w:space="0"/>
              <w:right w:val="single" w:color="auto" w:sz="4" w:space="0"/>
            </w:tcBorders>
          </w:tcPr>
          <w:p w14:paraId="7719C6B9">
            <w:pPr>
              <w:snapToGrid w:val="0"/>
              <w:spacing w:before="50" w:after="120" w:afterLines="50" w:line="400" w:lineRule="exact"/>
              <w:jc w:val="left"/>
              <w:rPr>
                <w:rFonts w:ascii="宋体" w:hAnsi="宋体" w:cs="宋体"/>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tcPr>
          <w:p w14:paraId="339A1067">
            <w:pPr>
              <w:snapToGrid w:val="0"/>
              <w:spacing w:before="50" w:after="120" w:afterLines="50" w:line="400" w:lineRule="exact"/>
              <w:jc w:val="left"/>
              <w:rPr>
                <w:rFonts w:ascii="宋体" w:hAnsi="宋体" w:cs="宋体"/>
                <w:color w:val="auto"/>
                <w:szCs w:val="21"/>
                <w:highlight w:val="none"/>
              </w:rPr>
            </w:pPr>
          </w:p>
        </w:tc>
        <w:tc>
          <w:tcPr>
            <w:tcW w:w="2080" w:type="dxa"/>
            <w:tcBorders>
              <w:top w:val="single" w:color="auto" w:sz="4" w:space="0"/>
              <w:left w:val="single" w:color="auto" w:sz="4" w:space="0"/>
              <w:bottom w:val="single" w:color="auto" w:sz="4" w:space="0"/>
              <w:right w:val="single" w:color="auto" w:sz="4" w:space="0"/>
            </w:tcBorders>
          </w:tcPr>
          <w:p w14:paraId="25B83776">
            <w:pPr>
              <w:snapToGrid w:val="0"/>
              <w:spacing w:before="50" w:after="120" w:afterLines="50" w:line="400" w:lineRule="exact"/>
              <w:jc w:val="left"/>
              <w:rPr>
                <w:rFonts w:ascii="宋体" w:hAnsi="宋体" w:cs="宋体"/>
                <w:color w:val="auto"/>
                <w:szCs w:val="21"/>
                <w:highlight w:val="none"/>
              </w:rPr>
            </w:pPr>
          </w:p>
        </w:tc>
      </w:tr>
      <w:tr w14:paraId="24885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2410" w:type="dxa"/>
            <w:tcBorders>
              <w:top w:val="single" w:color="auto" w:sz="4" w:space="0"/>
              <w:left w:val="single" w:color="auto" w:sz="4" w:space="0"/>
              <w:bottom w:val="single" w:color="auto" w:sz="4" w:space="0"/>
              <w:right w:val="single" w:color="auto" w:sz="4" w:space="0"/>
            </w:tcBorders>
          </w:tcPr>
          <w:p w14:paraId="47822EA8">
            <w:pPr>
              <w:snapToGrid w:val="0"/>
              <w:spacing w:before="50" w:after="120" w:afterLines="50" w:line="400" w:lineRule="exact"/>
              <w:jc w:val="left"/>
              <w:rPr>
                <w:rFonts w:ascii="宋体" w:hAnsi="宋体" w:cs="宋体"/>
                <w:color w:val="auto"/>
                <w:szCs w:val="21"/>
                <w:highlight w:val="none"/>
              </w:rPr>
            </w:pPr>
          </w:p>
        </w:tc>
        <w:tc>
          <w:tcPr>
            <w:tcW w:w="2712" w:type="dxa"/>
            <w:tcBorders>
              <w:top w:val="single" w:color="auto" w:sz="4" w:space="0"/>
              <w:left w:val="single" w:color="auto" w:sz="4" w:space="0"/>
              <w:bottom w:val="single" w:color="auto" w:sz="4" w:space="0"/>
              <w:right w:val="single" w:color="auto" w:sz="4" w:space="0"/>
            </w:tcBorders>
          </w:tcPr>
          <w:p w14:paraId="0599F973">
            <w:pPr>
              <w:snapToGrid w:val="0"/>
              <w:spacing w:before="50" w:after="120" w:afterLines="50" w:line="400" w:lineRule="exact"/>
              <w:jc w:val="left"/>
              <w:rPr>
                <w:rFonts w:ascii="宋体" w:hAnsi="宋体" w:cs="宋体"/>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tcPr>
          <w:p w14:paraId="00971A7C">
            <w:pPr>
              <w:snapToGrid w:val="0"/>
              <w:spacing w:before="50" w:after="120" w:afterLines="50" w:line="400" w:lineRule="exact"/>
              <w:jc w:val="left"/>
              <w:rPr>
                <w:rFonts w:ascii="宋体" w:hAnsi="宋体" w:cs="宋体"/>
                <w:color w:val="auto"/>
                <w:szCs w:val="21"/>
                <w:highlight w:val="none"/>
              </w:rPr>
            </w:pPr>
          </w:p>
        </w:tc>
        <w:tc>
          <w:tcPr>
            <w:tcW w:w="2080" w:type="dxa"/>
            <w:tcBorders>
              <w:top w:val="single" w:color="auto" w:sz="4" w:space="0"/>
              <w:left w:val="single" w:color="auto" w:sz="4" w:space="0"/>
              <w:bottom w:val="single" w:color="auto" w:sz="4" w:space="0"/>
              <w:right w:val="single" w:color="auto" w:sz="4" w:space="0"/>
            </w:tcBorders>
          </w:tcPr>
          <w:p w14:paraId="398058B9">
            <w:pPr>
              <w:snapToGrid w:val="0"/>
              <w:spacing w:before="50" w:after="120" w:afterLines="50" w:line="400" w:lineRule="exact"/>
              <w:jc w:val="left"/>
              <w:rPr>
                <w:rFonts w:ascii="宋体" w:hAnsi="宋体" w:cs="宋体"/>
                <w:color w:val="auto"/>
                <w:szCs w:val="21"/>
                <w:highlight w:val="none"/>
              </w:rPr>
            </w:pPr>
          </w:p>
        </w:tc>
      </w:tr>
      <w:tr w14:paraId="10E79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0" w:type="dxa"/>
            <w:tcBorders>
              <w:top w:val="single" w:color="auto" w:sz="4" w:space="0"/>
              <w:left w:val="single" w:color="auto" w:sz="4" w:space="0"/>
              <w:bottom w:val="single" w:color="auto" w:sz="4" w:space="0"/>
              <w:right w:val="single" w:color="auto" w:sz="4" w:space="0"/>
            </w:tcBorders>
          </w:tcPr>
          <w:p w14:paraId="0BD681D1">
            <w:pPr>
              <w:snapToGrid w:val="0"/>
              <w:spacing w:before="50" w:after="120" w:afterLines="50" w:line="400" w:lineRule="exact"/>
              <w:jc w:val="left"/>
              <w:rPr>
                <w:rFonts w:ascii="宋体" w:hAnsi="宋体" w:cs="宋体"/>
                <w:color w:val="auto"/>
                <w:szCs w:val="21"/>
                <w:highlight w:val="none"/>
              </w:rPr>
            </w:pPr>
          </w:p>
        </w:tc>
        <w:tc>
          <w:tcPr>
            <w:tcW w:w="2712" w:type="dxa"/>
            <w:tcBorders>
              <w:top w:val="single" w:color="auto" w:sz="4" w:space="0"/>
              <w:left w:val="single" w:color="auto" w:sz="4" w:space="0"/>
              <w:bottom w:val="single" w:color="auto" w:sz="4" w:space="0"/>
              <w:right w:val="single" w:color="auto" w:sz="4" w:space="0"/>
            </w:tcBorders>
          </w:tcPr>
          <w:p w14:paraId="0D371A59">
            <w:pPr>
              <w:snapToGrid w:val="0"/>
              <w:spacing w:before="50" w:after="120" w:afterLines="50" w:line="400" w:lineRule="exact"/>
              <w:jc w:val="left"/>
              <w:rPr>
                <w:rFonts w:ascii="宋体" w:hAnsi="宋体" w:cs="宋体"/>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tcPr>
          <w:p w14:paraId="2AD17D31">
            <w:pPr>
              <w:snapToGrid w:val="0"/>
              <w:spacing w:before="50" w:after="120" w:afterLines="50" w:line="400" w:lineRule="exact"/>
              <w:jc w:val="left"/>
              <w:rPr>
                <w:rFonts w:ascii="宋体" w:hAnsi="宋体" w:cs="宋体"/>
                <w:color w:val="auto"/>
                <w:szCs w:val="21"/>
                <w:highlight w:val="none"/>
              </w:rPr>
            </w:pPr>
          </w:p>
        </w:tc>
        <w:tc>
          <w:tcPr>
            <w:tcW w:w="2080" w:type="dxa"/>
            <w:tcBorders>
              <w:top w:val="single" w:color="auto" w:sz="4" w:space="0"/>
              <w:left w:val="single" w:color="auto" w:sz="4" w:space="0"/>
              <w:bottom w:val="single" w:color="auto" w:sz="4" w:space="0"/>
              <w:right w:val="single" w:color="auto" w:sz="4" w:space="0"/>
            </w:tcBorders>
          </w:tcPr>
          <w:p w14:paraId="30B76E62">
            <w:pPr>
              <w:snapToGrid w:val="0"/>
              <w:spacing w:before="50" w:after="120" w:afterLines="50" w:line="400" w:lineRule="exact"/>
              <w:jc w:val="left"/>
              <w:rPr>
                <w:rFonts w:ascii="宋体" w:hAnsi="宋体" w:cs="宋体"/>
                <w:color w:val="auto"/>
                <w:szCs w:val="21"/>
                <w:highlight w:val="none"/>
              </w:rPr>
            </w:pPr>
          </w:p>
        </w:tc>
      </w:tr>
    </w:tbl>
    <w:p w14:paraId="47778FC9">
      <w:pPr>
        <w:pStyle w:val="16"/>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注：如本表格不适合投标人的实际情况，可根据本表格式自行制表填写</w:t>
      </w:r>
    </w:p>
    <w:p w14:paraId="35DEF10E">
      <w:pPr>
        <w:pStyle w:val="26"/>
        <w:spacing w:line="360" w:lineRule="auto"/>
        <w:rPr>
          <w:rFonts w:hAnsi="宋体" w:cs="宋体"/>
          <w:color w:val="auto"/>
          <w:sz w:val="21"/>
          <w:highlight w:val="none"/>
          <w:u w:val="single"/>
        </w:rPr>
      </w:pPr>
      <w:r>
        <w:rPr>
          <w:rFonts w:hint="eastAsia" w:hAnsi="宋体" w:cs="宋体"/>
          <w:color w:val="auto"/>
          <w:sz w:val="21"/>
          <w:highlight w:val="none"/>
        </w:rPr>
        <w:t>法定代表人或者委托代理人签字[或盖章(CA签章)]（属自然人的应在签名处加盖大拇指指印或个人CA签章）：</w:t>
      </w:r>
      <w:r>
        <w:rPr>
          <w:rFonts w:hint="eastAsia" w:hAnsi="宋体" w:cs="宋体"/>
          <w:color w:val="auto"/>
          <w:sz w:val="21"/>
          <w:highlight w:val="none"/>
          <w:u w:val="single"/>
        </w:rPr>
        <w:t>　　　　　</w:t>
      </w:r>
    </w:p>
    <w:p w14:paraId="7E8406E6">
      <w:pPr>
        <w:snapToGrid w:val="0"/>
        <w:spacing w:before="50" w:line="360" w:lineRule="auto"/>
        <w:ind w:right="480"/>
        <w:jc w:val="left"/>
        <w:rPr>
          <w:rFonts w:ascii="宋体" w:hAnsi="宋体" w:cs="宋体"/>
          <w:color w:val="auto"/>
          <w:szCs w:val="21"/>
          <w:highlight w:val="none"/>
        </w:rPr>
      </w:pPr>
      <w:r>
        <w:rPr>
          <w:rFonts w:hint="eastAsia" w:ascii="宋体" w:hAnsi="宋体" w:cs="宋体"/>
          <w:color w:val="auto"/>
          <w:szCs w:val="21"/>
          <w:highlight w:val="none"/>
        </w:rPr>
        <w:t>投标人[公章(CA签章)、自然人除外]：        年    月    日</w:t>
      </w:r>
    </w:p>
    <w:p w14:paraId="18566C45">
      <w:pPr>
        <w:rPr>
          <w:color w:val="auto"/>
          <w:highlight w:val="none"/>
        </w:rPr>
      </w:pPr>
    </w:p>
    <w:p w14:paraId="593079CA">
      <w:pPr>
        <w:rPr>
          <w:color w:val="auto"/>
          <w:highlight w:val="none"/>
        </w:rPr>
      </w:pPr>
    </w:p>
    <w:p w14:paraId="20A77EBA">
      <w:pPr>
        <w:rPr>
          <w:color w:val="auto"/>
          <w:highlight w:val="none"/>
        </w:rPr>
      </w:pPr>
    </w:p>
    <w:p w14:paraId="793F265A">
      <w:pPr>
        <w:rPr>
          <w:color w:val="auto"/>
          <w:highlight w:val="none"/>
        </w:rPr>
      </w:pPr>
      <w:r>
        <w:rPr>
          <w:rFonts w:hint="eastAsia"/>
          <w:color w:val="auto"/>
          <w:highlight w:val="none"/>
        </w:rPr>
        <w:br w:type="page"/>
      </w:r>
    </w:p>
    <w:p w14:paraId="6EE70CC2">
      <w:pPr>
        <w:pStyle w:val="6"/>
        <w:rPr>
          <w:color w:val="auto"/>
          <w:highlight w:val="none"/>
        </w:rPr>
      </w:pPr>
      <w:r>
        <w:rPr>
          <w:rFonts w:hint="eastAsia" w:ascii="宋体" w:hAnsi="宋体" w:cs="宋体"/>
          <w:color w:val="auto"/>
          <w:szCs w:val="21"/>
          <w:highlight w:val="none"/>
        </w:rPr>
        <w:t>8</w:t>
      </w:r>
      <w:r>
        <w:rPr>
          <w:rFonts w:hint="eastAsia"/>
          <w:color w:val="auto"/>
          <w:highlight w:val="none"/>
        </w:rPr>
        <w:t>.除招标文件规定必须提供以外，投标人认为需要提供的其他证明材料（格式自拟）。</w:t>
      </w:r>
    </w:p>
    <w:p w14:paraId="63ABA08A">
      <w:pPr>
        <w:pStyle w:val="16"/>
        <w:snapToGrid w:val="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投标人根据“第二章 采购需求”及“第四章 评标方法及评标标准”提供有关证明材料（如有时）</w:t>
      </w:r>
    </w:p>
    <w:p w14:paraId="70C38822">
      <w:pPr>
        <w:rPr>
          <w:color w:val="auto"/>
          <w:highlight w:val="none"/>
        </w:rPr>
      </w:pPr>
    </w:p>
    <w:p w14:paraId="212352DF">
      <w:pPr>
        <w:rPr>
          <w:color w:val="auto"/>
          <w:highlight w:val="none"/>
        </w:rPr>
        <w:sectPr>
          <w:pgSz w:w="11906" w:h="16838"/>
          <w:pgMar w:top="1417" w:right="1417" w:bottom="1417" w:left="1417" w:header="851" w:footer="992" w:gutter="0"/>
          <w:cols w:space="720" w:num="1"/>
          <w:docGrid w:linePitch="312" w:charSpace="0"/>
        </w:sectPr>
      </w:pPr>
    </w:p>
    <w:p w14:paraId="6C938CB2">
      <w:pPr>
        <w:rPr>
          <w:color w:val="auto"/>
          <w:highlight w:val="none"/>
        </w:rPr>
      </w:pPr>
      <w:bookmarkStart w:id="240" w:name="_Toc19686839"/>
    </w:p>
    <w:p w14:paraId="5C82AE5B">
      <w:pPr>
        <w:rPr>
          <w:color w:val="auto"/>
          <w:highlight w:val="none"/>
        </w:rPr>
      </w:pPr>
    </w:p>
    <w:p w14:paraId="7EF9336B">
      <w:pPr>
        <w:rPr>
          <w:color w:val="auto"/>
          <w:highlight w:val="none"/>
        </w:rPr>
      </w:pPr>
    </w:p>
    <w:p w14:paraId="05864FE2">
      <w:pPr>
        <w:rPr>
          <w:color w:val="auto"/>
          <w:highlight w:val="none"/>
        </w:rPr>
      </w:pPr>
    </w:p>
    <w:p w14:paraId="308A8E09">
      <w:pPr>
        <w:rPr>
          <w:color w:val="auto"/>
          <w:highlight w:val="none"/>
        </w:rPr>
      </w:pPr>
    </w:p>
    <w:p w14:paraId="402BD04E">
      <w:pPr>
        <w:rPr>
          <w:color w:val="auto"/>
          <w:highlight w:val="none"/>
        </w:rPr>
      </w:pPr>
    </w:p>
    <w:p w14:paraId="589824CF">
      <w:pPr>
        <w:rPr>
          <w:color w:val="auto"/>
          <w:highlight w:val="none"/>
        </w:rPr>
      </w:pPr>
    </w:p>
    <w:p w14:paraId="1A58A692">
      <w:pPr>
        <w:rPr>
          <w:color w:val="auto"/>
          <w:highlight w:val="none"/>
        </w:rPr>
      </w:pPr>
    </w:p>
    <w:p w14:paraId="226D7E46">
      <w:pPr>
        <w:rPr>
          <w:color w:val="auto"/>
          <w:highlight w:val="none"/>
        </w:rPr>
      </w:pPr>
    </w:p>
    <w:p w14:paraId="3772C924">
      <w:pPr>
        <w:rPr>
          <w:color w:val="auto"/>
          <w:highlight w:val="none"/>
        </w:rPr>
      </w:pPr>
    </w:p>
    <w:p w14:paraId="668EC3DF">
      <w:pPr>
        <w:rPr>
          <w:color w:val="auto"/>
          <w:highlight w:val="none"/>
        </w:rPr>
      </w:pPr>
    </w:p>
    <w:p w14:paraId="4E98DDE4">
      <w:pPr>
        <w:rPr>
          <w:color w:val="auto"/>
          <w:highlight w:val="none"/>
        </w:rPr>
      </w:pPr>
    </w:p>
    <w:p w14:paraId="4E0A8AF7">
      <w:pPr>
        <w:rPr>
          <w:color w:val="auto"/>
          <w:highlight w:val="none"/>
        </w:rPr>
      </w:pPr>
    </w:p>
    <w:p w14:paraId="271D9805">
      <w:pPr>
        <w:rPr>
          <w:color w:val="auto"/>
          <w:highlight w:val="none"/>
        </w:rPr>
      </w:pPr>
    </w:p>
    <w:p w14:paraId="0776ABCF">
      <w:pPr>
        <w:rPr>
          <w:color w:val="auto"/>
          <w:highlight w:val="none"/>
        </w:rPr>
      </w:pPr>
    </w:p>
    <w:p w14:paraId="736EB58D">
      <w:pPr>
        <w:rPr>
          <w:color w:val="auto"/>
          <w:highlight w:val="none"/>
        </w:rPr>
      </w:pPr>
    </w:p>
    <w:p w14:paraId="1ADEB656">
      <w:pPr>
        <w:rPr>
          <w:color w:val="auto"/>
          <w:highlight w:val="none"/>
        </w:rPr>
      </w:pPr>
    </w:p>
    <w:p w14:paraId="2294D4E4">
      <w:pPr>
        <w:rPr>
          <w:color w:val="auto"/>
          <w:highlight w:val="none"/>
        </w:rPr>
      </w:pPr>
    </w:p>
    <w:p w14:paraId="45F58911">
      <w:pPr>
        <w:rPr>
          <w:color w:val="auto"/>
          <w:highlight w:val="none"/>
        </w:rPr>
      </w:pPr>
    </w:p>
    <w:p w14:paraId="603CC3F0">
      <w:pPr>
        <w:rPr>
          <w:color w:val="auto"/>
          <w:highlight w:val="none"/>
        </w:rPr>
      </w:pPr>
    </w:p>
    <w:p w14:paraId="4E95C9EB">
      <w:pPr>
        <w:rPr>
          <w:color w:val="auto"/>
          <w:highlight w:val="none"/>
        </w:rPr>
      </w:pPr>
    </w:p>
    <w:p w14:paraId="416896FD">
      <w:pPr>
        <w:pStyle w:val="5"/>
        <w:rPr>
          <w:color w:val="auto"/>
          <w:highlight w:val="none"/>
        </w:rPr>
      </w:pPr>
      <w:r>
        <w:rPr>
          <w:rFonts w:hint="eastAsia"/>
          <w:color w:val="auto"/>
          <w:highlight w:val="none"/>
        </w:rPr>
        <w:t>（二）技术文件</w:t>
      </w:r>
      <w:bookmarkEnd w:id="240"/>
    </w:p>
    <w:p w14:paraId="3F462F15">
      <w:pPr>
        <w:pStyle w:val="6"/>
        <w:rPr>
          <w:rFonts w:ascii="宋体" w:hAnsi="宋体" w:cs="宋体"/>
          <w:bCs/>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1</w:t>
      </w:r>
      <w:r>
        <w:rPr>
          <w:rFonts w:hint="eastAsia" w:ascii="宋体" w:hAnsi="宋体" w:cs="宋体"/>
          <w:bCs/>
          <w:color w:val="auto"/>
          <w:sz w:val="24"/>
          <w:highlight w:val="none"/>
        </w:rPr>
        <w:t>. 技术文件目录</w:t>
      </w:r>
    </w:p>
    <w:p w14:paraId="44D0D1B1">
      <w:pPr>
        <w:snapToGrid w:val="0"/>
        <w:spacing w:before="50" w:after="120" w:afterLines="50" w:line="280" w:lineRule="exact"/>
        <w:ind w:left="283" w:leftChars="135"/>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4F1F1DD9">
      <w:pPr>
        <w:pStyle w:val="6"/>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eastAsia="宋体"/>
          <w:color w:val="auto"/>
          <w:sz w:val="24"/>
          <w:highlight w:val="none"/>
        </w:rPr>
        <w:t>2.</w:t>
      </w:r>
      <w:r>
        <w:rPr>
          <w:rFonts w:hint="eastAsia" w:ascii="宋体" w:hAnsi="宋体"/>
          <w:color w:val="auto"/>
          <w:sz w:val="24"/>
          <w:highlight w:val="none"/>
        </w:rPr>
        <w:t>技术条款</w:t>
      </w:r>
      <w:r>
        <w:rPr>
          <w:rFonts w:hint="eastAsia" w:ascii="宋体" w:hAnsi="宋体" w:cs="宋体"/>
          <w:color w:val="auto"/>
          <w:sz w:val="24"/>
          <w:highlight w:val="none"/>
        </w:rPr>
        <w:t>偏离表（格式）</w:t>
      </w:r>
    </w:p>
    <w:p w14:paraId="039C0009">
      <w:pPr>
        <w:snapToGrid w:val="0"/>
        <w:spacing w:before="120" w:beforeLines="50" w:after="50"/>
        <w:ind w:left="142"/>
        <w:jc w:val="left"/>
        <w:rPr>
          <w:rFonts w:ascii="宋体" w:hAnsi="宋体" w:cs="宋体"/>
          <w:b/>
          <w:color w:val="auto"/>
          <w:sz w:val="24"/>
          <w:highlight w:val="none"/>
        </w:rPr>
      </w:pPr>
    </w:p>
    <w:p w14:paraId="0D8DA8FE">
      <w:pPr>
        <w:snapToGrid w:val="0"/>
        <w:spacing w:before="120" w:beforeLines="50" w:after="50"/>
        <w:ind w:left="142"/>
        <w:jc w:val="center"/>
        <w:rPr>
          <w:rFonts w:ascii="宋体" w:hAnsi="宋体" w:cs="宋体"/>
          <w:b/>
          <w:color w:val="auto"/>
          <w:sz w:val="32"/>
          <w:szCs w:val="32"/>
          <w:highlight w:val="none"/>
        </w:rPr>
      </w:pPr>
      <w:r>
        <w:rPr>
          <w:rFonts w:hint="eastAsia" w:ascii="宋体" w:hAnsi="宋体"/>
          <w:b/>
          <w:color w:val="auto"/>
          <w:sz w:val="32"/>
          <w:szCs w:val="32"/>
          <w:highlight w:val="none"/>
        </w:rPr>
        <w:t>服务需求</w:t>
      </w:r>
      <w:r>
        <w:rPr>
          <w:rFonts w:hint="eastAsia" w:ascii="宋体" w:hAnsi="宋体" w:cs="宋体"/>
          <w:b/>
          <w:color w:val="auto"/>
          <w:sz w:val="32"/>
          <w:szCs w:val="32"/>
          <w:highlight w:val="none"/>
        </w:rPr>
        <w:t>偏离表</w:t>
      </w:r>
    </w:p>
    <w:tbl>
      <w:tblPr>
        <w:tblStyle w:val="5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41F5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0A3EE423">
            <w:pPr>
              <w:pStyle w:val="26"/>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项号</w:t>
            </w:r>
          </w:p>
        </w:tc>
        <w:tc>
          <w:tcPr>
            <w:tcW w:w="2143" w:type="dxa"/>
            <w:vAlign w:val="center"/>
          </w:tcPr>
          <w:p w14:paraId="0070849E">
            <w:pPr>
              <w:pStyle w:val="26"/>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标的的名称</w:t>
            </w:r>
          </w:p>
        </w:tc>
        <w:tc>
          <w:tcPr>
            <w:tcW w:w="1834" w:type="dxa"/>
            <w:vAlign w:val="center"/>
          </w:tcPr>
          <w:p w14:paraId="3798DEFA">
            <w:pPr>
              <w:pStyle w:val="26"/>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招标要求</w:t>
            </w:r>
          </w:p>
        </w:tc>
        <w:tc>
          <w:tcPr>
            <w:tcW w:w="2181" w:type="dxa"/>
            <w:vAlign w:val="center"/>
          </w:tcPr>
          <w:p w14:paraId="539B098A">
            <w:pPr>
              <w:pStyle w:val="26"/>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投标响应</w:t>
            </w:r>
          </w:p>
        </w:tc>
        <w:tc>
          <w:tcPr>
            <w:tcW w:w="1934" w:type="dxa"/>
            <w:vAlign w:val="center"/>
          </w:tcPr>
          <w:p w14:paraId="19F7F44A">
            <w:pPr>
              <w:pStyle w:val="26"/>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偏离说明</w:t>
            </w:r>
          </w:p>
        </w:tc>
      </w:tr>
      <w:tr w14:paraId="0EC0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D5BA54D">
            <w:pPr>
              <w:pStyle w:val="26"/>
              <w:spacing w:line="600" w:lineRule="exact"/>
              <w:jc w:val="center"/>
              <w:rPr>
                <w:rFonts w:hAnsi="宋体" w:cs="宋体"/>
                <w:color w:val="auto"/>
                <w:kern w:val="2"/>
                <w:sz w:val="24"/>
                <w:szCs w:val="24"/>
                <w:highlight w:val="none"/>
              </w:rPr>
            </w:pPr>
          </w:p>
        </w:tc>
        <w:tc>
          <w:tcPr>
            <w:tcW w:w="2143" w:type="dxa"/>
            <w:vAlign w:val="center"/>
          </w:tcPr>
          <w:p w14:paraId="27C88AAE">
            <w:pPr>
              <w:pStyle w:val="26"/>
              <w:spacing w:line="600" w:lineRule="exact"/>
              <w:jc w:val="center"/>
              <w:rPr>
                <w:rFonts w:hAnsi="宋体" w:cs="宋体"/>
                <w:color w:val="auto"/>
                <w:kern w:val="2"/>
                <w:sz w:val="24"/>
                <w:szCs w:val="24"/>
                <w:highlight w:val="none"/>
              </w:rPr>
            </w:pPr>
          </w:p>
        </w:tc>
        <w:tc>
          <w:tcPr>
            <w:tcW w:w="1834" w:type="dxa"/>
            <w:vAlign w:val="center"/>
          </w:tcPr>
          <w:p w14:paraId="5B9354E3">
            <w:pPr>
              <w:pStyle w:val="26"/>
              <w:spacing w:line="600" w:lineRule="exact"/>
              <w:jc w:val="center"/>
              <w:rPr>
                <w:rFonts w:hAnsi="宋体" w:cs="宋体"/>
                <w:color w:val="auto"/>
                <w:kern w:val="2"/>
                <w:sz w:val="24"/>
                <w:szCs w:val="24"/>
                <w:highlight w:val="none"/>
              </w:rPr>
            </w:pPr>
          </w:p>
        </w:tc>
        <w:tc>
          <w:tcPr>
            <w:tcW w:w="2181" w:type="dxa"/>
            <w:vAlign w:val="center"/>
          </w:tcPr>
          <w:p w14:paraId="4DFC2C6A">
            <w:pPr>
              <w:pStyle w:val="26"/>
              <w:spacing w:line="600" w:lineRule="exact"/>
              <w:jc w:val="center"/>
              <w:rPr>
                <w:rFonts w:hAnsi="宋体" w:cs="宋体"/>
                <w:color w:val="auto"/>
                <w:kern w:val="2"/>
                <w:sz w:val="24"/>
                <w:szCs w:val="24"/>
                <w:highlight w:val="none"/>
              </w:rPr>
            </w:pPr>
          </w:p>
        </w:tc>
        <w:tc>
          <w:tcPr>
            <w:tcW w:w="1934" w:type="dxa"/>
            <w:vAlign w:val="center"/>
          </w:tcPr>
          <w:p w14:paraId="1CB7D0E8">
            <w:pPr>
              <w:pStyle w:val="26"/>
              <w:spacing w:line="600" w:lineRule="exact"/>
              <w:jc w:val="center"/>
              <w:rPr>
                <w:rFonts w:hAnsi="宋体" w:cs="宋体"/>
                <w:color w:val="auto"/>
                <w:kern w:val="2"/>
                <w:sz w:val="24"/>
                <w:szCs w:val="24"/>
                <w:highlight w:val="none"/>
              </w:rPr>
            </w:pPr>
          </w:p>
        </w:tc>
      </w:tr>
      <w:tr w14:paraId="1056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164FD0B">
            <w:pPr>
              <w:pStyle w:val="26"/>
              <w:spacing w:line="600" w:lineRule="exact"/>
              <w:rPr>
                <w:rFonts w:hAnsi="宋体" w:cs="宋体"/>
                <w:color w:val="auto"/>
                <w:kern w:val="2"/>
                <w:sz w:val="24"/>
                <w:szCs w:val="24"/>
                <w:highlight w:val="none"/>
              </w:rPr>
            </w:pPr>
          </w:p>
        </w:tc>
        <w:tc>
          <w:tcPr>
            <w:tcW w:w="2143" w:type="dxa"/>
          </w:tcPr>
          <w:p w14:paraId="40D13CEB">
            <w:pPr>
              <w:pStyle w:val="26"/>
              <w:spacing w:line="600" w:lineRule="exact"/>
              <w:rPr>
                <w:rFonts w:hAnsi="宋体" w:cs="宋体"/>
                <w:color w:val="auto"/>
                <w:kern w:val="2"/>
                <w:sz w:val="24"/>
                <w:szCs w:val="24"/>
                <w:highlight w:val="none"/>
              </w:rPr>
            </w:pPr>
          </w:p>
        </w:tc>
        <w:tc>
          <w:tcPr>
            <w:tcW w:w="1834" w:type="dxa"/>
          </w:tcPr>
          <w:p w14:paraId="7168C4FC">
            <w:pPr>
              <w:pStyle w:val="26"/>
              <w:spacing w:line="600" w:lineRule="exact"/>
              <w:rPr>
                <w:rFonts w:hAnsi="宋体" w:cs="宋体"/>
                <w:color w:val="auto"/>
                <w:kern w:val="2"/>
                <w:sz w:val="24"/>
                <w:szCs w:val="24"/>
                <w:highlight w:val="none"/>
              </w:rPr>
            </w:pPr>
          </w:p>
        </w:tc>
        <w:tc>
          <w:tcPr>
            <w:tcW w:w="2181" w:type="dxa"/>
          </w:tcPr>
          <w:p w14:paraId="62FF0C98">
            <w:pPr>
              <w:pStyle w:val="26"/>
              <w:spacing w:line="600" w:lineRule="exact"/>
              <w:rPr>
                <w:rFonts w:hAnsi="宋体" w:cs="宋体"/>
                <w:color w:val="auto"/>
                <w:kern w:val="2"/>
                <w:sz w:val="24"/>
                <w:szCs w:val="24"/>
                <w:highlight w:val="none"/>
              </w:rPr>
            </w:pPr>
          </w:p>
        </w:tc>
        <w:tc>
          <w:tcPr>
            <w:tcW w:w="1934" w:type="dxa"/>
          </w:tcPr>
          <w:p w14:paraId="1773BB6F">
            <w:pPr>
              <w:pStyle w:val="26"/>
              <w:spacing w:line="600" w:lineRule="exact"/>
              <w:rPr>
                <w:rFonts w:hAnsi="宋体" w:cs="宋体"/>
                <w:color w:val="auto"/>
                <w:kern w:val="2"/>
                <w:sz w:val="24"/>
                <w:szCs w:val="24"/>
                <w:highlight w:val="none"/>
              </w:rPr>
            </w:pPr>
          </w:p>
        </w:tc>
      </w:tr>
      <w:tr w14:paraId="24DB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7CD9712">
            <w:pPr>
              <w:pStyle w:val="26"/>
              <w:spacing w:line="600" w:lineRule="exact"/>
              <w:rPr>
                <w:rFonts w:hAnsi="宋体" w:cs="宋体"/>
                <w:color w:val="auto"/>
                <w:kern w:val="2"/>
                <w:sz w:val="24"/>
                <w:szCs w:val="24"/>
                <w:highlight w:val="none"/>
              </w:rPr>
            </w:pPr>
          </w:p>
        </w:tc>
        <w:tc>
          <w:tcPr>
            <w:tcW w:w="2143" w:type="dxa"/>
          </w:tcPr>
          <w:p w14:paraId="45EC9D14">
            <w:pPr>
              <w:pStyle w:val="26"/>
              <w:spacing w:line="600" w:lineRule="exact"/>
              <w:rPr>
                <w:rFonts w:hAnsi="宋体" w:cs="宋体"/>
                <w:color w:val="auto"/>
                <w:kern w:val="2"/>
                <w:sz w:val="24"/>
                <w:szCs w:val="24"/>
                <w:highlight w:val="none"/>
              </w:rPr>
            </w:pPr>
          </w:p>
        </w:tc>
        <w:tc>
          <w:tcPr>
            <w:tcW w:w="1834" w:type="dxa"/>
          </w:tcPr>
          <w:p w14:paraId="0B297C3C">
            <w:pPr>
              <w:pStyle w:val="26"/>
              <w:spacing w:line="600" w:lineRule="exact"/>
              <w:rPr>
                <w:rFonts w:hAnsi="宋体" w:cs="宋体"/>
                <w:color w:val="auto"/>
                <w:kern w:val="2"/>
                <w:sz w:val="24"/>
                <w:szCs w:val="24"/>
                <w:highlight w:val="none"/>
              </w:rPr>
            </w:pPr>
          </w:p>
        </w:tc>
        <w:tc>
          <w:tcPr>
            <w:tcW w:w="2181" w:type="dxa"/>
          </w:tcPr>
          <w:p w14:paraId="27F86D32">
            <w:pPr>
              <w:pStyle w:val="26"/>
              <w:spacing w:line="600" w:lineRule="exact"/>
              <w:rPr>
                <w:rFonts w:hAnsi="宋体" w:cs="宋体"/>
                <w:color w:val="auto"/>
                <w:kern w:val="2"/>
                <w:sz w:val="24"/>
                <w:szCs w:val="24"/>
                <w:highlight w:val="none"/>
              </w:rPr>
            </w:pPr>
          </w:p>
        </w:tc>
        <w:tc>
          <w:tcPr>
            <w:tcW w:w="1934" w:type="dxa"/>
          </w:tcPr>
          <w:p w14:paraId="6511C531">
            <w:pPr>
              <w:pStyle w:val="26"/>
              <w:spacing w:line="600" w:lineRule="exact"/>
              <w:rPr>
                <w:rFonts w:hAnsi="宋体" w:cs="宋体"/>
                <w:color w:val="auto"/>
                <w:kern w:val="2"/>
                <w:sz w:val="24"/>
                <w:szCs w:val="24"/>
                <w:highlight w:val="none"/>
              </w:rPr>
            </w:pPr>
          </w:p>
        </w:tc>
      </w:tr>
      <w:tr w14:paraId="7757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F4E430E">
            <w:pPr>
              <w:pStyle w:val="26"/>
              <w:spacing w:line="600" w:lineRule="exact"/>
              <w:rPr>
                <w:rFonts w:hAnsi="宋体" w:cs="宋体"/>
                <w:color w:val="auto"/>
                <w:kern w:val="2"/>
                <w:sz w:val="24"/>
                <w:szCs w:val="24"/>
                <w:highlight w:val="none"/>
              </w:rPr>
            </w:pPr>
          </w:p>
        </w:tc>
        <w:tc>
          <w:tcPr>
            <w:tcW w:w="2143" w:type="dxa"/>
          </w:tcPr>
          <w:p w14:paraId="29B62E33">
            <w:pPr>
              <w:pStyle w:val="26"/>
              <w:spacing w:line="600" w:lineRule="exact"/>
              <w:rPr>
                <w:rFonts w:hAnsi="宋体" w:cs="宋体"/>
                <w:color w:val="auto"/>
                <w:kern w:val="2"/>
                <w:sz w:val="24"/>
                <w:szCs w:val="24"/>
                <w:highlight w:val="none"/>
              </w:rPr>
            </w:pPr>
          </w:p>
        </w:tc>
        <w:tc>
          <w:tcPr>
            <w:tcW w:w="1834" w:type="dxa"/>
          </w:tcPr>
          <w:p w14:paraId="1163F30B">
            <w:pPr>
              <w:pStyle w:val="26"/>
              <w:spacing w:line="600" w:lineRule="exact"/>
              <w:rPr>
                <w:rFonts w:hAnsi="宋体" w:cs="宋体"/>
                <w:color w:val="auto"/>
                <w:kern w:val="2"/>
                <w:sz w:val="24"/>
                <w:szCs w:val="24"/>
                <w:highlight w:val="none"/>
              </w:rPr>
            </w:pPr>
          </w:p>
        </w:tc>
        <w:tc>
          <w:tcPr>
            <w:tcW w:w="2181" w:type="dxa"/>
          </w:tcPr>
          <w:p w14:paraId="1B3889EF">
            <w:pPr>
              <w:pStyle w:val="26"/>
              <w:spacing w:line="600" w:lineRule="exact"/>
              <w:rPr>
                <w:rFonts w:hAnsi="宋体" w:cs="宋体"/>
                <w:color w:val="auto"/>
                <w:kern w:val="2"/>
                <w:sz w:val="24"/>
                <w:szCs w:val="24"/>
                <w:highlight w:val="none"/>
              </w:rPr>
            </w:pPr>
          </w:p>
        </w:tc>
        <w:tc>
          <w:tcPr>
            <w:tcW w:w="1934" w:type="dxa"/>
          </w:tcPr>
          <w:p w14:paraId="0295EBA6">
            <w:pPr>
              <w:pStyle w:val="26"/>
              <w:spacing w:line="600" w:lineRule="exact"/>
              <w:rPr>
                <w:rFonts w:hAnsi="宋体" w:cs="宋体"/>
                <w:color w:val="auto"/>
                <w:kern w:val="2"/>
                <w:sz w:val="24"/>
                <w:szCs w:val="24"/>
                <w:highlight w:val="none"/>
              </w:rPr>
            </w:pPr>
          </w:p>
        </w:tc>
      </w:tr>
      <w:tr w14:paraId="31CD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1A71DF9">
            <w:pPr>
              <w:pStyle w:val="26"/>
              <w:spacing w:line="600" w:lineRule="exact"/>
              <w:rPr>
                <w:rFonts w:hAnsi="宋体" w:cs="宋体"/>
                <w:color w:val="auto"/>
                <w:kern w:val="2"/>
                <w:sz w:val="24"/>
                <w:szCs w:val="24"/>
                <w:highlight w:val="none"/>
              </w:rPr>
            </w:pPr>
          </w:p>
        </w:tc>
        <w:tc>
          <w:tcPr>
            <w:tcW w:w="2143" w:type="dxa"/>
          </w:tcPr>
          <w:p w14:paraId="0E36C17C">
            <w:pPr>
              <w:pStyle w:val="26"/>
              <w:spacing w:line="600" w:lineRule="exact"/>
              <w:rPr>
                <w:rFonts w:hAnsi="宋体" w:cs="宋体"/>
                <w:color w:val="auto"/>
                <w:kern w:val="2"/>
                <w:sz w:val="24"/>
                <w:szCs w:val="24"/>
                <w:highlight w:val="none"/>
              </w:rPr>
            </w:pPr>
          </w:p>
        </w:tc>
        <w:tc>
          <w:tcPr>
            <w:tcW w:w="1834" w:type="dxa"/>
          </w:tcPr>
          <w:p w14:paraId="7BF954A0">
            <w:pPr>
              <w:pStyle w:val="26"/>
              <w:spacing w:line="600" w:lineRule="exact"/>
              <w:rPr>
                <w:rFonts w:hAnsi="宋体" w:cs="宋体"/>
                <w:color w:val="auto"/>
                <w:kern w:val="2"/>
                <w:sz w:val="24"/>
                <w:szCs w:val="24"/>
                <w:highlight w:val="none"/>
              </w:rPr>
            </w:pPr>
          </w:p>
        </w:tc>
        <w:tc>
          <w:tcPr>
            <w:tcW w:w="2181" w:type="dxa"/>
          </w:tcPr>
          <w:p w14:paraId="35FE2602">
            <w:pPr>
              <w:pStyle w:val="26"/>
              <w:spacing w:line="600" w:lineRule="exact"/>
              <w:rPr>
                <w:rFonts w:hAnsi="宋体" w:cs="宋体"/>
                <w:color w:val="auto"/>
                <w:kern w:val="2"/>
                <w:sz w:val="24"/>
                <w:szCs w:val="24"/>
                <w:highlight w:val="none"/>
              </w:rPr>
            </w:pPr>
          </w:p>
        </w:tc>
        <w:tc>
          <w:tcPr>
            <w:tcW w:w="1934" w:type="dxa"/>
          </w:tcPr>
          <w:p w14:paraId="3320F21A">
            <w:pPr>
              <w:pStyle w:val="26"/>
              <w:spacing w:line="600" w:lineRule="exact"/>
              <w:rPr>
                <w:rFonts w:hAnsi="宋体" w:cs="宋体"/>
                <w:color w:val="auto"/>
                <w:kern w:val="2"/>
                <w:sz w:val="24"/>
                <w:szCs w:val="24"/>
                <w:highlight w:val="none"/>
              </w:rPr>
            </w:pPr>
          </w:p>
        </w:tc>
      </w:tr>
      <w:tr w14:paraId="2081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95F556E">
            <w:pPr>
              <w:pStyle w:val="26"/>
              <w:spacing w:line="600" w:lineRule="exact"/>
              <w:rPr>
                <w:rFonts w:hAnsi="宋体" w:cs="宋体"/>
                <w:color w:val="auto"/>
                <w:kern w:val="2"/>
                <w:sz w:val="24"/>
                <w:szCs w:val="24"/>
                <w:highlight w:val="none"/>
              </w:rPr>
            </w:pPr>
          </w:p>
        </w:tc>
        <w:tc>
          <w:tcPr>
            <w:tcW w:w="2143" w:type="dxa"/>
          </w:tcPr>
          <w:p w14:paraId="7F0DF4B9">
            <w:pPr>
              <w:pStyle w:val="26"/>
              <w:spacing w:line="600" w:lineRule="exact"/>
              <w:rPr>
                <w:rFonts w:hAnsi="宋体" w:cs="宋体"/>
                <w:color w:val="auto"/>
                <w:kern w:val="2"/>
                <w:sz w:val="24"/>
                <w:szCs w:val="24"/>
                <w:highlight w:val="none"/>
              </w:rPr>
            </w:pPr>
          </w:p>
        </w:tc>
        <w:tc>
          <w:tcPr>
            <w:tcW w:w="1834" w:type="dxa"/>
          </w:tcPr>
          <w:p w14:paraId="4035C08F">
            <w:pPr>
              <w:pStyle w:val="26"/>
              <w:spacing w:line="600" w:lineRule="exact"/>
              <w:rPr>
                <w:rFonts w:hAnsi="宋体" w:cs="宋体"/>
                <w:color w:val="auto"/>
                <w:kern w:val="2"/>
                <w:sz w:val="24"/>
                <w:szCs w:val="24"/>
                <w:highlight w:val="none"/>
              </w:rPr>
            </w:pPr>
          </w:p>
        </w:tc>
        <w:tc>
          <w:tcPr>
            <w:tcW w:w="2181" w:type="dxa"/>
          </w:tcPr>
          <w:p w14:paraId="2BEA6689">
            <w:pPr>
              <w:pStyle w:val="26"/>
              <w:spacing w:line="600" w:lineRule="exact"/>
              <w:rPr>
                <w:rFonts w:hAnsi="宋体" w:cs="宋体"/>
                <w:color w:val="auto"/>
                <w:kern w:val="2"/>
                <w:sz w:val="24"/>
                <w:szCs w:val="24"/>
                <w:highlight w:val="none"/>
              </w:rPr>
            </w:pPr>
          </w:p>
        </w:tc>
        <w:tc>
          <w:tcPr>
            <w:tcW w:w="1934" w:type="dxa"/>
          </w:tcPr>
          <w:p w14:paraId="65286B54">
            <w:pPr>
              <w:pStyle w:val="26"/>
              <w:spacing w:line="600" w:lineRule="exact"/>
              <w:rPr>
                <w:rFonts w:hAnsi="宋体" w:cs="宋体"/>
                <w:color w:val="auto"/>
                <w:kern w:val="2"/>
                <w:sz w:val="24"/>
                <w:szCs w:val="24"/>
                <w:highlight w:val="none"/>
              </w:rPr>
            </w:pPr>
          </w:p>
        </w:tc>
      </w:tr>
      <w:tr w14:paraId="4532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01FC987">
            <w:pPr>
              <w:pStyle w:val="26"/>
              <w:spacing w:line="600" w:lineRule="exact"/>
              <w:rPr>
                <w:rFonts w:hAnsi="宋体" w:cs="宋体"/>
                <w:color w:val="auto"/>
                <w:kern w:val="2"/>
                <w:sz w:val="24"/>
                <w:szCs w:val="24"/>
                <w:highlight w:val="none"/>
              </w:rPr>
            </w:pPr>
          </w:p>
        </w:tc>
        <w:tc>
          <w:tcPr>
            <w:tcW w:w="2143" w:type="dxa"/>
          </w:tcPr>
          <w:p w14:paraId="772E8FA3">
            <w:pPr>
              <w:pStyle w:val="26"/>
              <w:spacing w:line="600" w:lineRule="exact"/>
              <w:rPr>
                <w:rFonts w:hAnsi="宋体" w:cs="宋体"/>
                <w:color w:val="auto"/>
                <w:kern w:val="2"/>
                <w:sz w:val="24"/>
                <w:szCs w:val="24"/>
                <w:highlight w:val="none"/>
              </w:rPr>
            </w:pPr>
          </w:p>
        </w:tc>
        <w:tc>
          <w:tcPr>
            <w:tcW w:w="1834" w:type="dxa"/>
          </w:tcPr>
          <w:p w14:paraId="154E0A28">
            <w:pPr>
              <w:pStyle w:val="26"/>
              <w:spacing w:line="600" w:lineRule="exact"/>
              <w:rPr>
                <w:rFonts w:hAnsi="宋体" w:cs="宋体"/>
                <w:color w:val="auto"/>
                <w:kern w:val="2"/>
                <w:sz w:val="24"/>
                <w:szCs w:val="24"/>
                <w:highlight w:val="none"/>
              </w:rPr>
            </w:pPr>
          </w:p>
        </w:tc>
        <w:tc>
          <w:tcPr>
            <w:tcW w:w="2181" w:type="dxa"/>
          </w:tcPr>
          <w:p w14:paraId="2AB03F2D">
            <w:pPr>
              <w:pStyle w:val="26"/>
              <w:spacing w:line="600" w:lineRule="exact"/>
              <w:rPr>
                <w:rFonts w:hAnsi="宋体" w:cs="宋体"/>
                <w:color w:val="auto"/>
                <w:kern w:val="2"/>
                <w:sz w:val="24"/>
                <w:szCs w:val="24"/>
                <w:highlight w:val="none"/>
              </w:rPr>
            </w:pPr>
          </w:p>
        </w:tc>
        <w:tc>
          <w:tcPr>
            <w:tcW w:w="1934" w:type="dxa"/>
          </w:tcPr>
          <w:p w14:paraId="7CCC2778">
            <w:pPr>
              <w:pStyle w:val="26"/>
              <w:spacing w:line="600" w:lineRule="exact"/>
              <w:rPr>
                <w:rFonts w:hAnsi="宋体" w:cs="宋体"/>
                <w:color w:val="auto"/>
                <w:kern w:val="2"/>
                <w:sz w:val="24"/>
                <w:szCs w:val="24"/>
                <w:highlight w:val="none"/>
              </w:rPr>
            </w:pPr>
          </w:p>
        </w:tc>
      </w:tr>
      <w:tr w14:paraId="5A58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1501602">
            <w:pPr>
              <w:pStyle w:val="26"/>
              <w:spacing w:line="600" w:lineRule="exact"/>
              <w:rPr>
                <w:rFonts w:hAnsi="宋体" w:cs="宋体"/>
                <w:color w:val="auto"/>
                <w:kern w:val="2"/>
                <w:sz w:val="24"/>
                <w:szCs w:val="24"/>
                <w:highlight w:val="none"/>
              </w:rPr>
            </w:pPr>
          </w:p>
        </w:tc>
        <w:tc>
          <w:tcPr>
            <w:tcW w:w="2143" w:type="dxa"/>
          </w:tcPr>
          <w:p w14:paraId="11281B19">
            <w:pPr>
              <w:pStyle w:val="26"/>
              <w:spacing w:line="600" w:lineRule="exact"/>
              <w:rPr>
                <w:rFonts w:hAnsi="宋体" w:cs="宋体"/>
                <w:color w:val="auto"/>
                <w:kern w:val="2"/>
                <w:sz w:val="24"/>
                <w:szCs w:val="24"/>
                <w:highlight w:val="none"/>
              </w:rPr>
            </w:pPr>
          </w:p>
        </w:tc>
        <w:tc>
          <w:tcPr>
            <w:tcW w:w="1834" w:type="dxa"/>
          </w:tcPr>
          <w:p w14:paraId="781090F6">
            <w:pPr>
              <w:pStyle w:val="26"/>
              <w:spacing w:line="600" w:lineRule="exact"/>
              <w:rPr>
                <w:rFonts w:hAnsi="宋体" w:cs="宋体"/>
                <w:color w:val="auto"/>
                <w:kern w:val="2"/>
                <w:sz w:val="24"/>
                <w:szCs w:val="24"/>
                <w:highlight w:val="none"/>
              </w:rPr>
            </w:pPr>
          </w:p>
        </w:tc>
        <w:tc>
          <w:tcPr>
            <w:tcW w:w="2181" w:type="dxa"/>
          </w:tcPr>
          <w:p w14:paraId="67585542">
            <w:pPr>
              <w:pStyle w:val="26"/>
              <w:spacing w:line="600" w:lineRule="exact"/>
              <w:rPr>
                <w:rFonts w:hAnsi="宋体" w:cs="宋体"/>
                <w:color w:val="auto"/>
                <w:kern w:val="2"/>
                <w:sz w:val="24"/>
                <w:szCs w:val="24"/>
                <w:highlight w:val="none"/>
              </w:rPr>
            </w:pPr>
          </w:p>
        </w:tc>
        <w:tc>
          <w:tcPr>
            <w:tcW w:w="1934" w:type="dxa"/>
          </w:tcPr>
          <w:p w14:paraId="346E6371">
            <w:pPr>
              <w:pStyle w:val="26"/>
              <w:spacing w:line="600" w:lineRule="exact"/>
              <w:rPr>
                <w:rFonts w:hAnsi="宋体" w:cs="宋体"/>
                <w:color w:val="auto"/>
                <w:kern w:val="2"/>
                <w:sz w:val="24"/>
                <w:szCs w:val="24"/>
                <w:highlight w:val="none"/>
              </w:rPr>
            </w:pPr>
          </w:p>
        </w:tc>
      </w:tr>
      <w:tr w14:paraId="56DD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D21D63E">
            <w:pPr>
              <w:pStyle w:val="26"/>
              <w:spacing w:line="600" w:lineRule="exact"/>
              <w:rPr>
                <w:rFonts w:hAnsi="宋体" w:cs="宋体"/>
                <w:color w:val="auto"/>
                <w:kern w:val="2"/>
                <w:sz w:val="24"/>
                <w:szCs w:val="24"/>
                <w:highlight w:val="none"/>
              </w:rPr>
            </w:pPr>
          </w:p>
        </w:tc>
        <w:tc>
          <w:tcPr>
            <w:tcW w:w="2143" w:type="dxa"/>
          </w:tcPr>
          <w:p w14:paraId="5BA45C69">
            <w:pPr>
              <w:pStyle w:val="26"/>
              <w:spacing w:line="600" w:lineRule="exact"/>
              <w:rPr>
                <w:rFonts w:hAnsi="宋体" w:cs="宋体"/>
                <w:color w:val="auto"/>
                <w:kern w:val="2"/>
                <w:sz w:val="24"/>
                <w:szCs w:val="24"/>
                <w:highlight w:val="none"/>
              </w:rPr>
            </w:pPr>
          </w:p>
        </w:tc>
        <w:tc>
          <w:tcPr>
            <w:tcW w:w="1834" w:type="dxa"/>
          </w:tcPr>
          <w:p w14:paraId="3EA003F8">
            <w:pPr>
              <w:pStyle w:val="26"/>
              <w:spacing w:line="600" w:lineRule="exact"/>
              <w:rPr>
                <w:rFonts w:hAnsi="宋体" w:cs="宋体"/>
                <w:color w:val="auto"/>
                <w:kern w:val="2"/>
                <w:sz w:val="24"/>
                <w:szCs w:val="24"/>
                <w:highlight w:val="none"/>
              </w:rPr>
            </w:pPr>
          </w:p>
        </w:tc>
        <w:tc>
          <w:tcPr>
            <w:tcW w:w="2181" w:type="dxa"/>
          </w:tcPr>
          <w:p w14:paraId="2787775D">
            <w:pPr>
              <w:pStyle w:val="26"/>
              <w:spacing w:line="600" w:lineRule="exact"/>
              <w:rPr>
                <w:rFonts w:hAnsi="宋体" w:cs="宋体"/>
                <w:color w:val="auto"/>
                <w:kern w:val="2"/>
                <w:sz w:val="24"/>
                <w:szCs w:val="24"/>
                <w:highlight w:val="none"/>
              </w:rPr>
            </w:pPr>
          </w:p>
        </w:tc>
        <w:tc>
          <w:tcPr>
            <w:tcW w:w="1934" w:type="dxa"/>
          </w:tcPr>
          <w:p w14:paraId="4D9DA87E">
            <w:pPr>
              <w:pStyle w:val="26"/>
              <w:spacing w:line="600" w:lineRule="exact"/>
              <w:rPr>
                <w:rFonts w:hAnsi="宋体" w:cs="宋体"/>
                <w:color w:val="auto"/>
                <w:kern w:val="2"/>
                <w:sz w:val="24"/>
                <w:szCs w:val="24"/>
                <w:highlight w:val="none"/>
              </w:rPr>
            </w:pPr>
          </w:p>
        </w:tc>
      </w:tr>
      <w:tr w14:paraId="2443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9E1A4B5">
            <w:pPr>
              <w:pStyle w:val="26"/>
              <w:spacing w:line="600" w:lineRule="exact"/>
              <w:rPr>
                <w:rFonts w:hAnsi="宋体" w:cs="宋体"/>
                <w:color w:val="auto"/>
                <w:kern w:val="2"/>
                <w:sz w:val="24"/>
                <w:szCs w:val="24"/>
                <w:highlight w:val="none"/>
              </w:rPr>
            </w:pPr>
          </w:p>
        </w:tc>
        <w:tc>
          <w:tcPr>
            <w:tcW w:w="2143" w:type="dxa"/>
          </w:tcPr>
          <w:p w14:paraId="3C21E9A7">
            <w:pPr>
              <w:pStyle w:val="26"/>
              <w:spacing w:line="600" w:lineRule="exact"/>
              <w:rPr>
                <w:rFonts w:hAnsi="宋体" w:cs="宋体"/>
                <w:color w:val="auto"/>
                <w:kern w:val="2"/>
                <w:sz w:val="24"/>
                <w:szCs w:val="24"/>
                <w:highlight w:val="none"/>
              </w:rPr>
            </w:pPr>
          </w:p>
        </w:tc>
        <w:tc>
          <w:tcPr>
            <w:tcW w:w="1834" w:type="dxa"/>
          </w:tcPr>
          <w:p w14:paraId="0DAC4524">
            <w:pPr>
              <w:pStyle w:val="26"/>
              <w:spacing w:line="600" w:lineRule="exact"/>
              <w:rPr>
                <w:rFonts w:hAnsi="宋体" w:cs="宋体"/>
                <w:color w:val="auto"/>
                <w:kern w:val="2"/>
                <w:sz w:val="24"/>
                <w:szCs w:val="24"/>
                <w:highlight w:val="none"/>
              </w:rPr>
            </w:pPr>
          </w:p>
        </w:tc>
        <w:tc>
          <w:tcPr>
            <w:tcW w:w="2181" w:type="dxa"/>
          </w:tcPr>
          <w:p w14:paraId="05D18887">
            <w:pPr>
              <w:pStyle w:val="26"/>
              <w:spacing w:line="600" w:lineRule="exact"/>
              <w:rPr>
                <w:rFonts w:hAnsi="宋体" w:cs="宋体"/>
                <w:color w:val="auto"/>
                <w:kern w:val="2"/>
                <w:sz w:val="24"/>
                <w:szCs w:val="24"/>
                <w:highlight w:val="none"/>
              </w:rPr>
            </w:pPr>
          </w:p>
        </w:tc>
        <w:tc>
          <w:tcPr>
            <w:tcW w:w="1934" w:type="dxa"/>
          </w:tcPr>
          <w:p w14:paraId="31D73CED">
            <w:pPr>
              <w:pStyle w:val="26"/>
              <w:spacing w:line="600" w:lineRule="exact"/>
              <w:rPr>
                <w:rFonts w:hAnsi="宋体" w:cs="宋体"/>
                <w:color w:val="auto"/>
                <w:kern w:val="2"/>
                <w:sz w:val="24"/>
                <w:szCs w:val="24"/>
                <w:highlight w:val="none"/>
              </w:rPr>
            </w:pPr>
          </w:p>
        </w:tc>
      </w:tr>
    </w:tbl>
    <w:p w14:paraId="21C8804A">
      <w:pPr>
        <w:pStyle w:val="18"/>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注：</w:t>
      </w:r>
    </w:p>
    <w:p w14:paraId="72DA86E6">
      <w:pPr>
        <w:spacing w:line="360" w:lineRule="auto"/>
        <w:rPr>
          <w:rFonts w:ascii="宋体" w:hAnsi="宋体" w:cs="宋体"/>
          <w:color w:val="auto"/>
          <w:szCs w:val="21"/>
          <w:highlight w:val="none"/>
        </w:rPr>
      </w:pPr>
      <w:r>
        <w:rPr>
          <w:rFonts w:hint="eastAsia" w:ascii="宋体" w:hAnsi="宋体" w:cs="宋体"/>
          <w:color w:val="auto"/>
          <w:szCs w:val="21"/>
          <w:highlight w:val="none"/>
        </w:rPr>
        <w:t>1. 说明：应对照招标文件“第二章 采购需求”中的技术需求逐条实质性响应，并作出偏离说明。</w:t>
      </w:r>
    </w:p>
    <w:p w14:paraId="25672AF8">
      <w:pPr>
        <w:spacing w:line="360" w:lineRule="auto"/>
        <w:rPr>
          <w:rFonts w:ascii="宋体" w:hAnsi="宋体" w:cs="宋体"/>
          <w:color w:val="auto"/>
          <w:szCs w:val="21"/>
          <w:highlight w:val="none"/>
        </w:rPr>
      </w:pPr>
      <w:r>
        <w:rPr>
          <w:rFonts w:hint="eastAsia" w:ascii="宋体" w:hAnsi="宋体" w:cs="宋体"/>
          <w:b/>
          <w:bCs/>
          <w:color w:val="auto"/>
          <w:szCs w:val="21"/>
          <w:highlight w:val="none"/>
        </w:rPr>
        <w:t>2.投标人应根据投标设备的性能指标，对照招标文件要求，在“偏离说明”中注明“</w:t>
      </w:r>
      <w:r>
        <w:rPr>
          <w:rFonts w:hint="eastAsia" w:ascii="宋体" w:hAnsi="宋体" w:cs="宋体"/>
          <w:color w:val="auto"/>
          <w:szCs w:val="21"/>
          <w:highlight w:val="none"/>
        </w:rPr>
        <w:t>正偏离</w:t>
      </w:r>
      <w:r>
        <w:rPr>
          <w:rFonts w:hint="eastAsia" w:ascii="宋体" w:hAnsi="宋体" w:cs="宋体"/>
          <w:b/>
          <w:bCs/>
          <w:color w:val="auto"/>
          <w:szCs w:val="21"/>
          <w:highlight w:val="none"/>
        </w:rPr>
        <w:t>”、“</w:t>
      </w:r>
      <w:r>
        <w:rPr>
          <w:rFonts w:hint="eastAsia" w:ascii="宋体" w:hAnsi="宋体" w:cs="宋体"/>
          <w:color w:val="auto"/>
          <w:szCs w:val="21"/>
          <w:highlight w:val="none"/>
        </w:rPr>
        <w:t>负偏离</w:t>
      </w:r>
      <w:r>
        <w:rPr>
          <w:rFonts w:hint="eastAsia" w:ascii="宋体" w:hAnsi="宋体" w:cs="宋体"/>
          <w:b/>
          <w:bCs/>
          <w:color w:val="auto"/>
          <w:szCs w:val="21"/>
          <w:highlight w:val="none"/>
        </w:rPr>
        <w:t>”或者“</w:t>
      </w:r>
      <w:r>
        <w:rPr>
          <w:rFonts w:hint="eastAsia" w:ascii="宋体" w:hAnsi="宋体" w:cs="宋体"/>
          <w:color w:val="auto"/>
          <w:szCs w:val="21"/>
          <w:highlight w:val="none"/>
        </w:rPr>
        <w:t>无偏离</w:t>
      </w:r>
      <w:r>
        <w:rPr>
          <w:rFonts w:hint="eastAsia" w:ascii="宋体" w:hAnsi="宋体" w:cs="宋体"/>
          <w:b/>
          <w:bCs/>
          <w:color w:val="auto"/>
          <w:szCs w:val="21"/>
          <w:highlight w:val="none"/>
        </w:rPr>
        <w:t>”。既不属于“</w:t>
      </w:r>
      <w:r>
        <w:rPr>
          <w:rFonts w:hint="eastAsia" w:ascii="宋体" w:hAnsi="宋体" w:cs="宋体"/>
          <w:color w:val="auto"/>
          <w:szCs w:val="21"/>
          <w:highlight w:val="none"/>
        </w:rPr>
        <w:t>正偏离</w:t>
      </w:r>
      <w:r>
        <w:rPr>
          <w:rFonts w:hint="eastAsia" w:ascii="宋体" w:hAnsi="宋体" w:cs="宋体"/>
          <w:b/>
          <w:bCs/>
          <w:color w:val="auto"/>
          <w:szCs w:val="21"/>
          <w:highlight w:val="none"/>
        </w:rPr>
        <w:t>”也不属于“</w:t>
      </w:r>
      <w:r>
        <w:rPr>
          <w:rFonts w:hint="eastAsia" w:ascii="宋体" w:hAnsi="宋体" w:cs="宋体"/>
          <w:color w:val="auto"/>
          <w:szCs w:val="21"/>
          <w:highlight w:val="none"/>
        </w:rPr>
        <w:t>负偏离</w:t>
      </w:r>
      <w:r>
        <w:rPr>
          <w:rFonts w:hint="eastAsia" w:ascii="宋体" w:hAnsi="宋体" w:cs="宋体"/>
          <w:b/>
          <w:bCs/>
          <w:color w:val="auto"/>
          <w:szCs w:val="21"/>
          <w:highlight w:val="none"/>
        </w:rPr>
        <w:t>”即为“</w:t>
      </w:r>
      <w:r>
        <w:rPr>
          <w:rFonts w:hint="eastAsia" w:ascii="宋体" w:hAnsi="宋体" w:cs="宋体"/>
          <w:color w:val="auto"/>
          <w:szCs w:val="21"/>
          <w:highlight w:val="none"/>
        </w:rPr>
        <w:t>无偏离</w:t>
      </w:r>
      <w:r>
        <w:rPr>
          <w:rFonts w:hint="eastAsia" w:ascii="宋体" w:hAnsi="宋体" w:cs="宋体"/>
          <w:b/>
          <w:bCs/>
          <w:color w:val="auto"/>
          <w:szCs w:val="21"/>
          <w:highlight w:val="none"/>
        </w:rPr>
        <w:t>”。</w:t>
      </w:r>
    </w:p>
    <w:p w14:paraId="533A9A1D">
      <w:pPr>
        <w:spacing w:line="360" w:lineRule="auto"/>
        <w:rPr>
          <w:rFonts w:ascii="宋体" w:hAnsi="宋体" w:cs="宋体"/>
          <w:color w:val="auto"/>
          <w:szCs w:val="21"/>
          <w:highlight w:val="none"/>
        </w:rPr>
      </w:pPr>
    </w:p>
    <w:p w14:paraId="448BF1C7">
      <w:pPr>
        <w:pStyle w:val="26"/>
        <w:spacing w:line="360" w:lineRule="auto"/>
        <w:rPr>
          <w:rFonts w:hAnsi="宋体" w:cs="宋体"/>
          <w:color w:val="auto"/>
          <w:spacing w:val="20"/>
          <w:sz w:val="21"/>
          <w:highlight w:val="none"/>
          <w:u w:val="single"/>
        </w:rPr>
      </w:pPr>
      <w:r>
        <w:rPr>
          <w:rFonts w:hint="eastAsia" w:hAnsi="宋体" w:cs="宋体"/>
          <w:color w:val="auto"/>
          <w:sz w:val="21"/>
          <w:highlight w:val="none"/>
        </w:rPr>
        <w:t>法定代表人或者委托代理人</w:t>
      </w:r>
      <w:r>
        <w:rPr>
          <w:rFonts w:hint="eastAsia" w:hAnsi="宋体" w:cs="宋体"/>
          <w:color w:val="auto"/>
          <w:spacing w:val="20"/>
          <w:sz w:val="21"/>
          <w:highlight w:val="none"/>
        </w:rPr>
        <w:t>签字</w:t>
      </w:r>
      <w:r>
        <w:rPr>
          <w:rFonts w:hint="eastAsia" w:hAnsi="宋体" w:cs="宋体"/>
          <w:color w:val="auto"/>
          <w:sz w:val="21"/>
          <w:highlight w:val="none"/>
        </w:rPr>
        <w:t>[或盖章(CA签章)]（属自然人的应在签名处加盖大拇指指印或个人CA签章）</w:t>
      </w:r>
      <w:r>
        <w:rPr>
          <w:rFonts w:hint="eastAsia" w:hAnsi="宋体" w:cs="宋体"/>
          <w:color w:val="auto"/>
          <w:spacing w:val="20"/>
          <w:sz w:val="21"/>
          <w:highlight w:val="none"/>
        </w:rPr>
        <w:t>：</w:t>
      </w:r>
    </w:p>
    <w:p w14:paraId="78F184AC">
      <w:pPr>
        <w:snapToGrid w:val="0"/>
        <w:spacing w:line="360" w:lineRule="auto"/>
        <w:rPr>
          <w:rFonts w:ascii="宋体" w:hAnsi="宋体" w:cs="宋体"/>
          <w:color w:val="auto"/>
          <w:spacing w:val="20"/>
          <w:szCs w:val="21"/>
          <w:highlight w:val="none"/>
        </w:rPr>
      </w:pPr>
      <w:r>
        <w:rPr>
          <w:rFonts w:hint="eastAsia" w:ascii="宋体" w:hAnsi="宋体" w:cs="宋体"/>
          <w:color w:val="auto"/>
          <w:spacing w:val="20"/>
          <w:szCs w:val="21"/>
          <w:highlight w:val="none"/>
        </w:rPr>
        <w:t>投标人</w:t>
      </w:r>
      <w:r>
        <w:rPr>
          <w:rFonts w:hint="eastAsia" w:ascii="宋体" w:hAnsi="宋体" w:cs="宋体"/>
          <w:bCs/>
          <w:color w:val="auto"/>
          <w:szCs w:val="21"/>
          <w:highlight w:val="none"/>
        </w:rPr>
        <w:t>[公章(CA签章)、自然人除外]</w:t>
      </w:r>
      <w:r>
        <w:rPr>
          <w:rFonts w:hint="eastAsia" w:ascii="宋体" w:hAnsi="宋体" w:cs="宋体"/>
          <w:color w:val="auto"/>
          <w:spacing w:val="20"/>
          <w:szCs w:val="21"/>
          <w:highlight w:val="none"/>
        </w:rPr>
        <w:t>：</w:t>
      </w:r>
    </w:p>
    <w:p w14:paraId="75FD23BC">
      <w:pPr>
        <w:snapToGrid w:val="0"/>
        <w:spacing w:line="360" w:lineRule="auto"/>
        <w:rPr>
          <w:rFonts w:ascii="宋体" w:hAnsi="宋体" w:cs="宋体"/>
          <w:color w:val="auto"/>
          <w:szCs w:val="21"/>
          <w:highlight w:val="none"/>
        </w:rPr>
      </w:pPr>
      <w:r>
        <w:rPr>
          <w:rFonts w:hint="eastAsia" w:ascii="宋体" w:hAnsi="宋体" w:cs="宋体"/>
          <w:color w:val="auto"/>
          <w:spacing w:val="20"/>
          <w:szCs w:val="21"/>
          <w:highlight w:val="none"/>
        </w:rPr>
        <w:t>日  期：</w:t>
      </w:r>
    </w:p>
    <w:p w14:paraId="592DAEC8">
      <w:pPr>
        <w:snapToGrid w:val="0"/>
        <w:spacing w:before="120" w:beforeLines="50"/>
        <w:rPr>
          <w:rFonts w:ascii="宋体" w:hAnsi="宋体" w:cs="宋体"/>
          <w:color w:val="auto"/>
          <w:sz w:val="24"/>
          <w:szCs w:val="20"/>
          <w:highlight w:val="none"/>
        </w:rPr>
      </w:pPr>
    </w:p>
    <w:p w14:paraId="085649D1">
      <w:pPr>
        <w:rPr>
          <w:color w:val="auto"/>
          <w:highlight w:val="none"/>
        </w:rPr>
      </w:pPr>
    </w:p>
    <w:p w14:paraId="1474C0F5">
      <w:pPr>
        <w:rPr>
          <w:color w:val="auto"/>
          <w:highlight w:val="none"/>
        </w:rPr>
      </w:pPr>
    </w:p>
    <w:p w14:paraId="07FA9A4F">
      <w:pPr>
        <w:spacing w:line="360" w:lineRule="auto"/>
        <w:jc w:val="left"/>
        <w:rPr>
          <w:color w:val="auto"/>
          <w:highlight w:val="none"/>
        </w:rPr>
      </w:pPr>
    </w:p>
    <w:p w14:paraId="4D5B0436">
      <w:pPr>
        <w:jc w:val="left"/>
        <w:rPr>
          <w:color w:val="auto"/>
          <w:highlight w:val="none"/>
        </w:rPr>
      </w:pPr>
      <w:r>
        <w:rPr>
          <w:rFonts w:hint="eastAsia"/>
          <w:color w:val="auto"/>
          <w:highlight w:val="none"/>
        </w:rPr>
        <w:br w:type="page"/>
      </w:r>
    </w:p>
    <w:p w14:paraId="2870790A">
      <w:pPr>
        <w:pStyle w:val="6"/>
        <w:rPr>
          <w:rFonts w:ascii="宋体" w:hAnsi="宋体" w:cs="宋体"/>
          <w:color w:val="auto"/>
          <w:highlight w:val="none"/>
        </w:rPr>
      </w:pPr>
      <w:r>
        <w:rPr>
          <w:rFonts w:hint="eastAsia" w:ascii="宋体" w:hAnsi="宋体" w:cs="宋体"/>
          <w:color w:val="auto"/>
          <w:szCs w:val="21"/>
          <w:highlight w:val="none"/>
        </w:rPr>
        <w:t>3.</w:t>
      </w:r>
      <w:r>
        <w:rPr>
          <w:rFonts w:hint="eastAsia" w:ascii="宋体" w:hAnsi="宋体" w:cs="微软雅黑"/>
          <w:color w:val="auto"/>
          <w:highlight w:val="none"/>
        </w:rPr>
        <w:t>项目实施</w:t>
      </w:r>
      <w:r>
        <w:rPr>
          <w:rFonts w:hint="eastAsia"/>
          <w:color w:val="auto"/>
          <w:sz w:val="30"/>
          <w:szCs w:val="30"/>
          <w:highlight w:val="none"/>
        </w:rPr>
        <w:t>方案</w:t>
      </w:r>
      <w:r>
        <w:rPr>
          <w:rFonts w:hint="eastAsia" w:ascii="宋体" w:hAnsi="宋体" w:cs="宋体"/>
          <w:color w:val="auto"/>
          <w:szCs w:val="21"/>
          <w:highlight w:val="none"/>
        </w:rPr>
        <w:t>（格式自拟）</w:t>
      </w:r>
    </w:p>
    <w:p w14:paraId="4C8D4BB0">
      <w:pPr>
        <w:rPr>
          <w:color w:val="auto"/>
          <w:highlight w:val="none"/>
        </w:rPr>
      </w:pPr>
    </w:p>
    <w:p w14:paraId="1CEEC7F3">
      <w:pPr>
        <w:pStyle w:val="6"/>
        <w:rPr>
          <w:rFonts w:ascii="宋体" w:hAnsi="宋体" w:cs="宋体"/>
          <w:color w:val="auto"/>
          <w:highlight w:val="none"/>
        </w:rPr>
      </w:pPr>
      <w:r>
        <w:rPr>
          <w:rFonts w:hint="eastAsia" w:ascii="宋体" w:hAnsi="宋体" w:cs="宋体"/>
          <w:color w:val="auto"/>
          <w:highlight w:val="none"/>
        </w:rPr>
        <w:t>4.项目</w:t>
      </w:r>
      <w:r>
        <w:rPr>
          <w:rFonts w:hint="eastAsia"/>
          <w:color w:val="auto"/>
          <w:sz w:val="30"/>
          <w:szCs w:val="30"/>
          <w:highlight w:val="none"/>
        </w:rPr>
        <w:t>实施</w:t>
      </w:r>
      <w:r>
        <w:rPr>
          <w:rFonts w:hint="eastAsia" w:ascii="宋体" w:hAnsi="宋体" w:cs="宋体"/>
          <w:color w:val="auto"/>
          <w:sz w:val="30"/>
          <w:szCs w:val="30"/>
          <w:highlight w:val="none"/>
        </w:rPr>
        <w:t>人员一</w:t>
      </w:r>
      <w:r>
        <w:rPr>
          <w:rFonts w:hint="eastAsia" w:ascii="宋体" w:hAnsi="宋体" w:cs="宋体"/>
          <w:color w:val="auto"/>
          <w:highlight w:val="none"/>
        </w:rPr>
        <w:t>览表（格式）</w:t>
      </w:r>
    </w:p>
    <w:p w14:paraId="49E72B5B">
      <w:pPr>
        <w:snapToGrid w:val="0"/>
        <w:spacing w:before="120" w:beforeLines="50" w:after="50"/>
        <w:ind w:left="142"/>
        <w:jc w:val="left"/>
        <w:rPr>
          <w:rFonts w:ascii="宋体" w:hAnsi="宋体" w:cs="宋体"/>
          <w:b/>
          <w:color w:val="auto"/>
          <w:sz w:val="24"/>
          <w:highlight w:val="none"/>
        </w:rPr>
      </w:pPr>
    </w:p>
    <w:p w14:paraId="787D82D0">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tbl>
      <w:tblPr>
        <w:tblStyle w:val="52"/>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86"/>
        <w:gridCol w:w="1886"/>
        <w:gridCol w:w="1574"/>
        <w:gridCol w:w="1882"/>
        <w:gridCol w:w="2043"/>
      </w:tblGrid>
      <w:tr w14:paraId="2592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906" w:type="dxa"/>
            <w:vAlign w:val="center"/>
          </w:tcPr>
          <w:p w14:paraId="12E724B0">
            <w:pPr>
              <w:snapToGrid w:val="0"/>
              <w:spacing w:before="50" w:after="120"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786" w:type="dxa"/>
            <w:vAlign w:val="center"/>
          </w:tcPr>
          <w:p w14:paraId="3E4E9F6B">
            <w:pPr>
              <w:snapToGrid w:val="0"/>
              <w:spacing w:before="50" w:after="120"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886" w:type="dxa"/>
            <w:vAlign w:val="center"/>
          </w:tcPr>
          <w:p w14:paraId="17C2738D">
            <w:pPr>
              <w:snapToGrid w:val="0"/>
              <w:spacing w:before="50" w:after="120"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74" w:type="dxa"/>
            <w:vAlign w:val="center"/>
          </w:tcPr>
          <w:p w14:paraId="1AA915CE">
            <w:pPr>
              <w:snapToGrid w:val="0"/>
              <w:spacing w:before="50" w:after="120"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证书编号</w:t>
            </w:r>
          </w:p>
        </w:tc>
        <w:tc>
          <w:tcPr>
            <w:tcW w:w="1882" w:type="dxa"/>
            <w:vAlign w:val="center"/>
          </w:tcPr>
          <w:p w14:paraId="0D2A3BDD">
            <w:pPr>
              <w:snapToGrid w:val="0"/>
              <w:spacing w:before="50" w:after="120"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参加本单位</w:t>
            </w:r>
          </w:p>
          <w:p w14:paraId="35A519B2">
            <w:pPr>
              <w:snapToGrid w:val="0"/>
              <w:spacing w:before="50" w:after="120"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工作时间</w:t>
            </w:r>
          </w:p>
        </w:tc>
        <w:tc>
          <w:tcPr>
            <w:tcW w:w="2043" w:type="dxa"/>
            <w:vAlign w:val="center"/>
          </w:tcPr>
          <w:p w14:paraId="18D3743A">
            <w:pPr>
              <w:snapToGrid w:val="0"/>
              <w:spacing w:before="50" w:after="120"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劳动合同编号</w:t>
            </w:r>
          </w:p>
        </w:tc>
      </w:tr>
      <w:tr w14:paraId="6CC9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06" w:type="dxa"/>
            <w:vAlign w:val="center"/>
          </w:tcPr>
          <w:p w14:paraId="11D373D1">
            <w:pPr>
              <w:snapToGrid w:val="0"/>
              <w:spacing w:before="50" w:after="120" w:afterLines="50" w:line="360" w:lineRule="auto"/>
              <w:jc w:val="center"/>
              <w:rPr>
                <w:rFonts w:ascii="宋体" w:hAnsi="宋体" w:cs="宋体"/>
                <w:color w:val="auto"/>
                <w:szCs w:val="21"/>
                <w:highlight w:val="none"/>
              </w:rPr>
            </w:pPr>
          </w:p>
        </w:tc>
        <w:tc>
          <w:tcPr>
            <w:tcW w:w="786" w:type="dxa"/>
            <w:vAlign w:val="center"/>
          </w:tcPr>
          <w:p w14:paraId="629579F0">
            <w:pPr>
              <w:snapToGrid w:val="0"/>
              <w:spacing w:before="50" w:after="120" w:afterLines="50" w:line="360" w:lineRule="auto"/>
              <w:jc w:val="center"/>
              <w:rPr>
                <w:rFonts w:ascii="宋体" w:hAnsi="宋体" w:cs="宋体"/>
                <w:color w:val="auto"/>
                <w:szCs w:val="21"/>
                <w:highlight w:val="none"/>
              </w:rPr>
            </w:pPr>
          </w:p>
        </w:tc>
        <w:tc>
          <w:tcPr>
            <w:tcW w:w="1886" w:type="dxa"/>
            <w:vAlign w:val="center"/>
          </w:tcPr>
          <w:p w14:paraId="37D5AAEE">
            <w:pPr>
              <w:snapToGrid w:val="0"/>
              <w:spacing w:before="50" w:after="120" w:afterLines="50" w:line="360" w:lineRule="auto"/>
              <w:jc w:val="center"/>
              <w:rPr>
                <w:rFonts w:ascii="宋体" w:hAnsi="宋体" w:cs="宋体"/>
                <w:color w:val="auto"/>
                <w:szCs w:val="21"/>
                <w:highlight w:val="none"/>
              </w:rPr>
            </w:pPr>
          </w:p>
        </w:tc>
        <w:tc>
          <w:tcPr>
            <w:tcW w:w="1574" w:type="dxa"/>
            <w:vAlign w:val="center"/>
          </w:tcPr>
          <w:p w14:paraId="44AE1D2B">
            <w:pPr>
              <w:snapToGrid w:val="0"/>
              <w:spacing w:before="50" w:after="120" w:afterLines="50" w:line="360" w:lineRule="auto"/>
              <w:jc w:val="center"/>
              <w:rPr>
                <w:rFonts w:ascii="宋体" w:hAnsi="宋体" w:cs="宋体"/>
                <w:color w:val="auto"/>
                <w:szCs w:val="21"/>
                <w:highlight w:val="none"/>
              </w:rPr>
            </w:pPr>
          </w:p>
        </w:tc>
        <w:tc>
          <w:tcPr>
            <w:tcW w:w="1882" w:type="dxa"/>
            <w:vAlign w:val="center"/>
          </w:tcPr>
          <w:p w14:paraId="06465F9B">
            <w:pPr>
              <w:snapToGrid w:val="0"/>
              <w:spacing w:before="50" w:after="120" w:afterLines="50" w:line="360" w:lineRule="auto"/>
              <w:jc w:val="center"/>
              <w:rPr>
                <w:rFonts w:ascii="宋体" w:hAnsi="宋体" w:cs="宋体"/>
                <w:color w:val="auto"/>
                <w:szCs w:val="21"/>
                <w:highlight w:val="none"/>
              </w:rPr>
            </w:pPr>
          </w:p>
        </w:tc>
        <w:tc>
          <w:tcPr>
            <w:tcW w:w="2043" w:type="dxa"/>
            <w:vAlign w:val="center"/>
          </w:tcPr>
          <w:p w14:paraId="7D98A3CA">
            <w:pPr>
              <w:snapToGrid w:val="0"/>
              <w:spacing w:before="50" w:after="120" w:afterLines="50" w:line="360" w:lineRule="auto"/>
              <w:jc w:val="center"/>
              <w:rPr>
                <w:rFonts w:ascii="宋体" w:hAnsi="宋体" w:cs="宋体"/>
                <w:color w:val="auto"/>
                <w:szCs w:val="21"/>
                <w:highlight w:val="none"/>
              </w:rPr>
            </w:pPr>
          </w:p>
        </w:tc>
      </w:tr>
      <w:tr w14:paraId="2744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06" w:type="dxa"/>
            <w:vAlign w:val="center"/>
          </w:tcPr>
          <w:p w14:paraId="3458E832">
            <w:pPr>
              <w:snapToGrid w:val="0"/>
              <w:spacing w:before="50" w:after="120" w:afterLines="50" w:line="360" w:lineRule="auto"/>
              <w:jc w:val="center"/>
              <w:rPr>
                <w:rFonts w:ascii="宋体" w:hAnsi="宋体" w:cs="宋体"/>
                <w:color w:val="auto"/>
                <w:szCs w:val="21"/>
                <w:highlight w:val="none"/>
              </w:rPr>
            </w:pPr>
          </w:p>
        </w:tc>
        <w:tc>
          <w:tcPr>
            <w:tcW w:w="786" w:type="dxa"/>
            <w:vAlign w:val="center"/>
          </w:tcPr>
          <w:p w14:paraId="76B9B389">
            <w:pPr>
              <w:snapToGrid w:val="0"/>
              <w:spacing w:before="50" w:after="120" w:afterLines="50" w:line="360" w:lineRule="auto"/>
              <w:jc w:val="center"/>
              <w:rPr>
                <w:rFonts w:ascii="宋体" w:hAnsi="宋体" w:cs="宋体"/>
                <w:color w:val="auto"/>
                <w:szCs w:val="21"/>
                <w:highlight w:val="none"/>
              </w:rPr>
            </w:pPr>
          </w:p>
        </w:tc>
        <w:tc>
          <w:tcPr>
            <w:tcW w:w="1886" w:type="dxa"/>
            <w:vAlign w:val="center"/>
          </w:tcPr>
          <w:p w14:paraId="3D9C00A9">
            <w:pPr>
              <w:snapToGrid w:val="0"/>
              <w:spacing w:before="50" w:after="120" w:afterLines="50" w:line="360" w:lineRule="auto"/>
              <w:jc w:val="center"/>
              <w:rPr>
                <w:rFonts w:ascii="宋体" w:hAnsi="宋体" w:cs="宋体"/>
                <w:color w:val="auto"/>
                <w:szCs w:val="21"/>
                <w:highlight w:val="none"/>
              </w:rPr>
            </w:pPr>
          </w:p>
        </w:tc>
        <w:tc>
          <w:tcPr>
            <w:tcW w:w="1574" w:type="dxa"/>
            <w:vAlign w:val="center"/>
          </w:tcPr>
          <w:p w14:paraId="1B6249BA">
            <w:pPr>
              <w:snapToGrid w:val="0"/>
              <w:spacing w:before="50" w:after="120" w:afterLines="50" w:line="360" w:lineRule="auto"/>
              <w:jc w:val="center"/>
              <w:rPr>
                <w:rFonts w:ascii="宋体" w:hAnsi="宋体" w:cs="宋体"/>
                <w:color w:val="auto"/>
                <w:szCs w:val="21"/>
                <w:highlight w:val="none"/>
              </w:rPr>
            </w:pPr>
          </w:p>
        </w:tc>
        <w:tc>
          <w:tcPr>
            <w:tcW w:w="1882" w:type="dxa"/>
            <w:vAlign w:val="center"/>
          </w:tcPr>
          <w:p w14:paraId="7E583898">
            <w:pPr>
              <w:snapToGrid w:val="0"/>
              <w:spacing w:before="50" w:after="120" w:afterLines="50" w:line="360" w:lineRule="auto"/>
              <w:jc w:val="center"/>
              <w:rPr>
                <w:rFonts w:ascii="宋体" w:hAnsi="宋体" w:cs="宋体"/>
                <w:color w:val="auto"/>
                <w:szCs w:val="21"/>
                <w:highlight w:val="none"/>
              </w:rPr>
            </w:pPr>
          </w:p>
        </w:tc>
        <w:tc>
          <w:tcPr>
            <w:tcW w:w="2043" w:type="dxa"/>
            <w:vAlign w:val="center"/>
          </w:tcPr>
          <w:p w14:paraId="4428BE8B">
            <w:pPr>
              <w:snapToGrid w:val="0"/>
              <w:spacing w:before="50" w:after="120" w:afterLines="50" w:line="360" w:lineRule="auto"/>
              <w:jc w:val="center"/>
              <w:rPr>
                <w:rFonts w:ascii="宋体" w:hAnsi="宋体" w:cs="宋体"/>
                <w:color w:val="auto"/>
                <w:szCs w:val="21"/>
                <w:highlight w:val="none"/>
              </w:rPr>
            </w:pPr>
          </w:p>
        </w:tc>
      </w:tr>
      <w:tr w14:paraId="10D9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06" w:type="dxa"/>
            <w:vAlign w:val="center"/>
          </w:tcPr>
          <w:p w14:paraId="11F10969">
            <w:pPr>
              <w:snapToGrid w:val="0"/>
              <w:spacing w:before="50" w:after="120" w:afterLines="50" w:line="360" w:lineRule="auto"/>
              <w:jc w:val="center"/>
              <w:rPr>
                <w:rFonts w:ascii="宋体" w:hAnsi="宋体" w:cs="宋体"/>
                <w:color w:val="auto"/>
                <w:szCs w:val="21"/>
                <w:highlight w:val="none"/>
              </w:rPr>
            </w:pPr>
          </w:p>
        </w:tc>
        <w:tc>
          <w:tcPr>
            <w:tcW w:w="786" w:type="dxa"/>
            <w:vAlign w:val="center"/>
          </w:tcPr>
          <w:p w14:paraId="53AAB3D8">
            <w:pPr>
              <w:snapToGrid w:val="0"/>
              <w:spacing w:before="50" w:after="120" w:afterLines="50" w:line="360" w:lineRule="auto"/>
              <w:jc w:val="center"/>
              <w:rPr>
                <w:rFonts w:ascii="宋体" w:hAnsi="宋体" w:cs="宋体"/>
                <w:color w:val="auto"/>
                <w:szCs w:val="21"/>
                <w:highlight w:val="none"/>
              </w:rPr>
            </w:pPr>
          </w:p>
        </w:tc>
        <w:tc>
          <w:tcPr>
            <w:tcW w:w="1886" w:type="dxa"/>
            <w:vAlign w:val="center"/>
          </w:tcPr>
          <w:p w14:paraId="07977C48">
            <w:pPr>
              <w:snapToGrid w:val="0"/>
              <w:spacing w:before="50" w:after="120" w:afterLines="50" w:line="360" w:lineRule="auto"/>
              <w:jc w:val="center"/>
              <w:rPr>
                <w:rFonts w:ascii="宋体" w:hAnsi="宋体" w:cs="宋体"/>
                <w:color w:val="auto"/>
                <w:szCs w:val="21"/>
                <w:highlight w:val="none"/>
              </w:rPr>
            </w:pPr>
          </w:p>
        </w:tc>
        <w:tc>
          <w:tcPr>
            <w:tcW w:w="1574" w:type="dxa"/>
            <w:vAlign w:val="center"/>
          </w:tcPr>
          <w:p w14:paraId="08094AB5">
            <w:pPr>
              <w:snapToGrid w:val="0"/>
              <w:spacing w:before="50" w:after="120" w:afterLines="50" w:line="360" w:lineRule="auto"/>
              <w:jc w:val="center"/>
              <w:rPr>
                <w:rFonts w:ascii="宋体" w:hAnsi="宋体" w:cs="宋体"/>
                <w:color w:val="auto"/>
                <w:szCs w:val="21"/>
                <w:highlight w:val="none"/>
              </w:rPr>
            </w:pPr>
          </w:p>
        </w:tc>
        <w:tc>
          <w:tcPr>
            <w:tcW w:w="1882" w:type="dxa"/>
            <w:vAlign w:val="center"/>
          </w:tcPr>
          <w:p w14:paraId="73C0368D">
            <w:pPr>
              <w:snapToGrid w:val="0"/>
              <w:spacing w:before="50" w:after="120" w:afterLines="50" w:line="360" w:lineRule="auto"/>
              <w:jc w:val="center"/>
              <w:rPr>
                <w:rFonts w:ascii="宋体" w:hAnsi="宋体" w:cs="宋体"/>
                <w:color w:val="auto"/>
                <w:szCs w:val="21"/>
                <w:highlight w:val="none"/>
              </w:rPr>
            </w:pPr>
          </w:p>
        </w:tc>
        <w:tc>
          <w:tcPr>
            <w:tcW w:w="2043" w:type="dxa"/>
            <w:vAlign w:val="center"/>
          </w:tcPr>
          <w:p w14:paraId="6E1EA8BE">
            <w:pPr>
              <w:snapToGrid w:val="0"/>
              <w:spacing w:before="50" w:after="120" w:afterLines="50" w:line="360" w:lineRule="auto"/>
              <w:jc w:val="center"/>
              <w:rPr>
                <w:rFonts w:ascii="宋体" w:hAnsi="宋体" w:cs="宋体"/>
                <w:color w:val="auto"/>
                <w:szCs w:val="21"/>
                <w:highlight w:val="none"/>
              </w:rPr>
            </w:pPr>
          </w:p>
        </w:tc>
      </w:tr>
    </w:tbl>
    <w:p w14:paraId="6BB07EC4">
      <w:pPr>
        <w:snapToGrid w:val="0"/>
        <w:spacing w:before="50" w:after="12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注：在填写时，如本表格不适合投标人的实际情况，可根据本表格式自行制表填写。</w:t>
      </w:r>
    </w:p>
    <w:p w14:paraId="1D0BC8FB">
      <w:pPr>
        <w:rPr>
          <w:color w:val="auto"/>
          <w:highlight w:val="none"/>
        </w:rPr>
      </w:pPr>
    </w:p>
    <w:p w14:paraId="23CF34C0">
      <w:pPr>
        <w:rPr>
          <w:color w:val="auto"/>
          <w:highlight w:val="none"/>
        </w:rPr>
      </w:pPr>
    </w:p>
    <w:p w14:paraId="60EDF368">
      <w:pPr>
        <w:pStyle w:val="6"/>
        <w:rPr>
          <w:color w:val="auto"/>
          <w:highlight w:val="none"/>
        </w:rPr>
      </w:pPr>
      <w:r>
        <w:rPr>
          <w:rFonts w:hint="eastAsia" w:ascii="宋体" w:hAnsi="宋体" w:cs="宋体"/>
          <w:color w:val="auto"/>
          <w:szCs w:val="21"/>
          <w:highlight w:val="none"/>
        </w:rPr>
        <w:t>5.</w:t>
      </w:r>
      <w:r>
        <w:rPr>
          <w:rFonts w:hint="eastAsia"/>
          <w:color w:val="auto"/>
          <w:highlight w:val="none"/>
        </w:rPr>
        <w:t>除招标文件规定必须提供以外，投标人需要说明的其他文件和说明（格式自拟）。</w:t>
      </w:r>
    </w:p>
    <w:p w14:paraId="006E3330">
      <w:pPr>
        <w:rPr>
          <w:color w:val="auto"/>
          <w:highlight w:val="none"/>
        </w:rPr>
      </w:pPr>
      <w:r>
        <w:rPr>
          <w:rFonts w:hint="eastAsia" w:ascii="宋体" w:hAnsi="宋体" w:cs="宋体"/>
          <w:color w:val="auto"/>
          <w:szCs w:val="21"/>
          <w:highlight w:val="none"/>
        </w:rPr>
        <w:t>投标人根据“第二章 采购需求”及“第四章 评标方法及评标标准”提供有关证明材料（如有时）</w:t>
      </w:r>
    </w:p>
    <w:p w14:paraId="398EDEDA">
      <w:pPr>
        <w:pStyle w:val="4"/>
        <w:spacing w:before="120" w:beforeLines="50" w:after="50"/>
        <w:rPr>
          <w:rFonts w:ascii="宋体" w:hAnsi="宋体" w:cs="宋体"/>
          <w:color w:val="auto"/>
          <w:sz w:val="28"/>
          <w:szCs w:val="28"/>
          <w:highlight w:val="none"/>
        </w:rPr>
      </w:pPr>
      <w:r>
        <w:rPr>
          <w:rFonts w:hint="eastAsia" w:ascii="宋体" w:hAnsi="宋体" w:cs="宋体"/>
          <w:color w:val="auto"/>
          <w:sz w:val="24"/>
          <w:highlight w:val="none"/>
        </w:rPr>
        <w:br w:type="page"/>
      </w:r>
      <w:bookmarkStart w:id="241" w:name="_Toc19686840"/>
      <w:r>
        <w:rPr>
          <w:rFonts w:hint="eastAsia" w:ascii="宋体" w:hAnsi="宋体" w:cs="宋体"/>
          <w:color w:val="auto"/>
          <w:sz w:val="28"/>
          <w:szCs w:val="28"/>
          <w:highlight w:val="none"/>
        </w:rPr>
        <w:t>四、其他文书、文件格式</w:t>
      </w:r>
      <w:bookmarkEnd w:id="241"/>
    </w:p>
    <w:p w14:paraId="1E6F4954">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476706D5">
      <w:pPr>
        <w:pStyle w:val="26"/>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一、质疑投标人基本信息：</w:t>
      </w:r>
    </w:p>
    <w:p w14:paraId="0B388F82">
      <w:pPr>
        <w:pStyle w:val="26"/>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质疑投标人：</w:t>
      </w:r>
    </w:p>
    <w:p w14:paraId="6C1B85FD">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地址：邮编：</w:t>
      </w:r>
    </w:p>
    <w:p w14:paraId="015D5433">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联系人：联系电话：</w:t>
      </w:r>
    </w:p>
    <w:p w14:paraId="292C4950">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授权代表：</w:t>
      </w:r>
    </w:p>
    <w:p w14:paraId="4334E9BC">
      <w:pPr>
        <w:pStyle w:val="26"/>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联系电话：</w:t>
      </w:r>
    </w:p>
    <w:p w14:paraId="31E03CEA">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地址：邮编：</w:t>
      </w:r>
    </w:p>
    <w:p w14:paraId="3DF0BF0D">
      <w:pPr>
        <w:pStyle w:val="26"/>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二、质疑项目基本情况：</w:t>
      </w:r>
    </w:p>
    <w:p w14:paraId="79B2B9BD">
      <w:pPr>
        <w:pStyle w:val="26"/>
        <w:spacing w:line="360" w:lineRule="auto"/>
        <w:ind w:left="25" w:leftChars="12" w:firstLine="413" w:firstLineChars="197"/>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p>
    <w:p w14:paraId="7C0DED85">
      <w:pPr>
        <w:pStyle w:val="26"/>
        <w:spacing w:line="360" w:lineRule="auto"/>
        <w:ind w:left="25" w:leftChars="12" w:firstLine="413" w:firstLineChars="197"/>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p>
    <w:p w14:paraId="1E79FC94">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采购人名称：</w:t>
      </w:r>
    </w:p>
    <w:p w14:paraId="4B84289D">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质疑事项：</w:t>
      </w:r>
    </w:p>
    <w:p w14:paraId="5B2265A1">
      <w:pPr>
        <w:pStyle w:val="26"/>
        <w:spacing w:line="360" w:lineRule="auto"/>
        <w:ind w:left="25" w:leftChars="12" w:firstLine="308" w:firstLineChars="147"/>
        <w:rPr>
          <w:rFonts w:hAnsi="宋体" w:cs="宋体"/>
          <w:color w:val="auto"/>
          <w:sz w:val="21"/>
          <w:highlight w:val="none"/>
        </w:rPr>
      </w:pPr>
      <w:r>
        <w:rPr>
          <w:rFonts w:hint="eastAsia" w:hAnsi="宋体" w:cs="宋体"/>
          <w:color w:val="auto"/>
          <w:sz w:val="21"/>
          <w:highlight w:val="none"/>
        </w:rPr>
        <w:t>□招标文件   招标文件获取日期：</w:t>
      </w:r>
    </w:p>
    <w:p w14:paraId="64A80E0A">
      <w:pPr>
        <w:pStyle w:val="26"/>
        <w:spacing w:line="360" w:lineRule="auto"/>
        <w:ind w:left="25" w:leftChars="12" w:firstLine="308" w:firstLineChars="147"/>
        <w:rPr>
          <w:rFonts w:hAnsi="宋体" w:cs="宋体"/>
          <w:color w:val="auto"/>
          <w:sz w:val="21"/>
          <w:highlight w:val="none"/>
        </w:rPr>
      </w:pPr>
      <w:r>
        <w:rPr>
          <w:rFonts w:hint="eastAsia" w:hAnsi="宋体" w:cs="宋体"/>
          <w:color w:val="auto"/>
          <w:sz w:val="21"/>
          <w:highlight w:val="none"/>
        </w:rPr>
        <w:t xml:space="preserve">□采购过程   </w:t>
      </w:r>
    </w:p>
    <w:p w14:paraId="4B538CE8">
      <w:pPr>
        <w:pStyle w:val="26"/>
        <w:spacing w:line="360" w:lineRule="auto"/>
        <w:ind w:left="25" w:leftChars="12" w:firstLine="308" w:firstLineChars="147"/>
        <w:rPr>
          <w:rFonts w:hAnsi="宋体" w:cs="宋体"/>
          <w:bCs/>
          <w:color w:val="auto"/>
          <w:sz w:val="21"/>
          <w:highlight w:val="none"/>
          <w:u w:val="single"/>
        </w:rPr>
      </w:pPr>
      <w:r>
        <w:rPr>
          <w:rFonts w:hint="eastAsia" w:hAnsi="宋体" w:cs="宋体"/>
          <w:color w:val="auto"/>
          <w:sz w:val="21"/>
          <w:highlight w:val="none"/>
        </w:rPr>
        <w:t xml:space="preserve">□中标结果   </w:t>
      </w:r>
    </w:p>
    <w:p w14:paraId="43B55831">
      <w:pPr>
        <w:pStyle w:val="26"/>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三、质疑事项具体内容</w:t>
      </w:r>
    </w:p>
    <w:p w14:paraId="59C1B1AD">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质疑事项1：</w:t>
      </w:r>
    </w:p>
    <w:p w14:paraId="3362818A">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事实依据：</w:t>
      </w:r>
    </w:p>
    <w:p w14:paraId="7182A49E">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法律依据：</w:t>
      </w:r>
    </w:p>
    <w:p w14:paraId="06B886F3">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质疑事项2</w:t>
      </w:r>
    </w:p>
    <w:p w14:paraId="2F31596B">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w:t>
      </w:r>
    </w:p>
    <w:p w14:paraId="25D76244">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四、与质疑事项相关的质疑请求：</w:t>
      </w:r>
    </w:p>
    <w:p w14:paraId="0A285946">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请求：</w:t>
      </w:r>
    </w:p>
    <w:p w14:paraId="7204E7AF">
      <w:pPr>
        <w:pStyle w:val="26"/>
        <w:spacing w:line="360" w:lineRule="auto"/>
        <w:ind w:left="25" w:leftChars="12" w:firstLine="308" w:firstLineChars="147"/>
        <w:rPr>
          <w:rFonts w:hAnsi="宋体" w:cs="宋体"/>
          <w:color w:val="auto"/>
          <w:sz w:val="21"/>
          <w:highlight w:val="none"/>
        </w:rPr>
      </w:pPr>
    </w:p>
    <w:p w14:paraId="2414D06D">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签字（签章）：                                       公章：</w:t>
      </w:r>
    </w:p>
    <w:p w14:paraId="0B512695">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日期：</w:t>
      </w:r>
    </w:p>
    <w:p w14:paraId="25648652">
      <w:pPr>
        <w:pStyle w:val="26"/>
        <w:snapToGrid w:val="0"/>
        <w:spacing w:line="312" w:lineRule="auto"/>
        <w:rPr>
          <w:rFonts w:hAnsi="宋体" w:cs="宋体"/>
          <w:b/>
          <w:color w:val="auto"/>
          <w:sz w:val="21"/>
          <w:highlight w:val="none"/>
        </w:rPr>
      </w:pPr>
    </w:p>
    <w:p w14:paraId="1101941C">
      <w:pPr>
        <w:pStyle w:val="26"/>
        <w:snapToGrid w:val="0"/>
        <w:spacing w:line="360" w:lineRule="auto"/>
        <w:rPr>
          <w:rFonts w:hAnsi="宋体" w:cs="宋体"/>
          <w:b/>
          <w:color w:val="auto"/>
          <w:sz w:val="21"/>
          <w:highlight w:val="none"/>
        </w:rPr>
      </w:pPr>
      <w:r>
        <w:rPr>
          <w:rFonts w:hint="eastAsia" w:hAnsi="宋体" w:cs="宋体"/>
          <w:b/>
          <w:color w:val="auto"/>
          <w:sz w:val="21"/>
          <w:highlight w:val="none"/>
        </w:rPr>
        <w:t>说明：</w:t>
      </w:r>
    </w:p>
    <w:p w14:paraId="4D7631B6">
      <w:pPr>
        <w:pStyle w:val="26"/>
        <w:spacing w:line="360" w:lineRule="auto"/>
        <w:ind w:left="25" w:leftChars="12" w:firstLine="310" w:firstLineChars="147"/>
        <w:rPr>
          <w:rFonts w:hAnsi="宋体" w:cs="宋体"/>
          <w:b/>
          <w:bCs/>
          <w:color w:val="auto"/>
          <w:sz w:val="21"/>
          <w:highlight w:val="none"/>
        </w:rPr>
      </w:pPr>
      <w:r>
        <w:rPr>
          <w:rFonts w:hint="eastAsia" w:hAnsi="宋体" w:cs="宋体"/>
          <w:b/>
          <w:color w:val="auto"/>
          <w:sz w:val="21"/>
          <w:highlight w:val="none"/>
        </w:rPr>
        <w:t>1.投标人提出质疑时，应提交质疑函和必要的证明材料</w:t>
      </w:r>
      <w:r>
        <w:rPr>
          <w:rFonts w:hint="eastAsia" w:hAnsi="宋体" w:cs="宋体"/>
          <w:b/>
          <w:bCs/>
          <w:color w:val="auto"/>
          <w:sz w:val="21"/>
          <w:highlight w:val="none"/>
        </w:rPr>
        <w:t>。</w:t>
      </w:r>
    </w:p>
    <w:p w14:paraId="4BCC4F17">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132DD643">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5BECD7D5">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4.质疑函的质疑请求应与质疑事项相关。</w:t>
      </w:r>
    </w:p>
    <w:p w14:paraId="0075C539">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5.质疑投标人为法人或者其他组织的，质疑函应由法定代表人、主要负责人，或者其授权代表签字或者盖章，并加盖公章。</w:t>
      </w:r>
    </w:p>
    <w:p w14:paraId="73FABCD6">
      <w:pPr>
        <w:spacing w:line="460" w:lineRule="exact"/>
        <w:jc w:val="center"/>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bCs/>
          <w:color w:val="auto"/>
          <w:sz w:val="32"/>
          <w:szCs w:val="32"/>
          <w:highlight w:val="none"/>
        </w:rPr>
        <w:t>投诉书（格式）</w:t>
      </w:r>
    </w:p>
    <w:p w14:paraId="2BE9E1A5">
      <w:pPr>
        <w:pStyle w:val="26"/>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一、投诉相关主体基本情况：</w:t>
      </w:r>
    </w:p>
    <w:p w14:paraId="092DF807">
      <w:pPr>
        <w:pStyle w:val="26"/>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投标人：</w:t>
      </w:r>
    </w:p>
    <w:p w14:paraId="4E9935F3">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地址：邮编：</w:t>
      </w:r>
    </w:p>
    <w:p w14:paraId="5C455E4C">
      <w:pPr>
        <w:pStyle w:val="26"/>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法定代表人/主要负责人：</w:t>
      </w:r>
    </w:p>
    <w:p w14:paraId="25FA975A">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联系电话：</w:t>
      </w:r>
    </w:p>
    <w:p w14:paraId="0DE8BA31">
      <w:pPr>
        <w:pStyle w:val="26"/>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授权代表：联系电话：</w:t>
      </w:r>
    </w:p>
    <w:p w14:paraId="121333CB">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地址：邮编：</w:t>
      </w:r>
    </w:p>
    <w:p w14:paraId="11705E70">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被投诉人1：</w:t>
      </w:r>
    </w:p>
    <w:p w14:paraId="67A089EA">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地址：邮编：</w:t>
      </w:r>
    </w:p>
    <w:p w14:paraId="6E38FE8C">
      <w:pPr>
        <w:pStyle w:val="26"/>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联系人：联系电话：</w:t>
      </w:r>
    </w:p>
    <w:p w14:paraId="0307BC3C">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被投诉人2：</w:t>
      </w:r>
    </w:p>
    <w:p w14:paraId="142F1E5C">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w:t>
      </w:r>
    </w:p>
    <w:p w14:paraId="159A3F57">
      <w:pPr>
        <w:pStyle w:val="26"/>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相关投标人：</w:t>
      </w:r>
    </w:p>
    <w:p w14:paraId="3340D677">
      <w:pPr>
        <w:pStyle w:val="26"/>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地址：邮编：</w:t>
      </w:r>
    </w:p>
    <w:p w14:paraId="12F6BD76">
      <w:pPr>
        <w:pStyle w:val="26"/>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联系人：联系电话：</w:t>
      </w:r>
    </w:p>
    <w:p w14:paraId="63259834">
      <w:pPr>
        <w:pStyle w:val="26"/>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二、投诉项目基本情况：</w:t>
      </w:r>
    </w:p>
    <w:p w14:paraId="04092A08">
      <w:pPr>
        <w:pStyle w:val="26"/>
        <w:spacing w:line="360" w:lineRule="auto"/>
        <w:ind w:left="25" w:leftChars="12" w:firstLine="413" w:firstLineChars="197"/>
        <w:rPr>
          <w:rFonts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项目的名称：</w:t>
      </w:r>
    </w:p>
    <w:p w14:paraId="62E97030">
      <w:pPr>
        <w:pStyle w:val="26"/>
        <w:spacing w:line="360" w:lineRule="auto"/>
        <w:ind w:left="25" w:leftChars="12" w:firstLine="413" w:firstLineChars="197"/>
        <w:rPr>
          <w:rFonts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项目的编号：</w:t>
      </w:r>
    </w:p>
    <w:p w14:paraId="3A72CD4E">
      <w:pPr>
        <w:pStyle w:val="26"/>
        <w:spacing w:line="360" w:lineRule="auto"/>
        <w:ind w:left="25" w:leftChars="12" w:firstLine="413" w:firstLineChars="197"/>
        <w:rPr>
          <w:rFonts w:hAnsi="宋体" w:cs="宋体"/>
          <w:bCs/>
          <w:color w:val="auto"/>
          <w:sz w:val="21"/>
          <w:highlight w:val="none"/>
          <w:u w:val="single"/>
        </w:rPr>
      </w:pPr>
      <w:r>
        <w:rPr>
          <w:rFonts w:hint="eastAsia" w:hAnsi="宋体" w:cs="宋体"/>
          <w:color w:val="auto"/>
          <w:sz w:val="21"/>
          <w:highlight w:val="none"/>
        </w:rPr>
        <w:t>采购人名称：</w:t>
      </w:r>
    </w:p>
    <w:p w14:paraId="46A26A5E">
      <w:pPr>
        <w:pStyle w:val="26"/>
        <w:spacing w:line="360" w:lineRule="auto"/>
        <w:ind w:left="25" w:leftChars="12" w:firstLine="413" w:firstLineChars="197"/>
        <w:rPr>
          <w:rFonts w:hAnsi="宋体" w:cs="宋体"/>
          <w:bCs/>
          <w:color w:val="auto"/>
          <w:sz w:val="21"/>
          <w:highlight w:val="none"/>
          <w:u w:val="single"/>
        </w:rPr>
      </w:pPr>
      <w:r>
        <w:rPr>
          <w:rFonts w:hint="eastAsia" w:hAnsi="宋体" w:cs="宋体"/>
          <w:color w:val="auto"/>
          <w:sz w:val="21"/>
          <w:highlight w:val="none"/>
        </w:rPr>
        <w:t>代理机构名称：</w:t>
      </w:r>
    </w:p>
    <w:p w14:paraId="7527D2F5">
      <w:pPr>
        <w:pStyle w:val="26"/>
        <w:spacing w:line="360" w:lineRule="auto"/>
        <w:ind w:left="25" w:leftChars="12" w:firstLine="413" w:firstLineChars="197"/>
        <w:rPr>
          <w:rFonts w:hAnsi="宋体" w:cs="宋体"/>
          <w:bCs/>
          <w:color w:val="auto"/>
          <w:sz w:val="21"/>
          <w:highlight w:val="none"/>
          <w:u w:val="single"/>
        </w:rPr>
      </w:pPr>
      <w:r>
        <w:rPr>
          <w:rFonts w:hint="eastAsia" w:hAnsi="宋体" w:cs="宋体"/>
          <w:bCs/>
          <w:color w:val="auto"/>
          <w:sz w:val="21"/>
          <w:highlight w:val="none"/>
        </w:rPr>
        <w:t>招标文件公告：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p>
    <w:p w14:paraId="0796155F">
      <w:pPr>
        <w:pStyle w:val="26"/>
        <w:spacing w:line="360" w:lineRule="auto"/>
        <w:ind w:left="25" w:leftChars="12" w:firstLine="413" w:firstLineChars="197"/>
        <w:rPr>
          <w:rFonts w:hAnsi="宋体" w:cs="宋体"/>
          <w:b/>
          <w:color w:val="auto"/>
          <w:sz w:val="21"/>
          <w:highlight w:val="none"/>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p>
    <w:p w14:paraId="06AA7534">
      <w:pPr>
        <w:pStyle w:val="26"/>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三、质疑基本情况</w:t>
      </w:r>
    </w:p>
    <w:p w14:paraId="4C22EBF9">
      <w:pPr>
        <w:pStyle w:val="26"/>
        <w:spacing w:line="360" w:lineRule="auto"/>
        <w:ind w:firstLine="420" w:firstLineChars="200"/>
        <w:rPr>
          <w:rFonts w:hAnsi="宋体" w:cs="宋体"/>
          <w:color w:val="auto"/>
          <w:sz w:val="21"/>
          <w:highlight w:val="none"/>
        </w:rPr>
      </w:pPr>
      <w:r>
        <w:rPr>
          <w:rFonts w:hint="eastAsia" w:hAnsi="宋体" w:cs="宋体"/>
          <w:color w:val="auto"/>
          <w:sz w:val="21"/>
          <w:highlight w:val="none"/>
        </w:rPr>
        <w:t>投诉人于年月日，向提出质疑，质疑事项为：</w:t>
      </w:r>
    </w:p>
    <w:p w14:paraId="27599120">
      <w:pPr>
        <w:pStyle w:val="26"/>
        <w:spacing w:line="360" w:lineRule="auto"/>
        <w:ind w:firstLine="241"/>
        <w:rPr>
          <w:rFonts w:hAnsi="宋体" w:cs="宋体"/>
          <w:bCs/>
          <w:color w:val="auto"/>
          <w:sz w:val="21"/>
          <w:highlight w:val="none"/>
          <w:u w:val="single"/>
        </w:rPr>
      </w:pPr>
    </w:p>
    <w:p w14:paraId="6BB96A69">
      <w:pPr>
        <w:pStyle w:val="26"/>
        <w:spacing w:line="360" w:lineRule="auto"/>
        <w:ind w:firstLine="241"/>
        <w:rPr>
          <w:rFonts w:hAnsi="宋体" w:cs="宋体"/>
          <w:bCs/>
          <w:color w:val="auto"/>
          <w:sz w:val="21"/>
          <w:highlight w:val="none"/>
          <w:u w:val="single"/>
        </w:rPr>
      </w:pPr>
    </w:p>
    <w:p w14:paraId="4EB53AFE">
      <w:pPr>
        <w:pStyle w:val="26"/>
        <w:spacing w:line="360" w:lineRule="auto"/>
        <w:ind w:firstLine="241"/>
        <w:rPr>
          <w:rFonts w:hAnsi="宋体" w:cs="宋体"/>
          <w:color w:val="auto"/>
          <w:sz w:val="21"/>
          <w:highlight w:val="none"/>
        </w:rPr>
      </w:pP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rPr>
        <w:t>年月日，</w:t>
      </w:r>
      <w:r>
        <w:rPr>
          <w:rFonts w:hint="eastAsia" w:hAnsi="宋体" w:cs="宋体"/>
          <w:bCs/>
          <w:color w:val="auto"/>
          <w:sz w:val="21"/>
          <w:highlight w:val="none"/>
        </w:rPr>
        <w:t>就质疑事项作出了答复/没有在法定期限内作出答复。</w:t>
      </w:r>
    </w:p>
    <w:p w14:paraId="4BEEEEEA">
      <w:pPr>
        <w:pStyle w:val="26"/>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四、投诉事项具体内容</w:t>
      </w:r>
    </w:p>
    <w:p w14:paraId="56BC4CA4">
      <w:pPr>
        <w:pStyle w:val="26"/>
        <w:spacing w:line="360" w:lineRule="auto"/>
        <w:ind w:left="25" w:leftChars="12" w:firstLine="413" w:firstLineChars="197"/>
        <w:rPr>
          <w:rFonts w:hAnsi="宋体" w:cs="宋体"/>
          <w:bCs/>
          <w:color w:val="auto"/>
          <w:sz w:val="21"/>
          <w:highlight w:val="none"/>
          <w:u w:val="single"/>
        </w:rPr>
      </w:pPr>
      <w:r>
        <w:rPr>
          <w:rFonts w:hint="eastAsia" w:hAnsi="宋体" w:cs="宋体"/>
          <w:color w:val="auto"/>
          <w:sz w:val="21"/>
          <w:highlight w:val="none"/>
        </w:rPr>
        <w:t>投诉事项1：</w:t>
      </w:r>
    </w:p>
    <w:p w14:paraId="26C0EC2E">
      <w:pPr>
        <w:pStyle w:val="26"/>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事实依据：</w:t>
      </w:r>
    </w:p>
    <w:p w14:paraId="4645E7E9">
      <w:pPr>
        <w:pStyle w:val="26"/>
        <w:spacing w:line="360" w:lineRule="auto"/>
        <w:ind w:left="25" w:leftChars="12" w:firstLine="413" w:firstLineChars="197"/>
        <w:rPr>
          <w:rFonts w:hAnsi="宋体" w:cs="宋体"/>
          <w:color w:val="auto"/>
          <w:sz w:val="21"/>
          <w:highlight w:val="none"/>
        </w:rPr>
      </w:pPr>
    </w:p>
    <w:p w14:paraId="11128386">
      <w:pPr>
        <w:pStyle w:val="26"/>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法律依据：</w:t>
      </w:r>
    </w:p>
    <w:p w14:paraId="7FCF4ADF">
      <w:pPr>
        <w:pStyle w:val="26"/>
        <w:spacing w:line="360" w:lineRule="auto"/>
        <w:ind w:left="25" w:leftChars="12" w:firstLine="308" w:firstLineChars="147"/>
        <w:rPr>
          <w:rFonts w:hAnsi="宋体" w:cs="宋体"/>
          <w:bCs/>
          <w:color w:val="auto"/>
          <w:sz w:val="21"/>
          <w:highlight w:val="none"/>
          <w:u w:val="single"/>
        </w:rPr>
      </w:pPr>
    </w:p>
    <w:p w14:paraId="7EEC5AD8">
      <w:pPr>
        <w:pStyle w:val="26"/>
        <w:spacing w:line="360" w:lineRule="auto"/>
        <w:ind w:left="25" w:leftChars="12" w:firstLine="413" w:firstLineChars="197"/>
        <w:rPr>
          <w:rFonts w:hAnsi="宋体" w:cs="宋体"/>
          <w:bCs/>
          <w:color w:val="auto"/>
          <w:sz w:val="21"/>
          <w:highlight w:val="none"/>
        </w:rPr>
      </w:pPr>
      <w:r>
        <w:rPr>
          <w:rFonts w:hint="eastAsia" w:hAnsi="宋体" w:cs="宋体"/>
          <w:color w:val="auto"/>
          <w:sz w:val="21"/>
          <w:highlight w:val="none"/>
        </w:rPr>
        <w:t xml:space="preserve">投诉事项2  </w:t>
      </w:r>
    </w:p>
    <w:p w14:paraId="305D1979">
      <w:pPr>
        <w:pStyle w:val="26"/>
        <w:spacing w:line="360" w:lineRule="auto"/>
        <w:ind w:left="25" w:leftChars="12" w:firstLine="413" w:firstLineChars="197"/>
        <w:rPr>
          <w:rFonts w:hAnsi="宋体" w:cs="宋体"/>
          <w:bCs/>
          <w:color w:val="auto"/>
          <w:sz w:val="21"/>
          <w:highlight w:val="none"/>
        </w:rPr>
      </w:pPr>
      <w:r>
        <w:rPr>
          <w:rFonts w:hint="eastAsia" w:hAnsi="宋体" w:cs="宋体"/>
          <w:bCs/>
          <w:color w:val="auto"/>
          <w:sz w:val="21"/>
          <w:highlight w:val="none"/>
        </w:rPr>
        <w:t>……</w:t>
      </w:r>
    </w:p>
    <w:p w14:paraId="127E93B4">
      <w:pPr>
        <w:pStyle w:val="26"/>
        <w:spacing w:line="360" w:lineRule="auto"/>
        <w:ind w:left="25" w:leftChars="12" w:firstLine="413" w:firstLineChars="196"/>
        <w:rPr>
          <w:rFonts w:hAnsi="宋体" w:cs="宋体"/>
          <w:b/>
          <w:color w:val="auto"/>
          <w:sz w:val="21"/>
          <w:highlight w:val="none"/>
        </w:rPr>
      </w:pPr>
      <w:r>
        <w:rPr>
          <w:rFonts w:hint="eastAsia" w:hAnsi="宋体" w:cs="宋体"/>
          <w:b/>
          <w:color w:val="auto"/>
          <w:sz w:val="21"/>
          <w:highlight w:val="none"/>
        </w:rPr>
        <w:t>五、与投诉事项相关的投诉请求：</w:t>
      </w:r>
    </w:p>
    <w:p w14:paraId="3EF005D5">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请求：</w:t>
      </w:r>
    </w:p>
    <w:p w14:paraId="552A9601">
      <w:pPr>
        <w:pStyle w:val="26"/>
        <w:spacing w:line="360" w:lineRule="auto"/>
        <w:ind w:left="25" w:leftChars="12" w:firstLine="308" w:firstLineChars="147"/>
        <w:rPr>
          <w:rFonts w:hAnsi="宋体" w:cs="宋体"/>
          <w:color w:val="auto"/>
          <w:sz w:val="21"/>
          <w:highlight w:val="none"/>
        </w:rPr>
      </w:pPr>
    </w:p>
    <w:p w14:paraId="1DEC5BB0">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签字（签章）：                                       公章：</w:t>
      </w:r>
    </w:p>
    <w:p w14:paraId="06C7D2DD">
      <w:pPr>
        <w:pStyle w:val="26"/>
        <w:spacing w:line="360" w:lineRule="auto"/>
        <w:ind w:left="25" w:leftChars="12" w:firstLine="413" w:firstLineChars="197"/>
        <w:rPr>
          <w:rFonts w:hAnsi="宋体" w:cs="宋体"/>
          <w:color w:val="auto"/>
          <w:sz w:val="21"/>
          <w:highlight w:val="none"/>
        </w:rPr>
      </w:pPr>
      <w:r>
        <w:rPr>
          <w:rFonts w:hint="eastAsia" w:hAnsi="宋体" w:cs="宋体"/>
          <w:color w:val="auto"/>
          <w:sz w:val="21"/>
          <w:highlight w:val="none"/>
        </w:rPr>
        <w:t>日期：</w:t>
      </w:r>
    </w:p>
    <w:p w14:paraId="2CF56DD1">
      <w:pPr>
        <w:pStyle w:val="26"/>
        <w:snapToGrid w:val="0"/>
        <w:spacing w:line="360" w:lineRule="auto"/>
        <w:rPr>
          <w:rFonts w:hAnsi="宋体" w:cs="宋体"/>
          <w:b/>
          <w:color w:val="auto"/>
          <w:sz w:val="21"/>
          <w:highlight w:val="none"/>
        </w:rPr>
      </w:pPr>
    </w:p>
    <w:p w14:paraId="6A8F0C01">
      <w:pPr>
        <w:pStyle w:val="26"/>
        <w:snapToGrid w:val="0"/>
        <w:spacing w:line="360" w:lineRule="auto"/>
        <w:rPr>
          <w:rFonts w:hAnsi="宋体" w:cs="宋体"/>
          <w:b/>
          <w:color w:val="auto"/>
          <w:sz w:val="21"/>
          <w:highlight w:val="none"/>
        </w:rPr>
      </w:pPr>
      <w:r>
        <w:rPr>
          <w:rFonts w:hint="eastAsia" w:hAnsi="宋体" w:cs="宋体"/>
          <w:b/>
          <w:color w:val="auto"/>
          <w:sz w:val="21"/>
          <w:highlight w:val="none"/>
        </w:rPr>
        <w:t>说明：</w:t>
      </w:r>
    </w:p>
    <w:p w14:paraId="05AD51D0">
      <w:pPr>
        <w:pStyle w:val="26"/>
        <w:spacing w:line="360" w:lineRule="auto"/>
        <w:ind w:left="25" w:leftChars="12" w:firstLine="310" w:firstLineChars="147"/>
        <w:rPr>
          <w:rFonts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1.投诉人提起投诉时，应当提交投诉书和必要的证明材料，并按照被投诉人和与投诉事项有关的投标人数量提供投诉书副本</w:t>
      </w:r>
      <w:r>
        <w:rPr>
          <w:rFonts w:hint="eastAsia" w:hAnsi="宋体" w:cs="宋体"/>
          <w:b/>
          <w:bCs/>
          <w:color w:val="auto"/>
          <w:sz w:val="21"/>
          <w:highlight w:val="none"/>
        </w:rPr>
        <w:t>。</w:t>
      </w:r>
    </w:p>
    <w:p w14:paraId="0EAFE3AC">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5800132">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0812FCB0">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01715228">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5.投诉书的投诉请求应与投诉事项相关。</w:t>
      </w:r>
    </w:p>
    <w:p w14:paraId="4BDA3FA5">
      <w:pPr>
        <w:pStyle w:val="26"/>
        <w:spacing w:line="360" w:lineRule="auto"/>
        <w:ind w:left="25" w:leftChars="12" w:firstLine="310" w:firstLineChars="147"/>
        <w:rPr>
          <w:rFonts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p w14:paraId="70A5880D">
      <w:pPr>
        <w:rPr>
          <w:color w:val="auto"/>
          <w:highlight w:val="none"/>
        </w:rPr>
      </w:pPr>
    </w:p>
    <w:p w14:paraId="039A861E">
      <w:pPr>
        <w:rPr>
          <w:color w:val="auto"/>
          <w:highlight w:val="none"/>
        </w:rPr>
      </w:pPr>
    </w:p>
    <w:p w14:paraId="23DBA9D0">
      <w:pPr>
        <w:rPr>
          <w:color w:val="auto"/>
          <w:highlight w:val="none"/>
        </w:rPr>
      </w:pPr>
    </w:p>
    <w:p w14:paraId="4EE28FDA">
      <w:pPr>
        <w:rPr>
          <w:color w:val="auto"/>
          <w:highlight w:val="none"/>
        </w:rPr>
      </w:pPr>
    </w:p>
    <w:sectPr>
      <w:pgSz w:w="11906" w:h="16838"/>
      <w:pgMar w:top="1417" w:right="1417" w:bottom="1417"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Century">
    <w:altName w:val="Times New Roman"/>
    <w:panose1 w:val="02040604050505020304"/>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 Ligh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5ED71">
    <w:pPr>
      <w:pStyle w:val="32"/>
      <w:jc w:val="center"/>
    </w:pPr>
  </w:p>
  <w:p w14:paraId="47EC51D7">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6A425">
    <w:pPr>
      <w:pStyle w:val="32"/>
      <w:framePr w:wrap="around" w:vAnchor="text" w:hAnchor="margin" w:xAlign="center" w:y="1"/>
      <w:rPr>
        <w:rStyle w:val="57"/>
      </w:rPr>
    </w:pPr>
    <w:r>
      <w:fldChar w:fldCharType="begin"/>
    </w:r>
    <w:r>
      <w:rPr>
        <w:rStyle w:val="57"/>
      </w:rPr>
      <w:instrText xml:space="preserve">PAGE  </w:instrText>
    </w:r>
    <w:r>
      <w:fldChar w:fldCharType="end"/>
    </w:r>
  </w:p>
  <w:p w14:paraId="1DB3342F">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ACE8C">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5205">
    <w:pPr>
      <w:pStyle w:val="32"/>
      <w:jc w:val="center"/>
    </w:pPr>
  </w:p>
  <w:p w14:paraId="3CA5D62C">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52208">
    <w:pPr>
      <w:pStyle w:val="32"/>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F32AB">
    <w:pPr>
      <w:pStyle w:val="32"/>
      <w:jc w:val="center"/>
    </w:pPr>
    <w:r>
      <mc:AlternateContent>
        <mc:Choice Requires="wps">
          <w:drawing>
            <wp:anchor distT="0" distB="0" distL="0" distR="0" simplePos="0" relativeHeight="251659264" behindDoc="0" locked="0" layoutInCell="1" allowOverlap="1">
              <wp:simplePos x="0" y="0"/>
              <wp:positionH relativeFrom="margin">
                <wp:posOffset>2823210</wp:posOffset>
              </wp:positionH>
              <wp:positionV relativeFrom="paragraph">
                <wp:posOffset>0</wp:posOffset>
              </wp:positionV>
              <wp:extent cx="324485" cy="300355"/>
              <wp:effectExtent l="0" t="0" r="0" b="0"/>
              <wp:wrapNone/>
              <wp:docPr id="4097" name="文本框 4"/>
              <wp:cNvGraphicFramePr/>
              <a:graphic xmlns:a="http://schemas.openxmlformats.org/drawingml/2006/main">
                <a:graphicData uri="http://schemas.microsoft.com/office/word/2010/wordprocessingShape">
                  <wps:wsp>
                    <wps:cNvSpPr/>
                    <wps:spPr>
                      <a:xfrm>
                        <a:off x="0" y="0"/>
                        <a:ext cx="324485" cy="300355"/>
                      </a:xfrm>
                      <a:prstGeom prst="rect">
                        <a:avLst/>
                      </a:prstGeom>
                      <a:ln>
                        <a:noFill/>
                      </a:ln>
                    </wps:spPr>
                    <wps:txbx>
                      <w:txbxContent>
                        <w:p w14:paraId="6EF00DC0">
                          <w:pPr>
                            <w:pStyle w:val="32"/>
                            <w:jc w:val="center"/>
                          </w:pPr>
                          <w:r>
                            <w:rPr>
                              <w:rFonts w:hint="eastAsia"/>
                            </w:rPr>
                            <w:t xml:space="preserve">  </w:t>
                          </w:r>
                          <w:r>
                            <w:fldChar w:fldCharType="begin"/>
                          </w:r>
                          <w:r>
                            <w:instrText xml:space="preserve"> PAGE   \* MERGEFORMAT </w:instrText>
                          </w:r>
                          <w:r>
                            <w:fldChar w:fldCharType="separate"/>
                          </w:r>
                          <w:r>
                            <w:rPr>
                              <w:lang w:val="zh-CN"/>
                            </w:rPr>
                            <w:t>2</w:t>
                          </w:r>
                          <w:r>
                            <w:rPr>
                              <w:lang w:val="zh-CN"/>
                            </w:rPr>
                            <w:fldChar w:fldCharType="end"/>
                          </w:r>
                          <w:r>
                            <w:rPr>
                              <w:rFonts w:hint="eastAsia"/>
                            </w:rPr>
                            <w:t xml:space="preserve">  </w:t>
                          </w:r>
                        </w:p>
                      </w:txbxContent>
                    </wps:txbx>
                    <wps:bodyPr wrap="square" lIns="0" tIns="0" rIns="0" bIns="0" upright="1">
                      <a:noAutofit/>
                    </wps:bodyPr>
                  </wps:wsp>
                </a:graphicData>
              </a:graphic>
            </wp:anchor>
          </w:drawing>
        </mc:Choice>
        <mc:Fallback>
          <w:pict>
            <v:rect id="文本框 4" o:spid="_x0000_s1026" o:spt="1" style="position:absolute;left:0pt;margin-left:222.3pt;margin-top:0pt;height:23.65pt;width:25.55pt;mso-position-horizontal-relative:margin;z-index:251659264;mso-width-relative:page;mso-height-relative:page;" filled="f" stroked="f" coordsize="21600,21600" o:gfxdata="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mxNBtkAAAAHAQAADwAAAAAAAAABACAAAAAiAAAAZHJz&#10;L2Rvd25yZXYueG1sUEsBAhQAFAAAAAgAh07iQF6XqqLKAQAAhwMAAA4AAAAAAAAAAQAgAAAAKAEA&#10;AGRycy9lMm9Eb2MueG1sUEsFBgAAAAAGAAYAWQEAAGQFAAAAAA==&#10;">
              <v:fill on="f" focussize="0,0"/>
              <v:stroke on="f"/>
              <v:imagedata o:title=""/>
              <o:lock v:ext="edit" aspectratio="f"/>
              <v:textbox inset="0mm,0mm,0mm,0mm">
                <w:txbxContent>
                  <w:p w14:paraId="6EF00DC0">
                    <w:pPr>
                      <w:pStyle w:val="32"/>
                      <w:jc w:val="center"/>
                    </w:pPr>
                    <w:r>
                      <w:rPr>
                        <w:rFonts w:hint="eastAsia"/>
                      </w:rPr>
                      <w:t xml:space="preserve">  </w:t>
                    </w:r>
                    <w:r>
                      <w:fldChar w:fldCharType="begin"/>
                    </w:r>
                    <w:r>
                      <w:instrText xml:space="preserve"> PAGE   \* MERGEFORMAT </w:instrText>
                    </w:r>
                    <w:r>
                      <w:fldChar w:fldCharType="separate"/>
                    </w:r>
                    <w:r>
                      <w:rPr>
                        <w:lang w:val="zh-CN"/>
                      </w:rPr>
                      <w:t>2</w:t>
                    </w:r>
                    <w:r>
                      <w:rPr>
                        <w:lang w:val="zh-CN"/>
                      </w:rPr>
                      <w:fldChar w:fldCharType="end"/>
                    </w:r>
                    <w:r>
                      <w:rPr>
                        <w:rFonts w:hint="eastAsia"/>
                      </w:rPr>
                      <w:t xml:space="preserve">  </w:t>
                    </w:r>
                  </w:p>
                </w:txbxContent>
              </v:textbox>
            </v:rect>
          </w:pict>
        </mc:Fallback>
      </mc:AlternateContent>
    </w:r>
  </w:p>
  <w:p w14:paraId="22E9CD52">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DE9F9">
    <w:pPr>
      <w:pStyle w:val="36"/>
      <w:pBdr>
        <w:bottom w:val="none" w:color="auto" w:sz="0" w:space="1"/>
      </w:pBdr>
      <w:jc w:val="both"/>
      <w:rPr>
        <w:rFonts w:ascii="宋体" w:hAnsi="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E374">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multilevel"/>
    <w:tmpl w:val="00000003"/>
    <w:lvl w:ilvl="0" w:tentative="0">
      <w:start w:val="1"/>
      <w:numFmt w:val="decimal"/>
      <w:suff w:val="nothing"/>
      <w:lvlText w:val="（%1）"/>
      <w:lvlJc w:val="left"/>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3">
    <w:nsid w:val="0053208E"/>
    <w:multiLevelType w:val="singleLevel"/>
    <w:tmpl w:val="0053208E"/>
    <w:lvl w:ilvl="0" w:tentative="0">
      <w:start w:val="1"/>
      <w:numFmt w:val="decimal"/>
      <w:pStyle w:val="22"/>
      <w:lvlText w:val="%1."/>
      <w:lvlJc w:val="left"/>
      <w:pPr>
        <w:tabs>
          <w:tab w:val="left" w:pos="1200"/>
        </w:tabs>
        <w:ind w:left="120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trackRevisions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FC6"/>
    <w:rsid w:val="004303FD"/>
    <w:rsid w:val="00482C60"/>
    <w:rsid w:val="00515B20"/>
    <w:rsid w:val="009A1CEA"/>
    <w:rsid w:val="009B69F4"/>
    <w:rsid w:val="00EC7FC6"/>
    <w:rsid w:val="016B46D3"/>
    <w:rsid w:val="022F0340"/>
    <w:rsid w:val="038908D8"/>
    <w:rsid w:val="04011D9C"/>
    <w:rsid w:val="04DC5D07"/>
    <w:rsid w:val="0587317A"/>
    <w:rsid w:val="07153AD3"/>
    <w:rsid w:val="098470A4"/>
    <w:rsid w:val="0C846D6F"/>
    <w:rsid w:val="0D271E5A"/>
    <w:rsid w:val="0DF20110"/>
    <w:rsid w:val="0E2C0B1C"/>
    <w:rsid w:val="0EEA5AEC"/>
    <w:rsid w:val="10720D11"/>
    <w:rsid w:val="10F24BE9"/>
    <w:rsid w:val="130E556B"/>
    <w:rsid w:val="15747BBA"/>
    <w:rsid w:val="15846B96"/>
    <w:rsid w:val="158D1367"/>
    <w:rsid w:val="16C168ED"/>
    <w:rsid w:val="1939738F"/>
    <w:rsid w:val="196D7483"/>
    <w:rsid w:val="1BB15122"/>
    <w:rsid w:val="1C4306F9"/>
    <w:rsid w:val="1C5226CA"/>
    <w:rsid w:val="1D3318B0"/>
    <w:rsid w:val="1E1B7B7F"/>
    <w:rsid w:val="20743577"/>
    <w:rsid w:val="218D3835"/>
    <w:rsid w:val="22E37AE3"/>
    <w:rsid w:val="22F1545A"/>
    <w:rsid w:val="23DA7B34"/>
    <w:rsid w:val="240F5A90"/>
    <w:rsid w:val="24912949"/>
    <w:rsid w:val="25BF7042"/>
    <w:rsid w:val="26104CDA"/>
    <w:rsid w:val="263D1690"/>
    <w:rsid w:val="28EF7C3E"/>
    <w:rsid w:val="29592165"/>
    <w:rsid w:val="298B7936"/>
    <w:rsid w:val="2A1028FD"/>
    <w:rsid w:val="2A4610CA"/>
    <w:rsid w:val="2D6401E5"/>
    <w:rsid w:val="2DB453D7"/>
    <w:rsid w:val="2DB52DBB"/>
    <w:rsid w:val="2E1E55CD"/>
    <w:rsid w:val="2FD646B0"/>
    <w:rsid w:val="30584C2F"/>
    <w:rsid w:val="32AF1B92"/>
    <w:rsid w:val="332A5655"/>
    <w:rsid w:val="35D0327D"/>
    <w:rsid w:val="35D52163"/>
    <w:rsid w:val="360E115B"/>
    <w:rsid w:val="36EB1C12"/>
    <w:rsid w:val="37A13056"/>
    <w:rsid w:val="390E7E8D"/>
    <w:rsid w:val="39224BC9"/>
    <w:rsid w:val="3BC617A2"/>
    <w:rsid w:val="3C4A7DB4"/>
    <w:rsid w:val="3D6A4143"/>
    <w:rsid w:val="3FE0565D"/>
    <w:rsid w:val="41083B3B"/>
    <w:rsid w:val="41465513"/>
    <w:rsid w:val="41A24C3E"/>
    <w:rsid w:val="422D291F"/>
    <w:rsid w:val="43D50475"/>
    <w:rsid w:val="454B1790"/>
    <w:rsid w:val="47903FEB"/>
    <w:rsid w:val="4827556C"/>
    <w:rsid w:val="487F2D00"/>
    <w:rsid w:val="4B6D2F19"/>
    <w:rsid w:val="4BA24DA3"/>
    <w:rsid w:val="4E987CEC"/>
    <w:rsid w:val="4ED626E7"/>
    <w:rsid w:val="4F55636D"/>
    <w:rsid w:val="51AA7BE9"/>
    <w:rsid w:val="51E878A0"/>
    <w:rsid w:val="530B071F"/>
    <w:rsid w:val="55EE5057"/>
    <w:rsid w:val="57E94FF9"/>
    <w:rsid w:val="57FD4CE2"/>
    <w:rsid w:val="58067A86"/>
    <w:rsid w:val="594D738F"/>
    <w:rsid w:val="598D07F3"/>
    <w:rsid w:val="5A1C1C2C"/>
    <w:rsid w:val="5A6D4132"/>
    <w:rsid w:val="5C481EE1"/>
    <w:rsid w:val="5CB91471"/>
    <w:rsid w:val="5CF62F68"/>
    <w:rsid w:val="5D0014EF"/>
    <w:rsid w:val="5D8E39FF"/>
    <w:rsid w:val="5F2D74BA"/>
    <w:rsid w:val="5F3B5A4A"/>
    <w:rsid w:val="609A54D3"/>
    <w:rsid w:val="618047FF"/>
    <w:rsid w:val="618E30BD"/>
    <w:rsid w:val="628C3626"/>
    <w:rsid w:val="62A54D69"/>
    <w:rsid w:val="639F55E2"/>
    <w:rsid w:val="65CD123B"/>
    <w:rsid w:val="65D514A1"/>
    <w:rsid w:val="662C7231"/>
    <w:rsid w:val="677D408C"/>
    <w:rsid w:val="6A505A87"/>
    <w:rsid w:val="6D395D20"/>
    <w:rsid w:val="6EEC5736"/>
    <w:rsid w:val="6F9C1E7B"/>
    <w:rsid w:val="6FB70BDF"/>
    <w:rsid w:val="708D1F8D"/>
    <w:rsid w:val="71625DE7"/>
    <w:rsid w:val="71A43985"/>
    <w:rsid w:val="72184297"/>
    <w:rsid w:val="72191F5D"/>
    <w:rsid w:val="739F35DC"/>
    <w:rsid w:val="749462BE"/>
    <w:rsid w:val="74AF3601"/>
    <w:rsid w:val="7547108F"/>
    <w:rsid w:val="76E74A57"/>
    <w:rsid w:val="7CF21471"/>
    <w:rsid w:val="7D62DA37"/>
    <w:rsid w:val="7DD3496C"/>
    <w:rsid w:val="7E4B40E2"/>
    <w:rsid w:val="7E8F69CF"/>
    <w:rsid w:val="7FF75DA5"/>
    <w:rsid w:val="8AD5340A"/>
    <w:rsid w:val="F6FBD4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keepLines/>
      <w:spacing w:before="340" w:after="330" w:line="360" w:lineRule="auto"/>
      <w:jc w:val="center"/>
      <w:outlineLvl w:val="0"/>
    </w:pPr>
    <w:rPr>
      <w:b/>
      <w:bCs/>
      <w:kern w:val="44"/>
      <w:sz w:val="32"/>
      <w:szCs w:val="44"/>
    </w:rPr>
  </w:style>
  <w:style w:type="paragraph" w:styleId="4">
    <w:name w:val="heading 2"/>
    <w:basedOn w:val="1"/>
    <w:next w:val="1"/>
    <w:link w:val="66"/>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2"/>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link w:val="73"/>
    <w:qFormat/>
    <w:uiPriority w:val="0"/>
    <w:pPr>
      <w:keepNext/>
      <w:keepLines/>
      <w:numPr>
        <w:ilvl w:val="4"/>
        <w:numId w:val="1"/>
      </w:numPr>
      <w:spacing w:before="280" w:after="290" w:line="376" w:lineRule="auto"/>
      <w:outlineLvl w:val="4"/>
    </w:pPr>
    <w:rPr>
      <w:b/>
      <w:sz w:val="28"/>
    </w:rPr>
  </w:style>
  <w:style w:type="paragraph" w:styleId="8">
    <w:name w:val="heading 6"/>
    <w:basedOn w:val="1"/>
    <w:next w:val="9"/>
    <w:link w:val="74"/>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9"/>
    <w:link w:val="75"/>
    <w:qFormat/>
    <w:uiPriority w:val="0"/>
    <w:pPr>
      <w:keepNext/>
      <w:keepLines/>
      <w:numPr>
        <w:ilvl w:val="6"/>
        <w:numId w:val="1"/>
      </w:numPr>
      <w:spacing w:before="240" w:after="64" w:line="320" w:lineRule="auto"/>
      <w:outlineLvl w:val="6"/>
    </w:pPr>
    <w:rPr>
      <w:b/>
      <w:sz w:val="24"/>
    </w:rPr>
  </w:style>
  <w:style w:type="paragraph" w:styleId="11">
    <w:name w:val="heading 8"/>
    <w:basedOn w:val="1"/>
    <w:next w:val="9"/>
    <w:link w:val="76"/>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9"/>
    <w:link w:val="77"/>
    <w:qFormat/>
    <w:uiPriority w:val="0"/>
    <w:pPr>
      <w:keepNext/>
      <w:keepLines/>
      <w:numPr>
        <w:ilvl w:val="8"/>
        <w:numId w:val="1"/>
      </w:numPr>
      <w:spacing w:before="240" w:after="64" w:line="320"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99"/>
    <w:pPr>
      <w:autoSpaceDE w:val="0"/>
      <w:autoSpaceDN w:val="0"/>
      <w:ind w:firstLine="200"/>
      <w:jc w:val="both"/>
    </w:pPr>
    <w:rPr>
      <w:rFonts w:ascii="宋体" w:hAnsi="宋体" w:eastAsia="宋体" w:cs="Times New Roman"/>
      <w:sz w:val="21"/>
      <w:szCs w:val="21"/>
      <w:lang w:val="en-US" w:eastAsia="zh-CN" w:bidi="ar-SA"/>
    </w:rPr>
  </w:style>
  <w:style w:type="paragraph" w:styleId="9">
    <w:name w:val="Normal Indent"/>
    <w:basedOn w:val="1"/>
    <w:qFormat/>
    <w:uiPriority w:val="0"/>
    <w:pPr>
      <w:ind w:firstLine="420"/>
    </w:pPr>
    <w:rPr>
      <w:szCs w:val="20"/>
    </w:rPr>
  </w:style>
  <w:style w:type="paragraph" w:styleId="13">
    <w:name w:val="toc 7"/>
    <w:basedOn w:val="1"/>
    <w:next w:val="1"/>
    <w:qFormat/>
    <w:uiPriority w:val="0"/>
    <w:pPr>
      <w:ind w:left="2520" w:leftChars="1200"/>
    </w:pPr>
    <w:rPr>
      <w:rFonts w:ascii="Calibri" w:hAnsi="Calibri"/>
      <w:szCs w:val="22"/>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annotation text"/>
    <w:basedOn w:val="1"/>
    <w:link w:val="78"/>
    <w:qFormat/>
    <w:uiPriority w:val="0"/>
    <w:pPr>
      <w:jc w:val="left"/>
    </w:pPr>
  </w:style>
  <w:style w:type="paragraph" w:styleId="18">
    <w:name w:val="Body Text 3"/>
    <w:basedOn w:val="1"/>
    <w:next w:val="9"/>
    <w:link w:val="79"/>
    <w:qFormat/>
    <w:uiPriority w:val="0"/>
    <w:pPr>
      <w:spacing w:line="500" w:lineRule="exact"/>
    </w:pPr>
    <w:rPr>
      <w:b/>
      <w:bCs/>
      <w:kern w:val="0"/>
      <w:sz w:val="24"/>
    </w:rPr>
  </w:style>
  <w:style w:type="paragraph" w:styleId="19">
    <w:name w:val="Body Text"/>
    <w:basedOn w:val="1"/>
    <w:link w:val="80"/>
    <w:qFormat/>
    <w:uiPriority w:val="0"/>
    <w:pPr>
      <w:spacing w:line="380" w:lineRule="exact"/>
    </w:pPr>
    <w:rPr>
      <w:kern w:val="0"/>
      <w:sz w:val="24"/>
    </w:rPr>
  </w:style>
  <w:style w:type="paragraph" w:styleId="20">
    <w:name w:val="Body Text Indent"/>
    <w:basedOn w:val="1"/>
    <w:next w:val="21"/>
    <w:link w:val="81"/>
    <w:qFormat/>
    <w:uiPriority w:val="0"/>
    <w:pPr>
      <w:ind w:firstLine="830" w:firstLineChars="352"/>
    </w:pPr>
    <w:rPr>
      <w:rFonts w:ascii="仿宋_GB2312" w:eastAsia="仿宋_GB2312"/>
      <w:kern w:val="0"/>
      <w:sz w:val="32"/>
      <w:szCs w:val="20"/>
    </w:r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paragraph" w:styleId="22">
    <w:name w:val="List Number 3"/>
    <w:basedOn w:val="1"/>
    <w:qFormat/>
    <w:uiPriority w:val="0"/>
    <w:pPr>
      <w:numPr>
        <w:ilvl w:val="0"/>
        <w:numId w:val="2"/>
      </w:numPr>
    </w:pPr>
  </w:style>
  <w:style w:type="paragraph" w:styleId="23">
    <w:name w:val="List 2"/>
    <w:basedOn w:val="1"/>
    <w:qFormat/>
    <w:uiPriority w:val="0"/>
    <w:pPr>
      <w:ind w:left="100" w:leftChars="200" w:hanging="200" w:hangingChars="200"/>
    </w:pPr>
    <w:rPr>
      <w:sz w:val="28"/>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0"/>
    <w:pPr>
      <w:ind w:left="840" w:leftChars="400"/>
    </w:pPr>
    <w:rPr>
      <w:rFonts w:ascii="Calibri" w:hAnsi="Calibri"/>
      <w:szCs w:val="22"/>
    </w:rPr>
  </w:style>
  <w:style w:type="paragraph" w:styleId="26">
    <w:name w:val="Plain Text"/>
    <w:basedOn w:val="1"/>
    <w:next w:val="1"/>
    <w:link w:val="82"/>
    <w:qFormat/>
    <w:uiPriority w:val="0"/>
    <w:rPr>
      <w:rFonts w:ascii="宋体" w:hAnsi="Courier New"/>
      <w:kern w:val="0"/>
      <w:sz w:val="20"/>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83"/>
    <w:qFormat/>
    <w:uiPriority w:val="0"/>
    <w:pPr>
      <w:ind w:left="100" w:leftChars="2500"/>
    </w:pPr>
    <w:rPr>
      <w:rFonts w:ascii="宋体" w:hAnsi="Courier New"/>
      <w:kern w:val="0"/>
      <w:sz w:val="20"/>
      <w:szCs w:val="21"/>
    </w:rPr>
  </w:style>
  <w:style w:type="paragraph" w:styleId="29">
    <w:name w:val="Body Text Indent 2"/>
    <w:basedOn w:val="1"/>
    <w:link w:val="84"/>
    <w:qFormat/>
    <w:uiPriority w:val="0"/>
    <w:pPr>
      <w:ind w:firstLine="630"/>
    </w:pPr>
    <w:rPr>
      <w:kern w:val="0"/>
      <w:sz w:val="32"/>
      <w:szCs w:val="20"/>
    </w:rPr>
  </w:style>
  <w:style w:type="paragraph" w:styleId="30">
    <w:name w:val="endnote text"/>
    <w:basedOn w:val="1"/>
    <w:link w:val="85"/>
    <w:qFormat/>
    <w:uiPriority w:val="0"/>
    <w:pPr>
      <w:snapToGrid w:val="0"/>
      <w:jc w:val="left"/>
    </w:pPr>
  </w:style>
  <w:style w:type="paragraph" w:styleId="31">
    <w:name w:val="Balloon Text"/>
    <w:basedOn w:val="1"/>
    <w:link w:val="86"/>
    <w:qFormat/>
    <w:uiPriority w:val="99"/>
    <w:rPr>
      <w:kern w:val="0"/>
      <w:sz w:val="18"/>
      <w:szCs w:val="18"/>
    </w:rPr>
  </w:style>
  <w:style w:type="paragraph" w:styleId="32">
    <w:name w:val="footer"/>
    <w:basedOn w:val="1"/>
    <w:next w:val="33"/>
    <w:link w:val="87"/>
    <w:qFormat/>
    <w:uiPriority w:val="0"/>
    <w:pPr>
      <w:tabs>
        <w:tab w:val="center" w:pos="4153"/>
        <w:tab w:val="right" w:pos="8306"/>
      </w:tabs>
      <w:snapToGrid w:val="0"/>
      <w:jc w:val="left"/>
    </w:pPr>
    <w:rPr>
      <w:kern w:val="0"/>
      <w:sz w:val="18"/>
      <w:szCs w:val="18"/>
    </w:rPr>
  </w:style>
  <w:style w:type="paragraph" w:styleId="33">
    <w:name w:val="Intense Quote"/>
    <w:basedOn w:val="34"/>
    <w:next w:val="34"/>
    <w:qFormat/>
    <w:uiPriority w:val="0"/>
    <w:pPr>
      <w:pBdr>
        <w:bottom w:val="single" w:color="4F81BD" w:sz="4" w:space="4"/>
      </w:pBdr>
      <w:spacing w:before="200" w:after="280"/>
      <w:ind w:left="936" w:right="936"/>
    </w:pPr>
    <w:rPr>
      <w:rFonts w:ascii="Calibri" w:hAnsi="Calibri"/>
      <w:b/>
      <w:i/>
      <w:color w:val="4F81BD"/>
    </w:rPr>
  </w:style>
  <w:style w:type="paragraph" w:customStyle="1" w:styleId="34">
    <w:name w:val="正文_2"/>
    <w:next w:val="3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页脚_1"/>
    <w:basedOn w:val="34"/>
    <w:next w:val="33"/>
    <w:unhideWhenUsed/>
    <w:qFormat/>
    <w:uiPriority w:val="99"/>
    <w:pPr>
      <w:tabs>
        <w:tab w:val="center" w:pos="4153"/>
        <w:tab w:val="right" w:pos="8306"/>
      </w:tabs>
      <w:snapToGrid w:val="0"/>
      <w:jc w:val="left"/>
    </w:pPr>
    <w:rPr>
      <w:sz w:val="18"/>
      <w:szCs w:val="18"/>
    </w:rPr>
  </w:style>
  <w:style w:type="paragraph" w:styleId="36">
    <w:name w:val="header"/>
    <w:basedOn w:val="1"/>
    <w:link w:val="88"/>
    <w:qFormat/>
    <w:uiPriority w:val="0"/>
    <w:pPr>
      <w:pBdr>
        <w:bottom w:val="single" w:color="auto" w:sz="6" w:space="1"/>
      </w:pBdr>
      <w:tabs>
        <w:tab w:val="center" w:pos="0"/>
        <w:tab w:val="left" w:pos="8306"/>
      </w:tabs>
      <w:snapToGrid w:val="0"/>
      <w:jc w:val="center"/>
    </w:pPr>
    <w:rPr>
      <w:sz w:val="18"/>
      <w:szCs w:val="18"/>
    </w:rPr>
  </w:style>
  <w:style w:type="paragraph" w:styleId="37">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38">
    <w:name w:val="toc 4"/>
    <w:basedOn w:val="1"/>
    <w:next w:val="1"/>
    <w:qFormat/>
    <w:uiPriority w:val="0"/>
    <w:pPr>
      <w:ind w:left="1260" w:leftChars="600"/>
    </w:pPr>
    <w:rPr>
      <w:rFonts w:ascii="Calibri" w:hAnsi="Calibri"/>
      <w:szCs w:val="22"/>
    </w:rPr>
  </w:style>
  <w:style w:type="paragraph" w:styleId="39">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89"/>
    <w:qFormat/>
    <w:uiPriority w:val="0"/>
    <w:pPr>
      <w:snapToGrid w:val="0"/>
      <w:jc w:val="left"/>
    </w:pPr>
    <w:rPr>
      <w:sz w:val="18"/>
      <w:szCs w:val="18"/>
    </w:rPr>
  </w:style>
  <w:style w:type="paragraph" w:styleId="42">
    <w:name w:val="toc 6"/>
    <w:basedOn w:val="1"/>
    <w:next w:val="1"/>
    <w:qFormat/>
    <w:uiPriority w:val="0"/>
    <w:pPr>
      <w:ind w:left="2100" w:leftChars="1000"/>
    </w:pPr>
    <w:rPr>
      <w:rFonts w:ascii="Calibri" w:hAnsi="Calibri"/>
      <w:szCs w:val="22"/>
    </w:rPr>
  </w:style>
  <w:style w:type="paragraph" w:styleId="43">
    <w:name w:val="Body Text Indent 3"/>
    <w:basedOn w:val="1"/>
    <w:link w:val="90"/>
    <w:qFormat/>
    <w:uiPriority w:val="0"/>
    <w:pPr>
      <w:spacing w:after="120"/>
      <w:ind w:left="420" w:leftChars="200"/>
    </w:pPr>
    <w:rPr>
      <w:kern w:val="0"/>
      <w:sz w:val="16"/>
      <w:szCs w:val="16"/>
    </w:rPr>
  </w:style>
  <w:style w:type="paragraph" w:styleId="44">
    <w:name w:val="toc 2"/>
    <w:basedOn w:val="1"/>
    <w:next w:val="1"/>
    <w:qFormat/>
    <w:uiPriority w:val="0"/>
    <w:pPr>
      <w:ind w:left="420" w:leftChars="200"/>
    </w:pPr>
  </w:style>
  <w:style w:type="paragraph" w:styleId="45">
    <w:name w:val="toc 9"/>
    <w:basedOn w:val="1"/>
    <w:next w:val="1"/>
    <w:qFormat/>
    <w:uiPriority w:val="0"/>
    <w:pPr>
      <w:ind w:left="3360" w:leftChars="1600"/>
    </w:pPr>
    <w:rPr>
      <w:rFonts w:ascii="Calibri" w:hAnsi="Calibri"/>
      <w:szCs w:val="22"/>
    </w:rPr>
  </w:style>
  <w:style w:type="paragraph" w:styleId="46">
    <w:name w:val="Body Text 2"/>
    <w:basedOn w:val="1"/>
    <w:link w:val="91"/>
    <w:qFormat/>
    <w:uiPriority w:val="0"/>
    <w:pPr>
      <w:spacing w:after="120" w:line="480" w:lineRule="auto"/>
    </w:pPr>
    <w:rPr>
      <w:kern w:val="0"/>
      <w:sz w:val="20"/>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next w:val="1"/>
    <w:link w:val="92"/>
    <w:qFormat/>
    <w:uiPriority w:val="0"/>
    <w:pPr>
      <w:spacing w:before="240" w:after="60"/>
      <w:jc w:val="center"/>
      <w:outlineLvl w:val="0"/>
    </w:pPr>
    <w:rPr>
      <w:rFonts w:ascii="Cambria" w:hAnsi="Cambria"/>
      <w:b/>
      <w:bCs/>
      <w:sz w:val="32"/>
      <w:szCs w:val="32"/>
    </w:rPr>
  </w:style>
  <w:style w:type="paragraph" w:styleId="49">
    <w:name w:val="annotation subject"/>
    <w:basedOn w:val="17"/>
    <w:next w:val="17"/>
    <w:link w:val="93"/>
    <w:qFormat/>
    <w:uiPriority w:val="0"/>
    <w:rPr>
      <w:b/>
      <w:bCs/>
    </w:rPr>
  </w:style>
  <w:style w:type="paragraph" w:styleId="50">
    <w:name w:val="Body Text First Indent"/>
    <w:basedOn w:val="19"/>
    <w:next w:val="1"/>
    <w:qFormat/>
    <w:uiPriority w:val="0"/>
    <w:pPr>
      <w:ind w:firstLine="420" w:firstLineChars="100"/>
    </w:pPr>
  </w:style>
  <w:style w:type="paragraph" w:styleId="51">
    <w:name w:val="Body Text First Indent 2"/>
    <w:basedOn w:val="1"/>
    <w:next w:val="9"/>
    <w:qFormat/>
    <w:uiPriority w:val="0"/>
    <w:pPr>
      <w:ind w:firstLine="420" w:firstLineChars="200"/>
    </w:p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0"/>
    <w:rPr>
      <w:rFonts w:ascii="Times New Roman" w:hAnsi="Times New Roman" w:eastAsia="宋体" w:cs="Times New Roman"/>
      <w:b/>
    </w:rPr>
  </w:style>
  <w:style w:type="character" w:styleId="56">
    <w:name w:val="endnote reference"/>
    <w:qFormat/>
    <w:uiPriority w:val="0"/>
    <w:rPr>
      <w:rFonts w:ascii="Times New Roman" w:hAnsi="Times New Roman" w:eastAsia="宋体" w:cs="Times New Roman"/>
      <w:vertAlign w:val="superscript"/>
    </w:rPr>
  </w:style>
  <w:style w:type="character" w:styleId="57">
    <w:name w:val="page number"/>
    <w:basedOn w:val="54"/>
    <w:qFormat/>
    <w:uiPriority w:val="0"/>
    <w:rPr>
      <w:rFonts w:ascii="Times New Roman" w:hAnsi="Times New Roman" w:eastAsia="宋体" w:cs="Times New Roman"/>
    </w:rPr>
  </w:style>
  <w:style w:type="character" w:styleId="58">
    <w:name w:val="FollowedHyperlink"/>
    <w:qFormat/>
    <w:uiPriority w:val="0"/>
    <w:rPr>
      <w:rFonts w:ascii="Times New Roman" w:hAnsi="Times New Roman" w:eastAsia="宋体" w:cs="Times New Roman"/>
      <w:color w:val="333333"/>
      <w:u w:val="none"/>
    </w:rPr>
  </w:style>
  <w:style w:type="character" w:styleId="59">
    <w:name w:val="Emphasis"/>
    <w:qFormat/>
    <w:uiPriority w:val="0"/>
    <w:rPr>
      <w:rFonts w:ascii="Times New Roman" w:hAnsi="Times New Roman" w:eastAsia="宋体" w:cs="Times New Roman"/>
    </w:rPr>
  </w:style>
  <w:style w:type="character" w:styleId="60">
    <w:name w:val="Hyperlink"/>
    <w:qFormat/>
    <w:uiPriority w:val="0"/>
    <w:rPr>
      <w:rFonts w:ascii="Times New Roman" w:hAnsi="Times New Roman" w:eastAsia="宋体" w:cs="Times New Roman"/>
      <w:color w:val="333333"/>
      <w:u w:val="none"/>
    </w:rPr>
  </w:style>
  <w:style w:type="character" w:styleId="61">
    <w:name w:val="annotation reference"/>
    <w:qFormat/>
    <w:uiPriority w:val="0"/>
    <w:rPr>
      <w:rFonts w:ascii="Times New Roman" w:hAnsi="Times New Roman" w:eastAsia="宋体" w:cs="Times New Roman"/>
      <w:sz w:val="21"/>
      <w:szCs w:val="21"/>
    </w:rPr>
  </w:style>
  <w:style w:type="character" w:styleId="62">
    <w:name w:val="HTML Cite"/>
    <w:qFormat/>
    <w:uiPriority w:val="0"/>
    <w:rPr>
      <w:rFonts w:ascii="Times New Roman" w:hAnsi="Times New Roman" w:eastAsia="宋体" w:cs="Times New Roman"/>
    </w:rPr>
  </w:style>
  <w:style w:type="character" w:styleId="63">
    <w:name w:val="footnote reference"/>
    <w:qFormat/>
    <w:uiPriority w:val="0"/>
    <w:rPr>
      <w:rFonts w:ascii="Times New Roman" w:hAnsi="Times New Roman" w:eastAsia="宋体" w:cs="Times New Roman"/>
      <w:vertAlign w:val="superscript"/>
    </w:rPr>
  </w:style>
  <w:style w:type="character" w:styleId="64">
    <w:name w:val="HTML Sample"/>
    <w:basedOn w:val="54"/>
    <w:qFormat/>
    <w:uiPriority w:val="0"/>
    <w:rPr>
      <w:rFonts w:ascii="Courier New" w:hAnsi="Courier New"/>
    </w:rPr>
  </w:style>
  <w:style w:type="character" w:customStyle="1" w:styleId="65">
    <w:name w:val="标题 1 字符1"/>
    <w:link w:val="3"/>
    <w:qFormat/>
    <w:uiPriority w:val="0"/>
    <w:rPr>
      <w:rFonts w:ascii="Times New Roman" w:hAnsi="Times New Roman" w:eastAsia="宋体" w:cs="Times New Roman"/>
      <w:b/>
      <w:bCs/>
      <w:kern w:val="44"/>
      <w:sz w:val="32"/>
      <w:szCs w:val="44"/>
    </w:rPr>
  </w:style>
  <w:style w:type="character" w:customStyle="1" w:styleId="66">
    <w:name w:val="标题 2 字符"/>
    <w:link w:val="4"/>
    <w:qFormat/>
    <w:uiPriority w:val="0"/>
    <w:rPr>
      <w:rFonts w:ascii="Arial" w:hAnsi="Arial" w:eastAsia="黑体" w:cs="Times New Roman"/>
      <w:b/>
      <w:bCs/>
      <w:sz w:val="32"/>
      <w:szCs w:val="32"/>
    </w:rPr>
  </w:style>
  <w:style w:type="paragraph" w:customStyle="1" w:styleId="67">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Heading2"/>
    <w:basedOn w:val="1"/>
    <w:next w:val="1"/>
    <w:qFormat/>
    <w:uiPriority w:val="0"/>
    <w:pPr>
      <w:keepNext/>
      <w:keepLines/>
      <w:spacing w:before="260" w:after="260" w:line="416" w:lineRule="auto"/>
    </w:pPr>
    <w:rPr>
      <w:rFonts w:ascii="Arial" w:hAnsi="Arial" w:eastAsia="黑体"/>
      <w:b/>
      <w:bCs/>
      <w:kern w:val="0"/>
      <w:sz w:val="32"/>
      <w:szCs w:val="32"/>
    </w:rPr>
  </w:style>
  <w:style w:type="paragraph" w:customStyle="1" w:styleId="69">
    <w:name w:val="BodyText"/>
    <w:basedOn w:val="1"/>
    <w:qFormat/>
    <w:uiPriority w:val="0"/>
    <w:pPr>
      <w:textAlignment w:val="baseline"/>
    </w:pPr>
    <w:rPr>
      <w:szCs w:val="21"/>
    </w:rPr>
  </w:style>
  <w:style w:type="paragraph" w:customStyle="1" w:styleId="70">
    <w:name w:val="BodyText1I2"/>
    <w:basedOn w:val="71"/>
    <w:qFormat/>
    <w:uiPriority w:val="0"/>
    <w:pPr>
      <w:ind w:firstLine="420" w:firstLineChars="200"/>
    </w:pPr>
    <w:rPr>
      <w:rFonts w:ascii="Times New Roman" w:eastAsia="宋体"/>
    </w:rPr>
  </w:style>
  <w:style w:type="paragraph" w:customStyle="1" w:styleId="71">
    <w:name w:val="BodyTextIndent"/>
    <w:basedOn w:val="1"/>
    <w:qFormat/>
    <w:uiPriority w:val="0"/>
    <w:pPr>
      <w:ind w:firstLine="830" w:firstLineChars="352"/>
      <w:textAlignment w:val="baseline"/>
    </w:pPr>
    <w:rPr>
      <w:rFonts w:ascii="仿宋_GB2312" w:eastAsia="仿宋_GB2312"/>
      <w:kern w:val="0"/>
      <w:sz w:val="32"/>
      <w:szCs w:val="20"/>
    </w:rPr>
  </w:style>
  <w:style w:type="character" w:customStyle="1" w:styleId="72">
    <w:name w:val="标题 3 字符"/>
    <w:link w:val="5"/>
    <w:qFormat/>
    <w:uiPriority w:val="0"/>
    <w:rPr>
      <w:rFonts w:ascii="Times New Roman" w:hAnsi="Times New Roman" w:eastAsia="宋体" w:cs="Times New Roman"/>
      <w:b/>
      <w:bCs/>
      <w:sz w:val="32"/>
      <w:szCs w:val="32"/>
    </w:rPr>
  </w:style>
  <w:style w:type="character" w:customStyle="1" w:styleId="73">
    <w:name w:val="标题 5 字符"/>
    <w:link w:val="7"/>
    <w:qFormat/>
    <w:uiPriority w:val="0"/>
    <w:rPr>
      <w:rFonts w:ascii="Times New Roman" w:hAnsi="Times New Roman" w:eastAsia="宋体" w:cs="Times New Roman"/>
      <w:b/>
      <w:kern w:val="2"/>
      <w:sz w:val="28"/>
      <w:szCs w:val="24"/>
    </w:rPr>
  </w:style>
  <w:style w:type="character" w:customStyle="1" w:styleId="74">
    <w:name w:val="标题 6 字符"/>
    <w:link w:val="8"/>
    <w:qFormat/>
    <w:uiPriority w:val="0"/>
    <w:rPr>
      <w:rFonts w:ascii="Arial" w:hAnsi="Arial" w:eastAsia="黑体" w:cs="Times New Roman"/>
      <w:b/>
      <w:kern w:val="2"/>
      <w:sz w:val="24"/>
      <w:szCs w:val="24"/>
    </w:rPr>
  </w:style>
  <w:style w:type="character" w:customStyle="1" w:styleId="75">
    <w:name w:val="标题 7 字符"/>
    <w:link w:val="10"/>
    <w:qFormat/>
    <w:uiPriority w:val="0"/>
    <w:rPr>
      <w:rFonts w:ascii="Times New Roman" w:hAnsi="Times New Roman" w:eastAsia="宋体" w:cs="Times New Roman"/>
      <w:b/>
      <w:kern w:val="2"/>
      <w:sz w:val="24"/>
      <w:szCs w:val="24"/>
    </w:rPr>
  </w:style>
  <w:style w:type="character" w:customStyle="1" w:styleId="76">
    <w:name w:val="标题 8 字符"/>
    <w:link w:val="11"/>
    <w:qFormat/>
    <w:uiPriority w:val="0"/>
    <w:rPr>
      <w:rFonts w:ascii="Arial" w:hAnsi="Arial" w:eastAsia="黑体" w:cs="Times New Roman"/>
      <w:kern w:val="2"/>
      <w:sz w:val="24"/>
      <w:szCs w:val="24"/>
    </w:rPr>
  </w:style>
  <w:style w:type="character" w:customStyle="1" w:styleId="77">
    <w:name w:val="标题 9 字符"/>
    <w:link w:val="12"/>
    <w:qFormat/>
    <w:uiPriority w:val="0"/>
    <w:rPr>
      <w:rFonts w:ascii="Arial" w:hAnsi="Arial" w:eastAsia="黑体" w:cs="Times New Roman"/>
      <w:kern w:val="2"/>
      <w:sz w:val="21"/>
      <w:szCs w:val="24"/>
    </w:rPr>
  </w:style>
  <w:style w:type="character" w:customStyle="1" w:styleId="78">
    <w:name w:val="批注文字 字符2"/>
    <w:link w:val="17"/>
    <w:qFormat/>
    <w:uiPriority w:val="0"/>
    <w:rPr>
      <w:rFonts w:ascii="Times New Roman" w:hAnsi="Times New Roman" w:eastAsia="宋体" w:cs="Times New Roman"/>
      <w:kern w:val="2"/>
      <w:sz w:val="21"/>
      <w:szCs w:val="24"/>
    </w:rPr>
  </w:style>
  <w:style w:type="character" w:customStyle="1" w:styleId="79">
    <w:name w:val="正文文本 3 字符"/>
    <w:link w:val="18"/>
    <w:qFormat/>
    <w:uiPriority w:val="0"/>
    <w:rPr>
      <w:rFonts w:ascii="Times New Roman" w:hAnsi="Times New Roman" w:eastAsia="宋体" w:cs="Times New Roman"/>
      <w:b/>
      <w:bCs/>
      <w:sz w:val="24"/>
      <w:szCs w:val="24"/>
    </w:rPr>
  </w:style>
  <w:style w:type="character" w:customStyle="1" w:styleId="80">
    <w:name w:val="正文文本 字符"/>
    <w:link w:val="19"/>
    <w:qFormat/>
    <w:uiPriority w:val="0"/>
    <w:rPr>
      <w:rFonts w:ascii="Times New Roman" w:hAnsi="Times New Roman" w:eastAsia="宋体" w:cs="Times New Roman"/>
      <w:sz w:val="24"/>
      <w:szCs w:val="24"/>
    </w:rPr>
  </w:style>
  <w:style w:type="character" w:customStyle="1" w:styleId="81">
    <w:name w:val="正文文本缩进 字符1"/>
    <w:link w:val="20"/>
    <w:qFormat/>
    <w:uiPriority w:val="0"/>
    <w:rPr>
      <w:rFonts w:ascii="仿宋_GB2312" w:hAnsi="Times New Roman" w:eastAsia="仿宋_GB2312" w:cs="Times New Roman"/>
      <w:sz w:val="32"/>
      <w:szCs w:val="20"/>
    </w:rPr>
  </w:style>
  <w:style w:type="character" w:customStyle="1" w:styleId="82">
    <w:name w:val="纯文本 字符3"/>
    <w:link w:val="26"/>
    <w:qFormat/>
    <w:uiPriority w:val="0"/>
    <w:rPr>
      <w:rFonts w:ascii="宋体" w:hAnsi="Courier New" w:eastAsia="宋体" w:cs="Courier New"/>
      <w:szCs w:val="21"/>
    </w:rPr>
  </w:style>
  <w:style w:type="character" w:customStyle="1" w:styleId="83">
    <w:name w:val="日期 字符"/>
    <w:link w:val="28"/>
    <w:qFormat/>
    <w:uiPriority w:val="0"/>
    <w:rPr>
      <w:rFonts w:ascii="宋体" w:hAnsi="Courier New" w:eastAsia="宋体" w:cs="Courier New"/>
      <w:szCs w:val="21"/>
    </w:rPr>
  </w:style>
  <w:style w:type="character" w:customStyle="1" w:styleId="84">
    <w:name w:val="正文文本缩进 2 字符"/>
    <w:link w:val="29"/>
    <w:qFormat/>
    <w:uiPriority w:val="0"/>
    <w:rPr>
      <w:rFonts w:ascii="Times New Roman" w:hAnsi="Times New Roman" w:eastAsia="宋体" w:cs="Times New Roman"/>
      <w:sz w:val="32"/>
      <w:szCs w:val="20"/>
    </w:rPr>
  </w:style>
  <w:style w:type="character" w:customStyle="1" w:styleId="85">
    <w:name w:val="尾注文本 字符"/>
    <w:link w:val="30"/>
    <w:qFormat/>
    <w:uiPriority w:val="0"/>
    <w:rPr>
      <w:rFonts w:ascii="Times New Roman" w:hAnsi="Times New Roman" w:eastAsia="宋体" w:cs="Times New Roman"/>
      <w:kern w:val="2"/>
      <w:sz w:val="21"/>
      <w:szCs w:val="24"/>
    </w:rPr>
  </w:style>
  <w:style w:type="character" w:customStyle="1" w:styleId="86">
    <w:name w:val="批注框文本 字符"/>
    <w:link w:val="31"/>
    <w:qFormat/>
    <w:uiPriority w:val="99"/>
    <w:rPr>
      <w:rFonts w:ascii="Times New Roman" w:hAnsi="Times New Roman" w:eastAsia="宋体" w:cs="Times New Roman"/>
      <w:sz w:val="18"/>
      <w:szCs w:val="18"/>
    </w:rPr>
  </w:style>
  <w:style w:type="character" w:customStyle="1" w:styleId="87">
    <w:name w:val="页脚 字符"/>
    <w:link w:val="32"/>
    <w:qFormat/>
    <w:uiPriority w:val="0"/>
    <w:rPr>
      <w:rFonts w:ascii="Times New Roman" w:hAnsi="Times New Roman" w:eastAsia="宋体" w:cs="Times New Roman"/>
      <w:sz w:val="18"/>
      <w:szCs w:val="18"/>
    </w:rPr>
  </w:style>
  <w:style w:type="character" w:customStyle="1" w:styleId="88">
    <w:name w:val="页眉 字符"/>
    <w:link w:val="36"/>
    <w:qFormat/>
    <w:uiPriority w:val="0"/>
    <w:rPr>
      <w:rFonts w:ascii="Times New Roman" w:hAnsi="Times New Roman" w:eastAsia="宋体" w:cs="Times New Roman"/>
      <w:kern w:val="2"/>
      <w:sz w:val="18"/>
      <w:szCs w:val="18"/>
    </w:rPr>
  </w:style>
  <w:style w:type="character" w:customStyle="1" w:styleId="89">
    <w:name w:val="脚注文本 字符"/>
    <w:link w:val="41"/>
    <w:qFormat/>
    <w:uiPriority w:val="0"/>
    <w:rPr>
      <w:rFonts w:ascii="Times New Roman" w:hAnsi="Times New Roman" w:eastAsia="宋体" w:cs="Times New Roman"/>
      <w:kern w:val="2"/>
      <w:sz w:val="18"/>
      <w:szCs w:val="18"/>
    </w:rPr>
  </w:style>
  <w:style w:type="character" w:customStyle="1" w:styleId="90">
    <w:name w:val="正文文本缩进 3 字符"/>
    <w:link w:val="43"/>
    <w:qFormat/>
    <w:uiPriority w:val="0"/>
    <w:rPr>
      <w:rFonts w:ascii="Times New Roman" w:hAnsi="Times New Roman" w:eastAsia="宋体" w:cs="Times New Roman"/>
      <w:sz w:val="16"/>
      <w:szCs w:val="16"/>
    </w:rPr>
  </w:style>
  <w:style w:type="character" w:customStyle="1" w:styleId="91">
    <w:name w:val="正文文本 2 字符"/>
    <w:link w:val="46"/>
    <w:qFormat/>
    <w:uiPriority w:val="0"/>
    <w:rPr>
      <w:rFonts w:ascii="Times New Roman" w:hAnsi="Times New Roman" w:eastAsia="宋体" w:cs="Times New Roman"/>
      <w:szCs w:val="24"/>
    </w:rPr>
  </w:style>
  <w:style w:type="character" w:customStyle="1" w:styleId="92">
    <w:name w:val="标题 字符"/>
    <w:link w:val="48"/>
    <w:qFormat/>
    <w:uiPriority w:val="0"/>
    <w:rPr>
      <w:rFonts w:ascii="Cambria" w:hAnsi="Cambria" w:eastAsia="宋体" w:cs="Times New Roman"/>
      <w:b/>
      <w:bCs/>
      <w:kern w:val="2"/>
      <w:sz w:val="32"/>
      <w:szCs w:val="32"/>
    </w:rPr>
  </w:style>
  <w:style w:type="character" w:customStyle="1" w:styleId="93">
    <w:name w:val="批注主题 字符"/>
    <w:link w:val="49"/>
    <w:qFormat/>
    <w:uiPriority w:val="0"/>
    <w:rPr>
      <w:rFonts w:ascii="Times New Roman" w:hAnsi="Times New Roman" w:eastAsia="宋体" w:cs="Times New Roman"/>
      <w:b/>
      <w:bCs/>
      <w:kern w:val="2"/>
      <w:sz w:val="21"/>
      <w:szCs w:val="24"/>
    </w:rPr>
  </w:style>
  <w:style w:type="paragraph" w:customStyle="1" w:styleId="9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95">
    <w:name w:val="List Paragraph"/>
    <w:basedOn w:val="1"/>
    <w:link w:val="96"/>
    <w:qFormat/>
    <w:uiPriority w:val="0"/>
    <w:pPr>
      <w:ind w:firstLine="420" w:firstLineChars="200"/>
    </w:pPr>
  </w:style>
  <w:style w:type="character" w:customStyle="1" w:styleId="96">
    <w:name w:val="列表段落 字符"/>
    <w:link w:val="95"/>
    <w:qFormat/>
    <w:uiPriority w:val="0"/>
    <w:rPr>
      <w:kern w:val="2"/>
      <w:sz w:val="21"/>
      <w:szCs w:val="24"/>
    </w:rPr>
  </w:style>
  <w:style w:type="character" w:customStyle="1" w:styleId="97">
    <w:name w:val="NormalCharacter"/>
    <w:qFormat/>
    <w:uiPriority w:val="0"/>
    <w:rPr>
      <w:rFonts w:ascii="Times New Roman" w:hAnsi="Times New Roman" w:eastAsia="宋体" w:cs="Times New Roman"/>
      <w:kern w:val="2"/>
      <w:sz w:val="21"/>
      <w:szCs w:val="24"/>
      <w:lang w:val="en-US" w:eastAsia="zh-CN" w:bidi="ar-SA"/>
    </w:rPr>
  </w:style>
  <w:style w:type="character" w:customStyle="1" w:styleId="9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99">
    <w:name w:val="Index8"/>
    <w:basedOn w:val="1"/>
    <w:next w:val="1"/>
    <w:qFormat/>
    <w:uiPriority w:val="0"/>
    <w:pPr>
      <w:ind w:left="2940"/>
      <w:textAlignment w:val="baseline"/>
    </w:pPr>
  </w:style>
  <w:style w:type="paragraph" w:customStyle="1" w:styleId="100">
    <w:name w:val="PlainText"/>
    <w:basedOn w:val="1"/>
    <w:next w:val="99"/>
    <w:qFormat/>
    <w:uiPriority w:val="0"/>
    <w:pPr>
      <w:textAlignment w:val="baseline"/>
    </w:pPr>
    <w:rPr>
      <w:rFonts w:ascii="宋体" w:hAnsi="Courier New"/>
      <w:kern w:val="0"/>
      <w:sz w:val="20"/>
      <w:szCs w:val="21"/>
    </w:rPr>
  </w:style>
  <w:style w:type="paragraph" w:customStyle="1" w:styleId="101">
    <w:name w:val="表内文字"/>
    <w:basedOn w:val="1"/>
    <w:qFormat/>
    <w:uiPriority w:val="0"/>
    <w:pPr>
      <w:snapToGrid w:val="0"/>
      <w:spacing w:before="50" w:after="50"/>
      <w:jc w:val="center"/>
    </w:pPr>
    <w:rPr>
      <w:rFonts w:ascii="仿宋_GB2312" w:hAnsi="宋体" w:eastAsia="仿宋_GB2312"/>
      <w:b/>
      <w:color w:val="000000"/>
      <w:sz w:val="32"/>
      <w:szCs w:val="32"/>
    </w:rPr>
  </w:style>
  <w:style w:type="character" w:customStyle="1" w:styleId="102">
    <w:name w:val="批注文字 Char1"/>
    <w:qFormat/>
    <w:uiPriority w:val="0"/>
    <w:rPr>
      <w:rFonts w:ascii="Times New Roman" w:hAnsi="Times New Roman" w:eastAsia="宋体" w:cs="Times New Roman"/>
      <w:kern w:val="2"/>
      <w:sz w:val="21"/>
      <w:szCs w:val="24"/>
    </w:rPr>
  </w:style>
  <w:style w:type="character" w:customStyle="1" w:styleId="103">
    <w:name w:val="font11"/>
    <w:qFormat/>
    <w:uiPriority w:val="0"/>
    <w:rPr>
      <w:rFonts w:hint="eastAsia" w:ascii="宋体" w:hAnsi="宋体" w:eastAsia="宋体" w:cs="宋体"/>
      <w:color w:val="000000"/>
      <w:sz w:val="21"/>
      <w:szCs w:val="21"/>
      <w:u w:val="none"/>
    </w:rPr>
  </w:style>
  <w:style w:type="character" w:customStyle="1" w:styleId="104">
    <w:name w:val="纯文本 字符1"/>
    <w:qFormat/>
    <w:uiPriority w:val="0"/>
    <w:rPr>
      <w:rFonts w:ascii="宋体" w:hAnsi="Courier New" w:eastAsia="宋体" w:cs="Times New Roman"/>
    </w:rPr>
  </w:style>
  <w:style w:type="character" w:customStyle="1" w:styleId="105">
    <w:name w:val="t_tag"/>
    <w:qFormat/>
    <w:uiPriority w:val="0"/>
    <w:rPr>
      <w:rFonts w:ascii="Times New Roman" w:hAnsi="Times New Roman" w:eastAsia="宋体" w:cs="Times New Roman"/>
    </w:rPr>
  </w:style>
  <w:style w:type="character" w:customStyle="1" w:styleId="106">
    <w:name w:val="font31"/>
    <w:qFormat/>
    <w:uiPriority w:val="0"/>
    <w:rPr>
      <w:rFonts w:ascii="Calibri" w:hAnsi="Calibri" w:eastAsia="宋体" w:cs="Calibri"/>
      <w:color w:val="000000"/>
      <w:sz w:val="21"/>
      <w:szCs w:val="21"/>
      <w:u w:val="none"/>
    </w:rPr>
  </w:style>
  <w:style w:type="character" w:customStyle="1" w:styleId="107">
    <w:name w:val="yide_line"/>
    <w:qFormat/>
    <w:uiPriority w:val="0"/>
    <w:rPr>
      <w:rFonts w:ascii="Times New Roman" w:hAnsi="Times New Roman" w:eastAsia="宋体" w:cs="Times New Roman"/>
    </w:rPr>
  </w:style>
  <w:style w:type="character" w:customStyle="1" w:styleId="108">
    <w:name w:val="标题 1 字符"/>
    <w:qFormat/>
    <w:uiPriority w:val="0"/>
    <w:rPr>
      <w:rFonts w:ascii="Times New Roman" w:hAnsi="Times New Roman" w:eastAsia="宋体" w:cs="Times New Roman"/>
      <w:b/>
      <w:bCs/>
      <w:kern w:val="44"/>
      <w:sz w:val="44"/>
      <w:szCs w:val="44"/>
    </w:rPr>
  </w:style>
  <w:style w:type="character" w:customStyle="1" w:styleId="109">
    <w:name w:val="纯文本 字符2"/>
    <w:qFormat/>
    <w:uiPriority w:val="0"/>
    <w:rPr>
      <w:rFonts w:ascii="宋体" w:hAnsi="Courier New" w:eastAsia="宋体" w:cs="Courier New"/>
      <w:szCs w:val="21"/>
    </w:rPr>
  </w:style>
  <w:style w:type="character" w:customStyle="1" w:styleId="110">
    <w:name w:val="普通文字 Char Char2"/>
    <w:qFormat/>
    <w:uiPriority w:val="0"/>
    <w:rPr>
      <w:rFonts w:ascii="宋体" w:hAnsi="Courier New" w:eastAsia="宋体" w:cs="Times New Roman"/>
      <w:kern w:val="2"/>
      <w:sz w:val="21"/>
      <w:lang w:val="en-US" w:eastAsia="zh-CN" w:bidi="ar-SA"/>
    </w:rPr>
  </w:style>
  <w:style w:type="character" w:customStyle="1" w:styleId="111">
    <w:name w:val="headline-content4"/>
    <w:qFormat/>
    <w:uiPriority w:val="0"/>
    <w:rPr>
      <w:rFonts w:ascii="Times New Roman" w:hAnsi="Times New Roman" w:eastAsia="宋体" w:cs="Times New Roman"/>
    </w:rPr>
  </w:style>
  <w:style w:type="character" w:customStyle="1" w:styleId="112">
    <w:name w:val="apple-style-span"/>
    <w:qFormat/>
    <w:uiPriority w:val="0"/>
    <w:rPr>
      <w:rFonts w:ascii="Times New Roman" w:hAnsi="Times New Roman" w:eastAsia="宋体" w:cs="Times New Roman"/>
    </w:rPr>
  </w:style>
  <w:style w:type="character" w:customStyle="1" w:styleId="113">
    <w:name w:val="纯文本 字符"/>
    <w:qFormat/>
    <w:uiPriority w:val="0"/>
    <w:rPr>
      <w:rFonts w:ascii="宋体" w:hAnsi="Courier New" w:eastAsia="宋体" w:cs="Courier New"/>
      <w:szCs w:val="21"/>
    </w:rPr>
  </w:style>
  <w:style w:type="character" w:customStyle="1" w:styleId="114">
    <w:name w:val="批注文字 字符"/>
    <w:qFormat/>
    <w:uiPriority w:val="0"/>
    <w:rPr>
      <w:rFonts w:ascii="Times New Roman" w:hAnsi="Times New Roman" w:eastAsia="宋体" w:cs="Times New Roman"/>
      <w:kern w:val="2"/>
      <w:sz w:val="21"/>
      <w:szCs w:val="24"/>
    </w:rPr>
  </w:style>
  <w:style w:type="character" w:customStyle="1" w:styleId="115">
    <w:name w:val="case31"/>
    <w:qFormat/>
    <w:uiPriority w:val="0"/>
    <w:rPr>
      <w:rFonts w:hint="default" w:ascii="_x000B__x000C_" w:hAnsi="_x000B__x000C_" w:eastAsia="宋体" w:cs="Times New Roman"/>
      <w:sz w:val="21"/>
      <w:szCs w:val="21"/>
    </w:rPr>
  </w:style>
  <w:style w:type="character" w:customStyle="1" w:styleId="116">
    <w:name w:val="textcontents"/>
    <w:qFormat/>
    <w:uiPriority w:val="0"/>
    <w:rPr>
      <w:rFonts w:ascii="Times New Roman" w:hAnsi="Times New Roman" w:eastAsia="宋体" w:cs="Times New Roman"/>
    </w:rPr>
  </w:style>
  <w:style w:type="character" w:customStyle="1" w:styleId="117">
    <w:name w:val="纯文本 Char"/>
    <w:qFormat/>
    <w:uiPriority w:val="0"/>
    <w:rPr>
      <w:rFonts w:ascii="宋体" w:hAnsi="Courier New" w:eastAsia="宋体" w:cs="Times New Roman"/>
      <w:kern w:val="2"/>
      <w:sz w:val="21"/>
      <w:lang w:val="en-US" w:eastAsia="zh-CN" w:bidi="ar-SA"/>
    </w:rPr>
  </w:style>
  <w:style w:type="character" w:customStyle="1" w:styleId="118">
    <w:name w:val="正文文本缩进 字符"/>
    <w:qFormat/>
    <w:uiPriority w:val="0"/>
    <w:rPr>
      <w:rFonts w:ascii="仿宋_GB2312" w:hAnsi="Times New Roman" w:eastAsia="仿宋_GB2312" w:cs="Times New Roman"/>
      <w:sz w:val="32"/>
      <w:szCs w:val="20"/>
    </w:rPr>
  </w:style>
  <w:style w:type="character" w:customStyle="1" w:styleId="119">
    <w:name w:val="批注文字 字符1"/>
    <w:qFormat/>
    <w:uiPriority w:val="0"/>
    <w:rPr>
      <w:rFonts w:ascii="Times New Roman" w:hAnsi="Times New Roman" w:eastAsia="宋体" w:cs="Times New Roman"/>
      <w:kern w:val="2"/>
      <w:sz w:val="21"/>
      <w:szCs w:val="24"/>
    </w:rPr>
  </w:style>
  <w:style w:type="paragraph" w:customStyle="1" w:styleId="120">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21">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2">
    <w:name w:val="样式 首行缩进:  2 字符"/>
    <w:basedOn w:val="1"/>
    <w:qFormat/>
    <w:uiPriority w:val="0"/>
    <w:pPr>
      <w:spacing w:line="400" w:lineRule="exact"/>
      <w:ind w:firstLine="200" w:firstLineChars="200"/>
    </w:pPr>
    <w:rPr>
      <w:rFonts w:cs="宋体"/>
      <w:sz w:val="24"/>
    </w:rPr>
  </w:style>
  <w:style w:type="paragraph" w:customStyle="1" w:styleId="123">
    <w:name w:val="179"/>
    <w:basedOn w:val="1"/>
    <w:qFormat/>
    <w:uiPriority w:val="0"/>
    <w:pPr>
      <w:ind w:firstLine="420" w:firstLineChars="200"/>
      <w:textAlignment w:val="baseline"/>
    </w:pPr>
  </w:style>
  <w:style w:type="paragraph" w:customStyle="1" w:styleId="124">
    <w:name w:val="Char1"/>
    <w:basedOn w:val="1"/>
    <w:qFormat/>
    <w:uiPriority w:val="0"/>
    <w:rPr>
      <w:szCs w:val="21"/>
    </w:rPr>
  </w:style>
  <w:style w:type="paragraph" w:customStyle="1" w:styleId="125">
    <w:name w:val="样式 标题 2 + Times New Roman 四号 非加粗 段前: 5 磅 段后: 0 磅 行距: 固定值 20..."/>
    <w:basedOn w:val="4"/>
    <w:qFormat/>
    <w:uiPriority w:val="0"/>
    <w:pPr>
      <w:spacing w:before="100" w:after="0" w:line="400" w:lineRule="exact"/>
    </w:pPr>
    <w:rPr>
      <w:rFonts w:ascii="Times New Roman" w:hAnsi="Times New Roman" w:eastAsia="宋体" w:cs="宋体"/>
      <w:b w:val="0"/>
      <w:bCs w:val="0"/>
      <w:sz w:val="28"/>
      <w:szCs w:val="20"/>
    </w:rPr>
  </w:style>
  <w:style w:type="paragraph" w:customStyle="1" w:styleId="126">
    <w:name w:val="Table Paragraph"/>
    <w:basedOn w:val="1"/>
    <w:qFormat/>
    <w:uiPriority w:val="0"/>
  </w:style>
  <w:style w:type="paragraph" w:customStyle="1" w:styleId="127">
    <w:name w:val="正文段"/>
    <w:basedOn w:val="1"/>
    <w:qFormat/>
    <w:uiPriority w:val="0"/>
    <w:pPr>
      <w:widowControl/>
      <w:snapToGrid w:val="0"/>
      <w:spacing w:afterLines="50"/>
      <w:ind w:firstLine="200" w:firstLineChars="200"/>
    </w:pPr>
    <w:rPr>
      <w:kern w:val="0"/>
      <w:sz w:val="24"/>
      <w:szCs w:val="20"/>
    </w:rPr>
  </w:style>
  <w:style w:type="paragraph" w:customStyle="1" w:styleId="128">
    <w:name w:val="正文呀"/>
    <w:basedOn w:val="1"/>
    <w:qFormat/>
    <w:uiPriority w:val="0"/>
    <w:pPr>
      <w:spacing w:line="420" w:lineRule="exact"/>
      <w:ind w:firstLine="420" w:firstLineChars="200"/>
    </w:pPr>
    <w:rPr>
      <w:rFonts w:ascii="宋体" w:hAnsi="宋体"/>
    </w:rPr>
  </w:style>
  <w:style w:type="paragraph" w:customStyle="1" w:styleId="129">
    <w:name w:val="正文呀2"/>
    <w:basedOn w:val="128"/>
    <w:qFormat/>
    <w:uiPriority w:val="0"/>
    <w:rPr>
      <w:rFonts w:ascii="Times New Roman" w:hAnsi="Times New Roman"/>
    </w:rPr>
  </w:style>
  <w:style w:type="paragraph" w:customStyle="1" w:styleId="130">
    <w:name w:val="表格"/>
    <w:basedOn w:val="1"/>
    <w:qFormat/>
    <w:uiPriority w:val="0"/>
    <w:pPr>
      <w:spacing w:line="400" w:lineRule="exact"/>
    </w:pPr>
    <w:rPr>
      <w:sz w:val="24"/>
    </w:rPr>
  </w:style>
  <w:style w:type="paragraph" w:customStyle="1" w:styleId="131">
    <w:name w:val="正文1"/>
    <w:qFormat/>
    <w:uiPriority w:val="0"/>
    <w:rPr>
      <w:rFonts w:ascii="Times New Roman" w:hAnsi="Times New Roman" w:eastAsia="Times New Roman" w:cs="Times New Roman"/>
      <w:sz w:val="24"/>
      <w:szCs w:val="24"/>
      <w:lang w:val="en-US" w:eastAsia="zh-CN" w:bidi="ar-SA"/>
    </w:rPr>
  </w:style>
  <w:style w:type="paragraph" w:customStyle="1" w:styleId="132">
    <w:name w:val="纯文本1"/>
    <w:basedOn w:val="1"/>
    <w:qFormat/>
    <w:uiPriority w:val="0"/>
    <w:rPr>
      <w:rFonts w:ascii="宋体" w:hAnsi="Courier New" w:cs="Century"/>
      <w:szCs w:val="21"/>
    </w:rPr>
  </w:style>
  <w:style w:type="paragraph" w:customStyle="1" w:styleId="133">
    <w:name w:val="List Paragraph1"/>
    <w:basedOn w:val="1"/>
    <w:qFormat/>
    <w:uiPriority w:val="0"/>
    <w:pPr>
      <w:ind w:firstLine="420" w:firstLineChars="200"/>
    </w:pPr>
  </w:style>
  <w:style w:type="paragraph" w:customStyle="1" w:styleId="134">
    <w:name w:val="正文首行缩进两字符"/>
    <w:basedOn w:val="1"/>
    <w:qFormat/>
    <w:uiPriority w:val="0"/>
    <w:pPr>
      <w:spacing w:line="360" w:lineRule="auto"/>
      <w:ind w:firstLine="200" w:firstLineChars="200"/>
    </w:pPr>
  </w:style>
  <w:style w:type="paragraph" w:customStyle="1" w:styleId="135">
    <w:name w:val="默认段落字体 Para Char Char Char Char Char Char Char Char Char1 Char Char Char Char"/>
    <w:basedOn w:val="1"/>
    <w:qFormat/>
    <w:uiPriority w:val="0"/>
    <w:rPr>
      <w:rFonts w:ascii="Tahoma" w:hAnsi="Tahoma"/>
      <w:sz w:val="24"/>
      <w:szCs w:val="20"/>
    </w:rPr>
  </w:style>
  <w:style w:type="paragraph" w:customStyle="1" w:styleId="136">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37">
    <w:name w:val="_Style 130"/>
    <w:qFormat/>
    <w:uiPriority w:val="99"/>
    <w:rPr>
      <w:rFonts w:ascii="Times New Roman" w:hAnsi="Times New Roman" w:eastAsia="宋体" w:cs="Times New Roman"/>
      <w:kern w:val="2"/>
      <w:sz w:val="21"/>
      <w:szCs w:val="24"/>
      <w:lang w:val="en-US" w:eastAsia="zh-CN" w:bidi="ar-SA"/>
    </w:rPr>
  </w:style>
  <w:style w:type="character" w:customStyle="1" w:styleId="138">
    <w:name w:val="font81"/>
    <w:qFormat/>
    <w:uiPriority w:val="0"/>
    <w:rPr>
      <w:rFonts w:hint="eastAsia" w:ascii="宋体" w:hAnsi="宋体" w:eastAsia="宋体" w:cs="宋体"/>
      <w:color w:val="000000"/>
      <w:sz w:val="18"/>
      <w:szCs w:val="18"/>
      <w:u w:val="none"/>
    </w:rPr>
  </w:style>
  <w:style w:type="character" w:customStyle="1" w:styleId="139">
    <w:name w:val="font151"/>
    <w:qFormat/>
    <w:uiPriority w:val="0"/>
    <w:rPr>
      <w:rFonts w:ascii="Wingdings 2" w:hAnsi="Wingdings 2" w:eastAsia="Wingdings 2" w:cs="Wingdings 2"/>
      <w:color w:val="000000"/>
      <w:sz w:val="18"/>
      <w:szCs w:val="18"/>
      <w:u w:val="none"/>
    </w:rPr>
  </w:style>
  <w:style w:type="table" w:customStyle="1" w:styleId="140">
    <w:name w:val="Table Normal"/>
    <w:qFormat/>
    <w:uiPriority w:val="0"/>
    <w:tblPr>
      <w:tblCellMar>
        <w:top w:w="0" w:type="dxa"/>
        <w:left w:w="0" w:type="dxa"/>
        <w:bottom w:w="0" w:type="dxa"/>
        <w:right w:w="0" w:type="dxa"/>
      </w:tblCellMar>
    </w:tblPr>
  </w:style>
  <w:style w:type="paragraph" w:customStyle="1" w:styleId="141">
    <w:name w:val="TOC 标题1"/>
    <w:basedOn w:val="3"/>
    <w:next w:val="1"/>
    <w:qFormat/>
    <w:uiPriority w:val="0"/>
    <w:pPr>
      <w:widowControl/>
      <w:spacing w:before="240" w:line="259" w:lineRule="auto"/>
      <w:jc w:val="left"/>
      <w:outlineLvl w:val="9"/>
    </w:pPr>
    <w:rPr>
      <w:rFonts w:ascii="?? Light" w:hAnsi="?? Light"/>
      <w:b w:val="0"/>
      <w:color w:val="2F5496"/>
      <w:kern w:val="0"/>
      <w:szCs w:val="32"/>
    </w:rPr>
  </w:style>
  <w:style w:type="paragraph" w:customStyle="1" w:styleId="142">
    <w:name w:val="NormalIndent"/>
    <w:basedOn w:val="1"/>
    <w:qFormat/>
    <w:uiPriority w:val="0"/>
    <w:pPr>
      <w:ind w:firstLine="420"/>
    </w:pPr>
    <w:rPr>
      <w:szCs w:val="21"/>
    </w:rPr>
  </w:style>
  <w:style w:type="paragraph" w:customStyle="1" w:styleId="143">
    <w:name w:val="Body text|1"/>
    <w:basedOn w:val="1"/>
    <w:autoRedefine/>
    <w:qFormat/>
    <w:uiPriority w:val="0"/>
    <w:pPr>
      <w:tabs>
        <w:tab w:val="left" w:pos="1289"/>
      </w:tabs>
      <w:spacing w:line="360" w:lineRule="auto"/>
      <w:ind w:firstLine="422" w:firstLineChars="200"/>
      <w:jc w:val="left"/>
    </w:pPr>
    <w:rPr>
      <w:rFonts w:ascii="宋体" w:hAnsi="宋体" w:cs="宋体"/>
      <w:b/>
      <w:bCs/>
      <w:szCs w:val="21"/>
      <w:lang w:bidi="zh-TW"/>
    </w:rPr>
  </w:style>
  <w:style w:type="paragraph" w:customStyle="1" w:styleId="144">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daohangxitong.com</Company>
  <Pages>107</Pages>
  <Words>9921</Words>
  <Characters>10648</Characters>
  <Lines>471</Lines>
  <Paragraphs>132</Paragraphs>
  <TotalTime>9</TotalTime>
  <ScaleCrop>false</ScaleCrop>
  <LinksUpToDate>false</LinksUpToDate>
  <CharactersWithSpaces>10709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2022-08-02T16:35:00Z</dcterms:created>
  <dc:creator>番茄花园</dc:creator>
  <cp:lastModifiedBy>mmm</cp:lastModifiedBy>
  <cp:lastPrinted>2023-07-24T17:20:00Z</cp:lastPrinted>
  <dcterms:modified xsi:type="dcterms:W3CDTF">2025-11-28T10:01:56Z</dcterms:modified>
  <dc:title>公开招标采购文件范本</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4934C46265B24BD49C5ABE376D84BFE0_13</vt:lpwstr>
  </property>
  <property fmtid="{D5CDD505-2E9C-101B-9397-08002B2CF9AE}" pid="4" name="KSOTemplateDocerSaveRecord">
    <vt:lpwstr>eyJoZGlkIjoiNzFjY2M1MzE1YTRhOThmN2VmNjgwYjk4NWMwM2ViMWEiLCJ1c2VySWQiOiIzNDI3NzExOTAifQ==</vt:lpwstr>
  </property>
</Properties>
</file>