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9B847">
      <w:pPr>
        <w:spacing w:line="360" w:lineRule="auto"/>
        <w:rPr>
          <w:rFonts w:eastAsia="仿宋_GB2312" w:asciiTheme="minorHAnsi" w:hAnsiTheme="minorHAnsi"/>
          <w:color w:val="auto"/>
          <w:sz w:val="44"/>
          <w:szCs w:val="44"/>
          <w:lang w:val="en-GB"/>
        </w:rPr>
      </w:pPr>
    </w:p>
    <w:p w14:paraId="6CFF15D4">
      <w:pPr>
        <w:spacing w:line="360" w:lineRule="auto"/>
        <w:jc w:val="center"/>
        <w:rPr>
          <w:rFonts w:ascii="华文新魏" w:hAnsi="黑体" w:eastAsia="华文新魏"/>
          <w:b/>
          <w:color w:val="auto"/>
          <w:kern w:val="15"/>
          <w:sz w:val="72"/>
          <w:szCs w:val="72"/>
        </w:rPr>
      </w:pPr>
      <w:r>
        <w:rPr>
          <w:rFonts w:hint="eastAsia" w:ascii="华文新魏" w:hAnsi="黑体" w:eastAsia="华文新魏"/>
          <w:b/>
          <w:color w:val="auto"/>
          <w:kern w:val="15"/>
          <w:sz w:val="72"/>
          <w:szCs w:val="72"/>
        </w:rPr>
        <w:t>柳州市政府集中采购中心</w:t>
      </w:r>
    </w:p>
    <w:p w14:paraId="6F9B42AC">
      <w:pPr>
        <w:spacing w:line="360" w:lineRule="auto"/>
        <w:jc w:val="center"/>
        <w:rPr>
          <w:b/>
          <w:color w:val="auto"/>
          <w:sz w:val="52"/>
          <w:szCs w:val="52"/>
        </w:rPr>
      </w:pPr>
      <w:r>
        <w:rPr>
          <w:rFonts w:hint="eastAsia" w:ascii="黑体" w:hAnsi="黑体" w:eastAsia="黑体"/>
          <w:color w:val="auto"/>
          <w:sz w:val="72"/>
          <w:szCs w:val="72"/>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33CB2568">
      <w:pPr>
        <w:spacing w:line="800" w:lineRule="exact"/>
        <w:jc w:val="center"/>
        <w:rPr>
          <w:rFonts w:ascii="华文中宋" w:hAnsi="华文中宋" w:eastAsia="华文中宋"/>
          <w:b/>
          <w:color w:val="auto"/>
          <w:spacing w:val="200"/>
          <w:sz w:val="84"/>
          <w:szCs w:val="84"/>
        </w:rPr>
      </w:pPr>
    </w:p>
    <w:p w14:paraId="18F09F65">
      <w:pPr>
        <w:jc w:val="center"/>
        <w:rPr>
          <w:rFonts w:hint="eastAsia" w:ascii="华文中宋" w:hAnsi="华文中宋" w:eastAsia="华文中宋"/>
          <w:b/>
          <w:color w:val="auto"/>
          <w:spacing w:val="200"/>
          <w:sz w:val="144"/>
          <w:szCs w:val="144"/>
          <w:lang w:eastAsia="zh-CN"/>
        </w:rPr>
      </w:pPr>
      <w:r>
        <w:rPr>
          <w:rFonts w:hint="eastAsia" w:ascii="华文中宋" w:hAnsi="华文中宋" w:eastAsia="华文中宋"/>
          <w:b/>
          <w:color w:val="auto"/>
          <w:spacing w:val="200"/>
          <w:sz w:val="144"/>
          <w:szCs w:val="144"/>
        </w:rPr>
        <w:t>招标文件</w:t>
      </w:r>
    </w:p>
    <w:p w14:paraId="5C1BBE18">
      <w:pPr>
        <w:spacing w:line="600" w:lineRule="exact"/>
        <w:jc w:val="center"/>
        <w:rPr>
          <w:b/>
          <w:color w:val="auto"/>
          <w:sz w:val="44"/>
          <w:szCs w:val="44"/>
        </w:rPr>
      </w:pPr>
    </w:p>
    <w:p w14:paraId="67D04996">
      <w:pPr>
        <w:spacing w:line="600" w:lineRule="exact"/>
        <w:rPr>
          <w:b/>
          <w:color w:val="auto"/>
          <w:sz w:val="44"/>
          <w:szCs w:val="44"/>
        </w:rPr>
      </w:pPr>
    </w:p>
    <w:p w14:paraId="6298B521">
      <w:pPr>
        <w:spacing w:line="800" w:lineRule="exact"/>
        <w:ind w:left="907" w:leftChars="432"/>
        <w:rPr>
          <w:rFonts w:ascii="楷体" w:hAnsi="楷体" w:eastAsia="楷体"/>
          <w:b/>
          <w:color w:val="auto"/>
          <w:sz w:val="44"/>
          <w:szCs w:val="44"/>
          <w:lang w:val="en-GB"/>
        </w:rPr>
      </w:pPr>
      <w:r>
        <w:rPr>
          <w:rFonts w:hint="eastAsia" w:ascii="楷体" w:hAnsi="楷体" w:eastAsia="楷体"/>
          <w:b/>
          <w:color w:val="auto"/>
          <w:sz w:val="44"/>
          <w:szCs w:val="44"/>
        </w:rPr>
        <w:t>项目名称：</w:t>
      </w:r>
      <w:r>
        <w:rPr>
          <w:rFonts w:ascii="楷体" w:hAnsi="楷体" w:eastAsia="楷体"/>
          <w:b/>
          <w:color w:val="auto"/>
          <w:sz w:val="44"/>
          <w:szCs w:val="44"/>
        </w:rPr>
        <w:t>柳州职业技术大学“新能源汽车数字商贸产教融合基地”软件部分采购</w:t>
      </w:r>
    </w:p>
    <w:p w14:paraId="485669AB">
      <w:pPr>
        <w:spacing w:line="800" w:lineRule="exact"/>
        <w:ind w:left="907" w:leftChars="432"/>
        <w:rPr>
          <w:rFonts w:ascii="楷体" w:hAnsi="楷体" w:eastAsia="楷体"/>
          <w:b/>
          <w:color w:val="auto"/>
          <w:sz w:val="44"/>
          <w:szCs w:val="44"/>
        </w:rPr>
      </w:pPr>
      <w:r>
        <w:rPr>
          <w:rFonts w:hint="eastAsia" w:ascii="楷体" w:hAnsi="楷体" w:eastAsia="楷体"/>
          <w:b/>
          <w:color w:val="auto"/>
          <w:sz w:val="44"/>
          <w:szCs w:val="44"/>
        </w:rPr>
        <w:t>项目编号：LZZC2025-G1-990359-LZSZ</w:t>
      </w:r>
    </w:p>
    <w:p w14:paraId="49347C92">
      <w:pPr>
        <w:spacing w:line="800" w:lineRule="exact"/>
        <w:rPr>
          <w:rFonts w:ascii="楷体" w:hAnsi="楷体" w:eastAsia="楷体"/>
          <w:b/>
          <w:color w:val="auto"/>
          <w:sz w:val="44"/>
          <w:szCs w:val="44"/>
        </w:rPr>
      </w:pPr>
    </w:p>
    <w:p w14:paraId="64B3B602">
      <w:pPr>
        <w:spacing w:line="800" w:lineRule="exact"/>
        <w:ind w:firstLine="663" w:firstLineChars="150"/>
        <w:jc w:val="center"/>
        <w:rPr>
          <w:rFonts w:ascii="楷体" w:hAnsi="楷体" w:eastAsia="楷体"/>
          <w:b/>
          <w:color w:val="auto"/>
          <w:sz w:val="44"/>
          <w:szCs w:val="44"/>
        </w:rPr>
      </w:pPr>
      <w:r>
        <w:rPr>
          <w:rFonts w:hint="eastAsia" w:ascii="楷体" w:hAnsi="楷体" w:eastAsia="楷体"/>
          <w:b/>
          <w:color w:val="auto"/>
          <w:sz w:val="44"/>
          <w:szCs w:val="44"/>
        </w:rPr>
        <w:t>采购人：</w:t>
      </w:r>
      <w:r>
        <w:rPr>
          <w:rFonts w:ascii="楷体" w:hAnsi="楷体" w:eastAsia="楷体"/>
          <w:b/>
          <w:color w:val="auto"/>
          <w:sz w:val="44"/>
          <w:szCs w:val="44"/>
        </w:rPr>
        <w:t>柳州职业技术大学</w:t>
      </w:r>
    </w:p>
    <w:p w14:paraId="0ED0E9AE">
      <w:pPr>
        <w:spacing w:line="800" w:lineRule="exact"/>
        <w:ind w:firstLine="658" w:firstLineChars="149"/>
        <w:rPr>
          <w:rFonts w:ascii="楷体" w:hAnsi="楷体" w:eastAsia="楷体"/>
          <w:b/>
          <w:color w:val="auto"/>
          <w:sz w:val="44"/>
          <w:szCs w:val="44"/>
        </w:rPr>
      </w:pPr>
      <w:r>
        <w:rPr>
          <w:rFonts w:hint="eastAsia" w:ascii="楷体" w:hAnsi="楷体" w:eastAsia="楷体"/>
          <w:b/>
          <w:color w:val="auto"/>
          <w:sz w:val="44"/>
          <w:szCs w:val="44"/>
        </w:rPr>
        <w:t>采购代理机构：柳州市政府集中采购中心</w:t>
      </w:r>
    </w:p>
    <w:p w14:paraId="62C7A440">
      <w:pPr>
        <w:spacing w:line="600" w:lineRule="exact"/>
        <w:jc w:val="center"/>
        <w:rPr>
          <w:rFonts w:ascii="楷体" w:hAnsi="楷体" w:eastAsia="楷体"/>
          <w:b/>
          <w:color w:val="auto"/>
          <w:sz w:val="44"/>
          <w:szCs w:val="44"/>
        </w:rPr>
      </w:pPr>
    </w:p>
    <w:p w14:paraId="64CE9F76">
      <w:pPr>
        <w:spacing w:line="600" w:lineRule="exact"/>
        <w:jc w:val="center"/>
        <w:rPr>
          <w:rFonts w:ascii="楷体" w:hAnsi="楷体" w:eastAsia="楷体"/>
          <w:b/>
          <w:color w:val="auto"/>
          <w:sz w:val="44"/>
          <w:szCs w:val="44"/>
        </w:rPr>
        <w:sectPr>
          <w:headerReference r:id="rId3" w:type="first"/>
          <w:footerReference r:id="rId4" w:type="even"/>
          <w:pgSz w:w="11906" w:h="16838"/>
          <w:pgMar w:top="1440" w:right="1440" w:bottom="1440" w:left="1440" w:header="851" w:footer="992" w:gutter="0"/>
          <w:cols w:space="720" w:num="1"/>
          <w:docGrid w:type="lines" w:linePitch="312" w:charSpace="0"/>
        </w:sectPr>
      </w:pPr>
      <w:r>
        <w:rPr>
          <w:rFonts w:ascii="楷体" w:hAnsi="楷体" w:eastAsia="楷体"/>
          <w:b/>
          <w:color w:val="auto"/>
          <w:sz w:val="44"/>
          <w:szCs w:val="44"/>
        </w:rPr>
        <w:t>2025年XX月XX日</w:t>
      </w:r>
    </w:p>
    <w:p w14:paraId="46E5620C">
      <w:pPr>
        <w:spacing w:line="600" w:lineRule="exact"/>
        <w:jc w:val="both"/>
        <w:rPr>
          <w:rFonts w:ascii="楷体" w:hAnsi="楷体" w:eastAsia="楷体"/>
          <w:b/>
          <w:color w:val="auto"/>
          <w:sz w:val="44"/>
          <w:szCs w:val="44"/>
        </w:rPr>
      </w:pPr>
    </w:p>
    <w:p w14:paraId="7894E71B">
      <w:pPr>
        <w:spacing w:line="360" w:lineRule="auto"/>
        <w:jc w:val="center"/>
        <w:rPr>
          <w:b/>
          <w:color w:val="auto"/>
          <w:sz w:val="52"/>
          <w:szCs w:val="52"/>
        </w:rPr>
      </w:pPr>
      <w:r>
        <w:rPr>
          <w:rFonts w:hint="eastAsia"/>
          <w:b/>
          <w:color w:val="auto"/>
          <w:sz w:val="52"/>
          <w:szCs w:val="52"/>
        </w:rPr>
        <w:t>目  录</w:t>
      </w:r>
    </w:p>
    <w:p w14:paraId="0BED6329">
      <w:pPr>
        <w:spacing w:line="360" w:lineRule="auto"/>
        <w:jc w:val="center"/>
        <w:rPr>
          <w:b/>
          <w:color w:val="auto"/>
          <w:sz w:val="52"/>
          <w:szCs w:val="52"/>
        </w:rPr>
      </w:pPr>
    </w:p>
    <w:p w14:paraId="6EC18896">
      <w:pPr>
        <w:pStyle w:val="34"/>
        <w:tabs>
          <w:tab w:val="right" w:leader="dot" w:pos="9746"/>
        </w:tabs>
        <w:spacing w:line="360" w:lineRule="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TOC \o "1-1" \h \z \u </w:instrText>
      </w:r>
      <w:r>
        <w:rPr>
          <w:rFonts w:hint="eastAsia" w:ascii="仿宋_GB2312" w:hAnsi="仿宋_GB2312" w:eastAsia="仿宋_GB2312" w:cs="仿宋_GB2312"/>
          <w:color w:val="auto"/>
          <w:sz w:val="32"/>
          <w:szCs w:val="32"/>
        </w:rPr>
        <w:fldChar w:fldCharType="separate"/>
      </w:r>
      <w:r>
        <w:rPr>
          <w:color w:val="auto"/>
        </w:rPr>
        <w:fldChar w:fldCharType="begin"/>
      </w:r>
      <w:r>
        <w:rPr>
          <w:color w:val="auto"/>
        </w:rPr>
        <w:instrText xml:space="preserve"> HYPERLINK \l "_Toc29306" </w:instrText>
      </w:r>
      <w:r>
        <w:rPr>
          <w:color w:val="auto"/>
        </w:rPr>
        <w:fldChar w:fldCharType="separate"/>
      </w:r>
      <w:r>
        <w:rPr>
          <w:rFonts w:hint="eastAsia" w:ascii="仿宋_GB2312" w:hAnsi="仿宋_GB2312" w:eastAsia="仿宋_GB2312" w:cs="仿宋_GB2312"/>
          <w:color w:val="auto"/>
          <w:sz w:val="32"/>
          <w:szCs w:val="32"/>
        </w:rPr>
        <w:t>第一章 公开招标公告</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_Toc29306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2DBE7E5D">
      <w:pPr>
        <w:pStyle w:val="34"/>
        <w:tabs>
          <w:tab w:val="right" w:leader="dot" w:pos="9746"/>
        </w:tabs>
        <w:spacing w:line="360" w:lineRule="auto"/>
        <w:rPr>
          <w:rFonts w:ascii="仿宋_GB2312" w:hAnsi="仿宋_GB2312" w:eastAsia="仿宋_GB2312" w:cs="仿宋_GB2312"/>
          <w:color w:val="auto"/>
          <w:sz w:val="32"/>
          <w:szCs w:val="32"/>
        </w:rPr>
      </w:pPr>
      <w:r>
        <w:rPr>
          <w:color w:val="auto"/>
        </w:rPr>
        <w:fldChar w:fldCharType="begin"/>
      </w:r>
      <w:r>
        <w:rPr>
          <w:color w:val="auto"/>
        </w:rPr>
        <w:instrText xml:space="preserve"> HYPERLINK \l "_Toc13541" </w:instrText>
      </w:r>
      <w:r>
        <w:rPr>
          <w:color w:val="auto"/>
        </w:rPr>
        <w:fldChar w:fldCharType="separate"/>
      </w:r>
      <w:r>
        <w:rPr>
          <w:rFonts w:hint="eastAsia" w:ascii="仿宋_GB2312" w:hAnsi="仿宋_GB2312" w:eastAsia="仿宋_GB2312" w:cs="仿宋_GB2312"/>
          <w:color w:val="auto"/>
          <w:sz w:val="32"/>
          <w:szCs w:val="32"/>
        </w:rPr>
        <w:t>第二章 采购需求</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_Toc13541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2F72FE40">
      <w:pPr>
        <w:pStyle w:val="34"/>
        <w:tabs>
          <w:tab w:val="right" w:leader="dot" w:pos="9746"/>
        </w:tabs>
        <w:spacing w:line="360" w:lineRule="auto"/>
        <w:rPr>
          <w:rFonts w:ascii="仿宋_GB2312" w:hAnsi="仿宋_GB2312" w:eastAsia="仿宋_GB2312" w:cs="仿宋_GB2312"/>
          <w:color w:val="auto"/>
          <w:sz w:val="32"/>
          <w:szCs w:val="32"/>
        </w:rPr>
      </w:pPr>
      <w:r>
        <w:rPr>
          <w:color w:val="auto"/>
        </w:rPr>
        <w:fldChar w:fldCharType="begin"/>
      </w:r>
      <w:r>
        <w:rPr>
          <w:color w:val="auto"/>
        </w:rPr>
        <w:instrText xml:space="preserve"> HYPERLINK \l "_Toc29711" </w:instrText>
      </w:r>
      <w:r>
        <w:rPr>
          <w:color w:val="auto"/>
        </w:rPr>
        <w:fldChar w:fldCharType="separate"/>
      </w:r>
      <w:r>
        <w:rPr>
          <w:rFonts w:hint="eastAsia" w:ascii="仿宋_GB2312" w:hAnsi="仿宋_GB2312" w:eastAsia="仿宋_GB2312" w:cs="仿宋_GB2312"/>
          <w:color w:val="auto"/>
          <w:sz w:val="32"/>
          <w:szCs w:val="32"/>
        </w:rPr>
        <w:t>第三章 投标人须知</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_Toc29711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122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3F5A1290">
      <w:pPr>
        <w:pStyle w:val="34"/>
        <w:tabs>
          <w:tab w:val="right" w:leader="dot" w:pos="9746"/>
        </w:tabs>
        <w:spacing w:line="360" w:lineRule="auto"/>
        <w:rPr>
          <w:rFonts w:ascii="仿宋_GB2312" w:hAnsi="仿宋_GB2312" w:eastAsia="仿宋_GB2312" w:cs="仿宋_GB2312"/>
          <w:color w:val="auto"/>
          <w:sz w:val="32"/>
          <w:szCs w:val="32"/>
        </w:rPr>
      </w:pPr>
      <w:r>
        <w:rPr>
          <w:color w:val="auto"/>
        </w:rPr>
        <w:fldChar w:fldCharType="begin"/>
      </w:r>
      <w:r>
        <w:rPr>
          <w:color w:val="auto"/>
        </w:rPr>
        <w:instrText xml:space="preserve"> HYPERLINK \l "_Toc27328" </w:instrText>
      </w:r>
      <w:r>
        <w:rPr>
          <w:color w:val="auto"/>
        </w:rPr>
        <w:fldChar w:fldCharType="separate"/>
      </w:r>
      <w:r>
        <w:rPr>
          <w:rFonts w:hint="eastAsia" w:ascii="仿宋_GB2312" w:hAnsi="仿宋_GB2312" w:eastAsia="仿宋_GB2312" w:cs="仿宋_GB2312"/>
          <w:color w:val="auto"/>
          <w:sz w:val="32"/>
          <w:szCs w:val="32"/>
        </w:rPr>
        <w:t>第四章 评标方法及评标标准</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_Toc27328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137</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1D64EC62">
      <w:pPr>
        <w:pStyle w:val="34"/>
        <w:tabs>
          <w:tab w:val="right" w:leader="dot" w:pos="9746"/>
        </w:tabs>
        <w:spacing w:line="360" w:lineRule="auto"/>
        <w:rPr>
          <w:rFonts w:ascii="仿宋_GB2312" w:hAnsi="仿宋_GB2312" w:eastAsia="仿宋_GB2312" w:cs="仿宋_GB2312"/>
          <w:color w:val="auto"/>
          <w:sz w:val="32"/>
          <w:szCs w:val="32"/>
        </w:rPr>
      </w:pPr>
      <w:r>
        <w:rPr>
          <w:color w:val="auto"/>
        </w:rPr>
        <w:fldChar w:fldCharType="begin"/>
      </w:r>
      <w:r>
        <w:rPr>
          <w:color w:val="auto"/>
        </w:rPr>
        <w:instrText xml:space="preserve"> HYPERLINK \l "_Toc21458" </w:instrText>
      </w:r>
      <w:r>
        <w:rPr>
          <w:color w:val="auto"/>
        </w:rPr>
        <w:fldChar w:fldCharType="separate"/>
      </w:r>
      <w:r>
        <w:rPr>
          <w:rFonts w:hint="eastAsia" w:ascii="仿宋_GB2312" w:hAnsi="仿宋_GB2312" w:eastAsia="仿宋_GB2312" w:cs="仿宋_GB2312"/>
          <w:color w:val="auto"/>
          <w:sz w:val="32"/>
          <w:szCs w:val="32"/>
        </w:rPr>
        <w:t>第五章 合同主要条款格式及广西壮族自治区政府采购项目合同验收书格式</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_Toc21458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157</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63652655">
      <w:pPr>
        <w:pStyle w:val="34"/>
        <w:tabs>
          <w:tab w:val="right" w:leader="dot" w:pos="9016"/>
        </w:tabs>
        <w:spacing w:line="360" w:lineRule="auto"/>
        <w:rPr>
          <w:rFonts w:ascii="仿宋_GB2312" w:hAnsi="宋体" w:eastAsia="仿宋_GB2312"/>
          <w:b w:val="0"/>
          <w:bCs w:val="0"/>
          <w:caps w:val="0"/>
          <w:color w:val="auto"/>
          <w:sz w:val="32"/>
          <w:szCs w:val="32"/>
        </w:rPr>
      </w:pPr>
      <w:r>
        <w:rPr>
          <w:rFonts w:hint="eastAsia" w:ascii="仿宋_GB2312" w:hAnsi="仿宋_GB2312" w:eastAsia="仿宋_GB2312" w:cs="仿宋_GB2312"/>
          <w:color w:val="auto"/>
          <w:sz w:val="32"/>
          <w:szCs w:val="32"/>
        </w:rPr>
        <w:fldChar w:fldCharType="end"/>
      </w:r>
      <w:r>
        <w:rPr>
          <w:rFonts w:hint="eastAsia" w:ascii="仿宋_GB2312" w:hAnsi="宋体" w:eastAsia="仿宋_GB2312"/>
          <w:b w:val="0"/>
          <w:bCs w:val="0"/>
          <w:caps w:val="0"/>
          <w:color w:val="auto"/>
          <w:sz w:val="32"/>
          <w:szCs w:val="32"/>
        </w:rPr>
        <w:t xml:space="preserve"> </w:t>
      </w:r>
    </w:p>
    <w:p w14:paraId="12A738A9">
      <w:pPr>
        <w:rPr>
          <w:color w:val="auto"/>
        </w:rPr>
      </w:pPr>
    </w:p>
    <w:p w14:paraId="6A8FD75C">
      <w:pPr>
        <w:rPr>
          <w:color w:val="auto"/>
        </w:rPr>
      </w:pPr>
    </w:p>
    <w:p w14:paraId="564C0055">
      <w:pPr>
        <w:rPr>
          <w:color w:val="auto"/>
        </w:rPr>
      </w:pPr>
    </w:p>
    <w:p w14:paraId="31B2547F">
      <w:pPr>
        <w:rPr>
          <w:color w:val="auto"/>
        </w:rPr>
      </w:pPr>
    </w:p>
    <w:p w14:paraId="5DBB981C">
      <w:pPr>
        <w:rPr>
          <w:color w:val="auto"/>
        </w:rPr>
      </w:pPr>
    </w:p>
    <w:p w14:paraId="3AE7095A">
      <w:pPr>
        <w:rPr>
          <w:color w:val="auto"/>
        </w:rPr>
      </w:pPr>
    </w:p>
    <w:p w14:paraId="767DB6F3">
      <w:pPr>
        <w:rPr>
          <w:color w:val="auto"/>
        </w:rPr>
      </w:pPr>
    </w:p>
    <w:p w14:paraId="53AB84F6">
      <w:pPr>
        <w:rPr>
          <w:color w:val="auto"/>
        </w:rPr>
      </w:pPr>
    </w:p>
    <w:p w14:paraId="64981709">
      <w:pPr>
        <w:rPr>
          <w:color w:val="auto"/>
        </w:rPr>
      </w:pPr>
    </w:p>
    <w:p w14:paraId="3D037088">
      <w:pPr>
        <w:rPr>
          <w:color w:val="auto"/>
        </w:rPr>
      </w:pPr>
    </w:p>
    <w:p w14:paraId="78AF7255">
      <w:pPr>
        <w:rPr>
          <w:color w:val="auto"/>
        </w:rPr>
      </w:pPr>
    </w:p>
    <w:p w14:paraId="4D2D7860">
      <w:pPr>
        <w:rPr>
          <w:color w:val="auto"/>
        </w:rPr>
        <w:sectPr>
          <w:headerReference r:id="rId5" w:type="default"/>
          <w:footerReference r:id="rId6" w:type="default"/>
          <w:pgSz w:w="11906" w:h="16838"/>
          <w:pgMar w:top="1440" w:right="1440" w:bottom="1440" w:left="1440" w:header="851" w:footer="992" w:gutter="0"/>
          <w:cols w:space="720" w:num="1"/>
          <w:docGrid w:linePitch="312" w:charSpace="0"/>
        </w:sectPr>
      </w:pPr>
    </w:p>
    <w:p w14:paraId="0EC9B055">
      <w:pPr>
        <w:rPr>
          <w:color w:val="auto"/>
        </w:rPr>
      </w:pPr>
    </w:p>
    <w:p w14:paraId="39C8B7E7">
      <w:pPr>
        <w:rPr>
          <w:color w:val="auto"/>
        </w:rPr>
      </w:pPr>
    </w:p>
    <w:p w14:paraId="6098F321">
      <w:pPr>
        <w:pStyle w:val="3"/>
        <w:spacing w:line="276" w:lineRule="auto"/>
        <w:jc w:val="center"/>
        <w:rPr>
          <w:rFonts w:hint="eastAsia" w:eastAsia="宋体"/>
          <w:color w:val="auto"/>
          <w:sz w:val="32"/>
          <w:szCs w:val="32"/>
          <w:lang w:val="en-US" w:eastAsia="zh-CN"/>
        </w:rPr>
      </w:pPr>
      <w:bookmarkStart w:id="0" w:name="_Toc29306"/>
      <w:r>
        <w:rPr>
          <w:rFonts w:hint="eastAsia"/>
          <w:color w:val="auto"/>
          <w:sz w:val="32"/>
          <w:szCs w:val="32"/>
        </w:rPr>
        <w:t>第一章 公开招标公告</w:t>
      </w:r>
      <w:bookmarkEnd w:id="0"/>
    </w:p>
    <w:p w14:paraId="5EFE59F8">
      <w:pPr>
        <w:pStyle w:val="4"/>
        <w:spacing w:line="240" w:lineRule="auto"/>
        <w:ind w:right="-21" w:rightChars="-10" w:firstLine="711" w:firstLineChars="253"/>
        <w:jc w:val="both"/>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项目概况</w:t>
      </w:r>
    </w:p>
    <w:p w14:paraId="1E93ECF0">
      <w:pPr>
        <w:spacing w:line="400" w:lineRule="exact"/>
        <w:ind w:right="-21" w:rightChars="-10" w:firstLine="555"/>
        <w:rPr>
          <w:rFonts w:ascii="仿宋_GB2312" w:eastAsia="仿宋_GB2312"/>
          <w:color w:val="auto"/>
          <w:sz w:val="28"/>
          <w:szCs w:val="28"/>
          <w:u w:val="single"/>
        </w:rPr>
      </w:pPr>
      <w:bookmarkStart w:id="1" w:name="_Hlk50568865"/>
      <w:r>
        <w:rPr>
          <w:rFonts w:ascii="仿宋_GB2312" w:eastAsia="仿宋_GB2312"/>
          <w:color w:val="auto"/>
          <w:sz w:val="28"/>
          <w:szCs w:val="28"/>
        </w:rPr>
        <w:t>柳州职业技术大学“新能源汽车数字商贸产教融合基地”软件部分采购</w:t>
      </w:r>
      <w:r>
        <w:rPr>
          <w:rFonts w:hint="eastAsia" w:ascii="仿宋_GB2312" w:eastAsia="仿宋_GB2312"/>
          <w:color w:val="auto"/>
          <w:sz w:val="28"/>
          <w:szCs w:val="28"/>
        </w:rPr>
        <w:t>项目的潜在</w:t>
      </w:r>
      <w:bookmarkStart w:id="2" w:name="_Hlk93681477"/>
      <w:r>
        <w:rPr>
          <w:rFonts w:hint="eastAsia" w:ascii="仿宋_GB2312" w:eastAsia="仿宋_GB2312"/>
          <w:color w:val="auto"/>
          <w:sz w:val="28"/>
          <w:szCs w:val="28"/>
        </w:rPr>
        <w:t>投标人应在</w:t>
      </w:r>
      <w:bookmarkEnd w:id="2"/>
      <w:r>
        <w:rPr>
          <w:rFonts w:hint="eastAsia" w:ascii="仿宋_GB2312" w:eastAsia="仿宋_GB2312"/>
          <w:color w:val="auto"/>
          <w:sz w:val="28"/>
          <w:szCs w:val="28"/>
        </w:rPr>
        <w:t>广西政府采购云平台（https://www.gcy.zfcg.gxzf.gov.cn/）获取招标文件，并于</w:t>
      </w:r>
      <w:r>
        <w:rPr>
          <w:rFonts w:ascii="仿宋_GB2312" w:eastAsia="仿宋_GB2312"/>
          <w:color w:val="auto"/>
          <w:sz w:val="28"/>
          <w:szCs w:val="28"/>
        </w:rPr>
        <w:t>2025年XX月XX日 09:20</w:t>
      </w:r>
      <w:r>
        <w:rPr>
          <w:rFonts w:hint="eastAsia" w:ascii="仿宋_GB2312" w:eastAsia="仿宋_GB2312"/>
          <w:color w:val="auto"/>
          <w:sz w:val="28"/>
          <w:szCs w:val="28"/>
        </w:rPr>
        <w:t>（北京时间）前</w:t>
      </w:r>
      <w:bookmarkEnd w:id="1"/>
      <w:r>
        <w:rPr>
          <w:rFonts w:hint="eastAsia" w:ascii="仿宋_GB2312" w:hAnsi="仿宋_GB2312" w:eastAsia="仿宋_GB2312" w:cs="仿宋_GB2312"/>
          <w:color w:val="auto"/>
          <w:sz w:val="28"/>
          <w:szCs w:val="28"/>
        </w:rPr>
        <w:t>在线提交投标文件</w:t>
      </w:r>
      <w:r>
        <w:rPr>
          <w:rFonts w:hint="eastAsia" w:ascii="仿宋_GB2312" w:eastAsia="仿宋_GB2312"/>
          <w:color w:val="auto"/>
          <w:sz w:val="28"/>
          <w:szCs w:val="28"/>
        </w:rPr>
        <w:t>。</w:t>
      </w:r>
    </w:p>
    <w:p w14:paraId="35DA8DF8">
      <w:pPr>
        <w:spacing w:line="400" w:lineRule="exact"/>
        <w:ind w:right="-21" w:rightChars="-10" w:firstLine="562" w:firstLineChars="200"/>
        <w:rPr>
          <w:rFonts w:ascii="黑体" w:hAnsi="黑体" w:eastAsia="黑体" w:cs="黑体"/>
          <w:b/>
          <w:bCs/>
          <w:color w:val="auto"/>
          <w:sz w:val="28"/>
          <w:szCs w:val="28"/>
        </w:rPr>
      </w:pPr>
      <w:bookmarkStart w:id="3" w:name="_Hlk53504521"/>
      <w:r>
        <w:rPr>
          <w:rFonts w:hint="eastAsia" w:ascii="黑体" w:hAnsi="黑体" w:eastAsia="黑体" w:cs="黑体"/>
          <w:b/>
          <w:bCs/>
          <w:color w:val="auto"/>
          <w:sz w:val="28"/>
          <w:szCs w:val="28"/>
        </w:rPr>
        <w:t>一、项目基本情况</w:t>
      </w:r>
    </w:p>
    <w:bookmarkEnd w:id="3"/>
    <w:p w14:paraId="2B1B75E1">
      <w:pPr>
        <w:pStyle w:val="76"/>
        <w:spacing w:line="400" w:lineRule="exact"/>
        <w:ind w:right="-21" w:rightChars="-10" w:firstLine="560"/>
        <w:rPr>
          <w:rFonts w:ascii="仿宋_GB2312" w:eastAsia="仿宋_GB2312"/>
          <w:color w:val="auto"/>
          <w:sz w:val="28"/>
          <w:szCs w:val="28"/>
        </w:rPr>
      </w:pPr>
      <w:r>
        <w:rPr>
          <w:rFonts w:hint="eastAsia" w:ascii="仿宋_GB2312" w:eastAsia="仿宋_GB2312"/>
          <w:color w:val="auto"/>
          <w:sz w:val="28"/>
          <w:szCs w:val="28"/>
        </w:rPr>
        <w:t>项目编号：LZZC2025-G1-990359-LZSZ</w:t>
      </w:r>
    </w:p>
    <w:p w14:paraId="13531404">
      <w:pPr>
        <w:pStyle w:val="76"/>
        <w:spacing w:line="400" w:lineRule="exact"/>
        <w:ind w:right="-21" w:rightChars="-10" w:firstLine="560"/>
        <w:rPr>
          <w:rFonts w:ascii="仿宋_GB2312" w:eastAsia="仿宋_GB2312"/>
          <w:color w:val="auto"/>
          <w:sz w:val="28"/>
          <w:szCs w:val="28"/>
        </w:rPr>
      </w:pPr>
      <w:r>
        <w:rPr>
          <w:rFonts w:hint="eastAsia" w:ascii="仿宋_GB2312" w:eastAsia="仿宋_GB2312"/>
          <w:color w:val="auto"/>
          <w:sz w:val="28"/>
          <w:szCs w:val="28"/>
        </w:rPr>
        <w:t>项目名称：</w:t>
      </w:r>
      <w:r>
        <w:rPr>
          <w:rFonts w:ascii="仿宋_GB2312" w:eastAsia="仿宋_GB2312"/>
          <w:color w:val="auto"/>
          <w:sz w:val="28"/>
          <w:szCs w:val="28"/>
        </w:rPr>
        <w:t>柳州职业技术大学“新能源汽车数字商贸产教融合基地”软件部分采购</w:t>
      </w:r>
    </w:p>
    <w:p w14:paraId="52E24537">
      <w:pPr>
        <w:pStyle w:val="76"/>
        <w:spacing w:line="400" w:lineRule="exact"/>
        <w:ind w:right="-21" w:rightChars="-10" w:firstLine="560"/>
        <w:rPr>
          <w:rFonts w:ascii="仿宋_GB2312" w:eastAsia="仿宋_GB2312"/>
          <w:color w:val="auto"/>
          <w:sz w:val="28"/>
          <w:szCs w:val="28"/>
        </w:rPr>
      </w:pPr>
      <w:r>
        <w:rPr>
          <w:rFonts w:hint="eastAsia" w:ascii="仿宋_GB2312" w:eastAsia="仿宋_GB2312"/>
          <w:color w:val="auto"/>
          <w:sz w:val="28"/>
          <w:szCs w:val="28"/>
        </w:rPr>
        <w:t>预算总金额</w:t>
      </w:r>
      <w:bookmarkStart w:id="4" w:name="_Hlk50568912"/>
      <w:r>
        <w:rPr>
          <w:rFonts w:hint="eastAsia" w:ascii="仿宋_GB2312" w:eastAsia="仿宋_GB2312"/>
          <w:color w:val="auto"/>
          <w:sz w:val="28"/>
          <w:szCs w:val="28"/>
        </w:rPr>
        <w:t>（元）</w:t>
      </w:r>
      <w:bookmarkEnd w:id="4"/>
      <w:r>
        <w:rPr>
          <w:rFonts w:hint="eastAsia" w:ascii="仿宋_GB2312" w:eastAsia="仿宋_GB2312"/>
          <w:color w:val="auto"/>
          <w:sz w:val="28"/>
          <w:szCs w:val="28"/>
        </w:rPr>
        <w:t>：</w:t>
      </w:r>
      <w:r>
        <w:rPr>
          <w:rFonts w:ascii="仿宋_GB2312" w:hAnsi="Times New Roman" w:eastAsia="仿宋_GB2312"/>
          <w:color w:val="auto"/>
          <w:sz w:val="28"/>
          <w:szCs w:val="28"/>
        </w:rPr>
        <w:t>1650000</w:t>
      </w:r>
    </w:p>
    <w:p w14:paraId="64E164B1">
      <w:pPr>
        <w:spacing w:line="400" w:lineRule="exact"/>
        <w:ind w:right="-21" w:rightChars="-10" w:firstLine="560" w:firstLineChars="200"/>
        <w:rPr>
          <w:rFonts w:ascii="仿宋_GB2312" w:eastAsia="仿宋_GB2312"/>
          <w:color w:val="auto"/>
          <w:sz w:val="28"/>
          <w:szCs w:val="28"/>
        </w:rPr>
      </w:pPr>
      <w:r>
        <w:rPr>
          <w:rFonts w:hint="eastAsia" w:ascii="仿宋_GB2312" w:eastAsia="仿宋_GB2312"/>
          <w:color w:val="auto"/>
          <w:sz w:val="28"/>
          <w:szCs w:val="28"/>
        </w:rPr>
        <w:t>采购需求：</w:t>
      </w:r>
    </w:p>
    <w:p w14:paraId="687568DC">
      <w:pPr>
        <w:spacing w:line="400" w:lineRule="exact"/>
        <w:ind w:right="-330" w:rightChars="-157"/>
        <w:rPr>
          <w:rFonts w:ascii="仿宋" w:hAnsi="仿宋" w:eastAsia="仿宋"/>
          <w:bCs/>
          <w:color w:val="auto"/>
          <w:sz w:val="24"/>
        </w:rPr>
      </w:pPr>
      <w:r>
        <w:rPr>
          <w:rFonts w:hint="eastAsia" w:ascii="仿宋_GB2312" w:eastAsia="仿宋_GB2312"/>
          <w:color w:val="auto"/>
          <w:sz w:val="24"/>
        </w:rPr>
        <w:t>标项一</w:t>
      </w:r>
    </w:p>
    <w:p w14:paraId="231E7E56">
      <w:pPr>
        <w:spacing w:line="400" w:lineRule="exact"/>
        <w:ind w:right="-330" w:rightChars="-157"/>
        <w:rPr>
          <w:rFonts w:ascii="仿宋" w:hAnsi="仿宋" w:eastAsia="仿宋"/>
          <w:bCs/>
          <w:color w:val="auto"/>
          <w:sz w:val="24"/>
        </w:rPr>
      </w:pPr>
      <w:r>
        <w:rPr>
          <w:rFonts w:ascii="仿宋" w:hAnsi="仿宋" w:eastAsia="仿宋"/>
          <w:bCs/>
          <w:color w:val="auto"/>
          <w:sz w:val="24"/>
        </w:rPr>
        <w:t>标项名称：</w:t>
      </w:r>
      <w:r>
        <w:rPr>
          <w:rFonts w:hint="eastAsia" w:ascii="仿宋" w:hAnsi="仿宋" w:eastAsia="仿宋"/>
          <w:bCs/>
          <w:color w:val="auto"/>
          <w:sz w:val="24"/>
        </w:rPr>
        <w:t>全媒体内容制作应用系统</w:t>
      </w:r>
      <w:r>
        <w:rPr>
          <w:rFonts w:ascii="仿宋" w:hAnsi="仿宋" w:eastAsia="仿宋"/>
          <w:bCs/>
          <w:color w:val="auto"/>
          <w:sz w:val="24"/>
        </w:rPr>
        <w:t>采购</w:t>
      </w:r>
      <w:r>
        <w:rPr>
          <w:rFonts w:ascii="仿宋" w:hAnsi="仿宋" w:eastAsia="仿宋"/>
          <w:bCs/>
          <w:color w:val="auto"/>
          <w:sz w:val="24"/>
        </w:rPr>
        <w:cr/>
      </w:r>
      <w:r>
        <w:rPr>
          <w:rFonts w:ascii="仿宋" w:hAnsi="仿宋" w:eastAsia="仿宋"/>
          <w:bCs/>
          <w:color w:val="auto"/>
          <w:sz w:val="24"/>
        </w:rPr>
        <w:t>数量：1</w:t>
      </w:r>
      <w:r>
        <w:rPr>
          <w:rFonts w:ascii="仿宋" w:hAnsi="仿宋" w:eastAsia="仿宋"/>
          <w:bCs/>
          <w:color w:val="auto"/>
          <w:sz w:val="24"/>
        </w:rPr>
        <w:cr/>
      </w:r>
      <w:r>
        <w:rPr>
          <w:rFonts w:ascii="仿宋" w:hAnsi="仿宋" w:eastAsia="仿宋"/>
          <w:bCs/>
          <w:color w:val="auto"/>
          <w:sz w:val="24"/>
        </w:rPr>
        <w:t>预算金额（元）：</w:t>
      </w:r>
      <w:r>
        <w:rPr>
          <w:rFonts w:hint="eastAsia" w:ascii="仿宋" w:hAnsi="仿宋" w:eastAsia="仿宋"/>
          <w:bCs/>
          <w:color w:val="auto"/>
          <w:sz w:val="24"/>
        </w:rPr>
        <w:t>25</w:t>
      </w:r>
      <w:r>
        <w:rPr>
          <w:rFonts w:ascii="仿宋" w:hAnsi="仿宋" w:eastAsia="仿宋"/>
          <w:bCs/>
          <w:color w:val="auto"/>
          <w:sz w:val="24"/>
        </w:rPr>
        <w:t>0000</w:t>
      </w:r>
      <w:r>
        <w:rPr>
          <w:rFonts w:ascii="仿宋" w:hAnsi="仿宋" w:eastAsia="仿宋"/>
          <w:bCs/>
          <w:color w:val="auto"/>
          <w:sz w:val="24"/>
        </w:rPr>
        <w:cr/>
      </w:r>
      <w:r>
        <w:rPr>
          <w:rFonts w:ascii="仿宋" w:hAnsi="仿宋" w:eastAsia="仿宋"/>
          <w:bCs/>
          <w:color w:val="auto"/>
          <w:sz w:val="24"/>
        </w:rPr>
        <w:t>简要规格描述或项目基本概况介绍、用途：</w:t>
      </w:r>
      <w:r>
        <w:rPr>
          <w:rFonts w:hint="eastAsia" w:ascii="仿宋" w:hAnsi="仿宋" w:eastAsia="仿宋"/>
          <w:bCs/>
          <w:color w:val="auto"/>
          <w:sz w:val="24"/>
        </w:rPr>
        <w:t>全媒体内容制作应用系统</w:t>
      </w:r>
      <w:r>
        <w:rPr>
          <w:rFonts w:ascii="仿宋" w:hAnsi="仿宋" w:eastAsia="仿宋"/>
          <w:bCs/>
          <w:color w:val="auto"/>
          <w:sz w:val="24"/>
        </w:rPr>
        <w:t>采购（具体内容详见招标文件第二章《采购需求》）</w:t>
      </w:r>
      <w:r>
        <w:rPr>
          <w:rFonts w:ascii="仿宋" w:hAnsi="仿宋" w:eastAsia="仿宋"/>
          <w:bCs/>
          <w:color w:val="auto"/>
          <w:sz w:val="24"/>
        </w:rPr>
        <w:cr/>
      </w:r>
      <w:r>
        <w:rPr>
          <w:rFonts w:ascii="仿宋" w:hAnsi="仿宋" w:eastAsia="仿宋"/>
          <w:bCs/>
          <w:color w:val="auto"/>
          <w:sz w:val="24"/>
        </w:rPr>
        <w:t>最高限价（如有）：</w:t>
      </w:r>
      <w:r>
        <w:rPr>
          <w:rFonts w:hint="eastAsia" w:ascii="仿宋" w:hAnsi="仿宋" w:eastAsia="仿宋"/>
          <w:bCs/>
          <w:color w:val="auto"/>
          <w:sz w:val="24"/>
        </w:rPr>
        <w:t>25</w:t>
      </w:r>
      <w:r>
        <w:rPr>
          <w:rFonts w:ascii="仿宋" w:hAnsi="仿宋" w:eastAsia="仿宋"/>
          <w:bCs/>
          <w:color w:val="auto"/>
          <w:sz w:val="24"/>
        </w:rPr>
        <w:t>0000</w:t>
      </w:r>
      <w:r>
        <w:rPr>
          <w:rFonts w:ascii="仿宋" w:hAnsi="仿宋" w:eastAsia="仿宋"/>
          <w:bCs/>
          <w:color w:val="auto"/>
          <w:sz w:val="24"/>
        </w:rPr>
        <w:cr/>
      </w:r>
      <w:r>
        <w:rPr>
          <w:rFonts w:ascii="仿宋" w:hAnsi="仿宋" w:eastAsia="仿宋"/>
          <w:bCs/>
          <w:color w:val="auto"/>
          <w:sz w:val="24"/>
        </w:rPr>
        <w:t>合同履约期限：自签订合同之日起</w:t>
      </w:r>
      <w:r>
        <w:rPr>
          <w:rFonts w:hint="eastAsia" w:ascii="仿宋" w:hAnsi="仿宋" w:eastAsia="仿宋"/>
          <w:bCs/>
          <w:color w:val="auto"/>
          <w:sz w:val="24"/>
        </w:rPr>
        <w:t>30</w:t>
      </w:r>
      <w:r>
        <w:rPr>
          <w:rFonts w:ascii="仿宋" w:hAnsi="仿宋" w:eastAsia="仿宋"/>
          <w:bCs/>
          <w:color w:val="auto"/>
          <w:sz w:val="24"/>
        </w:rPr>
        <w:t>日内安装调试完毕，验收合格并交付使用。</w:t>
      </w:r>
      <w:r>
        <w:rPr>
          <w:rFonts w:ascii="仿宋" w:hAnsi="仿宋" w:eastAsia="仿宋"/>
          <w:bCs/>
          <w:color w:val="auto"/>
          <w:sz w:val="24"/>
        </w:rPr>
        <w:cr/>
      </w:r>
      <w:r>
        <w:rPr>
          <w:rFonts w:ascii="仿宋" w:hAnsi="仿宋" w:eastAsia="仿宋"/>
          <w:bCs/>
          <w:color w:val="auto"/>
          <w:sz w:val="24"/>
        </w:rPr>
        <w:t>本标项（否）接受联合体投标</w:t>
      </w:r>
      <w:r>
        <w:rPr>
          <w:rFonts w:ascii="仿宋" w:hAnsi="仿宋" w:eastAsia="仿宋"/>
          <w:bCs/>
          <w:color w:val="auto"/>
          <w:sz w:val="24"/>
        </w:rPr>
        <w:cr/>
      </w:r>
      <w:r>
        <w:rPr>
          <w:rFonts w:ascii="仿宋" w:hAnsi="仿宋" w:eastAsia="仿宋"/>
          <w:bCs/>
          <w:color w:val="auto"/>
          <w:sz w:val="24"/>
        </w:rPr>
        <w:t>备注：本项目为线上电子招标项目，有意向参与本项目的供应商应当做好参与全流程电子招投标交易的充分准备。</w:t>
      </w:r>
    </w:p>
    <w:p w14:paraId="551EAC47">
      <w:pPr>
        <w:spacing w:line="400" w:lineRule="exact"/>
        <w:ind w:right="-330" w:rightChars="-157"/>
        <w:rPr>
          <w:rFonts w:ascii="仿宋" w:hAnsi="仿宋" w:eastAsia="仿宋"/>
          <w:bCs/>
          <w:color w:val="auto"/>
          <w:sz w:val="24"/>
        </w:rPr>
      </w:pPr>
    </w:p>
    <w:p w14:paraId="065E6CB0">
      <w:pPr>
        <w:spacing w:line="400" w:lineRule="exact"/>
        <w:ind w:right="-330" w:rightChars="-157"/>
        <w:rPr>
          <w:rFonts w:ascii="仿宋" w:hAnsi="仿宋" w:eastAsia="仿宋"/>
          <w:bCs/>
          <w:color w:val="auto"/>
          <w:sz w:val="24"/>
        </w:rPr>
      </w:pPr>
      <w:r>
        <w:rPr>
          <w:rFonts w:hint="eastAsia" w:ascii="仿宋_GB2312" w:eastAsia="仿宋_GB2312"/>
          <w:color w:val="auto"/>
          <w:sz w:val="24"/>
        </w:rPr>
        <w:t>标项二</w:t>
      </w:r>
    </w:p>
    <w:p w14:paraId="2AFFE4C5">
      <w:pPr>
        <w:spacing w:line="400" w:lineRule="exact"/>
        <w:ind w:right="-330" w:rightChars="-157"/>
        <w:rPr>
          <w:rFonts w:ascii="仿宋" w:hAnsi="仿宋" w:eastAsia="仿宋"/>
          <w:bCs/>
          <w:color w:val="auto"/>
          <w:sz w:val="24"/>
        </w:rPr>
      </w:pPr>
      <w:r>
        <w:rPr>
          <w:rFonts w:ascii="仿宋" w:hAnsi="仿宋" w:eastAsia="仿宋"/>
          <w:bCs/>
          <w:color w:val="auto"/>
          <w:sz w:val="24"/>
        </w:rPr>
        <w:t>标项名称：</w:t>
      </w:r>
      <w:r>
        <w:rPr>
          <w:rFonts w:hint="eastAsia" w:ascii="仿宋" w:hAnsi="仿宋" w:eastAsia="仿宋"/>
          <w:bCs/>
          <w:color w:val="auto"/>
          <w:sz w:val="24"/>
        </w:rPr>
        <w:t>商务大数据分析实训平台</w:t>
      </w:r>
      <w:r>
        <w:rPr>
          <w:rFonts w:ascii="仿宋" w:hAnsi="仿宋" w:eastAsia="仿宋"/>
          <w:bCs/>
          <w:color w:val="auto"/>
          <w:sz w:val="24"/>
        </w:rPr>
        <w:t>采购</w:t>
      </w:r>
      <w:r>
        <w:rPr>
          <w:rFonts w:ascii="仿宋" w:hAnsi="仿宋" w:eastAsia="仿宋"/>
          <w:bCs/>
          <w:color w:val="auto"/>
          <w:sz w:val="24"/>
        </w:rPr>
        <w:cr/>
      </w:r>
      <w:r>
        <w:rPr>
          <w:rFonts w:ascii="仿宋" w:hAnsi="仿宋" w:eastAsia="仿宋"/>
          <w:bCs/>
          <w:color w:val="auto"/>
          <w:sz w:val="24"/>
        </w:rPr>
        <w:t>数量：1</w:t>
      </w:r>
      <w:r>
        <w:rPr>
          <w:rFonts w:ascii="仿宋" w:hAnsi="仿宋" w:eastAsia="仿宋"/>
          <w:bCs/>
          <w:color w:val="auto"/>
          <w:sz w:val="24"/>
        </w:rPr>
        <w:cr/>
      </w:r>
      <w:r>
        <w:rPr>
          <w:rFonts w:ascii="仿宋" w:hAnsi="仿宋" w:eastAsia="仿宋"/>
          <w:bCs/>
          <w:color w:val="auto"/>
          <w:sz w:val="24"/>
        </w:rPr>
        <w:t>预算金额（元）：</w:t>
      </w:r>
      <w:r>
        <w:rPr>
          <w:rFonts w:hint="eastAsia" w:ascii="仿宋" w:hAnsi="仿宋" w:eastAsia="仿宋"/>
          <w:bCs/>
          <w:color w:val="auto"/>
          <w:sz w:val="24"/>
        </w:rPr>
        <w:t>21</w:t>
      </w:r>
      <w:r>
        <w:rPr>
          <w:rFonts w:ascii="仿宋" w:hAnsi="仿宋" w:eastAsia="仿宋"/>
          <w:bCs/>
          <w:color w:val="auto"/>
          <w:sz w:val="24"/>
        </w:rPr>
        <w:t>0000</w:t>
      </w:r>
      <w:r>
        <w:rPr>
          <w:rFonts w:ascii="仿宋" w:hAnsi="仿宋" w:eastAsia="仿宋"/>
          <w:bCs/>
          <w:color w:val="auto"/>
          <w:sz w:val="24"/>
        </w:rPr>
        <w:cr/>
      </w:r>
      <w:r>
        <w:rPr>
          <w:rFonts w:ascii="仿宋" w:hAnsi="仿宋" w:eastAsia="仿宋"/>
          <w:bCs/>
          <w:color w:val="auto"/>
          <w:sz w:val="24"/>
        </w:rPr>
        <w:t>简要规格描述或项目基本概况介绍、用途：</w:t>
      </w:r>
      <w:r>
        <w:rPr>
          <w:rFonts w:hint="eastAsia" w:ascii="仿宋" w:hAnsi="仿宋" w:eastAsia="仿宋"/>
          <w:bCs/>
          <w:color w:val="auto"/>
          <w:sz w:val="24"/>
        </w:rPr>
        <w:t>商务大数据分析实训平台</w:t>
      </w:r>
      <w:r>
        <w:rPr>
          <w:rFonts w:ascii="仿宋" w:hAnsi="仿宋" w:eastAsia="仿宋"/>
          <w:bCs/>
          <w:color w:val="auto"/>
          <w:sz w:val="24"/>
        </w:rPr>
        <w:t>采购（具体内容详见招标文件第二章《采购需求》）</w:t>
      </w:r>
      <w:r>
        <w:rPr>
          <w:rFonts w:ascii="仿宋" w:hAnsi="仿宋" w:eastAsia="仿宋"/>
          <w:bCs/>
          <w:color w:val="auto"/>
          <w:sz w:val="24"/>
        </w:rPr>
        <w:cr/>
      </w:r>
      <w:r>
        <w:rPr>
          <w:rFonts w:ascii="仿宋" w:hAnsi="仿宋" w:eastAsia="仿宋"/>
          <w:bCs/>
          <w:color w:val="auto"/>
          <w:sz w:val="24"/>
        </w:rPr>
        <w:t>最高限价（如有）：</w:t>
      </w:r>
      <w:r>
        <w:rPr>
          <w:rFonts w:hint="eastAsia" w:ascii="仿宋" w:hAnsi="仿宋" w:eastAsia="仿宋"/>
          <w:bCs/>
          <w:color w:val="auto"/>
          <w:sz w:val="24"/>
        </w:rPr>
        <w:t>21</w:t>
      </w:r>
      <w:r>
        <w:rPr>
          <w:rFonts w:ascii="仿宋" w:hAnsi="仿宋" w:eastAsia="仿宋"/>
          <w:bCs/>
          <w:color w:val="auto"/>
          <w:sz w:val="24"/>
        </w:rPr>
        <w:t>0000</w:t>
      </w:r>
      <w:r>
        <w:rPr>
          <w:rFonts w:ascii="仿宋" w:hAnsi="仿宋" w:eastAsia="仿宋"/>
          <w:bCs/>
          <w:color w:val="auto"/>
          <w:sz w:val="24"/>
        </w:rPr>
        <w:cr/>
      </w:r>
      <w:r>
        <w:rPr>
          <w:rFonts w:ascii="仿宋" w:hAnsi="仿宋" w:eastAsia="仿宋"/>
          <w:bCs/>
          <w:color w:val="auto"/>
          <w:sz w:val="24"/>
        </w:rPr>
        <w:t>合同履约期限：自签订合同之日起</w:t>
      </w:r>
      <w:r>
        <w:rPr>
          <w:rFonts w:hint="eastAsia" w:ascii="仿宋" w:hAnsi="仿宋" w:eastAsia="仿宋"/>
          <w:bCs/>
          <w:color w:val="auto"/>
          <w:sz w:val="24"/>
        </w:rPr>
        <w:t>30</w:t>
      </w:r>
      <w:r>
        <w:rPr>
          <w:rFonts w:ascii="仿宋" w:hAnsi="仿宋" w:eastAsia="仿宋"/>
          <w:bCs/>
          <w:color w:val="auto"/>
          <w:sz w:val="24"/>
        </w:rPr>
        <w:t>日内安装调试完毕，验收合格并交付使用。</w:t>
      </w:r>
      <w:r>
        <w:rPr>
          <w:rFonts w:ascii="仿宋" w:hAnsi="仿宋" w:eastAsia="仿宋"/>
          <w:bCs/>
          <w:color w:val="auto"/>
          <w:sz w:val="24"/>
        </w:rPr>
        <w:cr/>
      </w:r>
      <w:r>
        <w:rPr>
          <w:rFonts w:ascii="仿宋" w:hAnsi="仿宋" w:eastAsia="仿宋"/>
          <w:bCs/>
          <w:color w:val="auto"/>
          <w:sz w:val="24"/>
        </w:rPr>
        <w:t>本标项（否）接受联合体投标</w:t>
      </w:r>
      <w:r>
        <w:rPr>
          <w:rFonts w:ascii="仿宋" w:hAnsi="仿宋" w:eastAsia="仿宋"/>
          <w:bCs/>
          <w:color w:val="auto"/>
          <w:sz w:val="24"/>
        </w:rPr>
        <w:cr/>
      </w:r>
      <w:r>
        <w:rPr>
          <w:rFonts w:ascii="仿宋" w:hAnsi="仿宋" w:eastAsia="仿宋"/>
          <w:bCs/>
          <w:color w:val="auto"/>
          <w:sz w:val="24"/>
        </w:rPr>
        <w:t>备注：本项目为线上电子招标项目，有意向参与本项目的供应商应当做好参与全流程电子招投标交易的充分准备。</w:t>
      </w:r>
    </w:p>
    <w:p w14:paraId="44088AE9">
      <w:pPr>
        <w:spacing w:line="400" w:lineRule="exact"/>
        <w:ind w:right="-330" w:rightChars="-157"/>
        <w:rPr>
          <w:rFonts w:ascii="仿宋" w:hAnsi="仿宋" w:eastAsia="仿宋"/>
          <w:bCs/>
          <w:color w:val="auto"/>
          <w:sz w:val="24"/>
        </w:rPr>
      </w:pPr>
    </w:p>
    <w:p w14:paraId="7226B0ED">
      <w:pPr>
        <w:spacing w:line="400" w:lineRule="exact"/>
        <w:ind w:right="-330" w:rightChars="-157"/>
        <w:rPr>
          <w:rFonts w:ascii="仿宋" w:hAnsi="仿宋" w:eastAsia="仿宋"/>
          <w:bCs/>
          <w:color w:val="auto"/>
          <w:sz w:val="24"/>
        </w:rPr>
      </w:pPr>
      <w:r>
        <w:rPr>
          <w:rFonts w:hint="eastAsia" w:ascii="仿宋_GB2312" w:eastAsia="仿宋_GB2312"/>
          <w:color w:val="auto"/>
          <w:sz w:val="24"/>
        </w:rPr>
        <w:t>标项三</w:t>
      </w:r>
    </w:p>
    <w:p w14:paraId="3855103F">
      <w:pPr>
        <w:spacing w:line="400" w:lineRule="exact"/>
        <w:ind w:right="-330" w:rightChars="-157"/>
        <w:rPr>
          <w:rFonts w:ascii="仿宋" w:hAnsi="仿宋" w:eastAsia="仿宋"/>
          <w:bCs/>
          <w:color w:val="auto"/>
          <w:sz w:val="24"/>
        </w:rPr>
      </w:pPr>
      <w:r>
        <w:rPr>
          <w:rFonts w:ascii="仿宋" w:hAnsi="仿宋" w:eastAsia="仿宋"/>
          <w:bCs/>
          <w:color w:val="auto"/>
          <w:sz w:val="24"/>
        </w:rPr>
        <w:t>标项名称：</w:t>
      </w:r>
      <w:r>
        <w:rPr>
          <w:rFonts w:hint="eastAsia" w:ascii="仿宋" w:hAnsi="仿宋" w:eastAsia="仿宋"/>
          <w:bCs/>
          <w:color w:val="auto"/>
          <w:sz w:val="24"/>
        </w:rPr>
        <w:t>电子商务师职业技能等级认证系统、互联网营销师赛证融通系统</w:t>
      </w:r>
      <w:r>
        <w:rPr>
          <w:rFonts w:ascii="仿宋" w:hAnsi="仿宋" w:eastAsia="仿宋"/>
          <w:bCs/>
          <w:color w:val="auto"/>
          <w:sz w:val="24"/>
        </w:rPr>
        <w:t>采购</w:t>
      </w:r>
      <w:r>
        <w:rPr>
          <w:rFonts w:ascii="仿宋" w:hAnsi="仿宋" w:eastAsia="仿宋"/>
          <w:bCs/>
          <w:color w:val="auto"/>
          <w:sz w:val="24"/>
        </w:rPr>
        <w:cr/>
      </w:r>
      <w:r>
        <w:rPr>
          <w:rFonts w:ascii="仿宋" w:hAnsi="仿宋" w:eastAsia="仿宋"/>
          <w:bCs/>
          <w:color w:val="auto"/>
          <w:sz w:val="24"/>
        </w:rPr>
        <w:t>数量：1</w:t>
      </w:r>
      <w:r>
        <w:rPr>
          <w:rFonts w:ascii="仿宋" w:hAnsi="仿宋" w:eastAsia="仿宋"/>
          <w:bCs/>
          <w:color w:val="auto"/>
          <w:sz w:val="24"/>
        </w:rPr>
        <w:cr/>
      </w:r>
      <w:r>
        <w:rPr>
          <w:rFonts w:ascii="仿宋" w:hAnsi="仿宋" w:eastAsia="仿宋"/>
          <w:bCs/>
          <w:color w:val="auto"/>
          <w:sz w:val="24"/>
        </w:rPr>
        <w:t>预算金额（元）：</w:t>
      </w:r>
      <w:r>
        <w:rPr>
          <w:rFonts w:hint="eastAsia" w:ascii="仿宋" w:hAnsi="仿宋" w:eastAsia="仿宋"/>
          <w:bCs/>
          <w:color w:val="auto"/>
          <w:sz w:val="24"/>
        </w:rPr>
        <w:t>50</w:t>
      </w:r>
      <w:r>
        <w:rPr>
          <w:rFonts w:ascii="仿宋" w:hAnsi="仿宋" w:eastAsia="仿宋"/>
          <w:bCs/>
          <w:color w:val="auto"/>
          <w:sz w:val="24"/>
        </w:rPr>
        <w:t>0000</w:t>
      </w:r>
      <w:r>
        <w:rPr>
          <w:rFonts w:ascii="仿宋" w:hAnsi="仿宋" w:eastAsia="仿宋"/>
          <w:bCs/>
          <w:color w:val="auto"/>
          <w:sz w:val="24"/>
        </w:rPr>
        <w:cr/>
      </w:r>
      <w:r>
        <w:rPr>
          <w:rFonts w:ascii="仿宋" w:hAnsi="仿宋" w:eastAsia="仿宋"/>
          <w:bCs/>
          <w:color w:val="auto"/>
          <w:sz w:val="24"/>
        </w:rPr>
        <w:t>简要规格描述或项目基本概况介绍、用途：</w:t>
      </w:r>
      <w:r>
        <w:rPr>
          <w:rFonts w:hint="eastAsia" w:ascii="仿宋" w:hAnsi="仿宋" w:eastAsia="仿宋"/>
          <w:bCs/>
          <w:color w:val="auto"/>
          <w:sz w:val="24"/>
        </w:rPr>
        <w:t>电子商务师职业技能等级认证系统、互联网营销师赛证融通系统</w:t>
      </w:r>
      <w:r>
        <w:rPr>
          <w:rFonts w:ascii="仿宋" w:hAnsi="仿宋" w:eastAsia="仿宋"/>
          <w:bCs/>
          <w:color w:val="auto"/>
          <w:sz w:val="24"/>
        </w:rPr>
        <w:t>采购（具体内容详见招标文件第二章《采购需求》）</w:t>
      </w:r>
      <w:r>
        <w:rPr>
          <w:rFonts w:ascii="仿宋" w:hAnsi="仿宋" w:eastAsia="仿宋"/>
          <w:bCs/>
          <w:color w:val="auto"/>
          <w:sz w:val="24"/>
        </w:rPr>
        <w:cr/>
      </w:r>
      <w:r>
        <w:rPr>
          <w:rFonts w:ascii="仿宋" w:hAnsi="仿宋" w:eastAsia="仿宋"/>
          <w:bCs/>
          <w:color w:val="auto"/>
          <w:sz w:val="24"/>
        </w:rPr>
        <w:t>最高限价（如有）：</w:t>
      </w:r>
      <w:r>
        <w:rPr>
          <w:rFonts w:hint="eastAsia" w:ascii="仿宋" w:hAnsi="仿宋" w:eastAsia="仿宋"/>
          <w:bCs/>
          <w:color w:val="auto"/>
          <w:sz w:val="24"/>
        </w:rPr>
        <w:t>50</w:t>
      </w:r>
      <w:r>
        <w:rPr>
          <w:rFonts w:ascii="仿宋" w:hAnsi="仿宋" w:eastAsia="仿宋"/>
          <w:bCs/>
          <w:color w:val="auto"/>
          <w:sz w:val="24"/>
        </w:rPr>
        <w:t>0000</w:t>
      </w:r>
      <w:r>
        <w:rPr>
          <w:rFonts w:ascii="仿宋" w:hAnsi="仿宋" w:eastAsia="仿宋"/>
          <w:bCs/>
          <w:color w:val="auto"/>
          <w:sz w:val="24"/>
        </w:rPr>
        <w:cr/>
      </w:r>
      <w:r>
        <w:rPr>
          <w:rFonts w:ascii="仿宋" w:hAnsi="仿宋" w:eastAsia="仿宋"/>
          <w:bCs/>
          <w:color w:val="auto"/>
          <w:sz w:val="24"/>
        </w:rPr>
        <w:t>合同履约期限：自签订合同之日起</w:t>
      </w:r>
      <w:r>
        <w:rPr>
          <w:rFonts w:hint="eastAsia" w:ascii="仿宋" w:hAnsi="仿宋" w:eastAsia="仿宋"/>
          <w:bCs/>
          <w:color w:val="auto"/>
          <w:sz w:val="24"/>
        </w:rPr>
        <w:t>30</w:t>
      </w:r>
      <w:r>
        <w:rPr>
          <w:rFonts w:ascii="仿宋" w:hAnsi="仿宋" w:eastAsia="仿宋"/>
          <w:bCs/>
          <w:color w:val="auto"/>
          <w:sz w:val="24"/>
        </w:rPr>
        <w:t>日内安装调试完毕，验收合格并交付使用。</w:t>
      </w:r>
      <w:r>
        <w:rPr>
          <w:rFonts w:ascii="仿宋" w:hAnsi="仿宋" w:eastAsia="仿宋"/>
          <w:bCs/>
          <w:color w:val="auto"/>
          <w:sz w:val="24"/>
        </w:rPr>
        <w:cr/>
      </w:r>
      <w:r>
        <w:rPr>
          <w:rFonts w:ascii="仿宋" w:hAnsi="仿宋" w:eastAsia="仿宋"/>
          <w:bCs/>
          <w:color w:val="auto"/>
          <w:sz w:val="24"/>
        </w:rPr>
        <w:t>本标项（否）接受联合体投标</w:t>
      </w:r>
      <w:r>
        <w:rPr>
          <w:rFonts w:ascii="仿宋" w:hAnsi="仿宋" w:eastAsia="仿宋"/>
          <w:bCs/>
          <w:color w:val="auto"/>
          <w:sz w:val="24"/>
        </w:rPr>
        <w:cr/>
      </w:r>
      <w:r>
        <w:rPr>
          <w:rFonts w:ascii="仿宋" w:hAnsi="仿宋" w:eastAsia="仿宋"/>
          <w:bCs/>
          <w:color w:val="auto"/>
          <w:sz w:val="24"/>
        </w:rPr>
        <w:t>备注：本项目为线上电子招标项目，有意向参与本项目的供应商应当做好参与全流程电子招投标交易的充分准备。</w:t>
      </w:r>
    </w:p>
    <w:p w14:paraId="362DDAEF">
      <w:pPr>
        <w:spacing w:line="400" w:lineRule="exact"/>
        <w:ind w:right="-330" w:rightChars="-157"/>
        <w:rPr>
          <w:rFonts w:ascii="仿宋" w:hAnsi="仿宋" w:eastAsia="仿宋"/>
          <w:bCs/>
          <w:color w:val="auto"/>
          <w:sz w:val="24"/>
        </w:rPr>
      </w:pPr>
    </w:p>
    <w:p w14:paraId="0C9B54C7">
      <w:pPr>
        <w:spacing w:line="400" w:lineRule="exact"/>
        <w:ind w:right="-330" w:rightChars="-157"/>
        <w:rPr>
          <w:rFonts w:ascii="仿宋_GB2312" w:eastAsia="仿宋_GB2312"/>
          <w:color w:val="auto"/>
          <w:sz w:val="24"/>
        </w:rPr>
      </w:pPr>
      <w:r>
        <w:rPr>
          <w:rFonts w:hint="eastAsia" w:ascii="仿宋_GB2312" w:eastAsia="仿宋_GB2312"/>
          <w:color w:val="auto"/>
          <w:sz w:val="24"/>
        </w:rPr>
        <w:t>标项四</w:t>
      </w:r>
    </w:p>
    <w:p w14:paraId="6237AE03">
      <w:pPr>
        <w:spacing w:line="400" w:lineRule="exact"/>
        <w:ind w:right="-330" w:rightChars="-157"/>
        <w:rPr>
          <w:rFonts w:ascii="仿宋" w:hAnsi="仿宋" w:eastAsia="仿宋"/>
          <w:bCs/>
          <w:color w:val="auto"/>
          <w:sz w:val="24"/>
        </w:rPr>
      </w:pPr>
      <w:r>
        <w:rPr>
          <w:rFonts w:ascii="仿宋" w:hAnsi="仿宋" w:eastAsia="仿宋"/>
          <w:bCs/>
          <w:color w:val="auto"/>
          <w:sz w:val="24"/>
        </w:rPr>
        <w:t>标项名称：</w:t>
      </w:r>
      <w:r>
        <w:rPr>
          <w:rFonts w:hint="eastAsia" w:ascii="仿宋" w:hAnsi="仿宋" w:eastAsia="仿宋"/>
          <w:bCs/>
          <w:color w:val="auto"/>
          <w:sz w:val="24"/>
        </w:rPr>
        <w:t>跨境电商数字营销综合实训平台</w:t>
      </w:r>
      <w:r>
        <w:rPr>
          <w:rFonts w:ascii="仿宋" w:hAnsi="仿宋" w:eastAsia="仿宋"/>
          <w:bCs/>
          <w:color w:val="auto"/>
          <w:sz w:val="24"/>
        </w:rPr>
        <w:t>采购</w:t>
      </w:r>
      <w:r>
        <w:rPr>
          <w:rFonts w:ascii="仿宋" w:hAnsi="仿宋" w:eastAsia="仿宋"/>
          <w:bCs/>
          <w:color w:val="auto"/>
          <w:sz w:val="24"/>
        </w:rPr>
        <w:cr/>
      </w:r>
      <w:r>
        <w:rPr>
          <w:rFonts w:ascii="仿宋" w:hAnsi="仿宋" w:eastAsia="仿宋"/>
          <w:bCs/>
          <w:color w:val="auto"/>
          <w:sz w:val="24"/>
        </w:rPr>
        <w:t>数量：1</w:t>
      </w:r>
      <w:r>
        <w:rPr>
          <w:rFonts w:ascii="仿宋" w:hAnsi="仿宋" w:eastAsia="仿宋"/>
          <w:bCs/>
          <w:color w:val="auto"/>
          <w:sz w:val="24"/>
        </w:rPr>
        <w:cr/>
      </w:r>
      <w:r>
        <w:rPr>
          <w:rFonts w:ascii="仿宋" w:hAnsi="仿宋" w:eastAsia="仿宋"/>
          <w:bCs/>
          <w:color w:val="auto"/>
          <w:sz w:val="24"/>
        </w:rPr>
        <w:t>预算金额（元）：</w:t>
      </w:r>
      <w:r>
        <w:rPr>
          <w:rFonts w:hint="eastAsia" w:ascii="仿宋" w:hAnsi="仿宋" w:eastAsia="仿宋"/>
          <w:bCs/>
          <w:color w:val="auto"/>
          <w:sz w:val="24"/>
        </w:rPr>
        <w:t>30</w:t>
      </w:r>
      <w:r>
        <w:rPr>
          <w:rFonts w:ascii="仿宋" w:hAnsi="仿宋" w:eastAsia="仿宋"/>
          <w:bCs/>
          <w:color w:val="auto"/>
          <w:sz w:val="24"/>
        </w:rPr>
        <w:t>0000</w:t>
      </w:r>
      <w:r>
        <w:rPr>
          <w:rFonts w:ascii="仿宋" w:hAnsi="仿宋" w:eastAsia="仿宋"/>
          <w:bCs/>
          <w:color w:val="auto"/>
          <w:sz w:val="24"/>
        </w:rPr>
        <w:cr/>
      </w:r>
      <w:r>
        <w:rPr>
          <w:rFonts w:ascii="仿宋" w:hAnsi="仿宋" w:eastAsia="仿宋"/>
          <w:bCs/>
          <w:color w:val="auto"/>
          <w:sz w:val="24"/>
        </w:rPr>
        <w:t>简要规格描述或项目基本概况介绍、用途：</w:t>
      </w:r>
      <w:r>
        <w:rPr>
          <w:rFonts w:hint="eastAsia" w:ascii="仿宋" w:hAnsi="仿宋" w:eastAsia="仿宋"/>
          <w:bCs/>
          <w:color w:val="auto"/>
          <w:sz w:val="24"/>
        </w:rPr>
        <w:t>跨境电商数字营销综合实训平台</w:t>
      </w:r>
      <w:r>
        <w:rPr>
          <w:rFonts w:ascii="仿宋" w:hAnsi="仿宋" w:eastAsia="仿宋"/>
          <w:bCs/>
          <w:color w:val="auto"/>
          <w:sz w:val="24"/>
        </w:rPr>
        <w:t>采购（具体内容详见招标文件第二章《采购需求》）</w:t>
      </w:r>
      <w:r>
        <w:rPr>
          <w:rFonts w:ascii="仿宋" w:hAnsi="仿宋" w:eastAsia="仿宋"/>
          <w:bCs/>
          <w:color w:val="auto"/>
          <w:sz w:val="24"/>
        </w:rPr>
        <w:cr/>
      </w:r>
      <w:r>
        <w:rPr>
          <w:rFonts w:ascii="仿宋" w:hAnsi="仿宋" w:eastAsia="仿宋"/>
          <w:bCs/>
          <w:color w:val="auto"/>
          <w:sz w:val="24"/>
        </w:rPr>
        <w:t>最高限价（如有）：</w:t>
      </w:r>
      <w:r>
        <w:rPr>
          <w:rFonts w:hint="eastAsia" w:ascii="仿宋" w:hAnsi="仿宋" w:eastAsia="仿宋"/>
          <w:bCs/>
          <w:color w:val="auto"/>
          <w:sz w:val="24"/>
        </w:rPr>
        <w:t>30</w:t>
      </w:r>
      <w:r>
        <w:rPr>
          <w:rFonts w:ascii="仿宋" w:hAnsi="仿宋" w:eastAsia="仿宋"/>
          <w:bCs/>
          <w:color w:val="auto"/>
          <w:sz w:val="24"/>
        </w:rPr>
        <w:t>0000</w:t>
      </w:r>
      <w:r>
        <w:rPr>
          <w:rFonts w:ascii="仿宋" w:hAnsi="仿宋" w:eastAsia="仿宋"/>
          <w:bCs/>
          <w:color w:val="auto"/>
          <w:sz w:val="24"/>
        </w:rPr>
        <w:cr/>
      </w:r>
      <w:r>
        <w:rPr>
          <w:rFonts w:ascii="仿宋" w:hAnsi="仿宋" w:eastAsia="仿宋"/>
          <w:bCs/>
          <w:color w:val="auto"/>
          <w:sz w:val="24"/>
        </w:rPr>
        <w:t>合同履约期限：自签订合同之日起</w:t>
      </w:r>
      <w:r>
        <w:rPr>
          <w:rFonts w:hint="eastAsia" w:ascii="仿宋" w:hAnsi="仿宋" w:eastAsia="仿宋"/>
          <w:bCs/>
          <w:color w:val="auto"/>
          <w:sz w:val="24"/>
        </w:rPr>
        <w:t>30</w:t>
      </w:r>
      <w:r>
        <w:rPr>
          <w:rFonts w:ascii="仿宋" w:hAnsi="仿宋" w:eastAsia="仿宋"/>
          <w:bCs/>
          <w:color w:val="auto"/>
          <w:sz w:val="24"/>
        </w:rPr>
        <w:t>日内安装调试完毕，验收合格并交付使用。</w:t>
      </w:r>
      <w:r>
        <w:rPr>
          <w:rFonts w:ascii="仿宋" w:hAnsi="仿宋" w:eastAsia="仿宋"/>
          <w:bCs/>
          <w:color w:val="auto"/>
          <w:sz w:val="24"/>
        </w:rPr>
        <w:cr/>
      </w:r>
      <w:r>
        <w:rPr>
          <w:rFonts w:ascii="仿宋" w:hAnsi="仿宋" w:eastAsia="仿宋"/>
          <w:bCs/>
          <w:color w:val="auto"/>
          <w:sz w:val="24"/>
        </w:rPr>
        <w:t>本标项（否）接受联合体投标</w:t>
      </w:r>
      <w:r>
        <w:rPr>
          <w:rFonts w:ascii="仿宋" w:hAnsi="仿宋" w:eastAsia="仿宋"/>
          <w:bCs/>
          <w:color w:val="auto"/>
          <w:sz w:val="24"/>
        </w:rPr>
        <w:cr/>
      </w:r>
      <w:r>
        <w:rPr>
          <w:rFonts w:ascii="仿宋" w:hAnsi="仿宋" w:eastAsia="仿宋"/>
          <w:bCs/>
          <w:color w:val="auto"/>
          <w:sz w:val="24"/>
        </w:rPr>
        <w:t>备注：本项目为线上电子招标项目，有意向参与本项目的供应商应当做好参与全流程电子招投标交易的充分准备。</w:t>
      </w:r>
    </w:p>
    <w:p w14:paraId="2B6942E9">
      <w:pPr>
        <w:spacing w:line="400" w:lineRule="exact"/>
        <w:ind w:right="-330" w:rightChars="-157"/>
        <w:rPr>
          <w:rFonts w:ascii="仿宋_GB2312" w:eastAsia="仿宋_GB2312"/>
          <w:color w:val="auto"/>
          <w:sz w:val="24"/>
        </w:rPr>
      </w:pPr>
    </w:p>
    <w:p w14:paraId="737F1885">
      <w:pPr>
        <w:spacing w:line="400" w:lineRule="exact"/>
        <w:ind w:right="-330" w:rightChars="-157"/>
        <w:rPr>
          <w:rFonts w:ascii="仿宋" w:hAnsi="仿宋" w:eastAsia="仿宋_GB2312"/>
          <w:bCs/>
          <w:color w:val="auto"/>
          <w:sz w:val="24"/>
        </w:rPr>
      </w:pPr>
      <w:r>
        <w:rPr>
          <w:rFonts w:hint="eastAsia" w:ascii="仿宋_GB2312" w:eastAsia="仿宋_GB2312"/>
          <w:color w:val="auto"/>
          <w:sz w:val="24"/>
        </w:rPr>
        <w:t>标项五</w:t>
      </w:r>
    </w:p>
    <w:p w14:paraId="6A8451FB">
      <w:pPr>
        <w:spacing w:line="400" w:lineRule="exact"/>
        <w:ind w:right="-330" w:rightChars="-157"/>
        <w:rPr>
          <w:rFonts w:ascii="仿宋" w:hAnsi="仿宋" w:eastAsia="仿宋"/>
          <w:bCs/>
          <w:color w:val="auto"/>
          <w:sz w:val="24"/>
        </w:rPr>
      </w:pPr>
      <w:r>
        <w:rPr>
          <w:rFonts w:ascii="仿宋" w:hAnsi="仿宋" w:eastAsia="仿宋"/>
          <w:bCs/>
          <w:color w:val="auto"/>
          <w:sz w:val="24"/>
        </w:rPr>
        <w:t>标项名称：</w:t>
      </w:r>
      <w:r>
        <w:rPr>
          <w:rFonts w:hint="eastAsia" w:ascii="仿宋" w:hAnsi="仿宋" w:eastAsia="仿宋"/>
          <w:bCs/>
          <w:color w:val="auto"/>
          <w:sz w:val="24"/>
        </w:rPr>
        <w:t>直播电商一体化实训软件</w:t>
      </w:r>
      <w:r>
        <w:rPr>
          <w:rFonts w:ascii="仿宋" w:hAnsi="仿宋" w:eastAsia="仿宋"/>
          <w:bCs/>
          <w:color w:val="auto"/>
          <w:sz w:val="24"/>
        </w:rPr>
        <w:t>采购</w:t>
      </w:r>
      <w:r>
        <w:rPr>
          <w:rFonts w:ascii="仿宋" w:hAnsi="仿宋" w:eastAsia="仿宋"/>
          <w:bCs/>
          <w:color w:val="auto"/>
          <w:sz w:val="24"/>
        </w:rPr>
        <w:cr/>
      </w:r>
      <w:r>
        <w:rPr>
          <w:rFonts w:ascii="仿宋" w:hAnsi="仿宋" w:eastAsia="仿宋"/>
          <w:bCs/>
          <w:color w:val="auto"/>
          <w:sz w:val="24"/>
        </w:rPr>
        <w:t>数量：1</w:t>
      </w:r>
      <w:r>
        <w:rPr>
          <w:rFonts w:ascii="仿宋" w:hAnsi="仿宋" w:eastAsia="仿宋"/>
          <w:bCs/>
          <w:color w:val="auto"/>
          <w:sz w:val="24"/>
        </w:rPr>
        <w:cr/>
      </w:r>
      <w:r>
        <w:rPr>
          <w:rFonts w:ascii="仿宋" w:hAnsi="仿宋" w:eastAsia="仿宋"/>
          <w:bCs/>
          <w:color w:val="auto"/>
          <w:sz w:val="24"/>
        </w:rPr>
        <w:t>预算金额（元）：</w:t>
      </w:r>
      <w:r>
        <w:rPr>
          <w:rFonts w:hint="eastAsia" w:ascii="仿宋" w:hAnsi="仿宋" w:eastAsia="仿宋"/>
          <w:bCs/>
          <w:color w:val="auto"/>
          <w:sz w:val="24"/>
        </w:rPr>
        <w:t>39</w:t>
      </w:r>
      <w:r>
        <w:rPr>
          <w:rFonts w:ascii="仿宋" w:hAnsi="仿宋" w:eastAsia="仿宋"/>
          <w:bCs/>
          <w:color w:val="auto"/>
          <w:sz w:val="24"/>
        </w:rPr>
        <w:t>0000</w:t>
      </w:r>
      <w:r>
        <w:rPr>
          <w:rFonts w:ascii="仿宋" w:hAnsi="仿宋" w:eastAsia="仿宋"/>
          <w:bCs/>
          <w:color w:val="auto"/>
          <w:sz w:val="24"/>
        </w:rPr>
        <w:cr/>
      </w:r>
      <w:r>
        <w:rPr>
          <w:rFonts w:ascii="仿宋" w:hAnsi="仿宋" w:eastAsia="仿宋"/>
          <w:bCs/>
          <w:color w:val="auto"/>
          <w:sz w:val="24"/>
        </w:rPr>
        <w:t>简要规格描述或项目基本概况介绍、用途：</w:t>
      </w:r>
      <w:r>
        <w:rPr>
          <w:rFonts w:hint="eastAsia" w:ascii="仿宋" w:hAnsi="仿宋" w:eastAsia="仿宋"/>
          <w:bCs/>
          <w:color w:val="auto"/>
          <w:sz w:val="24"/>
        </w:rPr>
        <w:t>直播电商一体化实训软件</w:t>
      </w:r>
      <w:r>
        <w:rPr>
          <w:rFonts w:ascii="仿宋" w:hAnsi="仿宋" w:eastAsia="仿宋"/>
          <w:bCs/>
          <w:color w:val="auto"/>
          <w:sz w:val="24"/>
        </w:rPr>
        <w:t>采购（具体内容详见招标文件第二章《采购需求》）</w:t>
      </w:r>
      <w:r>
        <w:rPr>
          <w:rFonts w:ascii="仿宋" w:hAnsi="仿宋" w:eastAsia="仿宋"/>
          <w:bCs/>
          <w:color w:val="auto"/>
          <w:sz w:val="24"/>
        </w:rPr>
        <w:cr/>
      </w:r>
      <w:r>
        <w:rPr>
          <w:rFonts w:ascii="仿宋" w:hAnsi="仿宋" w:eastAsia="仿宋"/>
          <w:bCs/>
          <w:color w:val="auto"/>
          <w:sz w:val="24"/>
        </w:rPr>
        <w:t>最高限价（如有）：</w:t>
      </w:r>
      <w:r>
        <w:rPr>
          <w:rFonts w:hint="eastAsia" w:ascii="仿宋" w:hAnsi="仿宋" w:eastAsia="仿宋"/>
          <w:bCs/>
          <w:color w:val="auto"/>
          <w:sz w:val="24"/>
        </w:rPr>
        <w:t>39</w:t>
      </w:r>
      <w:r>
        <w:rPr>
          <w:rFonts w:ascii="仿宋" w:hAnsi="仿宋" w:eastAsia="仿宋"/>
          <w:bCs/>
          <w:color w:val="auto"/>
          <w:sz w:val="24"/>
        </w:rPr>
        <w:t>0000</w:t>
      </w:r>
      <w:r>
        <w:rPr>
          <w:rFonts w:ascii="仿宋" w:hAnsi="仿宋" w:eastAsia="仿宋"/>
          <w:bCs/>
          <w:color w:val="auto"/>
          <w:sz w:val="24"/>
        </w:rPr>
        <w:cr/>
      </w:r>
      <w:r>
        <w:rPr>
          <w:rFonts w:ascii="仿宋" w:hAnsi="仿宋" w:eastAsia="仿宋"/>
          <w:bCs/>
          <w:color w:val="auto"/>
          <w:sz w:val="24"/>
        </w:rPr>
        <w:t>合同履约期限：自签订合同之日起</w:t>
      </w:r>
      <w:r>
        <w:rPr>
          <w:rFonts w:hint="eastAsia" w:ascii="仿宋" w:hAnsi="仿宋" w:eastAsia="仿宋"/>
          <w:bCs/>
          <w:color w:val="auto"/>
          <w:sz w:val="24"/>
        </w:rPr>
        <w:t>30</w:t>
      </w:r>
      <w:r>
        <w:rPr>
          <w:rFonts w:ascii="仿宋" w:hAnsi="仿宋" w:eastAsia="仿宋"/>
          <w:bCs/>
          <w:color w:val="auto"/>
          <w:sz w:val="24"/>
        </w:rPr>
        <w:t>日内安装调试完毕，验收合格并交付使用。</w:t>
      </w:r>
      <w:r>
        <w:rPr>
          <w:rFonts w:ascii="仿宋" w:hAnsi="仿宋" w:eastAsia="仿宋"/>
          <w:bCs/>
          <w:color w:val="auto"/>
          <w:sz w:val="24"/>
        </w:rPr>
        <w:cr/>
      </w:r>
      <w:r>
        <w:rPr>
          <w:rFonts w:ascii="仿宋" w:hAnsi="仿宋" w:eastAsia="仿宋"/>
          <w:bCs/>
          <w:color w:val="auto"/>
          <w:sz w:val="24"/>
        </w:rPr>
        <w:t>本标项（否）接受联合体投标</w:t>
      </w:r>
      <w:r>
        <w:rPr>
          <w:rFonts w:ascii="仿宋" w:hAnsi="仿宋" w:eastAsia="仿宋"/>
          <w:bCs/>
          <w:color w:val="auto"/>
          <w:sz w:val="24"/>
        </w:rPr>
        <w:cr/>
      </w:r>
      <w:r>
        <w:rPr>
          <w:rFonts w:ascii="仿宋" w:hAnsi="仿宋" w:eastAsia="仿宋"/>
          <w:bCs/>
          <w:color w:val="auto"/>
          <w:sz w:val="24"/>
        </w:rPr>
        <w:t>备注：本项目为线上电子招标项目，有意向参与本项目的供应商应当做好参与全流程电子招投标交易的充分准备。</w:t>
      </w:r>
    </w:p>
    <w:p w14:paraId="33405EF7">
      <w:pPr>
        <w:pStyle w:val="4"/>
        <w:spacing w:line="400" w:lineRule="exact"/>
        <w:ind w:right="-21" w:rightChars="-10" w:firstLine="562" w:firstLineChars="200"/>
        <w:jc w:val="both"/>
        <w:rPr>
          <w:rFonts w:ascii="黑体" w:hAnsi="黑体" w:eastAsia="黑体" w:cs="黑体"/>
          <w:bCs/>
          <w:color w:val="auto"/>
          <w:sz w:val="28"/>
          <w:szCs w:val="28"/>
        </w:rPr>
      </w:pPr>
      <w:bookmarkStart w:id="5" w:name="_Hlk53504529"/>
      <w:r>
        <w:rPr>
          <w:rFonts w:hint="eastAsia" w:ascii="黑体" w:hAnsi="黑体" w:eastAsia="黑体" w:cs="黑体"/>
          <w:bCs/>
          <w:color w:val="auto"/>
          <w:sz w:val="28"/>
          <w:szCs w:val="28"/>
        </w:rPr>
        <w:t>二、申请人的资格要求</w:t>
      </w:r>
    </w:p>
    <w:bookmarkEnd w:id="5"/>
    <w:p w14:paraId="1B882EA8">
      <w:pPr>
        <w:pStyle w:val="76"/>
        <w:spacing w:line="400" w:lineRule="exact"/>
        <w:ind w:right="-21" w:rightChars="-10" w:firstLine="560"/>
        <w:rPr>
          <w:rFonts w:ascii="仿宋_GB2312" w:eastAsia="仿宋_GB2312"/>
          <w:color w:val="auto"/>
          <w:sz w:val="28"/>
          <w:szCs w:val="28"/>
        </w:rPr>
      </w:pPr>
      <w:r>
        <w:rPr>
          <w:rFonts w:hint="eastAsia" w:ascii="仿宋_GB2312" w:hAnsi="仿宋_GB2312" w:eastAsia="仿宋_GB2312" w:cs="仿宋_GB2312"/>
          <w:color w:val="auto"/>
          <w:sz w:val="28"/>
          <w:szCs w:val="28"/>
        </w:rPr>
        <w:t>1.</w:t>
      </w:r>
      <w:r>
        <w:rPr>
          <w:rFonts w:hint="eastAsia" w:ascii="仿宋_GB2312" w:eastAsia="仿宋_GB2312"/>
          <w:color w:val="auto"/>
          <w:sz w:val="28"/>
          <w:szCs w:val="28"/>
        </w:rPr>
        <w:t>满足《中华人民共和国政府采购法》第二十二条规定；</w:t>
      </w:r>
    </w:p>
    <w:p w14:paraId="4742D370">
      <w:pPr>
        <w:pStyle w:val="76"/>
        <w:spacing w:line="400" w:lineRule="exact"/>
        <w:ind w:right="-21" w:rightChars="-10" w:firstLine="560"/>
        <w:rPr>
          <w:rFonts w:ascii="仿宋_GB2312" w:eastAsia="仿宋_GB2312"/>
          <w:color w:val="auto"/>
          <w:sz w:val="28"/>
          <w:szCs w:val="28"/>
        </w:rPr>
      </w:pPr>
      <w:r>
        <w:rPr>
          <w:rFonts w:hint="eastAsia" w:ascii="仿宋_GB2312" w:hAnsi="仿宋_GB2312" w:eastAsia="仿宋_GB2312" w:cs="仿宋_GB2312"/>
          <w:color w:val="auto"/>
          <w:sz w:val="28"/>
          <w:szCs w:val="28"/>
        </w:rPr>
        <w:t>2</w:t>
      </w:r>
      <w:r>
        <w:rPr>
          <w:rFonts w:ascii="仿宋_GB2312" w:hAnsi="仿宋_GB2312" w:eastAsia="仿宋_GB2312" w:cs="仿宋_GB2312"/>
          <w:color w:val="auto"/>
          <w:sz w:val="28"/>
          <w:szCs w:val="28"/>
        </w:rPr>
        <w:t>.</w:t>
      </w:r>
      <w:r>
        <w:rPr>
          <w:rFonts w:hint="eastAsia" w:ascii="仿宋_GB2312" w:eastAsia="仿宋_GB2312"/>
          <w:color w:val="auto"/>
          <w:sz w:val="28"/>
          <w:szCs w:val="28"/>
        </w:rPr>
        <w:t>落实政府采购政策需满足的资格要求：</w:t>
      </w:r>
      <w:r>
        <w:rPr>
          <w:rFonts w:ascii="仿宋_GB2312" w:eastAsia="仿宋_GB2312"/>
          <w:color w:val="auto"/>
          <w:sz w:val="28"/>
          <w:szCs w:val="28"/>
        </w:rPr>
        <w:t>本项目</w:t>
      </w:r>
      <w:r>
        <w:rPr>
          <w:rFonts w:hint="eastAsia" w:ascii="仿宋_GB2312" w:eastAsia="仿宋_GB2312"/>
          <w:color w:val="auto"/>
          <w:sz w:val="28"/>
          <w:szCs w:val="28"/>
          <w:lang w:val="en-US" w:eastAsia="zh-CN"/>
        </w:rPr>
        <w:t>分标1、2、3、4、5</w:t>
      </w:r>
      <w:r>
        <w:rPr>
          <w:rFonts w:ascii="仿宋_GB2312" w:eastAsia="仿宋_GB2312"/>
          <w:color w:val="auto"/>
          <w:sz w:val="28"/>
          <w:szCs w:val="28"/>
        </w:rPr>
        <w:t>属于专门面向中小企业采购的项目，监狱企业、残疾人福利单位视同小型、微型企业；中小企业须符合本项目采购标的所属行业对应的中小企业划分标准；</w:t>
      </w:r>
    </w:p>
    <w:p w14:paraId="12E0B5D6">
      <w:pPr>
        <w:pStyle w:val="76"/>
        <w:spacing w:line="400" w:lineRule="exact"/>
        <w:ind w:right="-21" w:rightChars="-10" w:firstLine="560"/>
        <w:rPr>
          <w:rFonts w:ascii="仿宋_GB2312" w:eastAsia="仿宋_GB2312"/>
          <w:color w:val="auto"/>
          <w:sz w:val="28"/>
          <w:szCs w:val="28"/>
        </w:rPr>
      </w:pPr>
      <w:r>
        <w:rPr>
          <w:rFonts w:hint="eastAsia" w:ascii="仿宋_GB2312" w:eastAsia="仿宋_GB2312"/>
          <w:color w:val="auto"/>
          <w:sz w:val="28"/>
          <w:szCs w:val="28"/>
        </w:rPr>
        <w:t>3</w:t>
      </w:r>
      <w:r>
        <w:rPr>
          <w:rFonts w:ascii="仿宋_GB2312" w:eastAsia="仿宋_GB2312"/>
          <w:color w:val="auto"/>
          <w:sz w:val="28"/>
          <w:szCs w:val="28"/>
        </w:rPr>
        <w:t>.</w:t>
      </w:r>
      <w:r>
        <w:rPr>
          <w:rFonts w:hint="eastAsia" w:ascii="仿宋_GB2312" w:eastAsia="仿宋_GB2312"/>
          <w:color w:val="auto"/>
          <w:sz w:val="28"/>
          <w:szCs w:val="28"/>
        </w:rPr>
        <w:t>本项目的特定资格要求：</w:t>
      </w:r>
      <w:r>
        <w:rPr>
          <w:rFonts w:ascii="仿宋_GB2312" w:eastAsia="仿宋_GB2312"/>
          <w:color w:val="auto"/>
          <w:sz w:val="28"/>
          <w:szCs w:val="28"/>
        </w:rPr>
        <w:t>无；</w:t>
      </w:r>
    </w:p>
    <w:p w14:paraId="49AEFEA3">
      <w:pPr>
        <w:pStyle w:val="4"/>
        <w:spacing w:line="400" w:lineRule="exact"/>
        <w:ind w:right="-21" w:rightChars="-10" w:firstLine="562" w:firstLineChars="200"/>
        <w:jc w:val="both"/>
        <w:rPr>
          <w:rFonts w:ascii="黑体" w:hAnsi="黑体" w:eastAsia="黑体" w:cs="黑体"/>
          <w:bCs/>
          <w:color w:val="auto"/>
          <w:sz w:val="28"/>
          <w:szCs w:val="28"/>
        </w:rPr>
      </w:pPr>
      <w:bookmarkStart w:id="6" w:name="_Toc35393623"/>
      <w:bookmarkStart w:id="7" w:name="_Toc35393792"/>
      <w:r>
        <w:rPr>
          <w:rFonts w:hint="eastAsia" w:ascii="黑体" w:hAnsi="黑体" w:eastAsia="黑体" w:cs="黑体"/>
          <w:bCs/>
          <w:color w:val="auto"/>
          <w:sz w:val="28"/>
          <w:szCs w:val="28"/>
        </w:rPr>
        <w:t>三、</w:t>
      </w:r>
      <w:bookmarkEnd w:id="6"/>
      <w:bookmarkEnd w:id="7"/>
      <w:r>
        <w:rPr>
          <w:rFonts w:hint="eastAsia" w:ascii="黑体" w:hAnsi="黑体" w:eastAsia="黑体" w:cs="黑体"/>
          <w:bCs/>
          <w:color w:val="auto"/>
          <w:sz w:val="28"/>
          <w:szCs w:val="28"/>
        </w:rPr>
        <w:t>获取招标文件</w:t>
      </w:r>
    </w:p>
    <w:p w14:paraId="1A4D6C5D">
      <w:pPr>
        <w:spacing w:line="400" w:lineRule="exact"/>
        <w:ind w:right="-21" w:rightChars="-10" w:firstLine="540"/>
        <w:rPr>
          <w:rFonts w:ascii="仿宋_GB2312" w:hAnsi="Calibri" w:eastAsia="仿宋_GB2312"/>
          <w:color w:val="auto"/>
          <w:sz w:val="28"/>
          <w:szCs w:val="28"/>
        </w:rPr>
      </w:pPr>
      <w:r>
        <w:rPr>
          <w:rFonts w:hint="eastAsia" w:ascii="仿宋_GB2312" w:eastAsia="仿宋_GB2312"/>
          <w:color w:val="auto"/>
          <w:sz w:val="28"/>
          <w:szCs w:val="28"/>
        </w:rPr>
        <w:t>时间：</w:t>
      </w:r>
      <w:r>
        <w:rPr>
          <w:rFonts w:hint="eastAsia" w:ascii="仿宋_GB2312" w:hAnsi="Calibri" w:eastAsia="仿宋_GB2312"/>
          <w:color w:val="auto"/>
          <w:sz w:val="28"/>
          <w:szCs w:val="28"/>
        </w:rPr>
        <w:t>XX年XX月XX日</w:t>
      </w:r>
      <w:r>
        <w:rPr>
          <w:rFonts w:hint="eastAsia" w:ascii="仿宋_GB2312" w:eastAsia="仿宋_GB2312"/>
          <w:color w:val="auto"/>
          <w:sz w:val="28"/>
          <w:szCs w:val="28"/>
        </w:rPr>
        <w:t>至</w:t>
      </w:r>
      <w:r>
        <w:rPr>
          <w:rFonts w:ascii="仿宋_GB2312" w:hAnsi="Calibri" w:eastAsia="仿宋_GB2312"/>
          <w:color w:val="auto"/>
          <w:sz w:val="28"/>
          <w:szCs w:val="28"/>
        </w:rPr>
        <w:t>XX年XX月XX日</w:t>
      </w:r>
      <w:r>
        <w:rPr>
          <w:rFonts w:hint="eastAsia" w:ascii="仿宋_GB2312" w:hAnsi="仿宋_GB2312" w:eastAsia="仿宋_GB2312" w:cs="仿宋_GB2312"/>
          <w:color w:val="auto"/>
          <w:sz w:val="28"/>
          <w:szCs w:val="28"/>
        </w:rPr>
        <w:t>，每天上午08:00至12:00，下午12:00至21:00（北京时间，法定节假日除外）</w:t>
      </w:r>
    </w:p>
    <w:p w14:paraId="0809732C">
      <w:pPr>
        <w:spacing w:line="480" w:lineRule="exact"/>
        <w:ind w:right="-21" w:rightChars="-10"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地点（网址）：广西政府采购云平台（https://www.gcy.zfcg.gxzf.gov.cn/）</w:t>
      </w:r>
    </w:p>
    <w:p w14:paraId="1D1C3811">
      <w:pPr>
        <w:spacing w:line="480" w:lineRule="exact"/>
        <w:ind w:right="-21" w:rightChars="-10" w:firstLine="560" w:firstLineChars="200"/>
        <w:rPr>
          <w:rFonts w:ascii="仿宋_GB2312" w:hAnsi="仿宋_GB2312" w:eastAsia="仿宋_GB2312" w:cs="仿宋_GB2312"/>
          <w:color w:val="auto"/>
          <w:sz w:val="28"/>
          <w:szCs w:val="28"/>
          <w:u w:val="single"/>
        </w:rPr>
      </w:pPr>
      <w:r>
        <w:rPr>
          <w:rFonts w:hint="eastAsia" w:ascii="仿宋_GB2312" w:hAnsi="仿宋_GB2312" w:eastAsia="仿宋_GB2312" w:cs="仿宋_GB2312"/>
          <w:color w:val="auto"/>
          <w:sz w:val="28"/>
          <w:szCs w:val="28"/>
        </w:rPr>
        <w:t>方式：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46048941">
      <w:pPr>
        <w:spacing w:line="480" w:lineRule="exact"/>
        <w:ind w:right="-21" w:rightChars="-10"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售价（元）：0</w:t>
      </w:r>
    </w:p>
    <w:p w14:paraId="573459E8">
      <w:pPr>
        <w:pStyle w:val="4"/>
        <w:spacing w:line="400" w:lineRule="exact"/>
        <w:ind w:right="-21" w:rightChars="-10" w:firstLine="562" w:firstLineChars="200"/>
        <w:jc w:val="both"/>
        <w:rPr>
          <w:rFonts w:ascii="黑体" w:hAnsi="黑体" w:eastAsia="黑体" w:cs="黑体"/>
          <w:bCs/>
          <w:color w:val="auto"/>
          <w:sz w:val="28"/>
          <w:szCs w:val="28"/>
        </w:rPr>
      </w:pPr>
      <w:bookmarkStart w:id="8" w:name="_Toc35393793"/>
      <w:bookmarkStart w:id="9" w:name="_Toc28359005"/>
      <w:bookmarkStart w:id="10" w:name="_Toc28359082"/>
      <w:bookmarkStart w:id="11" w:name="_Toc35393624"/>
      <w:r>
        <w:rPr>
          <w:rFonts w:hint="eastAsia" w:ascii="黑体" w:hAnsi="黑体" w:eastAsia="黑体" w:cs="黑体"/>
          <w:bCs/>
          <w:color w:val="auto"/>
          <w:sz w:val="28"/>
          <w:szCs w:val="28"/>
        </w:rPr>
        <w:t>四、</w:t>
      </w:r>
      <w:bookmarkEnd w:id="8"/>
      <w:bookmarkEnd w:id="9"/>
      <w:bookmarkEnd w:id="10"/>
      <w:bookmarkEnd w:id="11"/>
      <w:r>
        <w:rPr>
          <w:rFonts w:hint="eastAsia" w:ascii="黑体" w:hAnsi="黑体" w:eastAsia="黑体" w:cs="黑体"/>
          <w:bCs/>
          <w:color w:val="auto"/>
          <w:sz w:val="28"/>
          <w:szCs w:val="28"/>
        </w:rPr>
        <w:t>提交投标文件截止时间、开标时间和地点</w:t>
      </w:r>
    </w:p>
    <w:p w14:paraId="3F67447D">
      <w:pPr>
        <w:spacing w:line="400" w:lineRule="exact"/>
        <w:ind w:right="-21" w:rightChars="-10" w:firstLine="560" w:firstLineChars="200"/>
        <w:rPr>
          <w:rFonts w:ascii="仿宋" w:hAnsi="仿宋" w:eastAsia="仿宋"/>
          <w:bCs/>
          <w:color w:val="auto"/>
          <w:sz w:val="28"/>
          <w:szCs w:val="28"/>
          <w:u w:val="single"/>
        </w:rPr>
      </w:pPr>
      <w:r>
        <w:rPr>
          <w:rFonts w:hint="eastAsia" w:ascii="仿宋_GB2312" w:hAnsi="仿宋_GB2312" w:eastAsia="仿宋_GB2312" w:cs="仿宋_GB2312"/>
          <w:color w:val="auto"/>
          <w:sz w:val="28"/>
          <w:szCs w:val="28"/>
        </w:rPr>
        <w:t>提交投标文件截止时间：</w:t>
      </w:r>
      <w:r>
        <w:rPr>
          <w:rFonts w:ascii="仿宋_GB2312" w:hAnsi="仿宋_GB2312" w:eastAsia="仿宋_GB2312" w:cs="仿宋_GB2312"/>
          <w:bCs/>
          <w:color w:val="auto"/>
          <w:sz w:val="28"/>
          <w:szCs w:val="28"/>
        </w:rPr>
        <w:t>2025年XX月XX日 09:20</w:t>
      </w:r>
      <w:r>
        <w:rPr>
          <w:rFonts w:hint="eastAsia" w:ascii="仿宋_GB2312" w:eastAsia="仿宋_GB2312"/>
          <w:color w:val="auto"/>
          <w:sz w:val="28"/>
          <w:szCs w:val="28"/>
        </w:rPr>
        <w:t>（北京时间）</w:t>
      </w:r>
    </w:p>
    <w:p w14:paraId="71036F63">
      <w:pPr>
        <w:spacing w:line="480" w:lineRule="exact"/>
        <w:ind w:right="-21" w:rightChars="-10"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color w:val="auto"/>
          <w:sz w:val="28"/>
          <w:szCs w:val="28"/>
        </w:rPr>
        <w:t>投标地点（网址）：广西政府采购云平台（https://www.gcy.zfcg.gxzf.gov.cn/）</w:t>
      </w:r>
      <w:r>
        <w:rPr>
          <w:rFonts w:ascii="仿宋" w:hAnsi="仿宋" w:eastAsia="仿宋" w:cs="仿宋"/>
          <w:color w:val="auto"/>
          <w:sz w:val="27"/>
          <w:szCs w:val="27"/>
        </w:rPr>
        <w:t>（</w:t>
      </w:r>
      <w:r>
        <w:rPr>
          <w:rFonts w:hint="eastAsia" w:ascii="仿宋_GB2312" w:hAnsi="仿宋_GB2312" w:eastAsia="仿宋_GB2312" w:cs="仿宋_GB2312"/>
          <w:bCs/>
          <w:color w:val="auto"/>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color w:val="auto"/>
          <w:sz w:val="28"/>
          <w:szCs w:val="28"/>
        </w:rPr>
        <w:t>未按规定编制并加密的电子投标文件，</w:t>
      </w:r>
      <w:r>
        <w:rPr>
          <w:rFonts w:hint="eastAsia" w:ascii="仿宋_GB2312" w:hAnsi="仿宋_GB2312" w:eastAsia="仿宋_GB2312" w:cs="仿宋_GB2312"/>
          <w:bCs/>
          <w:color w:val="auto"/>
          <w:sz w:val="28"/>
          <w:szCs w:val="28"/>
        </w:rPr>
        <w:t>将被广西政府采购云平台拒收。</w:t>
      </w:r>
      <w:r>
        <w:rPr>
          <w:rFonts w:ascii="仿宋" w:hAnsi="仿宋" w:eastAsia="仿宋" w:cs="仿宋"/>
          <w:color w:val="auto"/>
          <w:sz w:val="27"/>
          <w:szCs w:val="27"/>
        </w:rPr>
        <w:t>）</w:t>
      </w:r>
    </w:p>
    <w:p w14:paraId="0C7F143D">
      <w:pPr>
        <w:spacing w:line="480" w:lineRule="exact"/>
        <w:ind w:right="-21" w:rightChars="-10"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开标时间：</w:t>
      </w:r>
      <w:r>
        <w:rPr>
          <w:rFonts w:ascii="仿宋_GB2312" w:eastAsia="仿宋_GB2312"/>
          <w:bCs/>
          <w:color w:val="auto"/>
          <w:sz w:val="28"/>
          <w:szCs w:val="28"/>
        </w:rPr>
        <w:t>2025年XX月XX日 09:20</w:t>
      </w:r>
    </w:p>
    <w:p w14:paraId="64359E0B">
      <w:pPr>
        <w:spacing w:line="480" w:lineRule="exact"/>
        <w:ind w:right="-21" w:rightChars="-10"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color w:val="auto"/>
          <w:sz w:val="28"/>
          <w:szCs w:val="28"/>
        </w:rPr>
        <w:t> 开标地点：广西政府采购云平台（https://www.gcy.zfcg.gxzf.gov.cn/）</w:t>
      </w:r>
    </w:p>
    <w:p w14:paraId="5BB86481">
      <w:pPr>
        <w:pStyle w:val="4"/>
        <w:spacing w:line="400" w:lineRule="exact"/>
        <w:ind w:right="-21" w:rightChars="-10" w:firstLine="562" w:firstLineChars="200"/>
        <w:jc w:val="both"/>
        <w:rPr>
          <w:rFonts w:ascii="黑体" w:hAnsi="黑体" w:eastAsia="黑体" w:cs="黑体"/>
          <w:bCs/>
          <w:color w:val="auto"/>
          <w:sz w:val="28"/>
          <w:szCs w:val="28"/>
        </w:rPr>
      </w:pPr>
      <w:bookmarkStart w:id="12" w:name="_Toc35393625"/>
      <w:bookmarkStart w:id="13" w:name="_Toc28359084"/>
      <w:bookmarkStart w:id="14" w:name="_Toc35393794"/>
      <w:bookmarkStart w:id="15" w:name="_Toc28359007"/>
      <w:r>
        <w:rPr>
          <w:rFonts w:hint="eastAsia" w:ascii="黑体" w:hAnsi="黑体" w:eastAsia="黑体" w:cs="黑体"/>
          <w:bCs/>
          <w:color w:val="auto"/>
          <w:sz w:val="28"/>
          <w:szCs w:val="28"/>
        </w:rPr>
        <w:t>五、公告期限</w:t>
      </w:r>
      <w:bookmarkEnd w:id="12"/>
      <w:bookmarkEnd w:id="13"/>
      <w:bookmarkEnd w:id="14"/>
      <w:bookmarkEnd w:id="15"/>
    </w:p>
    <w:p w14:paraId="216201F8">
      <w:pPr>
        <w:spacing w:line="400" w:lineRule="exact"/>
        <w:ind w:right="-21" w:rightChars="-10" w:firstLine="560" w:firstLineChars="200"/>
        <w:rPr>
          <w:rFonts w:ascii="仿宋_GB2312" w:eastAsia="仿宋_GB2312"/>
          <w:color w:val="auto"/>
          <w:sz w:val="28"/>
          <w:szCs w:val="28"/>
        </w:rPr>
      </w:pPr>
      <w:r>
        <w:rPr>
          <w:rFonts w:hint="eastAsia" w:ascii="仿宋_GB2312" w:eastAsia="仿宋_GB2312"/>
          <w:color w:val="auto"/>
          <w:sz w:val="28"/>
          <w:szCs w:val="28"/>
        </w:rPr>
        <w:t>自本公告发布之日起5个工作日。</w:t>
      </w:r>
    </w:p>
    <w:p w14:paraId="6DB792E0">
      <w:pPr>
        <w:pStyle w:val="4"/>
        <w:spacing w:line="400" w:lineRule="exact"/>
        <w:ind w:right="-21" w:rightChars="-10" w:firstLine="562" w:firstLineChars="200"/>
        <w:jc w:val="both"/>
        <w:rPr>
          <w:rFonts w:ascii="仿宋_GB2312" w:hAnsi="仿宋_GB2312" w:eastAsia="仿宋_GB2312" w:cs="仿宋_GB2312"/>
          <w:bCs/>
          <w:color w:val="auto"/>
          <w:sz w:val="28"/>
          <w:szCs w:val="28"/>
        </w:rPr>
      </w:pPr>
      <w:bookmarkStart w:id="16" w:name="_Toc35393795"/>
      <w:bookmarkStart w:id="17" w:name="_Toc35393626"/>
      <w:r>
        <w:rPr>
          <w:rFonts w:hint="eastAsia" w:ascii="黑体" w:hAnsi="黑体" w:eastAsia="黑体" w:cs="黑体"/>
          <w:bCs/>
          <w:color w:val="auto"/>
          <w:sz w:val="28"/>
          <w:szCs w:val="28"/>
        </w:rPr>
        <w:t>六、其他补充事宜</w:t>
      </w:r>
      <w:bookmarkEnd w:id="16"/>
      <w:bookmarkEnd w:id="17"/>
    </w:p>
    <w:p w14:paraId="778DE8F0">
      <w:pPr>
        <w:pStyle w:val="76"/>
        <w:spacing w:line="400" w:lineRule="exact"/>
        <w:ind w:right="-21" w:rightChars="-10" w:firstLine="562"/>
        <w:rPr>
          <w:rFonts w:ascii="仿宋_GB2312" w:hAnsi="仿宋_GB2312" w:eastAsia="仿宋_GB2312" w:cs="仿宋_GB2312"/>
          <w:b/>
          <w:bCs/>
          <w:color w:val="auto"/>
          <w:sz w:val="28"/>
          <w:szCs w:val="28"/>
        </w:rPr>
      </w:pPr>
      <w:bookmarkStart w:id="18" w:name="_Hlk102729449"/>
      <w:r>
        <w:rPr>
          <w:rFonts w:hint="eastAsia" w:ascii="仿宋_GB2312" w:hAnsi="仿宋_GB2312" w:eastAsia="仿宋_GB2312" w:cs="仿宋_GB2312"/>
          <w:b/>
          <w:bCs/>
          <w:color w:val="auto"/>
          <w:sz w:val="28"/>
          <w:szCs w:val="28"/>
        </w:rPr>
        <w:t>（一）</w:t>
      </w:r>
      <w:bookmarkEnd w:id="18"/>
      <w:r>
        <w:rPr>
          <w:rFonts w:hint="eastAsia" w:ascii="仿宋_GB2312" w:hAnsi="仿宋_GB2312" w:eastAsia="仿宋_GB2312" w:cs="仿宋_GB2312"/>
          <w:b/>
          <w:bCs/>
          <w:color w:val="auto"/>
          <w:sz w:val="28"/>
          <w:szCs w:val="28"/>
        </w:rPr>
        <w:t>投标保证金：</w:t>
      </w:r>
      <w:r>
        <w:rPr>
          <w:rFonts w:hint="eastAsia" w:ascii="仿宋_GB2312" w:hAnsi="仿宋_GB2312" w:eastAsia="仿宋_GB2312" w:cs="仿宋_GB2312"/>
          <w:color w:val="auto"/>
          <w:sz w:val="28"/>
          <w:szCs w:val="28"/>
        </w:rPr>
        <w:t>本项目无须提交投标保证金。</w:t>
      </w:r>
    </w:p>
    <w:p w14:paraId="21D5C7E5">
      <w:pPr>
        <w:pStyle w:val="76"/>
        <w:spacing w:line="420" w:lineRule="exact"/>
        <w:ind w:firstLine="562"/>
        <w:rPr>
          <w:rFonts w:ascii="仿宋_GB2312" w:hAnsi="仿宋_GB2312" w:eastAsia="仿宋_GB2312" w:cs="仿宋_GB2312"/>
          <w:color w:val="auto"/>
          <w:sz w:val="28"/>
          <w:szCs w:val="28"/>
        </w:rPr>
      </w:pPr>
      <w:bookmarkStart w:id="19" w:name="_Hlk102729456"/>
      <w:r>
        <w:rPr>
          <w:rFonts w:hint="eastAsia" w:ascii="仿宋_GB2312" w:hAnsi="仿宋_GB2312" w:eastAsia="仿宋_GB2312" w:cs="仿宋_GB2312"/>
          <w:b/>
          <w:bCs/>
          <w:color w:val="auto"/>
          <w:sz w:val="28"/>
          <w:szCs w:val="28"/>
        </w:rPr>
        <w:t>（二）</w:t>
      </w:r>
      <w:bookmarkEnd w:id="19"/>
      <w:r>
        <w:rPr>
          <w:rFonts w:hint="eastAsia" w:ascii="仿宋_GB2312" w:hAnsi="仿宋_GB2312" w:eastAsia="仿宋_GB2312" w:cs="仿宋_GB2312"/>
          <w:b/>
          <w:bCs/>
          <w:color w:val="auto"/>
          <w:sz w:val="28"/>
          <w:szCs w:val="28"/>
        </w:rPr>
        <w:t>发布媒体：</w:t>
      </w:r>
      <w:r>
        <w:rPr>
          <w:rFonts w:hint="eastAsia" w:ascii="仿宋_GB2312" w:hAnsi="仿宋_GB2312" w:eastAsia="仿宋_GB2312" w:cs="仿宋_GB2312"/>
          <w:color w:val="auto"/>
          <w:sz w:val="28"/>
          <w:szCs w:val="28"/>
        </w:rPr>
        <w:t>中国政府采购网（www.ccgp.gov.cn）、广西壮族自治区政府采购网（zfcg.gxzf.gov.cn）、柳州市政府采购网（zfcg.lzscz.liuzhou.gov.cn）。</w:t>
      </w:r>
    </w:p>
    <w:p w14:paraId="1646B670">
      <w:pPr>
        <w:pStyle w:val="76"/>
        <w:spacing w:line="420" w:lineRule="exact"/>
        <w:ind w:firstLine="560"/>
        <w:rPr>
          <w:rFonts w:ascii="仿宋_GB2312" w:hAnsi="仿宋_GB2312" w:eastAsia="仿宋_GB2312" w:cs="仿宋_GB2312"/>
          <w:color w:val="auto"/>
          <w:sz w:val="28"/>
          <w:szCs w:val="28"/>
        </w:rPr>
      </w:pPr>
      <w:bookmarkStart w:id="20" w:name="_Hlk102729465"/>
      <w:bookmarkStart w:id="21" w:name="_Hlk93681467"/>
      <w:r>
        <w:rPr>
          <w:rFonts w:hint="eastAsia" w:ascii="仿宋_GB2312" w:hAnsi="仿宋_GB2312" w:eastAsia="仿宋_GB2312" w:cs="仿宋_GB2312"/>
          <w:color w:val="auto"/>
          <w:sz w:val="28"/>
          <w:szCs w:val="28"/>
        </w:rPr>
        <w:t>（三）</w:t>
      </w:r>
      <w:bookmarkEnd w:id="20"/>
      <w:r>
        <w:rPr>
          <w:rFonts w:ascii="仿宋_GB2312" w:hAnsi="仿宋_GB2312" w:eastAsia="仿宋_GB2312" w:cs="仿宋_GB2312"/>
          <w:color w:val="auto"/>
          <w:sz w:val="28"/>
          <w:szCs w:val="28"/>
        </w:rPr>
        <w:t>本项目需要落实的政府采购政策：</w:t>
      </w:r>
      <w:r>
        <w:rPr>
          <w:rFonts w:hint="eastAsia" w:ascii="仿宋_GB2312" w:hAnsi="仿宋_GB2312" w:eastAsia="仿宋_GB2312" w:cs="仿宋_GB2312"/>
          <w:color w:val="auto"/>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1"/>
    <w:p w14:paraId="55283FA3">
      <w:pPr>
        <w:spacing w:line="420" w:lineRule="exact"/>
        <w:ind w:firstLine="560" w:firstLineChars="200"/>
        <w:rPr>
          <w:rFonts w:ascii="仿宋_GB2312" w:hAnsi="仿宋_GB2312" w:eastAsia="仿宋_GB2312" w:cs="仿宋_GB2312"/>
          <w:color w:val="auto"/>
          <w:sz w:val="28"/>
          <w:szCs w:val="28"/>
        </w:rPr>
      </w:pPr>
      <w:bookmarkStart w:id="22" w:name="_Hlk102729471"/>
      <w:r>
        <w:rPr>
          <w:rFonts w:hint="eastAsia" w:ascii="仿宋_GB2312" w:hAnsi="仿宋_GB2312" w:eastAsia="仿宋_GB2312" w:cs="仿宋_GB2312"/>
          <w:color w:val="auto"/>
          <w:sz w:val="28"/>
          <w:szCs w:val="28"/>
        </w:rPr>
        <w:t>（四）</w:t>
      </w:r>
      <w:bookmarkEnd w:id="22"/>
      <w:r>
        <w:rPr>
          <w:rFonts w:hint="eastAsia" w:ascii="仿宋_GB2312" w:hAnsi="仿宋_GB2312" w:eastAsia="仿宋_GB2312" w:cs="仿宋_GB2312"/>
          <w:color w:val="auto"/>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14:paraId="08DBCD45">
      <w:pPr>
        <w:spacing w:line="420" w:lineRule="exact"/>
        <w:ind w:firstLine="562" w:firstLineChars="200"/>
        <w:rPr>
          <w:rFonts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250B204A">
      <w:pPr>
        <w:spacing w:line="420" w:lineRule="exact"/>
        <w:ind w:firstLine="562" w:firstLineChars="200"/>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（六）投标人参与电子投标特别说明</w:t>
      </w:r>
    </w:p>
    <w:p w14:paraId="778BF6D8">
      <w:pPr>
        <w:pStyle w:val="76"/>
        <w:spacing w:line="420" w:lineRule="exact"/>
        <w:ind w:firstLine="56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1.本项目通过广西政府采购云平台实行电子投标，投标人应按照本项目公开招标文件和广西政府采购云平台的要求，通过“广西政府采购云平台客户端”编制、加密并提交电子投标文件。</w:t>
      </w:r>
    </w:p>
    <w:p w14:paraId="5DFB4AB3">
      <w:pPr>
        <w:pStyle w:val="76"/>
        <w:wordWrap w:val="0"/>
        <w:spacing w:line="420" w:lineRule="exact"/>
        <w:ind w:firstLine="56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2.参与电子标的投标人必须为广西政府采购云平台的正式供应商且申领CA证书，</w:t>
      </w:r>
      <w:r>
        <w:rPr>
          <w:rFonts w:hint="eastAsia" w:ascii="仿宋_GB2312" w:hAnsi="仿宋_GB2312" w:eastAsia="仿宋_GB2312" w:cs="仿宋_GB2312"/>
          <w:b/>
          <w:bCs/>
          <w:color w:val="auto"/>
          <w:sz w:val="28"/>
          <w:szCs w:val="28"/>
        </w:rPr>
        <w:t>各投标人应在开标前及时完成</w:t>
      </w:r>
      <w:r>
        <w:rPr>
          <w:rFonts w:hint="eastAsia" w:ascii="仿宋_GB2312" w:hAnsi="仿宋_GB2312" w:eastAsia="仿宋_GB2312" w:cs="仿宋_GB2312"/>
          <w:color w:val="auto"/>
          <w:sz w:val="28"/>
          <w:szCs w:val="28"/>
        </w:rPr>
        <w:t>平台注册、CA证书申领、CA证书绑定、下载投标客户端，熟悉并掌握广西政府采购云平台电子标系统操作。</w:t>
      </w:r>
    </w:p>
    <w:p w14:paraId="23E4AC7E">
      <w:pPr>
        <w:pStyle w:val="76"/>
        <w:ind w:firstLine="560"/>
        <w:rPr>
          <w:rFonts w:ascii="仿宋_GB2312" w:hAnsi="仿宋_GB2312" w:eastAsia="仿宋_GB2312" w:cs="仿宋_GB2312"/>
          <w:color w:val="auto"/>
          <w:sz w:val="28"/>
          <w:szCs w:val="28"/>
        </w:rPr>
      </w:pP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1</w:t>
      </w: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投标人应及时熟悉掌握电子标系统操作指南（见广西政府采购云平台电子卖场首页—服务中心—帮助中心—项目采购）</w:t>
      </w:r>
    </w:p>
    <w:p w14:paraId="74A55648">
      <w:pPr>
        <w:pStyle w:val="76"/>
        <w:ind w:firstLine="560"/>
        <w:rPr>
          <w:rFonts w:ascii="仿宋_GB2312" w:hAnsi="仿宋_GB2312" w:eastAsia="仿宋_GB2312" w:cs="仿宋_GB2312"/>
          <w:color w:val="auto"/>
          <w:sz w:val="28"/>
          <w:szCs w:val="28"/>
        </w:rPr>
      </w:pP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2</w:t>
      </w: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投标人</w:t>
      </w:r>
      <w:r>
        <w:rPr>
          <w:rFonts w:ascii="仿宋_GB2312" w:hAnsi="仿宋_GB2312" w:eastAsia="仿宋_GB2312" w:cs="仿宋_GB2312"/>
          <w:color w:val="auto"/>
          <w:sz w:val="28"/>
          <w:szCs w:val="28"/>
        </w:rPr>
        <w:t>应及时完成CA申领和绑定（见广西壮族自治区政府采购网—办事服务—下载专区-政采云CA证书办理操作指南）</w:t>
      </w:r>
      <w:r>
        <w:rPr>
          <w:rFonts w:hint="eastAsia" w:ascii="仿宋_GB2312" w:hAnsi="仿宋_GB2312" w:eastAsia="仿宋_GB2312" w:cs="仿宋_GB2312"/>
          <w:color w:val="auto"/>
          <w:sz w:val="28"/>
          <w:szCs w:val="28"/>
        </w:rPr>
        <w:t>：</w:t>
      </w:r>
    </w:p>
    <w:p w14:paraId="78B377F0">
      <w:pPr>
        <w:pStyle w:val="76"/>
        <w:ind w:firstLine="560"/>
        <w:rPr>
          <w:rFonts w:ascii="仿宋_GB2312" w:hAnsi="仿宋_GB2312" w:eastAsia="仿宋_GB2312" w:cs="仿宋_GB2312"/>
          <w:color w:val="auto"/>
          <w:sz w:val="28"/>
          <w:szCs w:val="28"/>
        </w:rPr>
      </w:pPr>
      <w:r>
        <w:rPr>
          <w:rFonts w:ascii="仿宋_GB2312" w:hAnsi="仿宋_GB2312" w:eastAsia="仿宋_GB2312" w:cs="仿宋_GB2312"/>
          <w:color w:val="auto"/>
          <w:sz w:val="28"/>
          <w:szCs w:val="28"/>
        </w:rPr>
        <w:t>http://www.ccgp-guangxi.gov.cn/luban/detail?parentId=66479&amp;articleId=giG2hxujOLVnOuVjZr6wgQ</w:t>
      </w:r>
    </w:p>
    <w:p w14:paraId="69D6C827">
      <w:pPr>
        <w:pStyle w:val="76"/>
        <w:wordWrap w:val="0"/>
        <w:spacing w:line="420" w:lineRule="exact"/>
        <w:ind w:firstLine="560"/>
        <w:rPr>
          <w:rFonts w:ascii="仿宋_GB2312" w:hAnsi="仿宋_GB2312" w:eastAsia="仿宋_GB2312" w:cs="仿宋_GB2312"/>
          <w:color w:val="auto"/>
          <w:sz w:val="28"/>
          <w:szCs w:val="28"/>
        </w:rPr>
      </w:pP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3</w:t>
      </w:r>
      <w:r>
        <w:rPr>
          <w:rFonts w:ascii="仿宋_GB2312" w:hAnsi="仿宋_GB2312" w:eastAsia="仿宋_GB2312" w:cs="仿宋_GB2312"/>
          <w:color w:val="auto"/>
          <w:sz w:val="28"/>
          <w:szCs w:val="28"/>
        </w:rPr>
        <w:t>）</w:t>
      </w:r>
      <w:r>
        <w:rPr>
          <w:rFonts w:hint="eastAsia" w:ascii="仿宋_GB2312" w:hAnsi="仿宋_GB2312" w:eastAsia="仿宋_GB2312" w:cs="仿宋_GB2312"/>
          <w:b/>
          <w:bCs/>
          <w:color w:val="auto"/>
          <w:sz w:val="28"/>
          <w:szCs w:val="28"/>
        </w:rPr>
        <w:t>各投标人通过新平台参与政府采购项目投标需下载使用新版客户端，广西政府采购云平台客户端</w:t>
      </w:r>
      <w:r>
        <w:rPr>
          <w:rFonts w:hint="eastAsia" w:ascii="仿宋_GB2312" w:hAnsi="仿宋_GB2312" w:eastAsia="仿宋_GB2312" w:cs="仿宋_GB2312"/>
          <w:color w:val="auto"/>
          <w:sz w:val="28"/>
          <w:szCs w:val="28"/>
        </w:rPr>
        <w:t>软件请投标人自行前往下载并安装：</w:t>
      </w:r>
    </w:p>
    <w:p w14:paraId="3FBBBCFD">
      <w:pPr>
        <w:pStyle w:val="76"/>
        <w:wordWrap w:val="0"/>
        <w:spacing w:line="420" w:lineRule="exact"/>
        <w:ind w:firstLine="560"/>
        <w:rPr>
          <w:rFonts w:ascii="仿宋_GB2312" w:hAnsi="仿宋_GB2312" w:eastAsia="仿宋_GB2312" w:cs="仿宋_GB2312"/>
          <w:color w:val="auto"/>
          <w:sz w:val="28"/>
          <w:szCs w:val="28"/>
        </w:rPr>
      </w:pPr>
      <w:r>
        <w:rPr>
          <w:rFonts w:ascii="仿宋_GB2312" w:hAnsi="仿宋_GB2312" w:eastAsia="仿宋_GB2312" w:cs="仿宋_GB2312"/>
          <w:color w:val="auto"/>
          <w:sz w:val="28"/>
          <w:szCs w:val="28"/>
        </w:rPr>
        <w:t>http://www.ccgp-guangxi.gov.cn/site/detail?parentId=66479&amp;articleId=+06E5n62B1RzrGh0ew1OFg==&amp;utm=site.site-PC-38919.1024-pc-wsg-secondLevelPage-front.1.5057b2c0cef811ee9fd599f289f082d5</w:t>
      </w:r>
    </w:p>
    <w:p w14:paraId="6ECAD401">
      <w:pPr>
        <w:spacing w:line="420" w:lineRule="exact"/>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bCs/>
          <w:color w:val="auto"/>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246F3EDD">
      <w:pPr>
        <w:pStyle w:val="76"/>
        <w:spacing w:line="420" w:lineRule="exact"/>
        <w:ind w:firstLine="562"/>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4.因未注册广西政府采购云平台、未办理CA证书、CA证书故障、操作不当等原因造成无法投标或投标失败等后果由投标人自行承担；</w:t>
      </w:r>
    </w:p>
    <w:p w14:paraId="7EBA09EF">
      <w:pPr>
        <w:pStyle w:val="76"/>
        <w:spacing w:line="420" w:lineRule="exact"/>
        <w:ind w:firstLine="562"/>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color w:val="auto"/>
          <w:sz w:val="28"/>
          <w:szCs w:val="28"/>
        </w:rPr>
        <w:t>95763</w:t>
      </w:r>
      <w:r>
        <w:rPr>
          <w:rFonts w:hint="eastAsia" w:ascii="仿宋_GB2312" w:hAnsi="仿宋_GB2312" w:eastAsia="仿宋_GB2312" w:cs="仿宋_GB2312"/>
          <w:b/>
          <w:bCs/>
          <w:color w:val="auto"/>
          <w:sz w:val="28"/>
          <w:szCs w:val="28"/>
        </w:rPr>
        <w:t>。</w:t>
      </w:r>
    </w:p>
    <w:p w14:paraId="0A1B9662">
      <w:pPr>
        <w:pStyle w:val="4"/>
        <w:spacing w:line="400" w:lineRule="exact"/>
        <w:ind w:right="-21" w:rightChars="-10" w:firstLine="562" w:firstLineChars="200"/>
        <w:jc w:val="both"/>
        <w:rPr>
          <w:rFonts w:ascii="黑体" w:hAnsi="黑体" w:eastAsia="黑体" w:cs="黑体"/>
          <w:b w:val="0"/>
          <w:color w:val="auto"/>
          <w:sz w:val="28"/>
          <w:szCs w:val="28"/>
        </w:rPr>
      </w:pPr>
      <w:bookmarkStart w:id="23" w:name="_Toc35393627"/>
      <w:bookmarkStart w:id="24" w:name="_Toc28359008"/>
      <w:bookmarkStart w:id="25" w:name="_Toc35393796"/>
      <w:bookmarkStart w:id="26" w:name="_Toc28359085"/>
      <w:bookmarkStart w:id="27" w:name="_Hlk50569036"/>
      <w:r>
        <w:rPr>
          <w:rFonts w:hint="eastAsia" w:ascii="黑体" w:hAnsi="黑体" w:eastAsia="黑体" w:cs="黑体"/>
          <w:bCs/>
          <w:color w:val="auto"/>
          <w:sz w:val="28"/>
          <w:szCs w:val="28"/>
        </w:rPr>
        <w:t>七、对本次招标提出询问，请按以下方式联系</w:t>
      </w:r>
      <w:bookmarkEnd w:id="23"/>
      <w:bookmarkEnd w:id="24"/>
      <w:bookmarkEnd w:id="25"/>
      <w:bookmarkEnd w:id="26"/>
    </w:p>
    <w:p w14:paraId="78C2AB69">
      <w:pPr>
        <w:spacing w:line="400" w:lineRule="exact"/>
        <w:ind w:right="-21" w:rightChars="-10" w:firstLine="560" w:firstLineChars="200"/>
        <w:rPr>
          <w:rFonts w:ascii="仿宋_GB2312" w:eastAsia="仿宋_GB2312"/>
          <w:color w:val="auto"/>
          <w:sz w:val="28"/>
          <w:szCs w:val="28"/>
        </w:rPr>
      </w:pPr>
      <w:r>
        <w:rPr>
          <w:rFonts w:hint="eastAsia" w:ascii="仿宋_GB2312" w:eastAsia="仿宋_GB2312"/>
          <w:color w:val="auto"/>
          <w:sz w:val="28"/>
          <w:szCs w:val="28"/>
        </w:rPr>
        <w:t>1.采购人信息</w:t>
      </w:r>
    </w:p>
    <w:p w14:paraId="48492849">
      <w:pPr>
        <w:tabs>
          <w:tab w:val="left" w:pos="851"/>
        </w:tabs>
        <w:spacing w:line="400" w:lineRule="exact"/>
        <w:ind w:right="-21" w:rightChars="-10" w:firstLine="560" w:firstLineChars="200"/>
        <w:rPr>
          <w:rFonts w:ascii="仿宋_GB2312" w:eastAsia="仿宋_GB2312"/>
          <w:color w:val="auto"/>
          <w:sz w:val="28"/>
          <w:szCs w:val="28"/>
        </w:rPr>
      </w:pPr>
      <w:r>
        <w:rPr>
          <w:rFonts w:hint="eastAsia" w:ascii="仿宋_GB2312" w:eastAsia="仿宋_GB2312"/>
          <w:color w:val="auto"/>
          <w:sz w:val="28"/>
          <w:szCs w:val="28"/>
        </w:rPr>
        <w:t>名 称：</w:t>
      </w:r>
      <w:r>
        <w:rPr>
          <w:rFonts w:ascii="仿宋_GB2312" w:eastAsia="仿宋_GB2312"/>
          <w:color w:val="auto"/>
          <w:sz w:val="28"/>
          <w:szCs w:val="28"/>
        </w:rPr>
        <w:t>柳州职业技术大学</w:t>
      </w:r>
    </w:p>
    <w:p w14:paraId="66BF81EF">
      <w:pPr>
        <w:spacing w:line="400" w:lineRule="exact"/>
        <w:ind w:right="-21" w:rightChars="-10" w:firstLine="555"/>
        <w:rPr>
          <w:rFonts w:ascii="仿宋_GB2312" w:eastAsia="仿宋_GB2312"/>
          <w:color w:val="auto"/>
          <w:sz w:val="28"/>
          <w:szCs w:val="28"/>
        </w:rPr>
      </w:pPr>
      <w:r>
        <w:rPr>
          <w:rFonts w:hint="eastAsia" w:ascii="仿宋_GB2312" w:eastAsia="仿宋_GB2312"/>
          <w:color w:val="auto"/>
          <w:sz w:val="28"/>
          <w:szCs w:val="28"/>
        </w:rPr>
        <w:t>地</w:t>
      </w:r>
      <w:r>
        <w:rPr>
          <w:rFonts w:ascii="仿宋_GB2312" w:eastAsia="仿宋_GB2312"/>
          <w:color w:val="auto"/>
          <w:sz w:val="28"/>
          <w:szCs w:val="28"/>
        </w:rPr>
        <w:t xml:space="preserve"> </w:t>
      </w:r>
      <w:r>
        <w:rPr>
          <w:rFonts w:hint="eastAsia" w:ascii="仿宋_GB2312" w:eastAsia="仿宋_GB2312"/>
          <w:color w:val="auto"/>
          <w:sz w:val="28"/>
          <w:szCs w:val="28"/>
        </w:rPr>
        <w:t>址：广西柳州市社湾路28号</w:t>
      </w:r>
    </w:p>
    <w:p w14:paraId="11CF482E">
      <w:pPr>
        <w:spacing w:line="400" w:lineRule="exact"/>
        <w:ind w:right="-21" w:rightChars="-10" w:firstLine="555"/>
        <w:rPr>
          <w:rFonts w:ascii="仿宋_GB2312" w:eastAsia="仿宋_GB2312"/>
          <w:color w:val="auto"/>
          <w:sz w:val="28"/>
          <w:szCs w:val="28"/>
        </w:rPr>
      </w:pPr>
      <w:r>
        <w:rPr>
          <w:rFonts w:hint="eastAsia" w:ascii="仿宋_GB2312" w:eastAsia="仿宋_GB2312"/>
          <w:color w:val="auto"/>
          <w:sz w:val="28"/>
          <w:szCs w:val="28"/>
        </w:rPr>
        <w:t>项目联系人：</w:t>
      </w:r>
      <w:r>
        <w:rPr>
          <w:rFonts w:ascii="仿宋_GB2312" w:eastAsia="仿宋_GB2312"/>
          <w:color w:val="auto"/>
          <w:sz w:val="28"/>
          <w:szCs w:val="28"/>
        </w:rPr>
        <w:t>陈国银</w:t>
      </w:r>
    </w:p>
    <w:p w14:paraId="2C5473C0">
      <w:pPr>
        <w:spacing w:line="400" w:lineRule="exact"/>
        <w:ind w:right="-21" w:rightChars="-10"/>
        <w:rPr>
          <w:rFonts w:ascii="仿宋_GB2312" w:eastAsia="仿宋_GB2312"/>
          <w:color w:val="auto"/>
          <w:sz w:val="28"/>
          <w:szCs w:val="28"/>
        </w:rPr>
      </w:pPr>
      <w:r>
        <w:rPr>
          <w:rFonts w:hint="eastAsia" w:ascii="仿宋_GB2312" w:eastAsia="仿宋_GB2312"/>
          <w:color w:val="auto"/>
          <w:sz w:val="28"/>
          <w:szCs w:val="28"/>
        </w:rPr>
        <w:t xml:space="preserve">    项目联系方式：0772-3156307</w:t>
      </w:r>
    </w:p>
    <w:p w14:paraId="07264D72">
      <w:pPr>
        <w:spacing w:line="400" w:lineRule="exact"/>
        <w:ind w:right="-21" w:rightChars="-10" w:firstLine="560" w:firstLineChars="200"/>
        <w:rPr>
          <w:rFonts w:ascii="仿宋_GB2312" w:eastAsia="仿宋_GB2312"/>
          <w:color w:val="auto"/>
          <w:sz w:val="28"/>
          <w:szCs w:val="28"/>
        </w:rPr>
      </w:pPr>
      <w:r>
        <w:rPr>
          <w:rFonts w:hint="eastAsia" w:ascii="仿宋_GB2312" w:eastAsia="仿宋_GB2312"/>
          <w:color w:val="auto"/>
          <w:sz w:val="28"/>
          <w:szCs w:val="28"/>
        </w:rPr>
        <w:t>2.采购代理机构信息</w:t>
      </w:r>
    </w:p>
    <w:p w14:paraId="4698B925">
      <w:pPr>
        <w:tabs>
          <w:tab w:val="left" w:pos="851"/>
        </w:tabs>
        <w:spacing w:line="400" w:lineRule="exact"/>
        <w:ind w:right="-21" w:rightChars="-10" w:firstLine="560" w:firstLineChars="200"/>
        <w:rPr>
          <w:rFonts w:ascii="仿宋_GB2312" w:eastAsia="仿宋_GB2312"/>
          <w:color w:val="auto"/>
          <w:sz w:val="28"/>
          <w:szCs w:val="28"/>
        </w:rPr>
      </w:pPr>
      <w:r>
        <w:rPr>
          <w:rFonts w:hint="eastAsia" w:ascii="仿宋_GB2312" w:eastAsia="仿宋_GB2312"/>
          <w:color w:val="auto"/>
          <w:sz w:val="28"/>
          <w:szCs w:val="28"/>
        </w:rPr>
        <w:t>名 称：柳州市政府集中采购中心</w:t>
      </w:r>
    </w:p>
    <w:p w14:paraId="18B7C6DC">
      <w:pPr>
        <w:spacing w:line="400" w:lineRule="exact"/>
        <w:ind w:left="2100" w:right="-21" w:rightChars="-10" w:hanging="2100" w:hangingChars="750"/>
        <w:rPr>
          <w:rFonts w:ascii="仿宋_GB2312" w:eastAsia="仿宋_GB2312"/>
          <w:color w:val="auto"/>
          <w:sz w:val="28"/>
          <w:szCs w:val="28"/>
        </w:rPr>
      </w:pPr>
      <w:r>
        <w:rPr>
          <w:rFonts w:hint="eastAsia" w:ascii="仿宋_GB2312" w:eastAsia="仿宋_GB2312"/>
          <w:color w:val="auto"/>
          <w:sz w:val="28"/>
          <w:szCs w:val="28"/>
        </w:rPr>
        <w:t xml:space="preserve">    地 址：广西</w:t>
      </w:r>
      <w:r>
        <w:rPr>
          <w:rFonts w:ascii="仿宋_GB2312" w:eastAsia="仿宋_GB2312"/>
          <w:color w:val="auto"/>
          <w:sz w:val="28"/>
          <w:szCs w:val="28"/>
        </w:rPr>
        <w:t>柳州市三中路6</w:t>
      </w:r>
      <w:r>
        <w:rPr>
          <w:rFonts w:hint="eastAsia" w:ascii="仿宋_GB2312" w:eastAsia="仿宋_GB2312"/>
          <w:color w:val="auto"/>
          <w:sz w:val="28"/>
          <w:szCs w:val="28"/>
        </w:rPr>
        <w:t>4-2</w:t>
      </w:r>
      <w:r>
        <w:rPr>
          <w:rFonts w:ascii="仿宋_GB2312" w:eastAsia="仿宋_GB2312"/>
          <w:color w:val="auto"/>
          <w:sz w:val="28"/>
          <w:szCs w:val="28"/>
        </w:rPr>
        <w:t>号</w:t>
      </w:r>
    </w:p>
    <w:p w14:paraId="5944E498">
      <w:pPr>
        <w:spacing w:line="400" w:lineRule="exact"/>
        <w:ind w:right="-21" w:rightChars="-10" w:firstLine="555"/>
        <w:rPr>
          <w:rFonts w:ascii="仿宋_GB2312" w:eastAsia="仿宋_GB2312"/>
          <w:color w:val="auto"/>
          <w:sz w:val="28"/>
          <w:szCs w:val="28"/>
        </w:rPr>
      </w:pPr>
      <w:r>
        <w:rPr>
          <w:rFonts w:hint="eastAsia" w:ascii="仿宋_GB2312" w:eastAsia="仿宋_GB2312"/>
          <w:color w:val="auto"/>
          <w:sz w:val="28"/>
          <w:szCs w:val="28"/>
        </w:rPr>
        <w:t>项目联系人：</w:t>
      </w:r>
      <w:r>
        <w:rPr>
          <w:rFonts w:ascii="仿宋_GB2312" w:eastAsia="仿宋_GB2312"/>
          <w:color w:val="auto"/>
          <w:sz w:val="28"/>
          <w:szCs w:val="28"/>
        </w:rPr>
        <w:t>黄慧</w:t>
      </w:r>
    </w:p>
    <w:p w14:paraId="64D616E8">
      <w:pPr>
        <w:spacing w:line="400" w:lineRule="exact"/>
        <w:ind w:right="-21" w:rightChars="-10"/>
        <w:rPr>
          <w:rFonts w:ascii="仿宋_GB2312" w:eastAsia="仿宋_GB2312"/>
          <w:color w:val="auto"/>
          <w:sz w:val="28"/>
          <w:szCs w:val="28"/>
        </w:rPr>
      </w:pPr>
      <w:r>
        <w:rPr>
          <w:rFonts w:hint="eastAsia" w:ascii="仿宋_GB2312" w:eastAsia="仿宋_GB2312"/>
          <w:color w:val="auto"/>
          <w:sz w:val="28"/>
          <w:szCs w:val="28"/>
        </w:rPr>
        <w:t xml:space="preserve">    项目联系方式：</w:t>
      </w:r>
      <w:r>
        <w:rPr>
          <w:rFonts w:ascii="仿宋_GB2312" w:eastAsia="仿宋_GB2312"/>
          <w:color w:val="auto"/>
          <w:sz w:val="28"/>
          <w:szCs w:val="28"/>
        </w:rPr>
        <w:t>0772-2992106</w:t>
      </w:r>
      <w:bookmarkEnd w:id="27"/>
    </w:p>
    <w:p w14:paraId="1A1C2AF3">
      <w:pPr>
        <w:spacing w:line="400" w:lineRule="exact"/>
        <w:ind w:right="560"/>
        <w:rPr>
          <w:rFonts w:ascii="仿宋_GB2312" w:eastAsia="仿宋_GB2312"/>
          <w:color w:val="auto"/>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0493FD4C">
      <w:pPr>
        <w:pStyle w:val="3"/>
        <w:spacing w:line="276" w:lineRule="auto"/>
        <w:jc w:val="center"/>
        <w:rPr>
          <w:rFonts w:ascii="宋体" w:hAnsi="宋体"/>
          <w:color w:val="auto"/>
          <w:sz w:val="32"/>
          <w:szCs w:val="32"/>
        </w:rPr>
      </w:pPr>
      <w:bookmarkStart w:id="230" w:name="_GoBack"/>
      <w:bookmarkEnd w:id="230"/>
      <w:bookmarkStart w:id="28" w:name="_Toc13541"/>
      <w:r>
        <w:rPr>
          <w:rFonts w:hint="eastAsia" w:ascii="宋体" w:hAnsi="宋体"/>
          <w:color w:val="auto"/>
          <w:sz w:val="32"/>
          <w:szCs w:val="32"/>
        </w:rPr>
        <w:t>第二章 采购需求</w:t>
      </w:r>
      <w:bookmarkEnd w:id="28"/>
    </w:p>
    <w:p w14:paraId="13243DE1">
      <w:pPr>
        <w:spacing w:line="276" w:lineRule="auto"/>
        <w:ind w:right="-330" w:rightChars="-157" w:firstLine="482" w:firstLineChars="200"/>
        <w:rPr>
          <w:rFonts w:ascii="仿宋_GB2312" w:eastAsia="仿宋_GB2312"/>
          <w:b/>
          <w:bCs/>
          <w:color w:val="auto"/>
          <w:sz w:val="24"/>
        </w:rPr>
      </w:pPr>
      <w:bookmarkStart w:id="29" w:name="_Hlk50569056"/>
      <w:r>
        <w:rPr>
          <w:rFonts w:hint="eastAsia" w:ascii="仿宋_GB2312" w:eastAsia="仿宋_GB2312"/>
          <w:b/>
          <w:bCs/>
          <w:color w:val="auto"/>
          <w:sz w:val="24"/>
        </w:rPr>
        <w:t>说明：</w:t>
      </w:r>
    </w:p>
    <w:bookmarkEnd w:id="29"/>
    <w:p w14:paraId="75A39D5A">
      <w:pPr>
        <w:spacing w:line="380" w:lineRule="exact"/>
        <w:ind w:right="-330" w:rightChars="-157" w:firstLine="482" w:firstLineChars="200"/>
        <w:rPr>
          <w:rFonts w:ascii="仿宋_GB2312" w:eastAsia="仿宋_GB2312"/>
          <w:b/>
          <w:bCs/>
          <w:color w:val="auto"/>
          <w:sz w:val="24"/>
        </w:rPr>
      </w:pPr>
      <w:bookmarkStart w:id="30" w:name="_Hlk93675025"/>
      <w:r>
        <w:rPr>
          <w:rFonts w:hint="eastAsia" w:ascii="仿宋_GB2312" w:eastAsia="仿宋_GB2312"/>
          <w:b/>
          <w:bCs/>
          <w:color w:val="auto"/>
          <w:sz w:val="24"/>
        </w:rPr>
        <w:t>（一）本一览表中的品牌、型号仅起参考作用，投标人可选用其他品牌型号替代，但这些替代的产品要实质上满足或优于参考品牌、型号及其技术参数性能（配置）要求。</w:t>
      </w:r>
    </w:p>
    <w:p w14:paraId="74DA5B5C">
      <w:pPr>
        <w:spacing w:line="380" w:lineRule="exact"/>
        <w:ind w:right="-330" w:rightChars="-157" w:firstLine="482" w:firstLineChars="200"/>
        <w:rPr>
          <w:rFonts w:ascii="仿宋_GB2312" w:eastAsia="仿宋_GB2312"/>
          <w:b/>
          <w:bCs/>
          <w:color w:val="auto"/>
          <w:sz w:val="24"/>
        </w:rPr>
      </w:pPr>
      <w:r>
        <w:rPr>
          <w:rFonts w:hint="eastAsia" w:ascii="仿宋_GB2312" w:eastAsia="仿宋_GB2312"/>
          <w:b/>
          <w:bCs/>
          <w:color w:val="auto"/>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794B9779">
      <w:pPr>
        <w:spacing w:line="380" w:lineRule="exact"/>
        <w:ind w:right="-330" w:rightChars="-157" w:firstLine="482" w:firstLineChars="200"/>
        <w:rPr>
          <w:rFonts w:ascii="仿宋_GB2312" w:eastAsia="仿宋_GB2312"/>
          <w:b/>
          <w:bCs/>
          <w:color w:val="auto"/>
          <w:sz w:val="24"/>
        </w:rPr>
      </w:pPr>
      <w:r>
        <w:rPr>
          <w:rFonts w:ascii="仿宋_GB2312" w:eastAsia="仿宋_GB2312"/>
          <w:b/>
          <w:bCs/>
          <w:color w:val="auto"/>
          <w:sz w:val="24"/>
        </w:rPr>
        <w:t>（三）标记“★”符号的为实质性响应内容，该内容仅限于“第二章 采购需求”，评审时投标人的响应内容发生负偏离一项以上的，视为投标无效。</w:t>
      </w:r>
      <w:r>
        <w:rPr>
          <w:rFonts w:hint="eastAsia" w:ascii="仿宋_GB2312" w:eastAsia="仿宋_GB2312"/>
          <w:b/>
          <w:bCs/>
          <w:color w:val="auto"/>
          <w:sz w:val="24"/>
          <w:lang w:val="en-US" w:eastAsia="zh-CN"/>
        </w:rPr>
        <w:t>分标1</w:t>
      </w:r>
      <w:r>
        <w:rPr>
          <w:rFonts w:hint="eastAsia" w:ascii="仿宋_GB2312" w:eastAsia="仿宋_GB2312"/>
          <w:b/>
          <w:bCs/>
          <w:color w:val="auto"/>
          <w:sz w:val="24"/>
        </w:rPr>
        <w:t>没有</w:t>
      </w:r>
      <w:r>
        <w:rPr>
          <w:rFonts w:ascii="仿宋_GB2312" w:eastAsia="仿宋_GB2312"/>
          <w:b/>
          <w:bCs/>
          <w:color w:val="auto"/>
          <w:sz w:val="24"/>
        </w:rPr>
        <w:t>标记“★”符号的技术参数要求，评审时投标人的响应内容发生负偏离</w:t>
      </w:r>
      <w:r>
        <w:rPr>
          <w:rFonts w:hint="eastAsia" w:ascii="仿宋_GB2312" w:eastAsia="仿宋_GB2312"/>
          <w:b/>
          <w:bCs/>
          <w:color w:val="auto"/>
          <w:sz w:val="24"/>
        </w:rPr>
        <w:t>四项</w:t>
      </w:r>
      <w:r>
        <w:rPr>
          <w:rFonts w:ascii="仿宋_GB2312" w:eastAsia="仿宋_GB2312"/>
          <w:b/>
          <w:bCs/>
          <w:color w:val="auto"/>
          <w:sz w:val="24"/>
        </w:rPr>
        <w:t>以上的，视为投标无效。</w:t>
      </w:r>
      <w:r>
        <w:rPr>
          <w:rFonts w:hint="eastAsia" w:ascii="仿宋_GB2312" w:eastAsia="仿宋_GB2312"/>
          <w:b/>
          <w:bCs/>
          <w:color w:val="auto"/>
          <w:sz w:val="24"/>
          <w:lang w:val="en-US" w:eastAsia="zh-CN"/>
        </w:rPr>
        <w:t>分标2</w:t>
      </w:r>
      <w:r>
        <w:rPr>
          <w:rFonts w:hint="eastAsia" w:ascii="仿宋_GB2312" w:eastAsia="仿宋_GB2312"/>
          <w:b/>
          <w:bCs/>
          <w:color w:val="auto"/>
          <w:sz w:val="24"/>
        </w:rPr>
        <w:t>没有标记“★”符号的技术参数要求，评审时投标人的响应内容发生负偏离四项以上的，视为投标无效。</w:t>
      </w:r>
      <w:r>
        <w:rPr>
          <w:rFonts w:hint="eastAsia" w:ascii="仿宋_GB2312" w:eastAsia="仿宋_GB2312"/>
          <w:b/>
          <w:bCs/>
          <w:color w:val="auto"/>
          <w:sz w:val="24"/>
          <w:lang w:val="en-US" w:eastAsia="zh-CN"/>
        </w:rPr>
        <w:t>分标3</w:t>
      </w:r>
      <w:r>
        <w:rPr>
          <w:rFonts w:hint="eastAsia" w:ascii="仿宋_GB2312" w:eastAsia="仿宋_GB2312"/>
          <w:b/>
          <w:bCs/>
          <w:color w:val="auto"/>
          <w:sz w:val="24"/>
        </w:rPr>
        <w:t>没有标记“★”符号的技术参数要求，评审时投标人的响应内容发生负偏离四项以上的，视为投标无效。</w:t>
      </w:r>
      <w:r>
        <w:rPr>
          <w:rFonts w:hint="eastAsia" w:ascii="仿宋_GB2312" w:eastAsia="仿宋_GB2312"/>
          <w:b/>
          <w:bCs/>
          <w:color w:val="auto"/>
          <w:sz w:val="24"/>
          <w:lang w:val="en-US" w:eastAsia="zh-CN"/>
        </w:rPr>
        <w:t>分标4</w:t>
      </w:r>
      <w:r>
        <w:rPr>
          <w:rFonts w:hint="eastAsia" w:ascii="仿宋_GB2312" w:eastAsia="仿宋_GB2312"/>
          <w:b/>
          <w:bCs/>
          <w:color w:val="auto"/>
          <w:sz w:val="24"/>
        </w:rPr>
        <w:t>没有标记“★”符号的技术参数要求，评审时投标人的响应内容发生负偏离四项以上的，视为投标无效。</w:t>
      </w:r>
      <w:r>
        <w:rPr>
          <w:rFonts w:hint="eastAsia" w:ascii="仿宋_GB2312" w:eastAsia="仿宋_GB2312"/>
          <w:b/>
          <w:bCs/>
          <w:color w:val="auto"/>
          <w:sz w:val="24"/>
          <w:lang w:val="en-US" w:eastAsia="zh-CN"/>
        </w:rPr>
        <w:t>分标5</w:t>
      </w:r>
      <w:r>
        <w:rPr>
          <w:rFonts w:hint="eastAsia" w:ascii="仿宋_GB2312" w:eastAsia="仿宋_GB2312"/>
          <w:b/>
          <w:bCs/>
          <w:color w:val="auto"/>
          <w:sz w:val="24"/>
        </w:rPr>
        <w:t>没有标记“★”符号的技术参数要求，评审时投标人的响应内容发生负偏离四项以上的，视为投标无效。</w:t>
      </w:r>
      <w:r>
        <w:rPr>
          <w:rFonts w:ascii="仿宋_GB2312" w:eastAsia="仿宋_GB2312"/>
          <w:b/>
          <w:bCs/>
          <w:color w:val="auto"/>
          <w:sz w:val="24"/>
        </w:rPr>
        <w:t>关于“项数”的规定，凡标有最低一级序号的指标项即为一项技术条款，无论是否隶属于上一级编号</w:t>
      </w:r>
      <w:r>
        <w:rPr>
          <w:rFonts w:hint="eastAsia" w:ascii="仿宋_GB2312" w:eastAsia="仿宋_GB2312"/>
          <w:b/>
          <w:bCs/>
          <w:color w:val="auto"/>
          <w:sz w:val="24"/>
          <w:lang w:eastAsia="zh-CN"/>
        </w:rPr>
        <w:t>（有特别说明的除外）</w:t>
      </w:r>
      <w:r>
        <w:rPr>
          <w:rFonts w:ascii="仿宋_GB2312" w:eastAsia="仿宋_GB2312"/>
          <w:b/>
          <w:bCs/>
          <w:color w:val="auto"/>
          <w:sz w:val="24"/>
        </w:rPr>
        <w:t>。</w:t>
      </w:r>
    </w:p>
    <w:p w14:paraId="44996523">
      <w:pPr>
        <w:spacing w:line="380" w:lineRule="exact"/>
        <w:ind w:right="-330" w:rightChars="-157" w:firstLine="482" w:firstLineChars="200"/>
        <w:rPr>
          <w:rFonts w:ascii="仿宋_GB2312" w:eastAsia="仿宋_GB2312"/>
          <w:b/>
          <w:bCs/>
          <w:color w:val="auto"/>
          <w:sz w:val="24"/>
        </w:rPr>
      </w:pPr>
      <w:r>
        <w:rPr>
          <w:rFonts w:hint="eastAsia" w:ascii="仿宋_GB2312" w:eastAsia="仿宋_GB2312"/>
          <w:b/>
          <w:bCs/>
          <w:color w:val="auto"/>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3C24C883">
      <w:pPr>
        <w:spacing w:line="380" w:lineRule="exact"/>
        <w:ind w:right="-330" w:rightChars="-157" w:firstLine="482" w:firstLineChars="200"/>
        <w:rPr>
          <w:rFonts w:ascii="仿宋_GB2312" w:eastAsia="仿宋_GB2312"/>
          <w:b/>
          <w:bCs/>
          <w:color w:val="auto"/>
          <w:sz w:val="24"/>
        </w:rPr>
      </w:pPr>
      <w:r>
        <w:rPr>
          <w:rFonts w:hint="eastAsia" w:ascii="仿宋_GB2312" w:eastAsia="仿宋_GB2312"/>
          <w:b/>
          <w:bCs/>
          <w:color w:val="auto"/>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D7D5C8E">
      <w:pPr>
        <w:spacing w:line="380" w:lineRule="exact"/>
        <w:ind w:right="-330" w:rightChars="-157" w:firstLine="482" w:firstLineChars="200"/>
        <w:rPr>
          <w:rFonts w:ascii="仿宋_GB2312" w:eastAsia="仿宋_GB2312"/>
          <w:b/>
          <w:bCs/>
          <w:color w:val="auto"/>
          <w:sz w:val="24"/>
        </w:rPr>
      </w:pPr>
      <w:r>
        <w:rPr>
          <w:rFonts w:hint="eastAsia" w:ascii="仿宋_GB2312" w:eastAsia="仿宋_GB2312"/>
          <w:b/>
          <w:bCs/>
          <w:color w:val="auto"/>
          <w:sz w:val="24"/>
        </w:rPr>
        <w:t>非单一产品采购项目中，多家投标人提供的核心产品品牌相同的，视为提供相同品牌产品，核心产品的名称在招标文件第二章“采购需求”用“▲”标明。</w:t>
      </w:r>
    </w:p>
    <w:p w14:paraId="65FCC893">
      <w:pPr>
        <w:spacing w:line="380" w:lineRule="exact"/>
        <w:ind w:right="-330" w:rightChars="-157" w:firstLine="482" w:firstLineChars="200"/>
        <w:rPr>
          <w:rFonts w:ascii="仿宋_GB2312" w:eastAsia="仿宋_GB2312"/>
          <w:b/>
          <w:bCs/>
          <w:color w:val="auto"/>
          <w:sz w:val="24"/>
        </w:rPr>
      </w:pPr>
      <w:r>
        <w:rPr>
          <w:rFonts w:hint="eastAsia" w:ascii="仿宋_GB2312" w:eastAsia="仿宋_GB2312"/>
          <w:b/>
          <w:bCs/>
          <w:color w:val="auto"/>
          <w:sz w:val="24"/>
        </w:rPr>
        <w:t>（六）本项目包括以下设备，根据财办库〔2008〕248号文件有关规定，本项目不允许进口产品参加报价。</w:t>
      </w:r>
    </w:p>
    <w:p w14:paraId="69B99176">
      <w:pPr>
        <w:spacing w:line="380" w:lineRule="exact"/>
        <w:ind w:right="-330" w:rightChars="-157" w:firstLine="482" w:firstLineChars="200"/>
        <w:rPr>
          <w:rFonts w:ascii="仿宋_GB2312" w:eastAsia="仿宋_GB2312"/>
          <w:b/>
          <w:bCs/>
          <w:color w:val="auto"/>
          <w:sz w:val="24"/>
        </w:rPr>
      </w:pPr>
      <w:r>
        <w:rPr>
          <w:rFonts w:hint="eastAsia" w:ascii="仿宋_GB2312" w:eastAsia="仿宋_GB2312"/>
          <w:b/>
          <w:bCs/>
          <w:color w:val="auto"/>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48BF822F">
      <w:pPr>
        <w:spacing w:line="380" w:lineRule="exact"/>
        <w:ind w:right="-330" w:rightChars="-157" w:firstLine="482" w:firstLineChars="200"/>
        <w:rPr>
          <w:rFonts w:ascii="仿宋_GB2312" w:eastAsia="仿宋_GB2312"/>
          <w:b/>
          <w:bCs/>
          <w:color w:val="auto"/>
          <w:sz w:val="24"/>
        </w:rPr>
      </w:pPr>
      <w:r>
        <w:rPr>
          <w:rFonts w:hint="eastAsia" w:ascii="仿宋_GB2312" w:eastAsia="仿宋_GB2312"/>
          <w:b/>
          <w:bCs/>
          <w:color w:val="auto"/>
          <w:sz w:val="24"/>
        </w:rPr>
        <w:t>（八）若采购货物属于</w:t>
      </w:r>
      <w:r>
        <w:rPr>
          <w:color w:val="auto"/>
        </w:rPr>
        <w:fldChar w:fldCharType="begin"/>
      </w:r>
      <w:r>
        <w:rPr>
          <w:color w:val="auto"/>
        </w:rPr>
        <w:instrText xml:space="preserve"> HYPERLINK "http://gks.mof.gov.cn/zhengfucaigouguanli/201904/P020190402638613799126.pdf" </w:instrText>
      </w:r>
      <w:r>
        <w:rPr>
          <w:color w:val="auto"/>
        </w:rPr>
        <w:fldChar w:fldCharType="separate"/>
      </w:r>
      <w:r>
        <w:rPr>
          <w:rFonts w:hint="eastAsia" w:ascii="仿宋_GB2312" w:eastAsia="仿宋_GB2312"/>
          <w:b/>
          <w:bCs/>
          <w:color w:val="auto"/>
          <w:sz w:val="24"/>
        </w:rPr>
        <w:t>节能产品政府采购品目清单</w:t>
      </w:r>
      <w:r>
        <w:rPr>
          <w:rFonts w:hint="eastAsia" w:ascii="仿宋_GB2312" w:eastAsia="仿宋_GB2312"/>
          <w:b/>
          <w:bCs/>
          <w:color w:val="auto"/>
          <w:sz w:val="24"/>
        </w:rPr>
        <w:fldChar w:fldCharType="end"/>
      </w:r>
      <w:r>
        <w:rPr>
          <w:rFonts w:hint="eastAsia" w:ascii="仿宋_GB2312" w:eastAsia="仿宋_GB2312"/>
          <w:b/>
          <w:bCs/>
          <w:color w:val="auto"/>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19BAE77F">
      <w:pPr>
        <w:spacing w:line="380" w:lineRule="exact"/>
        <w:ind w:right="-330" w:rightChars="-157" w:firstLine="482" w:firstLineChars="200"/>
        <w:rPr>
          <w:rFonts w:ascii="仿宋_GB2312" w:eastAsia="仿宋_GB2312"/>
          <w:b/>
          <w:bCs/>
          <w:color w:val="auto"/>
          <w:sz w:val="24"/>
        </w:rPr>
      </w:pPr>
      <w:r>
        <w:rPr>
          <w:rFonts w:hint="eastAsia" w:ascii="仿宋_GB2312" w:eastAsia="仿宋_GB2312"/>
          <w:b/>
          <w:bCs/>
          <w:color w:val="auto"/>
          <w:sz w:val="24"/>
        </w:rPr>
        <w:t>（九）本货物需求一览表的技术参数要求中未特别列明的技术要求参照国家相关技术标准执行，如有最新标准，按最新标准执行。</w:t>
      </w:r>
    </w:p>
    <w:p w14:paraId="0E2EDD44">
      <w:pPr>
        <w:spacing w:line="380" w:lineRule="exact"/>
        <w:ind w:right="-330" w:rightChars="-157" w:firstLine="482" w:firstLineChars="200"/>
        <w:rPr>
          <w:rFonts w:ascii="仿宋_GB2312" w:eastAsia="仿宋_GB2312"/>
          <w:b/>
          <w:bCs/>
          <w:color w:val="auto"/>
          <w:sz w:val="24"/>
        </w:rPr>
      </w:pPr>
    </w:p>
    <w:p w14:paraId="480ABE69">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b/>
          <w:bCs/>
          <w:color w:val="auto"/>
          <w:sz w:val="24"/>
          <w:lang w:val="en-US" w:eastAsia="zh-CN"/>
        </w:rPr>
        <w:t>分标1</w:t>
      </w:r>
    </w:p>
    <w:tbl>
      <w:tblPr>
        <w:tblStyle w:val="51"/>
        <w:tblW w:w="9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43"/>
        <w:gridCol w:w="7170"/>
        <w:gridCol w:w="747"/>
      </w:tblGrid>
      <w:tr w14:paraId="104B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427" w:type="dxa"/>
            <w:gridSpan w:val="4"/>
            <w:vAlign w:val="center"/>
          </w:tcPr>
          <w:p w14:paraId="6958158C">
            <w:pPr>
              <w:spacing w:line="400" w:lineRule="exact"/>
              <w:jc w:val="lef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一、项目技术规格参数及要求</w:t>
            </w:r>
          </w:p>
        </w:tc>
      </w:tr>
      <w:tr w14:paraId="01B3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67" w:type="dxa"/>
            <w:vAlign w:val="center"/>
          </w:tcPr>
          <w:p w14:paraId="44BDBF37">
            <w:pPr>
              <w:pStyle w:val="808"/>
              <w:snapToGrid w:val="0"/>
              <w:spacing w:line="4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序号</w:t>
            </w:r>
          </w:p>
        </w:tc>
        <w:tc>
          <w:tcPr>
            <w:tcW w:w="943" w:type="dxa"/>
            <w:vAlign w:val="center"/>
          </w:tcPr>
          <w:p w14:paraId="16E6A764">
            <w:pPr>
              <w:pStyle w:val="808"/>
              <w:snapToGrid w:val="0"/>
              <w:spacing w:line="4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标的名称</w:t>
            </w:r>
          </w:p>
        </w:tc>
        <w:tc>
          <w:tcPr>
            <w:tcW w:w="7170" w:type="dxa"/>
            <w:vAlign w:val="center"/>
          </w:tcPr>
          <w:p w14:paraId="288F6763">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技术参数</w:t>
            </w:r>
          </w:p>
        </w:tc>
        <w:tc>
          <w:tcPr>
            <w:tcW w:w="747" w:type="dxa"/>
            <w:vAlign w:val="center"/>
          </w:tcPr>
          <w:p w14:paraId="122D7F9F">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数量及单位</w:t>
            </w:r>
          </w:p>
        </w:tc>
      </w:tr>
      <w:tr w14:paraId="1D54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67" w:type="dxa"/>
            <w:vAlign w:val="center"/>
          </w:tcPr>
          <w:p w14:paraId="6EC48190">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943" w:type="dxa"/>
            <w:vAlign w:val="center"/>
          </w:tcPr>
          <w:p w14:paraId="2BB05AA3">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全媒体内容制作应用系统</w:t>
            </w:r>
          </w:p>
        </w:tc>
        <w:tc>
          <w:tcPr>
            <w:tcW w:w="7170" w:type="dxa"/>
            <w:vAlign w:val="center"/>
          </w:tcPr>
          <w:p w14:paraId="44DFE7D1">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一、技术要求</w:t>
            </w:r>
          </w:p>
          <w:p w14:paraId="2ADD34F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产品平台为一套专业的全媒体内容编辑及发布管理系统，整套平台包含1个教师用户3个学生用户的账号数量，全面满足全媒体实训与竞赛用户对图文稿件、H5稿件、数据图表、图片素材、视频素材的生产和编辑需求。编辑套件支持生产包含图片、文字、音视频、全景、网页、图表</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动画媒体形式的内容稿件，支持将数据表格快速生成图表，支持图片和视频素材在线快编。支持移动端的触屏、陀螺仪、GPS、拍照</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录音H5动画交互方式，并针对微信传播进行了优化，可以充分满足媒体日常创建新闻及运营内容的不同生产需求，一站解决全媒体内容的制作痛点，统一工具和内容格式，便于全媒体内容的互联互通互用。全媒体编辑套件包含：图文编辑器、H5编辑器（简化版）、H5编辑器（专业版）、图表编辑器、图片编辑器、视频编辑器。</w:t>
            </w:r>
          </w:p>
          <w:p w14:paraId="0F87D519">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1、登入模块</w:t>
            </w:r>
          </w:p>
          <w:p w14:paraId="773A569E">
            <w:pPr>
              <w:spacing w:line="400" w:lineRule="exact"/>
              <w:ind w:firstLine="480" w:firstLineChars="200"/>
              <w:rPr>
                <w:rFonts w:ascii="仿宋_GB2312" w:hAnsi="仿宋_GB2312" w:eastAsia="仿宋_GB2312" w:cs="仿宋_GB2312"/>
                <w:color w:val="auto"/>
                <w:sz w:val="24"/>
                <w:u w:val="single"/>
              </w:rPr>
            </w:pPr>
            <w:r>
              <w:rPr>
                <w:rFonts w:hint="eastAsia" w:ascii="仿宋_GB2312" w:hAnsi="仿宋_GB2312" w:eastAsia="仿宋_GB2312" w:cs="仿宋_GB2312"/>
                <w:color w:val="auto"/>
                <w:sz w:val="24"/>
                <w:u w:val="single"/>
              </w:rPr>
              <w:t>功能概述：按照账号权限提供教师账号、学员账号，便于课程管理。</w:t>
            </w:r>
          </w:p>
          <w:p w14:paraId="46E838C5">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2、图文编辑器模块</w:t>
            </w:r>
          </w:p>
          <w:p w14:paraId="0A2930D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（1）功能概述：支持与本平台其他编辑器集成对接，实现集约化、一站式编辑管理。</w:t>
            </w:r>
          </w:p>
          <w:p w14:paraId="4ED2C5D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（2）功能概述：编辑舞台</w:t>
            </w:r>
          </w:p>
          <w:p w14:paraId="4B81C0B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详细功能：编辑舞台是生产内容的操作窗口，用户可在编辑舞台编写文字、排放图文、引用素材、引用样式。</w:t>
            </w:r>
          </w:p>
          <w:p w14:paraId="27DE46C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（3）功能概述：素材应用</w:t>
            </w:r>
          </w:p>
          <w:p w14:paraId="0D21D3F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6EBD5F4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H5动画文件：查看、引用H5动画文件。</w:t>
            </w:r>
          </w:p>
          <w:p w14:paraId="45A2824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文字素材：在编辑舞台，用户可输入、编辑稿件正文文案。</w:t>
            </w:r>
          </w:p>
          <w:p w14:paraId="52C9229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图片素材：查看、引用素材库中的图片素材。</w:t>
            </w:r>
          </w:p>
          <w:p w14:paraId="14D82D9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视频素材：查看、引用素材库中的视频素材。</w:t>
            </w:r>
          </w:p>
          <w:p w14:paraId="672002D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音频素材：查看、引用素材库中的音频素材。</w:t>
            </w:r>
          </w:p>
          <w:p w14:paraId="3C78D82B">
            <w:pPr>
              <w:spacing w:line="400" w:lineRule="exact"/>
              <w:ind w:left="365" w:leftChars="174"/>
              <w:rPr>
                <w:rFonts w:ascii="仿宋_GB2312" w:hAnsi="仿宋_GB2312" w:eastAsia="仿宋_GB2312" w:cs="仿宋_GB2312"/>
                <w:color w:val="auto"/>
                <w:sz w:val="24"/>
              </w:rPr>
            </w:pPr>
            <w:r>
              <w:rPr>
                <w:rFonts w:hint="eastAsia" w:ascii="仿宋_GB2312" w:hAnsi="仿宋_GB2312" w:eastAsia="仿宋_GB2312" w:cs="仿宋_GB2312"/>
                <w:color w:val="auto"/>
                <w:sz w:val="24"/>
              </w:rPr>
              <w:t>（4）功能概述：排版样式功能</w:t>
            </w:r>
          </w:p>
          <w:p w14:paraId="1C46081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详细功能： </w:t>
            </w:r>
          </w:p>
          <w:p w14:paraId="7DFECC5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★●样式排版工具：支持对排版样式内部的内容分块块作细化编改，例如设置内容背景和形状、设置内容分块的排列方式、设置内容分块的高宽比例、设置文本的对齐方式、设置内容分块的四边边距。</w:t>
            </w:r>
            <w:r>
              <w:rPr>
                <w:rFonts w:hint="eastAsia" w:ascii="仿宋_GB2312" w:hAnsi="仿宋_GB2312" w:eastAsia="仿宋_GB2312" w:cs="仿宋_GB2312"/>
                <w:b/>
                <w:bCs/>
                <w:color w:val="auto"/>
                <w:sz w:val="24"/>
              </w:rPr>
              <w:t>（投标文件中需提供彩页、官网或功能截图等其中任意一项并加盖投标人</w:t>
            </w:r>
            <w:r>
              <w:rPr>
                <w:rFonts w:ascii="仿宋_GB2312" w:hAnsi="仿宋_GB2312" w:eastAsia="仿宋_GB2312" w:cs="仿宋_GB2312"/>
                <w:b/>
                <w:bCs/>
                <w:color w:val="auto"/>
                <w:sz w:val="24"/>
              </w:rPr>
              <w:t>CA电子签章</w:t>
            </w:r>
            <w:r>
              <w:rPr>
                <w:rFonts w:hint="eastAsia" w:ascii="仿宋_GB2312" w:hAnsi="仿宋_GB2312" w:eastAsia="仿宋_GB2312" w:cs="仿宋_GB2312"/>
                <w:b/>
                <w:bCs/>
                <w:color w:val="auto"/>
                <w:sz w:val="24"/>
              </w:rPr>
              <w:t>）</w:t>
            </w:r>
          </w:p>
          <w:p w14:paraId="5A2A03F5">
            <w:pPr>
              <w:spacing w:line="400" w:lineRule="exact"/>
              <w:ind w:firstLine="480" w:firstLineChars="200"/>
              <w:rPr>
                <w:rFonts w:ascii="仿宋_GB2312" w:hAnsi="仿宋_GB2312" w:eastAsia="仿宋_GB2312" w:cs="仿宋_GB2312"/>
                <w:color w:val="auto"/>
                <w:sz w:val="24"/>
                <w:u w:val="single"/>
              </w:rPr>
            </w:pPr>
            <w:r>
              <w:rPr>
                <w:rFonts w:hint="eastAsia" w:ascii="仿宋_GB2312" w:hAnsi="仿宋_GB2312" w:eastAsia="仿宋_GB2312" w:cs="仿宋_GB2312"/>
                <w:color w:val="auto"/>
                <w:sz w:val="24"/>
                <w:u w:val="single"/>
              </w:rPr>
              <w:t>一键转化样式模板：支持自定义设计样式模板，可将内容中任何一个段落的排版内容一键转化为样式模版，供今后直接使用。</w:t>
            </w:r>
          </w:p>
          <w:p w14:paraId="2E55FEB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一键转化专题模板：媒体用户可将全版图文内容的排版样式一键转化为专题模版，供今后直接使用。用户可根据个人习惯，存储至个人文件夹下分目录。</w:t>
            </w:r>
          </w:p>
          <w:p w14:paraId="0293BD4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（5）功能概述：稿件批注和修订功能</w:t>
            </w:r>
          </w:p>
          <w:p w14:paraId="6FA8C4C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6D67EBA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支持设置修订模式，用户所在团队下，多个人对同一篇图文稿件进行编改时，可设置修订模式，使用大花脸形式显示被修订的内容。</w:t>
            </w:r>
          </w:p>
          <w:p w14:paraId="248F17F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支持对已修订内容，选择接受或不接受修订。</w:t>
            </w:r>
          </w:p>
          <w:p w14:paraId="034AEF8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（6）功能概述：稿件格式设置</w:t>
            </w:r>
          </w:p>
          <w:p w14:paraId="1DFCB52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037C7E7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稿件封面：支持设置图文稿件的封面，即在新闻列表中显示的图片封面，可从素材库中选择合适的图片作为封面。</w:t>
            </w:r>
          </w:p>
          <w:p w14:paraId="6A551EE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正文标题：支持对稿件的文章标题进行设置。</w:t>
            </w:r>
          </w:p>
          <w:p w14:paraId="2777EDD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分享设置：支持对分享封面、分享标题、分享描述内容进行设置。</w:t>
            </w:r>
          </w:p>
          <w:p w14:paraId="782192E7">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（7）功能概述：稿件操作</w:t>
            </w:r>
          </w:p>
          <w:p w14:paraId="02AB934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5576B51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稿件预览：支持提前预览稿件的阅读效果，在编辑生成过程中随时查看稿件传播的呈现形式，如稿件样式、图片效果、文案效果。</w:t>
            </w:r>
          </w:p>
          <w:p w14:paraId="38BF218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稿件保存：保存当前完成编辑操作和稿件内容。</w:t>
            </w:r>
          </w:p>
          <w:p w14:paraId="6039C58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发布/提交：支持用户将成品稿件提交至指定地址。</w:t>
            </w:r>
          </w:p>
          <w:p w14:paraId="4B17A70A">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新建稿件：新建并编辑一篇新的图文稿件。</w:t>
            </w:r>
          </w:p>
          <w:p w14:paraId="1F0B078B">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3、H5编辑器（简</w:t>
            </w:r>
            <w:r>
              <w:rPr>
                <w:rFonts w:hint="eastAsia" w:ascii="仿宋_GB2312" w:hAnsi="仿宋_GB2312" w:eastAsia="仿宋_GB2312" w:cs="仿宋_GB2312"/>
                <w:b/>
                <w:bCs/>
                <w:color w:val="auto"/>
                <w:sz w:val="24"/>
                <w:lang w:val="en-US" w:eastAsia="zh-CN"/>
              </w:rPr>
              <w:t>化</w:t>
            </w:r>
            <w:r>
              <w:rPr>
                <w:rFonts w:hint="eastAsia" w:ascii="仿宋_GB2312" w:hAnsi="仿宋_GB2312" w:eastAsia="仿宋_GB2312" w:cs="仿宋_GB2312"/>
                <w:b/>
                <w:bCs/>
                <w:color w:val="auto"/>
                <w:sz w:val="24"/>
              </w:rPr>
              <w:t>版）</w:t>
            </w:r>
          </w:p>
          <w:p w14:paraId="5602E82A">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（1）功能概述：接口对接</w:t>
            </w:r>
          </w:p>
          <w:p w14:paraId="2A18AA8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2B6608A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提供接口对接文本编辑器，实现内容互通操作效果。提供接口对接H5编辑器（专业版），使得H5编辑器（专业版）和H5编辑器（简化版）可编辑同一个H5稿件，实现内容互通、稿件交叉编辑的操作效果。</w:t>
            </w:r>
          </w:p>
          <w:p w14:paraId="1243E1AE">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（2）功能概述：编辑舞台</w:t>
            </w:r>
          </w:p>
          <w:p w14:paraId="7576001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39CD361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稿件编辑区：H5稿件的动画编辑区域。编辑用户可在编辑区完成H5稿件的生产工作。</w:t>
            </w:r>
          </w:p>
          <w:p w14:paraId="51546C6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自适应模式设置：稿件在不同尺寸的移动端浏览时，稿件内容将自动匹配移动端显示区域，使得稿件传播时达到最佳的浏览效果。</w:t>
            </w:r>
          </w:p>
          <w:p w14:paraId="4F829DB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★●页面管理栏：用于H5页面的添加、删除、插入管理操作。</w:t>
            </w:r>
            <w:r>
              <w:rPr>
                <w:rFonts w:hint="eastAsia" w:ascii="仿宋_GB2312" w:hAnsi="仿宋_GB2312" w:eastAsia="仿宋_GB2312" w:cs="仿宋_GB2312"/>
                <w:color w:val="auto"/>
                <w:sz w:val="24"/>
                <w:lang w:val="en-US" w:eastAsia="zh-CN"/>
              </w:rPr>
              <w:t>至少</w:t>
            </w:r>
            <w:r>
              <w:rPr>
                <w:rFonts w:hint="eastAsia" w:ascii="仿宋_GB2312" w:hAnsi="仿宋_GB2312" w:eastAsia="仿宋_GB2312" w:cs="仿宋_GB2312"/>
                <w:color w:val="auto"/>
                <w:sz w:val="24"/>
              </w:rPr>
              <w:t>支持添加新页面、删除页面、预览本页、复制本页、拖动调整页面顺序功能。</w:t>
            </w:r>
            <w:r>
              <w:rPr>
                <w:rFonts w:hint="eastAsia" w:ascii="仿宋_GB2312" w:hAnsi="仿宋_GB2312" w:eastAsia="仿宋_GB2312" w:cs="仿宋_GB2312"/>
                <w:b/>
                <w:bCs/>
                <w:color w:val="auto"/>
                <w:sz w:val="24"/>
              </w:rPr>
              <w:t>（投标文件中需提供彩页、官网或功能截图等其中任意一项并加盖投标人</w:t>
            </w:r>
            <w:r>
              <w:rPr>
                <w:rFonts w:ascii="仿宋_GB2312" w:hAnsi="仿宋_GB2312" w:eastAsia="仿宋_GB2312" w:cs="仿宋_GB2312"/>
                <w:b/>
                <w:bCs/>
                <w:color w:val="auto"/>
                <w:sz w:val="24"/>
              </w:rPr>
              <w:t>CA电子签章</w:t>
            </w:r>
            <w:r>
              <w:rPr>
                <w:rFonts w:hint="eastAsia" w:ascii="仿宋_GB2312" w:hAnsi="仿宋_GB2312" w:eastAsia="仿宋_GB2312" w:cs="仿宋_GB2312"/>
                <w:b/>
                <w:bCs/>
                <w:color w:val="auto"/>
                <w:sz w:val="24"/>
              </w:rPr>
              <w:t>）</w:t>
            </w:r>
          </w:p>
          <w:p w14:paraId="719A2D71">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（3）功能概述：素材应用</w:t>
            </w:r>
          </w:p>
          <w:p w14:paraId="27CE5D3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21DB4E1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直接读取素材库的图片素材，并直接引用至H5全媒体稿件。支持直接读取素材库的音频素材，并直接引用至H5全媒体稿件。支持直接读取素材库的视频素材，并直接引用至H5全媒体稿件。支持在H5全媒体稿件中插入单行文本、文本段落，并编辑相应文案。支持在H5全媒体稿件中插入VR全景图片、全景视频，实现全景虚拟现实的效果，可设置前、后、左、右、上、下的各方位全景图片。支持关联陀螺仪控制。支持在H5全媒体稿中插入数据图表，并可调用图表编辑器插件，对图表进行数据编改、美化。支持在H5全媒体稿件插入幻灯片组件，并编辑幻灯片的图片组、设置播放展示方向和自动播放间隔参数。</w:t>
            </w:r>
          </w:p>
          <w:p w14:paraId="742F037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★●支持导入本地的PSD文件，H5编辑器（简化版）对PSD文件自动分层处理，用户按需选择整体导入图片或分层导入图片。</w:t>
            </w:r>
            <w:r>
              <w:rPr>
                <w:rFonts w:hint="eastAsia" w:ascii="仿宋_GB2312" w:hAnsi="仿宋_GB2312" w:eastAsia="仿宋_GB2312" w:cs="仿宋_GB2312"/>
                <w:b/>
                <w:bCs/>
                <w:color w:val="auto"/>
                <w:sz w:val="24"/>
              </w:rPr>
              <w:t>（投标文件中需提供彩页、官网或功能截图等其中任意一项并加盖投标人</w:t>
            </w:r>
            <w:r>
              <w:rPr>
                <w:rFonts w:ascii="仿宋_GB2312" w:hAnsi="仿宋_GB2312" w:eastAsia="仿宋_GB2312" w:cs="仿宋_GB2312"/>
                <w:b/>
                <w:bCs/>
                <w:color w:val="auto"/>
                <w:sz w:val="24"/>
              </w:rPr>
              <w:t>CA电子签章</w:t>
            </w:r>
            <w:r>
              <w:rPr>
                <w:rFonts w:hint="eastAsia" w:ascii="仿宋_GB2312" w:hAnsi="仿宋_GB2312" w:eastAsia="仿宋_GB2312" w:cs="仿宋_GB2312"/>
                <w:b/>
                <w:bCs/>
                <w:color w:val="auto"/>
                <w:sz w:val="24"/>
              </w:rPr>
              <w:t>）</w:t>
            </w:r>
          </w:p>
          <w:p w14:paraId="39159D3B">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（4）功能概述：动画效果和翻页效果</w:t>
            </w:r>
          </w:p>
          <w:p w14:paraId="7D2DD5B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16D70BA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★●进入动画：支持缓入、移入、浮入、飞入、弹入、蹦入、放大进入、翻转进入、滚动进入、螺旋进入</w:t>
            </w:r>
            <w:r>
              <w:rPr>
                <w:rFonts w:hint="eastAsia" w:ascii="仿宋_GB2312" w:hAnsi="仿宋_GB2312" w:eastAsia="仿宋_GB2312" w:cs="仿宋_GB2312"/>
                <w:color w:val="auto"/>
                <w:sz w:val="24"/>
                <w:lang w:val="en-US" w:eastAsia="zh-CN"/>
              </w:rPr>
              <w:t>的</w:t>
            </w:r>
            <w:r>
              <w:rPr>
                <w:rFonts w:hint="eastAsia" w:ascii="仿宋_GB2312" w:hAnsi="仿宋_GB2312" w:eastAsia="仿宋_GB2312" w:cs="仿宋_GB2312"/>
                <w:color w:val="auto"/>
                <w:sz w:val="24"/>
              </w:rPr>
              <w:t>预置进入形式。</w:t>
            </w:r>
            <w:r>
              <w:rPr>
                <w:rFonts w:hint="eastAsia" w:ascii="仿宋_GB2312" w:hAnsi="仿宋_GB2312" w:eastAsia="仿宋_GB2312" w:cs="仿宋_GB2312"/>
                <w:b/>
                <w:bCs/>
                <w:color w:val="auto"/>
                <w:sz w:val="24"/>
              </w:rPr>
              <w:t>（投标文件中需提供彩页、官网或功能截图等其中任意一项并加盖投标人</w:t>
            </w:r>
            <w:r>
              <w:rPr>
                <w:rFonts w:ascii="仿宋_GB2312" w:hAnsi="仿宋_GB2312" w:eastAsia="仿宋_GB2312" w:cs="仿宋_GB2312"/>
                <w:b/>
                <w:bCs/>
                <w:color w:val="auto"/>
                <w:sz w:val="24"/>
              </w:rPr>
              <w:t>CA电子签章</w:t>
            </w:r>
            <w:r>
              <w:rPr>
                <w:rFonts w:hint="eastAsia" w:ascii="仿宋_GB2312" w:hAnsi="仿宋_GB2312" w:eastAsia="仿宋_GB2312" w:cs="仿宋_GB2312"/>
                <w:b/>
                <w:bCs/>
                <w:color w:val="auto"/>
                <w:sz w:val="24"/>
              </w:rPr>
              <w:t>）</w:t>
            </w:r>
          </w:p>
          <w:p w14:paraId="1B6E7CA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强调动画：提供旋转、移动、晃动、积压、翻转、悬摆、抖动、倾斜</w:t>
            </w:r>
            <w:r>
              <w:rPr>
                <w:rFonts w:hint="eastAsia" w:ascii="仿宋_GB2312" w:hAnsi="仿宋_GB2312" w:eastAsia="仿宋_GB2312" w:cs="仿宋_GB2312"/>
                <w:color w:val="auto"/>
                <w:sz w:val="24"/>
                <w:lang w:val="en-US" w:eastAsia="zh-CN"/>
              </w:rPr>
              <w:t>的</w:t>
            </w:r>
            <w:r>
              <w:rPr>
                <w:rFonts w:hint="eastAsia" w:ascii="仿宋_GB2312" w:hAnsi="仿宋_GB2312" w:eastAsia="仿宋_GB2312" w:cs="仿宋_GB2312"/>
                <w:color w:val="auto"/>
                <w:sz w:val="24"/>
              </w:rPr>
              <w:t>预置强调形式。</w:t>
            </w:r>
          </w:p>
          <w:p w14:paraId="63E2D3A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退出动画：支持缓出、移出、浮出、飞出、弹出、蹦出、放大退出、翻转退出、滚动退出、螺旋退出</w:t>
            </w:r>
            <w:r>
              <w:rPr>
                <w:rFonts w:hint="eastAsia" w:ascii="仿宋_GB2312" w:hAnsi="仿宋_GB2312" w:eastAsia="仿宋_GB2312" w:cs="仿宋_GB2312"/>
                <w:color w:val="auto"/>
                <w:sz w:val="24"/>
                <w:lang w:val="en-US" w:eastAsia="zh-CN"/>
              </w:rPr>
              <w:t>的</w:t>
            </w:r>
            <w:r>
              <w:rPr>
                <w:rFonts w:hint="eastAsia" w:ascii="仿宋_GB2312" w:hAnsi="仿宋_GB2312" w:eastAsia="仿宋_GB2312" w:cs="仿宋_GB2312"/>
                <w:color w:val="auto"/>
                <w:sz w:val="24"/>
              </w:rPr>
              <w:t>预置退出形式。</w:t>
            </w:r>
          </w:p>
          <w:p w14:paraId="5B23FA3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触发条件：支持对预置动画的触发条件进行设置，包括出现后自动播放、点击后播放、上一元素后播放、上一元素同时播放。</w:t>
            </w:r>
          </w:p>
          <w:p w14:paraId="7766201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动画顺序设置：支持通过拖拽的方式，直观便捷的调整物体预置动画的播放顺序。</w:t>
            </w:r>
          </w:p>
          <w:p w14:paraId="185C679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循环播放设置：支持设置循环播放物体的预置动画。</w:t>
            </w:r>
          </w:p>
          <w:p w14:paraId="70B9D4D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动画预览：支持在舞台上查看预置动画效果。</w:t>
            </w:r>
          </w:p>
          <w:p w14:paraId="2D0299D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翻页动画：支持平移、覆盖、出现、还如、缩放、中心旋转、三维旋转、门轴旋转、向后跌落、向前跌落、百叶窗</w:t>
            </w:r>
            <w:r>
              <w:rPr>
                <w:rFonts w:hint="eastAsia" w:ascii="仿宋_GB2312" w:hAnsi="仿宋_GB2312" w:eastAsia="仿宋_GB2312" w:cs="仿宋_GB2312"/>
                <w:color w:val="auto"/>
                <w:sz w:val="24"/>
                <w:lang w:val="en-US" w:eastAsia="zh-CN"/>
              </w:rPr>
              <w:t>的</w:t>
            </w:r>
            <w:r>
              <w:rPr>
                <w:rFonts w:hint="eastAsia" w:ascii="仿宋_GB2312" w:hAnsi="仿宋_GB2312" w:eastAsia="仿宋_GB2312" w:cs="仿宋_GB2312"/>
                <w:color w:val="auto"/>
                <w:sz w:val="24"/>
              </w:rPr>
              <w:t>翻页效果。</w:t>
            </w:r>
          </w:p>
          <w:p w14:paraId="06AD8E9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页面退出效果：支持对翻页时页面退出显示的效果进行设置，包含缩小、缓出、缩小并缓出</w:t>
            </w:r>
            <w:r>
              <w:rPr>
                <w:rFonts w:hint="eastAsia" w:ascii="仿宋_GB2312" w:hAnsi="仿宋_GB2312" w:eastAsia="仿宋_GB2312" w:cs="仿宋_GB2312"/>
                <w:color w:val="auto"/>
                <w:sz w:val="24"/>
                <w:lang w:val="en-US" w:eastAsia="zh-CN"/>
              </w:rPr>
              <w:t>的</w:t>
            </w:r>
            <w:r>
              <w:rPr>
                <w:rFonts w:hint="eastAsia" w:ascii="仿宋_GB2312" w:hAnsi="仿宋_GB2312" w:eastAsia="仿宋_GB2312" w:cs="仿宋_GB2312"/>
                <w:color w:val="auto"/>
                <w:sz w:val="24"/>
              </w:rPr>
              <w:t>退出效果。</w:t>
            </w:r>
          </w:p>
          <w:p w14:paraId="6E785699">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（5）功能概述：绘图、表单、互动组件</w:t>
            </w:r>
          </w:p>
          <w:p w14:paraId="0C7705E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331A567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表单组件：表单控件封装内置了输入框、单选框、多选框、列表框</w:t>
            </w:r>
            <w:r>
              <w:rPr>
                <w:rFonts w:hint="eastAsia" w:ascii="仿宋_GB2312" w:hAnsi="仿宋_GB2312" w:eastAsia="仿宋_GB2312" w:cs="仿宋_GB2312"/>
                <w:color w:val="auto"/>
                <w:sz w:val="24"/>
                <w:lang w:val="en-US" w:eastAsia="zh-CN"/>
              </w:rPr>
              <w:t>的</w:t>
            </w:r>
            <w:r>
              <w:rPr>
                <w:rFonts w:hint="eastAsia" w:ascii="仿宋_GB2312" w:hAnsi="仿宋_GB2312" w:eastAsia="仿宋_GB2312" w:cs="仿宋_GB2312"/>
                <w:color w:val="auto"/>
                <w:sz w:val="24"/>
              </w:rPr>
              <w:t>表单工具，接收用户提交的文本输入和选项选择信息。互动组件：支持点赞、擦玻璃、绘画板、陀螺仪的互动功能的使用。</w:t>
            </w:r>
          </w:p>
          <w:p w14:paraId="0AE570E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考题组件：支持单选题、多选题、填空题、拖拽题、分数汇总</w:t>
            </w:r>
            <w:r>
              <w:rPr>
                <w:rFonts w:hint="eastAsia" w:ascii="仿宋_GB2312" w:hAnsi="仿宋_GB2312" w:eastAsia="仿宋_GB2312" w:cs="仿宋_GB2312"/>
                <w:color w:val="auto"/>
                <w:sz w:val="24"/>
                <w:lang w:val="en-US" w:eastAsia="zh-CN"/>
              </w:rPr>
              <w:t>的</w:t>
            </w:r>
            <w:r>
              <w:rPr>
                <w:rFonts w:hint="eastAsia" w:ascii="仿宋_GB2312" w:hAnsi="仿宋_GB2312" w:eastAsia="仿宋_GB2312" w:cs="仿宋_GB2312"/>
                <w:color w:val="auto"/>
                <w:sz w:val="24"/>
              </w:rPr>
              <w:t>控件的使用。</w:t>
            </w:r>
          </w:p>
          <w:p w14:paraId="77DA861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绘图组件：支持多种图形绘制，可绘制矩形、圆形、直线、圆角矩形、多边形。</w:t>
            </w:r>
          </w:p>
          <w:p w14:paraId="10C3FD5C">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（6）功能概述：无代码交互设置</w:t>
            </w:r>
          </w:p>
          <w:p w14:paraId="2ED2477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50F5BEF8">
            <w:pPr>
              <w:spacing w:line="400" w:lineRule="exact"/>
              <w:ind w:firstLine="480" w:firstLineChars="200"/>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动画播放控制：支持触发条件控制动画，包含媒体暂停、媒体播放、页面翻页、跳转指定页、禁止翻页、恢复翻页。触发条件可设定为点击、出现、手指按下、手指抬起、向左滑动、向右滑动、向上滑动、向下滑动、向左上滑动、向左下滑动、向右上滑动、向右下滑动、摇一摇、预置动画结束。</w:t>
            </w:r>
            <w:r>
              <w:rPr>
                <w:rFonts w:hint="eastAsia" w:ascii="仿宋_GB2312" w:hAnsi="仿宋_GB2312" w:eastAsia="仿宋_GB2312" w:cs="仿宋_GB2312"/>
                <w:b/>
                <w:bCs/>
                <w:color w:val="auto"/>
                <w:sz w:val="24"/>
              </w:rPr>
              <w:t>（投标文件中需提供彩页、官网或功能截图等其中任意一项并加盖投标人</w:t>
            </w:r>
            <w:r>
              <w:rPr>
                <w:rFonts w:ascii="仿宋_GB2312" w:hAnsi="仿宋_GB2312" w:eastAsia="仿宋_GB2312" w:cs="仿宋_GB2312"/>
                <w:b/>
                <w:bCs/>
                <w:color w:val="auto"/>
                <w:sz w:val="24"/>
              </w:rPr>
              <w:t>CA电子签章</w:t>
            </w:r>
            <w:r>
              <w:rPr>
                <w:rFonts w:hint="eastAsia" w:ascii="仿宋_GB2312" w:hAnsi="仿宋_GB2312" w:eastAsia="仿宋_GB2312" w:cs="仿宋_GB2312"/>
                <w:b/>
                <w:bCs/>
                <w:color w:val="auto"/>
                <w:sz w:val="24"/>
              </w:rPr>
              <w:t>）</w:t>
            </w:r>
          </w:p>
          <w:p w14:paraId="7849E87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u w:val="single"/>
              </w:rPr>
              <w:t>数据服务：根据触发条件设定提交表单功能。触发条件可设定为点击、出现、手指按下、手指抬起、向左滑动、向右滑动、向上滑动、向下滑动、向左上滑动、向左下滑动、向右上滑动、向右下滑动。</w:t>
            </w:r>
          </w:p>
          <w:p w14:paraId="0344CABB">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（7）功能概述：微信组件和分享设置</w:t>
            </w:r>
          </w:p>
          <w:p w14:paraId="0DC2365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7409E44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缩略图：支持H5全媒作品在微信中分享时设置缩略图。</w:t>
            </w:r>
          </w:p>
          <w:p w14:paraId="3399FE8A">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转发标题：支持H5全媒作品在微信消息中分享时显示的标题。</w:t>
            </w:r>
          </w:p>
          <w:p w14:paraId="5B2ACB8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转发描述：设置H5全媒作品在微信中分享时显示的概要描述。</w:t>
            </w:r>
          </w:p>
          <w:p w14:paraId="1678F21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朋友圈标题：设置H5全媒作品在微信朋友圈中分享时显示的标题。</w:t>
            </w:r>
          </w:p>
          <w:p w14:paraId="3E8F01C0">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（8）功能概述：加载设置</w:t>
            </w:r>
          </w:p>
          <w:p w14:paraId="7376C6E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6F70140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★●首页作为加载界面：支持将H5全媒体稿件的第一页作为加载页面，通过设置首页上的动画，达到自定义加载界面的效果。</w:t>
            </w:r>
            <w:r>
              <w:rPr>
                <w:rFonts w:hint="eastAsia" w:ascii="仿宋_GB2312" w:hAnsi="仿宋_GB2312" w:eastAsia="仿宋_GB2312" w:cs="仿宋_GB2312"/>
                <w:b/>
                <w:bCs/>
                <w:color w:val="auto"/>
                <w:sz w:val="24"/>
              </w:rPr>
              <w:t>（投标文件中需提供彩页、官网或功能截图等其中任意一项并加盖投标人</w:t>
            </w:r>
            <w:r>
              <w:rPr>
                <w:rFonts w:ascii="仿宋_GB2312" w:hAnsi="仿宋_GB2312" w:eastAsia="仿宋_GB2312" w:cs="仿宋_GB2312"/>
                <w:b/>
                <w:bCs/>
                <w:color w:val="auto"/>
                <w:sz w:val="24"/>
              </w:rPr>
              <w:t>CA电子签章</w:t>
            </w:r>
            <w:r>
              <w:rPr>
                <w:rFonts w:hint="eastAsia" w:ascii="仿宋_GB2312" w:hAnsi="仿宋_GB2312" w:eastAsia="仿宋_GB2312" w:cs="仿宋_GB2312"/>
                <w:b/>
                <w:bCs/>
                <w:color w:val="auto"/>
                <w:sz w:val="24"/>
              </w:rPr>
              <w:t>）</w:t>
            </w:r>
          </w:p>
          <w:p w14:paraId="49CD1D30">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（9）功能概述：基础操作</w:t>
            </w:r>
          </w:p>
          <w:p w14:paraId="025CCFE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425DB07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导入PPTX：支持导入PPTX文件并直接转化为H5全媒体稿件，用户可在转化的基础上进行二次编辑，快速生成翻页类H5新闻稿件。</w:t>
            </w:r>
          </w:p>
          <w:p w14:paraId="174BCC0A">
            <w:pPr>
              <w:spacing w:line="400" w:lineRule="exact"/>
              <w:ind w:firstLine="480" w:firstLineChars="200"/>
              <w:rPr>
                <w:rFonts w:ascii="仿宋_GB2312" w:hAnsi="仿宋_GB2312" w:eastAsia="仿宋_GB2312" w:cs="仿宋_GB2312"/>
                <w:color w:val="auto"/>
                <w:sz w:val="24"/>
                <w:u w:val="single"/>
              </w:rPr>
            </w:pPr>
            <w:r>
              <w:rPr>
                <w:rFonts w:hint="eastAsia" w:ascii="仿宋_GB2312" w:hAnsi="仿宋_GB2312" w:eastAsia="仿宋_GB2312" w:cs="仿宋_GB2312"/>
                <w:color w:val="auto"/>
                <w:sz w:val="24"/>
                <w:u w:val="single"/>
              </w:rPr>
              <w:t>稿件预览：提前预览稿件的阅读效果。用户在编辑稿件过程中随时查看稿件传播的呈现形式，如稿件样式、图片效果、文案效果。供编辑用户参考，并根据制作目标随时编辑、调整稿件内容。</w:t>
            </w:r>
          </w:p>
          <w:p w14:paraId="1EEB1ABE">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4、H5编辑器（专业版）</w:t>
            </w:r>
          </w:p>
          <w:p w14:paraId="79DD500E">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（1）功能概述：接口对接</w:t>
            </w:r>
          </w:p>
          <w:p w14:paraId="5959B8D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0703AE3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接口对接H5编辑器（简化版），使得H5编辑器（专业版）和H5编辑器（简化版）可编辑同一个H5稿件。媒体用户可根据作品复杂度和具体需求，灵活采用简化版或专业版编辑、修改同一个H5全媒体作品，实现内容互通、稿件交叉编辑的操作效果。</w:t>
            </w:r>
          </w:p>
          <w:p w14:paraId="017F75D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提供接口对接图表编辑器，在H5编辑器（专业版）中插入图表时，可使用图表编辑器插件进行图表编改和美化。</w:t>
            </w:r>
          </w:p>
          <w:p w14:paraId="74DC774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提供接口对接图表编辑器，在H5编辑器（专业版）中可调动图片编辑器插件进行图片快编处理。</w:t>
            </w:r>
          </w:p>
          <w:p w14:paraId="5A67204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提供接口对接视频编辑器，在H5编辑器（简化版）中可调动视频编辑器插件进行视频快编处理。</w:t>
            </w:r>
          </w:p>
          <w:p w14:paraId="1469D4F1">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（2）功能概述：素材应用</w:t>
            </w:r>
          </w:p>
          <w:p w14:paraId="2670563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0992A4E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支持直接读取素材库的图片素材，并直接引用至作品中。</w:t>
            </w:r>
          </w:p>
          <w:p w14:paraId="1277D74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支持直接读取素材库的音频素材，并直接引用至作品中。</w:t>
            </w:r>
          </w:p>
          <w:p w14:paraId="7D1D9D4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支持直接读取素材库的视频素材，并直接引用至作品中。</w:t>
            </w:r>
          </w:p>
          <w:p w14:paraId="7F7504F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支持在作品中插入单行文本、文本段落，可设置文本的字号、字体、填充色、粗斜体</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对齐方式文本属性。</w:t>
            </w:r>
          </w:p>
          <w:p w14:paraId="45562F0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支持在作品中插入VR全景图片、全景视频实现全景虚拟现实的效果，可设置前、后、左、右、上、下的各方位全景图片。支持关联陀螺仪控制。</w:t>
            </w:r>
          </w:p>
          <w:p w14:paraId="26A4FA9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支持在作品中插入数据图表，并可调用图表编辑器插件，对图表进行数据编改、美化。</w:t>
            </w:r>
          </w:p>
          <w:p w14:paraId="1131A4E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支持插入幻灯片组件，并编辑幻灯片的图片组、设置播放展示方向和自动播放间隔参数。</w:t>
            </w:r>
          </w:p>
          <w:p w14:paraId="23F01D0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支持导入本地的PSD文件，编辑器自动对PSD文件自动分层处理和压缩，用户按需选择整体导入图片或分层导入图片。</w:t>
            </w:r>
          </w:p>
          <w:p w14:paraId="7222A696">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（3）功能概述：涵盖文字、段落、图片、视频、音频、曲线</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形状</w:t>
            </w:r>
            <w:r>
              <w:rPr>
                <w:rFonts w:hint="eastAsia" w:ascii="仿宋_GB2312" w:hAnsi="仿宋_GB2312" w:eastAsia="仿宋_GB2312" w:cs="仿宋_GB2312"/>
                <w:color w:val="auto"/>
                <w:sz w:val="24"/>
                <w:lang w:val="en-US" w:eastAsia="zh-CN"/>
              </w:rPr>
              <w:t>的</w:t>
            </w:r>
            <w:r>
              <w:rPr>
                <w:rFonts w:hint="eastAsia" w:ascii="仿宋_GB2312" w:hAnsi="仿宋_GB2312" w:eastAsia="仿宋_GB2312" w:cs="仿宋_GB2312"/>
                <w:color w:val="auto"/>
                <w:sz w:val="24"/>
              </w:rPr>
              <w:t>广泛范围。</w:t>
            </w:r>
          </w:p>
          <w:p w14:paraId="5D62D69A">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4296727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文本组件：用于建立文本素材；</w:t>
            </w:r>
          </w:p>
          <w:p w14:paraId="7A9AC3A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属性配置：字号、内容、字体、填充色、线条色、粗体、斜体、下划线、透明度、旋转、左对齐、居中对齐、右对齐、上对齐、下对齐、居中对齐、溢出显示。</w:t>
            </w:r>
          </w:p>
          <w:p w14:paraId="257EF3C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文本段落：提供包含文字、图片、视频</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链接复杂编辑的图文段落；</w:t>
            </w:r>
          </w:p>
          <w:p w14:paraId="56E09B9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属性配置：独立的编辑工具栏提供如下属性：文本内容、字号、内容、填充色、对齐、粗体、斜体、删除线、添加图片、添加视频、添加链接、删除格式。</w:t>
            </w:r>
          </w:p>
          <w:p w14:paraId="08EAF3B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图片：用于显示格式为jpg、gif、png、psd的图片素材；</w:t>
            </w:r>
          </w:p>
          <w:p w14:paraId="3A2F51F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属性配置：图像源。</w:t>
            </w:r>
          </w:p>
          <w:p w14:paraId="5886CDA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音频：用户播放格式为mp3的音频素材；</w:t>
            </w:r>
          </w:p>
          <w:p w14:paraId="1AAEED2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属性配置：素材地址、播放图标、暂停图标、循环、自动播放。</w:t>
            </w:r>
          </w:p>
          <w:p w14:paraId="5F8A2EA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视频：用户播放格式为mp4的视频素材；</w:t>
            </w:r>
          </w:p>
          <w:p w14:paraId="10B0035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属性配置：素材地址、封面图片、自动播放。</w:t>
            </w:r>
          </w:p>
          <w:p w14:paraId="1F37A0A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定制图片：上传用户设备上的图片并显示；</w:t>
            </w:r>
          </w:p>
          <w:p w14:paraId="36EB841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属性配置：图片位置、图片尺寸、水平偏移、垂直偏移。</w:t>
            </w:r>
          </w:p>
          <w:p w14:paraId="4509527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表单：提供预置或者可定制的用来提交信息的表单；</w:t>
            </w:r>
          </w:p>
          <w:p w14:paraId="514106B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属性配置：表单项、提交地址、提交方式、提交行为、字体颜色、背景颜色、确认消息、字体大小。</w:t>
            </w:r>
          </w:p>
          <w:p w14:paraId="1D40DB7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输入框：用于接收用户文本输入；</w:t>
            </w:r>
          </w:p>
          <w:p w14:paraId="68B63ED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属性配置：字号、内容、字体、填充色、线条色、粗体、斜体、下划线、透明度、旋转、左对齐、居中对齐、右对齐、提示文字、类型、是否必填。</w:t>
            </w:r>
          </w:p>
          <w:p w14:paraId="3A1A0E7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单选框：在若干选项中选择一个唯一的选项的表单项；</w:t>
            </w:r>
          </w:p>
          <w:p w14:paraId="18B2A24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属性配置：标签、是否必填、标签、外观、边框、状态图片。</w:t>
            </w:r>
          </w:p>
          <w:p w14:paraId="66EF9C4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复选框：在若干选项中选择一个或者多个选项的表单项；</w:t>
            </w:r>
          </w:p>
          <w:p w14:paraId="0B81795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属性配置：标签、是否必填、标签、外观、边框、状态图片。</w:t>
            </w:r>
          </w:p>
          <w:p w14:paraId="614B927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列表框：从一组下拉列表中选择一个选项的表单项目；</w:t>
            </w:r>
          </w:p>
          <w:p w14:paraId="5090663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属性配置：提示文字、选项列表、是否必填。</w:t>
            </w:r>
          </w:p>
          <w:p w14:paraId="7F5E264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幻灯片：一组图片，可以自动或者手动切换显示的图片；</w:t>
            </w:r>
          </w:p>
          <w:p w14:paraId="1516991A">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属性配置：图片列表编辑，切换效果、切换时间、允许手动。</w:t>
            </w:r>
          </w:p>
          <w:p w14:paraId="30C016C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定时器：用于显示时间进度，并可以触发定时发生的行为；</w:t>
            </w:r>
          </w:p>
          <w:p w14:paraId="71F86CA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属性配置：定时长度、记时方向、是否重复。</w:t>
            </w:r>
          </w:p>
          <w:p w14:paraId="60140A8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陀螺仪：用于提供移动设备重力感应器产生的设备方位数据；</w:t>
            </w:r>
          </w:p>
          <w:p w14:paraId="7868C94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属性配置：方位类型。</w:t>
            </w:r>
          </w:p>
          <w:p w14:paraId="3AF20FA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★●虚拟现实：在三维场景中浏览全景图片；</w:t>
            </w:r>
            <w:r>
              <w:rPr>
                <w:rFonts w:hint="eastAsia" w:ascii="仿宋_GB2312" w:hAnsi="仿宋_GB2312" w:eastAsia="仿宋_GB2312" w:cs="仿宋_GB2312"/>
                <w:b/>
                <w:bCs/>
                <w:color w:val="auto"/>
                <w:sz w:val="24"/>
              </w:rPr>
              <w:t>（投标文件中需提供彩页、官网或功能截图等其中任意一项并加盖投标人</w:t>
            </w:r>
            <w:r>
              <w:rPr>
                <w:rFonts w:ascii="仿宋_GB2312" w:hAnsi="仿宋_GB2312" w:eastAsia="仿宋_GB2312" w:cs="仿宋_GB2312"/>
                <w:b/>
                <w:bCs/>
                <w:color w:val="auto"/>
                <w:sz w:val="24"/>
              </w:rPr>
              <w:t>CA电子签章</w:t>
            </w:r>
            <w:r>
              <w:rPr>
                <w:rFonts w:hint="eastAsia" w:ascii="仿宋_GB2312" w:hAnsi="仿宋_GB2312" w:eastAsia="仿宋_GB2312" w:cs="仿宋_GB2312"/>
                <w:b/>
                <w:bCs/>
                <w:color w:val="auto"/>
                <w:sz w:val="24"/>
              </w:rPr>
              <w:t>）</w:t>
            </w:r>
          </w:p>
          <w:p w14:paraId="3E0CB7D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属性配置：显示导航、陀螺仪控制、场景图片、缩略图、预览图、场景标题、热点名称、热点图片、热点行为、热点尺寸。</w:t>
            </w:r>
          </w:p>
          <w:p w14:paraId="6C4E56E7">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（4）功能概述：涵盖关键帧动画、逐帧动画、进度动画、关联动画、变形动画、遮罩动画。</w:t>
            </w:r>
          </w:p>
          <w:p w14:paraId="12D4BDD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6AA1631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通用：基本功能；</w:t>
            </w:r>
          </w:p>
          <w:p w14:paraId="0E2F246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属性配置：动画开始时间、结束时间。</w:t>
            </w:r>
          </w:p>
          <w:p w14:paraId="0E11A18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★●关键帧动画：通过定义动画的开始和结束状态，并通过插值来实时运算中间状态的动画形式；</w:t>
            </w:r>
            <w:r>
              <w:rPr>
                <w:rFonts w:hint="eastAsia" w:ascii="仿宋_GB2312" w:hAnsi="仿宋_GB2312" w:eastAsia="仿宋_GB2312" w:cs="仿宋_GB2312"/>
                <w:b/>
                <w:bCs/>
                <w:color w:val="auto"/>
                <w:sz w:val="24"/>
              </w:rPr>
              <w:t>（投标文件中需提供彩页、官网或功能截图等其中任意一项并加盖投标人</w:t>
            </w:r>
            <w:r>
              <w:rPr>
                <w:rFonts w:ascii="仿宋_GB2312" w:hAnsi="仿宋_GB2312" w:eastAsia="仿宋_GB2312" w:cs="仿宋_GB2312"/>
                <w:b/>
                <w:bCs/>
                <w:color w:val="auto"/>
                <w:sz w:val="24"/>
              </w:rPr>
              <w:t>CA电子签章</w:t>
            </w:r>
            <w:r>
              <w:rPr>
                <w:rFonts w:hint="eastAsia" w:ascii="仿宋_GB2312" w:hAnsi="仿宋_GB2312" w:eastAsia="仿宋_GB2312" w:cs="仿宋_GB2312"/>
                <w:b/>
                <w:bCs/>
                <w:color w:val="auto"/>
                <w:sz w:val="24"/>
              </w:rPr>
              <w:t>）</w:t>
            </w:r>
          </w:p>
          <w:p w14:paraId="5D5B177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属性配置：位置、大小、旋转、透明度、运动形式、路径。</w:t>
            </w:r>
          </w:p>
          <w:p w14:paraId="2A18108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逐帧动画：用连续播放的图片序列来实现的动画形式；</w:t>
            </w:r>
          </w:p>
          <w:p w14:paraId="7CDBAC3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属性配置：图片序列地址。</w:t>
            </w:r>
          </w:p>
          <w:p w14:paraId="2AA9B34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进度动画：将文本（模拟打字）或者曲线（模拟绘制过程）按照一定的速度逐步显示的动画形式；</w:t>
            </w:r>
          </w:p>
          <w:p w14:paraId="13BABD2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属性配置：通用动画属性。</w:t>
            </w:r>
          </w:p>
          <w:p w14:paraId="0068772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曲线变形动画：将一个曲线形状变形为另一个曲线形状的动画形式；</w:t>
            </w:r>
          </w:p>
          <w:p w14:paraId="0F9232A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属性配置：通用动画属性。</w:t>
            </w:r>
          </w:p>
          <w:p w14:paraId="5071F7E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关联动画：用一个组件的指定属性去控制另一个组件的指定属性的动画形式；</w:t>
            </w:r>
          </w:p>
          <w:p w14:paraId="34AB452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属性配置：控制物体，控制属性，控制方式，控制公式，控制关键点。</w:t>
            </w:r>
          </w:p>
          <w:p w14:paraId="4C74974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遮罩动画：用内容中的某些部分作为通道来限制另一部分的显示与否的动画形式；</w:t>
            </w:r>
          </w:p>
          <w:p w14:paraId="7014AA2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属性配置：通用动画属性。</w:t>
            </w:r>
          </w:p>
          <w:p w14:paraId="01535F0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预置动画：可以添加到元素中的预先定义好的动画形式；</w:t>
            </w:r>
          </w:p>
          <w:p w14:paraId="3829DC2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属性配置：时长、延时、自动播放、循环播放以及根据预置动画形式（例如旋转）确定的属性（例如旋转方向）。</w:t>
            </w:r>
          </w:p>
          <w:p w14:paraId="215A262F">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（5）功能概述：提供无代码交互方式，并提供事件触发条件，即激活相应的行为操作的事件。</w:t>
            </w:r>
          </w:p>
          <w:p w14:paraId="582F0716">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（6）功能概述：基础功能</w:t>
            </w:r>
          </w:p>
          <w:p w14:paraId="04FD484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3CB4AE9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新建：生成一个新的全媒体动画内容。</w:t>
            </w:r>
          </w:p>
          <w:p w14:paraId="04D7A2C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保存：保存一个正在编辑的内容。</w:t>
            </w:r>
          </w:p>
          <w:p w14:paraId="3A7860A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打开：打开一个之前保存的内容继续进行编辑。</w:t>
            </w:r>
          </w:p>
          <w:p w14:paraId="3E31183A">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删除：删除一个之前存在的内容。</w:t>
            </w:r>
          </w:p>
          <w:p w14:paraId="5F945A6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另存为：将一个已经存在的内容保存为一个新的内容。</w:t>
            </w:r>
          </w:p>
          <w:p w14:paraId="4246491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导出：导出内容获取压缩包。</w:t>
            </w:r>
          </w:p>
          <w:p w14:paraId="73EC8EF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预览：在制作平台或者移动设备上对内容效果进行预览。</w:t>
            </w:r>
          </w:p>
          <w:p w14:paraId="63A0FF9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分享：将内容分享给除作者之外的第三方用户查看或编辑，通过共享地址或者二维码来实现。</w:t>
            </w:r>
          </w:p>
          <w:p w14:paraId="2760A9A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发布：将指定内容发布到内容服务器。</w:t>
            </w:r>
          </w:p>
          <w:p w14:paraId="469854C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页面编辑：对页面进行新建、复制、排序、插入</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删除操作。</w:t>
            </w:r>
          </w:p>
          <w:p w14:paraId="2F053F4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翻页效果：翻页的动画特效，如时长、特效、循环。</w:t>
            </w:r>
          </w:p>
          <w:p w14:paraId="0A037FB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（7）功能概述：模板功能</w:t>
            </w:r>
          </w:p>
          <w:p w14:paraId="7D4FB91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3D15A7A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转换：将一个内容转换为一个模板内容。</w:t>
            </w:r>
          </w:p>
          <w:p w14:paraId="2FB29E2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插入：从模板库中查找一个模板并插入到当前内容中。</w:t>
            </w:r>
          </w:p>
          <w:p w14:paraId="35EB06B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另存：将定制后的模板内容另存为一份新的内容。</w:t>
            </w:r>
          </w:p>
          <w:p w14:paraId="0F8C4B0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模板库组件：模版稿件库的集合，包含分类功能，模板搜索，模板预览。</w:t>
            </w:r>
          </w:p>
          <w:p w14:paraId="15CB4AE4">
            <w:pPr>
              <w:numPr>
                <w:ilvl w:val="0"/>
                <w:numId w:val="3"/>
              </w:numPr>
              <w:spacing w:line="40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功能概述：提供文本素材、图像素材、音视频素材的管理，支持素材上传、下载、新增、删除、修改功能，并提供素材共享功能。</w:t>
            </w:r>
          </w:p>
          <w:p w14:paraId="7D5CD51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（9）功能概述：针对每一个已经发布的作品可以进行用户访问量的统计，统计功能实现多维度。</w:t>
            </w:r>
          </w:p>
          <w:p w14:paraId="2932CF7D">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5、图表编辑器</w:t>
            </w:r>
          </w:p>
          <w:p w14:paraId="6C631875">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（1）功能概述：接口对接</w:t>
            </w:r>
          </w:p>
          <w:p w14:paraId="6558C61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59816FD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提供接口对接文本编辑器，图表编辑器生成的图表素材，可保存为H5动画，供文本编辑器直接读取并引用动态的图表素材，实现内容互通的操作效果。</w:t>
            </w:r>
          </w:p>
          <w:p w14:paraId="2283565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提供接口对接H5编辑器（简化版）和H5编辑器专业版，使得两个H5编辑器在插入数据图表时，可调用图表编辑器插件进行图表编改和美化。</w:t>
            </w:r>
          </w:p>
          <w:p w14:paraId="2BD7BC3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（2）功能概述：导入数据和录入数据</w:t>
            </w:r>
          </w:p>
          <w:p w14:paraId="6E318DE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4B29E62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支持导入标准的xls及csv格式的数据文件，以此生成图表。</w:t>
            </w:r>
          </w:p>
          <w:p w14:paraId="07CAA26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支持在二维表格上输入、修改图表数据，并即时反应到新的图表形态中。</w:t>
            </w:r>
          </w:p>
          <w:p w14:paraId="4FD8C13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（3）功能概述：提供饼状图表、折线图表、柱状图表、散点图表</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雷达图表图表模版</w:t>
            </w:r>
          </w:p>
          <w:p w14:paraId="4FE5DBE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（4）功能概述：图表属性控制功能</w:t>
            </w:r>
          </w:p>
          <w:p w14:paraId="4741635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3620271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支持对标题文字、字号、颜色的设置。</w:t>
            </w:r>
          </w:p>
          <w:p w14:paraId="53CCF0E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支持图表的色系选择。</w:t>
            </w:r>
          </w:p>
          <w:p w14:paraId="6662BBC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支持图表宽高比、背景颜色。</w:t>
            </w:r>
          </w:p>
          <w:p w14:paraId="46E2C3B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支持显示动画的设置。</w:t>
            </w:r>
          </w:p>
          <w:p w14:paraId="0334977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（5）功能概述：图表素材导出功能</w:t>
            </w:r>
          </w:p>
          <w:p w14:paraId="18F6616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4C35101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图表编辑器完成图表制作后，媒体用户可将数据图表导出为jpg、png、svg格式的图片以及H5格式的动态动画。</w:t>
            </w:r>
          </w:p>
          <w:p w14:paraId="2F5F09F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导出的图表图片可作为素材应用至图文作品、H5全媒作品中。</w:t>
            </w:r>
          </w:p>
          <w:p w14:paraId="2861431A">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导出的H5格式图表，可保留动画和互动特性，应用在图文、H5全媒作品中，可呈现动画和交互的动态效果。</w:t>
            </w:r>
          </w:p>
          <w:p w14:paraId="2CB87EE8">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6、图片编辑器</w:t>
            </w:r>
          </w:p>
          <w:p w14:paraId="41BCCC0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（1）功能概述：接口对接</w:t>
            </w:r>
          </w:p>
          <w:p w14:paraId="0B3186D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7DB5FAB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提供接口对接图文编辑器、H5编辑器（简化版）和H5编辑器（专业版），使得3个编辑器在稿件中插入图片时，可调用图片编辑器插件进行图片快编和美化。</w:t>
            </w:r>
          </w:p>
          <w:p w14:paraId="6332BFFD">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（2）功能概述：图片编辑器功能</w:t>
            </w:r>
          </w:p>
          <w:p w14:paraId="3B26D6E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57D1118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剪裁图片：可根据需求把图片剪裁为所需的长宽比例。图片编辑器提供常用的固定剪裁比例如1:1、4:3、16:9。支持自定义尺寸，自由选择裁剪比例及范围。</w:t>
            </w:r>
          </w:p>
          <w:p w14:paraId="7ECB71B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旋转图片：支持将图片X轴翻转、Y轴翻转，将图片沿Z轴旋转特定角度。</w:t>
            </w:r>
          </w:p>
          <w:p w14:paraId="5C1526C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画笔工具：支持画笔功能，可绘制直线、任意线条、马赛克画笔，用户可根据需求设置线条颜色和线条宽度。</w:t>
            </w:r>
          </w:p>
          <w:p w14:paraId="352B533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图形工具：支持绘制常用图形，如矩形、圆形、三角形，用户可根据需求设置图形填充色、边框色以及边框宽度。绘制后，可拖拽图形边框，微调图形大小。</w:t>
            </w:r>
          </w:p>
          <w:p w14:paraId="028EA46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插入图片：支持在已有图片上叠加新图片，实现“图片水印”的效果。叠加图片进入舞台后，用户可通过拖拽边框调整大小，拖动图片调整位置。</w:t>
            </w:r>
          </w:p>
          <w:p w14:paraId="3791535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添加文字：支持文字功能，实现“文字水印”的效果。可自定义编写文字内容并设定字体、字号、颜色、位置。</w:t>
            </w:r>
          </w:p>
          <w:p w14:paraId="48D6D2C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蒙版图片：支持图片蒙版功能，实现蒙版遮罩功能，把特定图片遮罩在底层图片上，最终显示两层图片的重叠部分。</w:t>
            </w:r>
          </w:p>
          <w:p w14:paraId="589591F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滤镜工具：支持丰富的滤镜功能，例如灰度、亮度、对比度、饱和度、反色、做旧、模糊</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素描滤镜特效。</w:t>
            </w:r>
          </w:p>
          <w:p w14:paraId="528E9E7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导出图片：支持将已完成的图片保存至素材库、或导出至本地。支持设置导出长宽尺寸、导出格式、图片压缩比例。</w:t>
            </w:r>
          </w:p>
          <w:p w14:paraId="6D7D8618">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7、视频编辑器</w:t>
            </w:r>
          </w:p>
          <w:p w14:paraId="18ACDD8D">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（1）功能概述：接口对接</w:t>
            </w:r>
          </w:p>
          <w:p w14:paraId="4256D9B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43030F6A">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提供接口对接图文编辑器、H5编辑器（简化版）和H5编辑器（专业版），支持在3个编辑器中直接可调用视频编辑器插件对稿件中的视频进行快编和美化。</w:t>
            </w:r>
          </w:p>
          <w:p w14:paraId="7F7C99AF">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（2）功能概述：素材支持</w:t>
            </w:r>
          </w:p>
          <w:p w14:paraId="4E5A90F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449E4EB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支持将视频、音频、图片</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字幕素材拖拽至下方的轨道中，进行相应的组合、剪辑操作。本地的视频、音频、图片素材，可点击“+”进行上传。</w:t>
            </w:r>
          </w:p>
          <w:p w14:paraId="3FF2E98E">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（3）功能概述：多轨功能和时间轴工具</w:t>
            </w:r>
          </w:p>
          <w:p w14:paraId="625CF76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78AD84A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分割视频段：支持对视频进行分隔。</w:t>
            </w:r>
          </w:p>
          <w:p w14:paraId="4433A19A">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编辑视频段：支持对视频段进行编辑，设置视频段的播放时长、开始时间、播放速度、音量参数。</w:t>
            </w:r>
          </w:p>
          <w:p w14:paraId="2A1E7A3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裁剪视频图像：支持对视频进行裁剪，选中需裁剪的视频段，使用裁剪工具，即可裁剪视频的显示区域。如下截图，拖拽黄色半透明裁剪边框，可设置显示区域的尺寸大小；拖动裁剪区域，可设置区域在原视频中的位置。</w:t>
            </w:r>
          </w:p>
          <w:p w14:paraId="776E3AC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马赛克工具：支持视频马赛克的添加，选中设置的视频段，使用马赛克工具，即可添加马赛克，拖拽浮层马赛克边框，可设置马赛克的尺寸大小；拖动马赛克区域，可设置马赛克在视频中的位置。</w:t>
            </w:r>
          </w:p>
          <w:p w14:paraId="45A92B7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添加字幕：支持对视频添加字幕，在时间轴上拖动设置字幕的时间位置及播放时长，在设置区域可设置字幕在视频中的显示位置、文字内容、播放长度、字体格式、字体大小、颜色参数。</w:t>
            </w:r>
          </w:p>
          <w:p w14:paraId="741E38A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滤镜工具：支持对视频添加滤镜特效，可选择滤镜效果并拖拽至下方滤镜轨道，支持在时间轴上拖动设置滤镜的的时长和位置。</w:t>
            </w:r>
          </w:p>
          <w:p w14:paraId="758B457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叠附工具：支持在时间轴上拖动设置叠附的时长和位置，双击叠附轨道中的对象，可设置叠附的尺寸大小和淡入淡出效果。</w:t>
            </w:r>
          </w:p>
          <w:p w14:paraId="23453D3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转场工具：支持中心展开/收起、中心放大/缩小、对角线展开/收起、水平展开/收起的转场效果。</w:t>
            </w:r>
          </w:p>
          <w:p w14:paraId="5647D57D">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（4）功能概述：协同编辑</w:t>
            </w:r>
          </w:p>
          <w:p w14:paraId="4D62A17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2034C64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支持团队协同编辑。用户编辑视频并保存后，可点击分享按钮，生成共享链接并发送给团队内其他用户，其他用户即可通过链接编辑同一视频。</w:t>
            </w:r>
          </w:p>
          <w:p w14:paraId="32894DCB">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（5）功能概述：预览和导出</w:t>
            </w:r>
          </w:p>
          <w:p w14:paraId="4DF0930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详细功能：</w:t>
            </w:r>
          </w:p>
          <w:p w14:paraId="200A8BD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支持手机预览功能，点击预览按钮生成二维码，即可扫码观看。</w:t>
            </w:r>
          </w:p>
          <w:p w14:paraId="51ED29BB">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支持将已完成的视频保存至素材库或导出至本地。支持设置视频图像尺寸、图像画质、导出格式参数。</w:t>
            </w:r>
          </w:p>
          <w:p w14:paraId="62C9DD9C">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二、★中标人提供的软件需要适配国产化操作系统，如果目前尚未适配国产化操作系统，中标人须承诺交付三个月内完成适配国产化操作系统，承诺期限内未完成适配的视为未履行合同约定。适配后须按照合同约定提供同等时长的质保服务，费用含在投标报价中。</w:t>
            </w:r>
          </w:p>
          <w:p w14:paraId="3413D1AB">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三、符合中华人民共和国职业技能大赛《全媒体运营》项目赛项技术要求。</w:t>
            </w:r>
          </w:p>
          <w:p w14:paraId="2FCDBD20">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四、★签订合同之前需再次查验投标文件中所需提供的证明文件，如出现所提供的证明文件不符合招标要求的情况，则视为虚假应标，采购人有权依法追究法律责任，并上报政府采购监督部门。</w:t>
            </w:r>
          </w:p>
          <w:p w14:paraId="73603ADD">
            <w:pPr>
              <w:spacing w:line="400" w:lineRule="exact"/>
              <w:ind w:firstLine="240" w:firstLineChars="100"/>
              <w:rPr>
                <w:rFonts w:ascii="仿宋_GB2312" w:hAnsi="仿宋_GB2312" w:eastAsia="仿宋_GB2312" w:cs="仿宋_GB2312"/>
                <w:color w:val="auto"/>
                <w:sz w:val="24"/>
              </w:rPr>
            </w:pPr>
            <w:r>
              <w:rPr>
                <w:rFonts w:hint="eastAsia" w:ascii="仿宋_GB2312" w:hAnsi="仿宋_GB2312" w:eastAsia="仿宋_GB2312" w:cs="仿宋_GB2312"/>
                <w:color w:val="auto"/>
                <w:sz w:val="24"/>
              </w:rPr>
              <w:t>五、★系统供应商必须免费开放系统并免费提供对接服务，免费提供对接技术方面的培训。</w:t>
            </w:r>
          </w:p>
        </w:tc>
        <w:tc>
          <w:tcPr>
            <w:tcW w:w="747" w:type="dxa"/>
            <w:vAlign w:val="center"/>
          </w:tcPr>
          <w:p w14:paraId="67928126">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1套</w:t>
            </w:r>
          </w:p>
        </w:tc>
      </w:tr>
      <w:bookmarkEnd w:id="30"/>
    </w:tbl>
    <w:p w14:paraId="33F5F5D9">
      <w:pPr>
        <w:spacing w:line="400" w:lineRule="exact"/>
        <w:ind w:right="-330" w:rightChars="-157"/>
        <w:jc w:val="left"/>
        <w:rPr>
          <w:rFonts w:ascii="仿宋_GB2312" w:hAnsi="仿宋_GB2312" w:eastAsia="仿宋_GB2312" w:cs="仿宋_GB2312"/>
          <w:color w:val="auto"/>
          <w:sz w:val="24"/>
        </w:rPr>
      </w:pPr>
    </w:p>
    <w:tbl>
      <w:tblPr>
        <w:tblStyle w:val="51"/>
        <w:tblW w:w="9394"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7896"/>
      </w:tblGrid>
      <w:tr w14:paraId="0195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94" w:type="dxa"/>
            <w:gridSpan w:val="2"/>
            <w:tcBorders>
              <w:top w:val="single" w:color="auto" w:sz="4" w:space="0"/>
              <w:left w:val="single" w:color="auto" w:sz="4" w:space="0"/>
              <w:bottom w:val="single" w:color="auto" w:sz="4" w:space="0"/>
              <w:right w:val="single" w:color="auto" w:sz="4" w:space="0"/>
            </w:tcBorders>
            <w:vAlign w:val="center"/>
          </w:tcPr>
          <w:p w14:paraId="78BA927A">
            <w:pPr>
              <w:spacing w:line="400" w:lineRule="exact"/>
              <w:ind w:right="-330" w:rightChars="-157"/>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4"/>
              </w:rPr>
              <w:t>★二、商务要求</w:t>
            </w:r>
          </w:p>
        </w:tc>
      </w:tr>
      <w:tr w14:paraId="3765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98" w:type="dxa"/>
            <w:tcBorders>
              <w:top w:val="single" w:color="auto" w:sz="4" w:space="0"/>
              <w:left w:val="single" w:color="auto" w:sz="4" w:space="0"/>
              <w:bottom w:val="single" w:color="auto" w:sz="4" w:space="0"/>
              <w:right w:val="single" w:color="auto" w:sz="4" w:space="0"/>
            </w:tcBorders>
            <w:vAlign w:val="center"/>
          </w:tcPr>
          <w:p w14:paraId="16A22E84">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基本要求</w:t>
            </w:r>
          </w:p>
        </w:tc>
        <w:tc>
          <w:tcPr>
            <w:tcW w:w="7896" w:type="dxa"/>
            <w:tcBorders>
              <w:top w:val="single" w:color="auto" w:sz="4" w:space="0"/>
              <w:left w:val="single" w:color="auto" w:sz="4" w:space="0"/>
              <w:bottom w:val="single" w:color="auto" w:sz="4" w:space="0"/>
              <w:right w:val="single" w:color="auto" w:sz="4" w:space="0"/>
            </w:tcBorders>
            <w:vAlign w:val="center"/>
          </w:tcPr>
          <w:p w14:paraId="4DD43432">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1.本项目投标报价包括货物及货物运抵指定交付地点的各种费用、随配附件、备品备件、安装调试、技术培训、技术资料、包装、售后服务、保险费、税金、验收检验及其他所有成本费用的总和；</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2.投标人应保证投标产品涉及到的知识产权和所提供的相关技术资料是合法取得，不会因为采购人的使用而被责令停止使用、追偿或要求赔偿损失，如出现此情况，一切经济和法律责任均由投标人承担；</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3.投标人所投产品应符合国家有关部门规定的相应技术、节能、安全和环保标准；国家有关部门对所投产品有强制性规定或要求的，必须符合相应规定或要求；</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4.软件本地化部署，若</w:t>
            </w:r>
            <w:r>
              <w:rPr>
                <w:rFonts w:hint="eastAsia" w:ascii="仿宋_GB2312" w:hAnsi="仿宋_GB2312" w:eastAsia="仿宋_GB2312" w:cs="仿宋_GB2312"/>
                <w:bCs/>
                <w:color w:val="auto"/>
                <w:sz w:val="24"/>
                <w:lang w:val="en-US" w:eastAsia="zh-CN"/>
              </w:rPr>
              <w:t>采购人</w:t>
            </w:r>
            <w:r>
              <w:rPr>
                <w:rFonts w:hint="eastAsia" w:ascii="仿宋_GB2312" w:hAnsi="仿宋_GB2312" w:eastAsia="仿宋_GB2312" w:cs="仿宋_GB2312"/>
                <w:bCs/>
                <w:color w:val="auto"/>
                <w:sz w:val="24"/>
              </w:rPr>
              <w:t>本地服务器不能</w:t>
            </w:r>
            <w:r>
              <w:rPr>
                <w:rFonts w:hint="eastAsia" w:ascii="仿宋_GB2312" w:hAnsi="仿宋_GB2312" w:eastAsia="仿宋_GB2312" w:cs="仿宋_GB2312"/>
                <w:bCs/>
                <w:color w:val="auto"/>
                <w:sz w:val="24"/>
                <w:lang w:val="en-US" w:eastAsia="zh-CN"/>
              </w:rPr>
              <w:t>使</w:t>
            </w:r>
            <w:r>
              <w:rPr>
                <w:rFonts w:hint="eastAsia" w:ascii="仿宋_GB2312" w:hAnsi="仿宋_GB2312" w:eastAsia="仿宋_GB2312" w:cs="仿宋_GB2312"/>
                <w:bCs/>
                <w:color w:val="auto"/>
                <w:sz w:val="24"/>
              </w:rPr>
              <w:t>软件正常运行和</w:t>
            </w:r>
            <w:r>
              <w:rPr>
                <w:rFonts w:hint="eastAsia" w:ascii="仿宋_GB2312" w:hAnsi="仿宋_GB2312" w:eastAsia="仿宋_GB2312" w:cs="仿宋_GB2312"/>
                <w:bCs/>
                <w:color w:val="auto"/>
                <w:sz w:val="24"/>
                <w:lang w:val="en-US" w:eastAsia="zh-CN"/>
              </w:rPr>
              <w:t>使</w:t>
            </w:r>
            <w:r>
              <w:rPr>
                <w:rFonts w:hint="eastAsia" w:ascii="仿宋_GB2312" w:hAnsi="仿宋_GB2312" w:eastAsia="仿宋_GB2312" w:cs="仿宋_GB2312"/>
                <w:bCs/>
                <w:color w:val="auto"/>
                <w:sz w:val="24"/>
              </w:rPr>
              <w:t>用</w:t>
            </w:r>
            <w:r>
              <w:rPr>
                <w:rFonts w:hint="eastAsia" w:ascii="仿宋_GB2312" w:hAnsi="仿宋_GB2312" w:eastAsia="仿宋_GB2312" w:cs="仿宋_GB2312"/>
                <w:bCs/>
                <w:color w:val="auto"/>
                <w:sz w:val="24"/>
                <w:lang w:eastAsia="zh-CN"/>
              </w:rPr>
              <w:t>，</w:t>
            </w:r>
            <w:r>
              <w:rPr>
                <w:rFonts w:hint="eastAsia" w:ascii="仿宋_GB2312" w:hAnsi="仿宋_GB2312" w:eastAsia="仿宋_GB2312" w:cs="仿宋_GB2312"/>
                <w:bCs/>
                <w:color w:val="auto"/>
                <w:sz w:val="24"/>
              </w:rPr>
              <w:t>供应商应同步提供满足软件使用的配套服务资源，同时，确保平台能够在通过安全可靠性测试的国产操作系统上运行。</w:t>
            </w:r>
          </w:p>
        </w:tc>
      </w:tr>
      <w:tr w14:paraId="13B0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98" w:type="dxa"/>
            <w:tcBorders>
              <w:top w:val="single" w:color="auto" w:sz="4" w:space="0"/>
              <w:left w:val="single" w:color="auto" w:sz="4" w:space="0"/>
              <w:bottom w:val="single" w:color="auto" w:sz="4" w:space="0"/>
              <w:right w:val="single" w:color="auto" w:sz="4" w:space="0"/>
            </w:tcBorders>
            <w:vAlign w:val="center"/>
          </w:tcPr>
          <w:p w14:paraId="0C94C865">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质量保证期</w:t>
            </w:r>
          </w:p>
        </w:tc>
        <w:tc>
          <w:tcPr>
            <w:tcW w:w="7896" w:type="dxa"/>
            <w:tcBorders>
              <w:top w:val="single" w:color="auto" w:sz="4" w:space="0"/>
              <w:left w:val="single" w:color="auto" w:sz="4" w:space="0"/>
              <w:bottom w:val="single" w:color="auto" w:sz="4" w:space="0"/>
              <w:right w:val="single" w:color="auto" w:sz="4" w:space="0"/>
            </w:tcBorders>
            <w:vAlign w:val="center"/>
          </w:tcPr>
          <w:p w14:paraId="30CB7B98">
            <w:pPr>
              <w:spacing w:line="400" w:lineRule="exact"/>
              <w:jc w:val="left"/>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bCs/>
                <w:color w:val="auto"/>
                <w:sz w:val="24"/>
              </w:rPr>
              <w:t>按国家有关产品“三包”规定执行“三包”，质保期为自验收合格之日起3年。</w:t>
            </w:r>
            <w:r>
              <w:rPr>
                <w:rFonts w:hint="eastAsia" w:ascii="仿宋_GB2312" w:hAnsi="仿宋_GB2312" w:eastAsia="仿宋_GB2312" w:cs="仿宋_GB2312"/>
                <w:bCs/>
                <w:color w:val="auto"/>
                <w:sz w:val="24"/>
                <w:lang w:val="en-US" w:eastAsia="zh-CN"/>
              </w:rPr>
              <w:t xml:space="preserve">                                                                                                                                                                                                                                                                                                                                                                                                                                                               </w:t>
            </w:r>
          </w:p>
        </w:tc>
      </w:tr>
      <w:tr w14:paraId="54F8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98" w:type="dxa"/>
            <w:tcBorders>
              <w:top w:val="single" w:color="auto" w:sz="4" w:space="0"/>
              <w:left w:val="single" w:color="auto" w:sz="4" w:space="0"/>
              <w:bottom w:val="single" w:color="auto" w:sz="4" w:space="0"/>
              <w:right w:val="single" w:color="auto" w:sz="4" w:space="0"/>
            </w:tcBorders>
            <w:vAlign w:val="center"/>
          </w:tcPr>
          <w:p w14:paraId="11EB02FE">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售后服务要求</w:t>
            </w:r>
          </w:p>
        </w:tc>
        <w:tc>
          <w:tcPr>
            <w:tcW w:w="7896" w:type="dxa"/>
            <w:tcBorders>
              <w:top w:val="single" w:color="auto" w:sz="4" w:space="0"/>
              <w:left w:val="single" w:color="auto" w:sz="4" w:space="0"/>
              <w:bottom w:val="single" w:color="auto" w:sz="4" w:space="0"/>
              <w:right w:val="single" w:color="auto" w:sz="4" w:space="0"/>
            </w:tcBorders>
            <w:vAlign w:val="center"/>
          </w:tcPr>
          <w:p w14:paraId="2EEEB199">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1.售后服务费用包含在报价中，售后服务内容如下：</w:t>
            </w:r>
          </w:p>
          <w:p w14:paraId="0D94A247">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(1)质保期内对采购人进行系统操作、日常维护等技术培训，培训时间由双方共同商定（每年不少于1次），受培训人数不低于10人时间不少于1天。</w:t>
            </w:r>
          </w:p>
          <w:p w14:paraId="061BC513">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w:t>
            </w:r>
            <w:r>
              <w:rPr>
                <w:rFonts w:hint="eastAsia"/>
                <w:color w:val="auto"/>
              </w:rPr>
              <w:t>)</w:t>
            </w:r>
            <w:r>
              <w:rPr>
                <w:rFonts w:hint="eastAsia" w:ascii="仿宋_GB2312" w:hAnsi="仿宋_GB2312" w:eastAsia="仿宋_GB2312" w:cs="仿宋_GB2312"/>
                <w:bCs/>
                <w:color w:val="auto"/>
                <w:sz w:val="24"/>
              </w:rPr>
              <w:t>中标人提供技术援助电话，解答采购人在使用中遇到的问题，及时为采购人提出解决问题的建议。接到报修通知后，一般问题8小时内通过远程方式解决；无法远程解决的大故障，应在接到报修通知后的24小时内派技术人员到达现场处理；到达现场后故障处理时限不超过48小时，如果超过故障处理时限，应免费提供同等质量的产品作为备用品供采购人使用，直至故障系统修复。</w:t>
            </w:r>
          </w:p>
          <w:p w14:paraId="157C76C0">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本项目所含软件必须为符合采购人适用范围的正版软件（非试用版），且在质保期内提供免费升级及维护服务。本项目合同约定的质保期过后，中标人需确保该软件其功能仍与交付验收时一致（如合同另有约定的按合同约定），质保期过后如需对软件进行升级或售后服务双方再行协商。</w:t>
            </w:r>
          </w:p>
        </w:tc>
      </w:tr>
      <w:tr w14:paraId="7F4F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98" w:type="dxa"/>
            <w:tcBorders>
              <w:top w:val="single" w:color="auto" w:sz="4" w:space="0"/>
              <w:left w:val="single" w:color="auto" w:sz="4" w:space="0"/>
              <w:bottom w:val="single" w:color="auto" w:sz="4" w:space="0"/>
              <w:right w:val="single" w:color="auto" w:sz="4" w:space="0"/>
            </w:tcBorders>
            <w:vAlign w:val="center"/>
          </w:tcPr>
          <w:p w14:paraId="1A03140D">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交货时间及地点</w:t>
            </w:r>
          </w:p>
        </w:tc>
        <w:tc>
          <w:tcPr>
            <w:tcW w:w="7896" w:type="dxa"/>
            <w:tcBorders>
              <w:top w:val="single" w:color="auto" w:sz="4" w:space="0"/>
              <w:left w:val="single" w:color="auto" w:sz="4" w:space="0"/>
              <w:bottom w:val="single" w:color="auto" w:sz="4" w:space="0"/>
              <w:right w:val="single" w:color="auto" w:sz="4" w:space="0"/>
            </w:tcBorders>
            <w:vAlign w:val="center"/>
          </w:tcPr>
          <w:p w14:paraId="14CBF25C">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1.交货时间：自签订合同之日起30日内安装调试完毕，验收合格并交付使用；</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2.交货地点：广西柳州市社湾路28号柳州职业技术大学社湾校区。</w:t>
            </w:r>
          </w:p>
        </w:tc>
      </w:tr>
      <w:tr w14:paraId="44AE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98" w:type="dxa"/>
            <w:tcBorders>
              <w:top w:val="single" w:color="auto" w:sz="4" w:space="0"/>
              <w:left w:val="single" w:color="auto" w:sz="4" w:space="0"/>
              <w:bottom w:val="single" w:color="auto" w:sz="4" w:space="0"/>
              <w:right w:val="single" w:color="auto" w:sz="4" w:space="0"/>
            </w:tcBorders>
            <w:vAlign w:val="center"/>
          </w:tcPr>
          <w:p w14:paraId="644DAFA3">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付款方式</w:t>
            </w:r>
          </w:p>
        </w:tc>
        <w:tc>
          <w:tcPr>
            <w:tcW w:w="7896" w:type="dxa"/>
            <w:tcBorders>
              <w:top w:val="single" w:color="auto" w:sz="4" w:space="0"/>
              <w:left w:val="single" w:color="auto" w:sz="4" w:space="0"/>
              <w:bottom w:val="single" w:color="auto" w:sz="4" w:space="0"/>
              <w:right w:val="single" w:color="auto" w:sz="4" w:space="0"/>
            </w:tcBorders>
            <w:vAlign w:val="center"/>
          </w:tcPr>
          <w:p w14:paraId="7090D6B6">
            <w:pPr>
              <w:pStyle w:val="810"/>
              <w:snapToGrid w:val="0"/>
              <w:spacing w:line="400" w:lineRule="exact"/>
              <w:rPr>
                <w:rFonts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财政性资金按财政国库集中支付规定程序办理。</w:t>
            </w:r>
            <w:r>
              <w:rPr>
                <w:rFonts w:hint="eastAsia" w:ascii="仿宋_GB2312" w:hAnsi="仿宋_GB2312" w:eastAsia="仿宋_GB2312" w:cs="仿宋_GB2312"/>
                <w:bCs/>
                <w:color w:val="auto"/>
                <w:sz w:val="24"/>
                <w:szCs w:val="24"/>
              </w:rPr>
              <w:br w:type="textWrapping"/>
            </w:r>
            <w:r>
              <w:rPr>
                <w:rFonts w:hint="eastAsia" w:ascii="仿宋_GB2312" w:hAnsi="仿宋_GB2312" w:eastAsia="仿宋_GB2312" w:cs="仿宋_GB2312"/>
                <w:bCs/>
                <w:color w:val="auto"/>
                <w:sz w:val="24"/>
                <w:szCs w:val="24"/>
              </w:rPr>
              <w:t>货物安装调试完毕并验收合格交付使用后，采购人在收到中标人开具的合同总价款增值税专用发票之日起10个工作日内向中标人指定账户付清合同价款(不计利息)。</w:t>
            </w:r>
          </w:p>
          <w:p w14:paraId="429F6E21">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
                <w:bCs/>
                <w:color w:val="auto"/>
                <w:sz w:val="24"/>
              </w:rPr>
              <w:t>注：资金支付等事项按照《保障中小企业款项支付条例》（国务院令第802号）、《广西壮族自治区财政厅关于持续优化政府采购营商环境推动高质量发展的通知》等要求执行。</w:t>
            </w:r>
          </w:p>
        </w:tc>
      </w:tr>
      <w:tr w14:paraId="02A1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98" w:type="dxa"/>
            <w:tcBorders>
              <w:top w:val="single" w:color="auto" w:sz="4" w:space="0"/>
              <w:left w:val="single" w:color="auto" w:sz="4" w:space="0"/>
              <w:bottom w:val="single" w:color="auto" w:sz="4" w:space="0"/>
              <w:right w:val="single" w:color="auto" w:sz="4" w:space="0"/>
            </w:tcBorders>
            <w:vAlign w:val="center"/>
          </w:tcPr>
          <w:p w14:paraId="6BD27C55">
            <w:pPr>
              <w:spacing w:line="400" w:lineRule="exact"/>
              <w:ind w:right="-27" w:rightChars="-13"/>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履约保证金</w:t>
            </w:r>
          </w:p>
        </w:tc>
        <w:tc>
          <w:tcPr>
            <w:tcW w:w="7896" w:type="dxa"/>
            <w:tcBorders>
              <w:top w:val="single" w:color="auto" w:sz="4" w:space="0"/>
              <w:left w:val="single" w:color="auto" w:sz="4" w:space="0"/>
              <w:bottom w:val="single" w:color="auto" w:sz="4" w:space="0"/>
              <w:right w:val="single" w:color="auto" w:sz="4" w:space="0"/>
            </w:tcBorders>
            <w:vAlign w:val="center"/>
          </w:tcPr>
          <w:p w14:paraId="5541065D">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1、履约保证金金额：</w:t>
            </w:r>
          </w:p>
          <w:p w14:paraId="6F3BDA26">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大型企业须缴纳履约保证金金额：合同金额的</w:t>
            </w: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%；中型企业须缴纳履约保证金金额：合同金额的2%；小微企业或监狱企业或残疾人福利性单位：无须缴纳履约保证金。</w:t>
            </w:r>
          </w:p>
          <w:p w14:paraId="6E252C92">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2、履约保证金提交及退付方式、时间及条件：</w:t>
            </w:r>
          </w:p>
          <w:p w14:paraId="698B0D95">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签订前2日内，中标人必须以银行转账、支票、汇票、本票或者银行、保险机构出具的保函、保险等非现金方式提交履约保证金。履约保证金在验收合格交付之日后，且在收到中标人退回履约保证金函件后5个工作日内，由采购人办理履约保证金退还手续（不计息）。</w:t>
            </w:r>
          </w:p>
          <w:p w14:paraId="77C465E1">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履约保证金账户：</w:t>
            </w:r>
          </w:p>
          <w:p w14:paraId="26D8312F">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名  称：柳州职业技术大学</w:t>
            </w:r>
          </w:p>
          <w:p w14:paraId="7AD05ED7">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开户行：交通银行西江支行</w:t>
            </w:r>
          </w:p>
          <w:p w14:paraId="4A7E575E">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账  号：452060600018120020185</w:t>
            </w:r>
          </w:p>
          <w:p w14:paraId="5ADC9D08">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转账时注明：柳州职业技术大学“新能源汽车数字商贸产教融合基地”软件部分采购项目，采购编号LZZC2025-G1-990359-LZSZ</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分标1</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rPr>
              <w:t>履约保证金</w:t>
            </w:r>
            <w:r>
              <w:rPr>
                <w:rFonts w:hint="eastAsia"/>
                <w:color w:val="auto"/>
                <w:lang w:eastAsia="zh-CN"/>
              </w:rPr>
              <w:t>。</w:t>
            </w:r>
          </w:p>
          <w:p w14:paraId="745B7904">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3、中标人有下列情况之一的，</w:t>
            </w:r>
            <w:r>
              <w:rPr>
                <w:rFonts w:hint="eastAsia" w:ascii="仿宋_GB2312" w:hAnsi="仿宋_GB2312" w:eastAsia="仿宋_GB2312" w:cs="仿宋_GB2312"/>
                <w:color w:val="auto"/>
                <w:sz w:val="24"/>
                <w:lang w:val="en-US" w:eastAsia="zh-CN"/>
              </w:rPr>
              <w:t>采购人</w:t>
            </w:r>
            <w:r>
              <w:rPr>
                <w:rFonts w:hint="eastAsia" w:ascii="仿宋_GB2312" w:hAnsi="仿宋_GB2312" w:eastAsia="仿宋_GB2312" w:cs="仿宋_GB2312"/>
                <w:color w:val="auto"/>
                <w:sz w:val="24"/>
              </w:rPr>
              <w:t>向</w:t>
            </w:r>
            <w:r>
              <w:rPr>
                <w:rFonts w:hint="eastAsia" w:ascii="仿宋_GB2312" w:hAnsi="仿宋_GB2312" w:eastAsia="仿宋_GB2312" w:cs="仿宋_GB2312"/>
                <w:color w:val="auto"/>
                <w:sz w:val="24"/>
                <w:lang w:val="en-US" w:eastAsia="zh-CN"/>
              </w:rPr>
              <w:t>中标人</w:t>
            </w:r>
            <w:r>
              <w:rPr>
                <w:rFonts w:hint="eastAsia" w:ascii="仿宋_GB2312" w:hAnsi="仿宋_GB2312" w:eastAsia="仿宋_GB2312" w:cs="仿宋_GB2312"/>
                <w:color w:val="auto"/>
                <w:sz w:val="24"/>
              </w:rPr>
              <w:t>出具书面通知，</w:t>
            </w:r>
            <w:r>
              <w:rPr>
                <w:rFonts w:hint="eastAsia" w:ascii="仿宋_GB2312" w:hAnsi="仿宋_GB2312" w:eastAsia="仿宋_GB2312" w:cs="仿宋_GB2312"/>
                <w:color w:val="auto"/>
                <w:sz w:val="24"/>
                <w:lang w:val="en-US" w:eastAsia="zh-CN"/>
              </w:rPr>
              <w:t>中标人</w:t>
            </w:r>
            <w:r>
              <w:rPr>
                <w:rFonts w:hint="eastAsia" w:ascii="仿宋_GB2312" w:hAnsi="仿宋_GB2312" w:eastAsia="仿宋_GB2312" w:cs="仿宋_GB2312"/>
                <w:color w:val="auto"/>
                <w:sz w:val="24"/>
              </w:rPr>
              <w:t>未能及时解决的，采购人可没收其全部履约保证金，并视具体情况按合同第九条处理：</w:t>
            </w:r>
          </w:p>
          <w:p w14:paraId="246FFFD4">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⑴中标人提供的货物规格、技术标准、材料未达到其</w:t>
            </w:r>
            <w:r>
              <w:rPr>
                <w:rFonts w:hint="eastAsia" w:ascii="仿宋_GB2312" w:hAnsi="仿宋_GB2312" w:eastAsia="仿宋_GB2312" w:cs="仿宋_GB2312"/>
                <w:color w:val="auto"/>
                <w:sz w:val="24"/>
                <w:lang w:val="en-US" w:eastAsia="zh-CN"/>
              </w:rPr>
              <w:t>投标</w:t>
            </w:r>
            <w:r>
              <w:rPr>
                <w:rFonts w:hint="eastAsia" w:ascii="仿宋_GB2312" w:hAnsi="仿宋_GB2312" w:eastAsia="仿宋_GB2312" w:cs="仿宋_GB2312"/>
                <w:color w:val="auto"/>
                <w:sz w:val="24"/>
              </w:rPr>
              <w:t>文件所承诺的，导致无法通过验收交付使用的；</w:t>
            </w:r>
          </w:p>
          <w:p w14:paraId="2D9C79EB">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⑵中标人提供的货物经查证无法得到生产厂家正规售后服务的；</w:t>
            </w:r>
          </w:p>
          <w:p w14:paraId="1C77F458">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⑶中标人提供的货物未经正规合法经销渠道的；</w:t>
            </w:r>
          </w:p>
          <w:p w14:paraId="1CF31D5A">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⑷中标人提供的货物侵犯了第三方合法权益而引发了纠纷或诉讼，导致无法按期交付使用的；</w:t>
            </w:r>
          </w:p>
          <w:p w14:paraId="4A575382">
            <w:pPr>
              <w:spacing w:line="400" w:lineRule="exact"/>
              <w:jc w:val="left"/>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⑸在货物试运行期间，故障率在10%及以上的。</w:t>
            </w:r>
          </w:p>
        </w:tc>
      </w:tr>
      <w:tr w14:paraId="3800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394" w:type="dxa"/>
            <w:gridSpan w:val="2"/>
            <w:tcBorders>
              <w:top w:val="single" w:color="auto" w:sz="4" w:space="0"/>
              <w:left w:val="single" w:color="auto" w:sz="4" w:space="0"/>
              <w:bottom w:val="single" w:color="auto" w:sz="4" w:space="0"/>
              <w:right w:val="single" w:color="auto" w:sz="4" w:space="0"/>
            </w:tcBorders>
            <w:vAlign w:val="center"/>
          </w:tcPr>
          <w:p w14:paraId="57A0A143">
            <w:pPr>
              <w:pStyle w:val="27"/>
              <w:snapToGrid w:val="0"/>
              <w:spacing w:line="400" w:lineRule="exact"/>
              <w:ind w:right="27" w:rightChars="13"/>
              <w:rPr>
                <w:rFonts w:ascii="仿宋_GB2312" w:hAnsi="仿宋_GB2312" w:eastAsia="仿宋_GB2312" w:cs="仿宋_GB2312"/>
                <w:bCs/>
                <w:color w:val="auto"/>
                <w:sz w:val="24"/>
                <w:szCs w:val="24"/>
                <w:lang w:val="en-GB"/>
              </w:rPr>
            </w:pPr>
            <w:r>
              <w:rPr>
                <w:rFonts w:hint="eastAsia" w:ascii="仿宋_GB2312" w:hAnsi="仿宋_GB2312" w:eastAsia="仿宋_GB2312" w:cs="仿宋_GB2312"/>
                <w:b/>
                <w:color w:val="auto"/>
                <w:kern w:val="0"/>
                <w:sz w:val="24"/>
                <w:szCs w:val="24"/>
              </w:rPr>
              <w:t>★</w:t>
            </w:r>
            <w:r>
              <w:rPr>
                <w:rFonts w:hint="eastAsia" w:ascii="仿宋_GB2312" w:hAnsi="仿宋_GB2312" w:eastAsia="仿宋_GB2312" w:cs="仿宋_GB2312"/>
                <w:b/>
                <w:bCs/>
                <w:color w:val="auto"/>
                <w:sz w:val="24"/>
                <w:szCs w:val="24"/>
              </w:rPr>
              <w:t>三、</w:t>
            </w:r>
            <w:r>
              <w:rPr>
                <w:rFonts w:hint="eastAsia" w:ascii="仿宋_GB2312" w:hAnsi="仿宋_GB2312" w:eastAsia="仿宋_GB2312" w:cs="仿宋_GB2312"/>
                <w:b/>
                <w:color w:val="auto"/>
                <w:sz w:val="24"/>
                <w:szCs w:val="24"/>
              </w:rPr>
              <w:t>验收要求</w:t>
            </w:r>
          </w:p>
        </w:tc>
      </w:tr>
      <w:tr w14:paraId="197E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98" w:type="dxa"/>
            <w:tcBorders>
              <w:top w:val="single" w:color="auto" w:sz="4" w:space="0"/>
              <w:left w:val="single" w:color="auto" w:sz="4" w:space="0"/>
              <w:bottom w:val="single" w:color="auto" w:sz="4" w:space="0"/>
              <w:right w:val="single" w:color="auto" w:sz="4" w:space="0"/>
            </w:tcBorders>
            <w:vAlign w:val="center"/>
          </w:tcPr>
          <w:p w14:paraId="724C3CC7">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bCs/>
                <w:color w:val="auto"/>
                <w:sz w:val="24"/>
              </w:rPr>
              <w:t>验收标准及要求</w:t>
            </w:r>
          </w:p>
        </w:tc>
        <w:tc>
          <w:tcPr>
            <w:tcW w:w="7896" w:type="dxa"/>
            <w:tcBorders>
              <w:top w:val="single" w:color="auto" w:sz="4" w:space="0"/>
              <w:left w:val="single" w:color="auto" w:sz="4" w:space="0"/>
              <w:bottom w:val="single" w:color="auto" w:sz="4" w:space="0"/>
              <w:right w:val="single" w:color="auto" w:sz="4" w:space="0"/>
            </w:tcBorders>
            <w:vAlign w:val="center"/>
          </w:tcPr>
          <w:p w14:paraId="3B2A0A19">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1.国家强制性技术标准及有关规定；</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交货验收时，采购人根据《广西壮族自治区政府采购项目履约验收管理办法》的规定，由采购人及中标人双方共同进行验收。必要时可委托国家认可的质量检测机构开展采购项目验收工作，验收时中标人必须有授权代表在场并在验收报告上签字，如正式验收时中标人授权代表未到场参加验收则视为中标人对验收过程及结果无异议。因软件使用问题发生争议时，由本地质量技术监督部门鉴定或委托具备资质的第三方机构鉴定。鉴定费（含运行产生全部费用）由中标人承担。投标人在投标报价时自行考虑；</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3.本项目因中标人提供的软件不能满足采购需求的技术参数或其投标文件承诺等原因无法通过验收，造成不能按时、按质、按量完成项目要求的，将按照《中华人民共和国政府采购法》等法律法规由中标人承担相应的法律责任；</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4.</w:t>
            </w:r>
            <w:r>
              <w:rPr>
                <w:rFonts w:hint="eastAsia" w:ascii="仿宋_GB2312" w:hAnsi="仿宋_GB2312" w:eastAsia="仿宋_GB2312" w:cs="仿宋_GB2312"/>
                <w:color w:val="auto"/>
                <w:sz w:val="24"/>
              </w:rPr>
              <w:t>中标人</w:t>
            </w:r>
            <w:r>
              <w:rPr>
                <w:rFonts w:hint="eastAsia" w:ascii="仿宋_GB2312" w:hAnsi="仿宋_GB2312" w:eastAsia="仿宋_GB2312" w:cs="仿宋_GB2312"/>
                <w:bCs/>
                <w:color w:val="auto"/>
                <w:sz w:val="24"/>
              </w:rPr>
              <w:t>负责软件安装调试，直至软件验收合格（期间所需器材及费用均由中标人承担）。产品或服务在安装调试并试运行符合要求后，才做最终验收。</w:t>
            </w:r>
          </w:p>
          <w:p w14:paraId="3C749886">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5.中标人完成安装调试后，采购人可以进行累计运行时间不超过72小时的试运行，以确认所供软件功能参数、兼容性及稳定性符合标准达到初验条件，在试运行期间出现问题中标人应在接到采购人书面反馈后三日内解决，在解决问题前此项目仍视为尚未完成安装调试。如造成最终验收合格交付时间超过合同约定的按合同相关条款执行。</w:t>
            </w:r>
          </w:p>
          <w:p w14:paraId="17AB1AFB">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
                <w:color w:val="auto"/>
                <w:sz w:val="24"/>
              </w:rPr>
              <w:t xml:space="preserve"> 注：投标人提供的技术培训方案及售后服务方案在合同实施阶段必须严格执行。投标人应认真对待方案和承诺内容，确保其真实性和可操作性，否则将承担相应的法律责任和违约后果。</w:t>
            </w:r>
          </w:p>
        </w:tc>
      </w:tr>
      <w:tr w14:paraId="26AF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94" w:type="dxa"/>
            <w:gridSpan w:val="2"/>
            <w:tcBorders>
              <w:top w:val="single" w:color="auto" w:sz="4" w:space="0"/>
              <w:left w:val="single" w:color="auto" w:sz="4" w:space="0"/>
              <w:bottom w:val="single" w:color="auto" w:sz="4" w:space="0"/>
              <w:right w:val="single" w:color="auto" w:sz="4" w:space="0"/>
            </w:tcBorders>
            <w:vAlign w:val="center"/>
          </w:tcPr>
          <w:p w14:paraId="7737F17F">
            <w:pPr>
              <w:pStyle w:val="27"/>
              <w:snapToGrid w:val="0"/>
              <w:spacing w:line="400" w:lineRule="exact"/>
              <w:ind w:right="-330" w:rightChars="-157"/>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四、</w:t>
            </w:r>
            <w:r>
              <w:rPr>
                <w:rFonts w:hint="eastAsia" w:ascii="仿宋_GB2312" w:hAnsi="仿宋_GB2312" w:eastAsia="仿宋_GB2312" w:cs="仿宋_GB2312"/>
                <w:b/>
                <w:color w:val="auto"/>
                <w:sz w:val="24"/>
                <w:szCs w:val="24"/>
              </w:rPr>
              <w:t>资信要求</w:t>
            </w:r>
          </w:p>
        </w:tc>
      </w:tr>
      <w:tr w14:paraId="2178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8" w:type="dxa"/>
            <w:tcBorders>
              <w:top w:val="single" w:color="auto" w:sz="4" w:space="0"/>
              <w:left w:val="single" w:color="auto" w:sz="4" w:space="0"/>
              <w:bottom w:val="single" w:color="auto" w:sz="4" w:space="0"/>
              <w:right w:val="single" w:color="auto" w:sz="4" w:space="0"/>
            </w:tcBorders>
            <w:vAlign w:val="center"/>
          </w:tcPr>
          <w:p w14:paraId="21DBC6A0">
            <w:pPr>
              <w:spacing w:line="440" w:lineRule="exact"/>
              <w:ind w:right="-27" w:rightChars="-13"/>
              <w:jc w:val="left"/>
              <w:rPr>
                <w:rFonts w:ascii="仿宋_GB2312" w:hAnsi="仿宋_GB2312" w:eastAsia="仿宋_GB2312" w:cs="仿宋_GB2312"/>
                <w:bCs/>
                <w:color w:val="auto"/>
                <w:sz w:val="24"/>
              </w:rPr>
            </w:pPr>
            <w:r>
              <w:rPr>
                <w:rFonts w:ascii="仿宋_GB2312" w:hAnsi="仿宋_GB2312" w:eastAsia="仿宋_GB2312" w:cs="仿宋_GB2312"/>
                <w:bCs/>
                <w:color w:val="auto"/>
                <w:sz w:val="24"/>
              </w:rPr>
              <w:t>★政策性资格要求</w:t>
            </w:r>
          </w:p>
        </w:tc>
        <w:tc>
          <w:tcPr>
            <w:tcW w:w="7896" w:type="dxa"/>
            <w:tcBorders>
              <w:top w:val="single" w:color="auto" w:sz="4" w:space="0"/>
              <w:left w:val="single" w:color="auto" w:sz="4" w:space="0"/>
              <w:bottom w:val="single" w:color="auto" w:sz="4" w:space="0"/>
              <w:right w:val="single" w:color="auto" w:sz="4" w:space="0"/>
            </w:tcBorders>
            <w:vAlign w:val="center"/>
          </w:tcPr>
          <w:p w14:paraId="19B7E696">
            <w:pPr>
              <w:pStyle w:val="825"/>
              <w:spacing w:before="0" w:beforeAutospacing="0" w:after="0" w:afterAutospacing="0" w:line="400" w:lineRule="exact"/>
              <w:rPr>
                <w:rFonts w:ascii="仿宋_GB2312" w:hAnsi="仿宋_GB2312" w:eastAsia="仿宋_GB2312" w:cs="仿宋_GB2312"/>
                <w:color w:val="auto"/>
              </w:rPr>
            </w:pPr>
            <w:r>
              <w:rPr>
                <w:rStyle w:val="827"/>
                <w:rFonts w:hint="eastAsia" w:ascii="仿宋_GB2312" w:hAnsi="仿宋_GB2312" w:eastAsia="仿宋_GB2312" w:cs="仿宋_GB2312"/>
                <w:color w:val="auto"/>
              </w:rPr>
              <w:t>1.根据《政府采购促进中小企业发展管理办法》（财库〔2020〕46号），本项目属于专门面向中小企业采购的项目，</w:t>
            </w:r>
            <w:r>
              <w:rPr>
                <w:rFonts w:hint="eastAsia" w:ascii="仿宋_GB2312" w:hAnsi="仿宋_GB2312" w:eastAsia="仿宋_GB2312" w:cs="仿宋_GB2312"/>
                <w:color w:val="auto"/>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69137E2F">
            <w:pPr>
              <w:pStyle w:val="825"/>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2.中小企业须符合本项目采购标的所属行业对应的中小企业划分标准：</w:t>
            </w:r>
          </w:p>
          <w:p w14:paraId="3E9F5DE1">
            <w:pPr>
              <w:pStyle w:val="825"/>
              <w:spacing w:before="0" w:beforeAutospacing="0" w:after="0" w:afterAutospacing="0" w:line="400" w:lineRule="exact"/>
              <w:rPr>
                <w:rFonts w:ascii="仿宋_GB2312" w:hAnsi="仿宋_GB2312" w:eastAsia="仿宋_GB2312" w:cs="仿宋_GB2312"/>
                <w:color w:val="auto"/>
              </w:rPr>
            </w:pPr>
            <w:r>
              <w:rPr>
                <w:rStyle w:val="827"/>
                <w:rFonts w:hint="eastAsia" w:ascii="仿宋_GB2312" w:hAnsi="仿宋_GB2312" w:eastAsia="仿宋_GB2312" w:cs="仿宋_GB2312"/>
                <w:color w:val="auto"/>
              </w:rPr>
              <w:t>（1）采购标的对应的中小企业划分标准所属行业：</w:t>
            </w:r>
            <w:r>
              <w:rPr>
                <w:rStyle w:val="827"/>
                <w:rFonts w:hint="eastAsia" w:ascii="仿宋_GB2312" w:hAnsi="仿宋_GB2312" w:eastAsia="仿宋_GB2312" w:cs="仿宋_GB2312"/>
                <w:color w:val="auto"/>
                <w:u w:val="single"/>
              </w:rPr>
              <w:t>软件和信息技术服务业</w:t>
            </w:r>
            <w:r>
              <w:rPr>
                <w:rStyle w:val="827"/>
                <w:rFonts w:hint="eastAsia" w:ascii="仿宋_GB2312" w:hAnsi="仿宋_GB2312" w:eastAsia="仿宋_GB2312" w:cs="仿宋_GB2312"/>
                <w:color w:val="auto"/>
              </w:rPr>
              <w:t>。</w:t>
            </w:r>
          </w:p>
          <w:p w14:paraId="2CF606FE">
            <w:pPr>
              <w:pStyle w:val="825"/>
              <w:spacing w:before="0" w:beforeAutospacing="0" w:after="0" w:afterAutospacing="0" w:line="400" w:lineRule="exact"/>
              <w:rPr>
                <w:rFonts w:ascii="仿宋_GB2312" w:hAnsi="仿宋_GB2312" w:eastAsia="仿宋_GB2312" w:cs="仿宋_GB2312"/>
                <w:color w:val="auto"/>
              </w:rPr>
            </w:pPr>
            <w:r>
              <w:rPr>
                <w:rStyle w:val="827"/>
                <w:rFonts w:hint="eastAsia" w:ascii="仿宋_GB2312" w:hAnsi="仿宋_GB2312" w:eastAsia="仿宋_GB2312" w:cs="仿宋_GB2312"/>
                <w:color w:val="auto"/>
              </w:rPr>
              <w:t>（2）中小企业划分有关标准根据工信部等部委发布的《关于印发中小企业划型标准规定的通知》（工信部联企业〔2011〕300号）确定；</w:t>
            </w:r>
          </w:p>
          <w:p w14:paraId="3D0A7D42">
            <w:pPr>
              <w:pStyle w:val="829"/>
              <w:spacing w:before="0" w:beforeAutospacing="0" w:after="0" w:afterAutospacing="0" w:line="400" w:lineRule="exact"/>
              <w:rPr>
                <w:rFonts w:ascii="仿宋_GB2312" w:hAnsi="仿宋_GB2312" w:eastAsia="仿宋_GB2312" w:cs="仿宋_GB2312"/>
                <w:color w:val="auto"/>
              </w:rPr>
            </w:pPr>
            <w:r>
              <w:rPr>
                <w:rStyle w:val="827"/>
                <w:rFonts w:hint="eastAsia" w:ascii="仿宋_GB2312" w:hAnsi="仿宋_GB2312" w:eastAsia="仿宋_GB2312" w:cs="仿宋_GB2312"/>
                <w:color w:val="auto"/>
              </w:rPr>
              <w:t>（3）为方便投标人识别企业规模类型，投标人可使用工业和信息化部组织开发的中小企业规模类型自测小程序生成企业规模类型测试结果。自测小程序链接：https://baosong.miit.gov.cn/ScaleTest</w:t>
            </w:r>
          </w:p>
        </w:tc>
      </w:tr>
      <w:tr w14:paraId="37B9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98" w:type="dxa"/>
            <w:tcBorders>
              <w:top w:val="single" w:color="auto" w:sz="4" w:space="0"/>
              <w:left w:val="single" w:color="auto" w:sz="4" w:space="0"/>
              <w:bottom w:val="single" w:color="auto" w:sz="4" w:space="0"/>
              <w:right w:val="single" w:color="auto" w:sz="4" w:space="0"/>
            </w:tcBorders>
            <w:vAlign w:val="center"/>
          </w:tcPr>
          <w:p w14:paraId="1B21D78D">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 xml:space="preserve">质量管理、企业信用要求（如有） </w:t>
            </w:r>
          </w:p>
        </w:tc>
        <w:tc>
          <w:tcPr>
            <w:tcW w:w="7896" w:type="dxa"/>
            <w:tcBorders>
              <w:top w:val="single" w:color="auto" w:sz="4" w:space="0"/>
              <w:left w:val="single" w:color="auto" w:sz="4" w:space="0"/>
              <w:bottom w:val="single" w:color="auto" w:sz="4" w:space="0"/>
              <w:right w:val="single" w:color="auto" w:sz="4" w:space="0"/>
            </w:tcBorders>
            <w:vAlign w:val="center"/>
          </w:tcPr>
          <w:p w14:paraId="261A9244">
            <w:pPr>
              <w:pStyle w:val="483"/>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1.投标人或投标产品生产厂家具备有效的质量管理体系认证证书；</w:t>
            </w:r>
          </w:p>
          <w:p w14:paraId="718B005B">
            <w:pPr>
              <w:pStyle w:val="483"/>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2.投标人或投标产品生产厂家具备有效的职业健康安全管理体系认证证书；</w:t>
            </w:r>
          </w:p>
          <w:p w14:paraId="4619702B">
            <w:pPr>
              <w:pStyle w:val="483"/>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3.投标人或投标产品生产厂家具备有效的环境管理体系认证证书。</w:t>
            </w:r>
          </w:p>
        </w:tc>
      </w:tr>
      <w:tr w14:paraId="203D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98" w:type="dxa"/>
            <w:tcBorders>
              <w:top w:val="single" w:color="auto" w:sz="4" w:space="0"/>
              <w:left w:val="single" w:color="auto" w:sz="4" w:space="0"/>
              <w:bottom w:val="single" w:color="auto" w:sz="4" w:space="0"/>
              <w:right w:val="single" w:color="auto" w:sz="4" w:space="0"/>
            </w:tcBorders>
            <w:vAlign w:val="center"/>
          </w:tcPr>
          <w:p w14:paraId="3EC9F427">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能力或业绩要求（如有）</w:t>
            </w:r>
          </w:p>
        </w:tc>
        <w:tc>
          <w:tcPr>
            <w:tcW w:w="7896" w:type="dxa"/>
            <w:tcBorders>
              <w:top w:val="single" w:color="auto" w:sz="4" w:space="0"/>
              <w:left w:val="single" w:color="auto" w:sz="4" w:space="0"/>
              <w:bottom w:val="single" w:color="auto" w:sz="4" w:space="0"/>
              <w:right w:val="single" w:color="auto" w:sz="4" w:space="0"/>
            </w:tcBorders>
            <w:vAlign w:val="center"/>
          </w:tcPr>
          <w:p w14:paraId="656887CF">
            <w:pPr>
              <w:pStyle w:val="503"/>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投标人2022年1月1日起至今本</w:t>
            </w:r>
            <w:r>
              <w:rPr>
                <w:rFonts w:hint="eastAsia" w:ascii="仿宋_GB2312" w:hAnsi="仿宋_GB2312" w:eastAsia="仿宋_GB2312" w:cs="仿宋_GB2312"/>
                <w:color w:val="auto"/>
                <w:lang w:val="en-US" w:eastAsia="zh-CN"/>
              </w:rPr>
              <w:t>分标</w:t>
            </w:r>
            <w:r>
              <w:rPr>
                <w:rFonts w:hint="eastAsia" w:ascii="仿宋_GB2312" w:hAnsi="仿宋_GB2312" w:eastAsia="仿宋_GB2312" w:cs="仿宋_GB2312"/>
                <w:color w:val="auto"/>
              </w:rPr>
              <w:t>所投产品在项目中被安装使用。</w:t>
            </w:r>
          </w:p>
        </w:tc>
      </w:tr>
      <w:tr w14:paraId="7E47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394" w:type="dxa"/>
            <w:gridSpan w:val="2"/>
            <w:tcBorders>
              <w:top w:val="single" w:color="auto" w:sz="4" w:space="0"/>
              <w:left w:val="single" w:color="auto" w:sz="4" w:space="0"/>
              <w:bottom w:val="single" w:color="auto" w:sz="4" w:space="0"/>
              <w:right w:val="single" w:color="auto" w:sz="4" w:space="0"/>
            </w:tcBorders>
            <w:vAlign w:val="center"/>
          </w:tcPr>
          <w:p w14:paraId="42C2C547">
            <w:pPr>
              <w:pStyle w:val="27"/>
              <w:snapToGrid w:val="0"/>
              <w:spacing w:line="400" w:lineRule="exact"/>
              <w:ind w:right="-330" w:rightChars="-157"/>
              <w:rPr>
                <w:rFonts w:ascii="仿宋_GB2312" w:hAnsi="仿宋_GB2312" w:eastAsia="仿宋_GB2312" w:cs="仿宋_GB2312"/>
                <w:bCs/>
                <w:color w:val="auto"/>
                <w:sz w:val="24"/>
                <w:szCs w:val="24"/>
              </w:rPr>
            </w:pPr>
            <w:r>
              <w:rPr>
                <w:rFonts w:hint="eastAsia" w:ascii="仿宋_GB2312" w:hAnsi="仿宋_GB2312" w:eastAsia="仿宋_GB2312" w:cs="仿宋_GB2312"/>
                <w:b/>
                <w:bCs/>
                <w:color w:val="auto"/>
                <w:sz w:val="24"/>
                <w:szCs w:val="24"/>
              </w:rPr>
              <w:t>五、其他要求</w:t>
            </w:r>
          </w:p>
        </w:tc>
      </w:tr>
      <w:tr w14:paraId="598D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98" w:type="dxa"/>
            <w:tcBorders>
              <w:top w:val="single" w:color="auto" w:sz="4" w:space="0"/>
              <w:left w:val="single" w:color="auto" w:sz="4" w:space="0"/>
              <w:bottom w:val="single" w:color="auto" w:sz="4" w:space="0"/>
              <w:right w:val="single" w:color="auto" w:sz="4" w:space="0"/>
            </w:tcBorders>
            <w:vAlign w:val="center"/>
          </w:tcPr>
          <w:p w14:paraId="4582C727">
            <w:pPr>
              <w:spacing w:line="400" w:lineRule="exact"/>
              <w:ind w:right="-107" w:rightChars="-51"/>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无</w:t>
            </w:r>
          </w:p>
        </w:tc>
        <w:tc>
          <w:tcPr>
            <w:tcW w:w="7896" w:type="dxa"/>
            <w:tcBorders>
              <w:top w:val="single" w:color="auto" w:sz="4" w:space="0"/>
              <w:left w:val="single" w:color="auto" w:sz="4" w:space="0"/>
              <w:bottom w:val="single" w:color="auto" w:sz="4" w:space="0"/>
              <w:right w:val="single" w:color="auto" w:sz="4" w:space="0"/>
            </w:tcBorders>
            <w:vAlign w:val="center"/>
          </w:tcPr>
          <w:p w14:paraId="3DE23D87">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 xml:space="preserve"> </w:t>
            </w:r>
          </w:p>
        </w:tc>
      </w:tr>
    </w:tbl>
    <w:p w14:paraId="677EFF82">
      <w:pPr>
        <w:spacing w:line="400" w:lineRule="exact"/>
        <w:rPr>
          <w:rFonts w:ascii="仿宋_GB2312" w:hAnsi="仿宋_GB2312" w:eastAsia="仿宋_GB2312" w:cs="仿宋_GB2312"/>
          <w:color w:val="auto"/>
          <w:sz w:val="24"/>
        </w:rPr>
      </w:pPr>
    </w:p>
    <w:p w14:paraId="0D3B195A">
      <w:pPr>
        <w:spacing w:line="400" w:lineRule="exact"/>
        <w:rPr>
          <w:rFonts w:ascii="仿宋_GB2312" w:hAnsi="仿宋_GB2312" w:eastAsia="仿宋_GB2312" w:cs="仿宋_GB2312"/>
          <w:color w:val="auto"/>
          <w:sz w:val="24"/>
        </w:rPr>
      </w:pPr>
    </w:p>
    <w:p w14:paraId="3F620FAB">
      <w:pPr>
        <w:pStyle w:val="40"/>
        <w:rPr>
          <w:rFonts w:ascii="仿宋_GB2312" w:hAnsi="仿宋_GB2312" w:eastAsia="仿宋_GB2312" w:cs="仿宋_GB2312"/>
          <w:color w:val="auto"/>
          <w:sz w:val="24"/>
          <w:szCs w:val="24"/>
        </w:rPr>
      </w:pPr>
    </w:p>
    <w:p w14:paraId="7527482F">
      <w:pPr>
        <w:pStyle w:val="40"/>
        <w:rPr>
          <w:rFonts w:ascii="仿宋_GB2312" w:hAnsi="仿宋_GB2312" w:eastAsia="仿宋_GB2312" w:cs="仿宋_GB2312"/>
          <w:color w:val="auto"/>
          <w:sz w:val="24"/>
          <w:szCs w:val="24"/>
        </w:rPr>
      </w:pPr>
    </w:p>
    <w:p w14:paraId="45BAF84E">
      <w:pPr>
        <w:pStyle w:val="40"/>
        <w:rPr>
          <w:rFonts w:ascii="仿宋_GB2312" w:hAnsi="仿宋_GB2312" w:eastAsia="仿宋_GB2312" w:cs="仿宋_GB2312"/>
          <w:color w:val="auto"/>
          <w:sz w:val="24"/>
          <w:szCs w:val="24"/>
        </w:rPr>
      </w:pPr>
    </w:p>
    <w:p w14:paraId="6C8ED99B">
      <w:pPr>
        <w:pStyle w:val="40"/>
        <w:rPr>
          <w:rFonts w:ascii="仿宋_GB2312" w:hAnsi="仿宋_GB2312" w:eastAsia="仿宋_GB2312" w:cs="仿宋_GB2312"/>
          <w:color w:val="auto"/>
          <w:sz w:val="24"/>
          <w:szCs w:val="24"/>
        </w:rPr>
      </w:pPr>
    </w:p>
    <w:p w14:paraId="7CEDB88D">
      <w:pPr>
        <w:pStyle w:val="40"/>
        <w:rPr>
          <w:rFonts w:ascii="仿宋_GB2312" w:hAnsi="仿宋_GB2312" w:eastAsia="仿宋_GB2312" w:cs="仿宋_GB2312"/>
          <w:color w:val="auto"/>
          <w:sz w:val="24"/>
          <w:szCs w:val="24"/>
        </w:rPr>
      </w:pPr>
    </w:p>
    <w:p w14:paraId="36AE3BE1">
      <w:pPr>
        <w:pStyle w:val="40"/>
        <w:rPr>
          <w:rFonts w:ascii="仿宋_GB2312" w:hAnsi="仿宋_GB2312" w:eastAsia="仿宋_GB2312" w:cs="仿宋_GB2312"/>
          <w:color w:val="auto"/>
          <w:sz w:val="24"/>
          <w:szCs w:val="24"/>
        </w:rPr>
      </w:pPr>
    </w:p>
    <w:p w14:paraId="0E583AFD">
      <w:pPr>
        <w:pStyle w:val="40"/>
        <w:rPr>
          <w:rFonts w:ascii="仿宋_GB2312" w:hAnsi="仿宋_GB2312" w:eastAsia="仿宋_GB2312" w:cs="仿宋_GB2312"/>
          <w:color w:val="auto"/>
          <w:sz w:val="24"/>
          <w:szCs w:val="24"/>
        </w:rPr>
      </w:pPr>
    </w:p>
    <w:p w14:paraId="0A1D0B7D">
      <w:pPr>
        <w:pStyle w:val="40"/>
        <w:rPr>
          <w:rFonts w:ascii="仿宋_GB2312" w:hAnsi="仿宋_GB2312" w:eastAsia="仿宋_GB2312" w:cs="仿宋_GB2312"/>
          <w:color w:val="auto"/>
          <w:sz w:val="24"/>
          <w:szCs w:val="24"/>
        </w:rPr>
      </w:pPr>
    </w:p>
    <w:p w14:paraId="0813FD59">
      <w:pPr>
        <w:pStyle w:val="40"/>
        <w:rPr>
          <w:rFonts w:ascii="仿宋_GB2312" w:hAnsi="仿宋_GB2312" w:eastAsia="仿宋_GB2312" w:cs="仿宋_GB2312"/>
          <w:color w:val="auto"/>
          <w:sz w:val="24"/>
          <w:szCs w:val="24"/>
        </w:rPr>
      </w:pPr>
    </w:p>
    <w:p w14:paraId="116C633D">
      <w:pPr>
        <w:pStyle w:val="40"/>
        <w:rPr>
          <w:rFonts w:ascii="仿宋_GB2312" w:hAnsi="仿宋_GB2312" w:eastAsia="仿宋_GB2312" w:cs="仿宋_GB2312"/>
          <w:color w:val="auto"/>
          <w:sz w:val="24"/>
          <w:szCs w:val="24"/>
        </w:rPr>
      </w:pPr>
    </w:p>
    <w:p w14:paraId="58FAA089">
      <w:pPr>
        <w:pStyle w:val="40"/>
        <w:rPr>
          <w:rFonts w:ascii="仿宋_GB2312" w:hAnsi="仿宋_GB2312" w:eastAsia="仿宋_GB2312" w:cs="仿宋_GB2312"/>
          <w:color w:val="auto"/>
          <w:sz w:val="24"/>
          <w:szCs w:val="24"/>
        </w:rPr>
      </w:pPr>
    </w:p>
    <w:p w14:paraId="53076968">
      <w:pPr>
        <w:pStyle w:val="40"/>
        <w:rPr>
          <w:rFonts w:ascii="仿宋_GB2312" w:hAnsi="仿宋_GB2312" w:eastAsia="仿宋_GB2312" w:cs="仿宋_GB2312"/>
          <w:color w:val="auto"/>
          <w:sz w:val="24"/>
          <w:szCs w:val="24"/>
        </w:rPr>
      </w:pPr>
    </w:p>
    <w:p w14:paraId="6FEEDFCF">
      <w:pPr>
        <w:pStyle w:val="40"/>
        <w:rPr>
          <w:rFonts w:ascii="仿宋_GB2312" w:hAnsi="仿宋_GB2312" w:eastAsia="仿宋_GB2312" w:cs="仿宋_GB2312"/>
          <w:color w:val="auto"/>
          <w:sz w:val="24"/>
          <w:szCs w:val="24"/>
        </w:rPr>
      </w:pPr>
    </w:p>
    <w:p w14:paraId="722BB04C">
      <w:pPr>
        <w:pStyle w:val="40"/>
        <w:rPr>
          <w:rFonts w:ascii="仿宋_GB2312" w:hAnsi="仿宋_GB2312" w:eastAsia="仿宋_GB2312" w:cs="仿宋_GB2312"/>
          <w:color w:val="auto"/>
          <w:sz w:val="24"/>
          <w:szCs w:val="24"/>
        </w:rPr>
      </w:pPr>
    </w:p>
    <w:p w14:paraId="7D85650B">
      <w:pPr>
        <w:pStyle w:val="40"/>
        <w:ind w:left="0" w:leftChars="0"/>
        <w:rPr>
          <w:rFonts w:ascii="仿宋_GB2312" w:hAnsi="仿宋_GB2312" w:eastAsia="仿宋_GB2312" w:cs="仿宋_GB2312"/>
          <w:color w:val="auto"/>
          <w:sz w:val="24"/>
          <w:szCs w:val="24"/>
        </w:rPr>
      </w:pPr>
    </w:p>
    <w:p w14:paraId="3476F0B4">
      <w:pPr>
        <w:spacing w:line="240" w:lineRule="auto"/>
        <w:jc w:val="left"/>
        <w:rPr>
          <w:rFonts w:hint="eastAsia" w:ascii="仿宋_GB2312" w:hAnsi="仿宋_GB2312" w:eastAsia="仿宋_GB2312" w:cs="仿宋_GB2312"/>
          <w:b/>
          <w:bCs/>
          <w:color w:val="auto"/>
          <w:sz w:val="24"/>
          <w:lang w:val="en-US" w:eastAsia="zh-CN"/>
        </w:rPr>
      </w:pPr>
      <w:r>
        <w:rPr>
          <w:rFonts w:hint="eastAsia" w:ascii="仿宋_GB2312" w:hAnsi="仿宋_GB2312" w:eastAsia="仿宋_GB2312" w:cs="仿宋_GB2312"/>
          <w:b/>
          <w:bCs/>
          <w:color w:val="auto"/>
          <w:sz w:val="24"/>
          <w:lang w:val="en-US" w:eastAsia="zh-CN"/>
        </w:rPr>
        <w:br w:type="page"/>
      </w:r>
    </w:p>
    <w:p w14:paraId="59F154B5">
      <w:pPr>
        <w:spacing w:line="400" w:lineRule="exact"/>
        <w:jc w:val="lef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lang w:val="en-US" w:eastAsia="zh-CN"/>
        </w:rPr>
        <w:t>分标2</w:t>
      </w:r>
    </w:p>
    <w:tbl>
      <w:tblPr>
        <w:tblStyle w:val="51"/>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943"/>
        <w:gridCol w:w="7463"/>
        <w:gridCol w:w="608"/>
      </w:tblGrid>
      <w:tr w14:paraId="386B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392" w:type="dxa"/>
            <w:gridSpan w:val="4"/>
            <w:vAlign w:val="center"/>
          </w:tcPr>
          <w:p w14:paraId="505FA110">
            <w:pPr>
              <w:spacing w:line="400" w:lineRule="exact"/>
              <w:jc w:val="lef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一、项目技术规格参数及要求</w:t>
            </w:r>
          </w:p>
        </w:tc>
      </w:tr>
      <w:tr w14:paraId="03E5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378" w:type="dxa"/>
            <w:vAlign w:val="center"/>
          </w:tcPr>
          <w:p w14:paraId="2348BFF1">
            <w:pPr>
              <w:pStyle w:val="808"/>
              <w:snapToGrid w:val="0"/>
              <w:spacing w:line="4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序号</w:t>
            </w:r>
          </w:p>
        </w:tc>
        <w:tc>
          <w:tcPr>
            <w:tcW w:w="943" w:type="dxa"/>
            <w:vAlign w:val="center"/>
          </w:tcPr>
          <w:p w14:paraId="462F5A88">
            <w:pPr>
              <w:pStyle w:val="808"/>
              <w:snapToGrid w:val="0"/>
              <w:spacing w:line="4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标的名称</w:t>
            </w:r>
          </w:p>
        </w:tc>
        <w:tc>
          <w:tcPr>
            <w:tcW w:w="7463" w:type="dxa"/>
            <w:vAlign w:val="center"/>
          </w:tcPr>
          <w:p w14:paraId="29F211C2">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技术参数</w:t>
            </w:r>
          </w:p>
        </w:tc>
        <w:tc>
          <w:tcPr>
            <w:tcW w:w="608" w:type="dxa"/>
            <w:vAlign w:val="center"/>
          </w:tcPr>
          <w:p w14:paraId="3B0461C3">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数量及单位</w:t>
            </w:r>
          </w:p>
        </w:tc>
      </w:tr>
      <w:tr w14:paraId="0D34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78" w:type="dxa"/>
            <w:vAlign w:val="center"/>
          </w:tcPr>
          <w:p w14:paraId="11824B4B">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943" w:type="dxa"/>
            <w:vAlign w:val="center"/>
          </w:tcPr>
          <w:p w14:paraId="18838A56">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商务大数据分析实训平台</w:t>
            </w:r>
          </w:p>
        </w:tc>
        <w:tc>
          <w:tcPr>
            <w:tcW w:w="7463" w:type="dxa"/>
            <w:vAlign w:val="center"/>
          </w:tcPr>
          <w:p w14:paraId="6DCBB51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一、技术参数</w:t>
            </w:r>
          </w:p>
          <w:p w14:paraId="62E6BC13">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1.要求系统架构按照大型分布式架构设计，支持高并发，高可用的业务需求。使用微服务框架，实现系统模块灵活配置，数据动静分离；支撑大范围专业建设开课要求：Windows7 32位/64位，Windows8 32位/64位，Windows10 32位/64位，Mac OS 10.10，Mac OS 10.11，Mac OS 10.12。支持国产操作系统：麒麟桌面操作系统V10、KylinOS和Alibaba Cloud Linux 3.2104 LTS 64位，保证平台能够在通过安全可靠性测试的国产操作系统上运行。</w:t>
            </w:r>
          </w:p>
          <w:p w14:paraId="515E5BB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2.要求系统采用B/S架构，无需安装客户端，使用时只要打开IE、chrome、火狐、360中任意一款浏览器即可轻松实现所有操作。</w:t>
            </w:r>
          </w:p>
          <w:p w14:paraId="554AA70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3.要求使用MySQL开源数据库，可通过水平扩展来达到高可用性和高性能。</w:t>
            </w:r>
          </w:p>
          <w:p w14:paraId="301C0BD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4.要求采用当前流行的Spring Boot，Spring Cloud，MyBatis技术框架，展现层需要通过Vue和相关标签实现，实现前后端分离；模型层通过Java接口及实现类来实现；与数据库的接口采用轻量级封装MyBatis提供的接口；系统所有操作都具备系统日志与业务日志级别。</w:t>
            </w:r>
          </w:p>
          <w:p w14:paraId="299408F7">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5.要求系统可以抵御常用攻击手段，如SQL注入，CSRF、XSS。</w:t>
            </w:r>
          </w:p>
          <w:p w14:paraId="14EAF76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6.要求使用Redis缓存数据库来进行用户数据的缓存，增加系统响应速度并优化用户的体验。</w:t>
            </w:r>
          </w:p>
          <w:p w14:paraId="34C0B62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7.要求使用多用户的统一登录口，系统管理员、教师、学生统一登陆口，只需输入各自的用户名及密码即可登录。</w:t>
            </w:r>
          </w:p>
          <w:p w14:paraId="2FE5C8A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8.系统可在线升级，在联网情况下支持系统功能远程升级。</w:t>
            </w:r>
          </w:p>
          <w:p w14:paraId="0BA583A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9.系统采用混合云服务器部署，即系统部分功能安装在云服务器进行实现，部分功能是可直接安装在本地服务器即可实现。</w:t>
            </w:r>
          </w:p>
          <w:p w14:paraId="1F27DFA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（一）教学平台</w:t>
            </w:r>
          </w:p>
          <w:p w14:paraId="074A6BE6">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Ⅰ教务管理</w:t>
            </w:r>
          </w:p>
          <w:p w14:paraId="40696FD2">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1.教师管理。</w:t>
            </w:r>
          </w:p>
          <w:p w14:paraId="7F099BC9">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系统管理员可创建管理教师账号，可进行查询、添加、批量导入、批量删除</w:t>
            </w:r>
            <w:r>
              <w:rPr>
                <w:rFonts w:hint="eastAsia" w:ascii="仿宋_GB2312" w:hAnsi="仿宋_GB2312" w:eastAsia="仿宋_GB2312" w:cs="仿宋_GB2312"/>
                <w:color w:val="auto"/>
                <w:sz w:val="24"/>
                <w:lang w:val="en-US" w:eastAsia="zh-CN"/>
              </w:rPr>
              <w:t>的</w:t>
            </w:r>
            <w:r>
              <w:rPr>
                <w:rFonts w:hint="eastAsia" w:ascii="仿宋_GB2312" w:hAnsi="仿宋_GB2312" w:eastAsia="仿宋_GB2312" w:cs="仿宋_GB2312"/>
                <w:color w:val="auto"/>
                <w:sz w:val="24"/>
              </w:rPr>
              <w:t>操作。系统可记录教师姓名、身份证号、手机号信息，便于管理员进行教师信息管理。</w:t>
            </w:r>
          </w:p>
          <w:p w14:paraId="15C1969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2.学生管理</w:t>
            </w:r>
          </w:p>
          <w:p w14:paraId="56451ED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系统管理员可创建管理学生账号，可进行查询、添加、批量导入、批量导出</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批量删除操作。系统可记录学生姓名、身份证号、入学年份、手机号</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班级信息，便于管理员进行学生管理。</w:t>
            </w:r>
          </w:p>
          <w:p w14:paraId="07EF15E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3.组织管理</w:t>
            </w:r>
          </w:p>
          <w:p w14:paraId="7A72A62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★（1）组织机构。可以在组织机构内创建一级和二级组织，可以设置每个组织开通哪些产品。</w:t>
            </w:r>
          </w:p>
          <w:p w14:paraId="4447DEFF">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（2）班级管理。可以创建管理行政班，并可以进行班级内学生的创建管理。支持学生账号的批量导入和导出操作。</w:t>
            </w:r>
          </w:p>
          <w:p w14:paraId="467A9C0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（3）角色权限。可以创建编辑管理员角色，每个角色的权限可以不同。</w:t>
            </w:r>
          </w:p>
          <w:p w14:paraId="3D7980C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（4）设置管理员。可以进行管理员账号的创建、编辑</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重置密码</w:t>
            </w:r>
            <w:r>
              <w:rPr>
                <w:rFonts w:hint="eastAsia" w:ascii="仿宋_GB2312" w:hAnsi="仿宋_GB2312" w:eastAsia="仿宋_GB2312" w:cs="仿宋_GB2312"/>
                <w:color w:val="auto"/>
                <w:sz w:val="24"/>
                <w:lang w:val="en-US" w:eastAsia="zh-CN"/>
              </w:rPr>
              <w:t>的</w:t>
            </w:r>
            <w:r>
              <w:rPr>
                <w:rFonts w:hint="eastAsia" w:ascii="仿宋_GB2312" w:hAnsi="仿宋_GB2312" w:eastAsia="仿宋_GB2312" w:cs="仿宋_GB2312"/>
                <w:color w:val="auto"/>
                <w:sz w:val="24"/>
              </w:rPr>
              <w:t>操作。</w:t>
            </w:r>
          </w:p>
          <w:p w14:paraId="6C43DA5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★4.整体数据：</w:t>
            </w:r>
          </w:p>
          <w:p w14:paraId="4F6CECE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（1）运营数据：机构开通天数、教学班、行政班、管理员、教师、学生数量以及按时间查看新增注册用户数；</w:t>
            </w:r>
          </w:p>
          <w:p w14:paraId="1A385A5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（2）专业人数统计：查看课程未学人数、在学人数和已学人数，也可查看学生选课量排行和教师授课学员数排行；</w:t>
            </w:r>
          </w:p>
          <w:p w14:paraId="1561C0D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（3）学习时长统计：查看课程的学习时长趋势，教学班平均学习时长排行和学生学习时长排行；</w:t>
            </w:r>
          </w:p>
          <w:p w14:paraId="678DC996">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（4）测验统计：可查看历次测验平均分，以及班级最低分、最高分、平均分。</w:t>
            </w:r>
          </w:p>
          <w:p w14:paraId="775A9F0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5.资源统计：</w:t>
            </w:r>
          </w:p>
          <w:p w14:paraId="218AD70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（1）产品统计：开通产品数，课程资源数，试卷资源数；</w:t>
            </w:r>
          </w:p>
          <w:p w14:paraId="6795520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（2）素材统计：素材总数、总量、视频总时长、媒体类型分类及活跃资源占比；</w:t>
            </w:r>
          </w:p>
          <w:p w14:paraId="39A15874">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（3）题目统计：题库总量及分类（按主客观、题型、难度）。</w:t>
            </w:r>
          </w:p>
          <w:p w14:paraId="2F4B1CE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Ⅱ课程管理</w:t>
            </w:r>
          </w:p>
          <w:p w14:paraId="3269F23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1.备课</w:t>
            </w:r>
          </w:p>
          <w:p w14:paraId="22E8B4C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教师可在课程目录中上传自己的课件素材，可创建作业任务。添加的素材可设置是否允许下载，创建的作业支持上传附件。</w:t>
            </w:r>
          </w:p>
          <w:p w14:paraId="01B96ACC">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2.开课管理</w:t>
            </w:r>
          </w:p>
          <w:p w14:paraId="6C7D603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老师可用编辑好的课程进行开班课操作。开班后可以把学生添加到班课中，支持直接在系统中导入学生。</w:t>
            </w:r>
          </w:p>
          <w:p w14:paraId="241F825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3.班级设置</w:t>
            </w:r>
          </w:p>
          <w:p w14:paraId="371D139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（1）导航设置。可以设置教师端和学生端开启的功能栏目，并可以拖动进行排序。</w:t>
            </w:r>
          </w:p>
          <w:p w14:paraId="1613DD9C">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（2）助教设置。可以在班级里添加多个助教，可以设置助教的权限范围。</w:t>
            </w:r>
          </w:p>
          <w:p w14:paraId="05462E1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Ⅲ教学工具</w:t>
            </w:r>
          </w:p>
          <w:p w14:paraId="0C1F875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1.讨论答疑</w:t>
            </w:r>
          </w:p>
          <w:p w14:paraId="304B89FC">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话题讨论功能模块，让老师与学生频繁互动，项目进行过程中遇到问题、难点及时交流、反馈，让问题落地解决。</w:t>
            </w:r>
          </w:p>
          <w:p w14:paraId="699C18AC">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2.课程笔记</w:t>
            </w:r>
          </w:p>
          <w:p w14:paraId="202C1E9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学生在学习过程中随时可以记录想法、问题，可根据章节目录进行查询。老师可以查看学生笔记，学生之间、师生之间可以互评笔记。</w:t>
            </w:r>
          </w:p>
          <w:p w14:paraId="5D44365C">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3.班课通知</w:t>
            </w:r>
          </w:p>
          <w:p w14:paraId="0E183BA2">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教师在课程教学当中可以向所教班级发布课程通知，学生可查看课程通知，达到师生之间信息互通的目的。</w:t>
            </w:r>
          </w:p>
          <w:p w14:paraId="3F6432C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4.课后作业</w:t>
            </w:r>
          </w:p>
          <w:p w14:paraId="66B67036">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教师可以下发作业给学生，并可以对上交的作业进行批阅打分。学生可在线提交作业，作业支持在线书写并可上传附件。</w:t>
            </w:r>
          </w:p>
          <w:p w14:paraId="09EC2273">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5.板书记录</w:t>
            </w:r>
          </w:p>
          <w:p w14:paraId="20C07DFF">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老师在上课模式保存的板书，会以目录分类的方式进行存储，在板书记录中可以进行查看、添加、删除</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修改操作，学生也可以在板书记录中进行查看。</w:t>
            </w:r>
          </w:p>
          <w:p w14:paraId="2914763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Ⅳ实训</w:t>
            </w:r>
          </w:p>
          <w:p w14:paraId="3FF4F52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1.实训</w:t>
            </w:r>
          </w:p>
          <w:p w14:paraId="0127082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教师可使用实训课程进行学生培训，通过实训课程可进入业务实操系统进行实操训练。</w:t>
            </w:r>
          </w:p>
          <w:p w14:paraId="5362BCCF">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★2.答案对比</w:t>
            </w:r>
          </w:p>
          <w:p w14:paraId="772CD1A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支持学生端答案显示与否的教学控制，配合老师对于课堂的教学管理。学生完成任务后可查看任务答案，和自己操作的数据进行对比。</w:t>
            </w:r>
          </w:p>
          <w:p w14:paraId="1C3BCA02">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Ⅴ数据统计</w:t>
            </w:r>
          </w:p>
          <w:p w14:paraId="2576940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1.基础统计</w:t>
            </w:r>
          </w:p>
          <w:p w14:paraId="0449C73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（1）可查看班级人数、在学人数、未学人数。</w:t>
            </w:r>
          </w:p>
          <w:p w14:paraId="0CA9697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（2）可查看最近学习人数统计图，可按照周、月两个维度进行展示。</w:t>
            </w:r>
          </w:p>
          <w:p w14:paraId="142AB439">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（3）讨论统计，包含班课内讨论总条数、主题数、回复和评论数，以及本人发布的讨论统计。</w:t>
            </w:r>
          </w:p>
          <w:p w14:paraId="0C672D8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（4）学生公开笔记条数统计。</w:t>
            </w:r>
          </w:p>
          <w:p w14:paraId="55A9CAA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★2.课程进度统计</w:t>
            </w:r>
          </w:p>
          <w:p w14:paraId="3CB01AA2">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（1）任务统计。可查看班级整体进度、任务总数。可查询每个学生的学习进度，并可查看详情，查看每个任务的完成情况。任务统计支持导出记录。</w:t>
            </w:r>
          </w:p>
          <w:p w14:paraId="63584C3F">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（2）实操练习统计。可按学员维度和试题维度查询学生的学习情况。学员维度可查看每个学生的完成数量、完成率、正确率。试题维度可查看每个学员的提交数量、提交率、正确率。</w:t>
            </w:r>
          </w:p>
          <w:p w14:paraId="0A80066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章节测验统计。可按照学员维度及测验维度进行统计查询。学员维度可以查询每个学员的完成数量、完成率、平均分，并可查看每个学生每一个测验的作答详情及得分。测验维度可查询每个章节测验提交数量、提交率、平均分。</w:t>
            </w:r>
          </w:p>
          <w:p w14:paraId="7A453784">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(二)训练平台</w:t>
            </w:r>
          </w:p>
          <w:p w14:paraId="5AE67A5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提供在线训练，供学生实务训练使用。学生采用个人测评训练方式，以企业真实商务数据为基础，通过处理实际的数据分析案例，培养学生数据采集、数据清洗、数据处理、数据分析、数据可视化、决策支持</w:t>
            </w:r>
            <w:r>
              <w:rPr>
                <w:rFonts w:hint="eastAsia" w:ascii="仿宋_GB2312" w:hAnsi="仿宋_GB2312" w:eastAsia="仿宋_GB2312" w:cs="仿宋_GB2312"/>
                <w:color w:val="auto"/>
                <w:sz w:val="24"/>
                <w:lang w:val="en-US" w:eastAsia="zh-CN"/>
              </w:rPr>
              <w:t>的</w:t>
            </w:r>
            <w:r>
              <w:rPr>
                <w:rFonts w:hint="eastAsia" w:ascii="仿宋_GB2312" w:hAnsi="仿宋_GB2312" w:eastAsia="仿宋_GB2312" w:cs="仿宋_GB2312"/>
                <w:color w:val="auto"/>
                <w:sz w:val="24"/>
              </w:rPr>
              <w:t>动手操作能力。平台与教学系统、测评系统深度集成，并能进行试题自动评分，适配《商务数据分析》课程的教学和学生训练。</w:t>
            </w:r>
          </w:p>
          <w:p w14:paraId="4D10738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Ⅰ.大数据分析平台</w:t>
            </w:r>
          </w:p>
          <w:p w14:paraId="566BFC46">
            <w:pPr>
              <w:spacing w:line="400" w:lineRule="exact"/>
              <w:rPr>
                <w:rFonts w:ascii="仿宋_GB2312" w:hAnsi="仿宋_GB2312" w:eastAsia="仿宋_GB2312" w:cs="仿宋_GB2312"/>
                <w:color w:val="auto"/>
                <w:sz w:val="24"/>
                <w:highlight w:val="yellow"/>
              </w:rPr>
            </w:pPr>
            <w:r>
              <w:rPr>
                <w:rFonts w:hint="eastAsia" w:ascii="仿宋_GB2312" w:hAnsi="仿宋_GB2312" w:eastAsia="仿宋_GB2312" w:cs="仿宋_GB2312"/>
                <w:color w:val="auto"/>
                <w:sz w:val="24"/>
              </w:rPr>
              <w:t>★1.大数据分析平台采用云端操作，无需本地安装。</w:t>
            </w:r>
          </w:p>
          <w:p w14:paraId="5229AD2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★2.内置商务数据</w:t>
            </w:r>
          </w:p>
          <w:p w14:paraId="37A41F0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数据资源库已预置常用公司的脱敏商务数据，包括交易数据、客户数据、商品数据、营销数据，并可持续更新数据。无需本地安装大数据分析工具，轻松支持各种数据分析相关学习任务。</w:t>
            </w:r>
          </w:p>
          <w:p w14:paraId="54860EA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3.数据集</w:t>
            </w:r>
          </w:p>
          <w:p w14:paraId="6B8F89D4">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数据集功能提供通过可视化操作创建数据集，将数据源添加到数据集设计器中。设计器分为四大区域，分别为菜单栏、数据源列表区、数据集编辑区以及预览区域，用于创建仪表板或报表。</w:t>
            </w:r>
          </w:p>
          <w:p w14:paraId="769654A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3.1多表关联</w:t>
            </w:r>
          </w:p>
          <w:p w14:paraId="601B5DC4">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系统支持将多个数据表拼接成一张表使用的情况。提供了联合（Union）和连接（Join）功能来实现数据表的左右拼接和上下拼接。</w:t>
            </w:r>
          </w:p>
          <w:p w14:paraId="1479D96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3.2分组视图</w:t>
            </w:r>
          </w:p>
          <w:p w14:paraId="1FAA248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可对原数据进行分组、聚合处理，处理后的数据集结构简单，数据可用性更高，更加方便后续在仪表板或报表中使用。</w:t>
            </w:r>
          </w:p>
          <w:p w14:paraId="1DDE546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将字段拖拽到分组区域即可按照该字段进行分组。</w:t>
            </w:r>
          </w:p>
          <w:p w14:paraId="1A3ECA4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将字段拖拽到聚合区域即可对其进行聚合运算。对于数值型的字段支持的聚合运算有Sum、Average、Max、Min；而对于非数值型字段则可以进行Count和Distinct Count运算。</w:t>
            </w:r>
          </w:p>
          <w:p w14:paraId="79EA342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3.3添加自定义字段</w:t>
            </w:r>
          </w:p>
          <w:p w14:paraId="6D77F94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添加自定义字段可以在不影响原数据的情况下通过对现有数据进行计算而得到一个新的数据字段。</w:t>
            </w:r>
          </w:p>
          <w:p w14:paraId="0763C39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4.仪表板</w:t>
            </w:r>
          </w:p>
          <w:p w14:paraId="57521B8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以拖拽方式快速设计仪表板，而且支持多页面仪表板功能,可以在一个仪表板中分配展示不同的数据页面。</w:t>
            </w:r>
          </w:p>
          <w:p w14:paraId="1864EB2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★4.1计算图表</w:t>
            </w:r>
          </w:p>
          <w:p w14:paraId="46AF27B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支持 Excel 的数据分析方式和 450+ 计算公式完整的集成到仪表板设计器中，为BI仪表板提供增强型计算分析能力。</w:t>
            </w:r>
          </w:p>
          <w:p w14:paraId="0BA13A93">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★4.2丰富的数据可视化效果</w:t>
            </w:r>
          </w:p>
          <w:p w14:paraId="14E5D3E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仪表板内置30种以上数据可视化效果，包括：条形图、柱状图、折线图、面积图、饼图、玫瑰图、旭日图、雷达图、散点图、气泡图、树形图、组合图、KPI指标、3D地图、表格、透视表。</w:t>
            </w:r>
          </w:p>
          <w:p w14:paraId="651FC4AC">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4.3数据筛选、联动分析与钻取分析</w:t>
            </w:r>
          </w:p>
          <w:p w14:paraId="301AAA14">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在仪表板中，可以添加多种数据筛选，包括：日期、名称。在使用仪表板时，支持筛选数据，支持联动分析，支持钻取分析。</w:t>
            </w:r>
          </w:p>
          <w:p w14:paraId="5DBF4793">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5.报表</w:t>
            </w:r>
          </w:p>
          <w:p w14:paraId="56CD1149">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基于HTML5的在线报表设计器，可自定义报表设计，快速搭建分析报表。可跨桌面电脑、平板电脑及手持设备平台显示设计报表。在设计时即可预览最终效果，随时修改设计。</w:t>
            </w:r>
          </w:p>
          <w:p w14:paraId="7E4BA60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5.1支持多数据源查询、计算公式</w:t>
            </w:r>
          </w:p>
          <w:p w14:paraId="18B84FC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同一张报表可以连接到多个数据源进行查询。报表支持添加多数据集、跨数据集运算功能。设计器中提供了日期、文本、数学、逻辑运算、数据聚合</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数据转换函数，便于在报表内进行数据的二次运算。</w:t>
            </w:r>
          </w:p>
          <w:p w14:paraId="223959B3">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5.2可创建各种样式的报表</w:t>
            </w:r>
          </w:p>
          <w:p w14:paraId="418F51D9">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设计器中提供表格、矩表、图表、迷你图、数据条、图片、条形码、子报表、目录、输入字段</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复选框报表元素。</w:t>
            </w:r>
          </w:p>
          <w:p w14:paraId="15159DE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（三）数字课程</w:t>
            </w:r>
          </w:p>
          <w:p w14:paraId="297D2AC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Ⅰ课程简介</w:t>
            </w:r>
          </w:p>
          <w:p w14:paraId="681B2116">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商务大数据分析》课程是商业智能BI平台为载体，按照商贸领域职业场景和数据分析的工作流程设计教学单元和工作任务，使学生具备一定的商务数据分析思维，能够操作数据工具，并按照标准化流程进行数据采集、数据处理、数据分析</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数据可视化操作。至少应包含平台集教学、训练、测评功能于一体，满足院校师生教学及实训需求。</w:t>
            </w:r>
          </w:p>
          <w:p w14:paraId="2F2D979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Ⅱ课程内容</w:t>
            </w:r>
          </w:p>
          <w:p w14:paraId="38AF21D6">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《商务大数据分析》课程主要包括8个项目，共20个任务，具体如下：</w:t>
            </w:r>
          </w:p>
          <w:p w14:paraId="2D66C6C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项目一 商务大数据分析概述</w:t>
            </w:r>
          </w:p>
          <w:p w14:paraId="54B54634">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任务一 商务数据思维与职业素养</w:t>
            </w:r>
          </w:p>
          <w:p w14:paraId="24498DC3">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任务二 商务数据分析基本流程</w:t>
            </w:r>
          </w:p>
          <w:p w14:paraId="31A2D614">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任务三 商务数据分析方法与工具</w:t>
            </w:r>
          </w:p>
          <w:p w14:paraId="7BF2AA06">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项目二 商务数据准备</w:t>
            </w:r>
          </w:p>
          <w:p w14:paraId="7BA6CAD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任务一 构建商务数据模型</w:t>
            </w:r>
          </w:p>
          <w:p w14:paraId="5C0EAE4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任务二 商务数据预处理</w:t>
            </w:r>
          </w:p>
          <w:p w14:paraId="1A3BA58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项目三 商品数据分析</w:t>
            </w:r>
          </w:p>
          <w:p w14:paraId="0EA17E9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任务一 商品销售分析</w:t>
            </w:r>
          </w:p>
          <w:p w14:paraId="0BA19A9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任务二 商品销售预测</w:t>
            </w:r>
          </w:p>
          <w:p w14:paraId="482A6D9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项目四 竞争数据分析</w:t>
            </w:r>
          </w:p>
          <w:p w14:paraId="09F85F9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任务一 市场规模与趋势分析</w:t>
            </w:r>
          </w:p>
          <w:p w14:paraId="4FF1CCA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任务二 市场集中度分析</w:t>
            </w:r>
          </w:p>
          <w:p w14:paraId="7639A96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任务三 竞争对手分析</w:t>
            </w:r>
          </w:p>
          <w:p w14:paraId="31CAE6EC">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任务四 竞品分析</w:t>
            </w:r>
          </w:p>
          <w:p w14:paraId="1804E7C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项目五 营销推广数据分析</w:t>
            </w:r>
          </w:p>
          <w:p w14:paraId="147C919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任务一 关键词推广效果分析</w:t>
            </w:r>
          </w:p>
          <w:p w14:paraId="6EC6317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任务二 转化漏斗分析</w:t>
            </w:r>
          </w:p>
          <w:p w14:paraId="1E1F4F0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任务三 投资回报分析</w:t>
            </w:r>
          </w:p>
          <w:p w14:paraId="67A752A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项目六 客户数据分析</w:t>
            </w:r>
          </w:p>
          <w:p w14:paraId="62B90E62">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任务一 客户人群画像</w:t>
            </w:r>
          </w:p>
          <w:p w14:paraId="4B6BB0B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任务二 客户价值分析</w:t>
            </w:r>
          </w:p>
          <w:p w14:paraId="123468E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项目七 供应链数据分析</w:t>
            </w:r>
          </w:p>
          <w:p w14:paraId="1038DA7F">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任务一 采购订单分析</w:t>
            </w:r>
          </w:p>
          <w:p w14:paraId="74265A33">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任务二 库存管理</w:t>
            </w:r>
          </w:p>
          <w:p w14:paraId="5C39F9A6">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项目八 商务数据分析报告</w:t>
            </w:r>
          </w:p>
          <w:p w14:paraId="0A66C2A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任务一 商务数据分析报告撰写</w:t>
            </w:r>
          </w:p>
          <w:p w14:paraId="7B81498F">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任务二 商务数据分析报告案例</w:t>
            </w:r>
          </w:p>
          <w:p w14:paraId="4B55558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Ⅲ课程资源</w:t>
            </w:r>
          </w:p>
          <w:p w14:paraId="580B2CE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商务数据分析课程资源丰富，包含PPT、动画</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视频课程资源：</w:t>
            </w:r>
          </w:p>
          <w:p w14:paraId="7820E20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电子教案PPT数量不少于80个；</w:t>
            </w:r>
          </w:p>
          <w:p w14:paraId="14431409">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视频微课数量不少于80个，每个微课时长5-15分钟；</w:t>
            </w:r>
          </w:p>
          <w:p w14:paraId="2955B4A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富媒体、PDF、EXCEL文件资源数量若干；</w:t>
            </w:r>
          </w:p>
          <w:p w14:paraId="143E7D8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随堂练习客观题数量不少于150道；</w:t>
            </w:r>
          </w:p>
          <w:p w14:paraId="24E7233F">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提供课程简介、教学大纲</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考核大纲教学文件及参考资料。</w:t>
            </w:r>
          </w:p>
          <w:p w14:paraId="0C1C384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（四）训练包</w:t>
            </w:r>
          </w:p>
          <w:p w14:paraId="4E33BF4F">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一套完整的基于真实业务场景的在线训练包，供学生实务训练使用，学生采用个人测评训练方式，通过单项实训，以企业真实数据分析需求为基础，旨在帮助学生建立数据技术在商务分析中运用的思维体系，掌握商务数据分析的一般流程和主流方法，培养学生使用大数据分析工具进行数据采集、数据预处理、数据分析及进行可视化呈现，并最终帮助企业发现问题、解决问题的动手操作能力。</w:t>
            </w:r>
          </w:p>
          <w:p w14:paraId="578B6CE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Ⅰ训练内容</w:t>
            </w:r>
          </w:p>
          <w:p w14:paraId="6403DB0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训练1：构建商务数据模型</w:t>
            </w:r>
          </w:p>
          <w:p w14:paraId="5210E1C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训练2：商务数据预处理</w:t>
            </w:r>
          </w:p>
          <w:p w14:paraId="4736F5D3">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训练3：商品销售分析</w:t>
            </w:r>
          </w:p>
          <w:p w14:paraId="527AA04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训练4：商品销售预测</w:t>
            </w:r>
          </w:p>
          <w:p w14:paraId="66A5153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训练5：市场规模与趋势分析</w:t>
            </w:r>
          </w:p>
          <w:p w14:paraId="08D73A72">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训练6：市场集中度分析</w:t>
            </w:r>
          </w:p>
          <w:p w14:paraId="4660585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训练7：竞争对手分析</w:t>
            </w:r>
          </w:p>
          <w:p w14:paraId="4315540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训练8：竞品分析</w:t>
            </w:r>
          </w:p>
          <w:p w14:paraId="3DF3DF8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训练9：关键词推广效果分析</w:t>
            </w:r>
          </w:p>
          <w:p w14:paraId="4E5FA12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训练10：转化漏斗分析</w:t>
            </w:r>
          </w:p>
          <w:p w14:paraId="59DF3BD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训练11：投资回报分析</w:t>
            </w:r>
          </w:p>
          <w:p w14:paraId="6552D95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训练12：客户人群画像</w:t>
            </w:r>
          </w:p>
          <w:p w14:paraId="7CFB2E42">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训练13：客户价值分析</w:t>
            </w:r>
          </w:p>
          <w:p w14:paraId="30C7418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训练14：采购订单分析</w:t>
            </w:r>
          </w:p>
          <w:p w14:paraId="44266619">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训练15：库存管理</w:t>
            </w:r>
          </w:p>
          <w:p w14:paraId="2DF1551F">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Ⅱ训练包容量</w:t>
            </w:r>
          </w:p>
          <w:p w14:paraId="265EF73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训练包不少于15项训练试题。</w:t>
            </w:r>
          </w:p>
          <w:p w14:paraId="7BC637EE">
            <w:pPr>
              <w:spacing w:line="400" w:lineRule="exact"/>
              <w:rPr>
                <w:rFonts w:ascii="仿宋_GB2312" w:hAnsi="仿宋_GB2312" w:eastAsia="仿宋_GB2312" w:cs="仿宋_GB2312"/>
                <w:bCs/>
                <w:color w:val="auto"/>
                <w:sz w:val="24"/>
              </w:rPr>
            </w:pPr>
            <w:r>
              <w:rPr>
                <w:rFonts w:hint="eastAsia" w:ascii="仿宋_GB2312" w:hAnsi="仿宋_GB2312" w:eastAsia="仿宋_GB2312" w:cs="仿宋_GB2312"/>
                <w:color w:val="auto"/>
                <w:sz w:val="24"/>
              </w:rPr>
              <w:t>★二、</w:t>
            </w:r>
            <w:r>
              <w:rPr>
                <w:rFonts w:hint="eastAsia" w:ascii="仿宋_GB2312" w:hAnsi="仿宋_GB2312" w:eastAsia="仿宋_GB2312" w:cs="仿宋_GB2312"/>
                <w:bCs/>
                <w:color w:val="auto"/>
                <w:sz w:val="24"/>
              </w:rPr>
              <w:t>中标人提供的软件需要适配国产化操作系统，如果目前尚未适配国产化操作系统，中标人须承诺交付三个月内完成适配国产化操作系统，承诺期限内未完成适配的视为未履行合同约定。适配后须按照合同约定提供同等时长的质保服务，费用含在投标报价中。</w:t>
            </w:r>
          </w:p>
          <w:p w14:paraId="168BBD0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★三、系统供应商对接时必须免费开放系统并免费提供对接服务，免费提供对接技术方面的培训。</w:t>
            </w:r>
          </w:p>
        </w:tc>
        <w:tc>
          <w:tcPr>
            <w:tcW w:w="608" w:type="dxa"/>
            <w:vAlign w:val="center"/>
          </w:tcPr>
          <w:p w14:paraId="4C04A90F">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kern w:val="0"/>
                <w:sz w:val="24"/>
              </w:rPr>
              <w:t>套</w:t>
            </w:r>
          </w:p>
        </w:tc>
      </w:tr>
    </w:tbl>
    <w:p w14:paraId="367DBFB8">
      <w:pPr>
        <w:pStyle w:val="40"/>
        <w:spacing w:line="400" w:lineRule="exact"/>
        <w:ind w:left="0" w:leftChars="0"/>
        <w:rPr>
          <w:rFonts w:ascii="仿宋_GB2312" w:hAnsi="仿宋_GB2312" w:eastAsia="仿宋_GB2312" w:cs="仿宋_GB2312"/>
          <w:b/>
          <w:bCs/>
          <w:color w:val="auto"/>
          <w:sz w:val="24"/>
          <w:szCs w:val="24"/>
        </w:rPr>
      </w:pPr>
    </w:p>
    <w:tbl>
      <w:tblPr>
        <w:tblStyle w:val="51"/>
        <w:tblW w:w="9394"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7896"/>
      </w:tblGrid>
      <w:tr w14:paraId="42E1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94" w:type="dxa"/>
            <w:gridSpan w:val="2"/>
            <w:tcBorders>
              <w:top w:val="single" w:color="auto" w:sz="4" w:space="0"/>
              <w:left w:val="single" w:color="auto" w:sz="4" w:space="0"/>
              <w:bottom w:val="single" w:color="auto" w:sz="4" w:space="0"/>
              <w:right w:val="single" w:color="auto" w:sz="4" w:space="0"/>
            </w:tcBorders>
            <w:vAlign w:val="center"/>
          </w:tcPr>
          <w:p w14:paraId="5ED14CF1">
            <w:pPr>
              <w:spacing w:line="400" w:lineRule="exact"/>
              <w:ind w:right="-330" w:rightChars="-157"/>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4"/>
              </w:rPr>
              <w:t>★二、商务要求</w:t>
            </w:r>
          </w:p>
        </w:tc>
      </w:tr>
      <w:tr w14:paraId="7C1E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98" w:type="dxa"/>
            <w:tcBorders>
              <w:top w:val="single" w:color="auto" w:sz="4" w:space="0"/>
              <w:left w:val="single" w:color="auto" w:sz="4" w:space="0"/>
              <w:bottom w:val="single" w:color="auto" w:sz="4" w:space="0"/>
              <w:right w:val="single" w:color="auto" w:sz="4" w:space="0"/>
            </w:tcBorders>
            <w:vAlign w:val="center"/>
          </w:tcPr>
          <w:p w14:paraId="54176947">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基本要求</w:t>
            </w:r>
          </w:p>
        </w:tc>
        <w:tc>
          <w:tcPr>
            <w:tcW w:w="7896" w:type="dxa"/>
            <w:tcBorders>
              <w:top w:val="single" w:color="auto" w:sz="4" w:space="0"/>
              <w:left w:val="single" w:color="auto" w:sz="4" w:space="0"/>
              <w:bottom w:val="single" w:color="auto" w:sz="4" w:space="0"/>
              <w:right w:val="single" w:color="auto" w:sz="4" w:space="0"/>
            </w:tcBorders>
            <w:vAlign w:val="center"/>
          </w:tcPr>
          <w:p w14:paraId="7DBA5844">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1.本项目投标报价包括货物及货物运抵指定交付地点的各种费用、随配附件、备品备件、安装调试、技术培训、技术资料、包装、售后服务、保险费、税金、验收检验及其他所有成本费用的总和；</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2.投标人应保证投标产品涉及到的知识产权和所提供的相关技术资料是合法取得，不会因为采购人的使用而被责令停止使用、追偿或要求赔偿损失，如出现此情况，一切经济和法律责任均由投标人承担；</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3.投标人所投产品应符合国家有关部门规定的相应技术、节能、安全和环保标准；国家有关部门对所投产品有强制性规定或要求的，必须符合相应规定或要求；</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4.系统采用混合云服务器部署，若</w:t>
            </w:r>
            <w:r>
              <w:rPr>
                <w:rFonts w:hint="eastAsia" w:ascii="仿宋_GB2312" w:hAnsi="仿宋_GB2312" w:eastAsia="仿宋_GB2312" w:cs="仿宋_GB2312"/>
                <w:bCs/>
                <w:color w:val="auto"/>
                <w:sz w:val="24"/>
                <w:lang w:val="en-US" w:eastAsia="zh-CN"/>
              </w:rPr>
              <w:t>采购人</w:t>
            </w:r>
            <w:r>
              <w:rPr>
                <w:rFonts w:hint="eastAsia" w:ascii="仿宋_GB2312" w:hAnsi="仿宋_GB2312" w:eastAsia="仿宋_GB2312" w:cs="仿宋_GB2312"/>
                <w:bCs/>
                <w:color w:val="auto"/>
                <w:sz w:val="24"/>
              </w:rPr>
              <w:t>本地服务器不能</w:t>
            </w:r>
            <w:r>
              <w:rPr>
                <w:rFonts w:hint="eastAsia" w:ascii="仿宋_GB2312" w:hAnsi="仿宋_GB2312" w:eastAsia="仿宋_GB2312" w:cs="仿宋_GB2312"/>
                <w:bCs/>
                <w:color w:val="auto"/>
                <w:sz w:val="24"/>
                <w:lang w:val="en-US" w:eastAsia="zh-CN"/>
              </w:rPr>
              <w:t>使</w:t>
            </w:r>
            <w:r>
              <w:rPr>
                <w:rFonts w:hint="eastAsia" w:ascii="仿宋_GB2312" w:hAnsi="仿宋_GB2312" w:eastAsia="仿宋_GB2312" w:cs="仿宋_GB2312"/>
                <w:bCs/>
                <w:color w:val="auto"/>
                <w:sz w:val="24"/>
              </w:rPr>
              <w:t>软件正常运行和</w:t>
            </w:r>
            <w:r>
              <w:rPr>
                <w:rFonts w:hint="eastAsia" w:ascii="仿宋_GB2312" w:hAnsi="仿宋_GB2312" w:eastAsia="仿宋_GB2312" w:cs="仿宋_GB2312"/>
                <w:bCs/>
                <w:color w:val="auto"/>
                <w:sz w:val="24"/>
                <w:lang w:val="en-US" w:eastAsia="zh-CN"/>
              </w:rPr>
              <w:t>使</w:t>
            </w:r>
            <w:r>
              <w:rPr>
                <w:rFonts w:hint="eastAsia" w:ascii="仿宋_GB2312" w:hAnsi="仿宋_GB2312" w:eastAsia="仿宋_GB2312" w:cs="仿宋_GB2312"/>
                <w:bCs/>
                <w:color w:val="auto"/>
                <w:sz w:val="24"/>
              </w:rPr>
              <w:t>用</w:t>
            </w:r>
            <w:r>
              <w:rPr>
                <w:rFonts w:hint="eastAsia" w:ascii="仿宋_GB2312" w:hAnsi="仿宋_GB2312" w:eastAsia="仿宋_GB2312" w:cs="仿宋_GB2312"/>
                <w:bCs/>
                <w:color w:val="auto"/>
                <w:sz w:val="24"/>
                <w:lang w:eastAsia="zh-CN"/>
              </w:rPr>
              <w:t>，</w:t>
            </w:r>
            <w:r>
              <w:rPr>
                <w:rFonts w:hint="eastAsia" w:ascii="仿宋_GB2312" w:hAnsi="仿宋_GB2312" w:eastAsia="仿宋_GB2312" w:cs="仿宋_GB2312"/>
                <w:bCs/>
                <w:color w:val="auto"/>
                <w:sz w:val="24"/>
              </w:rPr>
              <w:t>供应商应同步提供满足软件使用的配套服务资源</w:t>
            </w:r>
            <w:r>
              <w:rPr>
                <w:rFonts w:hint="eastAsia" w:ascii="仿宋_GB2312" w:hAnsi="仿宋_GB2312" w:eastAsia="仿宋_GB2312" w:cs="仿宋_GB2312"/>
                <w:bCs/>
                <w:color w:val="auto"/>
                <w:sz w:val="24"/>
                <w:lang w:eastAsia="zh-CN"/>
              </w:rPr>
              <w:t>；</w:t>
            </w:r>
            <w:r>
              <w:rPr>
                <w:rFonts w:hint="eastAsia" w:ascii="仿宋_GB2312" w:hAnsi="仿宋_GB2312" w:eastAsia="仿宋_GB2312" w:cs="仿宋_GB2312"/>
                <w:bCs/>
                <w:color w:val="auto"/>
                <w:sz w:val="24"/>
              </w:rPr>
              <w:t>不限注册用户数，同时在线用户数200，用户同时登录时响应时间低于5秒。</w:t>
            </w:r>
          </w:p>
        </w:tc>
      </w:tr>
      <w:tr w14:paraId="1B5C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98" w:type="dxa"/>
            <w:tcBorders>
              <w:top w:val="single" w:color="auto" w:sz="4" w:space="0"/>
              <w:left w:val="single" w:color="auto" w:sz="4" w:space="0"/>
              <w:bottom w:val="single" w:color="auto" w:sz="4" w:space="0"/>
              <w:right w:val="single" w:color="auto" w:sz="4" w:space="0"/>
            </w:tcBorders>
            <w:vAlign w:val="center"/>
          </w:tcPr>
          <w:p w14:paraId="1C9D0CE9">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质量保证期</w:t>
            </w:r>
          </w:p>
        </w:tc>
        <w:tc>
          <w:tcPr>
            <w:tcW w:w="7896" w:type="dxa"/>
            <w:tcBorders>
              <w:top w:val="single" w:color="auto" w:sz="4" w:space="0"/>
              <w:left w:val="single" w:color="auto" w:sz="4" w:space="0"/>
              <w:bottom w:val="single" w:color="auto" w:sz="4" w:space="0"/>
              <w:right w:val="single" w:color="auto" w:sz="4" w:space="0"/>
            </w:tcBorders>
            <w:vAlign w:val="center"/>
          </w:tcPr>
          <w:p w14:paraId="2F7A3261">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按国家有关产品“三包”规定执行“三包”，质保期为自验收合格之日起3年。</w:t>
            </w:r>
          </w:p>
        </w:tc>
      </w:tr>
      <w:tr w14:paraId="0A99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98" w:type="dxa"/>
            <w:tcBorders>
              <w:top w:val="single" w:color="auto" w:sz="4" w:space="0"/>
              <w:left w:val="single" w:color="auto" w:sz="4" w:space="0"/>
              <w:bottom w:val="single" w:color="auto" w:sz="4" w:space="0"/>
              <w:right w:val="single" w:color="auto" w:sz="4" w:space="0"/>
            </w:tcBorders>
            <w:vAlign w:val="center"/>
          </w:tcPr>
          <w:p w14:paraId="5138994C">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售后服务要求</w:t>
            </w:r>
          </w:p>
        </w:tc>
        <w:tc>
          <w:tcPr>
            <w:tcW w:w="7896" w:type="dxa"/>
            <w:tcBorders>
              <w:top w:val="single" w:color="auto" w:sz="4" w:space="0"/>
              <w:left w:val="single" w:color="auto" w:sz="4" w:space="0"/>
              <w:bottom w:val="single" w:color="auto" w:sz="4" w:space="0"/>
              <w:right w:val="single" w:color="auto" w:sz="4" w:space="0"/>
            </w:tcBorders>
            <w:vAlign w:val="center"/>
          </w:tcPr>
          <w:p w14:paraId="06A00B6F">
            <w:pPr>
              <w:rPr>
                <w:color w:val="auto"/>
              </w:rPr>
            </w:pPr>
            <w:r>
              <w:rPr>
                <w:rFonts w:hint="eastAsia" w:ascii="仿宋_GB2312" w:hAnsi="仿宋_GB2312" w:eastAsia="仿宋_GB2312" w:cs="仿宋_GB2312"/>
                <w:bCs/>
                <w:color w:val="auto"/>
                <w:sz w:val="24"/>
              </w:rPr>
              <w:t>1.售后服务费用包含在报价中，售后服务内容如下：</w:t>
            </w:r>
          </w:p>
          <w:p w14:paraId="598C237C">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(1)质保期内对采购人进行系统操作、日常维护等技术培训，培训时间由双方共同商定（每年不少于1次），受培训人数不低于10人时间不少于1天。</w:t>
            </w:r>
          </w:p>
          <w:p w14:paraId="3E0E1F4A">
            <w:pPr>
              <w:spacing w:line="400" w:lineRule="exact"/>
              <w:jc w:val="left"/>
              <w:rPr>
                <w:color w:val="auto"/>
              </w:rPr>
            </w:pPr>
            <w:r>
              <w:rPr>
                <w:rFonts w:hint="eastAsia" w:ascii="仿宋_GB2312" w:hAnsi="仿宋_GB2312" w:eastAsia="仿宋_GB2312" w:cs="仿宋_GB2312"/>
                <w:bCs/>
                <w:color w:val="auto"/>
                <w:sz w:val="24"/>
              </w:rPr>
              <w:t>(2)中标人提供技术援助电话，解答采购人在使用中遇到的问题，及时为采购人提出解决问题的建议。接到报修通知后，一般问题8小时内通过远程方式解决；无法远程解决的大故障，应在接到报修通知后的24小时内派技术人员到达现场处理；到达现场后故障处理时限不超过48小时，如果超过故障处理时限，应免费提供同等质量的产品作为备用品供采购人使用，直至故障系统修复。</w:t>
            </w:r>
          </w:p>
          <w:p w14:paraId="4787B14F">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本项目所含软件必须为符合采购人适用范围的正版软件（非试用版），且在质保期内提供免费升级及维护服务。本项目合同约定的质保期过后，中标人需确保该软件其功能仍与交付验收时一致（如合同另有约定的按合同约定），质保期过后如需对软件进行升级或售后服务双方再行协商。</w:t>
            </w:r>
          </w:p>
        </w:tc>
      </w:tr>
      <w:tr w14:paraId="737A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98" w:type="dxa"/>
            <w:tcBorders>
              <w:top w:val="single" w:color="auto" w:sz="4" w:space="0"/>
              <w:left w:val="single" w:color="auto" w:sz="4" w:space="0"/>
              <w:bottom w:val="single" w:color="auto" w:sz="4" w:space="0"/>
              <w:right w:val="single" w:color="auto" w:sz="4" w:space="0"/>
            </w:tcBorders>
            <w:vAlign w:val="center"/>
          </w:tcPr>
          <w:p w14:paraId="7734D12E">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交货时间及地点</w:t>
            </w:r>
          </w:p>
        </w:tc>
        <w:tc>
          <w:tcPr>
            <w:tcW w:w="7896" w:type="dxa"/>
            <w:tcBorders>
              <w:top w:val="single" w:color="auto" w:sz="4" w:space="0"/>
              <w:left w:val="single" w:color="auto" w:sz="4" w:space="0"/>
              <w:bottom w:val="single" w:color="auto" w:sz="4" w:space="0"/>
              <w:right w:val="single" w:color="auto" w:sz="4" w:space="0"/>
            </w:tcBorders>
            <w:vAlign w:val="center"/>
          </w:tcPr>
          <w:p w14:paraId="150D743C">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1.交货时间：自签订合同之日起30日内安装调试完毕，验收合格并交付使用；</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2.交货地点：广西柳州市社湾路28号柳州职业技术大学社湾校区。</w:t>
            </w:r>
          </w:p>
        </w:tc>
      </w:tr>
      <w:tr w14:paraId="5633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98" w:type="dxa"/>
            <w:tcBorders>
              <w:top w:val="single" w:color="auto" w:sz="4" w:space="0"/>
              <w:left w:val="single" w:color="auto" w:sz="4" w:space="0"/>
              <w:bottom w:val="single" w:color="auto" w:sz="4" w:space="0"/>
              <w:right w:val="single" w:color="auto" w:sz="4" w:space="0"/>
            </w:tcBorders>
            <w:vAlign w:val="center"/>
          </w:tcPr>
          <w:p w14:paraId="66E3F00B">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付款方式</w:t>
            </w:r>
          </w:p>
        </w:tc>
        <w:tc>
          <w:tcPr>
            <w:tcW w:w="7896" w:type="dxa"/>
            <w:tcBorders>
              <w:top w:val="single" w:color="auto" w:sz="4" w:space="0"/>
              <w:left w:val="single" w:color="auto" w:sz="4" w:space="0"/>
              <w:bottom w:val="single" w:color="auto" w:sz="4" w:space="0"/>
              <w:right w:val="single" w:color="auto" w:sz="4" w:space="0"/>
            </w:tcBorders>
            <w:vAlign w:val="center"/>
          </w:tcPr>
          <w:p w14:paraId="664C83E7">
            <w:pPr>
              <w:pStyle w:val="810"/>
              <w:snapToGrid w:val="0"/>
              <w:spacing w:line="400" w:lineRule="exact"/>
              <w:rPr>
                <w:rFonts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财政性资金按财政国库集中支付规定程序办理。</w:t>
            </w:r>
            <w:r>
              <w:rPr>
                <w:rFonts w:hint="eastAsia" w:ascii="仿宋_GB2312" w:hAnsi="仿宋_GB2312" w:eastAsia="仿宋_GB2312" w:cs="仿宋_GB2312"/>
                <w:bCs/>
                <w:color w:val="auto"/>
                <w:sz w:val="24"/>
                <w:szCs w:val="24"/>
              </w:rPr>
              <w:br w:type="textWrapping"/>
            </w:r>
            <w:r>
              <w:rPr>
                <w:rFonts w:hint="eastAsia" w:ascii="仿宋_GB2312" w:hAnsi="仿宋_GB2312" w:eastAsia="仿宋_GB2312" w:cs="仿宋_GB2312"/>
                <w:bCs/>
                <w:color w:val="auto"/>
                <w:sz w:val="24"/>
                <w:szCs w:val="24"/>
              </w:rPr>
              <w:t>货物安装调试完毕并验收合格交付使用后，采购人在收到中标人开具的合同总价款增值税专用发票之日起10个工作日内向中标人指定账户付清合同价款(不计利息)。</w:t>
            </w:r>
          </w:p>
          <w:p w14:paraId="01EAA8B4">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
                <w:bCs/>
                <w:color w:val="auto"/>
                <w:sz w:val="24"/>
              </w:rPr>
              <w:t>注：资金支付等事项按照《保障中小企业款项支付条例》（国务院令第802号）、《广西壮族自治区财政厅关于持续优化政府采购营商环境推动高质量发展的通知》等要求执行。</w:t>
            </w:r>
          </w:p>
        </w:tc>
      </w:tr>
      <w:tr w14:paraId="3F6E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98" w:type="dxa"/>
            <w:tcBorders>
              <w:top w:val="single" w:color="auto" w:sz="4" w:space="0"/>
              <w:left w:val="single" w:color="auto" w:sz="4" w:space="0"/>
              <w:bottom w:val="single" w:color="auto" w:sz="4" w:space="0"/>
              <w:right w:val="single" w:color="auto" w:sz="4" w:space="0"/>
            </w:tcBorders>
            <w:vAlign w:val="center"/>
          </w:tcPr>
          <w:p w14:paraId="28F6B1A5">
            <w:pPr>
              <w:spacing w:line="400" w:lineRule="exact"/>
              <w:ind w:right="-27" w:rightChars="-13"/>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履约保证金</w:t>
            </w:r>
          </w:p>
        </w:tc>
        <w:tc>
          <w:tcPr>
            <w:tcW w:w="7896" w:type="dxa"/>
            <w:tcBorders>
              <w:top w:val="single" w:color="auto" w:sz="4" w:space="0"/>
              <w:left w:val="single" w:color="auto" w:sz="4" w:space="0"/>
              <w:bottom w:val="single" w:color="auto" w:sz="4" w:space="0"/>
              <w:right w:val="single" w:color="auto" w:sz="4" w:space="0"/>
            </w:tcBorders>
            <w:vAlign w:val="center"/>
          </w:tcPr>
          <w:p w14:paraId="281C6FA9">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1、履约保证金金额：</w:t>
            </w:r>
          </w:p>
          <w:p w14:paraId="2657633B">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大型企业须缴纳履约保证金金额：合同金额的</w:t>
            </w: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%；中型企业须缴纳履约保证金金额：合同金额的2%；小微企业或监狱企业或残疾人福利性单位：无须缴纳履约保证金。</w:t>
            </w:r>
          </w:p>
          <w:p w14:paraId="1C1D2BDC">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2、履约保证金提交及退付方式、时间及条件：</w:t>
            </w:r>
          </w:p>
          <w:p w14:paraId="256715E7">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签订前2日内，中标人必须以银行转账、支票、汇票、本票或者银行、保险机构出具的保函、保险等非现金方式提交履约保证金。履约保证金在验收合格交付之日后，且在收到中标人退回履约保证金函件后5个工作日内，由采购人办理履约保证金退还手续（不计息）。</w:t>
            </w:r>
          </w:p>
          <w:p w14:paraId="56C4714E">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履约保证金账户：</w:t>
            </w:r>
          </w:p>
          <w:p w14:paraId="6D6606B9">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名  称：柳州职业技术大学</w:t>
            </w:r>
          </w:p>
          <w:p w14:paraId="54406CB4">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开户行：交通银行西江支行</w:t>
            </w:r>
          </w:p>
          <w:p w14:paraId="50684D17">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账  号：452060600018120020185</w:t>
            </w:r>
          </w:p>
          <w:p w14:paraId="25CE889E">
            <w:pPr>
              <w:spacing w:line="400" w:lineRule="exact"/>
              <w:jc w:val="left"/>
              <w:rPr>
                <w:rFonts w:hint="eastAsia" w:ascii="仿宋_GB2312" w:hAnsi="仿宋_GB2312" w:eastAsia="宋体" w:cs="仿宋_GB2312"/>
                <w:color w:val="auto"/>
                <w:sz w:val="24"/>
                <w:lang w:eastAsia="zh-CN"/>
              </w:rPr>
            </w:pPr>
            <w:r>
              <w:rPr>
                <w:rFonts w:hint="eastAsia" w:ascii="仿宋_GB2312" w:hAnsi="仿宋_GB2312" w:eastAsia="仿宋_GB2312" w:cs="仿宋_GB2312"/>
                <w:color w:val="auto"/>
                <w:sz w:val="24"/>
              </w:rPr>
              <w:t>转账时注明：柳州职业技术大学“新能源汽车数字商贸产教融合基地”软件部分采购项目，采购编号LZZC2025-G1-990359-LZSZ（分标</w:t>
            </w:r>
            <w:r>
              <w:rPr>
                <w:rFonts w:hint="eastAsia" w:ascii="仿宋_GB2312" w:hAnsi="仿宋_GB2312" w:eastAsia="仿宋_GB2312" w:cs="仿宋_GB2312"/>
                <w:color w:val="auto"/>
                <w:sz w:val="24"/>
                <w:lang w:val="en-US" w:eastAsia="zh-CN"/>
              </w:rPr>
              <w:t>2</w:t>
            </w:r>
            <w:r>
              <w:rPr>
                <w:rFonts w:hint="eastAsia" w:ascii="仿宋_GB2312" w:hAnsi="仿宋_GB2312" w:eastAsia="仿宋_GB2312" w:cs="仿宋_GB2312"/>
                <w:color w:val="auto"/>
                <w:sz w:val="24"/>
              </w:rPr>
              <w:t>）履约保证金</w:t>
            </w:r>
            <w:r>
              <w:rPr>
                <w:rFonts w:hint="eastAsia"/>
                <w:color w:val="auto"/>
                <w:lang w:eastAsia="zh-CN"/>
              </w:rPr>
              <w:t>。</w:t>
            </w:r>
          </w:p>
          <w:p w14:paraId="45149763">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3、中标人有下列情况之一的，</w:t>
            </w:r>
            <w:r>
              <w:rPr>
                <w:rFonts w:hint="eastAsia" w:ascii="仿宋_GB2312" w:hAnsi="仿宋_GB2312" w:eastAsia="仿宋_GB2312" w:cs="仿宋_GB2312"/>
                <w:color w:val="auto"/>
                <w:sz w:val="24"/>
                <w:lang w:val="en-US" w:eastAsia="zh-CN"/>
              </w:rPr>
              <w:t>采购人</w:t>
            </w:r>
            <w:r>
              <w:rPr>
                <w:rFonts w:hint="eastAsia" w:ascii="仿宋_GB2312" w:hAnsi="仿宋_GB2312" w:eastAsia="仿宋_GB2312" w:cs="仿宋_GB2312"/>
                <w:color w:val="auto"/>
                <w:sz w:val="24"/>
              </w:rPr>
              <w:t>向</w:t>
            </w:r>
            <w:r>
              <w:rPr>
                <w:rFonts w:hint="eastAsia" w:ascii="仿宋_GB2312" w:hAnsi="仿宋_GB2312" w:eastAsia="仿宋_GB2312" w:cs="仿宋_GB2312"/>
                <w:color w:val="auto"/>
                <w:sz w:val="24"/>
                <w:lang w:val="en-US" w:eastAsia="zh-CN"/>
              </w:rPr>
              <w:t>中标人</w:t>
            </w:r>
            <w:r>
              <w:rPr>
                <w:rFonts w:hint="eastAsia" w:ascii="仿宋_GB2312" w:hAnsi="仿宋_GB2312" w:eastAsia="仿宋_GB2312" w:cs="仿宋_GB2312"/>
                <w:color w:val="auto"/>
                <w:sz w:val="24"/>
              </w:rPr>
              <w:t>出具书面通知，</w:t>
            </w:r>
            <w:r>
              <w:rPr>
                <w:rFonts w:hint="eastAsia" w:ascii="仿宋_GB2312" w:hAnsi="仿宋_GB2312" w:eastAsia="仿宋_GB2312" w:cs="仿宋_GB2312"/>
                <w:color w:val="auto"/>
                <w:sz w:val="24"/>
                <w:lang w:val="en-US" w:eastAsia="zh-CN"/>
              </w:rPr>
              <w:t>中标人</w:t>
            </w:r>
            <w:r>
              <w:rPr>
                <w:rFonts w:hint="eastAsia" w:ascii="仿宋_GB2312" w:hAnsi="仿宋_GB2312" w:eastAsia="仿宋_GB2312" w:cs="仿宋_GB2312"/>
                <w:color w:val="auto"/>
                <w:sz w:val="24"/>
              </w:rPr>
              <w:t>未能及时解决的，采购人可没收其全部履约保证金，并视具体情况按合同第九条处理：</w:t>
            </w:r>
          </w:p>
          <w:p w14:paraId="579D9A3E">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⑴中标人提供的货物规格、技术标准、材料未达到其响应文件所承诺的，导致无法通过验收交付使用的；</w:t>
            </w:r>
          </w:p>
          <w:p w14:paraId="37973190">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⑵中标人提供的货物经查证无法得到生产厂家正规售后服务的；</w:t>
            </w:r>
          </w:p>
          <w:p w14:paraId="1F12B8A2">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⑶中标人提供的货物未经正规合法经销渠道的；</w:t>
            </w:r>
          </w:p>
          <w:p w14:paraId="007A91DC">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⑷中标人提供的货物侵犯了第三方合法权益而引发了纠纷或诉讼，导致无法按期交付使用的；</w:t>
            </w:r>
          </w:p>
          <w:p w14:paraId="53779456">
            <w:pPr>
              <w:spacing w:line="400" w:lineRule="exact"/>
              <w:jc w:val="left"/>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⑸在货物试运行期间，故障率在10%及以上的。</w:t>
            </w:r>
          </w:p>
        </w:tc>
      </w:tr>
      <w:tr w14:paraId="59D3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394" w:type="dxa"/>
            <w:gridSpan w:val="2"/>
            <w:tcBorders>
              <w:top w:val="single" w:color="auto" w:sz="4" w:space="0"/>
              <w:left w:val="single" w:color="auto" w:sz="4" w:space="0"/>
              <w:bottom w:val="single" w:color="auto" w:sz="4" w:space="0"/>
              <w:right w:val="single" w:color="auto" w:sz="4" w:space="0"/>
            </w:tcBorders>
            <w:vAlign w:val="center"/>
          </w:tcPr>
          <w:p w14:paraId="74596A7A">
            <w:pPr>
              <w:pStyle w:val="27"/>
              <w:snapToGrid w:val="0"/>
              <w:spacing w:line="400" w:lineRule="exact"/>
              <w:ind w:right="27" w:rightChars="13"/>
              <w:rPr>
                <w:rFonts w:ascii="仿宋_GB2312" w:hAnsi="仿宋_GB2312" w:eastAsia="仿宋_GB2312" w:cs="仿宋_GB2312"/>
                <w:bCs/>
                <w:color w:val="auto"/>
                <w:sz w:val="24"/>
                <w:szCs w:val="24"/>
                <w:lang w:val="en-GB"/>
              </w:rPr>
            </w:pPr>
            <w:r>
              <w:rPr>
                <w:rFonts w:hint="eastAsia" w:ascii="仿宋_GB2312" w:hAnsi="仿宋_GB2312" w:eastAsia="仿宋_GB2312" w:cs="仿宋_GB2312"/>
                <w:b/>
                <w:color w:val="auto"/>
                <w:kern w:val="0"/>
                <w:sz w:val="24"/>
                <w:szCs w:val="24"/>
              </w:rPr>
              <w:t>★</w:t>
            </w:r>
            <w:r>
              <w:rPr>
                <w:rFonts w:hint="eastAsia" w:ascii="仿宋_GB2312" w:hAnsi="仿宋_GB2312" w:eastAsia="仿宋_GB2312" w:cs="仿宋_GB2312"/>
                <w:b/>
                <w:bCs/>
                <w:color w:val="auto"/>
                <w:sz w:val="24"/>
                <w:szCs w:val="24"/>
              </w:rPr>
              <w:t>三、</w:t>
            </w:r>
            <w:r>
              <w:rPr>
                <w:rFonts w:hint="eastAsia" w:ascii="仿宋_GB2312" w:hAnsi="仿宋_GB2312" w:eastAsia="仿宋_GB2312" w:cs="仿宋_GB2312"/>
                <w:b/>
                <w:color w:val="auto"/>
                <w:sz w:val="24"/>
                <w:szCs w:val="24"/>
              </w:rPr>
              <w:t>验收要求</w:t>
            </w:r>
          </w:p>
        </w:tc>
      </w:tr>
      <w:tr w14:paraId="65D3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98" w:type="dxa"/>
            <w:tcBorders>
              <w:top w:val="single" w:color="auto" w:sz="4" w:space="0"/>
              <w:left w:val="single" w:color="auto" w:sz="4" w:space="0"/>
              <w:bottom w:val="single" w:color="auto" w:sz="4" w:space="0"/>
              <w:right w:val="single" w:color="auto" w:sz="4" w:space="0"/>
            </w:tcBorders>
            <w:vAlign w:val="center"/>
          </w:tcPr>
          <w:p w14:paraId="7EA86A13">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bCs/>
                <w:color w:val="auto"/>
                <w:sz w:val="24"/>
              </w:rPr>
              <w:t>验收标准及要求</w:t>
            </w:r>
          </w:p>
        </w:tc>
        <w:tc>
          <w:tcPr>
            <w:tcW w:w="7896" w:type="dxa"/>
            <w:tcBorders>
              <w:top w:val="single" w:color="auto" w:sz="4" w:space="0"/>
              <w:left w:val="single" w:color="auto" w:sz="4" w:space="0"/>
              <w:bottom w:val="single" w:color="auto" w:sz="4" w:space="0"/>
              <w:right w:val="single" w:color="auto" w:sz="4" w:space="0"/>
            </w:tcBorders>
            <w:vAlign w:val="center"/>
          </w:tcPr>
          <w:p w14:paraId="23DFF871">
            <w:pPr>
              <w:numPr>
                <w:ilvl w:val="255"/>
                <w:numId w:val="0"/>
              </w:num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1.国家强制性技术标准及有关规定；</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交货验收时，采购人根据《广西壮族自治区政府采购项目履约验收管理办法》的规定，由采购人及中标人双方共同进行验收。必要时可委托国家认可的质量检测机构开展采购项目验收工作，验收时中标人必须有授权代表在场并在验收报告上签字，如正式验收时中标人授权代表未到场参加验收则视为中标人对验收过程及结果无异议。因软件使用问题发生争议时，由本地质量技术监督部门鉴定或委托具备资质的第三方机构鉴定。鉴定费（含运行产生全部费用）由中标人承担。投标人在投标报价时自行考虑；</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3.本项目因中标人提供的软件不能满足采购需求的技术参数或其投标文件承诺等原因无法通过验收，造成不能按时、按质、按量完成项目要求的，将按照《中华人民共和国政府采购法》等法律法规由中标人承担相应的法律责任；</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4.中标人负责软件安装调试，直至软件验收合格（期间所需器材及费用均由中标人承担），产品或服务在安装调试并试运行符合要求后，才做最终验收。</w:t>
            </w:r>
          </w:p>
          <w:p w14:paraId="1C2F0EC2">
            <w:pPr>
              <w:numPr>
                <w:ilvl w:val="255"/>
                <w:numId w:val="0"/>
              </w:num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5.中标人完成安装调试后，采购人可以进行累计运行时间不超过72小时的试运行，以确认所供软件功能参数、兼容性及稳定性符合标准达到初验条件，在试运行期间出现问题中标人应在接到采购人书面反馈后三日内解决，在解决问题前此项目仍视为尚未完成安装调试。如造成最终验收合格交付时间超过合同约定的按合同相关条款执行。</w:t>
            </w:r>
          </w:p>
          <w:p w14:paraId="096E24C9">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
                <w:color w:val="auto"/>
                <w:sz w:val="24"/>
              </w:rPr>
              <w:t>注：投标人提供的项目实施方案及技术培训方案在合同实施阶段必须严格执行。投标人应认真对待方案和承诺内容，确保其真实性和可操作性，否则将承担相应的法律责任和违约后果。</w:t>
            </w:r>
            <w:r>
              <w:rPr>
                <w:rFonts w:hint="eastAsia" w:ascii="仿宋_GB2312" w:hAnsi="仿宋_GB2312" w:eastAsia="仿宋_GB2312" w:cs="仿宋_GB2312"/>
                <w:bCs/>
                <w:color w:val="auto"/>
                <w:sz w:val="24"/>
              </w:rPr>
              <w:t xml:space="preserve"> </w:t>
            </w:r>
          </w:p>
        </w:tc>
      </w:tr>
      <w:tr w14:paraId="4087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94" w:type="dxa"/>
            <w:gridSpan w:val="2"/>
            <w:tcBorders>
              <w:top w:val="single" w:color="auto" w:sz="4" w:space="0"/>
              <w:left w:val="single" w:color="auto" w:sz="4" w:space="0"/>
              <w:bottom w:val="single" w:color="auto" w:sz="4" w:space="0"/>
              <w:right w:val="single" w:color="auto" w:sz="4" w:space="0"/>
            </w:tcBorders>
            <w:vAlign w:val="center"/>
          </w:tcPr>
          <w:p w14:paraId="357A015D">
            <w:pPr>
              <w:pStyle w:val="27"/>
              <w:snapToGrid w:val="0"/>
              <w:spacing w:line="400" w:lineRule="exact"/>
              <w:ind w:right="-330" w:rightChars="-157"/>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四、</w:t>
            </w:r>
            <w:r>
              <w:rPr>
                <w:rFonts w:hint="eastAsia" w:ascii="仿宋_GB2312" w:hAnsi="仿宋_GB2312" w:eastAsia="仿宋_GB2312" w:cs="仿宋_GB2312"/>
                <w:b/>
                <w:color w:val="auto"/>
                <w:sz w:val="24"/>
                <w:szCs w:val="24"/>
              </w:rPr>
              <w:t>资信要求</w:t>
            </w:r>
          </w:p>
        </w:tc>
      </w:tr>
      <w:tr w14:paraId="424B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98" w:type="dxa"/>
            <w:tcBorders>
              <w:top w:val="single" w:color="auto" w:sz="4" w:space="0"/>
              <w:left w:val="single" w:color="auto" w:sz="4" w:space="0"/>
              <w:bottom w:val="single" w:color="auto" w:sz="4" w:space="0"/>
              <w:right w:val="single" w:color="auto" w:sz="4" w:space="0"/>
            </w:tcBorders>
            <w:vAlign w:val="center"/>
          </w:tcPr>
          <w:p w14:paraId="7F047912">
            <w:pPr>
              <w:spacing w:line="440" w:lineRule="exact"/>
              <w:ind w:right="-27" w:rightChars="-13"/>
              <w:jc w:val="left"/>
              <w:rPr>
                <w:rFonts w:ascii="仿宋_GB2312" w:hAnsi="仿宋_GB2312" w:eastAsia="仿宋_GB2312" w:cs="仿宋_GB2312"/>
                <w:bCs/>
                <w:color w:val="auto"/>
                <w:sz w:val="24"/>
              </w:rPr>
            </w:pPr>
            <w:r>
              <w:rPr>
                <w:rFonts w:ascii="仿宋_GB2312" w:hAnsi="仿宋_GB2312" w:eastAsia="仿宋_GB2312" w:cs="仿宋_GB2312"/>
                <w:bCs/>
                <w:color w:val="auto"/>
                <w:sz w:val="24"/>
              </w:rPr>
              <w:t>★政策性资格要求</w:t>
            </w:r>
          </w:p>
        </w:tc>
        <w:tc>
          <w:tcPr>
            <w:tcW w:w="7896" w:type="dxa"/>
            <w:tcBorders>
              <w:top w:val="single" w:color="auto" w:sz="4" w:space="0"/>
              <w:left w:val="single" w:color="auto" w:sz="4" w:space="0"/>
              <w:bottom w:val="single" w:color="auto" w:sz="4" w:space="0"/>
              <w:right w:val="single" w:color="auto" w:sz="4" w:space="0"/>
            </w:tcBorders>
            <w:vAlign w:val="center"/>
          </w:tcPr>
          <w:p w14:paraId="348D8897">
            <w:pPr>
              <w:spacing w:line="400" w:lineRule="exact"/>
              <w:rPr>
                <w:rFonts w:ascii="仿宋_GB2312" w:hAnsi="仿宋_GB2312" w:eastAsia="仿宋_GB2312" w:cs="仿宋_GB2312"/>
                <w:color w:val="auto"/>
                <w:sz w:val="24"/>
              </w:rPr>
            </w:pPr>
            <w:r>
              <w:rPr>
                <w:rStyle w:val="827"/>
                <w:rFonts w:hint="eastAsia" w:ascii="仿宋_GB2312" w:hAnsi="仿宋_GB2312" w:eastAsia="仿宋_GB2312" w:cs="仿宋_GB2312"/>
                <w:color w:val="auto"/>
                <w:sz w:val="24"/>
              </w:rPr>
              <w:t>1.根据《政府采购促进中小企业发展管理办法》（财库〔2020〕46号），本项目属于专门面向中小企业采购的项目，</w:t>
            </w:r>
            <w:r>
              <w:rPr>
                <w:rFonts w:hint="eastAsia" w:ascii="仿宋_GB2312" w:hAnsi="仿宋_GB2312" w:eastAsia="仿宋_GB2312" w:cs="仿宋_GB2312"/>
                <w:color w:val="auto"/>
                <w:sz w:val="24"/>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1960A00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2.中小企业须符合本项目采购标的所属行业对应的中小企业划分标准：</w:t>
            </w:r>
          </w:p>
          <w:p w14:paraId="7BA11907">
            <w:pPr>
              <w:spacing w:line="400" w:lineRule="exact"/>
              <w:rPr>
                <w:rFonts w:ascii="仿宋_GB2312" w:hAnsi="仿宋_GB2312" w:eastAsia="仿宋_GB2312" w:cs="仿宋_GB2312"/>
                <w:color w:val="auto"/>
                <w:sz w:val="24"/>
              </w:rPr>
            </w:pPr>
            <w:r>
              <w:rPr>
                <w:rStyle w:val="827"/>
                <w:rFonts w:hint="eastAsia" w:ascii="仿宋_GB2312" w:hAnsi="仿宋_GB2312" w:eastAsia="仿宋_GB2312" w:cs="仿宋_GB2312"/>
                <w:color w:val="auto"/>
                <w:sz w:val="24"/>
              </w:rPr>
              <w:t>（1）采购标的对应的中小企业划分标准所属行业：</w:t>
            </w:r>
            <w:r>
              <w:rPr>
                <w:rStyle w:val="827"/>
                <w:rFonts w:hint="eastAsia" w:ascii="仿宋_GB2312" w:hAnsi="仿宋_GB2312" w:eastAsia="仿宋_GB2312" w:cs="仿宋_GB2312"/>
                <w:color w:val="auto"/>
                <w:sz w:val="24"/>
                <w:u w:val="single"/>
              </w:rPr>
              <w:t>软件和信息技术服务业</w:t>
            </w:r>
            <w:r>
              <w:rPr>
                <w:rStyle w:val="827"/>
                <w:rFonts w:hint="eastAsia" w:ascii="仿宋_GB2312" w:hAnsi="仿宋_GB2312" w:eastAsia="仿宋_GB2312" w:cs="仿宋_GB2312"/>
                <w:color w:val="auto"/>
                <w:sz w:val="24"/>
              </w:rPr>
              <w:t>。</w:t>
            </w:r>
          </w:p>
          <w:p w14:paraId="3F2554FC">
            <w:pPr>
              <w:spacing w:line="400" w:lineRule="exact"/>
              <w:rPr>
                <w:rFonts w:ascii="仿宋_GB2312" w:hAnsi="仿宋_GB2312" w:eastAsia="仿宋_GB2312" w:cs="仿宋_GB2312"/>
                <w:color w:val="auto"/>
                <w:sz w:val="24"/>
              </w:rPr>
            </w:pPr>
            <w:r>
              <w:rPr>
                <w:rStyle w:val="827"/>
                <w:rFonts w:hint="eastAsia" w:ascii="仿宋_GB2312" w:hAnsi="仿宋_GB2312" w:eastAsia="仿宋_GB2312" w:cs="仿宋_GB2312"/>
                <w:color w:val="auto"/>
                <w:sz w:val="24"/>
              </w:rPr>
              <w:t>（2）中小企业划分有关标准根据工信部等部委发布的《关于印发中小企业划型标准规定的通知》（工信部联企业〔2011〕300号）确定；</w:t>
            </w:r>
          </w:p>
          <w:p w14:paraId="5312CB52">
            <w:pPr>
              <w:rPr>
                <w:rFonts w:ascii="仿宋_GB2312" w:hAnsi="仿宋_GB2312" w:eastAsia="仿宋_GB2312" w:cs="仿宋_GB2312"/>
                <w:color w:val="auto"/>
                <w:sz w:val="24"/>
              </w:rPr>
            </w:pPr>
            <w:r>
              <w:rPr>
                <w:rStyle w:val="827"/>
                <w:rFonts w:hint="eastAsia" w:ascii="仿宋_GB2312" w:hAnsi="仿宋_GB2312" w:eastAsia="仿宋_GB2312" w:cs="仿宋_GB2312"/>
                <w:color w:val="auto"/>
                <w:sz w:val="24"/>
              </w:rPr>
              <w:t>（3）为方便投标人识别企业规模类型，投标人可使用工业和信息化部组织开发的中小企业规模类型自测小程序生成企业规模类型测试结果。自测小程序链接：https://baosong.miit.gov.cn/ScaleTest</w:t>
            </w:r>
          </w:p>
        </w:tc>
      </w:tr>
      <w:tr w14:paraId="67B4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98" w:type="dxa"/>
            <w:tcBorders>
              <w:top w:val="single" w:color="auto" w:sz="4" w:space="0"/>
              <w:left w:val="single" w:color="auto" w:sz="4" w:space="0"/>
              <w:bottom w:val="single" w:color="auto" w:sz="4" w:space="0"/>
              <w:right w:val="single" w:color="auto" w:sz="4" w:space="0"/>
            </w:tcBorders>
            <w:vAlign w:val="center"/>
          </w:tcPr>
          <w:p w14:paraId="2B2E843F">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 xml:space="preserve">质量管理、企业信用要求（如有） </w:t>
            </w:r>
          </w:p>
        </w:tc>
        <w:tc>
          <w:tcPr>
            <w:tcW w:w="7896" w:type="dxa"/>
            <w:tcBorders>
              <w:top w:val="single" w:color="auto" w:sz="4" w:space="0"/>
              <w:left w:val="single" w:color="auto" w:sz="4" w:space="0"/>
              <w:bottom w:val="single" w:color="auto" w:sz="4" w:space="0"/>
              <w:right w:val="single" w:color="auto" w:sz="4" w:space="0"/>
            </w:tcBorders>
            <w:vAlign w:val="center"/>
          </w:tcPr>
          <w:p w14:paraId="6AB5B2AB">
            <w:pPr>
              <w:pStyle w:val="483"/>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投标人或投标产品生产厂家具备有效的质量管理体系认证证书。</w:t>
            </w:r>
          </w:p>
        </w:tc>
      </w:tr>
      <w:tr w14:paraId="7073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98" w:type="dxa"/>
            <w:tcBorders>
              <w:top w:val="single" w:color="auto" w:sz="4" w:space="0"/>
              <w:left w:val="single" w:color="auto" w:sz="4" w:space="0"/>
              <w:bottom w:val="single" w:color="auto" w:sz="4" w:space="0"/>
              <w:right w:val="single" w:color="auto" w:sz="4" w:space="0"/>
            </w:tcBorders>
            <w:vAlign w:val="center"/>
          </w:tcPr>
          <w:p w14:paraId="42130810">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能力或业绩要求（如有）</w:t>
            </w:r>
          </w:p>
        </w:tc>
        <w:tc>
          <w:tcPr>
            <w:tcW w:w="7896" w:type="dxa"/>
            <w:tcBorders>
              <w:top w:val="single" w:color="auto" w:sz="4" w:space="0"/>
              <w:left w:val="single" w:color="auto" w:sz="4" w:space="0"/>
              <w:bottom w:val="single" w:color="auto" w:sz="4" w:space="0"/>
              <w:right w:val="single" w:color="auto" w:sz="4" w:space="0"/>
            </w:tcBorders>
            <w:vAlign w:val="center"/>
          </w:tcPr>
          <w:p w14:paraId="5EB940B8">
            <w:pPr>
              <w:pStyle w:val="503"/>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投标人2022年1月1日起至今本</w:t>
            </w:r>
            <w:r>
              <w:rPr>
                <w:rFonts w:hint="eastAsia" w:ascii="仿宋_GB2312" w:hAnsi="仿宋_GB2312" w:eastAsia="仿宋_GB2312" w:cs="仿宋_GB2312"/>
                <w:color w:val="auto"/>
                <w:lang w:val="en-US" w:eastAsia="zh-CN"/>
              </w:rPr>
              <w:t>分标</w:t>
            </w:r>
            <w:r>
              <w:rPr>
                <w:rFonts w:hint="eastAsia" w:ascii="仿宋_GB2312" w:hAnsi="仿宋_GB2312" w:eastAsia="仿宋_GB2312" w:cs="仿宋_GB2312"/>
                <w:color w:val="auto"/>
              </w:rPr>
              <w:t>所投产品在项目中被安装使用。</w:t>
            </w:r>
          </w:p>
        </w:tc>
      </w:tr>
      <w:tr w14:paraId="6E91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394" w:type="dxa"/>
            <w:gridSpan w:val="2"/>
            <w:tcBorders>
              <w:top w:val="single" w:color="auto" w:sz="4" w:space="0"/>
              <w:left w:val="single" w:color="auto" w:sz="4" w:space="0"/>
              <w:bottom w:val="single" w:color="auto" w:sz="4" w:space="0"/>
              <w:right w:val="single" w:color="auto" w:sz="4" w:space="0"/>
            </w:tcBorders>
            <w:vAlign w:val="center"/>
          </w:tcPr>
          <w:p w14:paraId="7BF1CE8C">
            <w:pPr>
              <w:pStyle w:val="27"/>
              <w:snapToGrid w:val="0"/>
              <w:spacing w:line="400" w:lineRule="exact"/>
              <w:ind w:right="-330" w:rightChars="-157"/>
              <w:rPr>
                <w:rFonts w:ascii="仿宋_GB2312" w:hAnsi="仿宋_GB2312" w:eastAsia="仿宋_GB2312" w:cs="仿宋_GB2312"/>
                <w:bCs/>
                <w:color w:val="auto"/>
                <w:sz w:val="24"/>
                <w:szCs w:val="24"/>
              </w:rPr>
            </w:pPr>
            <w:r>
              <w:rPr>
                <w:rFonts w:hint="eastAsia" w:ascii="仿宋_GB2312" w:hAnsi="仿宋_GB2312" w:eastAsia="仿宋_GB2312" w:cs="仿宋_GB2312"/>
                <w:b/>
                <w:bCs/>
                <w:color w:val="auto"/>
                <w:sz w:val="24"/>
                <w:szCs w:val="24"/>
              </w:rPr>
              <w:t>五、其他要求</w:t>
            </w:r>
          </w:p>
        </w:tc>
      </w:tr>
      <w:tr w14:paraId="5CB0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98" w:type="dxa"/>
            <w:tcBorders>
              <w:top w:val="single" w:color="auto" w:sz="4" w:space="0"/>
              <w:left w:val="single" w:color="auto" w:sz="4" w:space="0"/>
              <w:bottom w:val="single" w:color="auto" w:sz="4" w:space="0"/>
              <w:right w:val="single" w:color="auto" w:sz="4" w:space="0"/>
            </w:tcBorders>
            <w:vAlign w:val="center"/>
          </w:tcPr>
          <w:p w14:paraId="2A9A33FA">
            <w:pPr>
              <w:spacing w:line="400" w:lineRule="exact"/>
              <w:ind w:right="-107" w:rightChars="-51"/>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无</w:t>
            </w:r>
          </w:p>
        </w:tc>
        <w:tc>
          <w:tcPr>
            <w:tcW w:w="7896" w:type="dxa"/>
            <w:tcBorders>
              <w:top w:val="single" w:color="auto" w:sz="4" w:space="0"/>
              <w:left w:val="single" w:color="auto" w:sz="4" w:space="0"/>
              <w:bottom w:val="single" w:color="auto" w:sz="4" w:space="0"/>
              <w:right w:val="single" w:color="auto" w:sz="4" w:space="0"/>
            </w:tcBorders>
            <w:vAlign w:val="center"/>
          </w:tcPr>
          <w:p w14:paraId="50F99309">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 xml:space="preserve"> </w:t>
            </w:r>
          </w:p>
        </w:tc>
      </w:tr>
    </w:tbl>
    <w:p w14:paraId="7A0CAB3A">
      <w:pPr>
        <w:pStyle w:val="40"/>
        <w:spacing w:line="400" w:lineRule="exact"/>
        <w:rPr>
          <w:rFonts w:ascii="仿宋_GB2312" w:hAnsi="仿宋_GB2312" w:eastAsia="仿宋_GB2312" w:cs="仿宋_GB2312"/>
          <w:b/>
          <w:bCs/>
          <w:color w:val="auto"/>
          <w:sz w:val="24"/>
          <w:szCs w:val="24"/>
        </w:rPr>
      </w:pPr>
    </w:p>
    <w:p w14:paraId="6B6879A4">
      <w:pPr>
        <w:spacing w:line="400" w:lineRule="exact"/>
        <w:jc w:val="left"/>
        <w:rPr>
          <w:rFonts w:ascii="仿宋_GB2312" w:hAnsi="仿宋_GB2312" w:eastAsia="仿宋_GB2312" w:cs="仿宋_GB2312"/>
          <w:b/>
          <w:bCs/>
          <w:color w:val="auto"/>
          <w:sz w:val="24"/>
        </w:rPr>
      </w:pPr>
    </w:p>
    <w:p w14:paraId="0EB24CD8">
      <w:pPr>
        <w:pStyle w:val="40"/>
        <w:spacing w:line="400" w:lineRule="exact"/>
        <w:rPr>
          <w:rFonts w:ascii="仿宋_GB2312" w:hAnsi="仿宋_GB2312" w:eastAsia="仿宋_GB2312" w:cs="仿宋_GB2312"/>
          <w:b/>
          <w:bCs/>
          <w:color w:val="auto"/>
          <w:sz w:val="24"/>
          <w:szCs w:val="24"/>
        </w:rPr>
      </w:pPr>
    </w:p>
    <w:p w14:paraId="4D560466">
      <w:pPr>
        <w:pStyle w:val="40"/>
        <w:spacing w:line="400" w:lineRule="exact"/>
        <w:rPr>
          <w:rFonts w:ascii="仿宋_GB2312" w:hAnsi="仿宋_GB2312" w:eastAsia="仿宋_GB2312" w:cs="仿宋_GB2312"/>
          <w:b/>
          <w:bCs/>
          <w:color w:val="auto"/>
          <w:sz w:val="24"/>
          <w:szCs w:val="24"/>
        </w:rPr>
      </w:pPr>
    </w:p>
    <w:p w14:paraId="19E97D16">
      <w:pPr>
        <w:pStyle w:val="40"/>
        <w:spacing w:line="400" w:lineRule="exact"/>
        <w:rPr>
          <w:rFonts w:ascii="仿宋_GB2312" w:hAnsi="仿宋_GB2312" w:eastAsia="仿宋_GB2312" w:cs="仿宋_GB2312"/>
          <w:b/>
          <w:bCs/>
          <w:color w:val="auto"/>
          <w:sz w:val="24"/>
          <w:szCs w:val="24"/>
        </w:rPr>
      </w:pPr>
    </w:p>
    <w:p w14:paraId="65BEFE09">
      <w:pPr>
        <w:pStyle w:val="40"/>
        <w:spacing w:line="400" w:lineRule="exact"/>
        <w:rPr>
          <w:rFonts w:ascii="仿宋_GB2312" w:hAnsi="仿宋_GB2312" w:eastAsia="仿宋_GB2312" w:cs="仿宋_GB2312"/>
          <w:b/>
          <w:bCs/>
          <w:color w:val="auto"/>
          <w:sz w:val="24"/>
          <w:szCs w:val="24"/>
        </w:rPr>
      </w:pPr>
    </w:p>
    <w:p w14:paraId="47A852BA">
      <w:pPr>
        <w:pStyle w:val="40"/>
        <w:spacing w:line="400" w:lineRule="exact"/>
        <w:ind w:left="0" w:leftChars="0"/>
        <w:rPr>
          <w:rFonts w:ascii="仿宋_GB2312" w:hAnsi="仿宋_GB2312" w:eastAsia="仿宋_GB2312" w:cs="仿宋_GB2312"/>
          <w:b/>
          <w:bCs/>
          <w:color w:val="auto"/>
          <w:sz w:val="24"/>
          <w:szCs w:val="24"/>
        </w:rPr>
      </w:pPr>
    </w:p>
    <w:p w14:paraId="0E966FBF">
      <w:pPr>
        <w:pStyle w:val="40"/>
        <w:spacing w:line="400" w:lineRule="exact"/>
        <w:rPr>
          <w:rFonts w:ascii="仿宋_GB2312" w:hAnsi="仿宋_GB2312" w:eastAsia="仿宋_GB2312" w:cs="仿宋_GB2312"/>
          <w:b/>
          <w:bCs/>
          <w:color w:val="auto"/>
          <w:sz w:val="24"/>
          <w:szCs w:val="24"/>
        </w:rPr>
      </w:pPr>
    </w:p>
    <w:p w14:paraId="4046E09D">
      <w:pPr>
        <w:pStyle w:val="40"/>
        <w:spacing w:line="400" w:lineRule="exact"/>
        <w:rPr>
          <w:rFonts w:ascii="仿宋_GB2312" w:hAnsi="仿宋_GB2312" w:eastAsia="仿宋_GB2312" w:cs="仿宋_GB2312"/>
          <w:b/>
          <w:bCs/>
          <w:color w:val="auto"/>
          <w:sz w:val="24"/>
          <w:szCs w:val="24"/>
        </w:rPr>
      </w:pPr>
    </w:p>
    <w:p w14:paraId="69207C4A">
      <w:pPr>
        <w:pStyle w:val="40"/>
        <w:spacing w:line="400" w:lineRule="exact"/>
        <w:rPr>
          <w:rFonts w:ascii="仿宋_GB2312" w:hAnsi="仿宋_GB2312" w:eastAsia="仿宋_GB2312" w:cs="仿宋_GB2312"/>
          <w:b/>
          <w:bCs/>
          <w:color w:val="auto"/>
          <w:sz w:val="24"/>
          <w:szCs w:val="24"/>
        </w:rPr>
      </w:pPr>
    </w:p>
    <w:p w14:paraId="4091D4CB">
      <w:pPr>
        <w:pStyle w:val="40"/>
        <w:spacing w:line="400" w:lineRule="exact"/>
        <w:rPr>
          <w:rFonts w:ascii="仿宋_GB2312" w:hAnsi="仿宋_GB2312" w:eastAsia="仿宋_GB2312" w:cs="仿宋_GB2312"/>
          <w:b/>
          <w:bCs/>
          <w:color w:val="auto"/>
          <w:sz w:val="24"/>
          <w:szCs w:val="24"/>
        </w:rPr>
      </w:pPr>
    </w:p>
    <w:p w14:paraId="709464FD">
      <w:pPr>
        <w:pStyle w:val="40"/>
        <w:spacing w:line="400" w:lineRule="exact"/>
        <w:rPr>
          <w:rFonts w:ascii="仿宋_GB2312" w:hAnsi="仿宋_GB2312" w:eastAsia="仿宋_GB2312" w:cs="仿宋_GB2312"/>
          <w:b/>
          <w:bCs/>
          <w:color w:val="auto"/>
          <w:sz w:val="24"/>
          <w:szCs w:val="24"/>
        </w:rPr>
      </w:pPr>
    </w:p>
    <w:p w14:paraId="5A016CC3">
      <w:pPr>
        <w:spacing w:line="400" w:lineRule="exact"/>
        <w:jc w:val="lef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lang w:val="en-US" w:eastAsia="zh-CN"/>
        </w:rPr>
        <w:t>分标3</w:t>
      </w:r>
    </w:p>
    <w:tbl>
      <w:tblPr>
        <w:tblStyle w:val="51"/>
        <w:tblW w:w="96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975"/>
        <w:gridCol w:w="7444"/>
        <w:gridCol w:w="815"/>
      </w:tblGrid>
      <w:tr w14:paraId="011E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609" w:type="dxa"/>
            <w:gridSpan w:val="4"/>
            <w:vAlign w:val="center"/>
          </w:tcPr>
          <w:p w14:paraId="6BABA3FE">
            <w:pPr>
              <w:spacing w:line="400" w:lineRule="exact"/>
              <w:jc w:val="lef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一、项目技术规格参数及要求</w:t>
            </w:r>
          </w:p>
        </w:tc>
      </w:tr>
      <w:tr w14:paraId="15F4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375" w:type="dxa"/>
            <w:vAlign w:val="center"/>
          </w:tcPr>
          <w:p w14:paraId="6DDF3B70">
            <w:pPr>
              <w:pStyle w:val="808"/>
              <w:snapToGrid w:val="0"/>
              <w:spacing w:line="4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序号</w:t>
            </w:r>
          </w:p>
        </w:tc>
        <w:tc>
          <w:tcPr>
            <w:tcW w:w="975" w:type="dxa"/>
            <w:vAlign w:val="center"/>
          </w:tcPr>
          <w:p w14:paraId="18526225">
            <w:pPr>
              <w:pStyle w:val="808"/>
              <w:snapToGrid w:val="0"/>
              <w:spacing w:line="4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标的名称</w:t>
            </w:r>
          </w:p>
        </w:tc>
        <w:tc>
          <w:tcPr>
            <w:tcW w:w="7444" w:type="dxa"/>
            <w:vAlign w:val="center"/>
          </w:tcPr>
          <w:p w14:paraId="642164DC">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技术参数</w:t>
            </w:r>
          </w:p>
        </w:tc>
        <w:tc>
          <w:tcPr>
            <w:tcW w:w="815" w:type="dxa"/>
            <w:vAlign w:val="center"/>
          </w:tcPr>
          <w:p w14:paraId="4FA13E27">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数量及单位</w:t>
            </w:r>
          </w:p>
        </w:tc>
      </w:tr>
      <w:tr w14:paraId="3C60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75" w:type="dxa"/>
            <w:vAlign w:val="center"/>
          </w:tcPr>
          <w:p w14:paraId="5CC527D3">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975" w:type="dxa"/>
            <w:vAlign w:val="center"/>
          </w:tcPr>
          <w:p w14:paraId="63A6E5FF">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kern w:val="0"/>
                <w:sz w:val="24"/>
              </w:rPr>
              <w:t>▲电子商务师职业技能等级认证系统</w:t>
            </w:r>
          </w:p>
        </w:tc>
        <w:tc>
          <w:tcPr>
            <w:tcW w:w="7444" w:type="dxa"/>
            <w:vAlign w:val="center"/>
          </w:tcPr>
          <w:p w14:paraId="67A5030F">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系统采用典型工作任务驱动的形式，模拟电子商务平台的业务流程，学生作为卖家完成店铺视觉营销设计、网络推广、网上交易管理、网络客户服务以及电子商务数据分析与应用工作任务。该实训系统是一个兼具仿真平台实训和教师在线教学双重功能的综合性实训系统。学生通过仿真实训，逐步找到分析问题、解决问题的思路，掌握电子商务职业技能。</w:t>
            </w:r>
          </w:p>
          <w:p w14:paraId="50F6408C">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一、技术要求</w:t>
            </w:r>
          </w:p>
          <w:p w14:paraId="1C1B866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1.系统采用JAVA+PHP语言开发、B/S架构设计，支持最新的HTML5标准，不需要安装客户端，通过浏览器访问，可支持基于校园网的应用，</w:t>
            </w:r>
            <w:r>
              <w:rPr>
                <w:rFonts w:hint="eastAsia" w:ascii="仿宋_GB2312" w:hAnsi="仿宋_GB2312" w:eastAsia="仿宋_GB2312" w:cs="仿宋_GB2312"/>
                <w:color w:val="auto"/>
                <w:sz w:val="24"/>
                <w:lang w:val="en-US" w:eastAsia="zh-CN"/>
              </w:rPr>
              <w:t>至少</w:t>
            </w:r>
            <w:r>
              <w:rPr>
                <w:rFonts w:hint="eastAsia" w:ascii="仿宋_GB2312" w:hAnsi="仿宋_GB2312" w:eastAsia="仿宋_GB2312" w:cs="仿宋_GB2312"/>
                <w:color w:val="auto"/>
                <w:sz w:val="24"/>
              </w:rPr>
              <w:t>兼容火狐、谷歌浏览器。</w:t>
            </w:r>
          </w:p>
          <w:p w14:paraId="19DBEC7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2.系统前端采用流行的Html5框架BootStrap，实现跨浏览器和跨屏的兼容支持、响应式布局，实现B/S平台多终端适应。</w:t>
            </w:r>
          </w:p>
          <w:p w14:paraId="5F57BF2F">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3.系统支持主流数据库，如：MYSQL。数据库使用索引，保证数据库数据的唯一性，提高数据的搜索及检索速度，提高系统的性能。</w:t>
            </w:r>
          </w:p>
          <w:p w14:paraId="3B3224E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4.系统采用三层安全处理机制，JAVA的安全沙箱机制，防止恶意代码去干涉善意的代码，防止xss攻击和SQL注入，账号密码进行加密处理，敏感数据比如身份证</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手机号进行加密处理。</w:t>
            </w:r>
          </w:p>
          <w:p w14:paraId="78F8401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二、内容及功能要求</w:t>
            </w:r>
          </w:p>
          <w:p w14:paraId="4ED39EB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（一）内容要求</w:t>
            </w:r>
          </w:p>
          <w:p w14:paraId="3A8B6DE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1.系统需包含视觉营销设计、网络推广、网上交易管理、网络客户服务以及电子商务数据分析与应用五大工作领域，不少于10类工作任务，每个工作任务包含一到多个子任务。</w:t>
            </w:r>
          </w:p>
          <w:p w14:paraId="50CD655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2.系统应提供不同行业、不同类型、不同产品的多家公司店铺信息，增强学生面对不同情景的应对能力，从而培养学生跨领域不跨行业的综合能力。</w:t>
            </w:r>
          </w:p>
          <w:p w14:paraId="00604BB6">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3.系统需以真实数据、类似引擎</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接近算法方式模拟电子商务平台，通过虚拟资金解决网店运营推广资金短缺问题，通过直观营销效果解决结果模糊的问题。系统需实现虚拟仿真市场动态，打造动态的市场环境，推广模块采用人工智能技术模拟买家来产生点击</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购买行为。</w:t>
            </w:r>
          </w:p>
          <w:p w14:paraId="7E1D0D4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（二）功能要求</w:t>
            </w:r>
          </w:p>
          <w:p w14:paraId="5839CFA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1.学生端</w:t>
            </w:r>
          </w:p>
          <w:p w14:paraId="66EC487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★●（1）视觉营销设计工作领域，需提供PC端、移动端各两套装修模板。</w:t>
            </w:r>
            <w:r>
              <w:rPr>
                <w:rFonts w:hint="eastAsia" w:ascii="仿宋_GB2312" w:hAnsi="仿宋_GB2312" w:eastAsia="仿宋_GB2312" w:cs="仿宋_GB2312"/>
                <w:color w:val="auto"/>
                <w:sz w:val="24"/>
                <w:lang w:val="en-US" w:eastAsia="zh-CN"/>
              </w:rPr>
              <w:t>至少</w:t>
            </w:r>
            <w:r>
              <w:rPr>
                <w:rFonts w:hint="eastAsia" w:ascii="仿宋_GB2312" w:hAnsi="仿宋_GB2312" w:eastAsia="仿宋_GB2312" w:cs="仿宋_GB2312"/>
                <w:color w:val="auto"/>
                <w:sz w:val="24"/>
              </w:rPr>
              <w:t>包含PC端店铺首页排版与布局、PC端商品详情页排版与布局、移动端店铺首页排版与布局、移动端商品详情页排版与布局子任务。</w:t>
            </w:r>
            <w:r>
              <w:rPr>
                <w:rFonts w:hint="eastAsia" w:ascii="仿宋_GB2312" w:hAnsi="仿宋_GB2312" w:eastAsia="仿宋_GB2312" w:cs="仿宋_GB2312"/>
                <w:b/>
                <w:bCs/>
                <w:color w:val="auto"/>
                <w:sz w:val="24"/>
              </w:rPr>
              <w:t>（投标文件中需提供彩页、官网或功能截图等其中任意一项并加盖投标人</w:t>
            </w:r>
            <w:r>
              <w:rPr>
                <w:rFonts w:ascii="仿宋_GB2312" w:hAnsi="仿宋_GB2312" w:eastAsia="仿宋_GB2312" w:cs="仿宋_GB2312"/>
                <w:b/>
                <w:bCs/>
                <w:color w:val="auto"/>
                <w:sz w:val="24"/>
              </w:rPr>
              <w:t>CA电子签章</w:t>
            </w:r>
            <w:r>
              <w:rPr>
                <w:rFonts w:hint="eastAsia" w:ascii="仿宋_GB2312" w:hAnsi="仿宋_GB2312" w:eastAsia="仿宋_GB2312" w:cs="仿宋_GB2312"/>
                <w:b/>
                <w:bCs/>
                <w:color w:val="auto"/>
                <w:sz w:val="24"/>
              </w:rPr>
              <w:t>）</w:t>
            </w:r>
          </w:p>
          <w:p w14:paraId="0CE5AA5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（2）店铺装修界面内置页面模块具有拖拽功能，学生根据任务要求将所需模块放置在指定区域内进行装修设计，同时系统在每个页面模块设有提示悬浮框，可帮助学生在选择模块时能查看模块所支持的内容。</w:t>
            </w:r>
          </w:p>
          <w:p w14:paraId="391D6A8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PC端页面模块应有且不限于：店铺招牌、导航栏、客服中心、宝贝分类、宝贝排行榜、宝贝搜索、宝贝推荐、图片轮播、自定义区、店铺公告。</w:t>
            </w:r>
          </w:p>
          <w:p w14:paraId="4E6DCFE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（3）移动端页面模块应有且不限于：单图陈列模块、双图陈列模块、三图陈列模块、人群智能导购、猜你喜欢、优惠券模块、裂变优惠券、电梯、轮播图模块、辅助线模块、标题模块、文本模块、视频模块。</w:t>
            </w:r>
          </w:p>
          <w:p w14:paraId="3A753153">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（4）网络推广工作领域，应包含SEO优化、SEM推广、信息流推广3类工作任务，能够模拟网店推广职业岗位基本工作内容与业务流程，模拟电子商务网店站内对不同类型的商品分别进行推广。</w:t>
            </w:r>
          </w:p>
          <w:p w14:paraId="0233297C">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（5）数据分析功能：分析数据包括店铺宝贝、关键词分析、流量解析、钻展出价分析。</w:t>
            </w:r>
          </w:p>
          <w:p w14:paraId="185D18E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（6）店铺宝贝：商品的标题、属性、类目、描述、推广前展现量、推广前点击量、推广前点击率、推广前的成交量、推广前转化率。</w:t>
            </w:r>
          </w:p>
          <w:p w14:paraId="2A6E9DF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（7）关键词分析：行业关键词的搜索人气、点击率、转化率、竞争指数；以搜索关键词的形式查看此关键词或此关键词的相关关键词的搜索人气、点击率、转化率、竞争指数。</w:t>
            </w:r>
          </w:p>
          <w:p w14:paraId="512237C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（8）流量解析：通过类目搜索查看各类目的地区流量展现指数，包括地图样式与文字样式两种；显示往期店铺广告展位平均展现量。</w:t>
            </w:r>
          </w:p>
          <w:p w14:paraId="76E68ED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（9）钻展出价分析：提供店铺展位和宝贝展位按CPC或CPM出价的最低出价与平均出价、建议出价查询功能。</w:t>
            </w:r>
          </w:p>
          <w:p w14:paraId="42AE2DBC">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★●（10）网上交易管理工作领域。应包含客户画像分析、交易评价分析、销售报表制作、采购计划制定4类工作任务。</w:t>
            </w:r>
            <w:r>
              <w:rPr>
                <w:rFonts w:hint="eastAsia" w:ascii="仿宋_GB2312" w:hAnsi="仿宋_GB2312" w:eastAsia="仿宋_GB2312" w:cs="仿宋_GB2312"/>
                <w:b/>
                <w:bCs/>
                <w:color w:val="auto"/>
                <w:sz w:val="24"/>
              </w:rPr>
              <w:t>（投标文件中需提供彩页、官网或功能截图等其中任意一项并加盖投标人</w:t>
            </w:r>
            <w:r>
              <w:rPr>
                <w:rFonts w:ascii="仿宋_GB2312" w:hAnsi="仿宋_GB2312" w:eastAsia="仿宋_GB2312" w:cs="仿宋_GB2312"/>
                <w:b/>
                <w:bCs/>
                <w:color w:val="auto"/>
                <w:sz w:val="24"/>
              </w:rPr>
              <w:t>CA电子签章</w:t>
            </w:r>
            <w:r>
              <w:rPr>
                <w:rFonts w:hint="eastAsia" w:ascii="仿宋_GB2312" w:hAnsi="仿宋_GB2312" w:eastAsia="仿宋_GB2312" w:cs="仿宋_GB2312"/>
                <w:b/>
                <w:bCs/>
                <w:color w:val="auto"/>
                <w:sz w:val="24"/>
              </w:rPr>
              <w:t>）</w:t>
            </w:r>
          </w:p>
          <w:p w14:paraId="6714B3F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r>
              <w:rPr>
                <w:rFonts w:hint="eastAsia" w:ascii="仿宋_GB2312" w:hAnsi="仿宋_GB2312" w:eastAsia="仿宋_GB2312" w:cs="仿宋_GB2312"/>
                <w:color w:val="auto"/>
                <w:sz w:val="24"/>
                <w:u w:val="single"/>
              </w:rPr>
              <w:t>网络客户服务工作领域。应包含社群建立、社群邀新、社群运营、客户活动运营4类工作任务，系统采用相同UI界面设计及逆行仿真模拟。</w:t>
            </w:r>
          </w:p>
          <w:p w14:paraId="009FAD8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★●（12）电子商务数据分析与应用工作领域。包含商务数据统计与分析、数据报表设计与制作2类工作任务。（</w:t>
            </w:r>
            <w:r>
              <w:rPr>
                <w:rFonts w:hint="eastAsia" w:ascii="仿宋_GB2312" w:hAnsi="仿宋_GB2312" w:eastAsia="仿宋_GB2312" w:cs="仿宋_GB2312"/>
                <w:b/>
                <w:bCs/>
                <w:color w:val="auto"/>
                <w:sz w:val="24"/>
              </w:rPr>
              <w:t>投标文件中需提供彩页、官网或功能截图等其中任意一项并加盖投标人CA电子签章</w:t>
            </w:r>
            <w:r>
              <w:rPr>
                <w:rFonts w:hint="eastAsia" w:ascii="仿宋_GB2312" w:hAnsi="仿宋_GB2312" w:eastAsia="仿宋_GB2312" w:cs="仿宋_GB2312"/>
                <w:color w:val="auto"/>
                <w:sz w:val="24"/>
              </w:rPr>
              <w:t>）</w:t>
            </w:r>
          </w:p>
          <w:p w14:paraId="2E8843A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（13）任务完成后，学生端提供任务成绩展示。客观任务会直接显示得分和任务操作内容系统判断的对比结果；主观任务在教师评阅后会显示相关得分。</w:t>
            </w:r>
          </w:p>
          <w:p w14:paraId="7225D5D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（14）学生端的每个实训任务都可通过重置任务进行反复训练。</w:t>
            </w:r>
          </w:p>
          <w:p w14:paraId="4E3069B2">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（15）学生端每个任务都应有详细的任务说明，包含明确的任务目标、任务背景以及详细的任务分析和任务操作。</w:t>
            </w:r>
          </w:p>
          <w:p w14:paraId="0C29E5A9">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★●（16）学生端首页界面应设有课程状态栏，分为全部、进行中、未开始</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已完成四种状态，以及继续任务和开始任务两种任务指令，学生可通过不同状态快速查看自己的学习状态以及学习进度。</w:t>
            </w:r>
            <w:r>
              <w:rPr>
                <w:rFonts w:hint="eastAsia" w:ascii="仿宋_GB2312" w:hAnsi="仿宋_GB2312" w:eastAsia="仿宋_GB2312" w:cs="仿宋_GB2312"/>
                <w:b/>
                <w:bCs/>
                <w:color w:val="auto"/>
                <w:sz w:val="24"/>
              </w:rPr>
              <w:t>（投标文件中需提供彩页、官网或功能截图等其中任意一项并加盖投标人CA电子签章）</w:t>
            </w:r>
          </w:p>
          <w:p w14:paraId="65DC096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（17）学生端每个任务都有学习资源，通过学习资源可自主学习任务相关知识。</w:t>
            </w:r>
          </w:p>
          <w:p w14:paraId="2843851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（18）学生端应支持各数据表的Excel导出功能。</w:t>
            </w:r>
          </w:p>
          <w:p w14:paraId="120ACBA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2.教师端</w:t>
            </w:r>
          </w:p>
          <w:p w14:paraId="2978211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（1）学生管理</w:t>
            </w:r>
          </w:p>
          <w:p w14:paraId="526E3B0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系统支持对学生账号进行管理，支持添加单个添加、批量添加、模板导入学生信息，开放与关闭学生账号，初始化数据，设置推广时间，设置学生延时，删除学生帐号，以及初始化密码。</w:t>
            </w:r>
          </w:p>
          <w:p w14:paraId="1B338D16">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应支持清除经营数据，初始化数据。</w:t>
            </w:r>
          </w:p>
          <w:p w14:paraId="69EFAF71">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应支持输入账号或名称的精准检索功能。</w:t>
            </w:r>
          </w:p>
          <w:p w14:paraId="4E313B1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具有设置“学生端可自行初始化”权限。</w:t>
            </w:r>
          </w:p>
          <w:p w14:paraId="506154C2">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（2）题库管理</w:t>
            </w:r>
          </w:p>
          <w:p w14:paraId="2B0DD3A3">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教师端能够进行题库管理，可以按照实训需求，分配实训店铺。可以根据系统内置的公司店铺信息提供不同的背景资料、应用场景、统计数据。</w:t>
            </w:r>
          </w:p>
          <w:p w14:paraId="574E5DF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（3）实训控制</w:t>
            </w:r>
          </w:p>
          <w:p w14:paraId="1D88F12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教师端应支持修改推广现金、系统随机值，控制是否开始实训。</w:t>
            </w:r>
          </w:p>
          <w:p w14:paraId="1FC9DE7C">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（4）评阅结果</w:t>
            </w:r>
          </w:p>
          <w:p w14:paraId="643C4B8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系统应具备主观评分、客观评分两种评分方式。教师可以查看每个学生每个任务的总得分以及主观得分、客观得分情况。</w:t>
            </w:r>
          </w:p>
          <w:p w14:paraId="29030D0A">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5）直通车报告：教师可以查看每个学生在SEM推广相关任务中创建的所有推广计划，并对每个推广计划中每个推广单元的推广词、进店词、搜索词进行分析。可以展现每个推广计划的限额、花费、展现量、点击量、点击率、成交量、成交率，每个关键词的质量分、花费、展现量、点击量、点击率、成交量、成交率。（</w:t>
            </w:r>
            <w:r>
              <w:rPr>
                <w:rFonts w:hint="eastAsia" w:ascii="仿宋_GB2312" w:hAnsi="仿宋_GB2312" w:eastAsia="仿宋_GB2312" w:cs="仿宋_GB2312"/>
                <w:b/>
                <w:bCs/>
                <w:color w:val="auto"/>
                <w:sz w:val="24"/>
              </w:rPr>
              <w:t>投标文件中需提供彩页、官网或功能截图等其中任意一项并加盖投标人CA电子签章）</w:t>
            </w:r>
          </w:p>
          <w:p w14:paraId="7025942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r>
              <w:rPr>
                <w:rFonts w:hint="eastAsia" w:ascii="仿宋_GB2312" w:hAnsi="仿宋_GB2312" w:eastAsia="仿宋_GB2312" w:cs="仿宋_GB2312"/>
                <w:color w:val="auto"/>
                <w:sz w:val="24"/>
                <w:u w:val="single"/>
              </w:rPr>
              <w:t>钻展报告：教师可以查看每个学生在信息流推广相关任务中创建的所有推广计划，并对每个推广计划中的人群进行分析。可以展现每个推广计划的限额、花费、展现量、点击量、点击率、成交量、成交率，每个推广单元下各定向人群的行为/标签、产品、出价、人群数量、展现量 、点击量、点击率、成交量、成交率、花费、平均花费。</w:t>
            </w:r>
          </w:p>
          <w:p w14:paraId="3AAB91A4">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标题优化报告</w:t>
            </w:r>
          </w:p>
          <w:p w14:paraId="2ECA63E6">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r>
              <w:rPr>
                <w:rFonts w:hint="eastAsia" w:ascii="仿宋_GB2312" w:hAnsi="仿宋_GB2312" w:eastAsia="仿宋_GB2312" w:cs="仿宋_GB2312"/>
                <w:color w:val="auto"/>
                <w:sz w:val="24"/>
                <w:u w:val="single"/>
              </w:rPr>
              <w:t>教师可以查看每个学生在SEO优化相关任务中每个产品的标题优化结果，并生成关键词报告。其中包含每个关键词的产品排名、产品推广前的点击量、产品推广后的点击量、产品推广前的成交量、产品推广后的成交量、关键词的覆盖指数、产品基础得分、产品流量增量得分、标题关键词覆盖得分、总得分。</w:t>
            </w:r>
          </w:p>
          <w:p w14:paraId="4823B984">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（8）学生成绩</w:t>
            </w:r>
          </w:p>
          <w:p w14:paraId="60978C72">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教师端可查阅每个学生的实训课程总得分以及每个模块的得分详情。</w:t>
            </w:r>
          </w:p>
          <w:p w14:paraId="01F30F6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（9）在线账号</w:t>
            </w:r>
          </w:p>
          <w:p w14:paraId="27B9D7CD">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教师端能够查看在线账号信息，查看登录用户的班级、帐号、昵称、登录IP，并可以将其踢出或清除缓存。</w:t>
            </w:r>
          </w:p>
          <w:p w14:paraId="5C42CE7F">
            <w:pPr>
              <w:spacing w:line="400" w:lineRule="exac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w:t>
            </w:r>
            <w:r>
              <w:rPr>
                <w:rFonts w:hint="eastAsia" w:ascii="仿宋_GB2312" w:hAnsi="仿宋_GB2312" w:eastAsia="仿宋_GB2312" w:cs="仿宋_GB2312"/>
                <w:b/>
                <w:bCs/>
                <w:color w:val="auto"/>
                <w:sz w:val="24"/>
              </w:rPr>
              <w:t>三、其他要求：</w:t>
            </w:r>
          </w:p>
          <w:p w14:paraId="6EFF6D88">
            <w:pPr>
              <w:numPr>
                <w:ilvl w:val="0"/>
                <w:numId w:val="0"/>
              </w:numPr>
              <w:spacing w:line="400" w:lineRule="exact"/>
              <w:rPr>
                <w:rFonts w:hint="eastAsia" w:ascii="仿宋_GB2312" w:hAnsi="仿宋_GB2312" w:eastAsia="仿宋_GB2312" w:cs="仿宋_GB2312"/>
                <w:b/>
                <w:bCs/>
                <w:color w:val="auto"/>
                <w:sz w:val="24"/>
              </w:rPr>
            </w:pPr>
            <w:r>
              <w:rPr>
                <w:rFonts w:hint="eastAsia" w:ascii="仿宋_GB2312" w:eastAsia="仿宋_GB2312"/>
                <w:color w:val="auto"/>
              </w:rPr>
              <w:t>◆</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lang w:val="en-US" w:eastAsia="zh-CN"/>
              </w:rPr>
              <w:t>一</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rPr>
              <w:t>系统与人社电子商务师赛项竞赛内容匹配（详见附件1），满足教学实训、竞赛备赛要求，</w:t>
            </w:r>
            <w:r>
              <w:rPr>
                <w:rFonts w:hint="eastAsia" w:ascii="仿宋_GB2312" w:hAnsi="仿宋_GB2312" w:eastAsia="仿宋_GB2312" w:cs="仿宋_GB2312"/>
                <w:b/>
                <w:bCs/>
                <w:color w:val="auto"/>
                <w:sz w:val="24"/>
              </w:rPr>
              <w:t>投标人须在投标文件中提供承诺函（格式自拟）；</w:t>
            </w:r>
          </w:p>
          <w:p w14:paraId="62F1BC29">
            <w:pPr>
              <w:numPr>
                <w:ilvl w:val="-1"/>
                <w:numId w:val="0"/>
              </w:num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■（二）投标人在投标文件中需提供拟投入项目人员清单</w:t>
            </w:r>
            <w:r>
              <w:rPr>
                <w:rFonts w:hint="eastAsia" w:ascii="仿宋_GB2312" w:hAnsi="仿宋_GB2312" w:eastAsia="仿宋_GB2312" w:cs="仿宋_GB2312"/>
                <w:b/>
                <w:bCs/>
                <w:color w:val="auto"/>
                <w:sz w:val="24"/>
                <w:lang w:eastAsia="zh-CN"/>
              </w:rPr>
              <w:t>（包括项目实施人员和售后服务人员）</w:t>
            </w:r>
            <w:r>
              <w:rPr>
                <w:rFonts w:hint="eastAsia" w:ascii="仿宋_GB2312" w:hAnsi="仿宋_GB2312" w:eastAsia="仿宋_GB2312" w:cs="仿宋_GB2312"/>
                <w:b/>
                <w:bCs/>
                <w:color w:val="auto"/>
                <w:sz w:val="24"/>
              </w:rPr>
              <w:t>。</w:t>
            </w:r>
          </w:p>
          <w:p w14:paraId="7959EDD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★四、签订合同之前需再次查验投标文件中所需提供的证明文件，如出现所提供的证明文件不符合招标要求的情况，则视为虚假应标，采购人有权依法追究法律责任，并上报政府采购监督部门。</w:t>
            </w:r>
          </w:p>
          <w:p w14:paraId="1B26C253">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★五、系统供应商必须免费开放系统并免费提供对接服务，免费提供对接技术方面的培训。</w:t>
            </w:r>
          </w:p>
        </w:tc>
        <w:tc>
          <w:tcPr>
            <w:tcW w:w="815" w:type="dxa"/>
            <w:vAlign w:val="center"/>
          </w:tcPr>
          <w:p w14:paraId="4A96A2F6">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kern w:val="0"/>
                <w:sz w:val="24"/>
              </w:rPr>
              <w:t>套</w:t>
            </w:r>
          </w:p>
        </w:tc>
      </w:tr>
      <w:tr w14:paraId="2CE1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75" w:type="dxa"/>
            <w:vAlign w:val="center"/>
          </w:tcPr>
          <w:p w14:paraId="546B7C6A">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975" w:type="dxa"/>
            <w:vAlign w:val="center"/>
          </w:tcPr>
          <w:p w14:paraId="71134295">
            <w:pPr>
              <w:spacing w:line="400" w:lineRule="exact"/>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互联网营销师赛证融通系统</w:t>
            </w:r>
          </w:p>
        </w:tc>
        <w:tc>
          <w:tcPr>
            <w:tcW w:w="7444" w:type="dxa"/>
            <w:vAlign w:val="center"/>
          </w:tcPr>
          <w:p w14:paraId="5CBBEE6C">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一、总体要求</w:t>
            </w:r>
          </w:p>
          <w:p w14:paraId="40C2C9D2">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（一）教师端功能要求</w:t>
            </w:r>
          </w:p>
          <w:p w14:paraId="109CBF24">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1、教师账号应至少具备账号管理、开启任务、评分管理功能。</w:t>
            </w:r>
          </w:p>
          <w:p w14:paraId="463EE426">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2、教师账号支持完整的教学过程管理功能，包括班级管理、学生管理、班级任务管理、学情分析，支持查看任务得分、调整任务时长与状态。</w:t>
            </w:r>
          </w:p>
          <w:p w14:paraId="5C532249">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3、教师账号支持多班级管理，包括创建多个班级、多个班级可根据教学需求和进度分配不同的实训任务、按照不同的班级进行学情分析。</w:t>
            </w:r>
          </w:p>
          <w:p w14:paraId="099C516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4、教师账号可以自由添加、删除、修改班级信息，初始化班级数据；支持学生账号单独、批量添加两种方式；支持学生数据的初始化。</w:t>
            </w:r>
          </w:p>
          <w:p w14:paraId="7CBB1FD6">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5、教师账号提供学情分析内容，包含任务分析、成绩分析两种分析维度。任务分析呈现每个任务应完成人数、已完成人数、完成度；成绩分析呈现学生的成绩分布、排名、学生姓名、主观分、客观分、总分。</w:t>
            </w:r>
          </w:p>
          <w:p w14:paraId="4C1CE23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6、对于客观得分的任务，在学生完成提交后，系统可以自动判断给出得分，同时教师账号支持查看得分详情。</w:t>
            </w:r>
          </w:p>
          <w:p w14:paraId="63A41F99">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7、系统支持教师查看学生实训成绩，并通过excel导出成绩。</w:t>
            </w:r>
          </w:p>
          <w:p w14:paraId="623B835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（二）学生端功能要求</w:t>
            </w:r>
          </w:p>
          <w:p w14:paraId="195560A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营销推广部分：推广资金及投放对象，根据给定的背景资料，分析图文内容和视频内容，确定目标受众群体，通过人群标签圈定目标受众，以付费推广方式获得图文、视频在不同广告位置的强势展现机会，增加展现量和点击量，将信息传递给目标受众，促进商业价值变现。</w:t>
            </w:r>
          </w:p>
          <w:p w14:paraId="18B3857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2、学生账号应提供模拟企业的公司简介、商品信息、视频和图文推广素材。</w:t>
            </w:r>
          </w:p>
          <w:p w14:paraId="38D5441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3、平台应提供虚拟资金，所有学生虚拟资金相同。</w:t>
            </w:r>
          </w:p>
          <w:p w14:paraId="24133B1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r>
              <w:rPr>
                <w:rFonts w:hint="eastAsia" w:ascii="仿宋_GB2312" w:hAnsi="仿宋_GB2312" w:eastAsia="仿宋_GB2312" w:cs="仿宋_GB2312"/>
                <w:color w:val="auto"/>
                <w:sz w:val="24"/>
                <w:u w:val="single"/>
              </w:rPr>
              <w:t>平台要提供数据分析功能，提供所需要的行业人群分析数据，包括地域、时间段、人群年龄及性别属性、兴趣行为分布、APP行为分布数据。</w:t>
            </w:r>
          </w:p>
          <w:p w14:paraId="51890E4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5、平台应提供图文推广和视频推广功能。</w:t>
            </w:r>
          </w:p>
          <w:p w14:paraId="7AAE99D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6、推广过程中要包含新建广告组、新建广告计划、新建创意。</w:t>
            </w:r>
          </w:p>
          <w:p w14:paraId="6F93099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7、新建广告组要包括设置账户预算、设置广告组名称。</w:t>
            </w:r>
          </w:p>
          <w:p w14:paraId="63D1F682">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★●8、新建广告计划包括选择投放的视频或图文、设置广告受众、设置广告预算和出价、设置广告计划名称。</w:t>
            </w:r>
            <w:r>
              <w:rPr>
                <w:rFonts w:hint="eastAsia" w:ascii="仿宋_GB2312" w:hAnsi="仿宋_GB2312" w:eastAsia="仿宋_GB2312" w:cs="仿宋_GB2312"/>
                <w:b/>
                <w:bCs/>
                <w:color w:val="auto"/>
                <w:sz w:val="24"/>
              </w:rPr>
              <w:t>（投标文件中需提供彩页、官网或功能截图等其中任意一项并加盖投标人CA电子签章）</w:t>
            </w:r>
          </w:p>
          <w:p w14:paraId="6D1E675E">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★●9、设置广告受众要包括从地域、性别、年龄、兴趣分类、兴趣关键词、平台、APP行为、手机品牌、网络</w:t>
            </w:r>
            <w:r>
              <w:rPr>
                <w:rFonts w:hint="eastAsia" w:ascii="仿宋_GB2312" w:hAnsi="仿宋_GB2312" w:eastAsia="仿宋_GB2312" w:cs="仿宋_GB2312"/>
                <w:color w:val="auto"/>
                <w:sz w:val="24"/>
                <w:lang w:val="en-US" w:eastAsia="zh-CN"/>
              </w:rPr>
              <w:t>和</w:t>
            </w:r>
            <w:r>
              <w:rPr>
                <w:rFonts w:hint="eastAsia" w:ascii="仿宋_GB2312" w:hAnsi="仿宋_GB2312" w:eastAsia="仿宋_GB2312" w:cs="仿宋_GB2312"/>
                <w:color w:val="auto"/>
                <w:sz w:val="24"/>
              </w:rPr>
              <w:t>运营商不同维度定位目标受众。</w:t>
            </w:r>
            <w:r>
              <w:rPr>
                <w:rFonts w:hint="eastAsia" w:ascii="仿宋_GB2312" w:hAnsi="仿宋_GB2312" w:eastAsia="仿宋_GB2312" w:cs="仿宋_GB2312"/>
                <w:b/>
                <w:bCs/>
                <w:color w:val="auto"/>
                <w:sz w:val="24"/>
              </w:rPr>
              <w:t>（投标文件中需提供彩页、官网或功能截图等其中任意一项并加盖投标人CA电子签章）</w:t>
            </w:r>
          </w:p>
          <w:p w14:paraId="1687AF4A">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★●10、广告预算和出价包括设置广告预算、投放时段、投放目标、付费方式和出价，其中投放时段要具体到星期一到星期日每一天的具体24个时间点。</w:t>
            </w:r>
            <w:r>
              <w:rPr>
                <w:rFonts w:hint="eastAsia" w:ascii="仿宋_GB2312" w:hAnsi="仿宋_GB2312" w:eastAsia="仿宋_GB2312" w:cs="仿宋_GB2312"/>
                <w:b/>
                <w:bCs/>
                <w:color w:val="auto"/>
                <w:sz w:val="24"/>
              </w:rPr>
              <w:t>（投标文件中需提供彩页、官网或功能截图等其中任意一项并加盖投标人CA电子签章）</w:t>
            </w:r>
          </w:p>
          <w:p w14:paraId="439DB7F4">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11、设置创意要包括投放位置设置、制作创意、设置创意分类和标签。</w:t>
            </w:r>
          </w:p>
          <w:p w14:paraId="5A26DB14">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12、推广结束后，平台能够自动计算广告组、广告计划的效果数据，包括花费、展示数和点击数据和无效展现、无效点击数据，学生账户预算、广告受众、出价、创意设置不同，能够获得的展示数和点击数也不相同。</w:t>
            </w:r>
            <w:r>
              <w:rPr>
                <w:rFonts w:hint="eastAsia" w:ascii="仿宋_GB2312" w:hAnsi="仿宋_GB2312" w:eastAsia="仿宋_GB2312" w:cs="仿宋_GB2312"/>
                <w:b/>
                <w:bCs/>
                <w:color w:val="auto"/>
                <w:sz w:val="24"/>
              </w:rPr>
              <w:t>（投标文件中需提供彩页、官网或功能截图等其中任意一项并加盖投标人CA电子签章）</w:t>
            </w:r>
          </w:p>
          <w:p w14:paraId="1CC47A25">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13、推广结束后，平台要提供营销报表数据，平台需要根据学生的效果数据通过报表的形式提供不同广告组、广告计划的展示数和点击数的时间趋势、地域分布、人群属性分布、兴趣分布、兴趣关键词分布、目标受众APP行为分布。（</w:t>
            </w:r>
            <w:r>
              <w:rPr>
                <w:rFonts w:hint="eastAsia" w:ascii="仿宋_GB2312" w:hAnsi="仿宋_GB2312" w:eastAsia="仿宋_GB2312" w:cs="仿宋_GB2312"/>
                <w:b/>
                <w:bCs/>
                <w:color w:val="auto"/>
                <w:sz w:val="24"/>
              </w:rPr>
              <w:t>投标文件中需提供彩页、官网或功能截图等其中任意一项并加盖投标人CA电子签章）</w:t>
            </w:r>
          </w:p>
          <w:p w14:paraId="72A1547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14、学生账号关联配套教学资源，每个实训任务都设置对应教学资源，一对一针对性引导实训，方便学习。</w:t>
            </w:r>
          </w:p>
          <w:p w14:paraId="27FAEB0B">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15、学生账号内置的实训任务有明确的引导，包括任务目标、任务背景、任务要求</w:t>
            </w:r>
            <w:r>
              <w:rPr>
                <w:rFonts w:hint="eastAsia" w:ascii="仿宋_GB2312" w:hAnsi="仿宋_GB2312" w:eastAsia="仿宋_GB2312" w:cs="仿宋_GB2312"/>
                <w:color w:val="auto"/>
                <w:sz w:val="24"/>
                <w:lang w:val="en-US" w:eastAsia="zh-CN"/>
              </w:rPr>
              <w:t>的</w:t>
            </w:r>
            <w:r>
              <w:rPr>
                <w:rFonts w:hint="eastAsia" w:ascii="仿宋_GB2312" w:hAnsi="仿宋_GB2312" w:eastAsia="仿宋_GB2312" w:cs="仿宋_GB2312"/>
                <w:color w:val="auto"/>
                <w:sz w:val="24"/>
              </w:rPr>
              <w:t>内容，在任务操作页面有操作步骤指引，将整体任务颗粒化，引导学生一步步克服困难，完成任务。</w:t>
            </w:r>
          </w:p>
          <w:p w14:paraId="5DDA9C24">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16、系统提供丰富的宣传供应商数据，学生可以筛选供应商，组建供应商库，并对供应商等级进行评估。</w:t>
            </w:r>
          </w:p>
          <w:p w14:paraId="4058BE0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17、学生账号内置丰富的免费宣传渠道及方式、付费宣传渠道及方式，学生通过评估对比不同宣传渠道及方式的相关数据，规划宣传渠道及方式组合。</w:t>
            </w:r>
          </w:p>
          <w:p w14:paraId="6DC9834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18、学生账号支持针对不同岗位建立风险管理制度，并根据风险事件选择合适的风险奖惩处理措施。</w:t>
            </w:r>
          </w:p>
          <w:p w14:paraId="039E6B2C">
            <w:pPr>
              <w:pStyle w:val="32"/>
              <w:spacing w:line="4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19.系统包含数字化营销软件功能，具备seo搜索引擎营销模拟功能，可进行关键词搜索投放模拟。</w:t>
            </w:r>
          </w:p>
          <w:p w14:paraId="11774AE2">
            <w:pPr>
              <w:pStyle w:val="32"/>
              <w:spacing w:line="4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20.系统包含数据分析软件功能，内置3套题库以及对应数据包让学生进行分析。系统有配备数据可视化界面以及图标设计功能。</w:t>
            </w:r>
          </w:p>
          <w:p w14:paraId="1610D606">
            <w:pPr>
              <w:pStyle w:val="32"/>
              <w:spacing w:line="4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21.系统包含客户数据分析软件功能，包括用户行为、消费数据、会员信息数据</w:t>
            </w:r>
            <w:r>
              <w:rPr>
                <w:rFonts w:hint="eastAsia" w:ascii="仿宋_GB2312" w:hAnsi="仿宋_GB2312" w:eastAsia="仿宋_GB2312" w:cs="仿宋_GB2312"/>
                <w:color w:val="auto"/>
                <w:sz w:val="24"/>
                <w:szCs w:val="24"/>
                <w:lang w:val="en-US" w:eastAsia="zh-CN"/>
              </w:rPr>
              <w:t>的</w:t>
            </w:r>
            <w:r>
              <w:rPr>
                <w:rFonts w:hint="eastAsia" w:ascii="仿宋_GB2312" w:hAnsi="仿宋_GB2312" w:eastAsia="仿宋_GB2312" w:cs="仿宋_GB2312"/>
                <w:color w:val="auto"/>
                <w:sz w:val="24"/>
                <w:szCs w:val="24"/>
              </w:rPr>
              <w:t>数据包，以及常用分析软件与工具，辅助开展智能客户分析、决策与服务教学。</w:t>
            </w:r>
          </w:p>
          <w:p w14:paraId="25814F95">
            <w:pPr>
              <w:pStyle w:val="32"/>
              <w:spacing w:line="4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22、系统要针对每个实训任务提供清晰的任务详情，任务详情可供学生了解详细的实训要求，包括明确的任务目标、任务背景、操作步骤。</w:t>
            </w:r>
          </w:p>
          <w:p w14:paraId="6F1D7B9C">
            <w:pPr>
              <w:pStyle w:val="32"/>
              <w:spacing w:line="4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★23、系统需支持运用BI工具，具备使用BI工具进行商务大数据分析的功能。</w:t>
            </w:r>
          </w:p>
          <w:p w14:paraId="04FED39D">
            <w:pPr>
              <w:pStyle w:val="32"/>
              <w:spacing w:line="400" w:lineRule="exact"/>
              <w:rPr>
                <w:rFonts w:ascii="仿宋_GB2312" w:hAnsi="仿宋_GB2312" w:eastAsia="仿宋_GB2312" w:cs="仿宋_GB2312"/>
                <w:color w:val="auto"/>
                <w:sz w:val="24"/>
                <w:szCs w:val="24"/>
                <w:u w:val="single"/>
              </w:rPr>
            </w:pPr>
            <w:r>
              <w:rPr>
                <w:rFonts w:hint="eastAsia" w:ascii="仿宋_GB2312" w:hAnsi="仿宋_GB2312" w:eastAsia="仿宋_GB2312" w:cs="仿宋_GB2312"/>
                <w:color w:val="auto"/>
                <w:sz w:val="24"/>
                <w:szCs w:val="24"/>
                <w:u w:val="single"/>
              </w:rPr>
              <w:t>（1）系统需提供数据源处理工具，学生可对内置数据集数据进行处理。进行数据关联时，具有左连接、右连接、全连接、内连接</w:t>
            </w:r>
            <w:r>
              <w:rPr>
                <w:rFonts w:hint="eastAsia" w:ascii="仿宋_GB2312" w:hAnsi="仿宋_GB2312" w:eastAsia="仿宋_GB2312" w:cs="仿宋_GB2312"/>
                <w:color w:val="auto"/>
                <w:sz w:val="24"/>
                <w:szCs w:val="24"/>
                <w:u w:val="single"/>
                <w:lang w:val="en-US" w:eastAsia="zh-CN"/>
              </w:rPr>
              <w:t>和</w:t>
            </w:r>
            <w:r>
              <w:rPr>
                <w:rFonts w:hint="eastAsia" w:ascii="仿宋_GB2312" w:hAnsi="仿宋_GB2312" w:eastAsia="仿宋_GB2312" w:cs="仿宋_GB2312"/>
                <w:color w:val="auto"/>
                <w:sz w:val="24"/>
                <w:szCs w:val="24"/>
                <w:u w:val="single"/>
              </w:rPr>
              <w:t>合并</w:t>
            </w:r>
            <w:r>
              <w:rPr>
                <w:rFonts w:hint="eastAsia" w:ascii="仿宋_GB2312" w:hAnsi="仿宋_GB2312" w:eastAsia="仿宋_GB2312" w:cs="仿宋_GB2312"/>
                <w:color w:val="auto"/>
                <w:sz w:val="24"/>
                <w:szCs w:val="24"/>
                <w:u w:val="single"/>
                <w:lang w:val="en-US" w:eastAsia="zh-CN"/>
              </w:rPr>
              <w:t>的</w:t>
            </w:r>
            <w:r>
              <w:rPr>
                <w:rFonts w:hint="eastAsia" w:ascii="仿宋_GB2312" w:hAnsi="仿宋_GB2312" w:eastAsia="仿宋_GB2312" w:cs="仿宋_GB2312"/>
                <w:color w:val="auto"/>
                <w:sz w:val="24"/>
                <w:szCs w:val="24"/>
                <w:u w:val="single"/>
              </w:rPr>
              <w:t>选择。</w:t>
            </w:r>
          </w:p>
          <w:p w14:paraId="52D75E71">
            <w:pPr>
              <w:pStyle w:val="32"/>
              <w:spacing w:line="4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系统具有数据过滤器功能，帮助排除分析过程中不关心或不正确的数据的干扰，将注意力聚焦在关键数据上。用户可以根据特定需求创建自定义的计算字段或者将现有字段进行组合、运算，从而得到更加精确和有意义的分析结果。</w:t>
            </w:r>
            <w:r>
              <w:rPr>
                <w:rFonts w:hint="eastAsia" w:ascii="仿宋_GB2312" w:hAnsi="仿宋_GB2312" w:eastAsia="仿宋_GB2312" w:cs="仿宋_GB2312"/>
                <w:b/>
                <w:bCs/>
                <w:color w:val="auto"/>
                <w:sz w:val="24"/>
                <w:szCs w:val="24"/>
              </w:rPr>
              <w:t>（投标文件中需提供彩页、官网或功能截图等其中任意一项并加盖投标人CA电子签章）</w:t>
            </w:r>
          </w:p>
          <w:p w14:paraId="08F77020">
            <w:pPr>
              <w:pStyle w:val="32"/>
              <w:spacing w:line="4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（3）系统支持按照用户定义的规则对数据进行分组，使得用户可以更加方便地进行数据汇总和对比分析。系统内置组件涵盖图表组件、模型组件两类，支持不同组件搭配使用。</w:t>
            </w:r>
          </w:p>
          <w:p w14:paraId="63388FAD">
            <w:pPr>
              <w:pStyle w:val="32"/>
              <w:spacing w:line="4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（4）图表支持添加饼状图、环形饼图、簇状柱形图、簇状条形图、堆积柱形图、堆积条形图、折线图、曲线图</w:t>
            </w:r>
            <w:r>
              <w:rPr>
                <w:rFonts w:hint="eastAsia" w:ascii="仿宋_GB2312" w:hAnsi="仿宋_GB2312" w:eastAsia="仿宋_GB2312" w:cs="仿宋_GB2312"/>
                <w:color w:val="auto"/>
                <w:sz w:val="24"/>
                <w:szCs w:val="24"/>
                <w:lang w:val="en-US" w:eastAsia="zh-CN"/>
              </w:rPr>
              <w:t>和</w:t>
            </w:r>
            <w:r>
              <w:rPr>
                <w:rFonts w:hint="eastAsia" w:ascii="仿宋_GB2312" w:hAnsi="仿宋_GB2312" w:eastAsia="仿宋_GB2312" w:cs="仿宋_GB2312"/>
                <w:color w:val="auto"/>
                <w:sz w:val="24"/>
                <w:szCs w:val="24"/>
              </w:rPr>
              <w:t>词云图表类型。</w:t>
            </w:r>
          </w:p>
          <w:p w14:paraId="3A477B9F">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（5）系统支持对组件库的设计效果进行实时预览，辅助学生更好完成可视化设计，获得更好的视觉效果。</w:t>
            </w:r>
          </w:p>
          <w:p w14:paraId="5ADE1548">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w:t>
            </w:r>
            <w:r>
              <w:rPr>
                <w:rFonts w:hint="eastAsia" w:ascii="仿宋_GB2312" w:eastAsia="仿宋_GB2312"/>
                <w:color w:val="auto"/>
              </w:rPr>
              <w:t>◆</w:t>
            </w:r>
            <w:r>
              <w:rPr>
                <w:rFonts w:hint="eastAsia" w:ascii="仿宋_GB2312" w:hAnsi="仿宋_GB2312" w:eastAsia="仿宋_GB2312" w:cs="仿宋_GB2312"/>
                <w:color w:val="auto"/>
                <w:sz w:val="24"/>
              </w:rPr>
              <w:t>24、系统拥有自主版权，不涉及版权问题。</w:t>
            </w:r>
            <w:r>
              <w:rPr>
                <w:rFonts w:hint="eastAsia" w:ascii="仿宋_GB2312" w:hAnsi="仿宋_GB2312" w:eastAsia="仿宋_GB2312" w:cs="仿宋_GB2312"/>
                <w:b/>
                <w:bCs/>
                <w:color w:val="auto"/>
                <w:sz w:val="24"/>
              </w:rPr>
              <w:t>并在投标文件中提供承诺函。</w:t>
            </w:r>
          </w:p>
          <w:p w14:paraId="6E31236D">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w:t>
            </w:r>
            <w:r>
              <w:rPr>
                <w:rFonts w:hint="eastAsia" w:ascii="仿宋_GB2312" w:eastAsia="仿宋_GB2312"/>
                <w:color w:val="auto"/>
              </w:rPr>
              <w:t>◆</w:t>
            </w:r>
            <w:r>
              <w:rPr>
                <w:rFonts w:hint="eastAsia" w:ascii="仿宋_GB2312" w:hAnsi="仿宋_GB2312" w:eastAsia="仿宋_GB2312" w:cs="仿宋_GB2312"/>
                <w:color w:val="auto"/>
                <w:sz w:val="24"/>
              </w:rPr>
              <w:t>二、其他要求：（</w:t>
            </w:r>
            <w:r>
              <w:rPr>
                <w:rFonts w:hint="eastAsia" w:ascii="仿宋_GB2312" w:hAnsi="仿宋_GB2312" w:eastAsia="仿宋_GB2312" w:cs="仿宋_GB2312"/>
                <w:color w:val="auto"/>
                <w:sz w:val="24"/>
                <w:lang w:val="en-US" w:eastAsia="zh-CN"/>
              </w:rPr>
              <w:t>一</w:t>
            </w:r>
            <w:r>
              <w:rPr>
                <w:rFonts w:hint="eastAsia" w:ascii="仿宋_GB2312" w:hAnsi="仿宋_GB2312" w:eastAsia="仿宋_GB2312" w:cs="仿宋_GB2312"/>
                <w:color w:val="auto"/>
                <w:sz w:val="24"/>
              </w:rPr>
              <w:t>）系统符合广西互联网营销师竞赛内容（详见附件2），满足教学实训、竞赛备赛要求，</w:t>
            </w:r>
            <w:r>
              <w:rPr>
                <w:rFonts w:hint="eastAsia" w:ascii="仿宋_GB2312" w:hAnsi="仿宋_GB2312" w:eastAsia="仿宋_GB2312" w:cs="仿宋_GB2312"/>
                <w:b/>
                <w:bCs/>
                <w:color w:val="auto"/>
                <w:sz w:val="24"/>
              </w:rPr>
              <w:t>并在投标文件中提供承诺函；</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二</w:t>
            </w:r>
            <w:r>
              <w:rPr>
                <w:rFonts w:hint="eastAsia" w:ascii="仿宋_GB2312" w:hAnsi="仿宋_GB2312" w:eastAsia="仿宋_GB2312" w:cs="仿宋_GB2312"/>
                <w:color w:val="auto"/>
                <w:sz w:val="24"/>
              </w:rPr>
              <w:t>）如果所供软件不能满足比赛的要求，则追究相关法律责任；（</w:t>
            </w:r>
            <w:r>
              <w:rPr>
                <w:rFonts w:hint="eastAsia" w:ascii="仿宋_GB2312" w:hAnsi="仿宋_GB2312" w:eastAsia="仿宋_GB2312" w:cs="仿宋_GB2312"/>
                <w:color w:val="auto"/>
                <w:sz w:val="24"/>
                <w:lang w:val="en-US" w:eastAsia="zh-CN"/>
              </w:rPr>
              <w:t>三</w:t>
            </w:r>
            <w:r>
              <w:rPr>
                <w:rFonts w:hint="eastAsia" w:ascii="仿宋_GB2312" w:hAnsi="仿宋_GB2312" w:eastAsia="仿宋_GB2312" w:cs="仿宋_GB2312"/>
                <w:color w:val="auto"/>
                <w:sz w:val="24"/>
              </w:rPr>
              <w:t>）软件供货</w:t>
            </w:r>
            <w:r>
              <w:rPr>
                <w:rFonts w:hint="eastAsia" w:ascii="仿宋_GB2312" w:hAnsi="仿宋_GB2312" w:eastAsia="仿宋_GB2312" w:cs="仿宋_GB2312"/>
                <w:color w:val="auto"/>
                <w:sz w:val="24"/>
                <w:lang w:val="en-US" w:eastAsia="zh-CN"/>
              </w:rPr>
              <w:t>后</w:t>
            </w:r>
            <w:r>
              <w:rPr>
                <w:rFonts w:hint="eastAsia" w:ascii="仿宋_GB2312" w:hAnsi="仿宋_GB2312" w:eastAsia="仿宋_GB2312" w:cs="仿宋_GB2312"/>
                <w:color w:val="auto"/>
                <w:sz w:val="24"/>
              </w:rPr>
              <w:t>要进行教师培训，培训通过后再验收。</w:t>
            </w:r>
          </w:p>
          <w:p w14:paraId="27B4C220">
            <w:pPr>
              <w:spacing w:line="400" w:lineRule="exact"/>
              <w:rPr>
                <w:rFonts w:ascii="仿宋_GB2312" w:hAnsi="仿宋_GB2312" w:eastAsia="仿宋_GB2312" w:cs="仿宋_GB2312"/>
                <w:bCs/>
                <w:color w:val="auto"/>
                <w:sz w:val="24"/>
              </w:rPr>
            </w:pPr>
            <w:r>
              <w:rPr>
                <w:rFonts w:hint="eastAsia" w:ascii="仿宋_GB2312" w:hAnsi="仿宋_GB2312" w:eastAsia="仿宋_GB2312" w:cs="仿宋_GB2312"/>
                <w:color w:val="auto"/>
                <w:sz w:val="24"/>
              </w:rPr>
              <w:t>★三、</w:t>
            </w:r>
            <w:r>
              <w:rPr>
                <w:rFonts w:hint="eastAsia" w:ascii="仿宋_GB2312" w:hAnsi="仿宋_GB2312" w:eastAsia="仿宋_GB2312" w:cs="仿宋_GB2312"/>
                <w:bCs/>
                <w:color w:val="auto"/>
                <w:sz w:val="24"/>
              </w:rPr>
              <w:t>中标人提供的软件需要适配国产化操作系统，如果目前尚未适配国产化操作系统，中标人须承诺交付三个月内完成适配国产化操作系统，承诺期限内未完成适配的视为未履行合同约定。适配后须按照合同约定提供同等时长的质保服务，费用含在投标报价中。</w:t>
            </w:r>
          </w:p>
          <w:p w14:paraId="1EF2187D">
            <w:pPr>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color w:val="auto"/>
                <w:sz w:val="24"/>
              </w:rPr>
              <w:t>★四、签订合同之前需再次查验投标文件中所需提供的证明文件，如出现所提供的证明文件不符合招标要求的情况，则视为虚假应标，采购人有权依法追究法律责任，并上报政府采购监督部门。</w:t>
            </w:r>
          </w:p>
          <w:p w14:paraId="6FD19287">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★五、系统供应商必须免费开放系统并免费提供对接服务，免费提供对接技术方面的培训。</w:t>
            </w:r>
          </w:p>
        </w:tc>
        <w:tc>
          <w:tcPr>
            <w:tcW w:w="815" w:type="dxa"/>
            <w:vAlign w:val="center"/>
          </w:tcPr>
          <w:p w14:paraId="2EE26E98">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kern w:val="0"/>
                <w:sz w:val="24"/>
              </w:rPr>
              <w:t>套</w:t>
            </w:r>
          </w:p>
        </w:tc>
      </w:tr>
    </w:tbl>
    <w:p w14:paraId="582E2BEE">
      <w:pPr>
        <w:spacing w:line="400" w:lineRule="exact"/>
        <w:jc w:val="left"/>
        <w:rPr>
          <w:rFonts w:ascii="仿宋_GB2312" w:hAnsi="仿宋_GB2312" w:eastAsia="仿宋_GB2312" w:cs="仿宋_GB2312"/>
          <w:b/>
          <w:bCs/>
          <w:color w:val="auto"/>
          <w:sz w:val="24"/>
        </w:rPr>
      </w:pPr>
    </w:p>
    <w:tbl>
      <w:tblPr>
        <w:tblStyle w:val="51"/>
        <w:tblW w:w="9625" w:type="dxa"/>
        <w:tblInd w:w="-1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8018"/>
      </w:tblGrid>
      <w:tr w14:paraId="6E57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5" w:type="dxa"/>
            <w:gridSpan w:val="2"/>
            <w:tcBorders>
              <w:top w:val="single" w:color="auto" w:sz="4" w:space="0"/>
              <w:left w:val="single" w:color="auto" w:sz="4" w:space="0"/>
              <w:bottom w:val="single" w:color="auto" w:sz="4" w:space="0"/>
              <w:right w:val="single" w:color="auto" w:sz="4" w:space="0"/>
            </w:tcBorders>
            <w:vAlign w:val="center"/>
          </w:tcPr>
          <w:p w14:paraId="48BEE4BD">
            <w:pPr>
              <w:spacing w:line="400" w:lineRule="exact"/>
              <w:ind w:right="-330" w:rightChars="-157"/>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4"/>
              </w:rPr>
              <w:t>★二、商务要求</w:t>
            </w:r>
          </w:p>
        </w:tc>
      </w:tr>
      <w:tr w14:paraId="0658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07" w:type="dxa"/>
            <w:tcBorders>
              <w:top w:val="single" w:color="auto" w:sz="4" w:space="0"/>
              <w:left w:val="single" w:color="auto" w:sz="4" w:space="0"/>
              <w:bottom w:val="single" w:color="auto" w:sz="4" w:space="0"/>
              <w:right w:val="single" w:color="auto" w:sz="4" w:space="0"/>
            </w:tcBorders>
            <w:vAlign w:val="center"/>
          </w:tcPr>
          <w:p w14:paraId="20564E9D">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基本要求</w:t>
            </w:r>
          </w:p>
        </w:tc>
        <w:tc>
          <w:tcPr>
            <w:tcW w:w="8018" w:type="dxa"/>
            <w:tcBorders>
              <w:top w:val="single" w:color="auto" w:sz="4" w:space="0"/>
              <w:left w:val="single" w:color="auto" w:sz="4" w:space="0"/>
              <w:bottom w:val="single" w:color="auto" w:sz="4" w:space="0"/>
              <w:right w:val="single" w:color="auto" w:sz="4" w:space="0"/>
            </w:tcBorders>
            <w:vAlign w:val="center"/>
          </w:tcPr>
          <w:p w14:paraId="11706282">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1.本项目投标报价包括货物及货物运抵指定交付地点的各种费用、随配附件、备品备件、安装调试、技术培训、技术资料、包装、售后服务、保险费、税金、验收检验及其他所有成本费用的总和；</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2.投标人应保证投标产品涉及到的知识产权和所提供的相关技术资料是合法取得，不会因为采购人的使用而被责令停止使用、追偿或要求赔偿损失，如出现此情况，一切经济和法律责任均由投标人承担；</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3.投标人所投产品应符合国家有关部门规定的相应技术、节能、安全和环保标准；国家有关部门对所投产品有强制性规定或要求的，必须符合相应规定或要求；</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4.软件本地化部署，若</w:t>
            </w:r>
            <w:r>
              <w:rPr>
                <w:rFonts w:hint="eastAsia" w:ascii="仿宋_GB2312" w:hAnsi="仿宋_GB2312" w:eastAsia="仿宋_GB2312" w:cs="仿宋_GB2312"/>
                <w:bCs/>
                <w:color w:val="auto"/>
                <w:sz w:val="24"/>
                <w:lang w:val="en-US" w:eastAsia="zh-CN"/>
              </w:rPr>
              <w:t>采购人</w:t>
            </w:r>
            <w:r>
              <w:rPr>
                <w:rFonts w:hint="eastAsia" w:ascii="仿宋_GB2312" w:hAnsi="仿宋_GB2312" w:eastAsia="仿宋_GB2312" w:cs="仿宋_GB2312"/>
                <w:bCs/>
                <w:color w:val="auto"/>
                <w:sz w:val="24"/>
              </w:rPr>
              <w:t>本地服务器不能</w:t>
            </w:r>
            <w:r>
              <w:rPr>
                <w:rFonts w:hint="eastAsia" w:ascii="仿宋_GB2312" w:hAnsi="仿宋_GB2312" w:eastAsia="仿宋_GB2312" w:cs="仿宋_GB2312"/>
                <w:bCs/>
                <w:color w:val="auto"/>
                <w:sz w:val="24"/>
                <w:lang w:val="en-US" w:eastAsia="zh-CN"/>
              </w:rPr>
              <w:t>使</w:t>
            </w:r>
            <w:r>
              <w:rPr>
                <w:rFonts w:hint="eastAsia" w:ascii="仿宋_GB2312" w:hAnsi="仿宋_GB2312" w:eastAsia="仿宋_GB2312" w:cs="仿宋_GB2312"/>
                <w:bCs/>
                <w:color w:val="auto"/>
                <w:sz w:val="24"/>
              </w:rPr>
              <w:t>软件正常运行和</w:t>
            </w:r>
            <w:r>
              <w:rPr>
                <w:rFonts w:hint="eastAsia" w:ascii="仿宋_GB2312" w:hAnsi="仿宋_GB2312" w:eastAsia="仿宋_GB2312" w:cs="仿宋_GB2312"/>
                <w:bCs/>
                <w:color w:val="auto"/>
                <w:sz w:val="24"/>
                <w:lang w:val="en-US" w:eastAsia="zh-CN"/>
              </w:rPr>
              <w:t>使</w:t>
            </w:r>
            <w:r>
              <w:rPr>
                <w:rFonts w:hint="eastAsia" w:ascii="仿宋_GB2312" w:hAnsi="仿宋_GB2312" w:eastAsia="仿宋_GB2312" w:cs="仿宋_GB2312"/>
                <w:bCs/>
                <w:color w:val="auto"/>
                <w:sz w:val="24"/>
              </w:rPr>
              <w:t>用</w:t>
            </w:r>
            <w:r>
              <w:rPr>
                <w:rFonts w:hint="eastAsia" w:ascii="仿宋_GB2312" w:hAnsi="仿宋_GB2312" w:eastAsia="仿宋_GB2312" w:cs="仿宋_GB2312"/>
                <w:bCs/>
                <w:color w:val="auto"/>
                <w:sz w:val="24"/>
                <w:lang w:eastAsia="zh-CN"/>
              </w:rPr>
              <w:t>，</w:t>
            </w:r>
            <w:r>
              <w:rPr>
                <w:rFonts w:hint="eastAsia" w:ascii="仿宋_GB2312" w:hAnsi="仿宋_GB2312" w:eastAsia="仿宋_GB2312" w:cs="仿宋_GB2312"/>
                <w:bCs/>
                <w:color w:val="auto"/>
                <w:sz w:val="24"/>
              </w:rPr>
              <w:t>供应商应同步提供满足软件使用的配套服务资源，服务点数≥200，用户同时登录时响应时间低于2秒；同时，确保平台能够在通过安全可靠性测试的国产操作系统上运行。</w:t>
            </w:r>
          </w:p>
        </w:tc>
      </w:tr>
      <w:tr w14:paraId="4216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07" w:type="dxa"/>
            <w:tcBorders>
              <w:top w:val="single" w:color="auto" w:sz="4" w:space="0"/>
              <w:left w:val="single" w:color="auto" w:sz="4" w:space="0"/>
              <w:bottom w:val="single" w:color="auto" w:sz="4" w:space="0"/>
              <w:right w:val="single" w:color="auto" w:sz="4" w:space="0"/>
            </w:tcBorders>
            <w:vAlign w:val="center"/>
          </w:tcPr>
          <w:p w14:paraId="2E469173">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质量保证期</w:t>
            </w:r>
          </w:p>
        </w:tc>
        <w:tc>
          <w:tcPr>
            <w:tcW w:w="8018" w:type="dxa"/>
            <w:tcBorders>
              <w:top w:val="single" w:color="auto" w:sz="4" w:space="0"/>
              <w:left w:val="single" w:color="auto" w:sz="4" w:space="0"/>
              <w:bottom w:val="single" w:color="auto" w:sz="4" w:space="0"/>
              <w:right w:val="single" w:color="auto" w:sz="4" w:space="0"/>
            </w:tcBorders>
            <w:vAlign w:val="center"/>
          </w:tcPr>
          <w:p w14:paraId="07FC9F4E">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按国家有关产品“三包”规定执行“三包”，质保期为自验收合格之日起3年。</w:t>
            </w:r>
          </w:p>
        </w:tc>
      </w:tr>
      <w:tr w14:paraId="66CD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07" w:type="dxa"/>
            <w:tcBorders>
              <w:top w:val="single" w:color="auto" w:sz="4" w:space="0"/>
              <w:left w:val="single" w:color="auto" w:sz="4" w:space="0"/>
              <w:bottom w:val="single" w:color="auto" w:sz="4" w:space="0"/>
              <w:right w:val="single" w:color="auto" w:sz="4" w:space="0"/>
            </w:tcBorders>
            <w:vAlign w:val="center"/>
          </w:tcPr>
          <w:p w14:paraId="240833AE">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售后服务要求</w:t>
            </w:r>
          </w:p>
        </w:tc>
        <w:tc>
          <w:tcPr>
            <w:tcW w:w="8018" w:type="dxa"/>
            <w:tcBorders>
              <w:top w:val="single" w:color="auto" w:sz="4" w:space="0"/>
              <w:left w:val="single" w:color="auto" w:sz="4" w:space="0"/>
              <w:bottom w:val="single" w:color="auto" w:sz="4" w:space="0"/>
              <w:right w:val="single" w:color="auto" w:sz="4" w:space="0"/>
            </w:tcBorders>
            <w:vAlign w:val="center"/>
          </w:tcPr>
          <w:p w14:paraId="57D4496C">
            <w:pPr>
              <w:rPr>
                <w:color w:val="auto"/>
              </w:rPr>
            </w:pPr>
            <w:r>
              <w:rPr>
                <w:rFonts w:hint="eastAsia" w:ascii="仿宋_GB2312" w:hAnsi="仿宋_GB2312" w:eastAsia="仿宋_GB2312" w:cs="仿宋_GB2312"/>
                <w:bCs/>
                <w:color w:val="auto"/>
                <w:sz w:val="24"/>
              </w:rPr>
              <w:t>1.售后服务费用包含在报价中，售后服务内容如下：</w:t>
            </w:r>
          </w:p>
          <w:p w14:paraId="7EA68D5D">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(1)质保期内对采购人进行系统操作、日常维护等技术培训，培训时间由双方共同商定（每年不少于1次），受培训人数不低于10人时间不少于1天。</w:t>
            </w:r>
          </w:p>
          <w:p w14:paraId="5A05CA23">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中标人提供技术援助电话，解答采购人在使用中遇到的问题，及时为采购人提出解决问题的建议。接到报修通知后，一般问题8小时内通过远程方式解决；无法远程解决的大故障，应在接到报修通知后的24小时内派技术人员到达现场处理；到达现场后故障处理时限不超过48小时，如果超过故障处理时限，应免费提供同等质量的产品作为备用品供采购人使用，直至故障系统修复。</w:t>
            </w:r>
          </w:p>
          <w:p w14:paraId="6034B92E">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本项目所含软件必须为符合采购人适用范围的正版软件（非试用版），且在质保期内提供免费升级及维护服务。本项目合同约定的质保期过后，中标人需确保该软件其功能仍与交付验收时一致（如合同另有约定的按合同约定），质保期过后如需对软件进行升级或售后服务双方再行协商。</w:t>
            </w:r>
          </w:p>
        </w:tc>
      </w:tr>
      <w:tr w14:paraId="7436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07" w:type="dxa"/>
            <w:tcBorders>
              <w:top w:val="single" w:color="auto" w:sz="4" w:space="0"/>
              <w:left w:val="single" w:color="auto" w:sz="4" w:space="0"/>
              <w:bottom w:val="single" w:color="auto" w:sz="4" w:space="0"/>
              <w:right w:val="single" w:color="auto" w:sz="4" w:space="0"/>
            </w:tcBorders>
            <w:vAlign w:val="center"/>
          </w:tcPr>
          <w:p w14:paraId="2CA3045B">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交货时间及地点</w:t>
            </w:r>
          </w:p>
        </w:tc>
        <w:tc>
          <w:tcPr>
            <w:tcW w:w="8018" w:type="dxa"/>
            <w:tcBorders>
              <w:top w:val="single" w:color="auto" w:sz="4" w:space="0"/>
              <w:left w:val="single" w:color="auto" w:sz="4" w:space="0"/>
              <w:bottom w:val="single" w:color="auto" w:sz="4" w:space="0"/>
              <w:right w:val="single" w:color="auto" w:sz="4" w:space="0"/>
            </w:tcBorders>
            <w:vAlign w:val="center"/>
          </w:tcPr>
          <w:p w14:paraId="67060EFF">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1.交货时间：自签订合同之日起30日内安装调试完毕，验收合格并交付使用；</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2.交货地点：广西柳州市社湾路28号柳州职业技术大学社湾校区。</w:t>
            </w:r>
          </w:p>
        </w:tc>
      </w:tr>
      <w:tr w14:paraId="265B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07" w:type="dxa"/>
            <w:tcBorders>
              <w:top w:val="single" w:color="auto" w:sz="4" w:space="0"/>
              <w:left w:val="single" w:color="auto" w:sz="4" w:space="0"/>
              <w:bottom w:val="single" w:color="auto" w:sz="4" w:space="0"/>
              <w:right w:val="single" w:color="auto" w:sz="4" w:space="0"/>
            </w:tcBorders>
            <w:vAlign w:val="center"/>
          </w:tcPr>
          <w:p w14:paraId="06DE1E27">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付款方式</w:t>
            </w:r>
          </w:p>
        </w:tc>
        <w:tc>
          <w:tcPr>
            <w:tcW w:w="8018" w:type="dxa"/>
            <w:tcBorders>
              <w:top w:val="single" w:color="auto" w:sz="4" w:space="0"/>
              <w:left w:val="single" w:color="auto" w:sz="4" w:space="0"/>
              <w:bottom w:val="single" w:color="auto" w:sz="4" w:space="0"/>
              <w:right w:val="single" w:color="auto" w:sz="4" w:space="0"/>
            </w:tcBorders>
            <w:vAlign w:val="center"/>
          </w:tcPr>
          <w:p w14:paraId="22EFCA70">
            <w:pPr>
              <w:pStyle w:val="810"/>
              <w:snapToGrid w:val="0"/>
              <w:spacing w:line="400" w:lineRule="exact"/>
              <w:rPr>
                <w:rFonts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财政性资金按财政国库集中支付规定程序办理。</w:t>
            </w:r>
            <w:r>
              <w:rPr>
                <w:rFonts w:hint="eastAsia" w:ascii="仿宋_GB2312" w:hAnsi="仿宋_GB2312" w:eastAsia="仿宋_GB2312" w:cs="仿宋_GB2312"/>
                <w:bCs/>
                <w:color w:val="auto"/>
                <w:sz w:val="24"/>
                <w:szCs w:val="24"/>
              </w:rPr>
              <w:br w:type="textWrapping"/>
            </w:r>
            <w:r>
              <w:rPr>
                <w:rFonts w:hint="eastAsia" w:ascii="仿宋_GB2312" w:hAnsi="仿宋_GB2312" w:eastAsia="仿宋_GB2312" w:cs="仿宋_GB2312"/>
                <w:bCs/>
                <w:color w:val="auto"/>
                <w:sz w:val="24"/>
                <w:szCs w:val="24"/>
              </w:rPr>
              <w:t>货物安装调试完毕并验收合格交付使用后，采购人在收到中标人开具的合同总价款增值税专用发票之日起10个工作日内向中标人指定账户付清合同价款(不计利息)。</w:t>
            </w:r>
          </w:p>
          <w:p w14:paraId="7A17A8FE">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
                <w:bCs/>
                <w:color w:val="auto"/>
                <w:sz w:val="24"/>
              </w:rPr>
              <w:t>注：资金支付等事项按照《保障中小企业款项支付条例》（国务院令第802号）、《广西壮族自治区财政厅关于持续优化政府采购营商环境推动高质量发展的通知》等要求执行。</w:t>
            </w:r>
          </w:p>
        </w:tc>
      </w:tr>
      <w:tr w14:paraId="5B85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07" w:type="dxa"/>
            <w:tcBorders>
              <w:top w:val="single" w:color="auto" w:sz="4" w:space="0"/>
              <w:left w:val="single" w:color="auto" w:sz="4" w:space="0"/>
              <w:bottom w:val="single" w:color="auto" w:sz="4" w:space="0"/>
              <w:right w:val="single" w:color="auto" w:sz="4" w:space="0"/>
            </w:tcBorders>
            <w:vAlign w:val="center"/>
          </w:tcPr>
          <w:p w14:paraId="1B6EAC08">
            <w:pPr>
              <w:spacing w:line="400" w:lineRule="exact"/>
              <w:ind w:right="-27" w:rightChars="-13"/>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履约保证金</w:t>
            </w:r>
          </w:p>
        </w:tc>
        <w:tc>
          <w:tcPr>
            <w:tcW w:w="8018" w:type="dxa"/>
            <w:tcBorders>
              <w:top w:val="single" w:color="auto" w:sz="4" w:space="0"/>
              <w:left w:val="single" w:color="auto" w:sz="4" w:space="0"/>
              <w:bottom w:val="single" w:color="auto" w:sz="4" w:space="0"/>
              <w:right w:val="single" w:color="auto" w:sz="4" w:space="0"/>
            </w:tcBorders>
            <w:vAlign w:val="center"/>
          </w:tcPr>
          <w:p w14:paraId="6A8805D3">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1、履约保证金金额：</w:t>
            </w:r>
          </w:p>
          <w:p w14:paraId="248E7D4D">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大型企业须缴纳履约保证金金额：合同金额的</w:t>
            </w: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%；中型企业须缴纳履约保证金金额：合同金额的2%；小微企业或监狱企业或残疾人福利性单位：无须缴纳履约保证金。</w:t>
            </w:r>
          </w:p>
          <w:p w14:paraId="6619914B">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2、履约保证金提交及退付方式、时间及条件：</w:t>
            </w:r>
          </w:p>
          <w:p w14:paraId="0FB78822">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签订前2日内，中标人必须以银行转账、支票、汇票、本票或者银行、保险机构出具的保函、保险等非现金方式提交履约保证金。履约保证金在验收合格交付之日后，且在收到中标人退回履约保证金函件后5个工作日内，由采购人办理履约保证金退还手续（不计息）。</w:t>
            </w:r>
          </w:p>
          <w:p w14:paraId="318BDBE5">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履约保证金账户：</w:t>
            </w:r>
          </w:p>
          <w:p w14:paraId="1C87F3BD">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名  称：柳州职业技术大学</w:t>
            </w:r>
          </w:p>
          <w:p w14:paraId="7C2C4C01">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开户行：交通银行西江支行</w:t>
            </w:r>
          </w:p>
          <w:p w14:paraId="16997614">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账  号：452060600018120020185</w:t>
            </w:r>
          </w:p>
          <w:p w14:paraId="132F6BEB">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转账时注明：柳州职业技术大学“新能源汽车数字商贸产教融合基地”软件部分采购项目，采购编号LZZC2025-G1-990359-LZSZ（分标</w:t>
            </w:r>
            <w:r>
              <w:rPr>
                <w:rFonts w:hint="eastAsia" w:ascii="仿宋_GB2312" w:hAnsi="仿宋_GB2312" w:eastAsia="仿宋_GB2312" w:cs="仿宋_GB2312"/>
                <w:color w:val="auto"/>
                <w:sz w:val="24"/>
                <w:lang w:val="en-US" w:eastAsia="zh-CN"/>
              </w:rPr>
              <w:t>3</w:t>
            </w:r>
            <w:r>
              <w:rPr>
                <w:rFonts w:hint="eastAsia" w:ascii="仿宋_GB2312" w:hAnsi="仿宋_GB2312" w:eastAsia="仿宋_GB2312" w:cs="仿宋_GB2312"/>
                <w:color w:val="auto"/>
                <w:sz w:val="24"/>
              </w:rPr>
              <w:t>）履约保证金</w:t>
            </w:r>
            <w:r>
              <w:rPr>
                <w:rFonts w:hint="eastAsia" w:ascii="仿宋_GB2312" w:hAnsi="仿宋_GB2312" w:eastAsia="仿宋_GB2312" w:cs="仿宋_GB2312"/>
                <w:color w:val="auto"/>
                <w:sz w:val="24"/>
                <w:lang w:eastAsia="zh-CN"/>
              </w:rPr>
              <w:t>。</w:t>
            </w:r>
          </w:p>
          <w:p w14:paraId="5E2E6C76">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3、中标人有下列情况之一的，</w:t>
            </w:r>
            <w:r>
              <w:rPr>
                <w:rFonts w:hint="eastAsia" w:ascii="仿宋_GB2312" w:hAnsi="仿宋_GB2312" w:eastAsia="仿宋_GB2312" w:cs="仿宋_GB2312"/>
                <w:color w:val="auto"/>
                <w:sz w:val="24"/>
                <w:lang w:val="en-US" w:eastAsia="zh-CN"/>
              </w:rPr>
              <w:t>采购人</w:t>
            </w:r>
            <w:r>
              <w:rPr>
                <w:rFonts w:hint="eastAsia" w:ascii="仿宋_GB2312" w:hAnsi="仿宋_GB2312" w:eastAsia="仿宋_GB2312" w:cs="仿宋_GB2312"/>
                <w:color w:val="auto"/>
                <w:sz w:val="24"/>
              </w:rPr>
              <w:t>向</w:t>
            </w:r>
            <w:r>
              <w:rPr>
                <w:rFonts w:hint="eastAsia" w:ascii="仿宋_GB2312" w:hAnsi="仿宋_GB2312" w:eastAsia="仿宋_GB2312" w:cs="仿宋_GB2312"/>
                <w:color w:val="auto"/>
                <w:sz w:val="24"/>
                <w:lang w:val="en-US" w:eastAsia="zh-CN"/>
              </w:rPr>
              <w:t>中标人</w:t>
            </w:r>
            <w:r>
              <w:rPr>
                <w:rFonts w:hint="eastAsia" w:ascii="仿宋_GB2312" w:hAnsi="仿宋_GB2312" w:eastAsia="仿宋_GB2312" w:cs="仿宋_GB2312"/>
                <w:color w:val="auto"/>
                <w:sz w:val="24"/>
              </w:rPr>
              <w:t>出具书面通知，</w:t>
            </w:r>
            <w:r>
              <w:rPr>
                <w:rFonts w:hint="eastAsia" w:ascii="仿宋_GB2312" w:hAnsi="仿宋_GB2312" w:eastAsia="仿宋_GB2312" w:cs="仿宋_GB2312"/>
                <w:color w:val="auto"/>
                <w:sz w:val="24"/>
                <w:lang w:val="en-US" w:eastAsia="zh-CN"/>
              </w:rPr>
              <w:t>中标人</w:t>
            </w:r>
            <w:r>
              <w:rPr>
                <w:rFonts w:hint="eastAsia" w:ascii="仿宋_GB2312" w:hAnsi="仿宋_GB2312" w:eastAsia="仿宋_GB2312" w:cs="仿宋_GB2312"/>
                <w:color w:val="auto"/>
                <w:sz w:val="24"/>
              </w:rPr>
              <w:t>未能及时解决的，采购人可没收其全部履约保证金，并视具体情况按合同第九条处理：</w:t>
            </w:r>
          </w:p>
          <w:p w14:paraId="3BA5481F">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⑴中标人提供的货物规格、技术标准、材料未达到其响应文件所承诺的，导致无法通过验收交付使用的；</w:t>
            </w:r>
          </w:p>
          <w:p w14:paraId="0073F82D">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⑵中标人提供的货物经查证无法得到生产厂家正规售后服务的；</w:t>
            </w:r>
          </w:p>
          <w:p w14:paraId="1A94AF71">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⑶中标人提供的货物未经正规合法经销渠道的；</w:t>
            </w:r>
          </w:p>
          <w:p w14:paraId="37DC20B5">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⑷中标人提供的货物侵犯了第三方合法权益而引发了纠纷或诉讼，导致无法按期交付使用的；</w:t>
            </w:r>
          </w:p>
          <w:p w14:paraId="2CE72803">
            <w:pPr>
              <w:spacing w:line="400" w:lineRule="exact"/>
              <w:jc w:val="left"/>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⑸在货物试运行期间，故障率在10%及以上的。</w:t>
            </w:r>
          </w:p>
        </w:tc>
      </w:tr>
      <w:tr w14:paraId="051D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625" w:type="dxa"/>
            <w:gridSpan w:val="2"/>
            <w:tcBorders>
              <w:top w:val="single" w:color="auto" w:sz="4" w:space="0"/>
              <w:left w:val="single" w:color="auto" w:sz="4" w:space="0"/>
              <w:bottom w:val="single" w:color="auto" w:sz="4" w:space="0"/>
              <w:right w:val="single" w:color="auto" w:sz="4" w:space="0"/>
            </w:tcBorders>
            <w:vAlign w:val="center"/>
          </w:tcPr>
          <w:p w14:paraId="37CCAF5F">
            <w:pPr>
              <w:pStyle w:val="27"/>
              <w:snapToGrid w:val="0"/>
              <w:spacing w:line="400" w:lineRule="exact"/>
              <w:ind w:right="27" w:rightChars="13"/>
              <w:rPr>
                <w:rFonts w:ascii="仿宋_GB2312" w:hAnsi="仿宋_GB2312" w:eastAsia="仿宋_GB2312" w:cs="仿宋_GB2312"/>
                <w:bCs/>
                <w:color w:val="auto"/>
                <w:sz w:val="24"/>
                <w:szCs w:val="24"/>
                <w:lang w:val="en-GB"/>
              </w:rPr>
            </w:pPr>
            <w:r>
              <w:rPr>
                <w:rFonts w:hint="eastAsia" w:ascii="仿宋_GB2312" w:hAnsi="仿宋_GB2312" w:eastAsia="仿宋_GB2312" w:cs="仿宋_GB2312"/>
                <w:b/>
                <w:color w:val="auto"/>
                <w:kern w:val="0"/>
                <w:sz w:val="24"/>
                <w:szCs w:val="24"/>
              </w:rPr>
              <w:t>★</w:t>
            </w:r>
            <w:r>
              <w:rPr>
                <w:rFonts w:hint="eastAsia" w:ascii="仿宋_GB2312" w:hAnsi="仿宋_GB2312" w:eastAsia="仿宋_GB2312" w:cs="仿宋_GB2312"/>
                <w:b/>
                <w:bCs/>
                <w:color w:val="auto"/>
                <w:sz w:val="24"/>
                <w:szCs w:val="24"/>
              </w:rPr>
              <w:t>三、</w:t>
            </w:r>
            <w:r>
              <w:rPr>
                <w:rFonts w:hint="eastAsia" w:ascii="仿宋_GB2312" w:hAnsi="仿宋_GB2312" w:eastAsia="仿宋_GB2312" w:cs="仿宋_GB2312"/>
                <w:b/>
                <w:color w:val="auto"/>
                <w:sz w:val="24"/>
                <w:szCs w:val="24"/>
              </w:rPr>
              <w:t>验收要求</w:t>
            </w:r>
          </w:p>
        </w:tc>
      </w:tr>
      <w:tr w14:paraId="21E9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07" w:type="dxa"/>
            <w:tcBorders>
              <w:top w:val="single" w:color="auto" w:sz="4" w:space="0"/>
              <w:left w:val="single" w:color="auto" w:sz="4" w:space="0"/>
              <w:bottom w:val="single" w:color="auto" w:sz="4" w:space="0"/>
              <w:right w:val="single" w:color="auto" w:sz="4" w:space="0"/>
            </w:tcBorders>
            <w:vAlign w:val="center"/>
          </w:tcPr>
          <w:p w14:paraId="1A14BFF9">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bCs/>
                <w:color w:val="auto"/>
                <w:sz w:val="24"/>
              </w:rPr>
              <w:t>验收标准及要求</w:t>
            </w:r>
          </w:p>
        </w:tc>
        <w:tc>
          <w:tcPr>
            <w:tcW w:w="8018" w:type="dxa"/>
            <w:tcBorders>
              <w:top w:val="single" w:color="auto" w:sz="4" w:space="0"/>
              <w:left w:val="single" w:color="auto" w:sz="4" w:space="0"/>
              <w:bottom w:val="single" w:color="auto" w:sz="4" w:space="0"/>
              <w:right w:val="single" w:color="auto" w:sz="4" w:space="0"/>
            </w:tcBorders>
            <w:vAlign w:val="center"/>
          </w:tcPr>
          <w:p w14:paraId="384AB9C3">
            <w:pPr>
              <w:numPr>
                <w:ilvl w:val="255"/>
                <w:numId w:val="0"/>
              </w:num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1.国家强制性技术标准及有关规定；</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交货验收时，采购人根据《广西壮族自治区政府采购项目履约验收管理办法》的规定，由采购人及中标人双方共同进行验收。必要时可委托国家认可的质量检测机构开展采购项目验收工作，验收时中标人必须有授权代表在场并在验收报告上签字，如正式验收时中标人授权代表未到场参加验收则视为中标人对验收过程及结果无异议。因软件使用问题发生争议时，由本地质量技术监督部门鉴定或委托具备资质的第三方机构鉴定。鉴定费（含运行产生全部费用）由中标人承担。投标人在投标报价时自行考虑；3.本项目因中标人提供的软件不能满足采购需求的技术参数或其投标文件承诺等原因无法通过验收，造成不能按时、按质、按量完成项目要求的，将按照《中华人民共和国政府采购法》等法律法规由中标人承担相应的法律责任；</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4.中标人负责软件安装调试，直至软件验收合格（期间所需器材及费用均由中标人承担），产品或服务在安装调试并试运行符合要求后，才做最终验收。</w:t>
            </w:r>
          </w:p>
          <w:p w14:paraId="6D1BFBC1">
            <w:pPr>
              <w:numPr>
                <w:ilvl w:val="255"/>
                <w:numId w:val="0"/>
              </w:num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5.中标人完成安装调试后，采购人可以进行累计运行时间不超过72小时的试运行，以确认所供软件功能参数、兼容性及稳定性符合标准达到初验条件，在试运行期间出现问题中标人应在接到采购人书面反馈后三日内解决，在解决问题前此项目仍视为尚未完成安装调试。如造成最终验收合格交付时间超过合同约定的按合同相关条款执行。</w:t>
            </w:r>
          </w:p>
          <w:p w14:paraId="0189FCAF">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
                <w:color w:val="auto"/>
                <w:sz w:val="24"/>
              </w:rPr>
              <w:t xml:space="preserve"> 注：投标人提供的技术培训方案及售后服务方案在合同实施阶段必须严格执行。投标人应认真对待方案和承诺内容，确保其真实性和可操作性，否则将承担相应的法律责任和违约后果。</w:t>
            </w:r>
            <w:r>
              <w:rPr>
                <w:rFonts w:hint="eastAsia" w:ascii="仿宋_GB2312" w:hAnsi="仿宋_GB2312" w:eastAsia="仿宋_GB2312" w:cs="仿宋_GB2312"/>
                <w:bCs/>
                <w:color w:val="auto"/>
                <w:sz w:val="24"/>
              </w:rPr>
              <w:t xml:space="preserve"> </w:t>
            </w:r>
          </w:p>
        </w:tc>
      </w:tr>
      <w:tr w14:paraId="7149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5" w:type="dxa"/>
            <w:gridSpan w:val="2"/>
            <w:tcBorders>
              <w:top w:val="single" w:color="auto" w:sz="4" w:space="0"/>
              <w:left w:val="single" w:color="auto" w:sz="4" w:space="0"/>
              <w:bottom w:val="single" w:color="auto" w:sz="4" w:space="0"/>
              <w:right w:val="single" w:color="auto" w:sz="4" w:space="0"/>
            </w:tcBorders>
            <w:vAlign w:val="center"/>
          </w:tcPr>
          <w:p w14:paraId="157C2C4F">
            <w:pPr>
              <w:pStyle w:val="27"/>
              <w:snapToGrid w:val="0"/>
              <w:spacing w:line="400" w:lineRule="exact"/>
              <w:ind w:right="-330" w:rightChars="-157"/>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四、</w:t>
            </w:r>
            <w:r>
              <w:rPr>
                <w:rFonts w:hint="eastAsia" w:ascii="仿宋_GB2312" w:hAnsi="仿宋_GB2312" w:eastAsia="仿宋_GB2312" w:cs="仿宋_GB2312"/>
                <w:b/>
                <w:color w:val="auto"/>
                <w:sz w:val="24"/>
                <w:szCs w:val="24"/>
              </w:rPr>
              <w:t>资信要求</w:t>
            </w:r>
          </w:p>
        </w:tc>
      </w:tr>
      <w:tr w14:paraId="6129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07" w:type="dxa"/>
            <w:tcBorders>
              <w:top w:val="single" w:color="auto" w:sz="4" w:space="0"/>
              <w:left w:val="single" w:color="auto" w:sz="4" w:space="0"/>
              <w:bottom w:val="single" w:color="auto" w:sz="4" w:space="0"/>
              <w:right w:val="single" w:color="auto" w:sz="4" w:space="0"/>
            </w:tcBorders>
            <w:vAlign w:val="center"/>
          </w:tcPr>
          <w:p w14:paraId="312F091B">
            <w:pPr>
              <w:spacing w:line="400" w:lineRule="exact"/>
              <w:ind w:right="-27" w:rightChars="-13"/>
              <w:jc w:val="left"/>
              <w:rPr>
                <w:rFonts w:ascii="仿宋_GB2312" w:hAnsi="仿宋_GB2312" w:eastAsia="仿宋_GB2312" w:cs="仿宋_GB2312"/>
                <w:bCs/>
                <w:color w:val="auto"/>
                <w:sz w:val="24"/>
              </w:rPr>
            </w:pPr>
            <w:r>
              <w:rPr>
                <w:rFonts w:ascii="仿宋_GB2312" w:hAnsi="仿宋_GB2312" w:eastAsia="仿宋_GB2312" w:cs="仿宋_GB2312"/>
                <w:bCs/>
                <w:color w:val="auto"/>
                <w:sz w:val="24"/>
              </w:rPr>
              <w:t>★政策性资格要求</w:t>
            </w:r>
          </w:p>
        </w:tc>
        <w:tc>
          <w:tcPr>
            <w:tcW w:w="8018" w:type="dxa"/>
            <w:tcBorders>
              <w:top w:val="single" w:color="auto" w:sz="4" w:space="0"/>
              <w:left w:val="single" w:color="auto" w:sz="4" w:space="0"/>
              <w:bottom w:val="single" w:color="auto" w:sz="4" w:space="0"/>
              <w:right w:val="single" w:color="auto" w:sz="4" w:space="0"/>
            </w:tcBorders>
            <w:vAlign w:val="center"/>
          </w:tcPr>
          <w:p w14:paraId="7209DF61">
            <w:pPr>
              <w:pStyle w:val="825"/>
              <w:spacing w:before="0" w:beforeAutospacing="0" w:after="0" w:afterAutospacing="0" w:line="400" w:lineRule="exact"/>
              <w:rPr>
                <w:rFonts w:ascii="仿宋_GB2312" w:hAnsi="仿宋_GB2312" w:eastAsia="仿宋_GB2312" w:cs="仿宋_GB2312"/>
                <w:color w:val="auto"/>
              </w:rPr>
            </w:pPr>
            <w:r>
              <w:rPr>
                <w:rStyle w:val="827"/>
                <w:rFonts w:hint="eastAsia" w:ascii="仿宋_GB2312" w:hAnsi="仿宋_GB2312" w:eastAsia="仿宋_GB2312" w:cs="仿宋_GB2312"/>
                <w:color w:val="auto"/>
              </w:rPr>
              <w:t>1.根据《政府采购促进中小企业发展管理办法》（财库〔2020〕46号），本项目属于专门面向中小企业采购的项目，</w:t>
            </w:r>
            <w:r>
              <w:rPr>
                <w:rFonts w:hint="eastAsia" w:ascii="仿宋_GB2312" w:hAnsi="仿宋_GB2312" w:eastAsia="仿宋_GB2312" w:cs="仿宋_GB2312"/>
                <w:color w:val="auto"/>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6C2980A9">
            <w:pPr>
              <w:pStyle w:val="825"/>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2.中小企业须符合本项目采购标的所属行业对应的中小企业划分标准：</w:t>
            </w:r>
          </w:p>
          <w:p w14:paraId="7E59171B">
            <w:pPr>
              <w:pStyle w:val="825"/>
              <w:spacing w:before="0" w:beforeAutospacing="0" w:after="0" w:afterAutospacing="0" w:line="400" w:lineRule="exact"/>
              <w:rPr>
                <w:rFonts w:ascii="仿宋_GB2312" w:hAnsi="仿宋_GB2312" w:eastAsia="仿宋_GB2312" w:cs="仿宋_GB2312"/>
                <w:color w:val="auto"/>
              </w:rPr>
            </w:pPr>
            <w:r>
              <w:rPr>
                <w:rStyle w:val="827"/>
                <w:rFonts w:hint="eastAsia" w:ascii="仿宋_GB2312" w:hAnsi="仿宋_GB2312" w:eastAsia="仿宋_GB2312" w:cs="仿宋_GB2312"/>
                <w:color w:val="auto"/>
              </w:rPr>
              <w:t>（1）采购标的对应的中小企业划分标准所属行业：</w:t>
            </w:r>
            <w:r>
              <w:rPr>
                <w:rStyle w:val="827"/>
                <w:rFonts w:hint="eastAsia" w:ascii="仿宋_GB2312" w:hAnsi="仿宋_GB2312" w:eastAsia="仿宋_GB2312" w:cs="仿宋_GB2312"/>
                <w:color w:val="auto"/>
                <w:u w:val="single"/>
              </w:rPr>
              <w:t>软件和信息技术服务业</w:t>
            </w:r>
            <w:r>
              <w:rPr>
                <w:rStyle w:val="827"/>
                <w:rFonts w:hint="eastAsia" w:ascii="仿宋_GB2312" w:hAnsi="仿宋_GB2312" w:eastAsia="仿宋_GB2312" w:cs="仿宋_GB2312"/>
                <w:color w:val="auto"/>
              </w:rPr>
              <w:t>。</w:t>
            </w:r>
          </w:p>
          <w:p w14:paraId="28F38CDE">
            <w:pPr>
              <w:pStyle w:val="825"/>
              <w:spacing w:before="0" w:beforeAutospacing="0" w:after="0" w:afterAutospacing="0" w:line="400" w:lineRule="exact"/>
              <w:rPr>
                <w:rFonts w:ascii="仿宋_GB2312" w:hAnsi="仿宋_GB2312" w:eastAsia="仿宋_GB2312" w:cs="仿宋_GB2312"/>
                <w:color w:val="auto"/>
              </w:rPr>
            </w:pPr>
            <w:r>
              <w:rPr>
                <w:rStyle w:val="827"/>
                <w:rFonts w:hint="eastAsia" w:ascii="仿宋_GB2312" w:hAnsi="仿宋_GB2312" w:eastAsia="仿宋_GB2312" w:cs="仿宋_GB2312"/>
                <w:color w:val="auto"/>
              </w:rPr>
              <w:t>（2）中小企业划分有关标准根据工信部等部委发布的《关于印发中小企业划型标准规定的通知》（工信部联企业〔2011〕300号）确定；</w:t>
            </w:r>
          </w:p>
          <w:p w14:paraId="1FD63FA6">
            <w:pPr>
              <w:pStyle w:val="829"/>
              <w:spacing w:before="0" w:beforeAutospacing="0" w:after="0" w:afterAutospacing="0" w:line="400" w:lineRule="exact"/>
              <w:rPr>
                <w:rFonts w:ascii="仿宋_GB2312" w:hAnsi="仿宋_GB2312" w:eastAsia="仿宋_GB2312" w:cs="仿宋_GB2312"/>
                <w:color w:val="auto"/>
              </w:rPr>
            </w:pPr>
            <w:r>
              <w:rPr>
                <w:rStyle w:val="827"/>
                <w:rFonts w:hint="eastAsia" w:ascii="仿宋_GB2312" w:hAnsi="仿宋_GB2312" w:eastAsia="仿宋_GB2312" w:cs="仿宋_GB2312"/>
                <w:color w:val="auto"/>
              </w:rPr>
              <w:t>（3）为方便投标人识别企业规模类型，投标人可使用工业和信息化部组织开发的中小企业规模类型自测小程序生成企业规模类型测试结果。自测小程序链接：https://baosong.miit.gov.cn/ScaleTest</w:t>
            </w:r>
          </w:p>
        </w:tc>
      </w:tr>
      <w:tr w14:paraId="5746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07" w:type="dxa"/>
            <w:tcBorders>
              <w:top w:val="single" w:color="auto" w:sz="4" w:space="0"/>
              <w:left w:val="single" w:color="auto" w:sz="4" w:space="0"/>
              <w:bottom w:val="single" w:color="auto" w:sz="4" w:space="0"/>
              <w:right w:val="single" w:color="auto" w:sz="4" w:space="0"/>
            </w:tcBorders>
            <w:vAlign w:val="center"/>
          </w:tcPr>
          <w:p w14:paraId="6817021D">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 xml:space="preserve">质量管理、企业信用要求（如有） </w:t>
            </w:r>
          </w:p>
        </w:tc>
        <w:tc>
          <w:tcPr>
            <w:tcW w:w="8018" w:type="dxa"/>
            <w:tcBorders>
              <w:top w:val="single" w:color="auto" w:sz="4" w:space="0"/>
              <w:left w:val="single" w:color="auto" w:sz="4" w:space="0"/>
              <w:bottom w:val="single" w:color="auto" w:sz="4" w:space="0"/>
              <w:right w:val="single" w:color="auto" w:sz="4" w:space="0"/>
            </w:tcBorders>
            <w:vAlign w:val="center"/>
          </w:tcPr>
          <w:p w14:paraId="058E3F86">
            <w:pPr>
              <w:pStyle w:val="483"/>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投标人或投标产品生产厂家具备有效的质量管理体系认证证书。</w:t>
            </w:r>
          </w:p>
        </w:tc>
      </w:tr>
      <w:tr w14:paraId="4FA89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07" w:type="dxa"/>
            <w:tcBorders>
              <w:top w:val="single" w:color="auto" w:sz="4" w:space="0"/>
              <w:left w:val="single" w:color="auto" w:sz="4" w:space="0"/>
              <w:bottom w:val="single" w:color="auto" w:sz="4" w:space="0"/>
              <w:right w:val="single" w:color="auto" w:sz="4" w:space="0"/>
            </w:tcBorders>
            <w:vAlign w:val="center"/>
          </w:tcPr>
          <w:p w14:paraId="65C35522">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能力或业绩要求（如有）</w:t>
            </w:r>
          </w:p>
        </w:tc>
        <w:tc>
          <w:tcPr>
            <w:tcW w:w="8018" w:type="dxa"/>
            <w:tcBorders>
              <w:top w:val="single" w:color="auto" w:sz="4" w:space="0"/>
              <w:left w:val="single" w:color="auto" w:sz="4" w:space="0"/>
              <w:bottom w:val="single" w:color="auto" w:sz="4" w:space="0"/>
              <w:right w:val="single" w:color="auto" w:sz="4" w:space="0"/>
            </w:tcBorders>
            <w:vAlign w:val="center"/>
          </w:tcPr>
          <w:p w14:paraId="361B82CF">
            <w:pPr>
              <w:pStyle w:val="503"/>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投标人2022年1月1日起至今本</w:t>
            </w:r>
            <w:r>
              <w:rPr>
                <w:rFonts w:hint="eastAsia" w:ascii="仿宋_GB2312" w:hAnsi="仿宋_GB2312" w:eastAsia="仿宋_GB2312" w:cs="仿宋_GB2312"/>
                <w:color w:val="auto"/>
                <w:lang w:val="en-US" w:eastAsia="zh-CN"/>
              </w:rPr>
              <w:t>分标</w:t>
            </w:r>
            <w:r>
              <w:rPr>
                <w:rFonts w:hint="eastAsia" w:ascii="仿宋_GB2312" w:hAnsi="仿宋_GB2312" w:eastAsia="仿宋_GB2312" w:cs="仿宋_GB2312"/>
                <w:color w:val="auto"/>
              </w:rPr>
              <w:t>所投产品在项目中被安装使用。</w:t>
            </w:r>
          </w:p>
        </w:tc>
      </w:tr>
      <w:tr w14:paraId="20DF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625" w:type="dxa"/>
            <w:gridSpan w:val="2"/>
            <w:tcBorders>
              <w:top w:val="single" w:color="auto" w:sz="4" w:space="0"/>
              <w:left w:val="single" w:color="auto" w:sz="4" w:space="0"/>
              <w:bottom w:val="single" w:color="auto" w:sz="4" w:space="0"/>
              <w:right w:val="single" w:color="auto" w:sz="4" w:space="0"/>
            </w:tcBorders>
            <w:vAlign w:val="center"/>
          </w:tcPr>
          <w:p w14:paraId="20E2B632">
            <w:pPr>
              <w:pStyle w:val="27"/>
              <w:snapToGrid w:val="0"/>
              <w:spacing w:line="400" w:lineRule="exact"/>
              <w:ind w:right="-330" w:rightChars="-157"/>
              <w:rPr>
                <w:rFonts w:ascii="仿宋_GB2312" w:hAnsi="仿宋_GB2312" w:eastAsia="仿宋_GB2312" w:cs="仿宋_GB2312"/>
                <w:bCs/>
                <w:color w:val="auto"/>
                <w:sz w:val="24"/>
                <w:szCs w:val="24"/>
              </w:rPr>
            </w:pPr>
            <w:r>
              <w:rPr>
                <w:rFonts w:hint="eastAsia" w:ascii="仿宋_GB2312" w:hAnsi="仿宋_GB2312" w:eastAsia="仿宋_GB2312" w:cs="仿宋_GB2312"/>
                <w:b/>
                <w:bCs/>
                <w:color w:val="auto"/>
                <w:sz w:val="24"/>
                <w:szCs w:val="24"/>
              </w:rPr>
              <w:t>五、其他要求</w:t>
            </w:r>
          </w:p>
        </w:tc>
      </w:tr>
      <w:tr w14:paraId="5B4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07" w:type="dxa"/>
            <w:tcBorders>
              <w:top w:val="single" w:color="auto" w:sz="4" w:space="0"/>
              <w:left w:val="single" w:color="auto" w:sz="4" w:space="0"/>
              <w:bottom w:val="single" w:color="auto" w:sz="4" w:space="0"/>
              <w:right w:val="single" w:color="auto" w:sz="4" w:space="0"/>
            </w:tcBorders>
            <w:vAlign w:val="center"/>
          </w:tcPr>
          <w:p w14:paraId="27FD1493">
            <w:pPr>
              <w:spacing w:line="400" w:lineRule="exact"/>
              <w:ind w:right="-107" w:rightChars="-51"/>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无</w:t>
            </w:r>
          </w:p>
        </w:tc>
        <w:tc>
          <w:tcPr>
            <w:tcW w:w="8018" w:type="dxa"/>
            <w:tcBorders>
              <w:top w:val="single" w:color="auto" w:sz="4" w:space="0"/>
              <w:left w:val="single" w:color="auto" w:sz="4" w:space="0"/>
              <w:bottom w:val="single" w:color="auto" w:sz="4" w:space="0"/>
              <w:right w:val="single" w:color="auto" w:sz="4" w:space="0"/>
            </w:tcBorders>
            <w:vAlign w:val="center"/>
          </w:tcPr>
          <w:p w14:paraId="447CD7C3">
            <w:pPr>
              <w:spacing w:line="400" w:lineRule="exact"/>
              <w:ind w:right="27" w:rightChars="13"/>
              <w:jc w:val="left"/>
              <w:rPr>
                <w:rFonts w:ascii="仿宋_GB2312" w:hAnsi="仿宋_GB2312" w:eastAsia="仿宋_GB2312" w:cs="仿宋_GB2312"/>
                <w:bCs/>
                <w:color w:val="auto"/>
                <w:sz w:val="24"/>
              </w:rPr>
            </w:pPr>
          </w:p>
        </w:tc>
      </w:tr>
    </w:tbl>
    <w:p w14:paraId="4DEE5940">
      <w:pPr>
        <w:spacing w:line="400" w:lineRule="exact"/>
        <w:jc w:val="left"/>
        <w:rPr>
          <w:rFonts w:ascii="仿宋_GB2312" w:hAnsi="仿宋_GB2312" w:eastAsia="仿宋_GB2312" w:cs="仿宋_GB2312"/>
          <w:b/>
          <w:bCs/>
          <w:color w:val="auto"/>
          <w:sz w:val="24"/>
        </w:rPr>
      </w:pPr>
    </w:p>
    <w:p w14:paraId="1100FE7E">
      <w:pPr>
        <w:pStyle w:val="30"/>
        <w:rPr>
          <w:rFonts w:ascii="仿宋_GB2312" w:hAnsi="仿宋_GB2312" w:eastAsia="仿宋_GB2312" w:cs="仿宋_GB2312"/>
          <w:b/>
          <w:bCs/>
          <w:color w:val="auto"/>
          <w:sz w:val="24"/>
        </w:rPr>
      </w:pPr>
    </w:p>
    <w:p w14:paraId="40E98F09">
      <w:pPr>
        <w:pStyle w:val="30"/>
        <w:rPr>
          <w:rFonts w:ascii="仿宋_GB2312" w:hAnsi="仿宋_GB2312" w:eastAsia="仿宋_GB2312" w:cs="仿宋_GB2312"/>
          <w:b/>
          <w:bCs/>
          <w:color w:val="auto"/>
          <w:sz w:val="24"/>
        </w:rPr>
      </w:pPr>
    </w:p>
    <w:p w14:paraId="438512C9">
      <w:pPr>
        <w:pStyle w:val="30"/>
        <w:rPr>
          <w:rFonts w:ascii="仿宋_GB2312" w:hAnsi="仿宋_GB2312" w:eastAsia="仿宋_GB2312" w:cs="仿宋_GB2312"/>
          <w:b/>
          <w:bCs/>
          <w:color w:val="auto"/>
          <w:sz w:val="24"/>
        </w:rPr>
      </w:pPr>
    </w:p>
    <w:p w14:paraId="7F50C5F7">
      <w:pPr>
        <w:pStyle w:val="30"/>
        <w:rPr>
          <w:rFonts w:ascii="仿宋_GB2312" w:hAnsi="仿宋_GB2312" w:eastAsia="仿宋_GB2312" w:cs="仿宋_GB2312"/>
          <w:b/>
          <w:bCs/>
          <w:color w:val="auto"/>
          <w:sz w:val="24"/>
        </w:rPr>
      </w:pPr>
    </w:p>
    <w:p w14:paraId="3D23A2BA">
      <w:pPr>
        <w:pStyle w:val="30"/>
        <w:rPr>
          <w:rFonts w:ascii="仿宋_GB2312" w:hAnsi="仿宋_GB2312" w:eastAsia="仿宋_GB2312" w:cs="仿宋_GB2312"/>
          <w:b/>
          <w:bCs/>
          <w:color w:val="auto"/>
          <w:sz w:val="24"/>
        </w:rPr>
      </w:pPr>
    </w:p>
    <w:p w14:paraId="5EAE9A32">
      <w:pPr>
        <w:pStyle w:val="30"/>
        <w:rPr>
          <w:rFonts w:ascii="仿宋_GB2312" w:hAnsi="仿宋_GB2312" w:eastAsia="仿宋_GB2312" w:cs="仿宋_GB2312"/>
          <w:b/>
          <w:bCs/>
          <w:color w:val="auto"/>
          <w:sz w:val="24"/>
        </w:rPr>
      </w:pPr>
    </w:p>
    <w:p w14:paraId="1ACD4383">
      <w:pPr>
        <w:pStyle w:val="30"/>
        <w:rPr>
          <w:rFonts w:ascii="仿宋_GB2312" w:hAnsi="仿宋_GB2312" w:eastAsia="仿宋_GB2312" w:cs="仿宋_GB2312"/>
          <w:b/>
          <w:bCs/>
          <w:color w:val="auto"/>
          <w:sz w:val="24"/>
        </w:rPr>
      </w:pPr>
    </w:p>
    <w:p w14:paraId="65148CBF">
      <w:pPr>
        <w:pStyle w:val="30"/>
        <w:rPr>
          <w:rFonts w:ascii="仿宋_GB2312" w:hAnsi="仿宋_GB2312" w:eastAsia="仿宋_GB2312" w:cs="仿宋_GB2312"/>
          <w:b/>
          <w:bCs/>
          <w:color w:val="auto"/>
          <w:sz w:val="24"/>
        </w:rPr>
      </w:pPr>
    </w:p>
    <w:p w14:paraId="4FAD316E">
      <w:pPr>
        <w:pStyle w:val="30"/>
        <w:rPr>
          <w:rFonts w:ascii="仿宋_GB2312" w:hAnsi="仿宋_GB2312" w:eastAsia="仿宋_GB2312" w:cs="仿宋_GB2312"/>
          <w:b/>
          <w:bCs/>
          <w:color w:val="auto"/>
          <w:sz w:val="24"/>
        </w:rPr>
      </w:pPr>
    </w:p>
    <w:p w14:paraId="21E71C8A">
      <w:pPr>
        <w:pStyle w:val="30"/>
        <w:ind w:left="0" w:leftChars="0"/>
        <w:rPr>
          <w:rFonts w:ascii="仿宋_GB2312" w:hAnsi="仿宋_GB2312" w:eastAsia="仿宋_GB2312" w:cs="仿宋_GB2312"/>
          <w:b/>
          <w:bCs/>
          <w:color w:val="auto"/>
          <w:sz w:val="24"/>
        </w:rPr>
      </w:pPr>
    </w:p>
    <w:p w14:paraId="63D829AF">
      <w:pPr>
        <w:pStyle w:val="40"/>
        <w:spacing w:line="400" w:lineRule="exact"/>
        <w:ind w:left="0" w:leftChars="0"/>
        <w:rPr>
          <w:rFonts w:ascii="仿宋_GB2312" w:hAnsi="仿宋_GB2312" w:eastAsia="仿宋_GB2312" w:cs="仿宋_GB2312"/>
          <w:b/>
          <w:bCs/>
          <w:color w:val="auto"/>
          <w:sz w:val="30"/>
          <w:szCs w:val="30"/>
        </w:rPr>
      </w:pPr>
      <w:r>
        <w:rPr>
          <w:rFonts w:hint="eastAsia" w:ascii="仿宋_GB2312" w:hAnsi="仿宋_GB2312" w:eastAsia="仿宋_GB2312" w:cs="仿宋_GB2312"/>
          <w:b/>
          <w:color w:val="auto"/>
          <w:kern w:val="0"/>
          <w:sz w:val="24"/>
          <w:szCs w:val="24"/>
        </w:rPr>
        <w:t>★</w:t>
      </w:r>
      <w:r>
        <w:rPr>
          <w:rFonts w:hint="eastAsia" w:ascii="仿宋_GB2312" w:hAnsi="仿宋_GB2312" w:eastAsia="仿宋_GB2312" w:cs="仿宋_GB2312"/>
          <w:b/>
          <w:bCs/>
          <w:color w:val="auto"/>
          <w:sz w:val="30"/>
          <w:szCs w:val="30"/>
        </w:rPr>
        <w:t>附件1：</w:t>
      </w:r>
    </w:p>
    <w:p w14:paraId="4119D6E3">
      <w:pPr>
        <w:pStyle w:val="40"/>
        <w:spacing w:line="400" w:lineRule="exact"/>
        <w:rPr>
          <w:rFonts w:ascii="仿宋_GB2312" w:hAnsi="仿宋_GB2312" w:eastAsia="仿宋_GB2312" w:cs="仿宋_GB2312"/>
          <w:b/>
          <w:bCs/>
          <w:color w:val="auto"/>
          <w:sz w:val="24"/>
          <w:szCs w:val="24"/>
        </w:rPr>
      </w:pPr>
    </w:p>
    <w:p w14:paraId="6E5D0FC9">
      <w:pPr>
        <w:pStyle w:val="40"/>
        <w:jc w:val="center"/>
        <w:rPr>
          <w:rFonts w:ascii="仿宋_GB2312" w:hAnsi="仿宋_GB2312" w:eastAsia="仿宋_GB2312" w:cs="仿宋_GB2312"/>
          <w:b/>
          <w:bCs/>
          <w:color w:val="auto"/>
          <w:sz w:val="48"/>
          <w:szCs w:val="48"/>
        </w:rPr>
      </w:pPr>
      <w:r>
        <w:rPr>
          <w:rFonts w:hint="eastAsia" w:ascii="仿宋_GB2312" w:hAnsi="仿宋_GB2312" w:eastAsia="仿宋_GB2312" w:cs="仿宋_GB2312"/>
          <w:b/>
          <w:bCs/>
          <w:color w:val="auto"/>
          <w:sz w:val="48"/>
          <w:szCs w:val="48"/>
        </w:rPr>
        <w:t>2023年广西数字技术与物流行业</w:t>
      </w:r>
    </w:p>
    <w:p w14:paraId="6B944E0F">
      <w:pPr>
        <w:pStyle w:val="40"/>
        <w:jc w:val="center"/>
        <w:rPr>
          <w:rFonts w:ascii="仿宋_GB2312" w:hAnsi="仿宋_GB2312" w:eastAsia="仿宋_GB2312" w:cs="仿宋_GB2312"/>
          <w:b/>
          <w:bCs/>
          <w:color w:val="auto"/>
          <w:sz w:val="48"/>
          <w:szCs w:val="48"/>
        </w:rPr>
      </w:pPr>
      <w:r>
        <w:rPr>
          <w:rFonts w:hint="eastAsia" w:ascii="仿宋_GB2312" w:hAnsi="仿宋_GB2312" w:eastAsia="仿宋_GB2312" w:cs="仿宋_GB2312"/>
          <w:b/>
          <w:bCs/>
          <w:color w:val="auto"/>
          <w:sz w:val="48"/>
          <w:szCs w:val="48"/>
        </w:rPr>
        <w:t>职业技能竞赛电子商务师项目</w:t>
      </w:r>
    </w:p>
    <w:p w14:paraId="691BE79A">
      <w:pPr>
        <w:pStyle w:val="40"/>
        <w:spacing w:line="400" w:lineRule="exact"/>
        <w:jc w:val="center"/>
        <w:rPr>
          <w:rFonts w:ascii="仿宋_GB2312" w:hAnsi="仿宋_GB2312" w:eastAsia="仿宋_GB2312" w:cs="仿宋_GB2312"/>
          <w:b/>
          <w:bCs/>
          <w:color w:val="auto"/>
          <w:sz w:val="24"/>
          <w:szCs w:val="24"/>
        </w:rPr>
      </w:pPr>
    </w:p>
    <w:p w14:paraId="6A09BA31">
      <w:pPr>
        <w:pStyle w:val="40"/>
        <w:spacing w:line="400" w:lineRule="exact"/>
        <w:jc w:val="center"/>
        <w:rPr>
          <w:rFonts w:ascii="仿宋_GB2312" w:hAnsi="仿宋_GB2312" w:eastAsia="仿宋_GB2312" w:cs="仿宋_GB2312"/>
          <w:b/>
          <w:bCs/>
          <w:color w:val="auto"/>
          <w:sz w:val="24"/>
          <w:szCs w:val="24"/>
        </w:rPr>
      </w:pPr>
    </w:p>
    <w:p w14:paraId="7FFC084C">
      <w:pPr>
        <w:pStyle w:val="40"/>
        <w:spacing w:line="400" w:lineRule="exact"/>
        <w:jc w:val="center"/>
        <w:rPr>
          <w:rFonts w:ascii="仿宋_GB2312" w:hAnsi="仿宋_GB2312" w:eastAsia="仿宋_GB2312" w:cs="仿宋_GB2312"/>
          <w:b/>
          <w:bCs/>
          <w:color w:val="auto"/>
          <w:sz w:val="36"/>
          <w:szCs w:val="36"/>
        </w:rPr>
      </w:pPr>
      <w:r>
        <w:rPr>
          <w:rFonts w:hint="eastAsia" w:ascii="仿宋_GB2312" w:hAnsi="仿宋_GB2312" w:eastAsia="仿宋_GB2312" w:cs="仿宋_GB2312"/>
          <w:b/>
          <w:bCs/>
          <w:color w:val="auto"/>
          <w:sz w:val="36"/>
          <w:szCs w:val="36"/>
        </w:rPr>
        <w:t>技术工作文件</w:t>
      </w:r>
    </w:p>
    <w:p w14:paraId="6AB6CA01">
      <w:pPr>
        <w:pStyle w:val="40"/>
        <w:spacing w:line="400" w:lineRule="exact"/>
        <w:rPr>
          <w:rFonts w:ascii="仿宋_GB2312" w:hAnsi="仿宋_GB2312" w:eastAsia="仿宋_GB2312" w:cs="仿宋_GB2312"/>
          <w:b/>
          <w:bCs/>
          <w:color w:val="auto"/>
          <w:sz w:val="24"/>
          <w:szCs w:val="24"/>
        </w:rPr>
      </w:pPr>
    </w:p>
    <w:p w14:paraId="0960884B">
      <w:pPr>
        <w:pStyle w:val="40"/>
        <w:spacing w:line="400" w:lineRule="exact"/>
        <w:rPr>
          <w:rFonts w:ascii="仿宋_GB2312" w:hAnsi="仿宋_GB2312" w:eastAsia="仿宋_GB2312" w:cs="仿宋_GB2312"/>
          <w:b/>
          <w:bCs/>
          <w:color w:val="auto"/>
          <w:sz w:val="24"/>
          <w:szCs w:val="24"/>
        </w:rPr>
      </w:pPr>
    </w:p>
    <w:p w14:paraId="0C7DFDC0">
      <w:pPr>
        <w:pStyle w:val="40"/>
        <w:spacing w:line="400" w:lineRule="exact"/>
        <w:rPr>
          <w:rFonts w:ascii="仿宋_GB2312" w:hAnsi="仿宋_GB2312" w:eastAsia="仿宋_GB2312" w:cs="仿宋_GB2312"/>
          <w:b/>
          <w:bCs/>
          <w:color w:val="auto"/>
          <w:sz w:val="24"/>
          <w:szCs w:val="24"/>
        </w:rPr>
      </w:pPr>
    </w:p>
    <w:p w14:paraId="69781B33">
      <w:pPr>
        <w:pStyle w:val="40"/>
        <w:spacing w:line="400" w:lineRule="exact"/>
        <w:rPr>
          <w:rFonts w:ascii="仿宋_GB2312" w:hAnsi="仿宋_GB2312" w:eastAsia="仿宋_GB2312" w:cs="仿宋_GB2312"/>
          <w:b/>
          <w:bCs/>
          <w:color w:val="auto"/>
          <w:sz w:val="24"/>
          <w:szCs w:val="24"/>
        </w:rPr>
      </w:pPr>
    </w:p>
    <w:p w14:paraId="0C1366D7">
      <w:pPr>
        <w:pStyle w:val="40"/>
        <w:spacing w:line="400" w:lineRule="exact"/>
        <w:rPr>
          <w:rFonts w:ascii="仿宋_GB2312" w:hAnsi="仿宋_GB2312" w:eastAsia="仿宋_GB2312" w:cs="仿宋_GB2312"/>
          <w:b/>
          <w:bCs/>
          <w:color w:val="auto"/>
          <w:sz w:val="24"/>
          <w:szCs w:val="24"/>
        </w:rPr>
      </w:pPr>
    </w:p>
    <w:p w14:paraId="4899BF4D">
      <w:pPr>
        <w:pStyle w:val="40"/>
        <w:spacing w:line="400" w:lineRule="exact"/>
        <w:rPr>
          <w:rFonts w:ascii="仿宋_GB2312" w:hAnsi="仿宋_GB2312" w:eastAsia="仿宋_GB2312" w:cs="仿宋_GB2312"/>
          <w:b/>
          <w:bCs/>
          <w:color w:val="auto"/>
          <w:sz w:val="24"/>
          <w:szCs w:val="24"/>
        </w:rPr>
      </w:pPr>
    </w:p>
    <w:p w14:paraId="21C48E65">
      <w:pPr>
        <w:pStyle w:val="40"/>
        <w:spacing w:line="400" w:lineRule="exact"/>
        <w:rPr>
          <w:rFonts w:ascii="仿宋_GB2312" w:hAnsi="仿宋_GB2312" w:eastAsia="仿宋_GB2312" w:cs="仿宋_GB2312"/>
          <w:b/>
          <w:bCs/>
          <w:color w:val="auto"/>
          <w:sz w:val="24"/>
          <w:szCs w:val="24"/>
        </w:rPr>
      </w:pPr>
    </w:p>
    <w:p w14:paraId="7C04713D">
      <w:pPr>
        <w:pStyle w:val="40"/>
        <w:spacing w:line="400" w:lineRule="exact"/>
        <w:rPr>
          <w:rFonts w:ascii="仿宋_GB2312" w:hAnsi="仿宋_GB2312" w:eastAsia="仿宋_GB2312" w:cs="仿宋_GB2312"/>
          <w:b/>
          <w:bCs/>
          <w:color w:val="auto"/>
          <w:sz w:val="24"/>
          <w:szCs w:val="24"/>
        </w:rPr>
      </w:pPr>
    </w:p>
    <w:p w14:paraId="6404BB81">
      <w:pPr>
        <w:pStyle w:val="40"/>
        <w:spacing w:line="400" w:lineRule="exact"/>
        <w:rPr>
          <w:rFonts w:ascii="仿宋_GB2312" w:hAnsi="仿宋_GB2312" w:eastAsia="仿宋_GB2312" w:cs="仿宋_GB2312"/>
          <w:b/>
          <w:bCs/>
          <w:color w:val="auto"/>
          <w:sz w:val="24"/>
          <w:szCs w:val="24"/>
        </w:rPr>
      </w:pPr>
    </w:p>
    <w:p w14:paraId="07431D49">
      <w:pPr>
        <w:pStyle w:val="40"/>
        <w:spacing w:line="400" w:lineRule="exact"/>
        <w:rPr>
          <w:rFonts w:ascii="仿宋_GB2312" w:hAnsi="仿宋_GB2312" w:eastAsia="仿宋_GB2312" w:cs="仿宋_GB2312"/>
          <w:b/>
          <w:bCs/>
          <w:color w:val="auto"/>
          <w:sz w:val="24"/>
          <w:szCs w:val="24"/>
        </w:rPr>
      </w:pPr>
    </w:p>
    <w:p w14:paraId="1844350C">
      <w:pPr>
        <w:pStyle w:val="40"/>
        <w:spacing w:line="400" w:lineRule="exact"/>
        <w:rPr>
          <w:rFonts w:ascii="仿宋_GB2312" w:hAnsi="仿宋_GB2312" w:eastAsia="仿宋_GB2312" w:cs="仿宋_GB2312"/>
          <w:b/>
          <w:bCs/>
          <w:color w:val="auto"/>
          <w:sz w:val="24"/>
          <w:szCs w:val="24"/>
        </w:rPr>
      </w:pPr>
    </w:p>
    <w:p w14:paraId="4FABE96F">
      <w:pPr>
        <w:pStyle w:val="40"/>
        <w:spacing w:line="400" w:lineRule="exact"/>
        <w:rPr>
          <w:rFonts w:ascii="仿宋_GB2312" w:hAnsi="仿宋_GB2312" w:eastAsia="仿宋_GB2312" w:cs="仿宋_GB2312"/>
          <w:b/>
          <w:bCs/>
          <w:color w:val="auto"/>
          <w:sz w:val="24"/>
          <w:szCs w:val="24"/>
        </w:rPr>
      </w:pPr>
    </w:p>
    <w:p w14:paraId="719CD16F">
      <w:pPr>
        <w:pStyle w:val="40"/>
        <w:spacing w:line="400" w:lineRule="exact"/>
        <w:rPr>
          <w:rFonts w:ascii="仿宋_GB2312" w:hAnsi="仿宋_GB2312" w:eastAsia="仿宋_GB2312" w:cs="仿宋_GB2312"/>
          <w:b/>
          <w:bCs/>
          <w:color w:val="auto"/>
          <w:sz w:val="24"/>
          <w:szCs w:val="24"/>
        </w:rPr>
      </w:pPr>
    </w:p>
    <w:p w14:paraId="58E0CD0E">
      <w:pPr>
        <w:pStyle w:val="40"/>
        <w:spacing w:line="400" w:lineRule="exact"/>
        <w:rPr>
          <w:rFonts w:ascii="仿宋_GB2312" w:hAnsi="仿宋_GB2312" w:eastAsia="仿宋_GB2312" w:cs="仿宋_GB2312"/>
          <w:b/>
          <w:bCs/>
          <w:color w:val="auto"/>
          <w:sz w:val="24"/>
          <w:szCs w:val="24"/>
        </w:rPr>
      </w:pPr>
    </w:p>
    <w:p w14:paraId="7DB8D4BD">
      <w:pPr>
        <w:pStyle w:val="40"/>
        <w:spacing w:line="400" w:lineRule="exact"/>
        <w:rPr>
          <w:rFonts w:ascii="仿宋_GB2312" w:hAnsi="仿宋_GB2312" w:eastAsia="仿宋_GB2312" w:cs="仿宋_GB2312"/>
          <w:b/>
          <w:bCs/>
          <w:color w:val="auto"/>
          <w:sz w:val="24"/>
          <w:szCs w:val="24"/>
        </w:rPr>
      </w:pPr>
    </w:p>
    <w:p w14:paraId="4500E621">
      <w:pPr>
        <w:pStyle w:val="40"/>
        <w:spacing w:line="400" w:lineRule="exact"/>
        <w:rPr>
          <w:rFonts w:ascii="仿宋_GB2312" w:hAnsi="仿宋_GB2312" w:eastAsia="仿宋_GB2312" w:cs="仿宋_GB2312"/>
          <w:b/>
          <w:bCs/>
          <w:color w:val="auto"/>
          <w:sz w:val="24"/>
          <w:szCs w:val="24"/>
        </w:rPr>
      </w:pPr>
    </w:p>
    <w:p w14:paraId="064EF568">
      <w:pPr>
        <w:pStyle w:val="40"/>
        <w:spacing w:line="400" w:lineRule="exact"/>
        <w:jc w:val="center"/>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2023年广西数字技术与物流行业职业技能竞赛组委会</w:t>
      </w:r>
    </w:p>
    <w:p w14:paraId="74D94C8C">
      <w:pPr>
        <w:pStyle w:val="40"/>
        <w:spacing w:line="400" w:lineRule="exact"/>
        <w:jc w:val="center"/>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2023年9月</w:t>
      </w:r>
    </w:p>
    <w:p w14:paraId="5B794A62">
      <w:pPr>
        <w:pStyle w:val="4"/>
        <w:spacing w:before="0" w:line="400" w:lineRule="exact"/>
        <w:jc w:val="left"/>
        <w:rPr>
          <w:rFonts w:ascii="仿宋_GB2312" w:hAnsi="仿宋_GB2312" w:eastAsia="仿宋_GB2312" w:cs="仿宋_GB2312"/>
          <w:b w:val="0"/>
          <w:color w:val="auto"/>
          <w:sz w:val="24"/>
          <w:szCs w:val="24"/>
        </w:rPr>
      </w:pPr>
      <w:bookmarkStart w:id="31" w:name="_Toc27983_WPSOffice_Level1"/>
      <w:bookmarkStart w:id="32" w:name="_Toc20261"/>
      <w:r>
        <w:rPr>
          <w:rFonts w:hint="eastAsia" w:ascii="仿宋_GB2312" w:hAnsi="仿宋_GB2312" w:eastAsia="仿宋_GB2312" w:cs="仿宋_GB2312"/>
          <w:b w:val="0"/>
          <w:color w:val="auto"/>
          <w:sz w:val="24"/>
          <w:szCs w:val="24"/>
        </w:rPr>
        <w:t>一、技术描述</w:t>
      </w:r>
      <w:bookmarkEnd w:id="31"/>
      <w:bookmarkEnd w:id="32"/>
    </w:p>
    <w:p w14:paraId="6D179DAA">
      <w:pPr>
        <w:pStyle w:val="5"/>
        <w:spacing w:before="0" w:after="0" w:line="400" w:lineRule="exact"/>
        <w:rPr>
          <w:rFonts w:ascii="仿宋_GB2312" w:hAnsi="仿宋_GB2312" w:eastAsia="仿宋_GB2312" w:cs="仿宋_GB2312"/>
          <w:color w:val="auto"/>
          <w:sz w:val="24"/>
          <w:szCs w:val="24"/>
        </w:rPr>
      </w:pPr>
      <w:bookmarkStart w:id="33" w:name="_Toc10188"/>
      <w:r>
        <w:rPr>
          <w:rFonts w:hint="eastAsia" w:ascii="仿宋_GB2312" w:hAnsi="仿宋_GB2312" w:eastAsia="仿宋_GB2312" w:cs="仿宋_GB2312"/>
          <w:color w:val="auto"/>
          <w:sz w:val="24"/>
          <w:szCs w:val="24"/>
        </w:rPr>
        <w:t>（一）项目概要</w:t>
      </w:r>
      <w:bookmarkEnd w:id="33"/>
    </w:p>
    <w:p w14:paraId="4EDF310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依据《国家职业分类大典》拟定竞赛项目为电子商务师。</w:t>
      </w:r>
    </w:p>
    <w:tbl>
      <w:tblPr>
        <w:tblStyle w:val="51"/>
        <w:tblW w:w="9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6575"/>
      </w:tblGrid>
      <w:tr w14:paraId="4604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33" w:type="dxa"/>
            <w:vAlign w:val="center"/>
          </w:tcPr>
          <w:p w14:paraId="0DE6B7CA">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职业名称</w:t>
            </w:r>
          </w:p>
        </w:tc>
        <w:tc>
          <w:tcPr>
            <w:tcW w:w="6575" w:type="dxa"/>
            <w:vAlign w:val="center"/>
          </w:tcPr>
          <w:p w14:paraId="6A7BB6E4">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电子商务师</w:t>
            </w:r>
          </w:p>
        </w:tc>
      </w:tr>
      <w:tr w14:paraId="696B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33" w:type="dxa"/>
            <w:vAlign w:val="center"/>
          </w:tcPr>
          <w:p w14:paraId="1A4F4FA5">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职业编码</w:t>
            </w:r>
          </w:p>
        </w:tc>
        <w:tc>
          <w:tcPr>
            <w:tcW w:w="6575" w:type="dxa"/>
            <w:vAlign w:val="center"/>
          </w:tcPr>
          <w:p w14:paraId="0C1925DC">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4-01-06-01</w:t>
            </w:r>
          </w:p>
        </w:tc>
      </w:tr>
      <w:tr w14:paraId="1562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33" w:type="dxa"/>
            <w:vAlign w:val="center"/>
          </w:tcPr>
          <w:p w14:paraId="14DA63AB">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定义</w:t>
            </w:r>
          </w:p>
        </w:tc>
        <w:tc>
          <w:tcPr>
            <w:tcW w:w="6575" w:type="dxa"/>
            <w:vAlign w:val="center"/>
          </w:tcPr>
          <w:p w14:paraId="3FA4AFBA">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在互联网及现代信息技术平台上，利用推广营销手段提高店铺运营数据的人员。</w:t>
            </w:r>
          </w:p>
        </w:tc>
      </w:tr>
    </w:tbl>
    <w:p w14:paraId="696777A4">
      <w:pPr>
        <w:pStyle w:val="5"/>
        <w:spacing w:before="0" w:after="0" w:line="400" w:lineRule="exact"/>
        <w:rPr>
          <w:rFonts w:ascii="仿宋_GB2312" w:hAnsi="仿宋_GB2312" w:eastAsia="仿宋_GB2312" w:cs="仿宋_GB2312"/>
          <w:color w:val="auto"/>
          <w:sz w:val="24"/>
          <w:szCs w:val="24"/>
        </w:rPr>
      </w:pPr>
      <w:bookmarkStart w:id="34" w:name="_Toc21059"/>
      <w:r>
        <w:rPr>
          <w:rFonts w:hint="eastAsia" w:ascii="仿宋_GB2312" w:hAnsi="仿宋_GB2312" w:eastAsia="仿宋_GB2312" w:cs="仿宋_GB2312"/>
          <w:color w:val="auto"/>
          <w:sz w:val="24"/>
          <w:szCs w:val="24"/>
        </w:rPr>
        <w:t>（二）基本知识与能力要求</w:t>
      </w:r>
      <w:bookmarkEnd w:id="34"/>
    </w:p>
    <w:tbl>
      <w:tblPr>
        <w:tblStyle w:val="51"/>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5690"/>
        <w:gridCol w:w="1994"/>
      </w:tblGrid>
      <w:tr w14:paraId="2CCC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94" w:type="dxa"/>
            <w:gridSpan w:val="2"/>
            <w:tcBorders>
              <w:top w:val="single" w:color="auto" w:sz="4" w:space="0"/>
              <w:left w:val="single" w:color="auto" w:sz="4" w:space="0"/>
              <w:bottom w:val="single" w:color="auto" w:sz="4" w:space="0"/>
              <w:right w:val="single" w:color="auto" w:sz="4" w:space="0"/>
            </w:tcBorders>
            <w:vAlign w:val="center"/>
          </w:tcPr>
          <w:p w14:paraId="701651FF">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相关要求</w:t>
            </w:r>
          </w:p>
        </w:tc>
        <w:tc>
          <w:tcPr>
            <w:tcW w:w="1994" w:type="dxa"/>
            <w:tcBorders>
              <w:top w:val="single" w:color="auto" w:sz="4" w:space="0"/>
              <w:left w:val="single" w:color="auto" w:sz="4" w:space="0"/>
              <w:bottom w:val="single" w:color="auto" w:sz="4" w:space="0"/>
              <w:right w:val="single" w:color="auto" w:sz="4" w:space="0"/>
            </w:tcBorders>
            <w:vAlign w:val="center"/>
          </w:tcPr>
          <w:p w14:paraId="0318F855">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权重比例 (%)</w:t>
            </w:r>
          </w:p>
        </w:tc>
      </w:tr>
      <w:tr w14:paraId="0D27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04" w:type="dxa"/>
            <w:tcBorders>
              <w:top w:val="single" w:color="auto" w:sz="4" w:space="0"/>
              <w:left w:val="single" w:color="auto" w:sz="4" w:space="0"/>
              <w:bottom w:val="single" w:color="auto" w:sz="4" w:space="0"/>
              <w:right w:val="single" w:color="auto" w:sz="4" w:space="0"/>
            </w:tcBorders>
            <w:vAlign w:val="center"/>
          </w:tcPr>
          <w:p w14:paraId="6FABAAE6">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w:t>
            </w:r>
          </w:p>
        </w:tc>
        <w:tc>
          <w:tcPr>
            <w:tcW w:w="5690" w:type="dxa"/>
            <w:tcBorders>
              <w:top w:val="single" w:color="auto" w:sz="4" w:space="0"/>
              <w:left w:val="single" w:color="auto" w:sz="4" w:space="0"/>
              <w:bottom w:val="single" w:color="auto" w:sz="4" w:space="0"/>
              <w:right w:val="single" w:color="auto" w:sz="4" w:space="0"/>
            </w:tcBorders>
            <w:vAlign w:val="center"/>
          </w:tcPr>
          <w:p w14:paraId="31734319">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网店直播</w:t>
            </w:r>
          </w:p>
        </w:tc>
        <w:tc>
          <w:tcPr>
            <w:tcW w:w="1994" w:type="dxa"/>
            <w:vMerge w:val="restart"/>
            <w:tcBorders>
              <w:top w:val="single" w:color="auto" w:sz="4" w:space="0"/>
              <w:left w:val="single" w:color="auto" w:sz="4" w:space="0"/>
              <w:bottom w:val="single" w:color="auto" w:sz="4" w:space="0"/>
              <w:right w:val="single" w:color="auto" w:sz="4" w:space="0"/>
            </w:tcBorders>
            <w:vAlign w:val="center"/>
          </w:tcPr>
          <w:p w14:paraId="1F6AEADD">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w:t>
            </w:r>
          </w:p>
        </w:tc>
      </w:tr>
      <w:tr w14:paraId="0FE1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1504" w:type="dxa"/>
            <w:tcBorders>
              <w:top w:val="single" w:color="auto" w:sz="4" w:space="0"/>
              <w:left w:val="single" w:color="auto" w:sz="4" w:space="0"/>
              <w:bottom w:val="single" w:color="auto" w:sz="4" w:space="0"/>
              <w:right w:val="single" w:color="auto" w:sz="4" w:space="0"/>
            </w:tcBorders>
            <w:vAlign w:val="center"/>
          </w:tcPr>
          <w:p w14:paraId="17741053">
            <w:pPr>
              <w:pStyle w:val="819"/>
              <w:numPr>
                <w:ilvl w:val="0"/>
                <w:numId w:val="0"/>
              </w:numPr>
              <w:snapToGrid w:val="0"/>
              <w:spacing w:line="400" w:lineRule="exact"/>
              <w:jc w:val="lef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基本知识</w:t>
            </w:r>
          </w:p>
        </w:tc>
        <w:tc>
          <w:tcPr>
            <w:tcW w:w="5690" w:type="dxa"/>
            <w:tcBorders>
              <w:top w:val="single" w:color="auto" w:sz="4" w:space="0"/>
              <w:left w:val="single" w:color="auto" w:sz="4" w:space="0"/>
              <w:bottom w:val="single" w:color="auto" w:sz="4" w:space="0"/>
              <w:right w:val="single" w:color="auto" w:sz="4" w:space="0"/>
            </w:tcBorders>
            <w:vAlign w:val="center"/>
          </w:tcPr>
          <w:p w14:paraId="142027CC">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市场信息的分析方法</w:t>
            </w:r>
          </w:p>
          <w:p w14:paraId="3EA8E74A">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选品方案制定方法</w:t>
            </w:r>
          </w:p>
          <w:p w14:paraId="78364266">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商品价格分析方法</w:t>
            </w:r>
          </w:p>
          <w:p w14:paraId="163EE4CE">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直播规划要点</w:t>
            </w:r>
          </w:p>
          <w:p w14:paraId="7A9036C3">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脚本策划要素</w:t>
            </w:r>
          </w:p>
          <w:p w14:paraId="25E99D26">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直播推广渠道选择方法</w:t>
            </w:r>
          </w:p>
          <w:p w14:paraId="595A7D16">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直播复盘指标和原则</w:t>
            </w:r>
          </w:p>
          <w:p w14:paraId="1695931C">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直播开场技巧</w:t>
            </w:r>
          </w:p>
          <w:p w14:paraId="58A042F8">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个人情绪管控技巧</w:t>
            </w:r>
          </w:p>
          <w:p w14:paraId="07D9FA85">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直播间气氛调动技巧</w:t>
            </w:r>
          </w:p>
          <w:p w14:paraId="4520EA68">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直播互动的常见方式</w:t>
            </w:r>
          </w:p>
          <w:p w14:paraId="2FC1BF07">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直播售卖技巧及方法</w:t>
            </w:r>
          </w:p>
          <w:p w14:paraId="7CE5A913">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直播收尾思路</w:t>
            </w:r>
          </w:p>
          <w:p w14:paraId="0F3D6F3B">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直播间突发状况处理方法</w:t>
            </w:r>
          </w:p>
        </w:tc>
        <w:tc>
          <w:tcPr>
            <w:tcW w:w="1994" w:type="dxa"/>
            <w:vMerge w:val="continue"/>
            <w:tcBorders>
              <w:top w:val="single" w:color="auto" w:sz="4" w:space="0"/>
              <w:left w:val="single" w:color="auto" w:sz="4" w:space="0"/>
              <w:bottom w:val="single" w:color="auto" w:sz="4" w:space="0"/>
              <w:right w:val="single" w:color="auto" w:sz="4" w:space="0"/>
            </w:tcBorders>
            <w:vAlign w:val="center"/>
          </w:tcPr>
          <w:p w14:paraId="273EC93F">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p>
        </w:tc>
      </w:tr>
      <w:tr w14:paraId="48F8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04" w:type="dxa"/>
            <w:tcBorders>
              <w:top w:val="single" w:color="auto" w:sz="4" w:space="0"/>
              <w:left w:val="single" w:color="auto" w:sz="4" w:space="0"/>
              <w:bottom w:val="single" w:color="auto" w:sz="4" w:space="0"/>
              <w:right w:val="single" w:color="auto" w:sz="4" w:space="0"/>
            </w:tcBorders>
            <w:vAlign w:val="center"/>
          </w:tcPr>
          <w:p w14:paraId="0B573E3E">
            <w:pPr>
              <w:pStyle w:val="819"/>
              <w:numPr>
                <w:ilvl w:val="0"/>
                <w:numId w:val="0"/>
              </w:numPr>
              <w:snapToGrid w:val="0"/>
              <w:spacing w:line="400" w:lineRule="exact"/>
              <w:jc w:val="lef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工作能力</w:t>
            </w:r>
          </w:p>
        </w:tc>
        <w:tc>
          <w:tcPr>
            <w:tcW w:w="5690" w:type="dxa"/>
            <w:tcBorders>
              <w:top w:val="single" w:color="auto" w:sz="4" w:space="0"/>
              <w:left w:val="single" w:color="auto" w:sz="4" w:space="0"/>
              <w:bottom w:val="single" w:color="auto" w:sz="4" w:space="0"/>
              <w:right w:val="single" w:color="auto" w:sz="4" w:space="0"/>
            </w:tcBorders>
            <w:vAlign w:val="center"/>
          </w:tcPr>
          <w:p w14:paraId="36BF1E31">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市场信息分析的能力</w:t>
            </w:r>
          </w:p>
          <w:p w14:paraId="787427C1">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直播规划的能力</w:t>
            </w:r>
          </w:p>
          <w:p w14:paraId="7ACFD654">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脚本策划的能力</w:t>
            </w:r>
          </w:p>
          <w:p w14:paraId="4FAC9CAD">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直播间视觉营销设计的能力</w:t>
            </w:r>
          </w:p>
          <w:p w14:paraId="54FEB5C7">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直播推广的能力</w:t>
            </w:r>
          </w:p>
          <w:p w14:paraId="479121CD">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直播数据分析的能力</w:t>
            </w:r>
          </w:p>
          <w:p w14:paraId="0272E716">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个人情绪管理的能力</w:t>
            </w:r>
          </w:p>
          <w:p w14:paraId="053657A1">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直播间氛围调动的能力</w:t>
            </w:r>
          </w:p>
          <w:p w14:paraId="1EB5DB60">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商品售卖的能力</w:t>
            </w:r>
          </w:p>
          <w:p w14:paraId="126BED55">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突发状况应变的能力</w:t>
            </w:r>
          </w:p>
        </w:tc>
        <w:tc>
          <w:tcPr>
            <w:tcW w:w="1994" w:type="dxa"/>
            <w:vMerge w:val="continue"/>
            <w:tcBorders>
              <w:top w:val="single" w:color="auto" w:sz="4" w:space="0"/>
              <w:left w:val="single" w:color="auto" w:sz="4" w:space="0"/>
              <w:bottom w:val="single" w:color="auto" w:sz="4" w:space="0"/>
              <w:right w:val="single" w:color="auto" w:sz="4" w:space="0"/>
            </w:tcBorders>
            <w:vAlign w:val="center"/>
          </w:tcPr>
          <w:p w14:paraId="5B6293FF">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p>
        </w:tc>
      </w:tr>
      <w:tr w14:paraId="5D1B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43F7F8DA">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c>
          <w:tcPr>
            <w:tcW w:w="5690" w:type="dxa"/>
            <w:tcBorders>
              <w:top w:val="single" w:color="auto" w:sz="4" w:space="0"/>
              <w:left w:val="single" w:color="auto" w:sz="4" w:space="0"/>
              <w:bottom w:val="single" w:color="auto" w:sz="4" w:space="0"/>
              <w:right w:val="single" w:color="auto" w:sz="4" w:space="0"/>
            </w:tcBorders>
            <w:vAlign w:val="center"/>
          </w:tcPr>
          <w:p w14:paraId="37CF3904">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视觉营销设计</w:t>
            </w:r>
          </w:p>
        </w:tc>
        <w:tc>
          <w:tcPr>
            <w:tcW w:w="1994" w:type="dxa"/>
            <w:vMerge w:val="restart"/>
            <w:tcBorders>
              <w:top w:val="single" w:color="auto" w:sz="4" w:space="0"/>
              <w:left w:val="single" w:color="auto" w:sz="4" w:space="0"/>
              <w:right w:val="single" w:color="auto" w:sz="4" w:space="0"/>
            </w:tcBorders>
            <w:vAlign w:val="center"/>
          </w:tcPr>
          <w:p w14:paraId="7779019F">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r>
      <w:tr w14:paraId="7EE1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08D369BA">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基本知识</w:t>
            </w:r>
          </w:p>
        </w:tc>
        <w:tc>
          <w:tcPr>
            <w:tcW w:w="5690" w:type="dxa"/>
            <w:tcBorders>
              <w:top w:val="single" w:color="auto" w:sz="4" w:space="0"/>
              <w:left w:val="single" w:color="auto" w:sz="4" w:space="0"/>
              <w:bottom w:val="single" w:color="auto" w:sz="4" w:space="0"/>
              <w:right w:val="single" w:color="auto" w:sz="4" w:space="0"/>
            </w:tcBorders>
            <w:vAlign w:val="center"/>
          </w:tcPr>
          <w:p w14:paraId="465A688F">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店铺招牌、导航</w:t>
            </w:r>
          </w:p>
          <w:p w14:paraId="3BE35634">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店铺商品分类</w:t>
            </w:r>
          </w:p>
          <w:p w14:paraId="2C1994CE">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店铺广告图、轮播图</w:t>
            </w:r>
          </w:p>
          <w:p w14:paraId="314CE363">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商品推荐的布局</w:t>
            </w:r>
          </w:p>
          <w:p w14:paraId="62B1F5FA">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商品展示类的设计</w:t>
            </w:r>
          </w:p>
          <w:p w14:paraId="61F1067C">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吸引购买类的设计</w:t>
            </w:r>
          </w:p>
          <w:p w14:paraId="3561D659">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实力展示类的设计</w:t>
            </w:r>
          </w:p>
          <w:p w14:paraId="7D09EE9E">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关联销售类的设计</w:t>
            </w:r>
          </w:p>
        </w:tc>
        <w:tc>
          <w:tcPr>
            <w:tcW w:w="1994" w:type="dxa"/>
            <w:vMerge w:val="continue"/>
            <w:tcBorders>
              <w:left w:val="single" w:color="auto" w:sz="4" w:space="0"/>
              <w:right w:val="single" w:color="auto" w:sz="4" w:space="0"/>
            </w:tcBorders>
            <w:vAlign w:val="center"/>
          </w:tcPr>
          <w:p w14:paraId="1F315574">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p>
        </w:tc>
      </w:tr>
      <w:tr w14:paraId="45E5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162EA26B">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工作能力</w:t>
            </w:r>
          </w:p>
        </w:tc>
        <w:tc>
          <w:tcPr>
            <w:tcW w:w="5690" w:type="dxa"/>
            <w:tcBorders>
              <w:top w:val="single" w:color="auto" w:sz="4" w:space="0"/>
              <w:left w:val="single" w:color="auto" w:sz="4" w:space="0"/>
              <w:bottom w:val="single" w:color="auto" w:sz="4" w:space="0"/>
              <w:right w:val="single" w:color="auto" w:sz="4" w:space="0"/>
            </w:tcBorders>
            <w:vAlign w:val="center"/>
          </w:tcPr>
          <w:p w14:paraId="1D504BAE">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商品主图设计能力</w:t>
            </w:r>
          </w:p>
          <w:p w14:paraId="2148427E">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商品详情页设计能力</w:t>
            </w:r>
          </w:p>
          <w:p w14:paraId="349EC682">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店铺首页设计能力</w:t>
            </w:r>
          </w:p>
          <w:p w14:paraId="151EA954">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视觉营销设计能力</w:t>
            </w:r>
          </w:p>
        </w:tc>
        <w:tc>
          <w:tcPr>
            <w:tcW w:w="1994" w:type="dxa"/>
            <w:vMerge w:val="continue"/>
            <w:tcBorders>
              <w:left w:val="single" w:color="auto" w:sz="4" w:space="0"/>
              <w:bottom w:val="single" w:color="auto" w:sz="4" w:space="0"/>
              <w:right w:val="single" w:color="auto" w:sz="4" w:space="0"/>
            </w:tcBorders>
            <w:vAlign w:val="center"/>
          </w:tcPr>
          <w:p w14:paraId="7B4544E4">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p>
        </w:tc>
      </w:tr>
      <w:tr w14:paraId="538A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4C645774">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5690" w:type="dxa"/>
            <w:tcBorders>
              <w:top w:val="single" w:color="auto" w:sz="4" w:space="0"/>
              <w:left w:val="single" w:color="auto" w:sz="4" w:space="0"/>
              <w:bottom w:val="single" w:color="auto" w:sz="4" w:space="0"/>
              <w:right w:val="single" w:color="auto" w:sz="4" w:space="0"/>
            </w:tcBorders>
            <w:vAlign w:val="center"/>
          </w:tcPr>
          <w:p w14:paraId="4C29C492">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网上交易管理</w:t>
            </w:r>
          </w:p>
        </w:tc>
        <w:tc>
          <w:tcPr>
            <w:tcW w:w="1994" w:type="dxa"/>
            <w:vMerge w:val="restart"/>
            <w:tcBorders>
              <w:top w:val="single" w:color="auto" w:sz="4" w:space="0"/>
              <w:left w:val="single" w:color="auto" w:sz="4" w:space="0"/>
              <w:right w:val="single" w:color="auto" w:sz="4" w:space="0"/>
            </w:tcBorders>
            <w:vAlign w:val="center"/>
          </w:tcPr>
          <w:p w14:paraId="61B03B1F">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r>
      <w:tr w14:paraId="32AA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76A93AA3">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基本知识</w:t>
            </w:r>
          </w:p>
        </w:tc>
        <w:tc>
          <w:tcPr>
            <w:tcW w:w="5690" w:type="dxa"/>
            <w:tcBorders>
              <w:top w:val="single" w:color="auto" w:sz="4" w:space="0"/>
              <w:left w:val="single" w:color="auto" w:sz="4" w:space="0"/>
              <w:bottom w:val="single" w:color="auto" w:sz="4" w:space="0"/>
              <w:right w:val="single" w:color="auto" w:sz="4" w:space="0"/>
            </w:tcBorders>
            <w:vAlign w:val="center"/>
          </w:tcPr>
          <w:p w14:paraId="4F80F0E3">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客户信息管理</w:t>
            </w:r>
          </w:p>
          <w:p w14:paraId="5CCF7004">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交易评价处理</w:t>
            </w:r>
          </w:p>
          <w:p w14:paraId="116B3D76">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商品补货</w:t>
            </w:r>
          </w:p>
          <w:p w14:paraId="06E984E2">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商品采购价格与数量管理</w:t>
            </w:r>
          </w:p>
        </w:tc>
        <w:tc>
          <w:tcPr>
            <w:tcW w:w="1994" w:type="dxa"/>
            <w:vMerge w:val="continue"/>
            <w:tcBorders>
              <w:left w:val="single" w:color="auto" w:sz="4" w:space="0"/>
              <w:right w:val="single" w:color="auto" w:sz="4" w:space="0"/>
            </w:tcBorders>
            <w:vAlign w:val="center"/>
          </w:tcPr>
          <w:p w14:paraId="356BD9AD">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p>
        </w:tc>
      </w:tr>
      <w:tr w14:paraId="33D6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17CE58AE">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工作能力</w:t>
            </w:r>
          </w:p>
        </w:tc>
        <w:tc>
          <w:tcPr>
            <w:tcW w:w="5690" w:type="dxa"/>
            <w:tcBorders>
              <w:top w:val="single" w:color="auto" w:sz="4" w:space="0"/>
              <w:left w:val="single" w:color="auto" w:sz="4" w:space="0"/>
              <w:bottom w:val="single" w:color="auto" w:sz="4" w:space="0"/>
              <w:right w:val="single" w:color="auto" w:sz="4" w:space="0"/>
            </w:tcBorders>
            <w:vAlign w:val="center"/>
          </w:tcPr>
          <w:p w14:paraId="268F95A8">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市场分析的能力</w:t>
            </w:r>
          </w:p>
          <w:p w14:paraId="7C128BE2">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数据分析的能力</w:t>
            </w:r>
          </w:p>
          <w:p w14:paraId="3911A90E">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营销规划的能力</w:t>
            </w:r>
          </w:p>
        </w:tc>
        <w:tc>
          <w:tcPr>
            <w:tcW w:w="1994" w:type="dxa"/>
            <w:vMerge w:val="continue"/>
            <w:tcBorders>
              <w:left w:val="single" w:color="auto" w:sz="4" w:space="0"/>
              <w:right w:val="single" w:color="auto" w:sz="4" w:space="0"/>
            </w:tcBorders>
            <w:vAlign w:val="center"/>
          </w:tcPr>
          <w:p w14:paraId="559A48A3">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p>
        </w:tc>
      </w:tr>
      <w:tr w14:paraId="005E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00611394">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w:t>
            </w:r>
          </w:p>
        </w:tc>
        <w:tc>
          <w:tcPr>
            <w:tcW w:w="5690" w:type="dxa"/>
            <w:tcBorders>
              <w:top w:val="single" w:color="auto" w:sz="4" w:space="0"/>
              <w:left w:val="single" w:color="auto" w:sz="4" w:space="0"/>
              <w:bottom w:val="single" w:color="auto" w:sz="4" w:space="0"/>
              <w:right w:val="single" w:color="auto" w:sz="4" w:space="0"/>
            </w:tcBorders>
            <w:vAlign w:val="center"/>
          </w:tcPr>
          <w:p w14:paraId="793CC162">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网络客户服务</w:t>
            </w:r>
          </w:p>
        </w:tc>
        <w:tc>
          <w:tcPr>
            <w:tcW w:w="1994" w:type="dxa"/>
            <w:vMerge w:val="restart"/>
            <w:tcBorders>
              <w:left w:val="single" w:color="auto" w:sz="4" w:space="0"/>
              <w:right w:val="single" w:color="auto" w:sz="4" w:space="0"/>
            </w:tcBorders>
            <w:vAlign w:val="center"/>
          </w:tcPr>
          <w:p w14:paraId="7D02AD39">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r>
      <w:tr w14:paraId="73C9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46D5CC4F">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基本知识</w:t>
            </w:r>
          </w:p>
        </w:tc>
        <w:tc>
          <w:tcPr>
            <w:tcW w:w="5690" w:type="dxa"/>
            <w:tcBorders>
              <w:top w:val="single" w:color="auto" w:sz="4" w:space="0"/>
              <w:left w:val="single" w:color="auto" w:sz="4" w:space="0"/>
              <w:bottom w:val="single" w:color="auto" w:sz="4" w:space="0"/>
              <w:right w:val="single" w:color="auto" w:sz="4" w:space="0"/>
            </w:tcBorders>
            <w:vAlign w:val="center"/>
          </w:tcPr>
          <w:p w14:paraId="50E76B3B">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社群建立</w:t>
            </w:r>
          </w:p>
          <w:p w14:paraId="5F80F1AF">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表单分析</w:t>
            </w:r>
          </w:p>
          <w:p w14:paraId="25DBBEB9">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社群推广渠道选择</w:t>
            </w:r>
          </w:p>
          <w:p w14:paraId="6BDDF941">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社群运营规则设计</w:t>
            </w:r>
          </w:p>
          <w:p w14:paraId="599C4AF0">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客户等级分析</w:t>
            </w:r>
          </w:p>
          <w:p w14:paraId="25766AFF">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活动策划</w:t>
            </w:r>
          </w:p>
        </w:tc>
        <w:tc>
          <w:tcPr>
            <w:tcW w:w="1994" w:type="dxa"/>
            <w:vMerge w:val="continue"/>
            <w:tcBorders>
              <w:left w:val="single" w:color="auto" w:sz="4" w:space="0"/>
              <w:right w:val="single" w:color="auto" w:sz="4" w:space="0"/>
            </w:tcBorders>
            <w:vAlign w:val="center"/>
          </w:tcPr>
          <w:p w14:paraId="7E5C4B25">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p>
        </w:tc>
      </w:tr>
      <w:tr w14:paraId="3C27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533A7E8F">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工作能力</w:t>
            </w:r>
          </w:p>
        </w:tc>
        <w:tc>
          <w:tcPr>
            <w:tcW w:w="5690" w:type="dxa"/>
            <w:tcBorders>
              <w:top w:val="single" w:color="auto" w:sz="4" w:space="0"/>
              <w:left w:val="single" w:color="auto" w:sz="4" w:space="0"/>
              <w:bottom w:val="single" w:color="auto" w:sz="4" w:space="0"/>
              <w:right w:val="single" w:color="auto" w:sz="4" w:space="0"/>
            </w:tcBorders>
            <w:vAlign w:val="center"/>
          </w:tcPr>
          <w:p w14:paraId="1D12E870">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客户服务的能力</w:t>
            </w:r>
          </w:p>
          <w:p w14:paraId="35B31CF0">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客户分析的能力</w:t>
            </w:r>
          </w:p>
          <w:p w14:paraId="1FB9F63D">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活动策划的能力</w:t>
            </w:r>
          </w:p>
        </w:tc>
        <w:tc>
          <w:tcPr>
            <w:tcW w:w="1994" w:type="dxa"/>
            <w:vMerge w:val="continue"/>
            <w:tcBorders>
              <w:left w:val="single" w:color="auto" w:sz="4" w:space="0"/>
              <w:right w:val="single" w:color="auto" w:sz="4" w:space="0"/>
            </w:tcBorders>
            <w:vAlign w:val="center"/>
          </w:tcPr>
          <w:p w14:paraId="3C616AA6">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p>
        </w:tc>
      </w:tr>
      <w:tr w14:paraId="2110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036048FF">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c>
          <w:tcPr>
            <w:tcW w:w="5690" w:type="dxa"/>
            <w:tcBorders>
              <w:top w:val="single" w:color="auto" w:sz="4" w:space="0"/>
              <w:left w:val="single" w:color="auto" w:sz="4" w:space="0"/>
              <w:bottom w:val="single" w:color="auto" w:sz="4" w:space="0"/>
              <w:right w:val="single" w:color="auto" w:sz="4" w:space="0"/>
            </w:tcBorders>
            <w:vAlign w:val="center"/>
          </w:tcPr>
          <w:p w14:paraId="005374B0">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电子商务数据分析</w:t>
            </w:r>
          </w:p>
        </w:tc>
        <w:tc>
          <w:tcPr>
            <w:tcW w:w="1994" w:type="dxa"/>
            <w:vMerge w:val="restart"/>
            <w:tcBorders>
              <w:left w:val="single" w:color="auto" w:sz="4" w:space="0"/>
              <w:right w:val="single" w:color="auto" w:sz="4" w:space="0"/>
            </w:tcBorders>
            <w:vAlign w:val="center"/>
          </w:tcPr>
          <w:p w14:paraId="563AC5FC">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r>
      <w:tr w14:paraId="0F65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74677999">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基本知识</w:t>
            </w:r>
          </w:p>
        </w:tc>
        <w:tc>
          <w:tcPr>
            <w:tcW w:w="5690" w:type="dxa"/>
            <w:tcBorders>
              <w:top w:val="single" w:color="auto" w:sz="4" w:space="0"/>
              <w:left w:val="single" w:color="auto" w:sz="4" w:space="0"/>
              <w:bottom w:val="single" w:color="auto" w:sz="4" w:space="0"/>
              <w:right w:val="single" w:color="auto" w:sz="4" w:space="0"/>
            </w:tcBorders>
            <w:vAlign w:val="center"/>
          </w:tcPr>
          <w:p w14:paraId="72583F83">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流量来源数据分析</w:t>
            </w:r>
          </w:p>
          <w:p w14:paraId="447C22BF">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转化率数据分析</w:t>
            </w:r>
          </w:p>
          <w:p w14:paraId="2CDD033E">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复购率数据分析</w:t>
            </w:r>
          </w:p>
          <w:p w14:paraId="3D533F66">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客单价数据分析</w:t>
            </w:r>
          </w:p>
          <w:p w14:paraId="78C24E0D">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营销活动数据分析</w:t>
            </w:r>
          </w:p>
        </w:tc>
        <w:tc>
          <w:tcPr>
            <w:tcW w:w="1994" w:type="dxa"/>
            <w:vMerge w:val="continue"/>
            <w:tcBorders>
              <w:left w:val="single" w:color="auto" w:sz="4" w:space="0"/>
              <w:right w:val="single" w:color="auto" w:sz="4" w:space="0"/>
            </w:tcBorders>
            <w:vAlign w:val="center"/>
          </w:tcPr>
          <w:p w14:paraId="62622B43">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p>
        </w:tc>
      </w:tr>
      <w:tr w14:paraId="0641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3D35A416">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工作能力</w:t>
            </w:r>
          </w:p>
        </w:tc>
        <w:tc>
          <w:tcPr>
            <w:tcW w:w="5690" w:type="dxa"/>
            <w:tcBorders>
              <w:top w:val="single" w:color="auto" w:sz="4" w:space="0"/>
              <w:left w:val="single" w:color="auto" w:sz="4" w:space="0"/>
              <w:bottom w:val="single" w:color="auto" w:sz="4" w:space="0"/>
              <w:right w:val="single" w:color="auto" w:sz="4" w:space="0"/>
            </w:tcBorders>
            <w:vAlign w:val="center"/>
          </w:tcPr>
          <w:p w14:paraId="2B624D67">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数据分析的能力</w:t>
            </w:r>
          </w:p>
        </w:tc>
        <w:tc>
          <w:tcPr>
            <w:tcW w:w="1994" w:type="dxa"/>
            <w:vMerge w:val="continue"/>
            <w:tcBorders>
              <w:left w:val="single" w:color="auto" w:sz="4" w:space="0"/>
              <w:right w:val="single" w:color="auto" w:sz="4" w:space="0"/>
            </w:tcBorders>
            <w:vAlign w:val="center"/>
          </w:tcPr>
          <w:p w14:paraId="5806EF3E">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p>
        </w:tc>
      </w:tr>
      <w:tr w14:paraId="6FA4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79A16C2E">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w:t>
            </w:r>
          </w:p>
        </w:tc>
        <w:tc>
          <w:tcPr>
            <w:tcW w:w="5690" w:type="dxa"/>
            <w:tcBorders>
              <w:top w:val="single" w:color="auto" w:sz="4" w:space="0"/>
              <w:left w:val="single" w:color="auto" w:sz="4" w:space="0"/>
              <w:bottom w:val="single" w:color="auto" w:sz="4" w:space="0"/>
              <w:right w:val="single" w:color="auto" w:sz="4" w:space="0"/>
            </w:tcBorders>
            <w:vAlign w:val="center"/>
          </w:tcPr>
          <w:p w14:paraId="32664E7B">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网络推广</w:t>
            </w:r>
          </w:p>
        </w:tc>
        <w:tc>
          <w:tcPr>
            <w:tcW w:w="1994" w:type="dxa"/>
            <w:vMerge w:val="restart"/>
            <w:tcBorders>
              <w:left w:val="single" w:color="auto" w:sz="4" w:space="0"/>
              <w:right w:val="single" w:color="auto" w:sz="4" w:space="0"/>
            </w:tcBorders>
            <w:vAlign w:val="center"/>
          </w:tcPr>
          <w:p w14:paraId="5856CC1D">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w:t>
            </w:r>
          </w:p>
        </w:tc>
      </w:tr>
      <w:tr w14:paraId="1330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01B30071">
            <w:pPr>
              <w:pStyle w:val="819"/>
              <w:numPr>
                <w:ilvl w:val="0"/>
                <w:numId w:val="0"/>
              </w:numPr>
              <w:snapToGrid w:val="0"/>
              <w:spacing w:line="400" w:lineRule="exact"/>
              <w:jc w:val="lef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基本知识</w:t>
            </w:r>
          </w:p>
        </w:tc>
        <w:tc>
          <w:tcPr>
            <w:tcW w:w="5690" w:type="dxa"/>
            <w:tcBorders>
              <w:top w:val="single" w:color="auto" w:sz="4" w:space="0"/>
              <w:left w:val="single" w:color="auto" w:sz="4" w:space="0"/>
              <w:bottom w:val="single" w:color="auto" w:sz="4" w:space="0"/>
              <w:right w:val="single" w:color="auto" w:sz="4" w:space="0"/>
            </w:tcBorders>
            <w:vAlign w:val="center"/>
          </w:tcPr>
          <w:p w14:paraId="3CD132A9">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店铺商品分析</w:t>
            </w:r>
          </w:p>
          <w:p w14:paraId="6D29BB62">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买家搜索习惯分析</w:t>
            </w:r>
          </w:p>
          <w:p w14:paraId="37AC7C98">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买家需求分析</w:t>
            </w:r>
          </w:p>
          <w:p w14:paraId="73F051B1">
            <w:pPr>
              <w:pStyle w:val="819"/>
              <w:numPr>
                <w:ilvl w:val="0"/>
                <w:numId w:val="0"/>
              </w:numPr>
              <w:snapToGrid w:val="0"/>
              <w:spacing w:line="400" w:lineRule="exact"/>
              <w:ind w:left="720" w:hanging="720"/>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买家特征分析</w:t>
            </w:r>
          </w:p>
          <w:p w14:paraId="4915A625">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精准人群定位</w:t>
            </w:r>
          </w:p>
        </w:tc>
        <w:tc>
          <w:tcPr>
            <w:tcW w:w="1994" w:type="dxa"/>
            <w:vMerge w:val="continue"/>
            <w:tcBorders>
              <w:left w:val="single" w:color="auto" w:sz="4" w:space="0"/>
              <w:right w:val="single" w:color="auto" w:sz="4" w:space="0"/>
            </w:tcBorders>
            <w:vAlign w:val="center"/>
          </w:tcPr>
          <w:p w14:paraId="5E33C2EE">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p>
        </w:tc>
      </w:tr>
      <w:tr w14:paraId="0140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588A4E9A">
            <w:pPr>
              <w:pStyle w:val="819"/>
              <w:numPr>
                <w:ilvl w:val="0"/>
                <w:numId w:val="0"/>
              </w:numPr>
              <w:snapToGrid w:val="0"/>
              <w:spacing w:line="400" w:lineRule="exact"/>
              <w:jc w:val="lef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工作能力</w:t>
            </w:r>
          </w:p>
        </w:tc>
        <w:tc>
          <w:tcPr>
            <w:tcW w:w="5690" w:type="dxa"/>
            <w:tcBorders>
              <w:top w:val="single" w:color="auto" w:sz="4" w:space="0"/>
              <w:left w:val="single" w:color="auto" w:sz="4" w:space="0"/>
              <w:bottom w:val="single" w:color="auto" w:sz="4" w:space="0"/>
              <w:right w:val="single" w:color="auto" w:sz="4" w:space="0"/>
            </w:tcBorders>
            <w:vAlign w:val="center"/>
          </w:tcPr>
          <w:p w14:paraId="4D1F81FD">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商品分析的能力</w:t>
            </w:r>
          </w:p>
          <w:p w14:paraId="04BC6794">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关键词分析的能力</w:t>
            </w:r>
          </w:p>
          <w:p w14:paraId="1897C563">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标题优化的能力</w:t>
            </w:r>
          </w:p>
          <w:p w14:paraId="47CD3476">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数据分析的能力</w:t>
            </w:r>
          </w:p>
        </w:tc>
        <w:tc>
          <w:tcPr>
            <w:tcW w:w="1994" w:type="dxa"/>
            <w:vMerge w:val="continue"/>
            <w:tcBorders>
              <w:left w:val="single" w:color="auto" w:sz="4" w:space="0"/>
              <w:bottom w:val="single" w:color="auto" w:sz="4" w:space="0"/>
              <w:right w:val="single" w:color="auto" w:sz="4" w:space="0"/>
            </w:tcBorders>
            <w:vAlign w:val="center"/>
          </w:tcPr>
          <w:p w14:paraId="03C410F6">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p>
        </w:tc>
      </w:tr>
      <w:tr w14:paraId="2F98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4" w:type="dxa"/>
            <w:tcBorders>
              <w:top w:val="single" w:color="auto" w:sz="4" w:space="0"/>
              <w:left w:val="single" w:color="auto" w:sz="4" w:space="0"/>
              <w:bottom w:val="single" w:color="auto" w:sz="4" w:space="0"/>
              <w:right w:val="single" w:color="auto" w:sz="4" w:space="0"/>
            </w:tcBorders>
            <w:vAlign w:val="center"/>
          </w:tcPr>
          <w:p w14:paraId="791BEDDD">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合计</w:t>
            </w:r>
          </w:p>
        </w:tc>
        <w:tc>
          <w:tcPr>
            <w:tcW w:w="5690" w:type="dxa"/>
            <w:tcBorders>
              <w:top w:val="single" w:color="auto" w:sz="4" w:space="0"/>
              <w:left w:val="single" w:color="auto" w:sz="4" w:space="0"/>
              <w:bottom w:val="single" w:color="auto" w:sz="4" w:space="0"/>
              <w:right w:val="single" w:color="auto" w:sz="4" w:space="0"/>
            </w:tcBorders>
            <w:vAlign w:val="center"/>
          </w:tcPr>
          <w:p w14:paraId="048ACC39">
            <w:pPr>
              <w:pStyle w:val="819"/>
              <w:numPr>
                <w:ilvl w:val="0"/>
                <w:numId w:val="0"/>
              </w:numPr>
              <w:snapToGrid w:val="0"/>
              <w:spacing w:line="400" w:lineRule="exact"/>
              <w:rPr>
                <w:rFonts w:ascii="仿宋_GB2312" w:hAnsi="仿宋_GB2312" w:eastAsia="仿宋_GB2312" w:cs="仿宋_GB2312"/>
                <w:color w:val="auto"/>
                <w:sz w:val="24"/>
                <w:szCs w:val="24"/>
                <w:lang w:val="en-US" w:eastAsia="zh-CN"/>
              </w:rPr>
            </w:pPr>
          </w:p>
        </w:tc>
        <w:tc>
          <w:tcPr>
            <w:tcW w:w="1994" w:type="dxa"/>
            <w:tcBorders>
              <w:top w:val="single" w:color="auto" w:sz="4" w:space="0"/>
              <w:left w:val="single" w:color="auto" w:sz="4" w:space="0"/>
              <w:bottom w:val="single" w:color="auto" w:sz="4" w:space="0"/>
              <w:right w:val="single" w:color="auto" w:sz="4" w:space="0"/>
            </w:tcBorders>
            <w:vAlign w:val="center"/>
          </w:tcPr>
          <w:p w14:paraId="6DD21DC6">
            <w:pPr>
              <w:pStyle w:val="819"/>
              <w:numPr>
                <w:ilvl w:val="0"/>
                <w:numId w:val="0"/>
              </w:numPr>
              <w:snapToGrid w:val="0"/>
              <w:spacing w:line="400" w:lineRule="exact"/>
              <w:jc w:val="center"/>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100</w:t>
            </w:r>
          </w:p>
        </w:tc>
      </w:tr>
    </w:tbl>
    <w:p w14:paraId="0431626C">
      <w:pPr>
        <w:pStyle w:val="4"/>
        <w:spacing w:before="0" w:line="400" w:lineRule="exact"/>
        <w:jc w:val="left"/>
        <w:rPr>
          <w:rFonts w:ascii="仿宋_GB2312" w:hAnsi="仿宋_GB2312" w:eastAsia="仿宋_GB2312" w:cs="仿宋_GB2312"/>
          <w:b w:val="0"/>
          <w:color w:val="auto"/>
          <w:sz w:val="24"/>
          <w:szCs w:val="24"/>
        </w:rPr>
      </w:pPr>
      <w:bookmarkStart w:id="35" w:name="_Toc27970_WPSOffice_Level1"/>
      <w:bookmarkStart w:id="36" w:name="_Toc13963"/>
      <w:r>
        <w:rPr>
          <w:rFonts w:hint="eastAsia" w:ascii="仿宋_GB2312" w:hAnsi="仿宋_GB2312" w:eastAsia="仿宋_GB2312" w:cs="仿宋_GB2312"/>
          <w:b w:val="0"/>
          <w:color w:val="auto"/>
          <w:sz w:val="24"/>
          <w:szCs w:val="24"/>
        </w:rPr>
        <w:t>二、试题与评判标准</w:t>
      </w:r>
      <w:bookmarkEnd w:id="35"/>
      <w:bookmarkEnd w:id="36"/>
    </w:p>
    <w:p w14:paraId="235DF3EA">
      <w:pPr>
        <w:pStyle w:val="5"/>
        <w:spacing w:before="0" w:after="0" w:line="400" w:lineRule="exact"/>
        <w:rPr>
          <w:rFonts w:ascii="仿宋_GB2312" w:hAnsi="仿宋_GB2312" w:eastAsia="仿宋_GB2312" w:cs="仿宋_GB2312"/>
          <w:b w:val="0"/>
          <w:bCs w:val="0"/>
          <w:color w:val="auto"/>
          <w:sz w:val="24"/>
          <w:szCs w:val="24"/>
        </w:rPr>
      </w:pPr>
      <w:bookmarkStart w:id="37" w:name="_Toc7130"/>
      <w:r>
        <w:rPr>
          <w:rFonts w:hint="eastAsia" w:ascii="仿宋_GB2312" w:hAnsi="仿宋_GB2312" w:eastAsia="仿宋_GB2312" w:cs="仿宋_GB2312"/>
          <w:color w:val="auto"/>
          <w:sz w:val="24"/>
          <w:szCs w:val="24"/>
        </w:rPr>
        <w:t>（一）试题（样题）</w:t>
      </w:r>
      <w:bookmarkEnd w:id="37"/>
    </w:p>
    <w:p w14:paraId="0A3AA28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竞赛试题涵盖网店直播、视觉营销设计、网上交易管理、网络客户服务、电子商务数据分析与应用、网络推广六部分内容。</w:t>
      </w:r>
    </w:p>
    <w:p w14:paraId="7FA5F8C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1.视觉营销设计</w:t>
      </w:r>
    </w:p>
    <w:p w14:paraId="0216435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（1）背景资料</w:t>
      </w:r>
    </w:p>
    <w:p w14:paraId="114C6BF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艾米旗舰店是一家主营女装的店铺，现在有一款蕾丝衫需要上新，恰逢端午节来临之际，店铺的运营主管对新品蕾丝衫策划了“买就送”促销活动。根据店铺运营策略，运营主管制定了如下规则：此次活动开始时间为6.14日凌晨零点，前100名购买蕾丝衫的用户赠送太阳伞一把，第101-500名购买蕾丝衫的用户赠送端午节粽子2个，500名以后的用户下单蕾丝衫即赠送五彩绳一条，每个ID限赠一件礼品，赠完为止。</w:t>
      </w:r>
    </w:p>
    <w:p w14:paraId="520496C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基于此次店铺上新以及平台活动，网店运营人员准备对店铺的首页重新进行装修，提前为端午节造势，吸引更多的消费者。经过一番讨论，店铺的店长和运营人员初步确定了参加此次端午节跨店满减活动的主推商品：除了即将上新的蕾丝衫、雪纺衫，还包含几款销量和口碑都比较不错的半身裙作为爆款商品，以及几款断码的风衣作为折扣商品。</w:t>
      </w:r>
    </w:p>
    <w:p w14:paraId="09E30B2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确定好活动和上新产品后，运营人员决定以这几款商品的卖点和此次端午节活动的主题为基础，并结合店铺风格定位，重新排版和设计首页，增强买家对艾米旗舰店的品牌意识和记忆。</w:t>
      </w:r>
    </w:p>
    <w:p w14:paraId="0EF0440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现在需要设计PC端的商品详情页、PC端的活动页以及移动端的商品首页。</w:t>
      </w:r>
    </w:p>
    <w:p w14:paraId="7F905A9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（2）具体考核要求</w:t>
      </w:r>
    </w:p>
    <w:p w14:paraId="51CC761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1）PC端商品详情页排版与布局</w:t>
      </w:r>
    </w:p>
    <w:p w14:paraId="69310AD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要求：能够根据背景描述，构思并完成PC端商品详情页的主要排版与布局，PC端商品详情页与商品定位一致，整体策划完整，设计独特、简洁。</w:t>
      </w:r>
    </w:p>
    <w:p w14:paraId="0D93D00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2）PC端活动页设计与制作</w:t>
      </w:r>
    </w:p>
    <w:p w14:paraId="06C9FAB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要求：能够根据背景描述，构思并完成PC端活动页的设计与布局，突出营销主题，视觉设计感强，整体风格统一。</w:t>
      </w:r>
    </w:p>
    <w:p w14:paraId="19A0E22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3）移动端首页排版与布局</w:t>
      </w:r>
    </w:p>
    <w:p w14:paraId="58EB889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要求：能够根据背景描述，构思并完成移动端首页排版与布局，</w:t>
      </w:r>
    </w:p>
    <w:p w14:paraId="30EB91C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布局设计有一定的创新性和营销导向，整体符合电商首页一般装修逻辑。</w:t>
      </w:r>
    </w:p>
    <w:p w14:paraId="5C19D16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2.网上交易管理</w:t>
      </w:r>
    </w:p>
    <w:p w14:paraId="2B9ABEE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（1）背景资料</w:t>
      </w:r>
    </w:p>
    <w:p w14:paraId="7A264EE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经过一段时间的经营，艾米旗舰店已经有了大量的客户积累，为提升用户的购物体验，运营负责人决定对目前购买过店铺商品的客户进行客户画像分析，通过总结和提炼客户信息，实现精准营销。</w:t>
      </w:r>
    </w:p>
    <w:p w14:paraId="4219798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近段时间店铺上新了一款蕾丝衫，经过一个月的销售，有了一定的成交量，店铺想通过对客户评价进行分析，尤其是差评分析（3星及以下），来发现该商品的亮点和问题。</w:t>
      </w:r>
    </w:p>
    <w:p w14:paraId="1AB7C37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2021年7月21日，运营负责人对部分商品进行销售情况调查，现需根据日销售表进行销售统计，形成销售报表。因为服装销售有着流行趋势变化快、销售时段相对较短的特点。在服装营销的过程中，只有及时掌握了服装销售及市场顾客需求情况及其变化规律，才能根据消费者对营销方案的反应，迅速调整产品组合及库存，调整产品价格、改变促销策略，抓住商机，提高商品周转速度，减少商品积压。</w:t>
      </w:r>
    </w:p>
    <w:p w14:paraId="76647E5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经过分析，艾米旗舰店因部分蕾丝衫销售状况良好，现须采购一批蕾丝衫，根据店铺采购管理规定，采用定期订货法进行采购，订货提前期为5日，订货间隔周期为30天，采购价格需为销售定价的55%。（注：店铺目前无在途货运量和进行中销售订单）</w:t>
      </w:r>
    </w:p>
    <w:p w14:paraId="3AA8290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（2）具体考核要求</w:t>
      </w:r>
    </w:p>
    <w:p w14:paraId="0479F4A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1）客户画像分析</w:t>
      </w:r>
    </w:p>
    <w:p w14:paraId="5421572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要求：能够对客户的性别、年龄、兴趣爱好、来源分布、流量占比进行分类管理。</w:t>
      </w:r>
    </w:p>
    <w:p w14:paraId="4785F05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2）交易评价分析</w:t>
      </w:r>
    </w:p>
    <w:p w14:paraId="7A044B4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要求：能够根据交易评价信息，对好评、差评分类管理，分析差评原因。</w:t>
      </w:r>
    </w:p>
    <w:p w14:paraId="0A803C1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3）销售报表制作</w:t>
      </w:r>
    </w:p>
    <w:p w14:paraId="4D6A487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要求：能根据销售信息，对销售数据按要求分类统计，以便管理。</w:t>
      </w:r>
    </w:p>
    <w:p w14:paraId="67CAC2F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4）采购计划制定</w:t>
      </w:r>
    </w:p>
    <w:p w14:paraId="3FAB06C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要求：能够根据销售数据表和库存数据表，制定采购计划。</w:t>
      </w:r>
    </w:p>
    <w:p w14:paraId="5AE1BAF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3.网络客户服务</w:t>
      </w:r>
    </w:p>
    <w:p w14:paraId="05B2875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（1）背景资料</w:t>
      </w:r>
    </w:p>
    <w:p w14:paraId="29C4AA2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方圆是艾米旗舰店的运营负责人，店铺的目标客户是22-30岁的年轻女性。方圆希望通过社群运营来增强店铺与客户之间的粘性，提高店铺客户的活跃度以及对店铺的忠诚度，同时也通过社群传达店铺福利消息，收集客户需求等等。</w:t>
      </w:r>
    </w:p>
    <w:p w14:paraId="62E8D3A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对于社群运营的初期阶段，方圆打算建立一个店铺福利消息通知的社群，面向店铺的所有用户，方便将店铺的日常活动传递给粉丝，来吸引粉丝购买，于是方圆着手创建社群。</w:t>
      </w:r>
    </w:p>
    <w:p w14:paraId="213D192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社群创建完成后，方圆想要针对不同用户进行分层运营，于是方圆又创建了一个针对优质客户的社群，社群内的成员可以享受更大力度的折扣与其他福利活动。现在方圆需要进行店铺用户画像分析，将不同的粉丝邀请不同的社群，以便营销活动的开展。</w:t>
      </w:r>
    </w:p>
    <w:p w14:paraId="300A4E1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方圆的社群已经运营了一段时间，因为前期推广进行的不错，社群成员数量已经达到目标人数，方圆下一步需要思考的问题是如何提高用户的活跃度。于是决定在社群内面向所有成员做为期2周的积分签到活动，签到的积分可以去积分商城兑换商品。</w:t>
      </w:r>
    </w:p>
    <w:p w14:paraId="3E9E99C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通过后台数据分析，方圆发现店铺的客户流失严重，马上就是临近端午节大促了，方圆决定通过社策划一场客户活动来调动粉丝的活跃性，同时也增加社群人员数量，希望更多的人参与进来，增加社群客户的忠诚度与满意度。</w:t>
      </w:r>
    </w:p>
    <w:p w14:paraId="156998E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（2）具体考核要求</w:t>
      </w:r>
    </w:p>
    <w:p w14:paraId="7C7D8EB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1）社群建立</w:t>
      </w:r>
    </w:p>
    <w:p w14:paraId="6EEE6FB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要求：按照背景描述，建立社群，完成社群头像、社群名称、社群介绍、成员上限、入群条件等信息的设置。</w:t>
      </w:r>
    </w:p>
    <w:p w14:paraId="718512C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2）社群邀新</w:t>
      </w:r>
    </w:p>
    <w:p w14:paraId="334D199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要求：按照背景描述，将符合社群要求的客户邀请进入社群。</w:t>
      </w:r>
    </w:p>
    <w:p w14:paraId="7794A7B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3）社群运营</w:t>
      </w:r>
    </w:p>
    <w:p w14:paraId="471EEE9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要求：按照背景描述，完成活动名称、活动时间、活动对象、媒体签到固定奖励、连续签到额外奖励、活动说明以及分享设置等信息的设置。</w:t>
      </w:r>
    </w:p>
    <w:p w14:paraId="1FEA537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4）客户活动运营</w:t>
      </w:r>
    </w:p>
    <w:p w14:paraId="2268C04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要求：按照背景描述，完成活动名称、活动时间、活动对象、签到固定奖励、连续签到额外奖励、活动说明等信息的设置。</w:t>
      </w:r>
    </w:p>
    <w:p w14:paraId="5CB345E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4.电子商务数据分析与应用</w:t>
      </w:r>
    </w:p>
    <w:p w14:paraId="301733C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（1）背景资料</w:t>
      </w:r>
    </w:p>
    <w:p w14:paraId="6CC649F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艾米电子公司主营女装类目，其运营中心负责多家网店的运营。王涛是艾米运营中心的项目主管。李华是刚通过面试进入该公司的实习生，实习岗位为业务数据分析专员。项目主管安排李华对网店的部分运营数据（客户数据表、流量数据表、营销活动数据表）进行分析，了解网店日常运营过程中的重要指标，以监控网店的日常运营情况。</w:t>
      </w:r>
    </w:p>
    <w:p w14:paraId="6701B0CA">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在对公司的运营数据整理和分析之后，项目主管又安排李华对网店一周的数据进行分析，主要分析这一周当中订单的情况。</w:t>
      </w:r>
    </w:p>
    <w:p w14:paraId="08B6179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（2）具体考核要求</w:t>
      </w:r>
    </w:p>
    <w:p w14:paraId="784E653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1）商务数据统计与分析</w:t>
      </w:r>
    </w:p>
    <w:p w14:paraId="00470A1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要求：能够对流量来源、转化率、复购率、客单价及营销活动等进行分析。</w:t>
      </w:r>
    </w:p>
    <w:p w14:paraId="516494E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2）商务数据报表设计与制作</w:t>
      </w:r>
    </w:p>
    <w:p w14:paraId="2C601E8A">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要求：能够分析出订单数据报表中的概况、区域分布、支付方式分布、订单取消原因、操作终端、用户性别分布等关键指标。</w:t>
      </w:r>
    </w:p>
    <w:p w14:paraId="32928E9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5.网络推广</w:t>
      </w:r>
    </w:p>
    <w:p w14:paraId="4DC35E4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（1）背景资料</w:t>
      </w:r>
    </w:p>
    <w:p w14:paraId="6CA645C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请以卖家角色，在给定的推广资金内，为一家经营网店进行推广活动。需根据系统给定的资源，分析店铺内的商品、买家搜索需求与搜索习惯、买家特征，根据分析结果与掌握的专业知识制定直通车推广策略、引力魔方营销策略、标题优化策略，通过直通车推广获得竞价排名，获得更多的展现量、点击量、成交量，在推广过程中能够采用合理的推广策略提高关键词质量分，降低关键词点击花费。通过引力魔方营销定位精准人群，锁定优质资源位，为店铺带来精准流量，增加商品的展现量、点击量、成交量。直通车推广与引力魔方营销的目的是通过有限的花费获得合理的点击量与成交量。直通车推广与引力魔方营销结束后，需要进行标题优化，通过标题优化提高商品的自然排名，获得更多的展现机会，提高标题优化得分。</w:t>
      </w:r>
    </w:p>
    <w:p w14:paraId="7EF35B7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网店目前经营的商品有：</w:t>
      </w:r>
    </w:p>
    <w:p w14:paraId="355054E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1）罗马仕充电宝：</w:t>
      </w:r>
    </w:p>
    <w:p w14:paraId="3BF0397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2.1A快速充电，热销750 万件急速发货。采用智能充电技术，快速充电、手机/平板蓄电不伤机，终端充电更省时，强化充电速度。智能检测手机/平板内部充电管理芯片，自动调节输出电量，兼容苹果、三星、小米、华为、 HTC、魅族、oppo等手机及平板电脑。双USB连接端口，智能识别输出，可以自动检测双输出口电流大小，满足各充电终端需求。</w:t>
      </w:r>
    </w:p>
    <w:p w14:paraId="2E54BE1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2）百驼连衣裙：</w:t>
      </w:r>
    </w:p>
    <w:p w14:paraId="68BD198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高档桑蚕丝 亲肤亮色不缩水不掉色。一到夏天，连衣裙就很流行，真丝面料，柔软舒适，还象征着品牌与格调，展现或优雅或浪漫的气质。简约圆领设计，时尚大气修饰脸型，凸显颈部性感迷人的锁骨；常规的短袖设计，流畅的线条尽情展现女性的优雅别致，飘逸的裙摆设计，优雅大气，裙摆做工精准，车工走线，展现品质；简约印花设计，舒适与时髦同行，zara等一线品牌设计理念，夏季时尚女装之选。</w:t>
      </w:r>
    </w:p>
    <w:p w14:paraId="5C83352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（2）具体考核要求</w:t>
      </w:r>
    </w:p>
    <w:p w14:paraId="581C56F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1）根据搜索引擎的排名规则，完成SEO优化，提高商品自然搜索排名。</w:t>
      </w:r>
    </w:p>
    <w:p w14:paraId="7F17C42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2）根据搜索引擎推广的竞价机制，完成SEM推广，获取精准流量，提高商品的点击量和成交量。</w:t>
      </w:r>
    </w:p>
    <w:p w14:paraId="696DCE5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3）根据推荐引擎推广的推荐机制，完成信息流推广，增加商品有效曝光，提高商品的点击量和成交量。</w:t>
      </w:r>
    </w:p>
    <w:p w14:paraId="1A5193E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6.网店直播</w:t>
      </w:r>
    </w:p>
    <w:p w14:paraId="1BF89BA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（1）背景资料</w:t>
      </w:r>
    </w:p>
    <w:p w14:paraId="7E79095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农达是一家经营全国各地特色果蔬的网店。为迎接店铺1周年庆的到来，店长方国计划在周六进行一场周年庆大促直播，回馈店铺的新老粉丝，感谢大家对店铺的支持。</w:t>
      </w:r>
    </w:p>
    <w:p w14:paraId="631B434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场直播是一场宠粉直播，所以不仅商品价格要低，还要保证产品的质量，同时还应满足粉丝对商品有需求，店长方国需要通过市场数据分析，选择5款本次直播的商品（其中需包含本次直播指定的2款商品）策划并实施一场完整的直播。在直播间装修时，需要突出本场直播指定的2款商品以及直播福利活动的剧透。</w:t>
      </w:r>
    </w:p>
    <w:p w14:paraId="4DFC767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两款直播的商品介绍如下：</w:t>
      </w:r>
    </w:p>
    <w:p w14:paraId="659B1B2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1）冰糖橙</w:t>
      </w:r>
    </w:p>
    <w:p w14:paraId="2D674B0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冰糖橙又名冰糖柑，因其甜似冰糖而得名，果型端庄、色泽鲜艳、风味浓甜、肉质脆嫩，无籽化渣，营养保健价值高，是不可多得的水果珍品，冰糖橙系当地普通甜橙的变异，主要种植于湖南、四川、重庆、贵州、云南、两广等地，冰糖橙畅销全国120多个大中城市，并远销新加坡、越南及东南亚等国家和地区，深受消费者喜爱。</w:t>
      </w:r>
    </w:p>
    <w:p w14:paraId="458A5B0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2）苹果</w:t>
      </w:r>
    </w:p>
    <w:p w14:paraId="14C68AA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苹果是一种很常见的水果，不仅口感甘甜，还十分的有营养，也很容易被人体所吸收。它有多个品种，有些品种外皮呈黄色，有些则呈粉红色或者是红色。苹果的外形呈略扁的球茎，直径通常都是在5cm以上，上下两端都是有凹陷。苹果适生于山坡梯田、平原矿野以及黄土丘陵等处，中国辽宁、河北、山西、山东、陕西、甘肃、四川、云南、西藏常见栽培。</w:t>
      </w:r>
    </w:p>
    <w:p w14:paraId="63E1049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（2）具体考核要求</w:t>
      </w:r>
    </w:p>
    <w:p w14:paraId="5FDCDD8E">
      <w:pPr>
        <w:spacing w:line="400" w:lineRule="exact"/>
        <w:ind w:firstLine="480" w:firstLineChars="200"/>
        <w:rPr>
          <w:rFonts w:ascii="仿宋_GB2312" w:hAnsi="仿宋_GB2312" w:eastAsia="仿宋_GB2312" w:cs="仿宋_GB2312"/>
          <w:color w:val="auto"/>
          <w:sz w:val="24"/>
        </w:rPr>
      </w:pPr>
      <w:bookmarkStart w:id="38" w:name="_Toc15848"/>
      <w:r>
        <w:rPr>
          <w:rFonts w:hint="eastAsia" w:ascii="仿宋_GB2312" w:hAnsi="仿宋_GB2312" w:eastAsia="仿宋_GB2312" w:cs="仿宋_GB2312"/>
          <w:color w:val="auto"/>
          <w:sz w:val="24"/>
        </w:rPr>
        <w:t>根据背景资料要求，进行数据分析，选出直播所需商品，并进行采购与定价。</w:t>
      </w:r>
    </w:p>
    <w:p w14:paraId="46246E4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根据背景资料要求，对直播主题、时间等进行规划，并据此策划直播脚本。</w:t>
      </w:r>
    </w:p>
    <w:p w14:paraId="0C0A560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根据背景资料要求，创建直播，确定直播的封面、栏目、简介等信息。</w:t>
      </w:r>
    </w:p>
    <w:p w14:paraId="552C1CB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根据背景资料要求，对直播间进行装修，设置相关直播信息。</w:t>
      </w:r>
    </w:p>
    <w:p w14:paraId="7ACF6CC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根据背景资料要求，为直播做推广，提高直播间的流量。</w:t>
      </w:r>
    </w:p>
    <w:p w14:paraId="509E520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根据背景资料要求，对直播间观众的行为数据、商品数据等进行分析。</w:t>
      </w:r>
    </w:p>
    <w:p w14:paraId="75B7655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直播时长要达到10分钟。</w:t>
      </w:r>
    </w:p>
    <w:p w14:paraId="72C6EFBA">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讲解的商品正确关联商品链接。</w:t>
      </w:r>
    </w:p>
    <w:p w14:paraId="7E37673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直播画面始终围绕主播或竞赛商品，画面清晰明亮；直播过程中没有10秒以上的卡顿、冷场。</w:t>
      </w:r>
    </w:p>
    <w:p w14:paraId="5DEB1E59">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直播开场包含问好、自我介绍、本次直播计划、促销活动四项内容。</w:t>
      </w:r>
    </w:p>
    <w:p w14:paraId="5FF0715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有商品属性、特色、卖点的介绍，有商品日常价格、直播促销价的说明，有商品的特写展示。同时，要回答弹幕中出现的相关问题。</w:t>
      </w:r>
    </w:p>
    <w:p w14:paraId="2AE6BF69">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结尾需要包含引导关注、感谢语等内容。</w:t>
      </w:r>
    </w:p>
    <w:p w14:paraId="0165951E">
      <w:pPr>
        <w:pStyle w:val="5"/>
        <w:spacing w:before="0" w:after="0" w:line="4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（二）比赛时间及试题具体内容</w:t>
      </w:r>
      <w:bookmarkEnd w:id="38"/>
    </w:p>
    <w:p w14:paraId="2BA01FF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1.比赛时间安排</w:t>
      </w:r>
    </w:p>
    <w:p w14:paraId="4F9DA21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电子商务师竞赛总时长7小时，网店直播模块3小时，视觉营销设计模块1小时，网上交易管理、网络客户服务、电子商务数据分析与应用、网络推广4个模块共3小时，参赛选手需在规定时间内完成竞赛内容，提前完成不加分，到达规定时间竞赛系统自动结束。</w:t>
      </w:r>
    </w:p>
    <w:p w14:paraId="00B5AE7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2.试题</w:t>
      </w:r>
    </w:p>
    <w:p w14:paraId="1677062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结合工作实际，将理论考核融入技能操作考核过程中，不单独设理论考核，竞赛方式全部采用实操，包括网店直播、视觉营销设计、网上交易管理、网络客户服务、电子商务数据分析与应用、网络推广六部分内容。</w:t>
      </w:r>
    </w:p>
    <w:p w14:paraId="0B05E6DA">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（1）网店直播</w:t>
      </w:r>
    </w:p>
    <w:p w14:paraId="3F287E2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根据背景资料完成市场信息分析、直播规划、脚本策划、创建直播、直播装修、直播推广、直播复盘等任务，并根据背景资料完成直播售卖，包括直播开场、商品讲解、直播间互动、直播收尾等任务。</w:t>
      </w:r>
    </w:p>
    <w:p w14:paraId="76F9B91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（2）视觉营销设计</w:t>
      </w:r>
    </w:p>
    <w:p w14:paraId="7835882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在竞赛平台允许的结构范围内，利用竞赛平台提供的素材，完成网店首页、商品详情页、商品活动页的布局设计等。</w:t>
      </w:r>
    </w:p>
    <w:p w14:paraId="6A67D85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（3）网上交易管理</w:t>
      </w:r>
    </w:p>
    <w:p w14:paraId="04A6FA01">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在竞赛平台允许的结构范围内，利用竞赛平台提供的背景资料与数据，完成销售管理部分的“客户画像分析、交易评价分析、销售报表制作”的操作与处理，完成采购管理部分的“采购计划制定”的操作与处理。</w:t>
      </w:r>
    </w:p>
    <w:p w14:paraId="0446EEC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（4）网络客户服务</w:t>
      </w:r>
    </w:p>
    <w:p w14:paraId="658E5E0A">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包括“社群建立、社群邀新、社群运营”等社群管理操作，以及“客户活动运营”等客户关系管理操作。</w:t>
      </w:r>
    </w:p>
    <w:p w14:paraId="034224A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（5）电子商务数据分析与应用</w:t>
      </w:r>
    </w:p>
    <w:p w14:paraId="3222ED5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在竞赛平台允许的结构范围内，利用竞赛平台提供的背景资料与数据，完成“商务数据统计与分析、数据报表设计与制作”等操作。</w:t>
      </w:r>
    </w:p>
    <w:p w14:paraId="55F1F91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（6）网络推广</w:t>
      </w:r>
    </w:p>
    <w:p w14:paraId="1E86E3E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参赛选手以卖家角色，在给定的推广资金范围内为一家正在运营的店铺模拟进行一个周期的推广活动。选手需根据系统给定的资源分析店铺内的商品、买家搜索需求与搜索习惯、买家特征，根据分析结果与掌握的专业知识制定直通车推广策略、引力魔方营销策略、标题优化策略，通过直通车推广，获得商品竞价排名，增加商品展现量，提高点击量、点击率、转化量、转化率；通过引力魔方营销定位精准人群和资源位，进行创意的强势展现，增加点击量、点击率、转化量和转化率；通过标题优化提高标题相关性，以提高商品的展现量、点击量和点击率。</w:t>
      </w:r>
    </w:p>
    <w:p w14:paraId="07C5F58A">
      <w:pPr>
        <w:pStyle w:val="5"/>
        <w:spacing w:before="0" w:after="0" w:line="400" w:lineRule="exact"/>
        <w:rPr>
          <w:rFonts w:ascii="仿宋_GB2312" w:hAnsi="仿宋_GB2312" w:eastAsia="仿宋_GB2312" w:cs="仿宋_GB2312"/>
          <w:color w:val="auto"/>
          <w:sz w:val="24"/>
          <w:szCs w:val="24"/>
        </w:rPr>
      </w:pPr>
      <w:bookmarkStart w:id="39" w:name="_Toc2175"/>
      <w:r>
        <w:rPr>
          <w:rFonts w:hint="eastAsia" w:ascii="仿宋_GB2312" w:hAnsi="仿宋_GB2312" w:eastAsia="仿宋_GB2312" w:cs="仿宋_GB2312"/>
          <w:color w:val="auto"/>
          <w:sz w:val="24"/>
          <w:szCs w:val="24"/>
        </w:rPr>
        <w:t>（三）评判标准</w:t>
      </w:r>
      <w:bookmarkEnd w:id="39"/>
    </w:p>
    <w:p w14:paraId="154C0F33">
      <w:pPr>
        <w:spacing w:line="400" w:lineRule="exact"/>
        <w:ind w:firstLine="480" w:firstLineChars="200"/>
        <w:rPr>
          <w:rFonts w:ascii="仿宋_GB2312" w:hAnsi="仿宋_GB2312" w:eastAsia="仿宋_GB2312" w:cs="仿宋_GB2312"/>
          <w:color w:val="auto"/>
          <w:sz w:val="24"/>
        </w:rPr>
      </w:pPr>
      <w:bookmarkStart w:id="40" w:name="_Toc27829"/>
      <w:bookmarkStart w:id="41" w:name="_Hlk85727696"/>
      <w:r>
        <w:rPr>
          <w:rFonts w:hint="eastAsia" w:ascii="仿宋_GB2312" w:hAnsi="仿宋_GB2312" w:eastAsia="仿宋_GB2312" w:cs="仿宋_GB2312"/>
          <w:color w:val="auto"/>
          <w:sz w:val="24"/>
        </w:rPr>
        <w:t>1.分数权重</w:t>
      </w:r>
      <w:bookmarkEnd w:id="40"/>
    </w:p>
    <w:p w14:paraId="2BC2F902">
      <w:pPr>
        <w:spacing w:line="400" w:lineRule="exact"/>
        <w:ind w:firstLine="480" w:firstLineChars="200"/>
        <w:rPr>
          <w:rFonts w:ascii="仿宋_GB2312" w:hAnsi="仿宋_GB2312" w:eastAsia="仿宋_GB2312" w:cs="仿宋_GB2312"/>
          <w:color w:val="auto"/>
          <w:sz w:val="24"/>
        </w:rPr>
      </w:pPr>
      <w:bookmarkStart w:id="42" w:name="_Hlk62548379"/>
      <w:bookmarkStart w:id="43" w:name="_Toc28076"/>
      <w:r>
        <w:rPr>
          <w:rFonts w:hint="eastAsia" w:ascii="仿宋_GB2312" w:hAnsi="仿宋_GB2312" w:eastAsia="仿宋_GB2312" w:cs="仿宋_GB2312"/>
          <w:color w:val="auto"/>
          <w:sz w:val="24"/>
        </w:rPr>
        <w:t>网店直播模块总成绩30分，视觉营销设计</w:t>
      </w:r>
      <w:bookmarkEnd w:id="42"/>
      <w:bookmarkStart w:id="44" w:name="_Hlk62548688"/>
      <w:r>
        <w:rPr>
          <w:rFonts w:hint="eastAsia" w:ascii="仿宋_GB2312" w:hAnsi="仿宋_GB2312" w:eastAsia="仿宋_GB2312" w:cs="仿宋_GB2312"/>
          <w:color w:val="auto"/>
          <w:sz w:val="24"/>
        </w:rPr>
        <w:t>模块总成绩15分，网上交易管理</w:t>
      </w:r>
      <w:bookmarkEnd w:id="44"/>
      <w:r>
        <w:rPr>
          <w:rFonts w:hint="eastAsia" w:ascii="仿宋_GB2312" w:hAnsi="仿宋_GB2312" w:eastAsia="仿宋_GB2312" w:cs="仿宋_GB2312"/>
          <w:color w:val="auto"/>
          <w:sz w:val="24"/>
        </w:rPr>
        <w:t>5分，网络客户服务5分，电子商务数据分析与应用15分，网络推广30分。</w:t>
      </w:r>
      <w:bookmarkEnd w:id="43"/>
    </w:p>
    <w:tbl>
      <w:tblPr>
        <w:tblStyle w:val="51"/>
        <w:tblW w:w="9468"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984"/>
        <w:gridCol w:w="1701"/>
        <w:gridCol w:w="1508"/>
        <w:gridCol w:w="1300"/>
        <w:gridCol w:w="1557"/>
      </w:tblGrid>
      <w:tr w14:paraId="5AC8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Merge w:val="restart"/>
            <w:vAlign w:val="center"/>
          </w:tcPr>
          <w:p w14:paraId="22B3E8B7">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模块编号</w:t>
            </w:r>
          </w:p>
        </w:tc>
        <w:tc>
          <w:tcPr>
            <w:tcW w:w="1984" w:type="dxa"/>
            <w:vMerge w:val="restart"/>
            <w:vAlign w:val="center"/>
          </w:tcPr>
          <w:p w14:paraId="73339E51">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模块名称</w:t>
            </w:r>
          </w:p>
        </w:tc>
        <w:tc>
          <w:tcPr>
            <w:tcW w:w="1701" w:type="dxa"/>
            <w:vMerge w:val="restart"/>
            <w:vAlign w:val="center"/>
          </w:tcPr>
          <w:p w14:paraId="21FFEB56">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竞赛时间</w:t>
            </w:r>
          </w:p>
          <w:p w14:paraId="5A4FB486">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Min</w:t>
            </w:r>
          </w:p>
        </w:tc>
        <w:tc>
          <w:tcPr>
            <w:tcW w:w="4365" w:type="dxa"/>
            <w:gridSpan w:val="3"/>
            <w:vAlign w:val="center"/>
          </w:tcPr>
          <w:p w14:paraId="2E5C1F21">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分数权重</w:t>
            </w:r>
          </w:p>
        </w:tc>
      </w:tr>
      <w:tr w14:paraId="6E3C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Merge w:val="continue"/>
            <w:vAlign w:val="center"/>
          </w:tcPr>
          <w:p w14:paraId="5C7AEE7A">
            <w:pPr>
              <w:pStyle w:val="49"/>
              <w:spacing w:line="400" w:lineRule="exact"/>
              <w:ind w:firstLine="0" w:firstLineChars="0"/>
              <w:jc w:val="center"/>
              <w:rPr>
                <w:rFonts w:ascii="仿宋_GB2312" w:hAnsi="仿宋_GB2312" w:eastAsia="仿宋_GB2312" w:cs="仿宋_GB2312"/>
                <w:color w:val="auto"/>
                <w:sz w:val="24"/>
              </w:rPr>
            </w:pPr>
          </w:p>
        </w:tc>
        <w:tc>
          <w:tcPr>
            <w:tcW w:w="1984" w:type="dxa"/>
            <w:vMerge w:val="continue"/>
            <w:vAlign w:val="center"/>
          </w:tcPr>
          <w:p w14:paraId="17FF6757">
            <w:pPr>
              <w:pStyle w:val="49"/>
              <w:spacing w:line="400" w:lineRule="exact"/>
              <w:ind w:firstLine="0" w:firstLineChars="0"/>
              <w:jc w:val="center"/>
              <w:rPr>
                <w:rFonts w:ascii="仿宋_GB2312" w:hAnsi="仿宋_GB2312" w:eastAsia="仿宋_GB2312" w:cs="仿宋_GB2312"/>
                <w:color w:val="auto"/>
                <w:sz w:val="24"/>
              </w:rPr>
            </w:pPr>
          </w:p>
        </w:tc>
        <w:tc>
          <w:tcPr>
            <w:tcW w:w="1701" w:type="dxa"/>
            <w:vMerge w:val="continue"/>
            <w:vAlign w:val="center"/>
          </w:tcPr>
          <w:p w14:paraId="3C41E5B0">
            <w:pPr>
              <w:pStyle w:val="49"/>
              <w:spacing w:line="400" w:lineRule="exact"/>
              <w:ind w:firstLine="0" w:firstLineChars="0"/>
              <w:jc w:val="center"/>
              <w:rPr>
                <w:rFonts w:ascii="仿宋_GB2312" w:hAnsi="仿宋_GB2312" w:eastAsia="仿宋_GB2312" w:cs="仿宋_GB2312"/>
                <w:color w:val="auto"/>
                <w:sz w:val="24"/>
              </w:rPr>
            </w:pPr>
          </w:p>
        </w:tc>
        <w:tc>
          <w:tcPr>
            <w:tcW w:w="1508" w:type="dxa"/>
            <w:vAlign w:val="center"/>
          </w:tcPr>
          <w:p w14:paraId="12227877">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评价分</w:t>
            </w:r>
          </w:p>
        </w:tc>
        <w:tc>
          <w:tcPr>
            <w:tcW w:w="1300" w:type="dxa"/>
            <w:vAlign w:val="center"/>
          </w:tcPr>
          <w:p w14:paraId="258B563E">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测量分</w:t>
            </w:r>
          </w:p>
        </w:tc>
        <w:tc>
          <w:tcPr>
            <w:tcW w:w="1557" w:type="dxa"/>
            <w:vAlign w:val="center"/>
          </w:tcPr>
          <w:p w14:paraId="71B6D9AD">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合计</w:t>
            </w:r>
          </w:p>
        </w:tc>
      </w:tr>
      <w:tr w14:paraId="6DD8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14:paraId="0C5E1A37">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A</w:t>
            </w:r>
          </w:p>
        </w:tc>
        <w:tc>
          <w:tcPr>
            <w:tcW w:w="1984" w:type="dxa"/>
            <w:vAlign w:val="center"/>
          </w:tcPr>
          <w:p w14:paraId="7E41A26F">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网店直播</w:t>
            </w:r>
          </w:p>
        </w:tc>
        <w:tc>
          <w:tcPr>
            <w:tcW w:w="1701" w:type="dxa"/>
            <w:vAlign w:val="center"/>
          </w:tcPr>
          <w:p w14:paraId="2AA20C20">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180</w:t>
            </w:r>
          </w:p>
        </w:tc>
        <w:tc>
          <w:tcPr>
            <w:tcW w:w="1508" w:type="dxa"/>
            <w:vAlign w:val="center"/>
          </w:tcPr>
          <w:p w14:paraId="3ABAB26B">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58%</w:t>
            </w:r>
          </w:p>
        </w:tc>
        <w:tc>
          <w:tcPr>
            <w:tcW w:w="1300" w:type="dxa"/>
            <w:vAlign w:val="center"/>
          </w:tcPr>
          <w:p w14:paraId="4AC4E678">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42%</w:t>
            </w:r>
          </w:p>
        </w:tc>
        <w:tc>
          <w:tcPr>
            <w:tcW w:w="1557" w:type="dxa"/>
            <w:vAlign w:val="center"/>
          </w:tcPr>
          <w:p w14:paraId="4B0E2D16">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30</w:t>
            </w:r>
          </w:p>
        </w:tc>
      </w:tr>
      <w:tr w14:paraId="1BBB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14:paraId="6A706D0B">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B</w:t>
            </w:r>
          </w:p>
        </w:tc>
        <w:tc>
          <w:tcPr>
            <w:tcW w:w="1984" w:type="dxa"/>
            <w:vAlign w:val="center"/>
          </w:tcPr>
          <w:p w14:paraId="20537C77">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视觉营销设计</w:t>
            </w:r>
          </w:p>
        </w:tc>
        <w:tc>
          <w:tcPr>
            <w:tcW w:w="1701" w:type="dxa"/>
            <w:vAlign w:val="center"/>
          </w:tcPr>
          <w:p w14:paraId="1D403ECC">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60</w:t>
            </w:r>
          </w:p>
        </w:tc>
        <w:tc>
          <w:tcPr>
            <w:tcW w:w="1508" w:type="dxa"/>
            <w:vAlign w:val="center"/>
          </w:tcPr>
          <w:p w14:paraId="707C5A77">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100%</w:t>
            </w:r>
          </w:p>
        </w:tc>
        <w:tc>
          <w:tcPr>
            <w:tcW w:w="1300" w:type="dxa"/>
            <w:vAlign w:val="center"/>
          </w:tcPr>
          <w:p w14:paraId="386C4B8A">
            <w:pPr>
              <w:pStyle w:val="49"/>
              <w:spacing w:line="400" w:lineRule="exact"/>
              <w:ind w:firstLine="0" w:firstLineChars="0"/>
              <w:jc w:val="center"/>
              <w:rPr>
                <w:rFonts w:ascii="仿宋_GB2312" w:hAnsi="仿宋_GB2312" w:eastAsia="仿宋_GB2312" w:cs="仿宋_GB2312"/>
                <w:color w:val="auto"/>
                <w:sz w:val="24"/>
              </w:rPr>
            </w:pPr>
          </w:p>
        </w:tc>
        <w:tc>
          <w:tcPr>
            <w:tcW w:w="1557" w:type="dxa"/>
            <w:vAlign w:val="center"/>
          </w:tcPr>
          <w:p w14:paraId="71738C19">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r>
      <w:tr w14:paraId="3D38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14:paraId="1ED36A3C">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C</w:t>
            </w:r>
          </w:p>
        </w:tc>
        <w:tc>
          <w:tcPr>
            <w:tcW w:w="1984" w:type="dxa"/>
            <w:vAlign w:val="center"/>
          </w:tcPr>
          <w:p w14:paraId="40E15DFB">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网上交易管理</w:t>
            </w:r>
          </w:p>
        </w:tc>
        <w:tc>
          <w:tcPr>
            <w:tcW w:w="1701" w:type="dxa"/>
            <w:vMerge w:val="restart"/>
            <w:vAlign w:val="center"/>
          </w:tcPr>
          <w:p w14:paraId="132C6589">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180</w:t>
            </w:r>
          </w:p>
        </w:tc>
        <w:tc>
          <w:tcPr>
            <w:tcW w:w="1508" w:type="dxa"/>
            <w:vAlign w:val="center"/>
          </w:tcPr>
          <w:p w14:paraId="3A0F0936">
            <w:pPr>
              <w:pStyle w:val="49"/>
              <w:spacing w:line="400" w:lineRule="exact"/>
              <w:ind w:firstLine="0" w:firstLineChars="0"/>
              <w:jc w:val="center"/>
              <w:rPr>
                <w:rFonts w:ascii="仿宋_GB2312" w:hAnsi="仿宋_GB2312" w:eastAsia="仿宋_GB2312" w:cs="仿宋_GB2312"/>
                <w:color w:val="auto"/>
                <w:sz w:val="24"/>
              </w:rPr>
            </w:pPr>
          </w:p>
        </w:tc>
        <w:tc>
          <w:tcPr>
            <w:tcW w:w="1300" w:type="dxa"/>
            <w:vAlign w:val="center"/>
          </w:tcPr>
          <w:p w14:paraId="0AB540C3">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100%</w:t>
            </w:r>
          </w:p>
        </w:tc>
        <w:tc>
          <w:tcPr>
            <w:tcW w:w="1557" w:type="dxa"/>
            <w:vAlign w:val="center"/>
          </w:tcPr>
          <w:p w14:paraId="4F03BDC4">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r>
      <w:tr w14:paraId="7267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14:paraId="66842AD4">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D</w:t>
            </w:r>
          </w:p>
        </w:tc>
        <w:tc>
          <w:tcPr>
            <w:tcW w:w="1984" w:type="dxa"/>
            <w:vAlign w:val="center"/>
          </w:tcPr>
          <w:p w14:paraId="182E4D4F">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网络客户服务</w:t>
            </w:r>
          </w:p>
        </w:tc>
        <w:tc>
          <w:tcPr>
            <w:tcW w:w="1701" w:type="dxa"/>
            <w:vMerge w:val="continue"/>
            <w:vAlign w:val="center"/>
          </w:tcPr>
          <w:p w14:paraId="2B0F36BE">
            <w:pPr>
              <w:pStyle w:val="49"/>
              <w:spacing w:line="400" w:lineRule="exact"/>
              <w:ind w:firstLine="0" w:firstLineChars="0"/>
              <w:jc w:val="center"/>
              <w:rPr>
                <w:rFonts w:ascii="仿宋_GB2312" w:hAnsi="仿宋_GB2312" w:eastAsia="仿宋_GB2312" w:cs="仿宋_GB2312"/>
                <w:color w:val="auto"/>
                <w:sz w:val="24"/>
              </w:rPr>
            </w:pPr>
          </w:p>
        </w:tc>
        <w:tc>
          <w:tcPr>
            <w:tcW w:w="1508" w:type="dxa"/>
            <w:vAlign w:val="center"/>
          </w:tcPr>
          <w:p w14:paraId="5EB8F4E0">
            <w:pPr>
              <w:pStyle w:val="49"/>
              <w:spacing w:line="400" w:lineRule="exact"/>
              <w:ind w:firstLine="0" w:firstLineChars="0"/>
              <w:jc w:val="center"/>
              <w:rPr>
                <w:rFonts w:ascii="仿宋_GB2312" w:hAnsi="仿宋_GB2312" w:eastAsia="仿宋_GB2312" w:cs="仿宋_GB2312"/>
                <w:color w:val="auto"/>
                <w:sz w:val="24"/>
              </w:rPr>
            </w:pPr>
          </w:p>
        </w:tc>
        <w:tc>
          <w:tcPr>
            <w:tcW w:w="1300" w:type="dxa"/>
            <w:vAlign w:val="center"/>
          </w:tcPr>
          <w:p w14:paraId="7407831C">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100%</w:t>
            </w:r>
          </w:p>
        </w:tc>
        <w:tc>
          <w:tcPr>
            <w:tcW w:w="1557" w:type="dxa"/>
            <w:vAlign w:val="center"/>
          </w:tcPr>
          <w:p w14:paraId="781B5396">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r>
      <w:tr w14:paraId="53B8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14:paraId="590D67BF">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E</w:t>
            </w:r>
          </w:p>
        </w:tc>
        <w:tc>
          <w:tcPr>
            <w:tcW w:w="1984" w:type="dxa"/>
            <w:vAlign w:val="center"/>
          </w:tcPr>
          <w:p w14:paraId="56C1C7DC">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电子商务数据分析</w:t>
            </w:r>
          </w:p>
        </w:tc>
        <w:tc>
          <w:tcPr>
            <w:tcW w:w="1701" w:type="dxa"/>
            <w:vMerge w:val="continue"/>
            <w:vAlign w:val="center"/>
          </w:tcPr>
          <w:p w14:paraId="3BE77124">
            <w:pPr>
              <w:pStyle w:val="49"/>
              <w:spacing w:line="400" w:lineRule="exact"/>
              <w:ind w:firstLine="0" w:firstLineChars="0"/>
              <w:jc w:val="center"/>
              <w:rPr>
                <w:rFonts w:ascii="仿宋_GB2312" w:hAnsi="仿宋_GB2312" w:eastAsia="仿宋_GB2312" w:cs="仿宋_GB2312"/>
                <w:color w:val="auto"/>
                <w:sz w:val="24"/>
              </w:rPr>
            </w:pPr>
          </w:p>
        </w:tc>
        <w:tc>
          <w:tcPr>
            <w:tcW w:w="1508" w:type="dxa"/>
            <w:vAlign w:val="center"/>
          </w:tcPr>
          <w:p w14:paraId="4122D2F2">
            <w:pPr>
              <w:pStyle w:val="49"/>
              <w:spacing w:line="400" w:lineRule="exact"/>
              <w:ind w:firstLine="0" w:firstLineChars="0"/>
              <w:jc w:val="center"/>
              <w:rPr>
                <w:rFonts w:ascii="仿宋_GB2312" w:hAnsi="仿宋_GB2312" w:eastAsia="仿宋_GB2312" w:cs="仿宋_GB2312"/>
                <w:color w:val="auto"/>
                <w:sz w:val="24"/>
              </w:rPr>
            </w:pPr>
          </w:p>
        </w:tc>
        <w:tc>
          <w:tcPr>
            <w:tcW w:w="1300" w:type="dxa"/>
            <w:vAlign w:val="center"/>
          </w:tcPr>
          <w:p w14:paraId="723205E3">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100%</w:t>
            </w:r>
          </w:p>
        </w:tc>
        <w:tc>
          <w:tcPr>
            <w:tcW w:w="1557" w:type="dxa"/>
            <w:vAlign w:val="center"/>
          </w:tcPr>
          <w:p w14:paraId="512DA4D1">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r>
      <w:tr w14:paraId="40F4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14:paraId="054C07F1">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F</w:t>
            </w:r>
          </w:p>
        </w:tc>
        <w:tc>
          <w:tcPr>
            <w:tcW w:w="1984" w:type="dxa"/>
            <w:vAlign w:val="center"/>
          </w:tcPr>
          <w:p w14:paraId="1C5800EB">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网络推广</w:t>
            </w:r>
          </w:p>
        </w:tc>
        <w:tc>
          <w:tcPr>
            <w:tcW w:w="1701" w:type="dxa"/>
            <w:vMerge w:val="continue"/>
            <w:vAlign w:val="center"/>
          </w:tcPr>
          <w:p w14:paraId="526A45E9">
            <w:pPr>
              <w:pStyle w:val="49"/>
              <w:spacing w:line="400" w:lineRule="exact"/>
              <w:ind w:firstLine="0" w:firstLineChars="0"/>
              <w:jc w:val="center"/>
              <w:rPr>
                <w:rFonts w:ascii="仿宋_GB2312" w:hAnsi="仿宋_GB2312" w:eastAsia="仿宋_GB2312" w:cs="仿宋_GB2312"/>
                <w:color w:val="auto"/>
                <w:sz w:val="24"/>
              </w:rPr>
            </w:pPr>
          </w:p>
        </w:tc>
        <w:tc>
          <w:tcPr>
            <w:tcW w:w="1508" w:type="dxa"/>
            <w:vAlign w:val="center"/>
          </w:tcPr>
          <w:p w14:paraId="23E12550">
            <w:pPr>
              <w:pStyle w:val="49"/>
              <w:spacing w:line="400" w:lineRule="exact"/>
              <w:ind w:firstLine="0" w:firstLineChars="0"/>
              <w:jc w:val="center"/>
              <w:rPr>
                <w:rFonts w:ascii="仿宋_GB2312" w:hAnsi="仿宋_GB2312" w:eastAsia="仿宋_GB2312" w:cs="仿宋_GB2312"/>
                <w:color w:val="auto"/>
                <w:sz w:val="24"/>
              </w:rPr>
            </w:pPr>
          </w:p>
        </w:tc>
        <w:tc>
          <w:tcPr>
            <w:tcW w:w="1300" w:type="dxa"/>
            <w:vAlign w:val="center"/>
          </w:tcPr>
          <w:p w14:paraId="27E6CC52">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100%</w:t>
            </w:r>
          </w:p>
        </w:tc>
        <w:tc>
          <w:tcPr>
            <w:tcW w:w="1557" w:type="dxa"/>
            <w:vAlign w:val="center"/>
          </w:tcPr>
          <w:p w14:paraId="780FDF65">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30</w:t>
            </w:r>
          </w:p>
        </w:tc>
      </w:tr>
      <w:tr w14:paraId="1752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3402" w:type="dxa"/>
            <w:gridSpan w:val="2"/>
            <w:vAlign w:val="center"/>
          </w:tcPr>
          <w:p w14:paraId="617F56B7">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总计</w:t>
            </w:r>
          </w:p>
        </w:tc>
        <w:tc>
          <w:tcPr>
            <w:tcW w:w="1701" w:type="dxa"/>
            <w:vAlign w:val="center"/>
          </w:tcPr>
          <w:p w14:paraId="04017693">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420</w:t>
            </w:r>
          </w:p>
        </w:tc>
        <w:tc>
          <w:tcPr>
            <w:tcW w:w="1508" w:type="dxa"/>
            <w:vAlign w:val="center"/>
          </w:tcPr>
          <w:p w14:paraId="2363F811">
            <w:pPr>
              <w:pStyle w:val="49"/>
              <w:spacing w:line="400" w:lineRule="exact"/>
              <w:ind w:firstLine="0" w:firstLineChars="0"/>
              <w:jc w:val="center"/>
              <w:rPr>
                <w:rFonts w:ascii="仿宋_GB2312" w:hAnsi="仿宋_GB2312" w:eastAsia="仿宋_GB2312" w:cs="仿宋_GB2312"/>
                <w:color w:val="auto"/>
                <w:sz w:val="24"/>
              </w:rPr>
            </w:pPr>
          </w:p>
        </w:tc>
        <w:tc>
          <w:tcPr>
            <w:tcW w:w="1300" w:type="dxa"/>
            <w:vAlign w:val="center"/>
          </w:tcPr>
          <w:p w14:paraId="601D50B0">
            <w:pPr>
              <w:pStyle w:val="49"/>
              <w:spacing w:line="400" w:lineRule="exact"/>
              <w:ind w:firstLine="0" w:firstLineChars="0"/>
              <w:jc w:val="center"/>
              <w:rPr>
                <w:rFonts w:ascii="仿宋_GB2312" w:hAnsi="仿宋_GB2312" w:eastAsia="仿宋_GB2312" w:cs="仿宋_GB2312"/>
                <w:color w:val="auto"/>
                <w:sz w:val="24"/>
              </w:rPr>
            </w:pPr>
          </w:p>
        </w:tc>
        <w:tc>
          <w:tcPr>
            <w:tcW w:w="1557" w:type="dxa"/>
            <w:vAlign w:val="center"/>
          </w:tcPr>
          <w:p w14:paraId="52056549">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100</w:t>
            </w:r>
          </w:p>
        </w:tc>
      </w:tr>
      <w:bookmarkEnd w:id="41"/>
    </w:tbl>
    <w:p w14:paraId="48900DF4">
      <w:pPr>
        <w:spacing w:line="400" w:lineRule="exact"/>
        <w:ind w:firstLine="480" w:firstLineChars="200"/>
        <w:rPr>
          <w:rFonts w:ascii="仿宋_GB2312" w:hAnsi="仿宋_GB2312" w:eastAsia="仿宋_GB2312" w:cs="仿宋_GB2312"/>
          <w:color w:val="auto"/>
          <w:sz w:val="24"/>
        </w:rPr>
      </w:pPr>
      <w:bookmarkStart w:id="45" w:name="_Toc27045"/>
      <w:r>
        <w:rPr>
          <w:rFonts w:hint="eastAsia" w:ascii="仿宋_GB2312" w:hAnsi="仿宋_GB2312" w:eastAsia="仿宋_GB2312" w:cs="仿宋_GB2312"/>
          <w:color w:val="auto"/>
          <w:sz w:val="24"/>
        </w:rPr>
        <w:t>其中评价分（Judgement）分为0-3四个等级，每个等级对应相应分值，具体含义如下：</w:t>
      </w:r>
    </w:p>
    <w:tbl>
      <w:tblPr>
        <w:tblStyle w:val="52"/>
        <w:tblW w:w="8760" w:type="dxa"/>
        <w:tblInd w:w="-2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6689"/>
      </w:tblGrid>
      <w:tr w14:paraId="53DC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14:paraId="62541E3C">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评价等级</w:t>
            </w:r>
          </w:p>
        </w:tc>
        <w:tc>
          <w:tcPr>
            <w:tcW w:w="6689" w:type="dxa"/>
          </w:tcPr>
          <w:p w14:paraId="072B35DF">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要求描述</w:t>
            </w:r>
          </w:p>
        </w:tc>
      </w:tr>
      <w:tr w14:paraId="65DF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14:paraId="507933BF">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w:t>
            </w:r>
          </w:p>
        </w:tc>
        <w:tc>
          <w:tcPr>
            <w:tcW w:w="6689" w:type="dxa"/>
          </w:tcPr>
          <w:p w14:paraId="33119867">
            <w:pPr>
              <w:pStyle w:val="49"/>
              <w:spacing w:line="400" w:lineRule="exact"/>
              <w:ind w:firstLine="0"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rPr>
              <w:t>各方面均低于行业标准，包括“不满足”、“不存在”、“未做尝试”等</w:t>
            </w:r>
          </w:p>
        </w:tc>
      </w:tr>
      <w:tr w14:paraId="08D3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14:paraId="37EF381D">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6689" w:type="dxa"/>
          </w:tcPr>
          <w:p w14:paraId="5763ED17">
            <w:pPr>
              <w:pStyle w:val="49"/>
              <w:spacing w:line="400" w:lineRule="exact"/>
              <w:ind w:firstLine="0"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rPr>
              <w:t>达到行业标准</w:t>
            </w:r>
          </w:p>
        </w:tc>
      </w:tr>
      <w:tr w14:paraId="396B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14:paraId="6DCDB535">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6689" w:type="dxa"/>
          </w:tcPr>
          <w:p w14:paraId="1B1FFA70">
            <w:pPr>
              <w:pStyle w:val="49"/>
              <w:spacing w:line="400" w:lineRule="exact"/>
              <w:ind w:firstLine="0"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rPr>
              <w:t>达到行业标准，且某些方面超过标准</w:t>
            </w:r>
          </w:p>
        </w:tc>
      </w:tr>
      <w:tr w14:paraId="5607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14:paraId="32AEBC72">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6689" w:type="dxa"/>
          </w:tcPr>
          <w:p w14:paraId="2730E252">
            <w:pPr>
              <w:pStyle w:val="49"/>
              <w:spacing w:line="400" w:lineRule="exact"/>
              <w:ind w:firstLine="0"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rPr>
              <w:t>达到行业期待的优秀水平</w:t>
            </w:r>
          </w:p>
        </w:tc>
      </w:tr>
    </w:tbl>
    <w:p w14:paraId="09B1133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2.评判方法</w:t>
      </w:r>
    </w:p>
    <w:p w14:paraId="45A831D0">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评价分（Judgement）打分方式：3名裁判为一组，各自通过竞赛平台单独评分，评分等级分为0、1、2、3四个等级，每个等级对应相应分值，裁判相互间评分等级不能超过1，否则需要给出确切理由并在裁判长的监督下进行调分。取平均分值作为最终得分。</w:t>
      </w:r>
    </w:p>
    <w:p w14:paraId="38F845E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测量分（Measurement）打分方式：系统自动评分。</w:t>
      </w:r>
    </w:p>
    <w:p w14:paraId="0851CD6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3.成绩并列</w:t>
      </w:r>
      <w:bookmarkEnd w:id="45"/>
    </w:p>
    <w:p w14:paraId="7EDB6E6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当出现多名选手总成绩并列时，优先以各选手网络推广模块成绩的高低进行排名。</w:t>
      </w:r>
    </w:p>
    <w:p w14:paraId="127F49D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备注：本赛项出现所有模块成绩相同的情况极小。</w:t>
      </w:r>
    </w:p>
    <w:p w14:paraId="76E3DC78">
      <w:pPr>
        <w:pStyle w:val="4"/>
        <w:spacing w:before="0" w:line="400" w:lineRule="exact"/>
        <w:jc w:val="left"/>
        <w:rPr>
          <w:rFonts w:ascii="仿宋_GB2312" w:hAnsi="仿宋_GB2312" w:eastAsia="仿宋_GB2312" w:cs="仿宋_GB2312"/>
          <w:b w:val="0"/>
          <w:color w:val="auto"/>
          <w:sz w:val="24"/>
          <w:szCs w:val="24"/>
        </w:rPr>
      </w:pPr>
      <w:bookmarkStart w:id="46" w:name="_Toc25188"/>
      <w:bookmarkStart w:id="47" w:name="_Toc21803_WPSOffice_Level1"/>
      <w:r>
        <w:rPr>
          <w:rFonts w:hint="eastAsia" w:ascii="仿宋_GB2312" w:hAnsi="仿宋_GB2312" w:eastAsia="仿宋_GB2312" w:cs="仿宋_GB2312"/>
          <w:b w:val="0"/>
          <w:color w:val="auto"/>
          <w:sz w:val="24"/>
          <w:szCs w:val="24"/>
        </w:rPr>
        <w:t>三、评分流程及考核细则</w:t>
      </w:r>
      <w:bookmarkEnd w:id="46"/>
      <w:bookmarkEnd w:id="47"/>
    </w:p>
    <w:p w14:paraId="21C759D3">
      <w:pPr>
        <w:pStyle w:val="5"/>
        <w:spacing w:before="0" w:after="0" w:line="400" w:lineRule="exact"/>
        <w:rPr>
          <w:rFonts w:ascii="仿宋_GB2312" w:hAnsi="仿宋_GB2312" w:eastAsia="仿宋_GB2312" w:cs="仿宋_GB2312"/>
          <w:color w:val="auto"/>
          <w:sz w:val="24"/>
          <w:szCs w:val="24"/>
        </w:rPr>
      </w:pPr>
      <w:bookmarkStart w:id="48" w:name="_Toc1002"/>
      <w:r>
        <w:rPr>
          <w:rFonts w:hint="eastAsia" w:ascii="仿宋_GB2312" w:hAnsi="仿宋_GB2312" w:eastAsia="仿宋_GB2312" w:cs="仿宋_GB2312"/>
          <w:color w:val="auto"/>
          <w:sz w:val="24"/>
          <w:szCs w:val="24"/>
        </w:rPr>
        <w:t>（一）比赛时间安排</w:t>
      </w:r>
      <w:bookmarkEnd w:id="48"/>
    </w:p>
    <w:tbl>
      <w:tblPr>
        <w:tblStyle w:val="5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453"/>
        <w:gridCol w:w="5202"/>
      </w:tblGrid>
      <w:tr w14:paraId="1106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96" w:type="dxa"/>
            <w:vAlign w:val="center"/>
          </w:tcPr>
          <w:p w14:paraId="04AF2CAA">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日期</w:t>
            </w:r>
          </w:p>
        </w:tc>
        <w:tc>
          <w:tcPr>
            <w:tcW w:w="2453" w:type="dxa"/>
            <w:vAlign w:val="center"/>
          </w:tcPr>
          <w:p w14:paraId="5CAD2F2A">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时间</w:t>
            </w:r>
          </w:p>
        </w:tc>
        <w:tc>
          <w:tcPr>
            <w:tcW w:w="5202" w:type="dxa"/>
            <w:vAlign w:val="center"/>
          </w:tcPr>
          <w:p w14:paraId="4652A8EC">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事项</w:t>
            </w:r>
          </w:p>
        </w:tc>
      </w:tr>
      <w:tr w14:paraId="1051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96" w:type="dxa"/>
            <w:vMerge w:val="restart"/>
            <w:vAlign w:val="center"/>
          </w:tcPr>
          <w:p w14:paraId="6FFEB9A9">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竞赛前一日</w:t>
            </w:r>
          </w:p>
        </w:tc>
        <w:tc>
          <w:tcPr>
            <w:tcW w:w="2453" w:type="dxa"/>
            <w:vAlign w:val="center"/>
          </w:tcPr>
          <w:p w14:paraId="27DE43A7">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8:00-13:00</w:t>
            </w:r>
          </w:p>
        </w:tc>
        <w:tc>
          <w:tcPr>
            <w:tcW w:w="5202" w:type="dxa"/>
            <w:vAlign w:val="center"/>
          </w:tcPr>
          <w:p w14:paraId="3431D3D4">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参赛选手报到</w:t>
            </w:r>
          </w:p>
        </w:tc>
      </w:tr>
      <w:tr w14:paraId="5C71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96" w:type="dxa"/>
            <w:vMerge w:val="continue"/>
            <w:vAlign w:val="center"/>
          </w:tcPr>
          <w:p w14:paraId="2EAE4E2A">
            <w:pPr>
              <w:spacing w:line="400" w:lineRule="exact"/>
              <w:jc w:val="center"/>
              <w:rPr>
                <w:rFonts w:ascii="仿宋_GB2312" w:hAnsi="仿宋_GB2312" w:eastAsia="仿宋_GB2312" w:cs="仿宋_GB2312"/>
                <w:color w:val="auto"/>
                <w:sz w:val="24"/>
              </w:rPr>
            </w:pPr>
          </w:p>
        </w:tc>
        <w:tc>
          <w:tcPr>
            <w:tcW w:w="2453" w:type="dxa"/>
            <w:vAlign w:val="center"/>
          </w:tcPr>
          <w:p w14:paraId="629629ED">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14:30-15:30</w:t>
            </w:r>
          </w:p>
        </w:tc>
        <w:tc>
          <w:tcPr>
            <w:tcW w:w="5202" w:type="dxa"/>
            <w:vAlign w:val="center"/>
          </w:tcPr>
          <w:p w14:paraId="5D63CB73">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赛前领队会</w:t>
            </w:r>
          </w:p>
        </w:tc>
      </w:tr>
      <w:tr w14:paraId="3326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96" w:type="dxa"/>
            <w:vMerge w:val="continue"/>
            <w:vAlign w:val="center"/>
          </w:tcPr>
          <w:p w14:paraId="5904A652">
            <w:pPr>
              <w:spacing w:line="400" w:lineRule="exact"/>
              <w:jc w:val="center"/>
              <w:rPr>
                <w:rFonts w:ascii="仿宋_GB2312" w:hAnsi="仿宋_GB2312" w:eastAsia="仿宋_GB2312" w:cs="仿宋_GB2312"/>
                <w:color w:val="auto"/>
                <w:sz w:val="24"/>
              </w:rPr>
            </w:pPr>
          </w:p>
        </w:tc>
        <w:tc>
          <w:tcPr>
            <w:tcW w:w="2453" w:type="dxa"/>
            <w:vAlign w:val="center"/>
          </w:tcPr>
          <w:p w14:paraId="555DEA1A">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16:00-16:30</w:t>
            </w:r>
          </w:p>
        </w:tc>
        <w:tc>
          <w:tcPr>
            <w:tcW w:w="5202" w:type="dxa"/>
            <w:vAlign w:val="center"/>
          </w:tcPr>
          <w:p w14:paraId="5A9831C8">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熟悉场地</w:t>
            </w:r>
          </w:p>
        </w:tc>
      </w:tr>
      <w:tr w14:paraId="5B80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696" w:type="dxa"/>
            <w:vMerge w:val="continue"/>
            <w:vAlign w:val="center"/>
          </w:tcPr>
          <w:p w14:paraId="72EE1451">
            <w:pPr>
              <w:spacing w:line="400" w:lineRule="exact"/>
              <w:jc w:val="center"/>
              <w:rPr>
                <w:rFonts w:ascii="仿宋_GB2312" w:hAnsi="仿宋_GB2312" w:eastAsia="仿宋_GB2312" w:cs="仿宋_GB2312"/>
                <w:color w:val="auto"/>
                <w:sz w:val="24"/>
              </w:rPr>
            </w:pPr>
          </w:p>
        </w:tc>
        <w:tc>
          <w:tcPr>
            <w:tcW w:w="2453" w:type="dxa"/>
            <w:vAlign w:val="center"/>
          </w:tcPr>
          <w:p w14:paraId="7B6553A4">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17:00</w:t>
            </w:r>
          </w:p>
        </w:tc>
        <w:tc>
          <w:tcPr>
            <w:tcW w:w="5202" w:type="dxa"/>
            <w:vAlign w:val="center"/>
          </w:tcPr>
          <w:p w14:paraId="21705566">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检查、封闭赛场</w:t>
            </w:r>
          </w:p>
        </w:tc>
      </w:tr>
      <w:tr w14:paraId="4C6E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696" w:type="dxa"/>
            <w:vMerge w:val="restart"/>
            <w:vAlign w:val="center"/>
          </w:tcPr>
          <w:p w14:paraId="39E18DB9">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竞赛日</w:t>
            </w:r>
          </w:p>
        </w:tc>
        <w:tc>
          <w:tcPr>
            <w:tcW w:w="2453" w:type="dxa"/>
            <w:vAlign w:val="center"/>
          </w:tcPr>
          <w:p w14:paraId="115435C7">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8:00-8:50</w:t>
            </w:r>
          </w:p>
        </w:tc>
        <w:tc>
          <w:tcPr>
            <w:tcW w:w="5202" w:type="dxa"/>
            <w:vAlign w:val="center"/>
          </w:tcPr>
          <w:p w14:paraId="6D287660">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检录、抽签</w:t>
            </w:r>
          </w:p>
        </w:tc>
      </w:tr>
      <w:tr w14:paraId="122D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696" w:type="dxa"/>
            <w:vMerge w:val="continue"/>
            <w:vAlign w:val="center"/>
          </w:tcPr>
          <w:p w14:paraId="118BD78D">
            <w:pPr>
              <w:spacing w:line="400" w:lineRule="exact"/>
              <w:jc w:val="center"/>
              <w:rPr>
                <w:rFonts w:ascii="仿宋_GB2312" w:hAnsi="仿宋_GB2312" w:eastAsia="仿宋_GB2312" w:cs="仿宋_GB2312"/>
                <w:color w:val="auto"/>
                <w:sz w:val="24"/>
              </w:rPr>
            </w:pPr>
          </w:p>
        </w:tc>
        <w:tc>
          <w:tcPr>
            <w:tcW w:w="2453" w:type="dxa"/>
            <w:vAlign w:val="center"/>
          </w:tcPr>
          <w:p w14:paraId="3694688D">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8:50-11:50</w:t>
            </w:r>
          </w:p>
        </w:tc>
        <w:tc>
          <w:tcPr>
            <w:tcW w:w="5202" w:type="dxa"/>
          </w:tcPr>
          <w:p w14:paraId="5A92048E">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网店直播模块</w:t>
            </w:r>
          </w:p>
        </w:tc>
      </w:tr>
      <w:tr w14:paraId="5724F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96" w:type="dxa"/>
            <w:vMerge w:val="continue"/>
            <w:vAlign w:val="center"/>
          </w:tcPr>
          <w:p w14:paraId="7F9C610F">
            <w:pPr>
              <w:spacing w:line="400" w:lineRule="exact"/>
              <w:jc w:val="left"/>
              <w:rPr>
                <w:rFonts w:ascii="仿宋_GB2312" w:hAnsi="仿宋_GB2312" w:eastAsia="仿宋_GB2312" w:cs="仿宋_GB2312"/>
                <w:color w:val="auto"/>
                <w:sz w:val="24"/>
              </w:rPr>
            </w:pPr>
          </w:p>
        </w:tc>
        <w:tc>
          <w:tcPr>
            <w:tcW w:w="2453" w:type="dxa"/>
            <w:vAlign w:val="center"/>
          </w:tcPr>
          <w:p w14:paraId="69557CEE">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11:50-12:50</w:t>
            </w:r>
          </w:p>
        </w:tc>
        <w:tc>
          <w:tcPr>
            <w:tcW w:w="5202" w:type="dxa"/>
          </w:tcPr>
          <w:p w14:paraId="3087C987">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午餐</w:t>
            </w:r>
          </w:p>
        </w:tc>
      </w:tr>
      <w:tr w14:paraId="0923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96" w:type="dxa"/>
            <w:vMerge w:val="continue"/>
            <w:vAlign w:val="center"/>
          </w:tcPr>
          <w:p w14:paraId="2C8F08D6">
            <w:pPr>
              <w:spacing w:line="400" w:lineRule="exact"/>
              <w:jc w:val="left"/>
              <w:rPr>
                <w:rFonts w:ascii="仿宋_GB2312" w:hAnsi="仿宋_GB2312" w:eastAsia="仿宋_GB2312" w:cs="仿宋_GB2312"/>
                <w:color w:val="auto"/>
                <w:sz w:val="24"/>
              </w:rPr>
            </w:pPr>
          </w:p>
        </w:tc>
        <w:tc>
          <w:tcPr>
            <w:tcW w:w="2453" w:type="dxa"/>
            <w:vAlign w:val="center"/>
          </w:tcPr>
          <w:p w14:paraId="5364E9EA">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12:50-13:50</w:t>
            </w:r>
          </w:p>
        </w:tc>
        <w:tc>
          <w:tcPr>
            <w:tcW w:w="5202" w:type="dxa"/>
          </w:tcPr>
          <w:p w14:paraId="38C2D68A">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视觉营销设计模块</w:t>
            </w:r>
          </w:p>
        </w:tc>
      </w:tr>
      <w:tr w14:paraId="2A7D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96" w:type="dxa"/>
            <w:vMerge w:val="continue"/>
            <w:vAlign w:val="center"/>
          </w:tcPr>
          <w:p w14:paraId="6865BDFE">
            <w:pPr>
              <w:spacing w:line="400" w:lineRule="exact"/>
              <w:jc w:val="left"/>
              <w:rPr>
                <w:rFonts w:ascii="仿宋_GB2312" w:hAnsi="仿宋_GB2312" w:eastAsia="仿宋_GB2312" w:cs="仿宋_GB2312"/>
                <w:color w:val="auto"/>
                <w:sz w:val="24"/>
              </w:rPr>
            </w:pPr>
          </w:p>
        </w:tc>
        <w:tc>
          <w:tcPr>
            <w:tcW w:w="2453" w:type="dxa"/>
            <w:vAlign w:val="center"/>
          </w:tcPr>
          <w:p w14:paraId="154A270F">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14:00-17:00</w:t>
            </w:r>
          </w:p>
        </w:tc>
        <w:tc>
          <w:tcPr>
            <w:tcW w:w="5202" w:type="dxa"/>
          </w:tcPr>
          <w:p w14:paraId="118D509E">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网上交易管理、网络客户服务、电子商务数据分析与应用、网络推广模块</w:t>
            </w:r>
          </w:p>
        </w:tc>
      </w:tr>
    </w:tbl>
    <w:p w14:paraId="3D40AB16">
      <w:pPr>
        <w:pStyle w:val="5"/>
        <w:spacing w:before="0" w:after="0" w:line="400" w:lineRule="exact"/>
        <w:rPr>
          <w:rFonts w:ascii="仿宋_GB2312" w:hAnsi="仿宋_GB2312" w:eastAsia="仿宋_GB2312" w:cs="仿宋_GB2312"/>
          <w:color w:val="auto"/>
          <w:sz w:val="24"/>
          <w:szCs w:val="24"/>
        </w:rPr>
      </w:pPr>
      <w:bookmarkStart w:id="49" w:name="_Toc15659"/>
      <w:r>
        <w:rPr>
          <w:rFonts w:hint="eastAsia" w:ascii="仿宋_GB2312" w:hAnsi="仿宋_GB2312" w:eastAsia="仿宋_GB2312" w:cs="仿宋_GB2312"/>
          <w:color w:val="auto"/>
          <w:sz w:val="24"/>
          <w:szCs w:val="24"/>
        </w:rPr>
        <w:t>（二）工作要求</w:t>
      </w:r>
      <w:bookmarkEnd w:id="49"/>
    </w:p>
    <w:p w14:paraId="73808DE7">
      <w:pPr>
        <w:spacing w:line="400" w:lineRule="exact"/>
        <w:ind w:firstLine="482" w:firstLineChars="200"/>
        <w:rPr>
          <w:rFonts w:ascii="仿宋_GB2312" w:hAnsi="仿宋_GB2312" w:eastAsia="仿宋_GB2312" w:cs="仿宋_GB2312"/>
          <w:b/>
          <w:bCs/>
          <w:color w:val="auto"/>
          <w:sz w:val="24"/>
        </w:rPr>
      </w:pPr>
      <w:bookmarkStart w:id="50" w:name="_Toc9192"/>
      <w:r>
        <w:rPr>
          <w:rFonts w:hint="eastAsia" w:ascii="仿宋_GB2312" w:hAnsi="仿宋_GB2312" w:eastAsia="仿宋_GB2312" w:cs="仿宋_GB2312"/>
          <w:b/>
          <w:bCs/>
          <w:color w:val="auto"/>
          <w:sz w:val="24"/>
        </w:rPr>
        <w:t>1.赛前</w:t>
      </w:r>
      <w:bookmarkEnd w:id="50"/>
    </w:p>
    <w:p w14:paraId="0264873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（1）赛场设备确认</w:t>
      </w:r>
    </w:p>
    <w:p w14:paraId="4F58875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根据实际需要，专家组长（裁判长）于赛前对场地设备设施等准备工作进行检查确认。</w:t>
      </w:r>
    </w:p>
    <w:p w14:paraId="2A0E46F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（2）赛前培训</w:t>
      </w:r>
    </w:p>
    <w:p w14:paraId="48E55BE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专家组长（裁判长）对裁判员进行集中培训、技术对接和设备设施、材料、必备工具确认。按照组委会统一的安排对参赛选手进行赛前培训，内容包括熟悉场地设备设施和安全培训。</w:t>
      </w:r>
    </w:p>
    <w:p w14:paraId="6984BA0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（3）赛前领队会</w:t>
      </w:r>
    </w:p>
    <w:p w14:paraId="4DEE264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报到完毕后，本项目按照组委会统一安排的时间组织召开赛前领队会，对参赛注意事项、参赛日程进行说明，并完成选手比赛分组。</w:t>
      </w:r>
    </w:p>
    <w:p w14:paraId="6911B22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（4）参观赛场</w:t>
      </w:r>
    </w:p>
    <w:p w14:paraId="79565EDA">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领队会结束后，统一组织参观赛场、熟悉场地。</w:t>
      </w:r>
    </w:p>
    <w:p w14:paraId="6B0D86C7">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（5）封闭与解封赛场</w:t>
      </w:r>
    </w:p>
    <w:p w14:paraId="72C87C9E">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参观完赛场后，由专家组长（裁判长）检查赛场，确保赛场无异常后封闭赛场；赛前2小时由专家组长（裁判长）带领技术人员解封赛场、启动并检查竞赛设备。</w:t>
      </w:r>
    </w:p>
    <w:p w14:paraId="00D036C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（6）检录抽签</w:t>
      </w:r>
    </w:p>
    <w:p w14:paraId="5D131C3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赛前参赛选手前往检录抽签地点，完成检录后，抽取参赛编号和赛位号。</w:t>
      </w:r>
    </w:p>
    <w:p w14:paraId="0EB27AD5">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（7）入场</w:t>
      </w:r>
    </w:p>
    <w:p w14:paraId="7192E3AC">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每位选手按照赛位号到指定位置，等待比赛。</w:t>
      </w:r>
    </w:p>
    <w:p w14:paraId="0FD9171F">
      <w:pPr>
        <w:spacing w:line="400" w:lineRule="exact"/>
        <w:ind w:firstLine="482" w:firstLineChars="200"/>
        <w:rPr>
          <w:rFonts w:ascii="仿宋_GB2312" w:hAnsi="仿宋_GB2312" w:eastAsia="仿宋_GB2312" w:cs="仿宋_GB2312"/>
          <w:b/>
          <w:bCs/>
          <w:color w:val="auto"/>
          <w:sz w:val="24"/>
        </w:rPr>
      </w:pPr>
      <w:bookmarkStart w:id="51" w:name="_Toc13913"/>
      <w:r>
        <w:rPr>
          <w:rFonts w:hint="eastAsia" w:ascii="仿宋_GB2312" w:hAnsi="仿宋_GB2312" w:eastAsia="仿宋_GB2312" w:cs="仿宋_GB2312"/>
          <w:b/>
          <w:bCs/>
          <w:color w:val="auto"/>
          <w:sz w:val="24"/>
        </w:rPr>
        <w:t>2.赛中</w:t>
      </w:r>
      <w:bookmarkEnd w:id="51"/>
    </w:p>
    <w:p w14:paraId="045018E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（1）比赛：由专家组长（裁判长）统一告知选手比赛规则、时间和流程，宣布比赛正式开始并计时。</w:t>
      </w:r>
    </w:p>
    <w:p w14:paraId="4A32C492">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（2）纪律要求：竞赛过程中严禁交头接耳，直播展示过程中不得干扰其他参赛选手，严禁扰乱秩序。</w:t>
      </w:r>
    </w:p>
    <w:p w14:paraId="4C4693C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（3）评分：由评分裁判对评价评分项目进行打分；由竞赛系统对测量评分项目进行自动评分。</w:t>
      </w:r>
    </w:p>
    <w:p w14:paraId="2EE29C2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（4）汇总与公示：由专家组长（裁判长）汇总成绩。</w:t>
      </w:r>
    </w:p>
    <w:p w14:paraId="7FC5C052">
      <w:pPr>
        <w:spacing w:line="400" w:lineRule="exact"/>
        <w:ind w:firstLine="482" w:firstLineChars="200"/>
        <w:rPr>
          <w:rFonts w:ascii="仿宋_GB2312" w:hAnsi="仿宋_GB2312" w:eastAsia="仿宋_GB2312" w:cs="仿宋_GB2312"/>
          <w:b/>
          <w:bCs/>
          <w:color w:val="auto"/>
          <w:sz w:val="24"/>
        </w:rPr>
      </w:pPr>
      <w:bookmarkStart w:id="52" w:name="_Toc13180"/>
      <w:r>
        <w:rPr>
          <w:rFonts w:hint="eastAsia" w:ascii="仿宋_GB2312" w:hAnsi="仿宋_GB2312" w:eastAsia="仿宋_GB2312" w:cs="仿宋_GB2312"/>
          <w:b/>
          <w:bCs/>
          <w:color w:val="auto"/>
          <w:sz w:val="24"/>
        </w:rPr>
        <w:t>3.违规情形</w:t>
      </w:r>
      <w:bookmarkEnd w:id="52"/>
    </w:p>
    <w:p w14:paraId="403509B6">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（1）选手不得穿戴、携带有显示个人信息的衣物等。</w:t>
      </w:r>
    </w:p>
    <w:p w14:paraId="7971D20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（2）直播时出现侮辱、暴力、低俗、荒诞等不良行为，直播展示模块判0分。</w:t>
      </w:r>
    </w:p>
    <w:p w14:paraId="4F24DD3F">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（3）在比赛操作过程中，出现任何透露个人信息的行为，该选手所做模块判定为0分。</w:t>
      </w:r>
    </w:p>
    <w:p w14:paraId="350CF251">
      <w:pPr>
        <w:pStyle w:val="5"/>
        <w:spacing w:before="0" w:after="0" w:line="400" w:lineRule="exact"/>
        <w:rPr>
          <w:rFonts w:ascii="仿宋_GB2312" w:hAnsi="仿宋_GB2312" w:eastAsia="仿宋_GB2312" w:cs="仿宋_GB2312"/>
          <w:color w:val="auto"/>
          <w:sz w:val="24"/>
          <w:szCs w:val="24"/>
        </w:rPr>
      </w:pPr>
      <w:bookmarkStart w:id="53" w:name="_Toc30108"/>
      <w:r>
        <w:rPr>
          <w:rFonts w:hint="eastAsia" w:ascii="仿宋_GB2312" w:hAnsi="仿宋_GB2312" w:eastAsia="仿宋_GB2312" w:cs="仿宋_GB2312"/>
          <w:color w:val="auto"/>
          <w:sz w:val="24"/>
          <w:szCs w:val="24"/>
        </w:rPr>
        <w:t>（三）裁判员组分工</w:t>
      </w:r>
      <w:bookmarkEnd w:id="53"/>
    </w:p>
    <w:p w14:paraId="57CE5A84">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本赛项设立裁判组，由专家组长（裁判长）、裁判组成。专家组长（裁判长）负责组织裁判员培训、安排裁判员分工。</w:t>
      </w:r>
    </w:p>
    <w:p w14:paraId="3969D068">
      <w:pPr>
        <w:pStyle w:val="4"/>
        <w:spacing w:before="0" w:line="400" w:lineRule="exact"/>
        <w:jc w:val="left"/>
        <w:rPr>
          <w:rFonts w:ascii="仿宋_GB2312" w:hAnsi="仿宋_GB2312" w:eastAsia="仿宋_GB2312" w:cs="仿宋_GB2312"/>
          <w:b w:val="0"/>
          <w:color w:val="auto"/>
          <w:sz w:val="24"/>
          <w:szCs w:val="24"/>
        </w:rPr>
      </w:pPr>
      <w:bookmarkStart w:id="54" w:name="_Toc9881"/>
      <w:bookmarkStart w:id="55" w:name="_Toc6807_WPSOffice_Level1"/>
      <w:r>
        <w:rPr>
          <w:rFonts w:hint="eastAsia" w:ascii="仿宋_GB2312" w:hAnsi="仿宋_GB2312" w:eastAsia="仿宋_GB2312" w:cs="仿宋_GB2312"/>
          <w:b w:val="0"/>
          <w:color w:val="auto"/>
          <w:sz w:val="24"/>
          <w:szCs w:val="24"/>
        </w:rPr>
        <w:t>四、竞赛场地、设施设备安排</w:t>
      </w:r>
      <w:bookmarkEnd w:id="54"/>
      <w:bookmarkEnd w:id="55"/>
    </w:p>
    <w:p w14:paraId="5F0A2B7B">
      <w:pPr>
        <w:pStyle w:val="5"/>
        <w:spacing w:before="0" w:after="0" w:line="400" w:lineRule="exact"/>
        <w:rPr>
          <w:rFonts w:ascii="仿宋_GB2312" w:hAnsi="仿宋_GB2312" w:eastAsia="仿宋_GB2312" w:cs="仿宋_GB2312"/>
          <w:color w:val="auto"/>
          <w:sz w:val="24"/>
          <w:szCs w:val="24"/>
        </w:rPr>
      </w:pPr>
      <w:bookmarkStart w:id="56" w:name="_Toc12256"/>
      <w:r>
        <w:rPr>
          <w:rFonts w:hint="eastAsia" w:ascii="仿宋_GB2312" w:hAnsi="仿宋_GB2312" w:eastAsia="仿宋_GB2312" w:cs="仿宋_GB2312"/>
          <w:color w:val="auto"/>
          <w:sz w:val="24"/>
          <w:szCs w:val="24"/>
        </w:rPr>
        <w:t>（一）赛场规格要求</w:t>
      </w:r>
      <w:bookmarkEnd w:id="56"/>
    </w:p>
    <w:p w14:paraId="6EC4A12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赛场面积需要满足容纳所有的参赛选手，每个工位面积不低于2.0㎡，工位间隔不低于1米。</w:t>
      </w:r>
    </w:p>
    <w:p w14:paraId="63F180A3">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赛场内设置独立裁判评分区、技术服务区、录分区、服务器区、设备存储区，其中裁判评分区满足评分裁判同时评分。</w:t>
      </w:r>
    </w:p>
    <w:p w14:paraId="1206ED20">
      <w:pPr>
        <w:pStyle w:val="5"/>
        <w:spacing w:before="0" w:after="0" w:line="400" w:lineRule="exact"/>
        <w:rPr>
          <w:rFonts w:ascii="仿宋_GB2312" w:hAnsi="仿宋_GB2312" w:eastAsia="仿宋_GB2312" w:cs="仿宋_GB2312"/>
          <w:color w:val="auto"/>
          <w:sz w:val="24"/>
          <w:szCs w:val="24"/>
        </w:rPr>
      </w:pPr>
      <w:bookmarkStart w:id="57" w:name="_Toc32198"/>
      <w:r>
        <w:rPr>
          <w:rFonts w:hint="eastAsia" w:ascii="仿宋_GB2312" w:hAnsi="仿宋_GB2312" w:eastAsia="仿宋_GB2312" w:cs="仿宋_GB2312"/>
          <w:color w:val="auto"/>
          <w:sz w:val="24"/>
          <w:szCs w:val="24"/>
        </w:rPr>
        <w:drawing>
          <wp:anchor distT="0" distB="0" distL="0" distR="0" simplePos="0" relativeHeight="251662336" behindDoc="0" locked="0" layoutInCell="1" allowOverlap="1">
            <wp:simplePos x="0" y="0"/>
            <wp:positionH relativeFrom="column">
              <wp:posOffset>944880</wp:posOffset>
            </wp:positionH>
            <wp:positionV relativeFrom="paragraph">
              <wp:posOffset>452120</wp:posOffset>
            </wp:positionV>
            <wp:extent cx="3023870" cy="4566285"/>
            <wp:effectExtent l="0" t="0" r="5080" b="5715"/>
            <wp:wrapTopAndBottom/>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11" cstate="print"/>
                    <a:srcRect/>
                    <a:stretch>
                      <a:fillRect/>
                    </a:stretch>
                  </pic:blipFill>
                  <pic:spPr>
                    <a:xfrm>
                      <a:off x="0" y="0"/>
                      <a:ext cx="3023870" cy="4566285"/>
                    </a:xfrm>
                    <a:prstGeom prst="rect">
                      <a:avLst/>
                    </a:prstGeom>
                  </pic:spPr>
                </pic:pic>
              </a:graphicData>
            </a:graphic>
          </wp:anchor>
        </w:drawing>
      </w:r>
      <w:r>
        <w:rPr>
          <w:rFonts w:hint="eastAsia" w:ascii="仿宋_GB2312" w:hAnsi="仿宋_GB2312" w:eastAsia="仿宋_GB2312" w:cs="仿宋_GB2312"/>
          <w:color w:val="auto"/>
          <w:sz w:val="24"/>
          <w:szCs w:val="24"/>
        </w:rPr>
        <w:t>（二）场地布局图</w:t>
      </w:r>
      <w:bookmarkEnd w:id="57"/>
    </w:p>
    <w:p w14:paraId="5211474C">
      <w:pPr>
        <w:pStyle w:val="5"/>
        <w:spacing w:before="0" w:after="0" w:line="400" w:lineRule="exact"/>
        <w:rPr>
          <w:rFonts w:ascii="仿宋_GB2312" w:hAnsi="仿宋_GB2312" w:eastAsia="仿宋_GB2312" w:cs="仿宋_GB2312"/>
          <w:color w:val="auto"/>
          <w:sz w:val="24"/>
          <w:szCs w:val="24"/>
        </w:rPr>
      </w:pPr>
      <w:bookmarkStart w:id="58" w:name="_Toc23447"/>
      <w:r>
        <w:rPr>
          <w:rFonts w:hint="eastAsia" w:ascii="仿宋_GB2312" w:hAnsi="仿宋_GB2312" w:eastAsia="仿宋_GB2312" w:cs="仿宋_GB2312"/>
          <w:color w:val="auto"/>
          <w:sz w:val="24"/>
          <w:szCs w:val="24"/>
        </w:rPr>
        <w:t>（三）基础设施清单</w:t>
      </w:r>
      <w:bookmarkEnd w:id="58"/>
    </w:p>
    <w:tbl>
      <w:tblPr>
        <w:tblStyle w:val="52"/>
        <w:tblW w:w="9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984"/>
        <w:gridCol w:w="7048"/>
      </w:tblGrid>
      <w:tr w14:paraId="0661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846" w:type="dxa"/>
            <w:vAlign w:val="center"/>
          </w:tcPr>
          <w:p w14:paraId="5FE8D62B">
            <w:pPr>
              <w:pStyle w:val="30"/>
              <w:spacing w:after="0" w:line="400" w:lineRule="exact"/>
              <w:ind w:left="0" w:leftChars="0"/>
              <w:jc w:val="center"/>
              <w:rPr>
                <w:rFonts w:ascii="仿宋_GB2312" w:hAnsi="仿宋_GB2312" w:eastAsia="仿宋_GB2312" w:cs="仿宋_GB2312"/>
                <w:b/>
                <w:bCs/>
                <w:color w:val="auto"/>
                <w:kern w:val="0"/>
                <w:sz w:val="24"/>
              </w:rPr>
            </w:pPr>
            <w:r>
              <w:rPr>
                <w:rFonts w:hint="eastAsia" w:ascii="仿宋_GB2312" w:hAnsi="仿宋_GB2312" w:eastAsia="仿宋_GB2312" w:cs="仿宋_GB2312"/>
                <w:b/>
                <w:bCs/>
                <w:color w:val="auto"/>
                <w:kern w:val="0"/>
                <w:sz w:val="24"/>
              </w:rPr>
              <w:t>序号</w:t>
            </w:r>
          </w:p>
        </w:tc>
        <w:tc>
          <w:tcPr>
            <w:tcW w:w="1984" w:type="dxa"/>
            <w:vAlign w:val="center"/>
          </w:tcPr>
          <w:p w14:paraId="0C2C31B2">
            <w:pPr>
              <w:pStyle w:val="30"/>
              <w:spacing w:after="0" w:line="400" w:lineRule="exact"/>
              <w:ind w:left="0" w:leftChars="0"/>
              <w:jc w:val="center"/>
              <w:rPr>
                <w:rFonts w:ascii="仿宋_GB2312" w:hAnsi="仿宋_GB2312" w:eastAsia="仿宋_GB2312" w:cs="仿宋_GB2312"/>
                <w:b/>
                <w:bCs/>
                <w:color w:val="auto"/>
                <w:kern w:val="0"/>
                <w:sz w:val="24"/>
              </w:rPr>
            </w:pPr>
            <w:r>
              <w:rPr>
                <w:rFonts w:hint="eastAsia" w:ascii="仿宋_GB2312" w:hAnsi="仿宋_GB2312" w:eastAsia="仿宋_GB2312" w:cs="仿宋_GB2312"/>
                <w:b/>
                <w:bCs/>
                <w:color w:val="auto"/>
                <w:kern w:val="0"/>
                <w:sz w:val="24"/>
              </w:rPr>
              <w:t>名称</w:t>
            </w:r>
          </w:p>
        </w:tc>
        <w:tc>
          <w:tcPr>
            <w:tcW w:w="7048" w:type="dxa"/>
            <w:vAlign w:val="center"/>
          </w:tcPr>
          <w:p w14:paraId="41526EDA">
            <w:pPr>
              <w:pStyle w:val="30"/>
              <w:spacing w:after="0" w:line="400" w:lineRule="exact"/>
              <w:ind w:left="0" w:leftChars="0"/>
              <w:jc w:val="center"/>
              <w:rPr>
                <w:rFonts w:ascii="仿宋_GB2312" w:hAnsi="仿宋_GB2312" w:eastAsia="仿宋_GB2312" w:cs="仿宋_GB2312"/>
                <w:b/>
                <w:bCs/>
                <w:color w:val="auto"/>
                <w:kern w:val="0"/>
                <w:sz w:val="24"/>
              </w:rPr>
            </w:pPr>
            <w:r>
              <w:rPr>
                <w:rFonts w:hint="eastAsia" w:ascii="仿宋_GB2312" w:hAnsi="仿宋_GB2312" w:eastAsia="仿宋_GB2312" w:cs="仿宋_GB2312"/>
                <w:b/>
                <w:bCs/>
                <w:color w:val="auto"/>
                <w:kern w:val="0"/>
                <w:sz w:val="24"/>
              </w:rPr>
              <w:t>技术规格</w:t>
            </w:r>
          </w:p>
        </w:tc>
      </w:tr>
      <w:tr w14:paraId="2AD9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2" w:hRule="exact"/>
          <w:jc w:val="center"/>
        </w:trPr>
        <w:tc>
          <w:tcPr>
            <w:tcW w:w="846" w:type="dxa"/>
            <w:vAlign w:val="center"/>
          </w:tcPr>
          <w:p w14:paraId="2C79CE6A">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w:t>
            </w:r>
          </w:p>
        </w:tc>
        <w:tc>
          <w:tcPr>
            <w:tcW w:w="1984" w:type="dxa"/>
            <w:vAlign w:val="center"/>
          </w:tcPr>
          <w:p w14:paraId="7F59C855">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竞赛服务器</w:t>
            </w:r>
          </w:p>
        </w:tc>
        <w:tc>
          <w:tcPr>
            <w:tcW w:w="7048" w:type="dxa"/>
            <w:vAlign w:val="center"/>
          </w:tcPr>
          <w:p w14:paraId="6E6238C9">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英特尔至强E5系列 E5-2683 v4 十六核以上CPU；16GB以上内存；硬盘：500G以上、转速：10000 RPM或固定P4510；预装Windows Server 2008 R2操作系统及IIS 7.5；千兆网卡。</w:t>
            </w:r>
          </w:p>
        </w:tc>
      </w:tr>
      <w:tr w14:paraId="5854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846" w:type="dxa"/>
            <w:vAlign w:val="center"/>
          </w:tcPr>
          <w:p w14:paraId="5F90E1DA">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w:t>
            </w:r>
          </w:p>
        </w:tc>
        <w:tc>
          <w:tcPr>
            <w:tcW w:w="1984" w:type="dxa"/>
            <w:vAlign w:val="center"/>
          </w:tcPr>
          <w:p w14:paraId="744F2135">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交换机</w:t>
            </w:r>
          </w:p>
        </w:tc>
        <w:tc>
          <w:tcPr>
            <w:tcW w:w="7048" w:type="dxa"/>
            <w:vAlign w:val="center"/>
          </w:tcPr>
          <w:p w14:paraId="105B039C">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千兆24口交换机</w:t>
            </w:r>
          </w:p>
        </w:tc>
      </w:tr>
      <w:tr w14:paraId="389D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exact"/>
          <w:jc w:val="center"/>
        </w:trPr>
        <w:tc>
          <w:tcPr>
            <w:tcW w:w="846" w:type="dxa"/>
            <w:vAlign w:val="center"/>
          </w:tcPr>
          <w:p w14:paraId="6F44C73A">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w:t>
            </w:r>
          </w:p>
        </w:tc>
        <w:tc>
          <w:tcPr>
            <w:tcW w:w="1984" w:type="dxa"/>
            <w:vAlign w:val="center"/>
          </w:tcPr>
          <w:p w14:paraId="6B27E8E4">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交换机</w:t>
            </w:r>
          </w:p>
        </w:tc>
        <w:tc>
          <w:tcPr>
            <w:tcW w:w="7048" w:type="dxa"/>
            <w:vAlign w:val="center"/>
          </w:tcPr>
          <w:p w14:paraId="7092FC1A">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千兆48口交换机</w:t>
            </w:r>
          </w:p>
        </w:tc>
      </w:tr>
      <w:tr w14:paraId="41B7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exact"/>
          <w:jc w:val="center"/>
        </w:trPr>
        <w:tc>
          <w:tcPr>
            <w:tcW w:w="846" w:type="dxa"/>
            <w:vAlign w:val="center"/>
          </w:tcPr>
          <w:p w14:paraId="15A1BF76">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4</w:t>
            </w:r>
          </w:p>
        </w:tc>
        <w:tc>
          <w:tcPr>
            <w:tcW w:w="1984" w:type="dxa"/>
            <w:vAlign w:val="center"/>
          </w:tcPr>
          <w:p w14:paraId="776C39FA">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网络连接设备</w:t>
            </w:r>
          </w:p>
        </w:tc>
        <w:tc>
          <w:tcPr>
            <w:tcW w:w="7048" w:type="dxa"/>
            <w:vAlign w:val="center"/>
          </w:tcPr>
          <w:p w14:paraId="796E5E88">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提供网络布线、千兆交换机、无线AP、千兆分布式无线路由器</w:t>
            </w:r>
          </w:p>
          <w:p w14:paraId="1BB9FC06">
            <w:pPr>
              <w:pStyle w:val="30"/>
              <w:spacing w:after="0" w:line="400" w:lineRule="exact"/>
              <w:ind w:left="0" w:leftChars="0"/>
              <w:rPr>
                <w:rFonts w:ascii="仿宋_GB2312" w:hAnsi="仿宋_GB2312" w:eastAsia="仿宋_GB2312" w:cs="仿宋_GB2312"/>
                <w:color w:val="auto"/>
                <w:kern w:val="0"/>
                <w:sz w:val="24"/>
              </w:rPr>
            </w:pPr>
          </w:p>
          <w:p w14:paraId="34709A7D">
            <w:pPr>
              <w:pStyle w:val="30"/>
              <w:spacing w:after="0" w:line="400" w:lineRule="exact"/>
              <w:ind w:left="0" w:leftChars="0"/>
              <w:rPr>
                <w:rFonts w:ascii="仿宋_GB2312" w:hAnsi="仿宋_GB2312" w:eastAsia="仿宋_GB2312" w:cs="仿宋_GB2312"/>
                <w:color w:val="auto"/>
                <w:kern w:val="0"/>
                <w:sz w:val="24"/>
              </w:rPr>
            </w:pPr>
          </w:p>
          <w:p w14:paraId="232CDCC6">
            <w:pPr>
              <w:pStyle w:val="30"/>
              <w:spacing w:after="0" w:line="400" w:lineRule="exact"/>
              <w:ind w:left="0" w:leftChars="0"/>
              <w:rPr>
                <w:rFonts w:ascii="仿宋_GB2312" w:hAnsi="仿宋_GB2312" w:eastAsia="仿宋_GB2312" w:cs="仿宋_GB2312"/>
                <w:color w:val="auto"/>
                <w:kern w:val="0"/>
                <w:sz w:val="24"/>
              </w:rPr>
            </w:pPr>
          </w:p>
          <w:p w14:paraId="7014BC6B">
            <w:pPr>
              <w:pStyle w:val="30"/>
              <w:spacing w:after="0" w:line="400" w:lineRule="exact"/>
              <w:ind w:left="0" w:leftChars="0"/>
              <w:rPr>
                <w:rFonts w:ascii="仿宋_GB2312" w:hAnsi="仿宋_GB2312" w:eastAsia="仿宋_GB2312" w:cs="仿宋_GB2312"/>
                <w:color w:val="auto"/>
                <w:kern w:val="0"/>
                <w:sz w:val="24"/>
              </w:rPr>
            </w:pPr>
          </w:p>
        </w:tc>
      </w:tr>
      <w:tr w14:paraId="1FA5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8" w:hRule="exact"/>
          <w:jc w:val="center"/>
        </w:trPr>
        <w:tc>
          <w:tcPr>
            <w:tcW w:w="846" w:type="dxa"/>
            <w:vAlign w:val="center"/>
          </w:tcPr>
          <w:p w14:paraId="65956987">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w:t>
            </w:r>
          </w:p>
        </w:tc>
        <w:tc>
          <w:tcPr>
            <w:tcW w:w="1984" w:type="dxa"/>
            <w:vAlign w:val="center"/>
          </w:tcPr>
          <w:p w14:paraId="634688B2">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裁判等工作人员计算机</w:t>
            </w:r>
          </w:p>
        </w:tc>
        <w:tc>
          <w:tcPr>
            <w:tcW w:w="7048" w:type="dxa"/>
            <w:vAlign w:val="center"/>
          </w:tcPr>
          <w:p w14:paraId="477A212E">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酷睿I3双核3.0以上CPU；8G以上内存；100G以上硬盘；2G显存以上独立显卡，千兆网卡。预装Windows7及以上操作系统；预装火狐浏览器；预装录屏软件；预装全拼、简拼、微软拼音等中文输入法和英文输入法。</w:t>
            </w:r>
          </w:p>
        </w:tc>
      </w:tr>
      <w:tr w14:paraId="35A2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exact"/>
          <w:jc w:val="center"/>
        </w:trPr>
        <w:tc>
          <w:tcPr>
            <w:tcW w:w="846" w:type="dxa"/>
            <w:vAlign w:val="center"/>
          </w:tcPr>
          <w:p w14:paraId="3A850668">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6</w:t>
            </w:r>
          </w:p>
        </w:tc>
        <w:tc>
          <w:tcPr>
            <w:tcW w:w="1984" w:type="dxa"/>
            <w:vAlign w:val="center"/>
          </w:tcPr>
          <w:p w14:paraId="5E4DD30A">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参赛选手计算机</w:t>
            </w:r>
          </w:p>
        </w:tc>
        <w:tc>
          <w:tcPr>
            <w:tcW w:w="7048" w:type="dxa"/>
            <w:vAlign w:val="center"/>
          </w:tcPr>
          <w:p w14:paraId="22B421B7">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配置要求：酷睿I5双核3.0以上CPU；8G以上内存；100G以上硬盘；2G显存以上独立显卡，千兆网卡。预装Windows7及以上操作系统；预装火狐浏览器；预装录屏软件；预装全拼、简拼、微软拼音等中文输入法和英文输入法；预装office办公软件。</w:t>
            </w:r>
          </w:p>
        </w:tc>
      </w:tr>
      <w:tr w14:paraId="1175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exact"/>
          <w:jc w:val="center"/>
        </w:trPr>
        <w:tc>
          <w:tcPr>
            <w:tcW w:w="846" w:type="dxa"/>
            <w:vAlign w:val="center"/>
          </w:tcPr>
          <w:p w14:paraId="0B412E0F">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7</w:t>
            </w:r>
          </w:p>
        </w:tc>
        <w:tc>
          <w:tcPr>
            <w:tcW w:w="1984" w:type="dxa"/>
            <w:vAlign w:val="center"/>
          </w:tcPr>
          <w:p w14:paraId="704ABEE1">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直播补光灯</w:t>
            </w:r>
          </w:p>
        </w:tc>
        <w:tc>
          <w:tcPr>
            <w:tcW w:w="7048" w:type="dxa"/>
            <w:vAlign w:val="center"/>
          </w:tcPr>
          <w:p w14:paraId="533D33D8">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可自由拉伸，最长1.7m，USB充电，包含白光、暖光、暖白光三色温，可自由调节亮度；可立在地上或者摆在桌上。</w:t>
            </w:r>
          </w:p>
        </w:tc>
      </w:tr>
      <w:tr w14:paraId="5E10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exact"/>
          <w:jc w:val="center"/>
        </w:trPr>
        <w:tc>
          <w:tcPr>
            <w:tcW w:w="846" w:type="dxa"/>
            <w:vAlign w:val="center"/>
          </w:tcPr>
          <w:p w14:paraId="7E30337E">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8</w:t>
            </w:r>
          </w:p>
        </w:tc>
        <w:tc>
          <w:tcPr>
            <w:tcW w:w="1984" w:type="dxa"/>
            <w:vAlign w:val="center"/>
          </w:tcPr>
          <w:p w14:paraId="57449D56">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直播商品</w:t>
            </w:r>
          </w:p>
        </w:tc>
        <w:tc>
          <w:tcPr>
            <w:tcW w:w="7048" w:type="dxa"/>
            <w:vAlign w:val="center"/>
          </w:tcPr>
          <w:p w14:paraId="2043416D">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仿真模型，尺寸、颜色与实际产品相同，实心泡沫材质，同品类模型尺寸、颜色保证一致。</w:t>
            </w:r>
          </w:p>
        </w:tc>
      </w:tr>
      <w:tr w14:paraId="76B1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exact"/>
          <w:jc w:val="center"/>
        </w:trPr>
        <w:tc>
          <w:tcPr>
            <w:tcW w:w="846" w:type="dxa"/>
            <w:vAlign w:val="center"/>
          </w:tcPr>
          <w:p w14:paraId="2B81FDA7">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w:t>
            </w:r>
          </w:p>
        </w:tc>
        <w:tc>
          <w:tcPr>
            <w:tcW w:w="1984" w:type="dxa"/>
            <w:vAlign w:val="center"/>
          </w:tcPr>
          <w:p w14:paraId="7099A723">
            <w:pPr>
              <w:pStyle w:val="30"/>
              <w:spacing w:after="0" w:line="400" w:lineRule="exact"/>
              <w:ind w:left="0" w:leftChars="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现场布置</w:t>
            </w:r>
          </w:p>
        </w:tc>
        <w:tc>
          <w:tcPr>
            <w:tcW w:w="7048" w:type="dxa"/>
            <w:vAlign w:val="center"/>
          </w:tcPr>
          <w:p w14:paraId="3366CD04">
            <w:pPr>
              <w:spacing w:line="400" w:lineRule="exac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直播背景板、工位隔断、环境布置、桌椅等。</w:t>
            </w:r>
          </w:p>
        </w:tc>
      </w:tr>
    </w:tbl>
    <w:p w14:paraId="07ABE2D1">
      <w:pPr>
        <w:pStyle w:val="4"/>
        <w:spacing w:before="0" w:line="400" w:lineRule="exact"/>
        <w:jc w:val="left"/>
        <w:rPr>
          <w:rFonts w:ascii="仿宋_GB2312" w:hAnsi="仿宋_GB2312" w:eastAsia="仿宋_GB2312" w:cs="仿宋_GB2312"/>
          <w:b w:val="0"/>
          <w:color w:val="auto"/>
          <w:sz w:val="24"/>
          <w:szCs w:val="24"/>
        </w:rPr>
      </w:pPr>
      <w:bookmarkStart w:id="59" w:name="_Toc30087_WPSOffice_Level1"/>
      <w:bookmarkStart w:id="60" w:name="_Toc7560"/>
      <w:r>
        <w:rPr>
          <w:rFonts w:hint="eastAsia" w:ascii="仿宋_GB2312" w:hAnsi="仿宋_GB2312" w:eastAsia="仿宋_GB2312" w:cs="仿宋_GB2312"/>
          <w:b w:val="0"/>
          <w:color w:val="auto"/>
          <w:sz w:val="24"/>
          <w:szCs w:val="24"/>
        </w:rPr>
        <w:t>五、选手自带设备清单</w:t>
      </w:r>
      <w:bookmarkEnd w:id="59"/>
      <w:bookmarkEnd w:id="60"/>
    </w:p>
    <w:tbl>
      <w:tblPr>
        <w:tblStyle w:val="51"/>
        <w:tblW w:w="9215" w:type="dxa"/>
        <w:tblInd w:w="-294" w:type="dxa"/>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Layout w:type="fixed"/>
        <w:tblCellMar>
          <w:top w:w="57" w:type="dxa"/>
          <w:left w:w="142" w:type="dxa"/>
          <w:bottom w:w="57" w:type="dxa"/>
          <w:right w:w="142" w:type="dxa"/>
        </w:tblCellMar>
      </w:tblPr>
      <w:tblGrid>
        <w:gridCol w:w="993"/>
        <w:gridCol w:w="992"/>
        <w:gridCol w:w="1560"/>
        <w:gridCol w:w="5670"/>
      </w:tblGrid>
      <w:tr w14:paraId="353B2D92">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313" w:hRule="atLeast"/>
        </w:trPr>
        <w:tc>
          <w:tcPr>
            <w:tcW w:w="993" w:type="dxa"/>
          </w:tcPr>
          <w:p w14:paraId="14A8E6EA">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序号</w:t>
            </w:r>
          </w:p>
        </w:tc>
        <w:tc>
          <w:tcPr>
            <w:tcW w:w="992" w:type="dxa"/>
          </w:tcPr>
          <w:p w14:paraId="6B346F4C">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名称</w:t>
            </w:r>
          </w:p>
        </w:tc>
        <w:tc>
          <w:tcPr>
            <w:tcW w:w="1560" w:type="dxa"/>
          </w:tcPr>
          <w:p w14:paraId="39167064">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数量</w:t>
            </w:r>
          </w:p>
        </w:tc>
        <w:tc>
          <w:tcPr>
            <w:tcW w:w="5670" w:type="dxa"/>
          </w:tcPr>
          <w:p w14:paraId="1C158DC3">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技术规格</w:t>
            </w:r>
          </w:p>
        </w:tc>
      </w:tr>
      <w:tr w14:paraId="7DB55FBE">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716" w:hRule="atLeast"/>
        </w:trPr>
        <w:tc>
          <w:tcPr>
            <w:tcW w:w="993" w:type="dxa"/>
            <w:vAlign w:val="center"/>
          </w:tcPr>
          <w:p w14:paraId="1D069790">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w:t>
            </w:r>
          </w:p>
        </w:tc>
        <w:tc>
          <w:tcPr>
            <w:tcW w:w="992" w:type="dxa"/>
            <w:vAlign w:val="center"/>
          </w:tcPr>
          <w:p w14:paraId="3CA022CA">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手机</w:t>
            </w:r>
          </w:p>
        </w:tc>
        <w:tc>
          <w:tcPr>
            <w:tcW w:w="1560" w:type="dxa"/>
            <w:vAlign w:val="center"/>
          </w:tcPr>
          <w:p w14:paraId="3DCE4493">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1台/选手</w:t>
            </w:r>
          </w:p>
        </w:tc>
        <w:tc>
          <w:tcPr>
            <w:tcW w:w="5670" w:type="dxa"/>
            <w:vAlign w:val="center"/>
          </w:tcPr>
          <w:p w14:paraId="0D489663">
            <w:pPr>
              <w:pStyle w:val="30"/>
              <w:spacing w:after="0" w:line="400" w:lineRule="exact"/>
              <w:ind w:left="0" w:leftChars="0"/>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安卓（Android）系统手机，满足前摄主摄像素500万或以上，3GB+32GB或以上，自带耳机，保证声音输入</w:t>
            </w:r>
          </w:p>
        </w:tc>
      </w:tr>
      <w:tr w14:paraId="190E6898">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716" w:hRule="atLeast"/>
        </w:trPr>
        <w:tc>
          <w:tcPr>
            <w:tcW w:w="993" w:type="dxa"/>
            <w:vAlign w:val="center"/>
          </w:tcPr>
          <w:p w14:paraId="1660EEA5">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w:t>
            </w:r>
          </w:p>
        </w:tc>
        <w:tc>
          <w:tcPr>
            <w:tcW w:w="992" w:type="dxa"/>
            <w:vAlign w:val="center"/>
          </w:tcPr>
          <w:p w14:paraId="53AAD11D">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直播耳机</w:t>
            </w:r>
          </w:p>
        </w:tc>
        <w:tc>
          <w:tcPr>
            <w:tcW w:w="1560" w:type="dxa"/>
            <w:vAlign w:val="center"/>
          </w:tcPr>
          <w:p w14:paraId="5EB350F3">
            <w:pPr>
              <w:pStyle w:val="30"/>
              <w:spacing w:after="0" w:line="400" w:lineRule="exact"/>
              <w:ind w:left="0" w:leftChars="0"/>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1副/选手</w:t>
            </w:r>
          </w:p>
        </w:tc>
        <w:tc>
          <w:tcPr>
            <w:tcW w:w="5670" w:type="dxa"/>
            <w:vAlign w:val="center"/>
          </w:tcPr>
          <w:p w14:paraId="23C31931">
            <w:pPr>
              <w:pStyle w:val="30"/>
              <w:spacing w:after="0" w:line="400" w:lineRule="exact"/>
              <w:ind w:left="0" w:leftChars="0"/>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直插型、入耳式有线耳机，线长不低于1.5m</w:t>
            </w:r>
          </w:p>
        </w:tc>
      </w:tr>
    </w:tbl>
    <w:p w14:paraId="3C1C941C">
      <w:pPr>
        <w:pStyle w:val="49"/>
        <w:spacing w:line="400" w:lineRule="exact"/>
        <w:ind w:firstLine="240"/>
        <w:rPr>
          <w:rFonts w:ascii="仿宋_GB2312" w:hAnsi="仿宋_GB2312" w:eastAsia="仿宋_GB2312" w:cs="仿宋_GB2312"/>
          <w:color w:val="auto"/>
          <w:sz w:val="24"/>
        </w:rPr>
      </w:pPr>
      <w:r>
        <w:rPr>
          <w:rFonts w:hint="eastAsia" w:ascii="仿宋_GB2312" w:hAnsi="仿宋_GB2312" w:eastAsia="仿宋_GB2312" w:cs="仿宋_GB2312"/>
          <w:color w:val="auto"/>
          <w:sz w:val="24"/>
        </w:rPr>
        <w:t>本赛项禁止选手携带U盘等具有存储功能的设备进入赛场，禁止选手穿着差异化的服装、佩戴差异化头饰进入赛场。</w:t>
      </w:r>
    </w:p>
    <w:p w14:paraId="02BC6A28">
      <w:pPr>
        <w:pStyle w:val="4"/>
        <w:spacing w:before="0" w:line="400" w:lineRule="exact"/>
        <w:jc w:val="left"/>
        <w:rPr>
          <w:rFonts w:ascii="仿宋_GB2312" w:hAnsi="仿宋_GB2312" w:eastAsia="仿宋_GB2312" w:cs="仿宋_GB2312"/>
          <w:b w:val="0"/>
          <w:color w:val="auto"/>
          <w:sz w:val="24"/>
          <w:szCs w:val="24"/>
        </w:rPr>
      </w:pPr>
      <w:bookmarkStart w:id="61" w:name="_Toc28598"/>
      <w:bookmarkStart w:id="62" w:name="_Toc15112_WPSOffice_Level1"/>
      <w:r>
        <w:rPr>
          <w:rFonts w:hint="eastAsia" w:ascii="仿宋_GB2312" w:hAnsi="仿宋_GB2312" w:eastAsia="仿宋_GB2312" w:cs="仿宋_GB2312"/>
          <w:b w:val="0"/>
          <w:color w:val="auto"/>
          <w:sz w:val="24"/>
          <w:szCs w:val="24"/>
        </w:rPr>
        <w:t>六、项目特殊说明</w:t>
      </w:r>
      <w:bookmarkEnd w:id="61"/>
      <w:bookmarkEnd w:id="62"/>
    </w:p>
    <w:p w14:paraId="72CC9EA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所有工作人员请勿携带与竞赛无关的电子设备、通讯设备及其他资料与用品进入赛场。</w:t>
      </w:r>
    </w:p>
    <w:p w14:paraId="66E8F6CD">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技术工作人员可在技术服务区保障赛场软件正常运行。</w:t>
      </w:r>
    </w:p>
    <w:p w14:paraId="4DDF0819">
      <w:pPr>
        <w:pStyle w:val="4"/>
        <w:spacing w:before="0" w:line="400" w:lineRule="exact"/>
        <w:jc w:val="left"/>
        <w:rPr>
          <w:rFonts w:ascii="仿宋_GB2312" w:hAnsi="仿宋_GB2312" w:eastAsia="仿宋_GB2312" w:cs="仿宋_GB2312"/>
          <w:b w:val="0"/>
          <w:color w:val="auto"/>
          <w:sz w:val="24"/>
          <w:szCs w:val="24"/>
        </w:rPr>
      </w:pPr>
      <w:bookmarkStart w:id="63" w:name="_Toc29337"/>
      <w:bookmarkStart w:id="64" w:name="_Toc8133_WPSOffice_Level1"/>
      <w:r>
        <w:rPr>
          <w:rFonts w:hint="eastAsia" w:ascii="仿宋_GB2312" w:hAnsi="仿宋_GB2312" w:eastAsia="仿宋_GB2312" w:cs="仿宋_GB2312"/>
          <w:b w:val="0"/>
          <w:color w:val="auto"/>
          <w:sz w:val="24"/>
          <w:szCs w:val="24"/>
        </w:rPr>
        <w:t>七、安全健康</w:t>
      </w:r>
      <w:bookmarkEnd w:id="63"/>
      <w:bookmarkEnd w:id="64"/>
    </w:p>
    <w:p w14:paraId="48F50102">
      <w:pPr>
        <w:spacing w:line="400" w:lineRule="exact"/>
        <w:ind w:firstLine="480" w:firstLineChars="200"/>
        <w:rPr>
          <w:rFonts w:eastAsia="仿宋"/>
          <w:color w:val="auto"/>
          <w:szCs w:val="32"/>
        </w:rPr>
      </w:pPr>
      <w:r>
        <w:rPr>
          <w:rFonts w:hint="eastAsia" w:ascii="仿宋_GB2312" w:hAnsi="仿宋_GB2312" w:eastAsia="仿宋_GB2312" w:cs="仿宋_GB2312"/>
          <w:color w:val="auto"/>
          <w:sz w:val="24"/>
        </w:rPr>
        <w:t>为确保事故为零，需提升所有参赛队伍的职业健康及安全意识。即按照相关安全规定、设备、工器具安全操作规程，在整个竞赛过程保持场地整洁、材料物件及工器具摆放整齐。</w:t>
      </w:r>
    </w:p>
    <w:p w14:paraId="2891DC34">
      <w:pPr>
        <w:pStyle w:val="40"/>
        <w:spacing w:line="400" w:lineRule="exact"/>
        <w:rPr>
          <w:rFonts w:ascii="仿宋_GB2312" w:hAnsi="仿宋_GB2312" w:eastAsia="仿宋_GB2312" w:cs="仿宋_GB2312"/>
          <w:b/>
          <w:bCs/>
          <w:color w:val="auto"/>
          <w:sz w:val="24"/>
          <w:szCs w:val="24"/>
        </w:rPr>
      </w:pPr>
    </w:p>
    <w:p w14:paraId="778CFB6E">
      <w:pPr>
        <w:pStyle w:val="40"/>
        <w:spacing w:line="400" w:lineRule="exact"/>
        <w:ind w:left="0" w:leftChars="0"/>
        <w:rPr>
          <w:rFonts w:ascii="仿宋_GB2312" w:hAnsi="仿宋_GB2312" w:eastAsia="仿宋_GB2312" w:cs="仿宋_GB2312"/>
          <w:b/>
          <w:bCs/>
          <w:color w:val="auto"/>
          <w:sz w:val="24"/>
          <w:szCs w:val="24"/>
        </w:rPr>
      </w:pPr>
    </w:p>
    <w:p w14:paraId="25D3C1C2">
      <w:pPr>
        <w:pStyle w:val="40"/>
        <w:spacing w:line="400" w:lineRule="exact"/>
        <w:rPr>
          <w:rFonts w:ascii="仿宋_GB2312" w:hAnsi="仿宋_GB2312" w:eastAsia="仿宋_GB2312" w:cs="仿宋_GB2312"/>
          <w:b/>
          <w:bCs/>
          <w:color w:val="auto"/>
          <w:sz w:val="24"/>
          <w:szCs w:val="24"/>
        </w:rPr>
      </w:pPr>
    </w:p>
    <w:p w14:paraId="76AE2351">
      <w:pPr>
        <w:pStyle w:val="40"/>
        <w:spacing w:line="400" w:lineRule="exact"/>
        <w:rPr>
          <w:rFonts w:ascii="仿宋_GB2312" w:hAnsi="仿宋_GB2312" w:eastAsia="仿宋_GB2312" w:cs="仿宋_GB2312"/>
          <w:b/>
          <w:bCs/>
          <w:color w:val="auto"/>
          <w:sz w:val="24"/>
          <w:szCs w:val="24"/>
        </w:rPr>
      </w:pPr>
    </w:p>
    <w:p w14:paraId="37B8A727">
      <w:pPr>
        <w:pStyle w:val="40"/>
        <w:spacing w:line="400" w:lineRule="exact"/>
        <w:rPr>
          <w:rFonts w:ascii="仿宋_GB2312" w:hAnsi="仿宋_GB2312" w:eastAsia="仿宋_GB2312" w:cs="仿宋_GB2312"/>
          <w:b/>
          <w:bCs/>
          <w:color w:val="auto"/>
          <w:sz w:val="24"/>
          <w:szCs w:val="24"/>
        </w:rPr>
      </w:pPr>
    </w:p>
    <w:p w14:paraId="247B2A0F">
      <w:pPr>
        <w:pStyle w:val="40"/>
        <w:spacing w:line="400" w:lineRule="exact"/>
        <w:rPr>
          <w:rFonts w:ascii="仿宋_GB2312" w:hAnsi="仿宋_GB2312" w:eastAsia="仿宋_GB2312" w:cs="仿宋_GB2312"/>
          <w:b/>
          <w:bCs/>
          <w:color w:val="auto"/>
          <w:sz w:val="24"/>
          <w:szCs w:val="24"/>
        </w:rPr>
      </w:pPr>
    </w:p>
    <w:p w14:paraId="53AB9031">
      <w:pPr>
        <w:pStyle w:val="40"/>
        <w:spacing w:line="400" w:lineRule="exact"/>
        <w:rPr>
          <w:rFonts w:ascii="仿宋_GB2312" w:hAnsi="仿宋_GB2312" w:eastAsia="仿宋_GB2312" w:cs="仿宋_GB2312"/>
          <w:b/>
          <w:bCs/>
          <w:color w:val="auto"/>
          <w:sz w:val="24"/>
          <w:szCs w:val="24"/>
        </w:rPr>
      </w:pPr>
    </w:p>
    <w:p w14:paraId="3E74ACD3">
      <w:pPr>
        <w:pStyle w:val="40"/>
        <w:spacing w:line="400" w:lineRule="exact"/>
        <w:rPr>
          <w:rFonts w:ascii="仿宋_GB2312" w:hAnsi="仿宋_GB2312" w:eastAsia="仿宋_GB2312" w:cs="仿宋_GB2312"/>
          <w:b/>
          <w:bCs/>
          <w:color w:val="auto"/>
          <w:sz w:val="24"/>
          <w:szCs w:val="24"/>
        </w:rPr>
      </w:pPr>
    </w:p>
    <w:p w14:paraId="146F7DC8">
      <w:pPr>
        <w:pStyle w:val="40"/>
        <w:spacing w:line="400" w:lineRule="exact"/>
        <w:rPr>
          <w:rFonts w:ascii="仿宋_GB2312" w:hAnsi="仿宋_GB2312" w:eastAsia="仿宋_GB2312" w:cs="仿宋_GB2312"/>
          <w:b/>
          <w:bCs/>
          <w:color w:val="auto"/>
          <w:sz w:val="24"/>
          <w:szCs w:val="24"/>
        </w:rPr>
      </w:pPr>
    </w:p>
    <w:p w14:paraId="0D9075FA">
      <w:pPr>
        <w:pStyle w:val="40"/>
        <w:spacing w:line="400" w:lineRule="exact"/>
        <w:rPr>
          <w:rFonts w:ascii="仿宋_GB2312" w:hAnsi="仿宋_GB2312" w:eastAsia="仿宋_GB2312" w:cs="仿宋_GB2312"/>
          <w:b/>
          <w:bCs/>
          <w:color w:val="auto"/>
          <w:sz w:val="24"/>
          <w:szCs w:val="24"/>
        </w:rPr>
      </w:pPr>
    </w:p>
    <w:p w14:paraId="42157967">
      <w:pPr>
        <w:pStyle w:val="40"/>
        <w:spacing w:line="400" w:lineRule="exact"/>
        <w:rPr>
          <w:rFonts w:ascii="仿宋_GB2312" w:hAnsi="仿宋_GB2312" w:eastAsia="仿宋_GB2312" w:cs="仿宋_GB2312"/>
          <w:b/>
          <w:bCs/>
          <w:color w:val="auto"/>
          <w:sz w:val="24"/>
          <w:szCs w:val="24"/>
        </w:rPr>
      </w:pPr>
    </w:p>
    <w:p w14:paraId="315D5140">
      <w:pPr>
        <w:pStyle w:val="40"/>
        <w:spacing w:line="400" w:lineRule="exact"/>
        <w:rPr>
          <w:rFonts w:ascii="仿宋_GB2312" w:hAnsi="仿宋_GB2312" w:eastAsia="仿宋_GB2312" w:cs="仿宋_GB2312"/>
          <w:b/>
          <w:bCs/>
          <w:color w:val="auto"/>
          <w:sz w:val="24"/>
          <w:szCs w:val="24"/>
        </w:rPr>
      </w:pPr>
    </w:p>
    <w:p w14:paraId="097B1EF7">
      <w:pPr>
        <w:pStyle w:val="40"/>
        <w:spacing w:line="400" w:lineRule="exact"/>
        <w:rPr>
          <w:rFonts w:ascii="仿宋_GB2312" w:hAnsi="仿宋_GB2312" w:eastAsia="仿宋_GB2312" w:cs="仿宋_GB2312"/>
          <w:b/>
          <w:bCs/>
          <w:color w:val="auto"/>
          <w:sz w:val="24"/>
          <w:szCs w:val="24"/>
        </w:rPr>
      </w:pPr>
    </w:p>
    <w:p w14:paraId="091E0082">
      <w:pPr>
        <w:pStyle w:val="40"/>
        <w:spacing w:line="400" w:lineRule="exact"/>
        <w:rPr>
          <w:rFonts w:ascii="仿宋_GB2312" w:hAnsi="仿宋_GB2312" w:eastAsia="仿宋_GB2312" w:cs="仿宋_GB2312"/>
          <w:b/>
          <w:bCs/>
          <w:color w:val="auto"/>
          <w:sz w:val="24"/>
          <w:szCs w:val="24"/>
        </w:rPr>
      </w:pPr>
    </w:p>
    <w:p w14:paraId="0449C297">
      <w:pPr>
        <w:rPr>
          <w:rFonts w:ascii="仿宋_GB2312" w:hAnsi="仿宋_GB2312" w:eastAsia="仿宋_GB2312" w:cs="仿宋_GB2312"/>
          <w:b/>
          <w:bCs/>
          <w:color w:val="auto"/>
          <w:sz w:val="30"/>
          <w:szCs w:val="30"/>
        </w:rPr>
      </w:pPr>
      <w:r>
        <w:rPr>
          <w:rFonts w:hint="eastAsia" w:ascii="仿宋_GB2312" w:hAnsi="仿宋_GB2312" w:eastAsia="仿宋_GB2312" w:cs="仿宋_GB2312"/>
          <w:b/>
          <w:color w:val="auto"/>
          <w:kern w:val="0"/>
          <w:sz w:val="24"/>
        </w:rPr>
        <w:t>★</w:t>
      </w:r>
      <w:r>
        <w:rPr>
          <w:rFonts w:hint="eastAsia" w:ascii="仿宋_GB2312" w:hAnsi="仿宋_GB2312" w:eastAsia="仿宋_GB2312" w:cs="仿宋_GB2312"/>
          <w:b/>
          <w:bCs/>
          <w:color w:val="auto"/>
          <w:sz w:val="30"/>
          <w:szCs w:val="30"/>
        </w:rPr>
        <w:t>附件2：</w:t>
      </w:r>
    </w:p>
    <w:p w14:paraId="3A32EC61">
      <w:pPr>
        <w:rPr>
          <w:rFonts w:ascii="仿宋_GB2312" w:hAnsi="仿宋_GB2312" w:eastAsia="仿宋_GB2312" w:cs="仿宋_GB2312"/>
          <w:color w:val="auto"/>
          <w:sz w:val="30"/>
          <w:szCs w:val="30"/>
        </w:rPr>
      </w:pPr>
    </w:p>
    <w:p w14:paraId="708E11F0">
      <w:pPr>
        <w:rPr>
          <w:rFonts w:ascii="仿宋_GB2312" w:hAnsi="仿宋_GB2312" w:eastAsia="仿宋_GB2312" w:cs="仿宋_GB2312"/>
          <w:color w:val="auto"/>
          <w:sz w:val="30"/>
          <w:szCs w:val="30"/>
        </w:rPr>
      </w:pPr>
    </w:p>
    <w:p w14:paraId="76DE1546">
      <w:pPr>
        <w:rPr>
          <w:rFonts w:ascii="仿宋_GB2312" w:hAnsi="仿宋_GB2312" w:eastAsia="仿宋_GB2312" w:cs="仿宋_GB2312"/>
          <w:color w:val="auto"/>
          <w:sz w:val="30"/>
          <w:szCs w:val="30"/>
        </w:rPr>
      </w:pPr>
    </w:p>
    <w:p w14:paraId="6E81DA6D">
      <w:pPr>
        <w:rPr>
          <w:rFonts w:ascii="仿宋_GB2312" w:hAnsi="仿宋_GB2312" w:eastAsia="仿宋_GB2312" w:cs="仿宋_GB2312"/>
          <w:color w:val="auto"/>
          <w:sz w:val="30"/>
          <w:szCs w:val="30"/>
        </w:rPr>
      </w:pPr>
    </w:p>
    <w:p w14:paraId="2673CB29">
      <w:pPr>
        <w:rPr>
          <w:rFonts w:ascii="仿宋_GB2312" w:hAnsi="仿宋_GB2312" w:eastAsia="仿宋_GB2312" w:cs="仿宋_GB2312"/>
          <w:color w:val="auto"/>
          <w:sz w:val="30"/>
          <w:szCs w:val="30"/>
        </w:rPr>
      </w:pPr>
    </w:p>
    <w:p w14:paraId="014798FC">
      <w:pPr>
        <w:rPr>
          <w:rFonts w:ascii="仿宋_GB2312" w:hAnsi="仿宋_GB2312" w:eastAsia="仿宋_GB2312" w:cs="仿宋_GB2312"/>
          <w:color w:val="auto"/>
          <w:sz w:val="30"/>
          <w:szCs w:val="30"/>
        </w:rPr>
      </w:pPr>
    </w:p>
    <w:p w14:paraId="7FCF342D">
      <w:pPr>
        <w:spacing w:line="700" w:lineRule="exact"/>
        <w:jc w:val="center"/>
        <w:rPr>
          <w:rFonts w:ascii="方正小标宋简体" w:hAnsi="方正小标宋简体" w:eastAsia="方正小标宋简体" w:cs="方正小标宋简体"/>
          <w:color w:val="auto"/>
          <w:sz w:val="44"/>
          <w:szCs w:val="44"/>
        </w:rPr>
      </w:pPr>
      <w:r>
        <w:rPr>
          <w:rFonts w:eastAsia="方正小标宋简体"/>
          <w:color w:val="auto"/>
          <w:sz w:val="44"/>
          <w:szCs w:val="44"/>
        </w:rPr>
        <w:t>2024</w:t>
      </w:r>
      <w:r>
        <w:rPr>
          <w:rFonts w:hint="eastAsia" w:ascii="方正小标宋简体" w:hAnsi="方正小标宋简体" w:eastAsia="方正小标宋简体" w:cs="方正小标宋简体"/>
          <w:color w:val="auto"/>
          <w:sz w:val="44"/>
          <w:szCs w:val="44"/>
        </w:rPr>
        <w:t>年广西职工职业技能大赛决赛</w:t>
      </w:r>
    </w:p>
    <w:p w14:paraId="398BB618">
      <w:pPr>
        <w:spacing w:line="70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u w:val="single"/>
        </w:rPr>
        <w:t>互联网营销师</w:t>
      </w:r>
      <w:r>
        <w:rPr>
          <w:rFonts w:hint="eastAsia" w:ascii="方正小标宋简体" w:hAnsi="方正小标宋简体" w:eastAsia="方正小标宋简体" w:cs="方正小标宋简体"/>
          <w:color w:val="auto"/>
          <w:sz w:val="44"/>
          <w:szCs w:val="44"/>
        </w:rPr>
        <w:t>赛项</w:t>
      </w:r>
    </w:p>
    <w:p w14:paraId="6C335881">
      <w:pPr>
        <w:spacing w:line="700" w:lineRule="exact"/>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技术文件</w:t>
      </w:r>
    </w:p>
    <w:p w14:paraId="61EF4948">
      <w:pPr>
        <w:pStyle w:val="30"/>
        <w:rPr>
          <w:rFonts w:ascii="方正小标宋简体" w:hAnsi="方正小标宋简体" w:eastAsia="方正小标宋简体" w:cs="方正小标宋简体"/>
          <w:color w:val="auto"/>
          <w:sz w:val="36"/>
          <w:szCs w:val="36"/>
        </w:rPr>
      </w:pPr>
    </w:p>
    <w:p w14:paraId="635E3085">
      <w:pPr>
        <w:pStyle w:val="30"/>
        <w:rPr>
          <w:rFonts w:ascii="方正小标宋简体" w:hAnsi="方正小标宋简体" w:eastAsia="方正小标宋简体" w:cs="方正小标宋简体"/>
          <w:color w:val="auto"/>
          <w:sz w:val="36"/>
          <w:szCs w:val="36"/>
        </w:rPr>
      </w:pPr>
    </w:p>
    <w:p w14:paraId="73C5A2C1">
      <w:pPr>
        <w:pStyle w:val="30"/>
        <w:rPr>
          <w:rFonts w:ascii="方正小标宋简体" w:hAnsi="方正小标宋简体" w:eastAsia="方正小标宋简体" w:cs="方正小标宋简体"/>
          <w:color w:val="auto"/>
          <w:sz w:val="36"/>
          <w:szCs w:val="36"/>
        </w:rPr>
      </w:pPr>
    </w:p>
    <w:p w14:paraId="42CC576E">
      <w:pPr>
        <w:pStyle w:val="30"/>
        <w:rPr>
          <w:rFonts w:ascii="方正小标宋简体" w:hAnsi="方正小标宋简体" w:eastAsia="方正小标宋简体" w:cs="方正小标宋简体"/>
          <w:color w:val="auto"/>
          <w:sz w:val="36"/>
          <w:szCs w:val="36"/>
        </w:rPr>
      </w:pPr>
    </w:p>
    <w:p w14:paraId="0F4BB4A9">
      <w:pPr>
        <w:pStyle w:val="30"/>
        <w:rPr>
          <w:rFonts w:ascii="方正小标宋简体" w:hAnsi="方正小标宋简体" w:eastAsia="方正小标宋简体" w:cs="方正小标宋简体"/>
          <w:color w:val="auto"/>
          <w:sz w:val="36"/>
          <w:szCs w:val="36"/>
        </w:rPr>
      </w:pPr>
    </w:p>
    <w:p w14:paraId="34FF3B4D">
      <w:pPr>
        <w:pStyle w:val="30"/>
        <w:rPr>
          <w:rFonts w:ascii="方正小标宋简体" w:hAnsi="方正小标宋简体" w:eastAsia="方正小标宋简体" w:cs="方正小标宋简体"/>
          <w:color w:val="auto"/>
          <w:sz w:val="36"/>
          <w:szCs w:val="36"/>
        </w:rPr>
      </w:pPr>
    </w:p>
    <w:p w14:paraId="52848137">
      <w:pPr>
        <w:pStyle w:val="30"/>
        <w:spacing w:after="0" w:line="240" w:lineRule="auto"/>
        <w:ind w:left="0" w:leftChars="0"/>
        <w:rPr>
          <w:rFonts w:eastAsia="方正小标宋简体"/>
          <w:color w:val="auto"/>
          <w:sz w:val="30"/>
          <w:szCs w:val="30"/>
        </w:rPr>
      </w:pPr>
    </w:p>
    <w:p w14:paraId="6CF82EDB">
      <w:pPr>
        <w:pStyle w:val="30"/>
        <w:spacing w:after="0" w:line="240" w:lineRule="auto"/>
        <w:ind w:left="0" w:leftChars="0"/>
        <w:jc w:val="center"/>
        <w:rPr>
          <w:rFonts w:ascii="方正小标宋简体" w:hAnsi="方正小标宋简体" w:eastAsia="方正小标宋简体" w:cs="方正小标宋简体"/>
          <w:color w:val="auto"/>
          <w:sz w:val="32"/>
          <w:szCs w:val="32"/>
        </w:rPr>
      </w:pPr>
      <w:r>
        <w:rPr>
          <w:rFonts w:eastAsia="方正小标宋简体"/>
          <w:color w:val="auto"/>
          <w:sz w:val="32"/>
          <w:szCs w:val="32"/>
        </w:rPr>
        <w:t>2024</w:t>
      </w:r>
      <w:r>
        <w:rPr>
          <w:rFonts w:hint="eastAsia" w:ascii="方正小标宋简体" w:hAnsi="方正小标宋简体" w:eastAsia="方正小标宋简体" w:cs="方正小标宋简体"/>
          <w:color w:val="auto"/>
          <w:sz w:val="32"/>
          <w:szCs w:val="32"/>
        </w:rPr>
        <w:t>年广西壮族自治区职工职业技能大赛组委会</w:t>
      </w:r>
    </w:p>
    <w:p w14:paraId="383E801B">
      <w:pPr>
        <w:pStyle w:val="40"/>
        <w:spacing w:line="400" w:lineRule="exact"/>
        <w:jc w:val="center"/>
        <w:rPr>
          <w:rFonts w:ascii="仿宋_GB2312" w:hAnsi="仿宋_GB2312" w:eastAsia="仿宋_GB2312" w:cs="仿宋_GB2312"/>
          <w:b/>
          <w:bCs/>
          <w:color w:val="auto"/>
          <w:sz w:val="24"/>
          <w:szCs w:val="24"/>
        </w:rPr>
      </w:pPr>
      <w:r>
        <w:rPr>
          <w:rFonts w:eastAsia="方正小标宋简体"/>
          <w:color w:val="auto"/>
          <w:sz w:val="32"/>
          <w:szCs w:val="32"/>
        </w:rPr>
        <w:t>2024</w:t>
      </w:r>
      <w:r>
        <w:rPr>
          <w:rFonts w:hint="eastAsia" w:ascii="方正小标宋简体" w:hAnsi="方正小标宋简体" w:eastAsia="方正小标宋简体" w:cs="方正小标宋简体"/>
          <w:color w:val="auto"/>
          <w:sz w:val="32"/>
          <w:szCs w:val="32"/>
        </w:rPr>
        <w:t>年</w:t>
      </w:r>
      <w:r>
        <w:rPr>
          <w:rFonts w:eastAsia="方正小标宋简体"/>
          <w:color w:val="auto"/>
          <w:sz w:val="32"/>
          <w:szCs w:val="32"/>
        </w:rPr>
        <w:t>7</w:t>
      </w:r>
      <w:r>
        <w:rPr>
          <w:rFonts w:hint="eastAsia" w:ascii="方正小标宋简体" w:hAnsi="方正小标宋简体" w:eastAsia="方正小标宋简体" w:cs="方正小标宋简体"/>
          <w:color w:val="auto"/>
          <w:sz w:val="32"/>
          <w:szCs w:val="32"/>
        </w:rPr>
        <w:t>月</w:t>
      </w:r>
    </w:p>
    <w:p w14:paraId="3E2FD8F1">
      <w:pPr>
        <w:spacing w:line="400" w:lineRule="exact"/>
        <w:rPr>
          <w:rFonts w:ascii="仿宋_GB2312" w:hAnsi="仿宋_GB2312" w:eastAsia="仿宋_GB2312" w:cs="仿宋_GB2312"/>
          <w:b/>
          <w:bCs/>
          <w:color w:val="auto"/>
          <w:sz w:val="24"/>
        </w:rPr>
      </w:pPr>
      <w:bookmarkStart w:id="65" w:name="_Toc173682075"/>
      <w:bookmarkStart w:id="66" w:name="_Toc28240"/>
      <w:r>
        <w:rPr>
          <w:rFonts w:hint="eastAsia" w:ascii="仿宋_GB2312" w:hAnsi="仿宋_GB2312" w:eastAsia="仿宋_GB2312" w:cs="仿宋_GB2312"/>
          <w:b/>
          <w:bCs/>
          <w:color w:val="auto"/>
          <w:sz w:val="24"/>
        </w:rPr>
        <w:t>一、赛项描述</w:t>
      </w:r>
      <w:bookmarkEnd w:id="65"/>
      <w:bookmarkEnd w:id="66"/>
    </w:p>
    <w:p w14:paraId="0E131469">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互联网营销师赛项是指面向互联网营销全过程，能够对项目的互联网营销进行计划、实施和运营管理的人员，独立完成互联网营销职业技能测评与互联网营销项目实施的竞赛项目。参赛对象为从事互联网营销的企业职工。竞赛试题的编制由竞赛组委会专家组以《互联网营销师国家职业技能标准》（2021年版）相关能力要求为依据，借鉴世界技能大赛命题方法和考核内容，同时增加相关新技术、新工艺、新设备等内容，以适应互联网环境下对互联网营销师人才职业技能的新要求。</w:t>
      </w:r>
    </w:p>
    <w:p w14:paraId="463796D5">
      <w:pPr>
        <w:spacing w:line="400" w:lineRule="exact"/>
        <w:rPr>
          <w:rFonts w:ascii="仿宋_GB2312" w:hAnsi="仿宋_GB2312" w:eastAsia="仿宋_GB2312" w:cs="仿宋_GB2312"/>
          <w:b/>
          <w:bCs/>
          <w:color w:val="auto"/>
          <w:sz w:val="24"/>
        </w:rPr>
      </w:pPr>
      <w:bookmarkStart w:id="67" w:name="_Toc29314"/>
      <w:bookmarkStart w:id="68" w:name="_Toc173682076"/>
      <w:r>
        <w:rPr>
          <w:rFonts w:hint="eastAsia" w:ascii="仿宋_GB2312" w:hAnsi="仿宋_GB2312" w:eastAsia="仿宋_GB2312" w:cs="仿宋_GB2312"/>
          <w:b/>
          <w:bCs/>
          <w:color w:val="auto"/>
          <w:sz w:val="24"/>
        </w:rPr>
        <w:t>二、竞赛形式</w:t>
      </w:r>
      <w:bookmarkEnd w:id="67"/>
      <w:bookmarkEnd w:id="68"/>
    </w:p>
    <w:p w14:paraId="6EC7A6F6">
      <w:pPr>
        <w:spacing w:line="400" w:lineRule="exact"/>
        <w:rPr>
          <w:rFonts w:ascii="仿宋_GB2312" w:hAnsi="仿宋_GB2312" w:eastAsia="仿宋_GB2312" w:cs="仿宋_GB2312"/>
          <w:color w:val="auto"/>
          <w:sz w:val="24"/>
        </w:rPr>
      </w:pPr>
      <w:bookmarkStart w:id="69" w:name="_Toc173682077"/>
      <w:bookmarkStart w:id="70" w:name="_Toc20902"/>
      <w:r>
        <w:rPr>
          <w:rFonts w:hint="eastAsia" w:ascii="仿宋_GB2312" w:hAnsi="仿宋_GB2312" w:eastAsia="仿宋_GB2312" w:cs="仿宋_GB2312"/>
          <w:color w:val="auto"/>
          <w:sz w:val="24"/>
        </w:rPr>
        <w:t>（一）竞赛形式与内容</w:t>
      </w:r>
      <w:bookmarkEnd w:id="69"/>
      <w:bookmarkEnd w:id="70"/>
    </w:p>
    <w:p w14:paraId="31226B40">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本赛项为个人赛，赛事包括数字营销推广、直播营销两部分内容共计两场，采用线下集中模式进行。</w:t>
      </w:r>
    </w:p>
    <w:p w14:paraId="07B5127E">
      <w:pPr>
        <w:spacing w:line="400" w:lineRule="exact"/>
        <w:ind w:firstLine="480" w:firstLineChars="200"/>
        <w:outlineLvl w:val="1"/>
        <w:rPr>
          <w:rFonts w:ascii="仿宋_GB2312" w:hAnsi="仿宋_GB2312" w:eastAsia="仿宋_GB2312" w:cs="仿宋_GB2312"/>
          <w:color w:val="auto"/>
          <w:sz w:val="24"/>
        </w:rPr>
      </w:pPr>
      <w:bookmarkStart w:id="71" w:name="_Toc173682078"/>
      <w:r>
        <w:rPr>
          <w:rFonts w:hint="eastAsia" w:ascii="仿宋_GB2312" w:hAnsi="仿宋_GB2312" w:eastAsia="仿宋_GB2312" w:cs="仿宋_GB2312"/>
          <w:color w:val="auto"/>
          <w:sz w:val="24"/>
        </w:rPr>
        <w:t>（1）直播营销</w:t>
      </w:r>
      <w:bookmarkEnd w:id="71"/>
    </w:p>
    <w:p w14:paraId="26F3C12E">
      <w:pPr>
        <w:spacing w:line="400" w:lineRule="exact"/>
        <w:ind w:firstLine="480" w:firstLineChars="200"/>
        <w:outlineLvl w:val="1"/>
        <w:rPr>
          <w:rFonts w:ascii="仿宋_GB2312" w:hAnsi="仿宋_GB2312" w:eastAsia="仿宋_GB2312" w:cs="仿宋_GB2312"/>
          <w:color w:val="auto"/>
          <w:sz w:val="24"/>
        </w:rPr>
      </w:pPr>
      <w:bookmarkStart w:id="72" w:name="_Toc173682079"/>
      <w:r>
        <w:rPr>
          <w:rFonts w:hint="eastAsia" w:ascii="仿宋_GB2312" w:hAnsi="仿宋_GB2312" w:eastAsia="仿宋_GB2312" w:cs="仿宋_GB2312"/>
          <w:color w:val="auto"/>
          <w:sz w:val="24"/>
        </w:rPr>
        <w:t>根据背景资料完成市场信息分析、直播规划、脚本策划、创建直播、直播装修、直播推广、直播复盘等任务，并根据背景资料完成直播售卖，包括直播开场、商品讲解、直播间互动、直播收尾等任务。</w:t>
      </w:r>
      <w:bookmarkEnd w:id="72"/>
    </w:p>
    <w:p w14:paraId="1D332F16">
      <w:pPr>
        <w:spacing w:line="400" w:lineRule="exact"/>
        <w:ind w:firstLine="480" w:firstLineChars="200"/>
        <w:outlineLvl w:val="1"/>
        <w:rPr>
          <w:rFonts w:ascii="仿宋_GB2312" w:hAnsi="仿宋_GB2312" w:eastAsia="仿宋_GB2312" w:cs="仿宋_GB2312"/>
          <w:color w:val="auto"/>
          <w:sz w:val="24"/>
        </w:rPr>
      </w:pPr>
      <w:bookmarkStart w:id="73" w:name="_Toc173682080"/>
      <w:r>
        <w:rPr>
          <w:rFonts w:hint="eastAsia" w:ascii="仿宋_GB2312" w:hAnsi="仿宋_GB2312" w:eastAsia="仿宋_GB2312" w:cs="仿宋_GB2312"/>
          <w:color w:val="auto"/>
          <w:sz w:val="24"/>
        </w:rPr>
        <w:t>（2）数字营销推广</w:t>
      </w:r>
      <w:bookmarkEnd w:id="73"/>
    </w:p>
    <w:p w14:paraId="407423B4">
      <w:pPr>
        <w:spacing w:line="400" w:lineRule="exact"/>
        <w:ind w:firstLine="480" w:firstLineChars="200"/>
        <w:outlineLvl w:val="1"/>
        <w:rPr>
          <w:rFonts w:ascii="仿宋_GB2312" w:hAnsi="仿宋_GB2312" w:eastAsia="仿宋_GB2312" w:cs="仿宋_GB2312"/>
          <w:color w:val="auto"/>
          <w:sz w:val="24"/>
        </w:rPr>
      </w:pPr>
      <w:bookmarkStart w:id="74" w:name="_Toc173682081"/>
      <w:r>
        <w:rPr>
          <w:rFonts w:hint="eastAsia" w:ascii="仿宋_GB2312" w:hAnsi="仿宋_GB2312" w:eastAsia="仿宋_GB2312" w:cs="仿宋_GB2312"/>
          <w:color w:val="auto"/>
          <w:sz w:val="24"/>
        </w:rPr>
        <w:t>参赛选手利用虚拟资金，以数字营销推广岗位人员角色，在给定的推广资金范围内，模拟通过媒体平台进行图文预告、品牌图文故事等图文推广和商品介绍、品牌介绍等视频的推广。选手需要结合推广资金及投放对象，根据给定的背景资料，分析图文和视频内容，确定目标受众群体，通过人群标签圈定目标受众，以付费推广方式获得图文、视频在不同广告位置的强势展现机会，增加展现量和点击量，将信息传递给目标受众，促进商业价值变现。</w:t>
      </w:r>
      <w:bookmarkEnd w:id="74"/>
    </w:p>
    <w:p w14:paraId="1B8928BE">
      <w:pPr>
        <w:spacing w:line="400" w:lineRule="exact"/>
        <w:rPr>
          <w:rFonts w:ascii="仿宋_GB2312" w:hAnsi="仿宋_GB2312" w:eastAsia="仿宋_GB2312" w:cs="仿宋_GB2312"/>
          <w:color w:val="auto"/>
          <w:sz w:val="24"/>
        </w:rPr>
      </w:pPr>
      <w:bookmarkStart w:id="75" w:name="_Toc173682084"/>
      <w:bookmarkStart w:id="76" w:name="_Toc20796"/>
      <w:r>
        <w:rPr>
          <w:rFonts w:hint="eastAsia" w:ascii="仿宋_GB2312" w:hAnsi="仿宋_GB2312" w:eastAsia="仿宋_GB2312" w:cs="仿宋_GB2312"/>
          <w:color w:val="auto"/>
          <w:sz w:val="24"/>
        </w:rPr>
        <w:t>（二）评分标准</w:t>
      </w:r>
      <w:bookmarkEnd w:id="75"/>
      <w:bookmarkEnd w:id="76"/>
    </w:p>
    <w:p w14:paraId="2234B0F5">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1.分数权重及评分方法</w:t>
      </w:r>
    </w:p>
    <w:p w14:paraId="2B5D02C8">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比赛采用测量（客观评分）和评价（主观评分）两种方式进行评分。数字营销推广占总分40%（满分为40分，考核时间为120分钟），直播营销占总分60%（满分60分，考核时间为240分钟）。</w:t>
      </w:r>
    </w:p>
    <w:p w14:paraId="77D51B81">
      <w:pPr>
        <w:pStyle w:val="15"/>
        <w:keepNext/>
        <w:spacing w:line="400" w:lineRule="exact"/>
        <w:rPr>
          <w:rFonts w:ascii="仿宋_GB2312" w:hAnsi="仿宋_GB2312" w:eastAsia="仿宋_GB2312" w:cs="仿宋_GB2312"/>
          <w:color w:val="auto"/>
          <w:sz w:val="24"/>
          <w:szCs w:val="24"/>
        </w:rPr>
      </w:pPr>
    </w:p>
    <w:tbl>
      <w:tblPr>
        <w:tblStyle w:val="52"/>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985"/>
        <w:gridCol w:w="1984"/>
        <w:gridCol w:w="1134"/>
        <w:gridCol w:w="1701"/>
        <w:gridCol w:w="1276"/>
      </w:tblGrid>
      <w:tr w14:paraId="70B6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Merge w:val="restart"/>
            <w:vAlign w:val="center"/>
          </w:tcPr>
          <w:p w14:paraId="4BEDB17E">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模块编号</w:t>
            </w:r>
          </w:p>
        </w:tc>
        <w:tc>
          <w:tcPr>
            <w:tcW w:w="1985" w:type="dxa"/>
            <w:vMerge w:val="restart"/>
            <w:vAlign w:val="center"/>
          </w:tcPr>
          <w:p w14:paraId="34663A11">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模块名称</w:t>
            </w:r>
          </w:p>
        </w:tc>
        <w:tc>
          <w:tcPr>
            <w:tcW w:w="1984" w:type="dxa"/>
            <w:vMerge w:val="restart"/>
            <w:vAlign w:val="center"/>
          </w:tcPr>
          <w:p w14:paraId="70B6EAF6">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竞赛时间</w:t>
            </w:r>
          </w:p>
          <w:p w14:paraId="3B556F85">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（分钟）</w:t>
            </w:r>
          </w:p>
        </w:tc>
        <w:tc>
          <w:tcPr>
            <w:tcW w:w="4111" w:type="dxa"/>
            <w:gridSpan w:val="3"/>
            <w:vAlign w:val="center"/>
          </w:tcPr>
          <w:p w14:paraId="0254F6FE">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分数权重</w:t>
            </w:r>
          </w:p>
        </w:tc>
      </w:tr>
      <w:tr w14:paraId="6F6F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Merge w:val="continue"/>
            <w:vAlign w:val="center"/>
          </w:tcPr>
          <w:p w14:paraId="16D18DCE">
            <w:pPr>
              <w:pStyle w:val="49"/>
              <w:spacing w:line="400" w:lineRule="exact"/>
              <w:ind w:firstLine="0" w:firstLineChars="0"/>
              <w:jc w:val="center"/>
              <w:rPr>
                <w:rFonts w:ascii="仿宋_GB2312" w:hAnsi="仿宋_GB2312" w:eastAsia="仿宋_GB2312" w:cs="仿宋_GB2312"/>
                <w:color w:val="auto"/>
                <w:sz w:val="24"/>
              </w:rPr>
            </w:pPr>
          </w:p>
        </w:tc>
        <w:tc>
          <w:tcPr>
            <w:tcW w:w="1985" w:type="dxa"/>
            <w:vMerge w:val="continue"/>
            <w:vAlign w:val="center"/>
          </w:tcPr>
          <w:p w14:paraId="5214D58B">
            <w:pPr>
              <w:pStyle w:val="49"/>
              <w:spacing w:line="400" w:lineRule="exact"/>
              <w:ind w:firstLine="0" w:firstLineChars="0"/>
              <w:jc w:val="center"/>
              <w:rPr>
                <w:rFonts w:ascii="仿宋_GB2312" w:hAnsi="仿宋_GB2312" w:eastAsia="仿宋_GB2312" w:cs="仿宋_GB2312"/>
                <w:color w:val="auto"/>
                <w:sz w:val="24"/>
              </w:rPr>
            </w:pPr>
          </w:p>
        </w:tc>
        <w:tc>
          <w:tcPr>
            <w:tcW w:w="1984" w:type="dxa"/>
            <w:vMerge w:val="continue"/>
            <w:vAlign w:val="center"/>
          </w:tcPr>
          <w:p w14:paraId="1F319182">
            <w:pPr>
              <w:pStyle w:val="49"/>
              <w:spacing w:line="400" w:lineRule="exact"/>
              <w:ind w:firstLine="0" w:firstLineChars="0"/>
              <w:jc w:val="center"/>
              <w:rPr>
                <w:rFonts w:ascii="仿宋_GB2312" w:hAnsi="仿宋_GB2312" w:eastAsia="仿宋_GB2312" w:cs="仿宋_GB2312"/>
                <w:color w:val="auto"/>
                <w:sz w:val="24"/>
              </w:rPr>
            </w:pPr>
          </w:p>
        </w:tc>
        <w:tc>
          <w:tcPr>
            <w:tcW w:w="1134" w:type="dxa"/>
            <w:vAlign w:val="center"/>
          </w:tcPr>
          <w:p w14:paraId="7372AE9E">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评价分</w:t>
            </w:r>
          </w:p>
        </w:tc>
        <w:tc>
          <w:tcPr>
            <w:tcW w:w="1701" w:type="dxa"/>
            <w:vAlign w:val="center"/>
          </w:tcPr>
          <w:p w14:paraId="77BB9837">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测量分</w:t>
            </w:r>
          </w:p>
        </w:tc>
        <w:tc>
          <w:tcPr>
            <w:tcW w:w="1276" w:type="dxa"/>
            <w:vAlign w:val="center"/>
          </w:tcPr>
          <w:p w14:paraId="6D80EB02">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合计</w:t>
            </w:r>
          </w:p>
        </w:tc>
      </w:tr>
      <w:tr w14:paraId="691E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862DCD6">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A</w:t>
            </w:r>
          </w:p>
        </w:tc>
        <w:tc>
          <w:tcPr>
            <w:tcW w:w="1985" w:type="dxa"/>
            <w:vAlign w:val="center"/>
          </w:tcPr>
          <w:p w14:paraId="114E98AE">
            <w:pPr>
              <w:pStyle w:val="49"/>
              <w:spacing w:line="400" w:lineRule="exact"/>
              <w:ind w:firstLine="0" w:firstLineChars="0"/>
              <w:jc w:val="center"/>
              <w:rPr>
                <w:rFonts w:ascii="仿宋_GB2312" w:hAnsi="仿宋_GB2312" w:eastAsia="仿宋_GB2312" w:cs="仿宋_GB2312"/>
                <w:color w:val="auto"/>
                <w:sz w:val="24"/>
              </w:rPr>
            </w:pPr>
            <w:bookmarkStart w:id="77" w:name="_Hlk173679309"/>
            <w:r>
              <w:rPr>
                <w:rFonts w:hint="eastAsia" w:ascii="仿宋_GB2312" w:hAnsi="仿宋_GB2312" w:eastAsia="仿宋_GB2312" w:cs="仿宋_GB2312"/>
                <w:color w:val="auto"/>
                <w:sz w:val="24"/>
              </w:rPr>
              <w:t>数字营销推广</w:t>
            </w:r>
            <w:bookmarkEnd w:id="77"/>
          </w:p>
        </w:tc>
        <w:tc>
          <w:tcPr>
            <w:tcW w:w="1984" w:type="dxa"/>
            <w:vAlign w:val="center"/>
          </w:tcPr>
          <w:p w14:paraId="6CE9B74B">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120</w:t>
            </w:r>
          </w:p>
        </w:tc>
        <w:tc>
          <w:tcPr>
            <w:tcW w:w="1134" w:type="dxa"/>
            <w:vAlign w:val="center"/>
          </w:tcPr>
          <w:p w14:paraId="7411FB5F">
            <w:pPr>
              <w:pStyle w:val="49"/>
              <w:spacing w:line="400" w:lineRule="exact"/>
              <w:ind w:firstLine="0" w:firstLineChars="0"/>
              <w:jc w:val="center"/>
              <w:rPr>
                <w:rFonts w:ascii="仿宋_GB2312" w:hAnsi="仿宋_GB2312" w:eastAsia="仿宋_GB2312" w:cs="仿宋_GB2312"/>
                <w:color w:val="auto"/>
                <w:sz w:val="24"/>
              </w:rPr>
            </w:pPr>
          </w:p>
        </w:tc>
        <w:tc>
          <w:tcPr>
            <w:tcW w:w="1701" w:type="dxa"/>
            <w:vAlign w:val="center"/>
          </w:tcPr>
          <w:p w14:paraId="3DE9CB87">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100%</w:t>
            </w:r>
          </w:p>
        </w:tc>
        <w:tc>
          <w:tcPr>
            <w:tcW w:w="1276" w:type="dxa"/>
            <w:vAlign w:val="center"/>
          </w:tcPr>
          <w:p w14:paraId="23370448">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40</w:t>
            </w:r>
          </w:p>
        </w:tc>
      </w:tr>
      <w:tr w14:paraId="3228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621FA41">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B</w:t>
            </w:r>
          </w:p>
        </w:tc>
        <w:tc>
          <w:tcPr>
            <w:tcW w:w="1985" w:type="dxa"/>
            <w:vAlign w:val="center"/>
          </w:tcPr>
          <w:p w14:paraId="5ABB8FEB">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直播营销</w:t>
            </w:r>
          </w:p>
        </w:tc>
        <w:tc>
          <w:tcPr>
            <w:tcW w:w="1984" w:type="dxa"/>
            <w:vAlign w:val="center"/>
          </w:tcPr>
          <w:p w14:paraId="2F341B57">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240</w:t>
            </w:r>
          </w:p>
        </w:tc>
        <w:tc>
          <w:tcPr>
            <w:tcW w:w="1134" w:type="dxa"/>
            <w:vAlign w:val="center"/>
          </w:tcPr>
          <w:p w14:paraId="506FA4AB">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66.67%</w:t>
            </w:r>
          </w:p>
        </w:tc>
        <w:tc>
          <w:tcPr>
            <w:tcW w:w="1701" w:type="dxa"/>
            <w:vAlign w:val="center"/>
          </w:tcPr>
          <w:p w14:paraId="267F7CEC">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33.33%</w:t>
            </w:r>
          </w:p>
        </w:tc>
        <w:tc>
          <w:tcPr>
            <w:tcW w:w="1276" w:type="dxa"/>
            <w:vAlign w:val="center"/>
          </w:tcPr>
          <w:p w14:paraId="5515BB5B">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60</w:t>
            </w:r>
          </w:p>
        </w:tc>
      </w:tr>
      <w:tr w14:paraId="76BC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3545" w:type="dxa"/>
            <w:gridSpan w:val="2"/>
            <w:vAlign w:val="center"/>
          </w:tcPr>
          <w:p w14:paraId="31B389E0">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总计</w:t>
            </w:r>
          </w:p>
        </w:tc>
        <w:tc>
          <w:tcPr>
            <w:tcW w:w="1984" w:type="dxa"/>
            <w:vAlign w:val="center"/>
          </w:tcPr>
          <w:p w14:paraId="35869D95">
            <w:pPr>
              <w:pStyle w:val="49"/>
              <w:spacing w:line="400" w:lineRule="exact"/>
              <w:ind w:firstLine="0" w:firstLineChars="0"/>
              <w:jc w:val="center"/>
              <w:rPr>
                <w:rFonts w:ascii="仿宋_GB2312" w:hAnsi="仿宋_GB2312" w:eastAsia="仿宋_GB2312" w:cs="仿宋_GB2312"/>
                <w:color w:val="auto"/>
                <w:sz w:val="24"/>
              </w:rPr>
            </w:pPr>
          </w:p>
        </w:tc>
        <w:tc>
          <w:tcPr>
            <w:tcW w:w="1134" w:type="dxa"/>
            <w:vAlign w:val="center"/>
          </w:tcPr>
          <w:p w14:paraId="5462A847">
            <w:pPr>
              <w:pStyle w:val="49"/>
              <w:spacing w:line="400" w:lineRule="exact"/>
              <w:ind w:firstLine="0" w:firstLineChars="0"/>
              <w:jc w:val="center"/>
              <w:rPr>
                <w:rFonts w:ascii="仿宋_GB2312" w:hAnsi="仿宋_GB2312" w:eastAsia="仿宋_GB2312" w:cs="仿宋_GB2312"/>
                <w:color w:val="auto"/>
                <w:sz w:val="24"/>
              </w:rPr>
            </w:pPr>
          </w:p>
        </w:tc>
        <w:tc>
          <w:tcPr>
            <w:tcW w:w="1701" w:type="dxa"/>
            <w:vAlign w:val="center"/>
          </w:tcPr>
          <w:p w14:paraId="1865A1B8">
            <w:pPr>
              <w:pStyle w:val="49"/>
              <w:spacing w:line="400" w:lineRule="exact"/>
              <w:ind w:firstLine="0" w:firstLineChars="0"/>
              <w:jc w:val="center"/>
              <w:rPr>
                <w:rFonts w:ascii="仿宋_GB2312" w:hAnsi="仿宋_GB2312" w:eastAsia="仿宋_GB2312" w:cs="仿宋_GB2312"/>
                <w:color w:val="auto"/>
                <w:sz w:val="24"/>
              </w:rPr>
            </w:pPr>
          </w:p>
        </w:tc>
        <w:tc>
          <w:tcPr>
            <w:tcW w:w="1276" w:type="dxa"/>
            <w:vAlign w:val="center"/>
          </w:tcPr>
          <w:p w14:paraId="666834A6">
            <w:pPr>
              <w:pStyle w:val="49"/>
              <w:spacing w:line="400" w:lineRule="exact"/>
              <w:ind w:firstLine="0" w:firstLineChars="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100</w:t>
            </w:r>
          </w:p>
        </w:tc>
      </w:tr>
    </w:tbl>
    <w:p w14:paraId="7FCF8F57">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2.评分标准</w:t>
      </w:r>
    </w:p>
    <w:p w14:paraId="3C33FBA6">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互联网营销师竞赛项目各赛段具体评分标准如下：</w:t>
      </w:r>
    </w:p>
    <w:p w14:paraId="5076292D">
      <w:pPr>
        <w:pStyle w:val="15"/>
        <w:keepNext/>
        <w:spacing w:line="400" w:lineRule="exact"/>
        <w:rPr>
          <w:rFonts w:ascii="仿宋_GB2312" w:hAnsi="仿宋_GB2312" w:eastAsia="仿宋_GB2312" w:cs="仿宋_GB2312"/>
          <w:color w:val="auto"/>
          <w:sz w:val="24"/>
          <w:szCs w:val="24"/>
        </w:rPr>
      </w:pPr>
    </w:p>
    <w:tbl>
      <w:tblPr>
        <w:tblStyle w:val="51"/>
        <w:tblW w:w="98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4"/>
        <w:gridCol w:w="1202"/>
        <w:gridCol w:w="1541"/>
        <w:gridCol w:w="4611"/>
        <w:gridCol w:w="1059"/>
        <w:gridCol w:w="904"/>
      </w:tblGrid>
      <w:tr w14:paraId="13152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jc w:val="center"/>
        </w:trPr>
        <w:tc>
          <w:tcPr>
            <w:tcW w:w="1696"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23D41311">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模块</w:t>
            </w:r>
          </w:p>
        </w:tc>
        <w:tc>
          <w:tcPr>
            <w:tcW w:w="154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901946D">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评分内容</w:t>
            </w:r>
          </w:p>
        </w:tc>
        <w:tc>
          <w:tcPr>
            <w:tcW w:w="4611"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343530D">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评分细则</w:t>
            </w:r>
          </w:p>
        </w:tc>
        <w:tc>
          <w:tcPr>
            <w:tcW w:w="1059"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81393C2">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分值</w:t>
            </w:r>
          </w:p>
        </w:tc>
        <w:tc>
          <w:tcPr>
            <w:tcW w:w="904"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126AB22">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评分方式</w:t>
            </w:r>
          </w:p>
        </w:tc>
      </w:tr>
      <w:tr w14:paraId="67E32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96" w:type="dxa"/>
            <w:gridSpan w:val="2"/>
            <w:tcBorders>
              <w:top w:val="single" w:color="000000" w:sz="4" w:space="0"/>
              <w:left w:val="single" w:color="000000" w:sz="4" w:space="0"/>
              <w:right w:val="single" w:color="000000" w:sz="4" w:space="0"/>
            </w:tcBorders>
            <w:vAlign w:val="center"/>
          </w:tcPr>
          <w:p w14:paraId="64D82095">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数字营销推广</w:t>
            </w:r>
          </w:p>
        </w:tc>
        <w:tc>
          <w:tcPr>
            <w:tcW w:w="6152" w:type="dxa"/>
            <w:gridSpan w:val="2"/>
            <w:tcBorders>
              <w:top w:val="single" w:color="000000" w:sz="4" w:space="0"/>
              <w:left w:val="single" w:color="000000" w:sz="4" w:space="0"/>
              <w:right w:val="single" w:color="000000" w:sz="4" w:space="0"/>
            </w:tcBorders>
            <w:vAlign w:val="center"/>
          </w:tcPr>
          <w:p w14:paraId="7A44A775">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通过展现量、点击量和点击率反馈选手的图文、短视频推广的效果。展现量满分7分、点击量满分20分、点击率满分13分，每项效果最好的选手获得该项成绩的满分，其余选手以与该项第一名的比值作为权重进行加权计算，总分为三项成绩之和。</w:t>
            </w:r>
          </w:p>
          <w:p w14:paraId="55DAE243">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具体计算为：</w:t>
            </w:r>
          </w:p>
          <w:p w14:paraId="103AC5BE">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展现量的第一名的团队展现量得分7分，点击量的第一名团队点击得分20分，点击率的第一名团队点击率得分13分，其余名次参赛团队的展现量成绩=7分*本选手展现量/展现量第一名团队的展现量，点击量成绩=20分*本选手点击量/点击量第一名团队的点击量，点击率成绩=13分*本选手点击率/点击率第一名团队的点击率。各选手最终成绩=展现量成绩+点击量成绩+点击率成绩。</w:t>
            </w:r>
          </w:p>
        </w:tc>
        <w:tc>
          <w:tcPr>
            <w:tcW w:w="1059" w:type="dxa"/>
            <w:tcBorders>
              <w:top w:val="single" w:color="000000" w:sz="4" w:space="0"/>
              <w:left w:val="single" w:color="000000" w:sz="4" w:space="0"/>
              <w:right w:val="single" w:color="000000" w:sz="4" w:space="0"/>
            </w:tcBorders>
            <w:vAlign w:val="center"/>
          </w:tcPr>
          <w:p w14:paraId="1A617E48">
            <w:pPr>
              <w:spacing w:line="400" w:lineRule="exact"/>
              <w:jc w:val="center"/>
              <w:rPr>
                <w:rFonts w:ascii="仿宋_GB2312" w:hAnsi="仿宋_GB2312" w:eastAsia="仿宋_GB2312" w:cs="仿宋_GB2312"/>
                <w:color w:val="auto"/>
                <w:sz w:val="24"/>
              </w:rPr>
            </w:pPr>
          </w:p>
          <w:p w14:paraId="2453F9CF">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40分</w:t>
            </w:r>
          </w:p>
          <w:p w14:paraId="43B860E0">
            <w:pPr>
              <w:spacing w:line="400" w:lineRule="exact"/>
              <w:jc w:val="center"/>
              <w:rPr>
                <w:rFonts w:ascii="仿宋_GB2312" w:hAnsi="仿宋_GB2312" w:eastAsia="仿宋_GB2312" w:cs="仿宋_GB2312"/>
                <w:color w:val="auto"/>
                <w:sz w:val="24"/>
              </w:rPr>
            </w:pPr>
          </w:p>
        </w:tc>
        <w:tc>
          <w:tcPr>
            <w:tcW w:w="904" w:type="dxa"/>
            <w:tcBorders>
              <w:top w:val="single" w:color="000000" w:sz="4" w:space="0"/>
              <w:left w:val="single" w:color="000000" w:sz="4" w:space="0"/>
              <w:right w:val="single" w:color="000000" w:sz="4" w:space="0"/>
            </w:tcBorders>
            <w:vAlign w:val="center"/>
          </w:tcPr>
          <w:p w14:paraId="33779A08">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测量分</w:t>
            </w:r>
          </w:p>
        </w:tc>
      </w:tr>
      <w:tr w14:paraId="12FF1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restart"/>
            <w:tcBorders>
              <w:left w:val="single" w:color="000000" w:sz="4" w:space="0"/>
              <w:right w:val="single" w:color="000000" w:sz="4" w:space="0"/>
            </w:tcBorders>
            <w:vAlign w:val="center"/>
          </w:tcPr>
          <w:p w14:paraId="7E5D0236">
            <w:pPr>
              <w:spacing w:line="400" w:lineRule="exac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直播营销</w:t>
            </w:r>
          </w:p>
        </w:tc>
        <w:tc>
          <w:tcPr>
            <w:tcW w:w="1202" w:type="dxa"/>
            <w:tcBorders>
              <w:left w:val="single" w:color="000000" w:sz="4" w:space="0"/>
              <w:right w:val="single" w:color="000000" w:sz="4" w:space="0"/>
            </w:tcBorders>
            <w:vAlign w:val="center"/>
          </w:tcPr>
          <w:p w14:paraId="2B533911">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市场信息分析</w:t>
            </w:r>
          </w:p>
        </w:tc>
        <w:tc>
          <w:tcPr>
            <w:tcW w:w="6152" w:type="dxa"/>
            <w:gridSpan w:val="2"/>
            <w:tcBorders>
              <w:left w:val="single" w:color="000000" w:sz="4" w:space="0"/>
              <w:right w:val="single" w:color="000000" w:sz="4" w:space="0"/>
            </w:tcBorders>
            <w:vAlign w:val="center"/>
          </w:tcPr>
          <w:p w14:paraId="19D0654B">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所选的商品达到5款；5款商品的角色定位符合要求，且包含引流款、利润款、形象款，商品定位数量比例合理。</w:t>
            </w:r>
          </w:p>
        </w:tc>
        <w:tc>
          <w:tcPr>
            <w:tcW w:w="1059" w:type="dxa"/>
            <w:tcBorders>
              <w:left w:val="single" w:color="000000" w:sz="4" w:space="0"/>
              <w:right w:val="single" w:color="000000" w:sz="4" w:space="0"/>
            </w:tcBorders>
            <w:vAlign w:val="center"/>
          </w:tcPr>
          <w:p w14:paraId="21D72CA2">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2分</w:t>
            </w:r>
          </w:p>
        </w:tc>
        <w:tc>
          <w:tcPr>
            <w:tcW w:w="904" w:type="dxa"/>
            <w:tcBorders>
              <w:left w:val="single" w:color="000000" w:sz="4" w:space="0"/>
              <w:right w:val="single" w:color="000000" w:sz="4" w:space="0"/>
            </w:tcBorders>
            <w:vAlign w:val="center"/>
          </w:tcPr>
          <w:p w14:paraId="40AE7815">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测量分</w:t>
            </w:r>
          </w:p>
        </w:tc>
      </w:tr>
      <w:tr w14:paraId="1405E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5DF84AC9">
            <w:pPr>
              <w:spacing w:line="400" w:lineRule="exact"/>
              <w:rPr>
                <w:rFonts w:ascii="仿宋_GB2312" w:hAnsi="仿宋_GB2312" w:eastAsia="仿宋_GB2312" w:cs="仿宋_GB2312"/>
                <w:b/>
                <w:bCs/>
                <w:color w:val="auto"/>
                <w:sz w:val="24"/>
              </w:rPr>
            </w:pPr>
          </w:p>
        </w:tc>
        <w:tc>
          <w:tcPr>
            <w:tcW w:w="1202" w:type="dxa"/>
            <w:vMerge w:val="restart"/>
            <w:tcBorders>
              <w:left w:val="single" w:color="000000" w:sz="4" w:space="0"/>
              <w:right w:val="single" w:color="000000" w:sz="4" w:space="0"/>
            </w:tcBorders>
            <w:vAlign w:val="center"/>
          </w:tcPr>
          <w:p w14:paraId="142404CA">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直播规划</w:t>
            </w:r>
          </w:p>
        </w:tc>
        <w:tc>
          <w:tcPr>
            <w:tcW w:w="1541" w:type="dxa"/>
            <w:tcBorders>
              <w:left w:val="single" w:color="000000" w:sz="4" w:space="0"/>
              <w:right w:val="single" w:color="000000" w:sz="4" w:space="0"/>
            </w:tcBorders>
            <w:vAlign w:val="center"/>
          </w:tcPr>
          <w:p w14:paraId="3060FCE2">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主题策划</w:t>
            </w:r>
          </w:p>
        </w:tc>
        <w:tc>
          <w:tcPr>
            <w:tcW w:w="4611" w:type="dxa"/>
            <w:tcBorders>
              <w:left w:val="single" w:color="000000" w:sz="4" w:space="0"/>
              <w:right w:val="single" w:color="000000" w:sz="4" w:space="0"/>
            </w:tcBorders>
            <w:vAlign w:val="center"/>
          </w:tcPr>
          <w:p w14:paraId="17C4431D">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主题类型、直播主题设计、直播时间策划需符合背景要求。</w:t>
            </w:r>
          </w:p>
        </w:tc>
        <w:tc>
          <w:tcPr>
            <w:tcW w:w="1059" w:type="dxa"/>
            <w:tcBorders>
              <w:left w:val="single" w:color="000000" w:sz="4" w:space="0"/>
              <w:right w:val="single" w:color="000000" w:sz="4" w:space="0"/>
            </w:tcBorders>
            <w:vAlign w:val="center"/>
          </w:tcPr>
          <w:p w14:paraId="5DB0D353">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1分</w:t>
            </w:r>
          </w:p>
        </w:tc>
        <w:tc>
          <w:tcPr>
            <w:tcW w:w="904" w:type="dxa"/>
            <w:tcBorders>
              <w:left w:val="single" w:color="000000" w:sz="4" w:space="0"/>
              <w:right w:val="single" w:color="000000" w:sz="4" w:space="0"/>
            </w:tcBorders>
            <w:vAlign w:val="center"/>
          </w:tcPr>
          <w:p w14:paraId="7AA77E6A">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评价分</w:t>
            </w:r>
          </w:p>
        </w:tc>
      </w:tr>
      <w:tr w14:paraId="3E078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14326786">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740CBF83">
            <w:pPr>
              <w:spacing w:line="400" w:lineRule="exact"/>
              <w:jc w:val="center"/>
              <w:rPr>
                <w:rFonts w:ascii="仿宋_GB2312" w:hAnsi="仿宋_GB2312" w:eastAsia="仿宋_GB2312" w:cs="仿宋_GB2312"/>
                <w:b/>
                <w:bCs/>
                <w:color w:val="auto"/>
                <w:sz w:val="24"/>
              </w:rPr>
            </w:pPr>
          </w:p>
        </w:tc>
        <w:tc>
          <w:tcPr>
            <w:tcW w:w="1541" w:type="dxa"/>
            <w:tcBorders>
              <w:left w:val="single" w:color="000000" w:sz="4" w:space="0"/>
              <w:right w:val="single" w:color="000000" w:sz="4" w:space="0"/>
            </w:tcBorders>
            <w:vAlign w:val="center"/>
          </w:tcPr>
          <w:p w14:paraId="0103C117">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互动策划</w:t>
            </w:r>
          </w:p>
        </w:tc>
        <w:tc>
          <w:tcPr>
            <w:tcW w:w="4611" w:type="dxa"/>
            <w:tcBorders>
              <w:left w:val="single" w:color="000000" w:sz="4" w:space="0"/>
              <w:right w:val="single" w:color="000000" w:sz="4" w:space="0"/>
            </w:tcBorders>
            <w:vAlign w:val="center"/>
          </w:tcPr>
          <w:p w14:paraId="64621365">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直播开场、商品促销及直播收尾至少各包含一个互动，至少包含3种促销形式。</w:t>
            </w:r>
          </w:p>
        </w:tc>
        <w:tc>
          <w:tcPr>
            <w:tcW w:w="1059" w:type="dxa"/>
            <w:tcBorders>
              <w:left w:val="single" w:color="000000" w:sz="4" w:space="0"/>
              <w:right w:val="single" w:color="000000" w:sz="4" w:space="0"/>
            </w:tcBorders>
            <w:vAlign w:val="center"/>
          </w:tcPr>
          <w:p w14:paraId="7A570849">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1.5分</w:t>
            </w:r>
          </w:p>
        </w:tc>
        <w:tc>
          <w:tcPr>
            <w:tcW w:w="904" w:type="dxa"/>
            <w:tcBorders>
              <w:left w:val="single" w:color="000000" w:sz="4" w:space="0"/>
              <w:right w:val="single" w:color="000000" w:sz="4" w:space="0"/>
            </w:tcBorders>
            <w:vAlign w:val="center"/>
          </w:tcPr>
          <w:p w14:paraId="213EB825">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评价分</w:t>
            </w:r>
          </w:p>
        </w:tc>
      </w:tr>
      <w:tr w14:paraId="20385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54FB056F">
            <w:pPr>
              <w:spacing w:line="400" w:lineRule="exact"/>
              <w:rPr>
                <w:rFonts w:ascii="仿宋_GB2312" w:hAnsi="仿宋_GB2312" w:eastAsia="仿宋_GB2312" w:cs="仿宋_GB2312"/>
                <w:b/>
                <w:bCs/>
                <w:color w:val="auto"/>
                <w:sz w:val="24"/>
              </w:rPr>
            </w:pPr>
          </w:p>
        </w:tc>
        <w:tc>
          <w:tcPr>
            <w:tcW w:w="1202" w:type="dxa"/>
            <w:vMerge w:val="restart"/>
            <w:tcBorders>
              <w:left w:val="single" w:color="000000" w:sz="4" w:space="0"/>
              <w:right w:val="single" w:color="000000" w:sz="4" w:space="0"/>
            </w:tcBorders>
            <w:vAlign w:val="center"/>
          </w:tcPr>
          <w:p w14:paraId="30F8E5E3">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脚本策划</w:t>
            </w:r>
          </w:p>
        </w:tc>
        <w:tc>
          <w:tcPr>
            <w:tcW w:w="1541" w:type="dxa"/>
            <w:tcBorders>
              <w:left w:val="single" w:color="000000" w:sz="4" w:space="0"/>
              <w:right w:val="single" w:color="000000" w:sz="4" w:space="0"/>
            </w:tcBorders>
            <w:vAlign w:val="center"/>
          </w:tcPr>
          <w:p w14:paraId="61948333">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整场直播脚本策划</w:t>
            </w:r>
          </w:p>
        </w:tc>
        <w:tc>
          <w:tcPr>
            <w:tcW w:w="4611" w:type="dxa"/>
            <w:tcBorders>
              <w:left w:val="single" w:color="000000" w:sz="4" w:space="0"/>
              <w:right w:val="single" w:color="000000" w:sz="4" w:space="0"/>
            </w:tcBorders>
            <w:vAlign w:val="center"/>
          </w:tcPr>
          <w:p w14:paraId="2680EA43">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整场直播脚本必须包含直播开场、商品介绍、直播收尾、直播互动环节，脚本内容撰写详细、逻辑清晰、有创意且符合背景资料。</w:t>
            </w:r>
          </w:p>
        </w:tc>
        <w:tc>
          <w:tcPr>
            <w:tcW w:w="1059" w:type="dxa"/>
            <w:tcBorders>
              <w:left w:val="single" w:color="000000" w:sz="4" w:space="0"/>
              <w:right w:val="single" w:color="000000" w:sz="4" w:space="0"/>
            </w:tcBorders>
            <w:vAlign w:val="center"/>
          </w:tcPr>
          <w:p w14:paraId="3C1F4BB0">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1.5分</w:t>
            </w:r>
          </w:p>
        </w:tc>
        <w:tc>
          <w:tcPr>
            <w:tcW w:w="904" w:type="dxa"/>
            <w:tcBorders>
              <w:left w:val="single" w:color="000000" w:sz="4" w:space="0"/>
              <w:right w:val="single" w:color="000000" w:sz="4" w:space="0"/>
            </w:tcBorders>
            <w:vAlign w:val="center"/>
          </w:tcPr>
          <w:p w14:paraId="59EBBB8B">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评价分</w:t>
            </w:r>
          </w:p>
        </w:tc>
      </w:tr>
      <w:tr w14:paraId="07761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643AF894">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644B0DCB">
            <w:pPr>
              <w:spacing w:line="400" w:lineRule="exact"/>
              <w:jc w:val="center"/>
              <w:rPr>
                <w:rFonts w:ascii="仿宋_GB2312" w:hAnsi="仿宋_GB2312" w:eastAsia="仿宋_GB2312" w:cs="仿宋_GB2312"/>
                <w:b/>
                <w:bCs/>
                <w:color w:val="auto"/>
                <w:sz w:val="24"/>
              </w:rPr>
            </w:pPr>
          </w:p>
        </w:tc>
        <w:tc>
          <w:tcPr>
            <w:tcW w:w="1541" w:type="dxa"/>
            <w:tcBorders>
              <w:left w:val="single" w:color="000000" w:sz="4" w:space="0"/>
              <w:right w:val="single" w:color="000000" w:sz="4" w:space="0"/>
            </w:tcBorders>
            <w:vAlign w:val="center"/>
          </w:tcPr>
          <w:p w14:paraId="2B93066C">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单品直播脚本策划</w:t>
            </w:r>
          </w:p>
        </w:tc>
        <w:tc>
          <w:tcPr>
            <w:tcW w:w="4611" w:type="dxa"/>
            <w:tcBorders>
              <w:left w:val="single" w:color="000000" w:sz="4" w:space="0"/>
              <w:right w:val="single" w:color="000000" w:sz="4" w:space="0"/>
            </w:tcBorders>
            <w:vAlign w:val="center"/>
          </w:tcPr>
          <w:p w14:paraId="504C7DD5">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单品脚本内容包括还原场景介绍、抬高需求、展示卖点、灌输理念、促进成交等部分。</w:t>
            </w:r>
          </w:p>
        </w:tc>
        <w:tc>
          <w:tcPr>
            <w:tcW w:w="1059" w:type="dxa"/>
            <w:tcBorders>
              <w:left w:val="single" w:color="000000" w:sz="4" w:space="0"/>
              <w:right w:val="single" w:color="000000" w:sz="4" w:space="0"/>
            </w:tcBorders>
            <w:vAlign w:val="center"/>
          </w:tcPr>
          <w:p w14:paraId="2F2D5345">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3分</w:t>
            </w:r>
          </w:p>
        </w:tc>
        <w:tc>
          <w:tcPr>
            <w:tcW w:w="904" w:type="dxa"/>
            <w:tcBorders>
              <w:left w:val="single" w:color="000000" w:sz="4" w:space="0"/>
              <w:right w:val="single" w:color="000000" w:sz="4" w:space="0"/>
            </w:tcBorders>
            <w:vAlign w:val="center"/>
          </w:tcPr>
          <w:p w14:paraId="3B0A73BB">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评价分</w:t>
            </w:r>
          </w:p>
        </w:tc>
      </w:tr>
      <w:tr w14:paraId="43DAD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23946271">
            <w:pPr>
              <w:spacing w:line="400" w:lineRule="exact"/>
              <w:rPr>
                <w:rFonts w:ascii="仿宋_GB2312" w:hAnsi="仿宋_GB2312" w:eastAsia="仿宋_GB2312" w:cs="仿宋_GB2312"/>
                <w:b/>
                <w:bCs/>
                <w:color w:val="auto"/>
                <w:sz w:val="24"/>
              </w:rPr>
            </w:pPr>
          </w:p>
        </w:tc>
        <w:tc>
          <w:tcPr>
            <w:tcW w:w="1202" w:type="dxa"/>
            <w:tcBorders>
              <w:left w:val="single" w:color="000000" w:sz="4" w:space="0"/>
              <w:right w:val="single" w:color="000000" w:sz="4" w:space="0"/>
            </w:tcBorders>
            <w:vAlign w:val="center"/>
          </w:tcPr>
          <w:p w14:paraId="4F4FA9C3">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直播创建</w:t>
            </w:r>
          </w:p>
        </w:tc>
        <w:tc>
          <w:tcPr>
            <w:tcW w:w="6152" w:type="dxa"/>
            <w:gridSpan w:val="2"/>
            <w:tcBorders>
              <w:left w:val="single" w:color="000000" w:sz="4" w:space="0"/>
              <w:right w:val="single" w:color="000000" w:sz="4" w:space="0"/>
            </w:tcBorders>
            <w:vAlign w:val="center"/>
          </w:tcPr>
          <w:p w14:paraId="06DCBDC8">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根据直播策划内容，创建直播，设置直播间名称、封面、简介、直播时间、频道栏目。</w:t>
            </w:r>
          </w:p>
        </w:tc>
        <w:tc>
          <w:tcPr>
            <w:tcW w:w="1059" w:type="dxa"/>
            <w:tcBorders>
              <w:left w:val="single" w:color="000000" w:sz="4" w:space="0"/>
              <w:right w:val="single" w:color="000000" w:sz="4" w:space="0"/>
            </w:tcBorders>
            <w:vAlign w:val="center"/>
          </w:tcPr>
          <w:p w14:paraId="7F06F6B9">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0.5分</w:t>
            </w:r>
          </w:p>
        </w:tc>
        <w:tc>
          <w:tcPr>
            <w:tcW w:w="904" w:type="dxa"/>
            <w:tcBorders>
              <w:left w:val="single" w:color="000000" w:sz="4" w:space="0"/>
              <w:right w:val="single" w:color="000000" w:sz="4" w:space="0"/>
            </w:tcBorders>
            <w:vAlign w:val="center"/>
          </w:tcPr>
          <w:p w14:paraId="5F05984D">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测量分</w:t>
            </w:r>
          </w:p>
        </w:tc>
      </w:tr>
      <w:tr w14:paraId="6C4A1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1A18F30E">
            <w:pPr>
              <w:spacing w:line="400" w:lineRule="exact"/>
              <w:rPr>
                <w:rFonts w:ascii="仿宋_GB2312" w:hAnsi="仿宋_GB2312" w:eastAsia="仿宋_GB2312" w:cs="仿宋_GB2312"/>
                <w:b/>
                <w:bCs/>
                <w:color w:val="auto"/>
                <w:sz w:val="24"/>
              </w:rPr>
            </w:pPr>
          </w:p>
        </w:tc>
        <w:tc>
          <w:tcPr>
            <w:tcW w:w="1202" w:type="dxa"/>
            <w:vMerge w:val="restart"/>
            <w:tcBorders>
              <w:left w:val="single" w:color="000000" w:sz="4" w:space="0"/>
              <w:right w:val="single" w:color="000000" w:sz="4" w:space="0"/>
            </w:tcBorders>
            <w:vAlign w:val="center"/>
          </w:tcPr>
          <w:p w14:paraId="2BD86765">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直播装修</w:t>
            </w:r>
          </w:p>
        </w:tc>
        <w:tc>
          <w:tcPr>
            <w:tcW w:w="1541" w:type="dxa"/>
            <w:tcBorders>
              <w:left w:val="single" w:color="000000" w:sz="4" w:space="0"/>
              <w:right w:val="single" w:color="000000" w:sz="4" w:space="0"/>
            </w:tcBorders>
            <w:vAlign w:val="center"/>
          </w:tcPr>
          <w:p w14:paraId="5693AA95">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欢迎语设置</w:t>
            </w:r>
          </w:p>
        </w:tc>
        <w:tc>
          <w:tcPr>
            <w:tcW w:w="4611" w:type="dxa"/>
            <w:tcBorders>
              <w:left w:val="single" w:color="000000" w:sz="4" w:space="0"/>
              <w:right w:val="single" w:color="000000" w:sz="4" w:space="0"/>
            </w:tcBorders>
            <w:vAlign w:val="center"/>
          </w:tcPr>
          <w:p w14:paraId="5D1E3E31">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欢迎语设置正确。</w:t>
            </w:r>
          </w:p>
        </w:tc>
        <w:tc>
          <w:tcPr>
            <w:tcW w:w="1059" w:type="dxa"/>
            <w:vMerge w:val="restart"/>
            <w:tcBorders>
              <w:left w:val="single" w:color="000000" w:sz="4" w:space="0"/>
              <w:right w:val="single" w:color="000000" w:sz="4" w:space="0"/>
            </w:tcBorders>
            <w:vAlign w:val="center"/>
          </w:tcPr>
          <w:p w14:paraId="638968F2">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1.2分</w:t>
            </w:r>
          </w:p>
        </w:tc>
        <w:tc>
          <w:tcPr>
            <w:tcW w:w="904" w:type="dxa"/>
            <w:vMerge w:val="restart"/>
            <w:tcBorders>
              <w:left w:val="single" w:color="000000" w:sz="4" w:space="0"/>
              <w:right w:val="single" w:color="000000" w:sz="4" w:space="0"/>
            </w:tcBorders>
            <w:vAlign w:val="center"/>
          </w:tcPr>
          <w:p w14:paraId="5EA4387B">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测量分</w:t>
            </w:r>
          </w:p>
        </w:tc>
      </w:tr>
      <w:tr w14:paraId="014BA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7554AD63">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1269F8B8">
            <w:pPr>
              <w:spacing w:line="400" w:lineRule="exact"/>
              <w:jc w:val="center"/>
              <w:rPr>
                <w:rFonts w:ascii="仿宋_GB2312" w:hAnsi="仿宋_GB2312" w:eastAsia="仿宋_GB2312" w:cs="仿宋_GB2312"/>
                <w:b/>
                <w:bCs/>
                <w:color w:val="auto"/>
                <w:sz w:val="24"/>
              </w:rPr>
            </w:pPr>
          </w:p>
        </w:tc>
        <w:tc>
          <w:tcPr>
            <w:tcW w:w="1541" w:type="dxa"/>
            <w:tcBorders>
              <w:left w:val="single" w:color="000000" w:sz="4" w:space="0"/>
              <w:right w:val="single" w:color="000000" w:sz="4" w:space="0"/>
            </w:tcBorders>
            <w:vAlign w:val="center"/>
          </w:tcPr>
          <w:p w14:paraId="2785EA5C">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屏蔽词设置</w:t>
            </w:r>
          </w:p>
        </w:tc>
        <w:tc>
          <w:tcPr>
            <w:tcW w:w="4611" w:type="dxa"/>
            <w:tcBorders>
              <w:left w:val="single" w:color="000000" w:sz="4" w:space="0"/>
              <w:right w:val="single" w:color="000000" w:sz="4" w:space="0"/>
            </w:tcBorders>
            <w:vAlign w:val="center"/>
          </w:tcPr>
          <w:p w14:paraId="3EA9CD88">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屏蔽词分类正确。</w:t>
            </w:r>
          </w:p>
        </w:tc>
        <w:tc>
          <w:tcPr>
            <w:tcW w:w="1059" w:type="dxa"/>
            <w:vMerge w:val="continue"/>
            <w:tcBorders>
              <w:left w:val="single" w:color="000000" w:sz="4" w:space="0"/>
              <w:right w:val="single" w:color="000000" w:sz="4" w:space="0"/>
            </w:tcBorders>
            <w:vAlign w:val="center"/>
          </w:tcPr>
          <w:p w14:paraId="1FB0B9F0">
            <w:pPr>
              <w:spacing w:line="400" w:lineRule="exact"/>
              <w:jc w:val="center"/>
              <w:rPr>
                <w:rFonts w:ascii="仿宋_GB2312" w:hAnsi="仿宋_GB2312" w:eastAsia="仿宋_GB2312" w:cs="仿宋_GB2312"/>
                <w:color w:val="auto"/>
                <w:sz w:val="24"/>
              </w:rPr>
            </w:pPr>
          </w:p>
        </w:tc>
        <w:tc>
          <w:tcPr>
            <w:tcW w:w="904" w:type="dxa"/>
            <w:vMerge w:val="continue"/>
            <w:tcBorders>
              <w:left w:val="single" w:color="000000" w:sz="4" w:space="0"/>
              <w:right w:val="single" w:color="000000" w:sz="4" w:space="0"/>
            </w:tcBorders>
            <w:vAlign w:val="center"/>
          </w:tcPr>
          <w:p w14:paraId="28EA4285">
            <w:pPr>
              <w:spacing w:line="400" w:lineRule="exact"/>
              <w:jc w:val="center"/>
              <w:rPr>
                <w:rFonts w:ascii="仿宋_GB2312" w:hAnsi="仿宋_GB2312" w:eastAsia="仿宋_GB2312" w:cs="仿宋_GB2312"/>
                <w:bCs/>
                <w:color w:val="auto"/>
                <w:sz w:val="24"/>
              </w:rPr>
            </w:pPr>
          </w:p>
        </w:tc>
      </w:tr>
      <w:tr w14:paraId="385AB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36DAB514">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305A179B">
            <w:pPr>
              <w:spacing w:line="400" w:lineRule="exact"/>
              <w:jc w:val="center"/>
              <w:rPr>
                <w:rFonts w:ascii="仿宋_GB2312" w:hAnsi="仿宋_GB2312" w:eastAsia="仿宋_GB2312" w:cs="仿宋_GB2312"/>
                <w:b/>
                <w:bCs/>
                <w:color w:val="auto"/>
                <w:sz w:val="24"/>
              </w:rPr>
            </w:pPr>
          </w:p>
        </w:tc>
        <w:tc>
          <w:tcPr>
            <w:tcW w:w="1541" w:type="dxa"/>
            <w:tcBorders>
              <w:left w:val="single" w:color="000000" w:sz="4" w:space="0"/>
              <w:right w:val="single" w:color="000000" w:sz="4" w:space="0"/>
            </w:tcBorders>
            <w:vAlign w:val="center"/>
          </w:tcPr>
          <w:p w14:paraId="4CFE536A">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快捷短语设置</w:t>
            </w:r>
          </w:p>
        </w:tc>
        <w:tc>
          <w:tcPr>
            <w:tcW w:w="4611" w:type="dxa"/>
            <w:tcBorders>
              <w:left w:val="single" w:color="000000" w:sz="4" w:space="0"/>
              <w:right w:val="single" w:color="000000" w:sz="4" w:space="0"/>
            </w:tcBorders>
            <w:vAlign w:val="center"/>
          </w:tcPr>
          <w:p w14:paraId="0B48BD6A">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快捷短语设置符合各层级粉丝的需求。</w:t>
            </w:r>
          </w:p>
        </w:tc>
        <w:tc>
          <w:tcPr>
            <w:tcW w:w="1059" w:type="dxa"/>
            <w:vMerge w:val="continue"/>
            <w:tcBorders>
              <w:left w:val="single" w:color="000000" w:sz="4" w:space="0"/>
              <w:right w:val="single" w:color="000000" w:sz="4" w:space="0"/>
            </w:tcBorders>
            <w:vAlign w:val="center"/>
          </w:tcPr>
          <w:p w14:paraId="3C6BD9CF">
            <w:pPr>
              <w:spacing w:line="400" w:lineRule="exact"/>
              <w:jc w:val="center"/>
              <w:rPr>
                <w:rFonts w:ascii="仿宋_GB2312" w:hAnsi="仿宋_GB2312" w:eastAsia="仿宋_GB2312" w:cs="仿宋_GB2312"/>
                <w:color w:val="auto"/>
                <w:sz w:val="24"/>
              </w:rPr>
            </w:pPr>
          </w:p>
        </w:tc>
        <w:tc>
          <w:tcPr>
            <w:tcW w:w="904" w:type="dxa"/>
            <w:vMerge w:val="continue"/>
            <w:tcBorders>
              <w:left w:val="single" w:color="000000" w:sz="4" w:space="0"/>
              <w:right w:val="single" w:color="000000" w:sz="4" w:space="0"/>
            </w:tcBorders>
            <w:vAlign w:val="center"/>
          </w:tcPr>
          <w:p w14:paraId="2F9C1E91">
            <w:pPr>
              <w:spacing w:line="400" w:lineRule="exact"/>
              <w:jc w:val="center"/>
              <w:rPr>
                <w:rFonts w:ascii="仿宋_GB2312" w:hAnsi="仿宋_GB2312" w:eastAsia="仿宋_GB2312" w:cs="仿宋_GB2312"/>
                <w:bCs/>
                <w:color w:val="auto"/>
                <w:sz w:val="24"/>
              </w:rPr>
            </w:pPr>
          </w:p>
        </w:tc>
      </w:tr>
      <w:tr w14:paraId="11D18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1ACCD9A4">
            <w:pPr>
              <w:spacing w:line="400" w:lineRule="exact"/>
              <w:rPr>
                <w:rFonts w:ascii="仿宋_GB2312" w:hAnsi="仿宋_GB2312" w:eastAsia="仿宋_GB2312" w:cs="仿宋_GB2312"/>
                <w:b/>
                <w:bCs/>
                <w:color w:val="auto"/>
                <w:sz w:val="24"/>
              </w:rPr>
            </w:pPr>
          </w:p>
        </w:tc>
        <w:tc>
          <w:tcPr>
            <w:tcW w:w="1202" w:type="dxa"/>
            <w:tcBorders>
              <w:left w:val="single" w:color="000000" w:sz="4" w:space="0"/>
              <w:right w:val="single" w:color="000000" w:sz="4" w:space="0"/>
            </w:tcBorders>
            <w:vAlign w:val="center"/>
          </w:tcPr>
          <w:p w14:paraId="3D0B9682">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直播总体效果</w:t>
            </w:r>
          </w:p>
        </w:tc>
        <w:tc>
          <w:tcPr>
            <w:tcW w:w="6152" w:type="dxa"/>
            <w:gridSpan w:val="2"/>
            <w:tcBorders>
              <w:left w:val="single" w:color="000000" w:sz="4" w:space="0"/>
              <w:right w:val="single" w:color="000000" w:sz="4" w:space="0"/>
            </w:tcBorders>
            <w:vAlign w:val="center"/>
          </w:tcPr>
          <w:p w14:paraId="0FDD2C15">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根据选手设置的付费推广和免费推广项目以及制定的互动方案，系统会在用户直播结束计算出用户的观看总人数、新增粉丝数、商品点击数量、总销售额和总利润，并根据权重公式计算出本次直播的综合效果。</w:t>
            </w:r>
          </w:p>
        </w:tc>
        <w:tc>
          <w:tcPr>
            <w:tcW w:w="1059" w:type="dxa"/>
            <w:tcBorders>
              <w:left w:val="single" w:color="000000" w:sz="4" w:space="0"/>
              <w:right w:val="single" w:color="000000" w:sz="4" w:space="0"/>
            </w:tcBorders>
            <w:vAlign w:val="center"/>
          </w:tcPr>
          <w:p w14:paraId="4A278173">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8.8分</w:t>
            </w:r>
          </w:p>
        </w:tc>
        <w:tc>
          <w:tcPr>
            <w:tcW w:w="904" w:type="dxa"/>
            <w:tcBorders>
              <w:left w:val="single" w:color="000000" w:sz="4" w:space="0"/>
              <w:right w:val="single" w:color="000000" w:sz="4" w:space="0"/>
            </w:tcBorders>
            <w:vAlign w:val="center"/>
          </w:tcPr>
          <w:p w14:paraId="2B1D3E7C">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测量分</w:t>
            </w:r>
          </w:p>
        </w:tc>
      </w:tr>
      <w:tr w14:paraId="5B70E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109FEF05">
            <w:pPr>
              <w:spacing w:line="400" w:lineRule="exact"/>
              <w:rPr>
                <w:rFonts w:ascii="仿宋_GB2312" w:hAnsi="仿宋_GB2312" w:eastAsia="仿宋_GB2312" w:cs="仿宋_GB2312"/>
                <w:b/>
                <w:bCs/>
                <w:color w:val="auto"/>
                <w:sz w:val="24"/>
              </w:rPr>
            </w:pPr>
          </w:p>
        </w:tc>
        <w:tc>
          <w:tcPr>
            <w:tcW w:w="1202" w:type="dxa"/>
            <w:tcBorders>
              <w:left w:val="single" w:color="000000" w:sz="4" w:space="0"/>
              <w:right w:val="single" w:color="000000" w:sz="4" w:space="0"/>
            </w:tcBorders>
            <w:vAlign w:val="center"/>
          </w:tcPr>
          <w:p w14:paraId="06530029">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直播复盘</w:t>
            </w:r>
          </w:p>
        </w:tc>
        <w:tc>
          <w:tcPr>
            <w:tcW w:w="6152" w:type="dxa"/>
            <w:gridSpan w:val="2"/>
            <w:tcBorders>
              <w:left w:val="single" w:color="000000" w:sz="4" w:space="0"/>
              <w:right w:val="single" w:color="000000" w:sz="4" w:space="0"/>
            </w:tcBorders>
            <w:vAlign w:val="center"/>
          </w:tcPr>
          <w:p w14:paraId="7A16FD8C">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根据直播数据大盘，完成观众的行为数据、商品数据等相关内容的统计分析，结果正确。</w:t>
            </w:r>
          </w:p>
        </w:tc>
        <w:tc>
          <w:tcPr>
            <w:tcW w:w="1059" w:type="dxa"/>
            <w:tcBorders>
              <w:left w:val="single" w:color="000000" w:sz="4" w:space="0"/>
              <w:right w:val="single" w:color="000000" w:sz="4" w:space="0"/>
            </w:tcBorders>
            <w:vAlign w:val="center"/>
          </w:tcPr>
          <w:p w14:paraId="2CAA3CBA">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2分</w:t>
            </w:r>
          </w:p>
        </w:tc>
        <w:tc>
          <w:tcPr>
            <w:tcW w:w="904" w:type="dxa"/>
            <w:tcBorders>
              <w:left w:val="single" w:color="000000" w:sz="4" w:space="0"/>
              <w:right w:val="single" w:color="000000" w:sz="4" w:space="0"/>
            </w:tcBorders>
            <w:vAlign w:val="center"/>
          </w:tcPr>
          <w:p w14:paraId="6500B5EB">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测量分</w:t>
            </w:r>
          </w:p>
        </w:tc>
      </w:tr>
      <w:tr w14:paraId="1DDEB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7C72D0B8">
            <w:pPr>
              <w:spacing w:line="400" w:lineRule="exact"/>
              <w:rPr>
                <w:rFonts w:ascii="仿宋_GB2312" w:hAnsi="仿宋_GB2312" w:eastAsia="仿宋_GB2312" w:cs="仿宋_GB2312"/>
                <w:b/>
                <w:bCs/>
                <w:color w:val="auto"/>
                <w:sz w:val="24"/>
              </w:rPr>
            </w:pPr>
          </w:p>
        </w:tc>
        <w:tc>
          <w:tcPr>
            <w:tcW w:w="1202" w:type="dxa"/>
            <w:vMerge w:val="restart"/>
            <w:tcBorders>
              <w:left w:val="single" w:color="000000" w:sz="4" w:space="0"/>
              <w:right w:val="single" w:color="000000" w:sz="4" w:space="0"/>
            </w:tcBorders>
            <w:vAlign w:val="center"/>
          </w:tcPr>
          <w:p w14:paraId="2C10088F">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直播策划</w:t>
            </w:r>
          </w:p>
        </w:tc>
        <w:tc>
          <w:tcPr>
            <w:tcW w:w="1541" w:type="dxa"/>
            <w:tcBorders>
              <w:left w:val="single" w:color="000000" w:sz="4" w:space="0"/>
              <w:right w:val="single" w:color="000000" w:sz="4" w:space="0"/>
            </w:tcBorders>
            <w:vAlign w:val="center"/>
          </w:tcPr>
          <w:p w14:paraId="4DC6D2BA">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商品主图</w:t>
            </w:r>
          </w:p>
        </w:tc>
        <w:tc>
          <w:tcPr>
            <w:tcW w:w="4611" w:type="dxa"/>
            <w:tcBorders>
              <w:left w:val="single" w:color="000000" w:sz="4" w:space="0"/>
              <w:right w:val="single" w:color="000000" w:sz="4" w:space="0"/>
            </w:tcBorders>
            <w:vAlign w:val="center"/>
          </w:tcPr>
          <w:p w14:paraId="775166D9">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主图设置正确且达到5张，所选择图片内容正确且未变形、未模糊</w:t>
            </w:r>
          </w:p>
        </w:tc>
        <w:tc>
          <w:tcPr>
            <w:tcW w:w="1059" w:type="dxa"/>
            <w:tcBorders>
              <w:left w:val="single" w:color="000000" w:sz="4" w:space="0"/>
              <w:right w:val="single" w:color="000000" w:sz="4" w:space="0"/>
            </w:tcBorders>
            <w:vAlign w:val="center"/>
          </w:tcPr>
          <w:p w14:paraId="7F102D6F">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1分</w:t>
            </w:r>
          </w:p>
        </w:tc>
        <w:tc>
          <w:tcPr>
            <w:tcW w:w="904" w:type="dxa"/>
            <w:tcBorders>
              <w:left w:val="single" w:color="000000" w:sz="4" w:space="0"/>
              <w:right w:val="single" w:color="000000" w:sz="4" w:space="0"/>
            </w:tcBorders>
            <w:vAlign w:val="center"/>
          </w:tcPr>
          <w:p w14:paraId="0C10E291">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测量分</w:t>
            </w:r>
          </w:p>
        </w:tc>
      </w:tr>
      <w:tr w14:paraId="2AFF7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29695DD6">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375B22C8">
            <w:pPr>
              <w:spacing w:line="400" w:lineRule="exact"/>
              <w:jc w:val="center"/>
              <w:rPr>
                <w:rFonts w:ascii="仿宋_GB2312" w:hAnsi="仿宋_GB2312" w:eastAsia="仿宋_GB2312" w:cs="仿宋_GB2312"/>
                <w:b/>
                <w:bCs/>
                <w:color w:val="auto"/>
                <w:sz w:val="24"/>
              </w:rPr>
            </w:pPr>
          </w:p>
        </w:tc>
        <w:tc>
          <w:tcPr>
            <w:tcW w:w="1541" w:type="dxa"/>
            <w:tcBorders>
              <w:left w:val="single" w:color="000000" w:sz="4" w:space="0"/>
              <w:right w:val="single" w:color="000000" w:sz="4" w:space="0"/>
            </w:tcBorders>
            <w:vAlign w:val="center"/>
          </w:tcPr>
          <w:p w14:paraId="262E6C2B">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商品详情图</w:t>
            </w:r>
          </w:p>
        </w:tc>
        <w:tc>
          <w:tcPr>
            <w:tcW w:w="4611" w:type="dxa"/>
            <w:tcBorders>
              <w:left w:val="single" w:color="000000" w:sz="4" w:space="0"/>
              <w:right w:val="single" w:color="000000" w:sz="4" w:space="0"/>
            </w:tcBorders>
            <w:vAlign w:val="center"/>
          </w:tcPr>
          <w:p w14:paraId="7EA83583">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商品包含正确的商品属性图、商品特点图、商品整体图、商品特写图、配送说明图、售后说明图</w:t>
            </w:r>
          </w:p>
        </w:tc>
        <w:tc>
          <w:tcPr>
            <w:tcW w:w="1059" w:type="dxa"/>
            <w:tcBorders>
              <w:left w:val="single" w:color="000000" w:sz="4" w:space="0"/>
              <w:right w:val="single" w:color="000000" w:sz="4" w:space="0"/>
            </w:tcBorders>
            <w:vAlign w:val="center"/>
          </w:tcPr>
          <w:p w14:paraId="0C8EBDCA">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2分</w:t>
            </w:r>
          </w:p>
        </w:tc>
        <w:tc>
          <w:tcPr>
            <w:tcW w:w="904" w:type="dxa"/>
            <w:tcBorders>
              <w:left w:val="single" w:color="000000" w:sz="4" w:space="0"/>
              <w:right w:val="single" w:color="000000" w:sz="4" w:space="0"/>
            </w:tcBorders>
            <w:vAlign w:val="center"/>
          </w:tcPr>
          <w:p w14:paraId="75A9FE79">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测量分</w:t>
            </w:r>
          </w:p>
        </w:tc>
      </w:tr>
      <w:tr w14:paraId="645D9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5949A232">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7EF3AF4A">
            <w:pPr>
              <w:spacing w:line="400" w:lineRule="exact"/>
              <w:jc w:val="center"/>
              <w:rPr>
                <w:rFonts w:ascii="仿宋_GB2312" w:hAnsi="仿宋_GB2312" w:eastAsia="仿宋_GB2312" w:cs="仿宋_GB2312"/>
                <w:b/>
                <w:bCs/>
                <w:color w:val="auto"/>
                <w:sz w:val="24"/>
              </w:rPr>
            </w:pPr>
          </w:p>
        </w:tc>
        <w:tc>
          <w:tcPr>
            <w:tcW w:w="1541" w:type="dxa"/>
            <w:tcBorders>
              <w:left w:val="single" w:color="000000" w:sz="4" w:space="0"/>
              <w:right w:val="single" w:color="000000" w:sz="4" w:space="0"/>
            </w:tcBorders>
            <w:vAlign w:val="center"/>
          </w:tcPr>
          <w:p w14:paraId="75D38DDE">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直播间商品链接</w:t>
            </w:r>
          </w:p>
        </w:tc>
        <w:tc>
          <w:tcPr>
            <w:tcW w:w="4611" w:type="dxa"/>
            <w:tcBorders>
              <w:left w:val="single" w:color="000000" w:sz="4" w:space="0"/>
              <w:right w:val="single" w:color="000000" w:sz="4" w:space="0"/>
            </w:tcBorders>
            <w:vAlign w:val="center"/>
          </w:tcPr>
          <w:p w14:paraId="148D59A5">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讲解的商品正确关联商品链接</w:t>
            </w:r>
          </w:p>
        </w:tc>
        <w:tc>
          <w:tcPr>
            <w:tcW w:w="1059" w:type="dxa"/>
            <w:tcBorders>
              <w:left w:val="single" w:color="000000" w:sz="4" w:space="0"/>
              <w:right w:val="single" w:color="000000" w:sz="4" w:space="0"/>
            </w:tcBorders>
            <w:vAlign w:val="center"/>
          </w:tcPr>
          <w:p w14:paraId="6049EBA5">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0.5分</w:t>
            </w:r>
          </w:p>
        </w:tc>
        <w:tc>
          <w:tcPr>
            <w:tcW w:w="904" w:type="dxa"/>
            <w:tcBorders>
              <w:left w:val="single" w:color="000000" w:sz="4" w:space="0"/>
              <w:right w:val="single" w:color="000000" w:sz="4" w:space="0"/>
            </w:tcBorders>
            <w:vAlign w:val="center"/>
          </w:tcPr>
          <w:p w14:paraId="32B8B9D1">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测量分</w:t>
            </w:r>
          </w:p>
        </w:tc>
      </w:tr>
      <w:tr w14:paraId="1CC81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1A54DF14">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190D5AF0">
            <w:pPr>
              <w:spacing w:line="400" w:lineRule="exact"/>
              <w:jc w:val="center"/>
              <w:rPr>
                <w:rFonts w:ascii="仿宋_GB2312" w:hAnsi="仿宋_GB2312" w:eastAsia="仿宋_GB2312" w:cs="仿宋_GB2312"/>
                <w:b/>
                <w:bCs/>
                <w:color w:val="auto"/>
                <w:sz w:val="24"/>
              </w:rPr>
            </w:pPr>
          </w:p>
        </w:tc>
        <w:tc>
          <w:tcPr>
            <w:tcW w:w="1541" w:type="dxa"/>
            <w:tcBorders>
              <w:left w:val="single" w:color="000000" w:sz="4" w:space="0"/>
              <w:right w:val="single" w:color="000000" w:sz="4" w:space="0"/>
            </w:tcBorders>
            <w:vAlign w:val="center"/>
          </w:tcPr>
          <w:p w14:paraId="7244DD6C">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直播时长</w:t>
            </w:r>
          </w:p>
        </w:tc>
        <w:tc>
          <w:tcPr>
            <w:tcW w:w="4611" w:type="dxa"/>
            <w:tcBorders>
              <w:left w:val="single" w:color="000000" w:sz="4" w:space="0"/>
              <w:right w:val="single" w:color="000000" w:sz="4" w:space="0"/>
            </w:tcBorders>
            <w:vAlign w:val="center"/>
          </w:tcPr>
          <w:p w14:paraId="68342517">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直播时长达到10分钟</w:t>
            </w:r>
          </w:p>
        </w:tc>
        <w:tc>
          <w:tcPr>
            <w:tcW w:w="1059" w:type="dxa"/>
            <w:tcBorders>
              <w:left w:val="single" w:color="000000" w:sz="4" w:space="0"/>
              <w:right w:val="single" w:color="000000" w:sz="4" w:space="0"/>
            </w:tcBorders>
            <w:vAlign w:val="center"/>
          </w:tcPr>
          <w:p w14:paraId="041E2E68">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1分</w:t>
            </w:r>
          </w:p>
        </w:tc>
        <w:tc>
          <w:tcPr>
            <w:tcW w:w="904" w:type="dxa"/>
            <w:tcBorders>
              <w:left w:val="single" w:color="000000" w:sz="4" w:space="0"/>
              <w:right w:val="single" w:color="000000" w:sz="4" w:space="0"/>
            </w:tcBorders>
            <w:vAlign w:val="center"/>
          </w:tcPr>
          <w:p w14:paraId="0899447F">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测量分</w:t>
            </w:r>
          </w:p>
        </w:tc>
      </w:tr>
      <w:tr w14:paraId="756E3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0E846A8A">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013A08CE">
            <w:pPr>
              <w:spacing w:line="400" w:lineRule="exact"/>
              <w:jc w:val="center"/>
              <w:rPr>
                <w:rFonts w:ascii="仿宋_GB2312" w:hAnsi="仿宋_GB2312" w:eastAsia="仿宋_GB2312" w:cs="仿宋_GB2312"/>
                <w:b/>
                <w:bCs/>
                <w:color w:val="auto"/>
                <w:sz w:val="24"/>
              </w:rPr>
            </w:pPr>
          </w:p>
        </w:tc>
        <w:tc>
          <w:tcPr>
            <w:tcW w:w="1541" w:type="dxa"/>
            <w:tcBorders>
              <w:left w:val="single" w:color="000000" w:sz="4" w:space="0"/>
              <w:right w:val="single" w:color="000000" w:sz="4" w:space="0"/>
            </w:tcBorders>
            <w:vAlign w:val="center"/>
          </w:tcPr>
          <w:p w14:paraId="66C57337">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商品标题</w:t>
            </w:r>
          </w:p>
        </w:tc>
        <w:tc>
          <w:tcPr>
            <w:tcW w:w="4611" w:type="dxa"/>
            <w:tcBorders>
              <w:left w:val="single" w:color="000000" w:sz="4" w:space="0"/>
              <w:right w:val="single" w:color="000000" w:sz="4" w:space="0"/>
            </w:tcBorders>
            <w:vAlign w:val="center"/>
          </w:tcPr>
          <w:p w14:paraId="342F3803">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商品标题关键词符合背景资料介绍内容。</w:t>
            </w:r>
          </w:p>
        </w:tc>
        <w:tc>
          <w:tcPr>
            <w:tcW w:w="1059" w:type="dxa"/>
            <w:tcBorders>
              <w:left w:val="single" w:color="000000" w:sz="4" w:space="0"/>
              <w:right w:val="single" w:color="000000" w:sz="4" w:space="0"/>
            </w:tcBorders>
            <w:vAlign w:val="center"/>
          </w:tcPr>
          <w:p w14:paraId="6055D95C">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1分</w:t>
            </w:r>
          </w:p>
        </w:tc>
        <w:tc>
          <w:tcPr>
            <w:tcW w:w="904" w:type="dxa"/>
            <w:tcBorders>
              <w:left w:val="single" w:color="000000" w:sz="4" w:space="0"/>
              <w:right w:val="single" w:color="000000" w:sz="4" w:space="0"/>
            </w:tcBorders>
            <w:vAlign w:val="center"/>
          </w:tcPr>
          <w:p w14:paraId="2B2787E6">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测量分</w:t>
            </w:r>
          </w:p>
        </w:tc>
      </w:tr>
      <w:tr w14:paraId="6DA6D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53E9C465">
            <w:pPr>
              <w:spacing w:line="400" w:lineRule="exact"/>
              <w:rPr>
                <w:rFonts w:ascii="仿宋_GB2312" w:hAnsi="仿宋_GB2312" w:eastAsia="仿宋_GB2312" w:cs="仿宋_GB2312"/>
                <w:b/>
                <w:bCs/>
                <w:color w:val="auto"/>
                <w:sz w:val="24"/>
              </w:rPr>
            </w:pPr>
          </w:p>
        </w:tc>
        <w:tc>
          <w:tcPr>
            <w:tcW w:w="1202" w:type="dxa"/>
            <w:vMerge w:val="restart"/>
            <w:tcBorders>
              <w:left w:val="single" w:color="000000" w:sz="4" w:space="0"/>
              <w:right w:val="single" w:color="000000" w:sz="4" w:space="0"/>
            </w:tcBorders>
            <w:vAlign w:val="center"/>
          </w:tcPr>
          <w:p w14:paraId="4673FB03">
            <w:pPr>
              <w:spacing w:line="40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直播实施</w:t>
            </w:r>
          </w:p>
        </w:tc>
        <w:tc>
          <w:tcPr>
            <w:tcW w:w="1541" w:type="dxa"/>
            <w:tcBorders>
              <w:left w:val="single" w:color="000000" w:sz="4" w:space="0"/>
              <w:right w:val="single" w:color="000000" w:sz="4" w:space="0"/>
            </w:tcBorders>
            <w:vAlign w:val="center"/>
          </w:tcPr>
          <w:p w14:paraId="6E773C25">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直播开场</w:t>
            </w:r>
          </w:p>
        </w:tc>
        <w:tc>
          <w:tcPr>
            <w:tcW w:w="4611" w:type="dxa"/>
            <w:tcBorders>
              <w:left w:val="single" w:color="000000" w:sz="4" w:space="0"/>
              <w:right w:val="single" w:color="000000" w:sz="4" w:space="0"/>
            </w:tcBorders>
            <w:vAlign w:val="center"/>
          </w:tcPr>
          <w:p w14:paraId="124E0006">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直播开场需讲解以下四项内容：问好、自我介绍、本次直播计划、促销活动。</w:t>
            </w:r>
          </w:p>
        </w:tc>
        <w:tc>
          <w:tcPr>
            <w:tcW w:w="1059" w:type="dxa"/>
            <w:tcBorders>
              <w:left w:val="single" w:color="000000" w:sz="4" w:space="0"/>
              <w:right w:val="single" w:color="000000" w:sz="4" w:space="0"/>
            </w:tcBorders>
            <w:vAlign w:val="center"/>
          </w:tcPr>
          <w:p w14:paraId="2952986E">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1分</w:t>
            </w:r>
          </w:p>
        </w:tc>
        <w:tc>
          <w:tcPr>
            <w:tcW w:w="904" w:type="dxa"/>
            <w:tcBorders>
              <w:left w:val="single" w:color="000000" w:sz="4" w:space="0"/>
              <w:right w:val="single" w:color="000000" w:sz="4" w:space="0"/>
            </w:tcBorders>
            <w:vAlign w:val="center"/>
          </w:tcPr>
          <w:p w14:paraId="2BCB250A">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评价分</w:t>
            </w:r>
          </w:p>
        </w:tc>
      </w:tr>
      <w:tr w14:paraId="3092F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25FDA32F">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358CD2E4">
            <w:pPr>
              <w:spacing w:line="400" w:lineRule="exact"/>
              <w:jc w:val="center"/>
              <w:rPr>
                <w:rFonts w:ascii="仿宋_GB2312" w:hAnsi="仿宋_GB2312" w:eastAsia="仿宋_GB2312" w:cs="仿宋_GB2312"/>
                <w:b/>
                <w:bCs/>
                <w:color w:val="auto"/>
                <w:sz w:val="24"/>
              </w:rPr>
            </w:pPr>
          </w:p>
        </w:tc>
        <w:tc>
          <w:tcPr>
            <w:tcW w:w="1541" w:type="dxa"/>
            <w:vMerge w:val="restart"/>
            <w:tcBorders>
              <w:left w:val="single" w:color="000000" w:sz="4" w:space="0"/>
              <w:right w:val="single" w:color="000000" w:sz="4" w:space="0"/>
            </w:tcBorders>
            <w:vAlign w:val="center"/>
          </w:tcPr>
          <w:p w14:paraId="46C418A0">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商品介绍</w:t>
            </w:r>
          </w:p>
        </w:tc>
        <w:tc>
          <w:tcPr>
            <w:tcW w:w="4611" w:type="dxa"/>
            <w:tcBorders>
              <w:left w:val="single" w:color="000000" w:sz="4" w:space="0"/>
              <w:right w:val="single" w:color="000000" w:sz="4" w:space="0"/>
            </w:tcBorders>
            <w:vAlign w:val="center"/>
          </w:tcPr>
          <w:p w14:paraId="19088D7A">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商品引出方式采用问题情境引出、故事引出、热点引出中的一种。</w:t>
            </w:r>
          </w:p>
        </w:tc>
        <w:tc>
          <w:tcPr>
            <w:tcW w:w="1059" w:type="dxa"/>
            <w:vMerge w:val="restart"/>
            <w:tcBorders>
              <w:left w:val="single" w:color="000000" w:sz="4" w:space="0"/>
              <w:right w:val="single" w:color="000000" w:sz="4" w:space="0"/>
            </w:tcBorders>
            <w:vAlign w:val="center"/>
          </w:tcPr>
          <w:p w14:paraId="78FCED34">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15分</w:t>
            </w:r>
          </w:p>
        </w:tc>
        <w:tc>
          <w:tcPr>
            <w:tcW w:w="904" w:type="dxa"/>
            <w:vMerge w:val="restart"/>
            <w:tcBorders>
              <w:left w:val="single" w:color="000000" w:sz="4" w:space="0"/>
            </w:tcBorders>
            <w:vAlign w:val="center"/>
          </w:tcPr>
          <w:p w14:paraId="52AD2448">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评价分</w:t>
            </w:r>
          </w:p>
        </w:tc>
      </w:tr>
      <w:tr w14:paraId="1E98C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3A91A9F8">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29AA98CF">
            <w:pPr>
              <w:spacing w:line="400" w:lineRule="exact"/>
              <w:jc w:val="center"/>
              <w:rPr>
                <w:rFonts w:ascii="仿宋_GB2312" w:hAnsi="仿宋_GB2312" w:eastAsia="仿宋_GB2312" w:cs="仿宋_GB2312"/>
                <w:b/>
                <w:bCs/>
                <w:color w:val="auto"/>
                <w:sz w:val="24"/>
              </w:rPr>
            </w:pPr>
          </w:p>
        </w:tc>
        <w:tc>
          <w:tcPr>
            <w:tcW w:w="1541" w:type="dxa"/>
            <w:vMerge w:val="continue"/>
            <w:tcBorders>
              <w:left w:val="single" w:color="000000" w:sz="4" w:space="0"/>
              <w:right w:val="single" w:color="000000" w:sz="4" w:space="0"/>
            </w:tcBorders>
            <w:vAlign w:val="center"/>
          </w:tcPr>
          <w:p w14:paraId="60D74B74">
            <w:pPr>
              <w:spacing w:line="400" w:lineRule="exact"/>
              <w:jc w:val="center"/>
              <w:rPr>
                <w:rFonts w:ascii="仿宋_GB2312" w:hAnsi="仿宋_GB2312" w:eastAsia="仿宋_GB2312" w:cs="仿宋_GB2312"/>
                <w:bCs/>
                <w:color w:val="auto"/>
                <w:sz w:val="24"/>
              </w:rPr>
            </w:pPr>
          </w:p>
        </w:tc>
        <w:tc>
          <w:tcPr>
            <w:tcW w:w="4611" w:type="dxa"/>
            <w:tcBorders>
              <w:left w:val="single" w:color="000000" w:sz="4" w:space="0"/>
              <w:right w:val="single" w:color="000000" w:sz="4" w:space="0"/>
            </w:tcBorders>
            <w:vAlign w:val="center"/>
          </w:tcPr>
          <w:p w14:paraId="33DA74DE">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正确介绍商品基本属性。</w:t>
            </w:r>
          </w:p>
        </w:tc>
        <w:tc>
          <w:tcPr>
            <w:tcW w:w="1059" w:type="dxa"/>
            <w:vMerge w:val="continue"/>
            <w:tcBorders>
              <w:left w:val="single" w:color="000000" w:sz="4" w:space="0"/>
              <w:right w:val="single" w:color="000000" w:sz="4" w:space="0"/>
            </w:tcBorders>
            <w:vAlign w:val="center"/>
          </w:tcPr>
          <w:p w14:paraId="17322929">
            <w:pPr>
              <w:spacing w:line="400" w:lineRule="exact"/>
              <w:jc w:val="center"/>
              <w:rPr>
                <w:rFonts w:ascii="仿宋_GB2312" w:hAnsi="仿宋_GB2312" w:eastAsia="仿宋_GB2312" w:cs="仿宋_GB2312"/>
                <w:color w:val="auto"/>
                <w:sz w:val="24"/>
              </w:rPr>
            </w:pPr>
          </w:p>
        </w:tc>
        <w:tc>
          <w:tcPr>
            <w:tcW w:w="904" w:type="dxa"/>
            <w:vMerge w:val="continue"/>
            <w:tcBorders>
              <w:left w:val="single" w:color="000000" w:sz="4" w:space="0"/>
            </w:tcBorders>
            <w:vAlign w:val="center"/>
          </w:tcPr>
          <w:p w14:paraId="2031B013">
            <w:pPr>
              <w:spacing w:line="400" w:lineRule="exact"/>
              <w:jc w:val="center"/>
              <w:rPr>
                <w:rFonts w:ascii="仿宋_GB2312" w:hAnsi="仿宋_GB2312" w:eastAsia="仿宋_GB2312" w:cs="仿宋_GB2312"/>
                <w:bCs/>
                <w:color w:val="auto"/>
                <w:sz w:val="24"/>
              </w:rPr>
            </w:pPr>
          </w:p>
        </w:tc>
      </w:tr>
      <w:tr w14:paraId="1C007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35CA943F">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1120683C">
            <w:pPr>
              <w:spacing w:line="400" w:lineRule="exact"/>
              <w:jc w:val="center"/>
              <w:rPr>
                <w:rFonts w:ascii="仿宋_GB2312" w:hAnsi="仿宋_GB2312" w:eastAsia="仿宋_GB2312" w:cs="仿宋_GB2312"/>
                <w:b/>
                <w:bCs/>
                <w:color w:val="auto"/>
                <w:sz w:val="24"/>
              </w:rPr>
            </w:pPr>
          </w:p>
        </w:tc>
        <w:tc>
          <w:tcPr>
            <w:tcW w:w="1541" w:type="dxa"/>
            <w:vMerge w:val="continue"/>
            <w:tcBorders>
              <w:left w:val="single" w:color="000000" w:sz="4" w:space="0"/>
              <w:right w:val="single" w:color="000000" w:sz="4" w:space="0"/>
            </w:tcBorders>
            <w:vAlign w:val="center"/>
          </w:tcPr>
          <w:p w14:paraId="354984C1">
            <w:pPr>
              <w:spacing w:line="400" w:lineRule="exact"/>
              <w:jc w:val="center"/>
              <w:rPr>
                <w:rFonts w:ascii="仿宋_GB2312" w:hAnsi="仿宋_GB2312" w:eastAsia="仿宋_GB2312" w:cs="仿宋_GB2312"/>
                <w:bCs/>
                <w:color w:val="auto"/>
                <w:sz w:val="24"/>
              </w:rPr>
            </w:pPr>
          </w:p>
        </w:tc>
        <w:tc>
          <w:tcPr>
            <w:tcW w:w="4611" w:type="dxa"/>
            <w:tcBorders>
              <w:left w:val="single" w:color="000000" w:sz="4" w:space="0"/>
              <w:right w:val="single" w:color="000000" w:sz="4" w:space="0"/>
            </w:tcBorders>
            <w:vAlign w:val="center"/>
          </w:tcPr>
          <w:p w14:paraId="16245B7B">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能够讲解商品的卖点及特色，突出商品优势，强化直播间观众对直播商品的认知。</w:t>
            </w:r>
          </w:p>
        </w:tc>
        <w:tc>
          <w:tcPr>
            <w:tcW w:w="1059" w:type="dxa"/>
            <w:vMerge w:val="continue"/>
            <w:tcBorders>
              <w:left w:val="single" w:color="000000" w:sz="4" w:space="0"/>
              <w:right w:val="single" w:color="000000" w:sz="4" w:space="0"/>
            </w:tcBorders>
            <w:vAlign w:val="center"/>
          </w:tcPr>
          <w:p w14:paraId="544EFED0">
            <w:pPr>
              <w:spacing w:line="400" w:lineRule="exact"/>
              <w:jc w:val="center"/>
              <w:rPr>
                <w:rFonts w:ascii="仿宋_GB2312" w:hAnsi="仿宋_GB2312" w:eastAsia="仿宋_GB2312" w:cs="仿宋_GB2312"/>
                <w:color w:val="auto"/>
                <w:sz w:val="24"/>
              </w:rPr>
            </w:pPr>
          </w:p>
        </w:tc>
        <w:tc>
          <w:tcPr>
            <w:tcW w:w="904" w:type="dxa"/>
            <w:vMerge w:val="continue"/>
            <w:tcBorders>
              <w:left w:val="single" w:color="000000" w:sz="4" w:space="0"/>
            </w:tcBorders>
            <w:vAlign w:val="center"/>
          </w:tcPr>
          <w:p w14:paraId="11A9FAB4">
            <w:pPr>
              <w:spacing w:line="400" w:lineRule="exact"/>
              <w:jc w:val="center"/>
              <w:rPr>
                <w:rFonts w:ascii="仿宋_GB2312" w:hAnsi="仿宋_GB2312" w:eastAsia="仿宋_GB2312" w:cs="仿宋_GB2312"/>
                <w:bCs/>
                <w:color w:val="auto"/>
                <w:sz w:val="24"/>
              </w:rPr>
            </w:pPr>
          </w:p>
        </w:tc>
      </w:tr>
      <w:tr w14:paraId="01140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56654AE1">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4ABBF2AD">
            <w:pPr>
              <w:spacing w:line="400" w:lineRule="exact"/>
              <w:jc w:val="center"/>
              <w:rPr>
                <w:rFonts w:ascii="仿宋_GB2312" w:hAnsi="仿宋_GB2312" w:eastAsia="仿宋_GB2312" w:cs="仿宋_GB2312"/>
                <w:b/>
                <w:bCs/>
                <w:color w:val="auto"/>
                <w:sz w:val="24"/>
              </w:rPr>
            </w:pPr>
          </w:p>
        </w:tc>
        <w:tc>
          <w:tcPr>
            <w:tcW w:w="1541" w:type="dxa"/>
            <w:vMerge w:val="continue"/>
            <w:tcBorders>
              <w:left w:val="single" w:color="000000" w:sz="4" w:space="0"/>
              <w:right w:val="single" w:color="000000" w:sz="4" w:space="0"/>
            </w:tcBorders>
            <w:vAlign w:val="center"/>
          </w:tcPr>
          <w:p w14:paraId="0B702CD9">
            <w:pPr>
              <w:spacing w:line="400" w:lineRule="exact"/>
              <w:jc w:val="center"/>
              <w:rPr>
                <w:rFonts w:ascii="仿宋_GB2312" w:hAnsi="仿宋_GB2312" w:eastAsia="仿宋_GB2312" w:cs="仿宋_GB2312"/>
                <w:bCs/>
                <w:color w:val="auto"/>
                <w:sz w:val="24"/>
              </w:rPr>
            </w:pPr>
          </w:p>
        </w:tc>
        <w:tc>
          <w:tcPr>
            <w:tcW w:w="4611" w:type="dxa"/>
            <w:tcBorders>
              <w:left w:val="single" w:color="000000" w:sz="4" w:space="0"/>
              <w:right w:val="single" w:color="000000" w:sz="4" w:space="0"/>
            </w:tcBorders>
            <w:vAlign w:val="center"/>
          </w:tcPr>
          <w:p w14:paraId="230F08D6">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有商品日常价格、直播促销价的说明，并使用倒计时营造抢购氛围。</w:t>
            </w:r>
          </w:p>
        </w:tc>
        <w:tc>
          <w:tcPr>
            <w:tcW w:w="1059" w:type="dxa"/>
            <w:vMerge w:val="continue"/>
            <w:tcBorders>
              <w:left w:val="single" w:color="000000" w:sz="4" w:space="0"/>
              <w:right w:val="single" w:color="000000" w:sz="4" w:space="0"/>
            </w:tcBorders>
            <w:vAlign w:val="center"/>
          </w:tcPr>
          <w:p w14:paraId="7DEC7A66">
            <w:pPr>
              <w:spacing w:line="400" w:lineRule="exact"/>
              <w:jc w:val="center"/>
              <w:rPr>
                <w:rFonts w:ascii="仿宋_GB2312" w:hAnsi="仿宋_GB2312" w:eastAsia="仿宋_GB2312" w:cs="仿宋_GB2312"/>
                <w:color w:val="auto"/>
                <w:sz w:val="24"/>
              </w:rPr>
            </w:pPr>
          </w:p>
        </w:tc>
        <w:tc>
          <w:tcPr>
            <w:tcW w:w="904" w:type="dxa"/>
            <w:vMerge w:val="continue"/>
            <w:tcBorders>
              <w:left w:val="single" w:color="000000" w:sz="4" w:space="0"/>
            </w:tcBorders>
            <w:vAlign w:val="center"/>
          </w:tcPr>
          <w:p w14:paraId="617A9034">
            <w:pPr>
              <w:spacing w:line="400" w:lineRule="exact"/>
              <w:jc w:val="center"/>
              <w:rPr>
                <w:rFonts w:ascii="仿宋_GB2312" w:hAnsi="仿宋_GB2312" w:eastAsia="仿宋_GB2312" w:cs="仿宋_GB2312"/>
                <w:bCs/>
                <w:color w:val="auto"/>
                <w:sz w:val="24"/>
              </w:rPr>
            </w:pPr>
          </w:p>
        </w:tc>
      </w:tr>
      <w:tr w14:paraId="34132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667A5F65">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009C9A88">
            <w:pPr>
              <w:spacing w:line="400" w:lineRule="exact"/>
              <w:jc w:val="center"/>
              <w:rPr>
                <w:rFonts w:ascii="仿宋_GB2312" w:hAnsi="仿宋_GB2312" w:eastAsia="仿宋_GB2312" w:cs="仿宋_GB2312"/>
                <w:b/>
                <w:bCs/>
                <w:color w:val="auto"/>
                <w:sz w:val="24"/>
              </w:rPr>
            </w:pPr>
          </w:p>
        </w:tc>
        <w:tc>
          <w:tcPr>
            <w:tcW w:w="1541" w:type="dxa"/>
            <w:vMerge w:val="continue"/>
            <w:tcBorders>
              <w:left w:val="single" w:color="000000" w:sz="4" w:space="0"/>
              <w:right w:val="single" w:color="000000" w:sz="4" w:space="0"/>
            </w:tcBorders>
            <w:vAlign w:val="center"/>
          </w:tcPr>
          <w:p w14:paraId="52F96948">
            <w:pPr>
              <w:spacing w:line="400" w:lineRule="exact"/>
              <w:jc w:val="center"/>
              <w:rPr>
                <w:rFonts w:ascii="仿宋_GB2312" w:hAnsi="仿宋_GB2312" w:eastAsia="仿宋_GB2312" w:cs="仿宋_GB2312"/>
                <w:bCs/>
                <w:color w:val="auto"/>
                <w:sz w:val="24"/>
              </w:rPr>
            </w:pPr>
          </w:p>
        </w:tc>
        <w:tc>
          <w:tcPr>
            <w:tcW w:w="4611" w:type="dxa"/>
            <w:tcBorders>
              <w:left w:val="single" w:color="000000" w:sz="4" w:space="0"/>
              <w:right w:val="single" w:color="000000" w:sz="4" w:space="0"/>
            </w:tcBorders>
            <w:vAlign w:val="center"/>
          </w:tcPr>
          <w:p w14:paraId="7230B81E">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能够将FAB法则融入到商品介绍中。</w:t>
            </w:r>
          </w:p>
        </w:tc>
        <w:tc>
          <w:tcPr>
            <w:tcW w:w="1059" w:type="dxa"/>
            <w:vMerge w:val="continue"/>
            <w:tcBorders>
              <w:left w:val="single" w:color="000000" w:sz="4" w:space="0"/>
              <w:right w:val="single" w:color="000000" w:sz="4" w:space="0"/>
            </w:tcBorders>
            <w:vAlign w:val="center"/>
          </w:tcPr>
          <w:p w14:paraId="30D217FA">
            <w:pPr>
              <w:spacing w:line="400" w:lineRule="exact"/>
              <w:jc w:val="center"/>
              <w:rPr>
                <w:rFonts w:ascii="仿宋_GB2312" w:hAnsi="仿宋_GB2312" w:eastAsia="仿宋_GB2312" w:cs="仿宋_GB2312"/>
                <w:color w:val="auto"/>
                <w:sz w:val="24"/>
              </w:rPr>
            </w:pPr>
          </w:p>
        </w:tc>
        <w:tc>
          <w:tcPr>
            <w:tcW w:w="904" w:type="dxa"/>
            <w:vMerge w:val="continue"/>
            <w:tcBorders>
              <w:left w:val="single" w:color="000000" w:sz="4" w:space="0"/>
            </w:tcBorders>
            <w:vAlign w:val="center"/>
          </w:tcPr>
          <w:p w14:paraId="365B1E2B">
            <w:pPr>
              <w:spacing w:line="400" w:lineRule="exact"/>
              <w:jc w:val="center"/>
              <w:rPr>
                <w:rFonts w:ascii="仿宋_GB2312" w:hAnsi="仿宋_GB2312" w:eastAsia="仿宋_GB2312" w:cs="仿宋_GB2312"/>
                <w:bCs/>
                <w:color w:val="auto"/>
                <w:sz w:val="24"/>
              </w:rPr>
            </w:pPr>
          </w:p>
        </w:tc>
      </w:tr>
      <w:tr w14:paraId="5D564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24A21512">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58A0C172">
            <w:pPr>
              <w:spacing w:line="400" w:lineRule="exact"/>
              <w:jc w:val="center"/>
              <w:rPr>
                <w:rFonts w:ascii="仿宋_GB2312" w:hAnsi="仿宋_GB2312" w:eastAsia="仿宋_GB2312" w:cs="仿宋_GB2312"/>
                <w:b/>
                <w:bCs/>
                <w:color w:val="auto"/>
                <w:sz w:val="24"/>
              </w:rPr>
            </w:pPr>
          </w:p>
        </w:tc>
        <w:tc>
          <w:tcPr>
            <w:tcW w:w="1541" w:type="dxa"/>
            <w:vMerge w:val="continue"/>
            <w:tcBorders>
              <w:left w:val="single" w:color="000000" w:sz="4" w:space="0"/>
              <w:right w:val="single" w:color="000000" w:sz="4" w:space="0"/>
            </w:tcBorders>
            <w:vAlign w:val="center"/>
          </w:tcPr>
          <w:p w14:paraId="264ED59F">
            <w:pPr>
              <w:spacing w:line="400" w:lineRule="exact"/>
              <w:jc w:val="center"/>
              <w:rPr>
                <w:rFonts w:ascii="仿宋_GB2312" w:hAnsi="仿宋_GB2312" w:eastAsia="仿宋_GB2312" w:cs="仿宋_GB2312"/>
                <w:bCs/>
                <w:color w:val="auto"/>
                <w:sz w:val="24"/>
              </w:rPr>
            </w:pPr>
          </w:p>
        </w:tc>
        <w:tc>
          <w:tcPr>
            <w:tcW w:w="4611" w:type="dxa"/>
            <w:tcBorders>
              <w:left w:val="single" w:color="000000" w:sz="4" w:space="0"/>
              <w:right w:val="single" w:color="000000" w:sz="4" w:space="0"/>
            </w:tcBorders>
            <w:vAlign w:val="center"/>
          </w:tcPr>
          <w:p w14:paraId="2DD11717">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有商品的特写展示。</w:t>
            </w:r>
          </w:p>
        </w:tc>
        <w:tc>
          <w:tcPr>
            <w:tcW w:w="1059" w:type="dxa"/>
            <w:vMerge w:val="continue"/>
            <w:tcBorders>
              <w:left w:val="single" w:color="000000" w:sz="4" w:space="0"/>
              <w:right w:val="single" w:color="000000" w:sz="4" w:space="0"/>
            </w:tcBorders>
            <w:vAlign w:val="center"/>
          </w:tcPr>
          <w:p w14:paraId="4D47ED60">
            <w:pPr>
              <w:spacing w:line="400" w:lineRule="exact"/>
              <w:jc w:val="center"/>
              <w:rPr>
                <w:rFonts w:ascii="仿宋_GB2312" w:hAnsi="仿宋_GB2312" w:eastAsia="仿宋_GB2312" w:cs="仿宋_GB2312"/>
                <w:color w:val="auto"/>
                <w:sz w:val="24"/>
              </w:rPr>
            </w:pPr>
          </w:p>
        </w:tc>
        <w:tc>
          <w:tcPr>
            <w:tcW w:w="904" w:type="dxa"/>
            <w:vMerge w:val="continue"/>
            <w:tcBorders>
              <w:left w:val="single" w:color="000000" w:sz="4" w:space="0"/>
            </w:tcBorders>
            <w:vAlign w:val="center"/>
          </w:tcPr>
          <w:p w14:paraId="1CA6ACC1">
            <w:pPr>
              <w:spacing w:line="400" w:lineRule="exact"/>
              <w:jc w:val="center"/>
              <w:rPr>
                <w:rFonts w:ascii="仿宋_GB2312" w:hAnsi="仿宋_GB2312" w:eastAsia="仿宋_GB2312" w:cs="仿宋_GB2312"/>
                <w:bCs/>
                <w:color w:val="auto"/>
                <w:sz w:val="24"/>
              </w:rPr>
            </w:pPr>
          </w:p>
        </w:tc>
      </w:tr>
      <w:tr w14:paraId="1280F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2529F403">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594C915F">
            <w:pPr>
              <w:spacing w:line="400" w:lineRule="exact"/>
              <w:jc w:val="center"/>
              <w:rPr>
                <w:rFonts w:ascii="仿宋_GB2312" w:hAnsi="仿宋_GB2312" w:eastAsia="仿宋_GB2312" w:cs="仿宋_GB2312"/>
                <w:b/>
                <w:bCs/>
                <w:color w:val="auto"/>
                <w:sz w:val="24"/>
              </w:rPr>
            </w:pPr>
          </w:p>
        </w:tc>
        <w:tc>
          <w:tcPr>
            <w:tcW w:w="1541" w:type="dxa"/>
            <w:tcBorders>
              <w:left w:val="single" w:color="000000" w:sz="4" w:space="0"/>
              <w:right w:val="single" w:color="000000" w:sz="4" w:space="0"/>
            </w:tcBorders>
            <w:vAlign w:val="center"/>
          </w:tcPr>
          <w:p w14:paraId="32518E26">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信息卡设置</w:t>
            </w:r>
          </w:p>
        </w:tc>
        <w:tc>
          <w:tcPr>
            <w:tcW w:w="4611" w:type="dxa"/>
            <w:tcBorders>
              <w:left w:val="single" w:color="000000" w:sz="4" w:space="0"/>
              <w:right w:val="single" w:color="000000" w:sz="4" w:space="0"/>
            </w:tcBorders>
            <w:vAlign w:val="center"/>
          </w:tcPr>
          <w:p w14:paraId="3B297219">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选择合适的信息卡模板。</w:t>
            </w:r>
          </w:p>
        </w:tc>
        <w:tc>
          <w:tcPr>
            <w:tcW w:w="1059" w:type="dxa"/>
            <w:tcBorders>
              <w:left w:val="single" w:color="000000" w:sz="4" w:space="0"/>
              <w:right w:val="single" w:color="000000" w:sz="4" w:space="0"/>
            </w:tcBorders>
            <w:vAlign w:val="center"/>
          </w:tcPr>
          <w:p w14:paraId="652DC063">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2分</w:t>
            </w:r>
          </w:p>
        </w:tc>
        <w:tc>
          <w:tcPr>
            <w:tcW w:w="904" w:type="dxa"/>
            <w:tcBorders>
              <w:left w:val="single" w:color="000000" w:sz="4" w:space="0"/>
              <w:right w:val="single" w:color="000000" w:sz="4" w:space="0"/>
            </w:tcBorders>
            <w:vAlign w:val="center"/>
          </w:tcPr>
          <w:p w14:paraId="11E536C7">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评价分</w:t>
            </w:r>
          </w:p>
        </w:tc>
      </w:tr>
      <w:tr w14:paraId="3F025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65BB38CE">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6EA7DE84">
            <w:pPr>
              <w:spacing w:line="400" w:lineRule="exact"/>
              <w:jc w:val="center"/>
              <w:rPr>
                <w:rFonts w:ascii="仿宋_GB2312" w:hAnsi="仿宋_GB2312" w:eastAsia="仿宋_GB2312" w:cs="仿宋_GB2312"/>
                <w:b/>
                <w:bCs/>
                <w:color w:val="auto"/>
                <w:sz w:val="24"/>
              </w:rPr>
            </w:pPr>
          </w:p>
        </w:tc>
        <w:tc>
          <w:tcPr>
            <w:tcW w:w="1541" w:type="dxa"/>
            <w:tcBorders>
              <w:left w:val="single" w:color="000000" w:sz="4" w:space="0"/>
              <w:right w:val="single" w:color="000000" w:sz="4" w:space="0"/>
            </w:tcBorders>
            <w:vAlign w:val="center"/>
          </w:tcPr>
          <w:p w14:paraId="7ADBEE22">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弹幕问题回答</w:t>
            </w:r>
          </w:p>
        </w:tc>
        <w:tc>
          <w:tcPr>
            <w:tcW w:w="4611" w:type="dxa"/>
            <w:tcBorders>
              <w:left w:val="single" w:color="000000" w:sz="4" w:space="0"/>
              <w:right w:val="single" w:color="000000" w:sz="4" w:space="0"/>
            </w:tcBorders>
            <w:vAlign w:val="center"/>
          </w:tcPr>
          <w:p w14:paraId="4F24D373">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准确完成弹幕问题的回答。</w:t>
            </w:r>
          </w:p>
        </w:tc>
        <w:tc>
          <w:tcPr>
            <w:tcW w:w="1059" w:type="dxa"/>
            <w:tcBorders>
              <w:left w:val="single" w:color="000000" w:sz="4" w:space="0"/>
              <w:right w:val="single" w:color="000000" w:sz="4" w:space="0"/>
            </w:tcBorders>
            <w:vAlign w:val="center"/>
          </w:tcPr>
          <w:p w14:paraId="4E32EE21">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2分</w:t>
            </w:r>
          </w:p>
        </w:tc>
        <w:tc>
          <w:tcPr>
            <w:tcW w:w="904" w:type="dxa"/>
            <w:tcBorders>
              <w:left w:val="single" w:color="000000" w:sz="4" w:space="0"/>
              <w:right w:val="single" w:color="000000" w:sz="4" w:space="0"/>
            </w:tcBorders>
            <w:vAlign w:val="center"/>
          </w:tcPr>
          <w:p w14:paraId="66BAF067">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评价分</w:t>
            </w:r>
          </w:p>
        </w:tc>
      </w:tr>
      <w:tr w14:paraId="62072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3AE80751">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7788BF1B">
            <w:pPr>
              <w:spacing w:line="400" w:lineRule="exact"/>
              <w:jc w:val="center"/>
              <w:rPr>
                <w:rFonts w:ascii="仿宋_GB2312" w:hAnsi="仿宋_GB2312" w:eastAsia="仿宋_GB2312" w:cs="仿宋_GB2312"/>
                <w:b/>
                <w:bCs/>
                <w:color w:val="auto"/>
                <w:sz w:val="24"/>
              </w:rPr>
            </w:pPr>
          </w:p>
        </w:tc>
        <w:tc>
          <w:tcPr>
            <w:tcW w:w="1541" w:type="dxa"/>
            <w:tcBorders>
              <w:left w:val="single" w:color="000000" w:sz="4" w:space="0"/>
              <w:right w:val="single" w:color="000000" w:sz="4" w:space="0"/>
            </w:tcBorders>
            <w:vAlign w:val="center"/>
          </w:tcPr>
          <w:p w14:paraId="53473270">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直播互动</w:t>
            </w:r>
          </w:p>
        </w:tc>
        <w:tc>
          <w:tcPr>
            <w:tcW w:w="4611" w:type="dxa"/>
            <w:tcBorders>
              <w:left w:val="single" w:color="000000" w:sz="4" w:space="0"/>
              <w:right w:val="single" w:color="000000" w:sz="4" w:space="0"/>
            </w:tcBorders>
            <w:vAlign w:val="center"/>
          </w:tcPr>
          <w:p w14:paraId="63D60FD5">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在互动面板设置两种有弹出效果的互动方案，互动讲解节奏安排合理恰当，能够有效活跃直播间氛围。</w:t>
            </w:r>
          </w:p>
        </w:tc>
        <w:tc>
          <w:tcPr>
            <w:tcW w:w="1059" w:type="dxa"/>
            <w:tcBorders>
              <w:left w:val="single" w:color="000000" w:sz="4" w:space="0"/>
              <w:right w:val="single" w:color="000000" w:sz="4" w:space="0"/>
            </w:tcBorders>
            <w:vAlign w:val="center"/>
          </w:tcPr>
          <w:p w14:paraId="7CFB80F1">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3分</w:t>
            </w:r>
          </w:p>
        </w:tc>
        <w:tc>
          <w:tcPr>
            <w:tcW w:w="904" w:type="dxa"/>
            <w:tcBorders>
              <w:left w:val="single" w:color="000000" w:sz="4" w:space="0"/>
              <w:right w:val="single" w:color="000000" w:sz="4" w:space="0"/>
            </w:tcBorders>
            <w:vAlign w:val="center"/>
          </w:tcPr>
          <w:p w14:paraId="33F47248">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评价分</w:t>
            </w:r>
          </w:p>
        </w:tc>
      </w:tr>
      <w:tr w14:paraId="68A04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03931023">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2016C553">
            <w:pPr>
              <w:spacing w:line="400" w:lineRule="exact"/>
              <w:jc w:val="center"/>
              <w:rPr>
                <w:rFonts w:ascii="仿宋_GB2312" w:hAnsi="仿宋_GB2312" w:eastAsia="仿宋_GB2312" w:cs="仿宋_GB2312"/>
                <w:b/>
                <w:bCs/>
                <w:color w:val="auto"/>
                <w:sz w:val="24"/>
              </w:rPr>
            </w:pPr>
          </w:p>
        </w:tc>
        <w:tc>
          <w:tcPr>
            <w:tcW w:w="1541" w:type="dxa"/>
            <w:tcBorders>
              <w:left w:val="single" w:color="000000" w:sz="4" w:space="0"/>
              <w:right w:val="single" w:color="000000" w:sz="4" w:space="0"/>
            </w:tcBorders>
            <w:vAlign w:val="center"/>
          </w:tcPr>
          <w:p w14:paraId="03A1A07B">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直播结尾</w:t>
            </w:r>
          </w:p>
        </w:tc>
        <w:tc>
          <w:tcPr>
            <w:tcW w:w="4611" w:type="dxa"/>
            <w:tcBorders>
              <w:left w:val="single" w:color="000000" w:sz="4" w:space="0"/>
              <w:right w:val="single" w:color="000000" w:sz="4" w:space="0"/>
            </w:tcBorders>
            <w:vAlign w:val="center"/>
          </w:tcPr>
          <w:p w14:paraId="71EF2A3C">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能够进行直播收尾讲解，通过引导关注、感谢语等内容的讲解，将直播间观众转化为粉丝，引发观众留恋。</w:t>
            </w:r>
          </w:p>
        </w:tc>
        <w:tc>
          <w:tcPr>
            <w:tcW w:w="1059" w:type="dxa"/>
            <w:tcBorders>
              <w:left w:val="single" w:color="000000" w:sz="4" w:space="0"/>
              <w:right w:val="single" w:color="000000" w:sz="4" w:space="0"/>
            </w:tcBorders>
            <w:vAlign w:val="center"/>
          </w:tcPr>
          <w:p w14:paraId="3346D105">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3分</w:t>
            </w:r>
          </w:p>
        </w:tc>
        <w:tc>
          <w:tcPr>
            <w:tcW w:w="904" w:type="dxa"/>
            <w:tcBorders>
              <w:left w:val="single" w:color="000000" w:sz="4" w:space="0"/>
              <w:right w:val="single" w:color="000000" w:sz="4" w:space="0"/>
            </w:tcBorders>
            <w:vAlign w:val="center"/>
          </w:tcPr>
          <w:p w14:paraId="1B3FC2D4">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评价分</w:t>
            </w:r>
          </w:p>
        </w:tc>
      </w:tr>
      <w:tr w14:paraId="72EC2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38856468">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7818A9F5">
            <w:pPr>
              <w:spacing w:line="400" w:lineRule="exact"/>
              <w:jc w:val="center"/>
              <w:rPr>
                <w:rFonts w:ascii="仿宋_GB2312" w:hAnsi="仿宋_GB2312" w:eastAsia="仿宋_GB2312" w:cs="仿宋_GB2312"/>
                <w:b/>
                <w:bCs/>
                <w:color w:val="auto"/>
                <w:sz w:val="24"/>
              </w:rPr>
            </w:pPr>
          </w:p>
        </w:tc>
        <w:tc>
          <w:tcPr>
            <w:tcW w:w="1541" w:type="dxa"/>
            <w:tcBorders>
              <w:left w:val="single" w:color="000000" w:sz="4" w:space="0"/>
              <w:right w:val="single" w:color="000000" w:sz="4" w:space="0"/>
            </w:tcBorders>
            <w:vAlign w:val="center"/>
          </w:tcPr>
          <w:p w14:paraId="6952D431">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直播视频</w:t>
            </w:r>
          </w:p>
        </w:tc>
        <w:tc>
          <w:tcPr>
            <w:tcW w:w="4611" w:type="dxa"/>
            <w:tcBorders>
              <w:left w:val="single" w:color="000000" w:sz="4" w:space="0"/>
              <w:right w:val="single" w:color="000000" w:sz="4" w:space="0"/>
            </w:tcBorders>
            <w:vAlign w:val="center"/>
          </w:tcPr>
          <w:p w14:paraId="4D9B0AFC">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直播讲解过程整体非常流畅、衔接自然，没有10秒以上的卡顿、冷场。</w:t>
            </w:r>
          </w:p>
        </w:tc>
        <w:tc>
          <w:tcPr>
            <w:tcW w:w="1059" w:type="dxa"/>
            <w:tcBorders>
              <w:left w:val="single" w:color="000000" w:sz="4" w:space="0"/>
              <w:right w:val="single" w:color="000000" w:sz="4" w:space="0"/>
            </w:tcBorders>
            <w:vAlign w:val="center"/>
          </w:tcPr>
          <w:p w14:paraId="69D9595D">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1分</w:t>
            </w:r>
          </w:p>
        </w:tc>
        <w:tc>
          <w:tcPr>
            <w:tcW w:w="904" w:type="dxa"/>
            <w:tcBorders>
              <w:left w:val="single" w:color="000000" w:sz="4" w:space="0"/>
              <w:right w:val="single" w:color="000000" w:sz="4" w:space="0"/>
            </w:tcBorders>
            <w:vAlign w:val="center"/>
          </w:tcPr>
          <w:p w14:paraId="6B8C420D">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评价分</w:t>
            </w:r>
          </w:p>
        </w:tc>
      </w:tr>
      <w:tr w14:paraId="4E1EC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dxa"/>
            <w:vMerge w:val="continue"/>
            <w:tcBorders>
              <w:left w:val="single" w:color="000000" w:sz="4" w:space="0"/>
              <w:right w:val="single" w:color="000000" w:sz="4" w:space="0"/>
            </w:tcBorders>
            <w:vAlign w:val="center"/>
          </w:tcPr>
          <w:p w14:paraId="1FCE741E">
            <w:pPr>
              <w:spacing w:line="400" w:lineRule="exact"/>
              <w:rPr>
                <w:rFonts w:ascii="仿宋_GB2312" w:hAnsi="仿宋_GB2312" w:eastAsia="仿宋_GB2312" w:cs="仿宋_GB2312"/>
                <w:b/>
                <w:bCs/>
                <w:color w:val="auto"/>
                <w:sz w:val="24"/>
              </w:rPr>
            </w:pPr>
          </w:p>
        </w:tc>
        <w:tc>
          <w:tcPr>
            <w:tcW w:w="1202" w:type="dxa"/>
            <w:vMerge w:val="continue"/>
            <w:tcBorders>
              <w:left w:val="single" w:color="000000" w:sz="4" w:space="0"/>
              <w:right w:val="single" w:color="000000" w:sz="4" w:space="0"/>
            </w:tcBorders>
            <w:vAlign w:val="center"/>
          </w:tcPr>
          <w:p w14:paraId="795DBC6F">
            <w:pPr>
              <w:spacing w:line="400" w:lineRule="exact"/>
              <w:jc w:val="center"/>
              <w:rPr>
                <w:rFonts w:ascii="仿宋_GB2312" w:hAnsi="仿宋_GB2312" w:eastAsia="仿宋_GB2312" w:cs="仿宋_GB2312"/>
                <w:b/>
                <w:bCs/>
                <w:color w:val="auto"/>
                <w:sz w:val="24"/>
              </w:rPr>
            </w:pPr>
          </w:p>
        </w:tc>
        <w:tc>
          <w:tcPr>
            <w:tcW w:w="1541" w:type="dxa"/>
            <w:tcBorders>
              <w:left w:val="single" w:color="000000" w:sz="4" w:space="0"/>
              <w:right w:val="single" w:color="000000" w:sz="4" w:space="0"/>
            </w:tcBorders>
            <w:vAlign w:val="center"/>
          </w:tcPr>
          <w:p w14:paraId="2ECB395B">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直播效果整体评价</w:t>
            </w:r>
          </w:p>
        </w:tc>
        <w:tc>
          <w:tcPr>
            <w:tcW w:w="4611" w:type="dxa"/>
            <w:tcBorders>
              <w:left w:val="single" w:color="000000" w:sz="4" w:space="0"/>
              <w:right w:val="single" w:color="000000" w:sz="4" w:space="0"/>
            </w:tcBorders>
            <w:vAlign w:val="center"/>
          </w:tcPr>
          <w:p w14:paraId="25AD896E">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能对背景资料进行加工，内容有吸引力，直播讲解充满激情。</w:t>
            </w:r>
          </w:p>
        </w:tc>
        <w:tc>
          <w:tcPr>
            <w:tcW w:w="1059" w:type="dxa"/>
            <w:tcBorders>
              <w:left w:val="single" w:color="000000" w:sz="4" w:space="0"/>
              <w:right w:val="single" w:color="000000" w:sz="4" w:space="0"/>
            </w:tcBorders>
            <w:vAlign w:val="center"/>
          </w:tcPr>
          <w:p w14:paraId="6B505508">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6分</w:t>
            </w:r>
          </w:p>
        </w:tc>
        <w:tc>
          <w:tcPr>
            <w:tcW w:w="904" w:type="dxa"/>
            <w:tcBorders>
              <w:left w:val="single" w:color="000000" w:sz="4" w:space="0"/>
              <w:right w:val="single" w:color="000000" w:sz="4" w:space="0"/>
            </w:tcBorders>
            <w:vAlign w:val="center"/>
          </w:tcPr>
          <w:p w14:paraId="57A9AA6D">
            <w:pPr>
              <w:spacing w:line="400" w:lineRule="exact"/>
              <w:jc w:val="cente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评价分</w:t>
            </w:r>
          </w:p>
        </w:tc>
      </w:tr>
      <w:tr w14:paraId="151CB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96" w:type="dxa"/>
            <w:gridSpan w:val="2"/>
            <w:vMerge w:val="restart"/>
            <w:tcBorders>
              <w:left w:val="single" w:color="000000" w:sz="4" w:space="0"/>
              <w:right w:val="single" w:color="000000" w:sz="4" w:space="0"/>
            </w:tcBorders>
            <w:vAlign w:val="center"/>
          </w:tcPr>
          <w:p w14:paraId="5DD9CA13">
            <w:pPr>
              <w:spacing w:line="400" w:lineRule="exact"/>
              <w:rPr>
                <w:rFonts w:ascii="仿宋_GB2312" w:hAnsi="仿宋_GB2312" w:eastAsia="仿宋_GB2312" w:cs="仿宋_GB2312"/>
                <w:b/>
                <w:bCs/>
                <w:color w:val="auto"/>
                <w:sz w:val="24"/>
              </w:rPr>
            </w:pPr>
          </w:p>
        </w:tc>
        <w:tc>
          <w:tcPr>
            <w:tcW w:w="1541" w:type="dxa"/>
            <w:vMerge w:val="restart"/>
            <w:tcBorders>
              <w:left w:val="single" w:color="000000" w:sz="4" w:space="0"/>
              <w:right w:val="single" w:color="000000" w:sz="4" w:space="0"/>
            </w:tcBorders>
            <w:vAlign w:val="center"/>
          </w:tcPr>
          <w:p w14:paraId="448D59E8">
            <w:pPr>
              <w:spacing w:line="400" w:lineRule="exact"/>
              <w:jc w:val="center"/>
              <w:rPr>
                <w:rFonts w:ascii="仿宋_GB2312" w:hAnsi="仿宋_GB2312" w:eastAsia="仿宋_GB2312" w:cs="仿宋_GB2312"/>
                <w:color w:val="auto"/>
                <w:sz w:val="24"/>
              </w:rPr>
            </w:pPr>
          </w:p>
        </w:tc>
        <w:tc>
          <w:tcPr>
            <w:tcW w:w="4611" w:type="dxa"/>
            <w:tcBorders>
              <w:left w:val="single" w:color="000000" w:sz="4" w:space="0"/>
              <w:right w:val="single" w:color="000000" w:sz="4" w:space="0"/>
            </w:tcBorders>
            <w:vAlign w:val="center"/>
          </w:tcPr>
          <w:p w14:paraId="7C74231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粉丝行为分析全面准确</w:t>
            </w:r>
          </w:p>
        </w:tc>
        <w:tc>
          <w:tcPr>
            <w:tcW w:w="1059" w:type="dxa"/>
            <w:vMerge w:val="restart"/>
            <w:tcBorders>
              <w:left w:val="single" w:color="000000" w:sz="4" w:space="0"/>
              <w:right w:val="single" w:color="000000" w:sz="4" w:space="0"/>
            </w:tcBorders>
            <w:vAlign w:val="center"/>
          </w:tcPr>
          <w:p w14:paraId="36EE553C">
            <w:pPr>
              <w:spacing w:line="400" w:lineRule="exact"/>
              <w:jc w:val="center"/>
              <w:rPr>
                <w:rFonts w:ascii="仿宋_GB2312" w:hAnsi="仿宋_GB2312" w:eastAsia="仿宋_GB2312" w:cs="仿宋_GB2312"/>
                <w:color w:val="auto"/>
                <w:sz w:val="24"/>
              </w:rPr>
            </w:pPr>
          </w:p>
        </w:tc>
        <w:tc>
          <w:tcPr>
            <w:tcW w:w="904" w:type="dxa"/>
            <w:vMerge w:val="restart"/>
            <w:tcBorders>
              <w:left w:val="single" w:color="000000" w:sz="4" w:space="0"/>
              <w:right w:val="single" w:color="000000" w:sz="4" w:space="0"/>
            </w:tcBorders>
            <w:vAlign w:val="center"/>
          </w:tcPr>
          <w:p w14:paraId="4955A636">
            <w:pPr>
              <w:spacing w:line="400" w:lineRule="exact"/>
              <w:jc w:val="center"/>
              <w:rPr>
                <w:rFonts w:ascii="仿宋_GB2312" w:hAnsi="仿宋_GB2312" w:eastAsia="仿宋_GB2312" w:cs="仿宋_GB2312"/>
                <w:color w:val="auto"/>
                <w:sz w:val="24"/>
              </w:rPr>
            </w:pPr>
          </w:p>
        </w:tc>
      </w:tr>
      <w:tr w14:paraId="733AE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96" w:type="dxa"/>
            <w:gridSpan w:val="2"/>
            <w:vMerge w:val="continue"/>
            <w:tcBorders>
              <w:left w:val="single" w:color="000000" w:sz="4" w:space="0"/>
              <w:right w:val="single" w:color="000000" w:sz="4" w:space="0"/>
            </w:tcBorders>
            <w:vAlign w:val="center"/>
          </w:tcPr>
          <w:p w14:paraId="64C78316">
            <w:pPr>
              <w:spacing w:line="400" w:lineRule="exact"/>
              <w:rPr>
                <w:rFonts w:ascii="仿宋_GB2312" w:hAnsi="仿宋_GB2312" w:eastAsia="仿宋_GB2312" w:cs="仿宋_GB2312"/>
                <w:b/>
                <w:bCs/>
                <w:color w:val="auto"/>
                <w:sz w:val="24"/>
              </w:rPr>
            </w:pPr>
          </w:p>
        </w:tc>
        <w:tc>
          <w:tcPr>
            <w:tcW w:w="1541" w:type="dxa"/>
            <w:vMerge w:val="continue"/>
            <w:tcBorders>
              <w:left w:val="single" w:color="000000" w:sz="4" w:space="0"/>
              <w:right w:val="single" w:color="000000" w:sz="4" w:space="0"/>
            </w:tcBorders>
            <w:vAlign w:val="center"/>
          </w:tcPr>
          <w:p w14:paraId="32B42F2E">
            <w:pPr>
              <w:spacing w:line="400" w:lineRule="exact"/>
              <w:jc w:val="center"/>
              <w:rPr>
                <w:rFonts w:ascii="仿宋_GB2312" w:hAnsi="仿宋_GB2312" w:eastAsia="仿宋_GB2312" w:cs="仿宋_GB2312"/>
                <w:color w:val="auto"/>
                <w:sz w:val="24"/>
              </w:rPr>
            </w:pPr>
          </w:p>
        </w:tc>
        <w:tc>
          <w:tcPr>
            <w:tcW w:w="4611" w:type="dxa"/>
            <w:tcBorders>
              <w:left w:val="single" w:color="000000" w:sz="4" w:space="0"/>
              <w:right w:val="single" w:color="000000" w:sz="4" w:space="0"/>
            </w:tcBorders>
            <w:vAlign w:val="center"/>
          </w:tcPr>
          <w:p w14:paraId="1B881A6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粉丝兴趣偏好分析全面准确</w:t>
            </w:r>
          </w:p>
        </w:tc>
        <w:tc>
          <w:tcPr>
            <w:tcW w:w="1059" w:type="dxa"/>
            <w:vMerge w:val="continue"/>
            <w:tcBorders>
              <w:left w:val="single" w:color="000000" w:sz="4" w:space="0"/>
              <w:right w:val="single" w:color="000000" w:sz="4" w:space="0"/>
            </w:tcBorders>
            <w:vAlign w:val="center"/>
          </w:tcPr>
          <w:p w14:paraId="05F0F0D7">
            <w:pPr>
              <w:spacing w:line="400" w:lineRule="exact"/>
              <w:jc w:val="center"/>
              <w:rPr>
                <w:rFonts w:ascii="仿宋_GB2312" w:hAnsi="仿宋_GB2312" w:eastAsia="仿宋_GB2312" w:cs="仿宋_GB2312"/>
                <w:color w:val="auto"/>
                <w:sz w:val="24"/>
              </w:rPr>
            </w:pPr>
          </w:p>
        </w:tc>
        <w:tc>
          <w:tcPr>
            <w:tcW w:w="904" w:type="dxa"/>
            <w:vMerge w:val="continue"/>
            <w:tcBorders>
              <w:left w:val="single" w:color="000000" w:sz="4" w:space="0"/>
              <w:right w:val="single" w:color="000000" w:sz="4" w:space="0"/>
            </w:tcBorders>
            <w:vAlign w:val="center"/>
          </w:tcPr>
          <w:p w14:paraId="231D405F">
            <w:pPr>
              <w:spacing w:line="400" w:lineRule="exact"/>
              <w:jc w:val="center"/>
              <w:rPr>
                <w:rFonts w:ascii="仿宋_GB2312" w:hAnsi="仿宋_GB2312" w:eastAsia="仿宋_GB2312" w:cs="仿宋_GB2312"/>
                <w:color w:val="auto"/>
                <w:sz w:val="24"/>
              </w:rPr>
            </w:pPr>
          </w:p>
        </w:tc>
      </w:tr>
    </w:tbl>
    <w:p w14:paraId="73BF5CD7">
      <w:pPr>
        <w:spacing w:line="400" w:lineRule="exact"/>
        <w:rPr>
          <w:rFonts w:ascii="仿宋_GB2312" w:hAnsi="仿宋_GB2312" w:eastAsia="仿宋_GB2312" w:cs="仿宋_GB2312"/>
          <w:b/>
          <w:bCs/>
          <w:color w:val="auto"/>
          <w:sz w:val="24"/>
        </w:rPr>
      </w:pPr>
      <w:bookmarkStart w:id="78" w:name="_Toc6887"/>
      <w:bookmarkStart w:id="79" w:name="_Toc173682085"/>
      <w:r>
        <w:rPr>
          <w:rFonts w:hint="eastAsia" w:ascii="仿宋_GB2312" w:hAnsi="仿宋_GB2312" w:eastAsia="仿宋_GB2312" w:cs="仿宋_GB2312"/>
          <w:b/>
          <w:bCs/>
          <w:color w:val="auto"/>
          <w:sz w:val="24"/>
        </w:rPr>
        <w:t>三、竞赛</w:t>
      </w:r>
      <w:bookmarkStart w:id="80" w:name="_Toc32232"/>
      <w:bookmarkStart w:id="81" w:name="_Toc4651"/>
      <w:r>
        <w:rPr>
          <w:rFonts w:hint="eastAsia" w:ascii="仿宋_GB2312" w:hAnsi="仿宋_GB2312" w:eastAsia="仿宋_GB2312" w:cs="仿宋_GB2312"/>
          <w:b/>
          <w:bCs/>
          <w:color w:val="auto"/>
          <w:sz w:val="24"/>
        </w:rPr>
        <w:t>规则</w:t>
      </w:r>
      <w:bookmarkEnd w:id="78"/>
      <w:bookmarkEnd w:id="79"/>
    </w:p>
    <w:p w14:paraId="7541EE04">
      <w:pPr>
        <w:spacing w:line="400" w:lineRule="exact"/>
        <w:rPr>
          <w:rFonts w:ascii="仿宋_GB2312" w:hAnsi="仿宋_GB2312" w:eastAsia="仿宋_GB2312" w:cs="仿宋_GB2312"/>
          <w:color w:val="auto"/>
          <w:sz w:val="24"/>
        </w:rPr>
      </w:pPr>
      <w:bookmarkStart w:id="82" w:name="_Toc18001"/>
      <w:bookmarkStart w:id="83" w:name="_Toc173682086"/>
      <w:r>
        <w:rPr>
          <w:rFonts w:hint="eastAsia" w:ascii="仿宋_GB2312" w:hAnsi="仿宋_GB2312" w:eastAsia="仿宋_GB2312" w:cs="仿宋_GB2312"/>
          <w:color w:val="auto"/>
          <w:sz w:val="24"/>
        </w:rPr>
        <w:t>（一）竞赛流程与安排</w:t>
      </w:r>
      <w:bookmarkEnd w:id="82"/>
      <w:bookmarkEnd w:id="83"/>
    </w:p>
    <w:p w14:paraId="635C54D6">
      <w:pPr>
        <w:pStyle w:val="15"/>
        <w:keepNext/>
        <w:spacing w:line="400" w:lineRule="exact"/>
        <w:rPr>
          <w:rFonts w:ascii="仿宋_GB2312" w:hAnsi="仿宋_GB2312" w:eastAsia="仿宋_GB2312" w:cs="仿宋_GB2312"/>
          <w:color w:val="auto"/>
          <w:sz w:val="24"/>
          <w:szCs w:val="24"/>
        </w:rPr>
      </w:pPr>
    </w:p>
    <w:tbl>
      <w:tblPr>
        <w:tblStyle w:val="51"/>
        <w:tblW w:w="8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2671"/>
        <w:gridCol w:w="4420"/>
      </w:tblGrid>
      <w:tr w14:paraId="5BEE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478" w:type="dxa"/>
            <w:vAlign w:val="center"/>
          </w:tcPr>
          <w:p w14:paraId="17DD7600">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日期</w:t>
            </w:r>
          </w:p>
        </w:tc>
        <w:tc>
          <w:tcPr>
            <w:tcW w:w="2671" w:type="dxa"/>
            <w:vAlign w:val="center"/>
          </w:tcPr>
          <w:p w14:paraId="0E4C9556">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时间</w:t>
            </w:r>
          </w:p>
        </w:tc>
        <w:tc>
          <w:tcPr>
            <w:tcW w:w="4420" w:type="dxa"/>
            <w:vAlign w:val="center"/>
          </w:tcPr>
          <w:p w14:paraId="1656DFAE">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事项</w:t>
            </w:r>
          </w:p>
        </w:tc>
      </w:tr>
      <w:tr w14:paraId="70EF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478" w:type="dxa"/>
            <w:vMerge w:val="restart"/>
            <w:vAlign w:val="center"/>
          </w:tcPr>
          <w:p w14:paraId="4E476B0F">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报到日</w:t>
            </w:r>
          </w:p>
        </w:tc>
        <w:tc>
          <w:tcPr>
            <w:tcW w:w="2671" w:type="dxa"/>
            <w:vAlign w:val="center"/>
          </w:tcPr>
          <w:p w14:paraId="5A723975">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8:00-14:30</w:t>
            </w:r>
          </w:p>
        </w:tc>
        <w:tc>
          <w:tcPr>
            <w:tcW w:w="4420" w:type="dxa"/>
            <w:vAlign w:val="center"/>
          </w:tcPr>
          <w:p w14:paraId="6373B083">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参赛选手报到</w:t>
            </w:r>
          </w:p>
        </w:tc>
      </w:tr>
      <w:tr w14:paraId="7FB0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478" w:type="dxa"/>
            <w:vMerge w:val="continue"/>
            <w:vAlign w:val="center"/>
          </w:tcPr>
          <w:p w14:paraId="133809A1">
            <w:pPr>
              <w:spacing w:line="400" w:lineRule="exact"/>
              <w:jc w:val="left"/>
              <w:rPr>
                <w:rFonts w:ascii="仿宋_GB2312" w:hAnsi="仿宋_GB2312" w:eastAsia="仿宋_GB2312" w:cs="仿宋_GB2312"/>
                <w:color w:val="auto"/>
                <w:sz w:val="24"/>
              </w:rPr>
            </w:pPr>
          </w:p>
        </w:tc>
        <w:tc>
          <w:tcPr>
            <w:tcW w:w="2671" w:type="dxa"/>
            <w:vAlign w:val="center"/>
          </w:tcPr>
          <w:p w14:paraId="43C9B940">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14:30-15:30</w:t>
            </w:r>
          </w:p>
        </w:tc>
        <w:tc>
          <w:tcPr>
            <w:tcW w:w="4420" w:type="dxa"/>
            <w:vAlign w:val="center"/>
          </w:tcPr>
          <w:p w14:paraId="03F6CAA5">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领队会</w:t>
            </w:r>
          </w:p>
        </w:tc>
      </w:tr>
      <w:tr w14:paraId="3682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478" w:type="dxa"/>
            <w:vMerge w:val="continue"/>
            <w:vAlign w:val="center"/>
          </w:tcPr>
          <w:p w14:paraId="0DE6946D">
            <w:pPr>
              <w:spacing w:line="400" w:lineRule="exact"/>
              <w:jc w:val="left"/>
              <w:rPr>
                <w:rFonts w:ascii="仿宋_GB2312" w:hAnsi="仿宋_GB2312" w:eastAsia="仿宋_GB2312" w:cs="仿宋_GB2312"/>
                <w:color w:val="auto"/>
                <w:sz w:val="24"/>
              </w:rPr>
            </w:pPr>
          </w:p>
        </w:tc>
        <w:tc>
          <w:tcPr>
            <w:tcW w:w="2671" w:type="dxa"/>
            <w:vAlign w:val="center"/>
          </w:tcPr>
          <w:p w14:paraId="4902BD78">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15:40-16:30</w:t>
            </w:r>
          </w:p>
        </w:tc>
        <w:tc>
          <w:tcPr>
            <w:tcW w:w="4420" w:type="dxa"/>
            <w:vAlign w:val="center"/>
          </w:tcPr>
          <w:p w14:paraId="43DB0D50">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熟悉赛场</w:t>
            </w:r>
          </w:p>
        </w:tc>
      </w:tr>
      <w:tr w14:paraId="5C8F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478" w:type="dxa"/>
            <w:vMerge w:val="continue"/>
            <w:vAlign w:val="center"/>
          </w:tcPr>
          <w:p w14:paraId="26EC7C8E">
            <w:pPr>
              <w:spacing w:line="400" w:lineRule="exact"/>
              <w:jc w:val="left"/>
              <w:rPr>
                <w:rFonts w:ascii="仿宋_GB2312" w:hAnsi="仿宋_GB2312" w:eastAsia="仿宋_GB2312" w:cs="仿宋_GB2312"/>
                <w:color w:val="auto"/>
                <w:sz w:val="24"/>
              </w:rPr>
            </w:pPr>
          </w:p>
        </w:tc>
        <w:tc>
          <w:tcPr>
            <w:tcW w:w="2671" w:type="dxa"/>
            <w:vAlign w:val="center"/>
          </w:tcPr>
          <w:p w14:paraId="1F2A0D2A">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17:00</w:t>
            </w:r>
          </w:p>
        </w:tc>
        <w:tc>
          <w:tcPr>
            <w:tcW w:w="4420" w:type="dxa"/>
            <w:vAlign w:val="center"/>
          </w:tcPr>
          <w:p w14:paraId="2C4F2F37">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封闭赛场</w:t>
            </w:r>
          </w:p>
        </w:tc>
      </w:tr>
      <w:tr w14:paraId="6161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478" w:type="dxa"/>
            <w:vMerge w:val="restart"/>
            <w:vAlign w:val="center"/>
          </w:tcPr>
          <w:p w14:paraId="2EAB22E5">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竞赛日</w:t>
            </w:r>
          </w:p>
        </w:tc>
        <w:tc>
          <w:tcPr>
            <w:tcW w:w="2671" w:type="dxa"/>
            <w:vAlign w:val="center"/>
          </w:tcPr>
          <w:p w14:paraId="6809051C">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08:30～12:30</w:t>
            </w:r>
          </w:p>
        </w:tc>
        <w:tc>
          <w:tcPr>
            <w:tcW w:w="4420" w:type="dxa"/>
            <w:vAlign w:val="center"/>
          </w:tcPr>
          <w:p w14:paraId="0446488B">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直播营销模块</w:t>
            </w:r>
          </w:p>
        </w:tc>
      </w:tr>
      <w:tr w14:paraId="3791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478" w:type="dxa"/>
            <w:vMerge w:val="continue"/>
            <w:vAlign w:val="center"/>
          </w:tcPr>
          <w:p w14:paraId="661100B6">
            <w:pPr>
              <w:spacing w:line="400" w:lineRule="exact"/>
              <w:jc w:val="left"/>
              <w:rPr>
                <w:rFonts w:ascii="仿宋_GB2312" w:hAnsi="仿宋_GB2312" w:eastAsia="仿宋_GB2312" w:cs="仿宋_GB2312"/>
                <w:color w:val="auto"/>
                <w:sz w:val="24"/>
              </w:rPr>
            </w:pPr>
          </w:p>
        </w:tc>
        <w:tc>
          <w:tcPr>
            <w:tcW w:w="2671" w:type="dxa"/>
            <w:vAlign w:val="center"/>
          </w:tcPr>
          <w:p w14:paraId="13F12C20">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13:30～15:30</w:t>
            </w:r>
          </w:p>
        </w:tc>
        <w:tc>
          <w:tcPr>
            <w:tcW w:w="4420" w:type="dxa"/>
            <w:vAlign w:val="center"/>
          </w:tcPr>
          <w:p w14:paraId="79F27BBC">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数字营销推广模块</w:t>
            </w:r>
          </w:p>
        </w:tc>
      </w:tr>
    </w:tbl>
    <w:p w14:paraId="645C40FC">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1.赛前技术对接。根据各项目实际需要，</w:t>
      </w:r>
      <w:r>
        <w:rPr>
          <w:rFonts w:hint="eastAsia" w:ascii="仿宋_GB2312" w:hAnsi="仿宋_GB2312" w:eastAsia="仿宋_GB2312" w:cs="仿宋_GB2312"/>
          <w:b/>
          <w:bCs/>
          <w:color w:val="auto"/>
          <w:sz w:val="24"/>
        </w:rPr>
        <w:t>（</w:t>
      </w:r>
      <w:r>
        <w:rPr>
          <w:rFonts w:hint="eastAsia" w:ascii="仿宋_GB2312" w:hAnsi="仿宋_GB2312" w:eastAsia="仿宋_GB2312" w:cs="仿宋_GB2312"/>
          <w:color w:val="auto"/>
          <w:sz w:val="24"/>
        </w:rPr>
        <w:t>各项目裁判长于赛前2天对场地设备设施等准备工作进行最终确认。所有裁判于赛前2天进行集中培训、技术对接和设备设施、材料、必备工具确认。</w:t>
      </w:r>
    </w:p>
    <w:p w14:paraId="72648CAC">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2.报到。报到完毕后，本赛项按照组委会统一安排的时间组织召开赛前领队会，对参赛注意事项、参赛日程进行说明。</w:t>
      </w:r>
    </w:p>
    <w:p w14:paraId="70CB996A">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3.检录要求。由检录工作人员依照检录表进行点名核对，并检查确定无误后向专家组组长（裁判长）递交检录单。</w:t>
      </w:r>
    </w:p>
    <w:p w14:paraId="66BF26A3">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4.抽签。竞赛当日进行两次加密，加密后参赛选手中途不得擅自离开赛场。分别由两组场地工作人员组织实施加密工作，管理加密结果。专家组组长（裁判长）全程监督加密过程。</w:t>
      </w:r>
    </w:p>
    <w:p w14:paraId="5E5B8C2C">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第一组场地工作人员，组织参赛选手进行第一次抽签，产生参赛编号，替换选手参赛证等个人身份信息，填写一次加密记录表后，连同选手参赛证等个人身份信息证件，当即装入一次加密结果密封袋中单独保管。</w:t>
      </w:r>
    </w:p>
    <w:p w14:paraId="6F46D595">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第二组场地工作人员，组织参赛选手进行第二次抽签，确定赛位号，替换选手参赛编号，填写二次加密记录表后，连同选手参赛编号，当即装入二次加密结果密封袋中单独保管。</w:t>
      </w:r>
    </w:p>
    <w:p w14:paraId="5AFF510C">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所有加密结果密封袋的封条均需相应的场地工作人员和专家组组长（裁判长）签字。</w:t>
      </w:r>
    </w:p>
    <w:p w14:paraId="22D6CC84">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5.入场准备。选手检录完毕，按照选手编号到指定比赛工位。</w:t>
      </w:r>
    </w:p>
    <w:p w14:paraId="29515A6C">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6.竞赛开始。裁判长统一告知选手比赛规则、时间和流程后，宣布比赛正式开始并计时。</w:t>
      </w:r>
    </w:p>
    <w:p w14:paraId="1ECD720D">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7.比赛结束。选手站于主宾位向裁判举手示意比赛完毕。示意结束后，选手不可再触动任何竞赛相关设备，不可以随处走动。</w:t>
      </w:r>
    </w:p>
    <w:p w14:paraId="727D8DE6">
      <w:pPr>
        <w:spacing w:line="400" w:lineRule="exact"/>
        <w:rPr>
          <w:rFonts w:ascii="仿宋_GB2312" w:hAnsi="仿宋_GB2312" w:eastAsia="仿宋_GB2312" w:cs="仿宋_GB2312"/>
          <w:color w:val="auto"/>
          <w:sz w:val="24"/>
        </w:rPr>
      </w:pPr>
      <w:bookmarkStart w:id="84" w:name="_Toc17861"/>
      <w:bookmarkStart w:id="85" w:name="_Toc173682087"/>
      <w:r>
        <w:rPr>
          <w:rFonts w:hint="eastAsia" w:ascii="仿宋_GB2312" w:hAnsi="仿宋_GB2312" w:eastAsia="仿宋_GB2312" w:cs="仿宋_GB2312"/>
          <w:color w:val="auto"/>
          <w:sz w:val="24"/>
        </w:rPr>
        <w:t>（二）违规情形和处理</w:t>
      </w:r>
      <w:bookmarkEnd w:id="84"/>
      <w:bookmarkEnd w:id="85"/>
    </w:p>
    <w:bookmarkEnd w:id="80"/>
    <w:bookmarkEnd w:id="81"/>
    <w:p w14:paraId="4480C701">
      <w:pPr>
        <w:spacing w:line="400" w:lineRule="exact"/>
        <w:ind w:firstLine="480" w:firstLineChars="200"/>
        <w:outlineLvl w:val="1"/>
        <w:rPr>
          <w:rFonts w:ascii="仿宋_GB2312" w:hAnsi="仿宋_GB2312" w:eastAsia="仿宋_GB2312" w:cs="仿宋_GB2312"/>
          <w:color w:val="auto"/>
          <w:sz w:val="24"/>
        </w:rPr>
      </w:pPr>
      <w:bookmarkStart w:id="86" w:name="_Toc173682088"/>
      <w:bookmarkStart w:id="87" w:name="_Toc6718"/>
      <w:bookmarkStart w:id="88" w:name="_Toc19788"/>
      <w:r>
        <w:rPr>
          <w:rFonts w:hint="eastAsia" w:ascii="仿宋_GB2312" w:hAnsi="仿宋_GB2312" w:eastAsia="仿宋_GB2312" w:cs="仿宋_GB2312"/>
          <w:color w:val="auto"/>
          <w:sz w:val="24"/>
        </w:rPr>
        <w:t>1.选手不得穿戴、携带有显示个人信息的衣物等；</w:t>
      </w:r>
      <w:bookmarkEnd w:id="86"/>
    </w:p>
    <w:p w14:paraId="67915859">
      <w:pPr>
        <w:spacing w:line="400" w:lineRule="exact"/>
        <w:ind w:firstLine="480" w:firstLineChars="200"/>
        <w:outlineLvl w:val="1"/>
        <w:rPr>
          <w:rFonts w:ascii="仿宋_GB2312" w:hAnsi="仿宋_GB2312" w:eastAsia="仿宋_GB2312" w:cs="仿宋_GB2312"/>
          <w:color w:val="auto"/>
          <w:sz w:val="24"/>
        </w:rPr>
      </w:pPr>
      <w:bookmarkStart w:id="89" w:name="_Toc173682089"/>
      <w:r>
        <w:rPr>
          <w:rFonts w:hint="eastAsia" w:ascii="仿宋_GB2312" w:hAnsi="仿宋_GB2312" w:eastAsia="仿宋_GB2312" w:cs="仿宋_GB2312"/>
          <w:color w:val="auto"/>
          <w:sz w:val="24"/>
        </w:rPr>
        <w:t>2.直播时出现侮辱、暴力、低俗、荒诞等不良行为，直播展示模块判0分；</w:t>
      </w:r>
      <w:bookmarkEnd w:id="89"/>
    </w:p>
    <w:p w14:paraId="68E40505">
      <w:pPr>
        <w:spacing w:line="400" w:lineRule="exact"/>
        <w:ind w:firstLine="480" w:firstLineChars="200"/>
        <w:outlineLvl w:val="1"/>
        <w:rPr>
          <w:rFonts w:ascii="仿宋_GB2312" w:hAnsi="仿宋_GB2312" w:eastAsia="仿宋_GB2312" w:cs="仿宋_GB2312"/>
          <w:color w:val="auto"/>
          <w:sz w:val="24"/>
        </w:rPr>
      </w:pPr>
      <w:bookmarkStart w:id="90" w:name="_Toc173682090"/>
      <w:r>
        <w:rPr>
          <w:rFonts w:hint="eastAsia" w:ascii="仿宋_GB2312" w:hAnsi="仿宋_GB2312" w:eastAsia="仿宋_GB2312" w:cs="仿宋_GB2312"/>
          <w:color w:val="auto"/>
          <w:sz w:val="24"/>
        </w:rPr>
        <w:t>3.在比赛操作过程中，出现任何透露个人信息的行为，该选手所做模块判定为0分。</w:t>
      </w:r>
      <w:bookmarkEnd w:id="90"/>
    </w:p>
    <w:p w14:paraId="19938D6A">
      <w:pPr>
        <w:spacing w:line="400" w:lineRule="exact"/>
        <w:rPr>
          <w:rFonts w:ascii="仿宋_GB2312" w:hAnsi="仿宋_GB2312" w:eastAsia="仿宋_GB2312" w:cs="仿宋_GB2312"/>
          <w:color w:val="auto"/>
          <w:sz w:val="24"/>
        </w:rPr>
      </w:pPr>
      <w:bookmarkStart w:id="91" w:name="_Toc173682091"/>
      <w:bookmarkStart w:id="92" w:name="_Toc12673"/>
      <w:r>
        <w:rPr>
          <w:rFonts w:hint="eastAsia" w:ascii="仿宋_GB2312" w:hAnsi="仿宋_GB2312" w:eastAsia="仿宋_GB2312" w:cs="仿宋_GB2312"/>
          <w:color w:val="auto"/>
          <w:sz w:val="24"/>
        </w:rPr>
        <w:t>（三）问题或争议处理</w:t>
      </w:r>
      <w:bookmarkEnd w:id="87"/>
      <w:bookmarkEnd w:id="88"/>
      <w:bookmarkEnd w:id="91"/>
      <w:bookmarkEnd w:id="92"/>
    </w:p>
    <w:p w14:paraId="32B82462">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竞赛期间，与竞赛有关的问题或争议，各方应通过正当渠道并按程序反映和申诉，不得擅自传播、扩散未经核查证实的言论、信息。对竞赛期间出现的问题或争议按以下程序解决：</w:t>
      </w:r>
    </w:p>
    <w:p w14:paraId="7C925239">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1.竞赛项目内解决。参赛选手、裁判员发现竞赛过程中存在问题或争议，应向裁判长反映。裁判长依据相关规定处理或组织比赛现场裁判员研究解决。处理意见需比赛现场全体裁判员表决的，须获全体裁判员半数以上通过。最终处理意见应及时告知意见反映人。处理期间，执委会技术保障部和组委会技术工作组应给予支持和指导。</w:t>
      </w:r>
    </w:p>
    <w:p w14:paraId="296EF141">
      <w:pPr>
        <w:topLinePunct/>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sz w:val="24"/>
        </w:rPr>
      </w:pPr>
      <w:r>
        <w:rPr>
          <w:rFonts w:hint="eastAsia" w:ascii="仿宋_GB2312" w:hAnsi="仿宋_GB2312" w:eastAsia="仿宋_GB2312" w:cs="仿宋_GB2312"/>
          <w:color w:val="auto"/>
          <w:sz w:val="24"/>
        </w:rPr>
        <w:t>2.监督仲裁委解决。对项目内处理结果有异议的，在参赛选手成绩最终确认锁定前，各参赛队领队可向监督仲裁委出具署名的书面反映材料并举证。监督仲裁委在执委会监督仲裁协助部协助下受理并开展调查工作。其中，经调查确认所反映情况属技术性问题或争议的，仍交由各竞赛项目内解决。属非技术性问题或争议，由监督仲裁委作最终裁决。</w:t>
      </w:r>
    </w:p>
    <w:p w14:paraId="71822A24">
      <w:pPr>
        <w:spacing w:line="400" w:lineRule="exact"/>
        <w:rPr>
          <w:rFonts w:ascii="仿宋_GB2312" w:hAnsi="仿宋_GB2312" w:eastAsia="仿宋_GB2312" w:cs="仿宋_GB2312"/>
          <w:b/>
          <w:bCs/>
          <w:color w:val="auto"/>
          <w:sz w:val="24"/>
        </w:rPr>
      </w:pPr>
      <w:bookmarkStart w:id="93" w:name="_Toc8816"/>
      <w:bookmarkStart w:id="94" w:name="_Toc173682092"/>
      <w:r>
        <w:rPr>
          <w:rFonts w:hint="eastAsia" w:ascii="仿宋_GB2312" w:hAnsi="仿宋_GB2312" w:eastAsia="仿宋_GB2312" w:cs="仿宋_GB2312"/>
          <w:b/>
          <w:bCs/>
          <w:color w:val="auto"/>
          <w:sz w:val="24"/>
        </w:rPr>
        <w:t>四、竞赛样题</w:t>
      </w:r>
      <w:bookmarkEnd w:id="93"/>
      <w:bookmarkEnd w:id="94"/>
    </w:p>
    <w:p w14:paraId="455AD305">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竞赛试题涵盖数字营销推广、直播营销两部分内容。由专家组长（裁判长）组织专家组编制本赛项竞赛试题。详细样题如下：</w:t>
      </w:r>
    </w:p>
    <w:p w14:paraId="3AAF6C71">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1.数字营销推广</w:t>
      </w:r>
    </w:p>
    <w:p w14:paraId="35159090">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（1）背景资料</w:t>
      </w:r>
    </w:p>
    <w:p w14:paraId="25F120DA">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请在给定的推广资金范围内，在相同的竞争环境下，为同一家企业通过媒体平台进行图文预告等图文内容的推广和商品介绍等视频内容的推广。选手需要结合推广资金及投放对象，根据给定的背景资料，分析图文内容和视频内容，确定目标受众群体，通过人群标签圈定目标受众，以付费推广方式获得图文、视频在不同广告位置的强势展现机会，增加展现量和点击量，将信息传递给目标受众，促进商业价值变现。</w:t>
      </w:r>
    </w:p>
    <w:p w14:paraId="27F7CFB4">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1）企业介绍</w:t>
      </w:r>
    </w:p>
    <w:p w14:paraId="74B1372E">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玫莱雅集团是我国时尚消费品牌，主要经营女装、男装、男女鞋履、香水、化妆品等消费品，具体可以分为服装、鞋履和化妆品三条产业线，是一家集研发、设计、生产、销售、品牌于一体的全产业链集团，自主拥有多处综合性设计生产制造工厂，任意一家都能独立完成相应产品的生产及售后保障服务，通过多年的钻研与累积，拥有自主创新产品的实力，致力于打造更优质的用户体验，品牌战略也在不断完善与明确。</w:t>
      </w:r>
    </w:p>
    <w:p w14:paraId="02AAD226">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双十一大促临近，为了进行品牌宣传与产品销售，集团市场部策划了多场直播活动，并策划制作了图文预告、品牌故事图文、产品介绍视频、品牌介绍视频等多种形式和营销目的的内容素材，交予数字营销推广人员进行推广预热。</w:t>
      </w:r>
    </w:p>
    <w:p w14:paraId="72D7BCE7">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2）企业产品介绍</w:t>
      </w:r>
    </w:p>
    <w:p w14:paraId="2E9EEE63">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集团拥有服装、鞋履和化妆品三条产业线，不同产业线下又有不同类型的产品。</w:t>
      </w:r>
    </w:p>
    <w:p w14:paraId="1912D478">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①服装产业线</w:t>
      </w:r>
    </w:p>
    <w:p w14:paraId="7029D43B">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服装业线产品类型丰富，为了进行秋冬季新品服装产品的销售，此次营销活动重点选取了衬衫、毛衣、皮衣、连衣裙四款产品，配合市场活动。</w:t>
      </w:r>
    </w:p>
    <w:p w14:paraId="0C3856BC">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衬衫是一种穿在内外上衣之间、也可单独穿用的上衣，男衬衫通常胸前有口袋，袖口有袖头。基本参数包含产品名称、品牌、尺码、产品颜色、风格、季节、领型、面料、类型、适用对象、袖长、袖型、装饰、图案、服装工艺、厚薄、纽扣、版型等。</w:t>
      </w:r>
    </w:p>
    <w:p w14:paraId="2E118671">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毛衣是以机器或手工编织的毛线上衣。现在人类不仅充分利用各类动、植物等天然纤维编织毛衣，更研发出多种化学纤维、矿物纤维。基本参数包含产品名称、品牌、产品尺码、产品颜色、版型、面料、类型、适用人群、适用季节、舒适度、厚薄、纽扣、领口、袖型、衣长、袖长、装饰、图案等。</w:t>
      </w:r>
    </w:p>
    <w:p w14:paraId="5369A485">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皮衣是采用动物皮经过特定工艺加工成的皮革做成的衣服，主要作用是防寒，皮衣皮质柔软，没有残疵点，色彩均匀，没有明显色差，有光泽，颜色协调。基本参数包括产品名称、品牌、产品尺码、产品颜色、产品光泽度、版型、面料、适用年龄、适用人群、适用季节、图案、里衬、领型、厚薄、拉链、袖型、袖长、衣长等。</w:t>
      </w:r>
    </w:p>
    <w:p w14:paraId="7CC6EE93">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连衣裙是指上衣和裙子连成一体式的连裙装，款式变化莫测、种类繁多，是女性喜欢的服装首选之一。基本参数包含产品名称、品牌、适用年龄、尺码、图案、颜色、腰型、衣门襟、袖型、袖长、裙长、裙型、廓形、材质、季节、组合形式等。</w:t>
      </w:r>
    </w:p>
    <w:p w14:paraId="6B0F3432">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②鞋履产业线</w:t>
      </w:r>
    </w:p>
    <w:p w14:paraId="6862933B">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此次市场活动重点选取了鞋履产业线的运动鞋、高跟鞋、棉拖鞋三款产品。</w:t>
      </w:r>
    </w:p>
    <w:p w14:paraId="78A1E9C2">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运动鞋，是根据人们参加运动或旅游的特点设计制造的鞋子，鞋底一般柔软而富有弹性，能起一定的缓冲作用，运动时能增强弹性，有的还能防止脚踝受伤，所以，在进行体育运动时，大都要穿运动鞋，尤其是高烈度体能运动。基本参数包括产品名称、品牌、使用年龄、适用场景、适合路面、闭合方式、适用性别、鞋底功能、鞋面功能等。</w:t>
      </w:r>
    </w:p>
    <w:p w14:paraId="323C5614">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高跟鞋有修长，体现气质的作用，不同场合有不同类型的高跟鞋，是女性日常鞋履类型之一，基本参数包括产品名称、品牌、闭合方式、图案、颜色、风格、鞋跟款式、鞋跟高度、鞋头款式、适用场合、适用对象等。</w:t>
      </w:r>
    </w:p>
    <w:p w14:paraId="0ECEAC3F">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棉拖鞋是拖鞋的一种，其特点是质地绵软护脚，穿着舒适，其功能和款式也在每年不断更新升级。在今天，棉拖鞋已经由过去的季节性产品变成了四季适宜的足底之物。基本参数包括产品名称、品牌、功能、款式、图案、颜色、风格、适用场合、适用对象等。</w:t>
      </w:r>
    </w:p>
    <w:p w14:paraId="61C598E9">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③化妆品产业线</w:t>
      </w:r>
    </w:p>
    <w:p w14:paraId="02F7E15F">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此次市场活动重点选取了化妆品产业线的眼霜、精华、洗面奶三款产品。</w:t>
      </w:r>
    </w:p>
    <w:p w14:paraId="6F89BA40">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眼霜是指可以缓解由于紫外线照射，长时间电脑辐射，不良生活习惯等导致黑眼圈、眼袋、鱼尾纹和脂肪粒等问题的化妆品。基本参数包含产品名称、品牌、产品类型、适用人群、产地、净含量、功效、主要成分、产品颜色、产品气味、包装设计、适用部位、限制使用日期、批准文号、规格类型、是否为特殊用途化妆品等。</w:t>
      </w:r>
    </w:p>
    <w:p w14:paraId="3A741F23">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精华是含有功效成分多、功效齐全、使用效果明显，可以改善稳定皮肤状况的化妆品。基本参数包含产品名称、品牌、净含量、功效、主要成分、产品质地、产品气味、包装设计、保质期、上市时间、产地、适合肤质、批准文号、规格类型、是否为特殊用途化妆品等。</w:t>
      </w:r>
    </w:p>
    <w:p w14:paraId="7F5A94B8">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洗面奶属于洁肤化妆品，其目的是清除皮肤上的污垢，使皮肤清爽，有助于保持皮肤正常生理状态。基本参数包括产品名称、品牌、净含量、适合肤质、适用部位、适用对象、功效、起泡程度、产品质地、主要成分、包装设计、保质期、上市时间、产地、批准文号、规格类型、是否为特殊用途化妆品等。</w:t>
      </w:r>
    </w:p>
    <w:p w14:paraId="3C3ED3FC">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3）图文介绍</w:t>
      </w:r>
    </w:p>
    <w:p w14:paraId="433E4D84">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数字图文内容是最常见的形式，包括纯文字型、纯图片型、图文型等多种类型，可以出现在企业官网、媒体平台等诸多渠道中。为了达到更好的营销效果，企业规划系列图文提高影响力，以图文为形式，以内容为载体，涉及直播预告、品牌宣传等多种营销目的。</w:t>
      </w:r>
    </w:p>
    <w:p w14:paraId="33109294">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4）视频介绍</w:t>
      </w:r>
    </w:p>
    <w:p w14:paraId="0C6B0926">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视频可以出现在电视、电影、视频平台、直播平台、自媒体等诸多渠道中，是近年来成长最快的内容类型，为了达到更好的营销效果，企业规划系列视频提高影响力，以视频为形式，以内容为载体，涉及产品介绍、品牌宣传等多种营销目的。</w:t>
      </w:r>
    </w:p>
    <w:p w14:paraId="6C1348F0">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（2）具体考核要求</w:t>
      </w:r>
    </w:p>
    <w:p w14:paraId="3AAF4049">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参赛选手根据企业介绍、企业产品和图文内容、视频内容，结合推广资金，制定并实施数字营销推广策略。通过人群标签圈定目标受众，以付费方式获得不同广告位置网页信息的强势展现机会，并带来更多的展现量和点击量，将信息传递给目标受众，促进商业价值变现。包括设置广告组、设置广告计划、设置创意、推广效果数据分析与优化等操作。</w:t>
      </w:r>
    </w:p>
    <w:p w14:paraId="6106B6E8">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1）设置广告组</w:t>
      </w:r>
    </w:p>
    <w:p w14:paraId="275775E0">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设置广告组主要包括选择推广目的、设置账户日预算、设置广告组名称。推广目的包括图文推广和视频推广，需要根据推广对象选择；设置账户预算包括不限和指定预算两种，不限是指不限制广告组的最高预算，消耗最高额度为给定的推广资金，指定预算是指限制广告组的最高预算，消耗最高额度为设置金额，最高不超过给定的推广资金，广告组达到设置的账户预算则停止投放；设置广告组名称是指为广告组命名，方便识记即可，不影响推广效果。</w:t>
      </w:r>
    </w:p>
    <w:p w14:paraId="0969719A">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2）设置广告计划</w:t>
      </w:r>
    </w:p>
    <w:p w14:paraId="3B8EAE0C">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设置广告计划包括选择投放的视频或图文、设置广告受众、设置广告预算和出价、设置广告计划名称。</w:t>
      </w:r>
    </w:p>
    <w:p w14:paraId="0E113A26">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①选择投放的视频或图文</w:t>
      </w:r>
    </w:p>
    <w:p w14:paraId="1CF9FE1E">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选择投放的视频或图文主要是图文、视频投放对象的选择。为了进行营销活动，企业制作了多个不同营销目的的图文、视频内容，选手需要根据营销目的选择图文、视频进行推广，图文、视频内容不同，营销目的不同，对应的目标受众不同。</w:t>
      </w:r>
    </w:p>
    <w:p w14:paraId="264BB900">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②设置广告受众</w:t>
      </w:r>
    </w:p>
    <w:p w14:paraId="6916F579">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设置广告受众是指从地域、性别、年龄、兴趣分类、兴趣关键词、平台、APP行为定向、手机品牌、网络、运营商等不同维度定位目标受众，当使用多种定向时，视频或图文内容会获得在同时满足所有定向条件的目标受众面前展现的机会，具体是否展现还要看目标人群是否相关、预算、出价、投放时段等其他方面的设置。</w:t>
      </w:r>
    </w:p>
    <w:p w14:paraId="64E7DB1D">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不同推广地域下浏览信息的目标受众数量不同，点击图文或视频广告的目标受众数量也会有所不同，通过设置推广地域可以限定视频或图文只在选定的地域展现。</w:t>
      </w:r>
    </w:p>
    <w:p w14:paraId="2BBA4C4D">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多数产品在用途上有不同的性别、年龄特征，不同年龄、性别的目标受众对消费品的需求往往存在很大的差异，在购买行为和购买动机方面也有很大的差异，数量也不相同，通过性别、年龄设置广告目标受众，可以限定视频或图文只向性别和年龄符合设置条件的目标受众展现。</w:t>
      </w:r>
    </w:p>
    <w:p w14:paraId="183F331A">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兴趣定向分为兴趣分类定向和兴趣关键词定向，不同兴趣分类和兴趣关键词对应目标受众的兴趣偏好不同，数量也不相同。要结合产品的特点，通过兴趣分类，找到对与自身产品相关内容感兴趣的受众实现精准投放。可选择符合目标受众特征的多个标签，在使用兴趣分类定向时，多个分类取并集。兴趣关键词定向粒度比兴趣分类更细，通过采用关键词标签技术，精准定位目标受众，有效避免投放资源浪费。如果兴趣分类与兴趣关键词定向同时设置，则定向的目标受众取交集，即覆盖人群必须有某些兴趣点，且对兴趣关键词感兴趣。通过兴趣定向目标受众，可以限定视频或图文只向具有限定兴趣偏好的目标受众展现。</w:t>
      </w:r>
    </w:p>
    <w:p w14:paraId="20BCD4BB">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平台定向是指通过目标受众使用设备的系统类型定向目标受众，分为IOS、Android、PC三种，全面覆盖移动端和PC端流量，通过不同平台定向的目标受众数量不同。</w:t>
      </w:r>
    </w:p>
    <w:p w14:paraId="0D191A0F">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APP行为定向是通过目标受众手机中APP的安装与使用情况，判断目标受众对的兴趣与需求，给予精细的受众定向，APP行为不同反映的目标受众的兴趣偏好不同，对应的目标受众的数量也不相同。</w:t>
      </w:r>
    </w:p>
    <w:p w14:paraId="0054CB9D">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手机品牌定向可以在一定程度上区分目标受众的消费能力，网络类型定向一般适用于对网络要求较高的广告或产品时使用，运营商是区分设备使用网络的移动、联通、电信等运营商，在广告和产品对操作环境和运营商有要求时可进行细分定向，手机品牌不同、网络类型不同、运营商不同，对应的目标受众数量也不相同。</w:t>
      </w:r>
    </w:p>
    <w:p w14:paraId="31722992">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③设置广告预算和出价</w:t>
      </w:r>
    </w:p>
    <w:p w14:paraId="14D1E0B0">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设置广告预算和出价包括设置广告预算、投放时段、投放目标、付费方式和出价。</w:t>
      </w:r>
    </w:p>
    <w:p w14:paraId="5C43EF66">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广告预算设置是指设置当前广告计划的预算，当广告组预算和广告计划预算同时存在时，以两者中最低的为最终预算设置额；投放时段设置是指设置当前广告计划的投放时段，不同时段浏览信息的目标受众数量不同，点击广告信息查看具体介绍的目标受众数量也不同，影响数字营销推广的效果；投放目标分为点击和展示，点击目标下的付费方式CPC，出价时是按照点击出价，展示目标下的付费方式是CPM，出价时是按照展示出价。</w:t>
      </w:r>
    </w:p>
    <w:p w14:paraId="2F793F96">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出价影响广告排名，在不考虑其他因素时，出价越高，广告排名越靠前，能够带来的广告展示和点击的机会也会越大。排名是指同一目标受众下的广告排名，目标受众不相关，广告不参与排名，也就没有机会展现。除出价外，企业以往发布内容的展现量、点击量、点赞量、点击率等基础数据也会影响广告排名，同一家企业不同选手、不同推广对象的基础数据相同。</w:t>
      </w:r>
    </w:p>
    <w:p w14:paraId="09D75F2F">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根据选择的付费方式不同，广告扣费分为按照点击（CPC）和按照展示（CPM）扣费。</w:t>
      </w:r>
    </w:p>
    <w:p w14:paraId="6FA1CE38">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④设置广告计划名称</w:t>
      </w:r>
    </w:p>
    <w:p w14:paraId="09F39B74">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设置广告计划名称是指为当前广告计划命名，方便识记即可，不影响推广效果。</w:t>
      </w:r>
    </w:p>
    <w:p w14:paraId="68A5D30E">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3）设置创意</w:t>
      </w:r>
    </w:p>
    <w:p w14:paraId="556FA0B8">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设置创意包括投放位置设置、制作创意、设置创意分类和标签等，投放位置设置是选择广告展示的位置；制作创意主要是创意标题的设置等；设置创意分类和标签是指为当前创意选择分类及编辑创意标签。</w:t>
      </w:r>
    </w:p>
    <w:p w14:paraId="3430E990">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4）推广效果数据分析与优化</w:t>
      </w:r>
    </w:p>
    <w:p w14:paraId="045E2A7B">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完成所有广告组、广告计划、创意的设置后，可以完成一个周期的推广活动，不同广告组、广告计划、创意的设置带来不同的展示数和点击数，为了获得更好的推广效果，可以对广告效果数据进行分析，并利用预算余额再次进行推广，当预算余额为“0”或不满足最低余额设置限额时，不可再次进行推广，具体推广活动与上相同，包括新建广告组、广告计划、创意等，并完成推广活动，获得一定的展示数和点击数，最终获得的展示数和点击数是两个周期获得展示数之和和点击数之和。</w:t>
      </w:r>
    </w:p>
    <w:p w14:paraId="1221CCB6">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2.直播营销</w:t>
      </w:r>
    </w:p>
    <w:p w14:paraId="5869BC2B">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（1）背景资料</w:t>
      </w:r>
    </w:p>
    <w:p w14:paraId="01064B00">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欢乐多零食专营店是一家网上平台店铺，主营业务是休闲零食的网上销售。店铺计划将在11月份举办一场秋冬季休闲食品主题的专场直播。直播营销人员需要根据市场流量大盘和历史销售数据、商品资料等内容，在给定的资金范围内，策划并执行一场直播，完成市场信息分析、直播规划、脚本策划、创建直播、直播装修、直播推广、直播复盘等过程，并根据背景介绍以及商品资料，在2小时内策划一场10分钟的直播，通过直播APP完成两款商品的直播演示。</w:t>
      </w:r>
    </w:p>
    <w:p w14:paraId="1E08165C">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两款商品的介绍如下：</w:t>
      </w:r>
    </w:p>
    <w:p w14:paraId="4D2CC492">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蛋黄酥：蛋黄酥是由小麦、黄油、蛋黄等做成的传统中式糕点。随着用料的不断升级，蛋黄酥逐渐成为一款网红商品，配料有白砂糖、水、黄豆、豆沙、咸鸭蛋、糯米皮等。</w:t>
      </w:r>
    </w:p>
    <w:p w14:paraId="3B0D5FF0">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巧克力：巧克力是以巧克力豆作为主料的一种混合型食品,其主要原料是可可豆，可以直接食用，也可被用来制作蛋糕、冰激凌等，在浪漫的情人节，它更是表达爱情少不了的主角。</w:t>
      </w:r>
    </w:p>
    <w:p w14:paraId="669907FA">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（2）考核要求</w:t>
      </w:r>
    </w:p>
    <w:p w14:paraId="55B7B2EF">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根据背景资料要求，进行数据分析，选出直播所需商品，并进行采购与定价。</w:t>
      </w:r>
    </w:p>
    <w:p w14:paraId="3F1EA925">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根据背景资料要求，对直播主题、时间等进行规划，并据此策划直播脚本。</w:t>
      </w:r>
    </w:p>
    <w:p w14:paraId="12F6E86E">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根据背景资料要求，创建直播，确定直播的封面、栏目、简介等信息。</w:t>
      </w:r>
    </w:p>
    <w:p w14:paraId="0F64E581">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根据背景资料要求，对直播间进行装修，设置相关直播信息。</w:t>
      </w:r>
    </w:p>
    <w:p w14:paraId="56B6AA7D">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根据背景资料要求，为直播做推广，提高直播间的流量。</w:t>
      </w:r>
    </w:p>
    <w:p w14:paraId="1EED3250">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根据背景资料要求，对直播间观众的行为数据、商品数据等进行分析。</w:t>
      </w:r>
    </w:p>
    <w:p w14:paraId="2ABE9B6E">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直播时长要达到10分钟。</w:t>
      </w:r>
    </w:p>
    <w:p w14:paraId="5B594F85">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讲解的商品正确关联商品链接。</w:t>
      </w:r>
    </w:p>
    <w:p w14:paraId="290D2528">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直播画面始终围绕主播或竞赛商品，画面清晰明亮；直播过程中没有10秒以上的卡顿、冷场。</w:t>
      </w:r>
    </w:p>
    <w:p w14:paraId="3DDBC650">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直播开场包含问好、自我介绍、本次直播计划、促销活动四项内容。</w:t>
      </w:r>
    </w:p>
    <w:p w14:paraId="73B02F84">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有商品属性、特色、卖点的介绍，有商品日常价格、直播促销价的说明，有商品的特写展示。同时，要回答弹幕中出现的相关问题。</w:t>
      </w:r>
    </w:p>
    <w:p w14:paraId="26DA1CB3">
      <w:pPr>
        <w:pStyle w:val="49"/>
        <w:spacing w:line="400" w:lineRule="exact"/>
        <w:ind w:firstLine="24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结尾需要包含引导关注、感谢语等内容。</w:t>
      </w:r>
    </w:p>
    <w:p w14:paraId="467D2480">
      <w:pPr>
        <w:spacing w:line="400" w:lineRule="exact"/>
        <w:rPr>
          <w:rFonts w:ascii="仿宋_GB2312" w:hAnsi="仿宋_GB2312" w:eastAsia="仿宋_GB2312" w:cs="仿宋_GB2312"/>
          <w:b/>
          <w:bCs/>
          <w:color w:val="auto"/>
          <w:sz w:val="24"/>
        </w:rPr>
      </w:pPr>
      <w:bookmarkStart w:id="95" w:name="_Toc173682093"/>
      <w:bookmarkStart w:id="96" w:name="_Toc7149"/>
      <w:r>
        <w:rPr>
          <w:rFonts w:hint="eastAsia" w:ascii="仿宋_GB2312" w:hAnsi="仿宋_GB2312" w:eastAsia="仿宋_GB2312" w:cs="仿宋_GB2312"/>
          <w:b/>
          <w:bCs/>
          <w:color w:val="auto"/>
          <w:sz w:val="24"/>
        </w:rPr>
        <w:t>五、大赛技术平台</w:t>
      </w:r>
      <w:bookmarkEnd w:id="95"/>
      <w:bookmarkEnd w:id="96"/>
    </w:p>
    <w:p w14:paraId="2F853007">
      <w:pPr>
        <w:spacing w:line="400" w:lineRule="exact"/>
        <w:rPr>
          <w:rFonts w:ascii="仿宋_GB2312" w:hAnsi="仿宋_GB2312" w:eastAsia="仿宋_GB2312" w:cs="仿宋_GB2312"/>
          <w:color w:val="auto"/>
          <w:sz w:val="24"/>
        </w:rPr>
      </w:pPr>
      <w:bookmarkStart w:id="97" w:name="_Toc173682094"/>
      <w:bookmarkStart w:id="98" w:name="_Toc20620"/>
      <w:r>
        <w:rPr>
          <w:rFonts w:hint="eastAsia" w:ascii="仿宋_GB2312" w:hAnsi="仿宋_GB2312" w:eastAsia="仿宋_GB2312" w:cs="仿宋_GB2312"/>
          <w:color w:val="auto"/>
          <w:sz w:val="24"/>
        </w:rPr>
        <w:t>（一）赛场规格要求</w:t>
      </w:r>
      <w:bookmarkEnd w:id="97"/>
      <w:bookmarkEnd w:id="98"/>
    </w:p>
    <w:p w14:paraId="49D51B31">
      <w:pPr>
        <w:spacing w:line="400" w:lineRule="exact"/>
        <w:ind w:firstLine="480" w:firstLineChars="200"/>
        <w:outlineLvl w:val="1"/>
        <w:rPr>
          <w:rFonts w:ascii="仿宋_GB2312" w:hAnsi="仿宋_GB2312" w:eastAsia="仿宋_GB2312" w:cs="仿宋_GB2312"/>
          <w:color w:val="auto"/>
          <w:sz w:val="24"/>
        </w:rPr>
      </w:pPr>
      <w:bookmarkStart w:id="99" w:name="_Toc173682095"/>
      <w:r>
        <w:rPr>
          <w:rFonts w:hint="eastAsia" w:ascii="仿宋_GB2312" w:hAnsi="仿宋_GB2312" w:eastAsia="仿宋_GB2312" w:cs="仿宋_GB2312"/>
          <w:color w:val="auto"/>
          <w:sz w:val="24"/>
        </w:rPr>
        <w:t>赛场面积324㎡左右，共设计40个工位，每个工位面积不低于2.0㎡，工位间隔不低于0.8米；设置评分裁判工位。</w:t>
      </w:r>
      <w:bookmarkEnd w:id="99"/>
    </w:p>
    <w:p w14:paraId="661720D8">
      <w:pPr>
        <w:spacing w:line="400" w:lineRule="exact"/>
        <w:ind w:firstLine="480" w:firstLineChars="200"/>
        <w:outlineLvl w:val="1"/>
        <w:rPr>
          <w:rFonts w:ascii="仿宋_GB2312" w:hAnsi="仿宋_GB2312" w:eastAsia="仿宋_GB2312" w:cs="仿宋_GB2312"/>
          <w:color w:val="auto"/>
          <w:sz w:val="24"/>
        </w:rPr>
      </w:pPr>
      <w:bookmarkStart w:id="100" w:name="_Toc173682096"/>
      <w:r>
        <w:rPr>
          <w:rFonts w:hint="eastAsia" w:ascii="仿宋_GB2312" w:hAnsi="仿宋_GB2312" w:eastAsia="仿宋_GB2312" w:cs="仿宋_GB2312"/>
          <w:color w:val="auto"/>
          <w:sz w:val="24"/>
        </w:rPr>
        <w:t>每个工位包含1套桌椅、1台电脑、1套鼠标键盘、1个补光灯、1个耳机以及1套直播商品等必备设备。</w:t>
      </w:r>
      <w:bookmarkEnd w:id="100"/>
    </w:p>
    <w:p w14:paraId="45CE7D7F">
      <w:pPr>
        <w:spacing w:line="400" w:lineRule="exact"/>
        <w:ind w:firstLine="480" w:firstLineChars="200"/>
        <w:outlineLvl w:val="1"/>
        <w:rPr>
          <w:rFonts w:ascii="仿宋_GB2312" w:hAnsi="仿宋_GB2312" w:eastAsia="仿宋_GB2312" w:cs="仿宋_GB2312"/>
          <w:color w:val="auto"/>
          <w:sz w:val="24"/>
        </w:rPr>
      </w:pPr>
      <w:bookmarkStart w:id="101" w:name="_Toc173682097"/>
      <w:r>
        <w:rPr>
          <w:rFonts w:hint="eastAsia" w:ascii="仿宋_GB2312" w:hAnsi="仿宋_GB2312" w:eastAsia="仿宋_GB2312" w:cs="仿宋_GB2312"/>
          <w:color w:val="auto"/>
          <w:sz w:val="24"/>
        </w:rPr>
        <w:t>赛场内设置比赛区、宣讲区、服务器室、评分室、裁判长室、录分室、设备储存等，其中评分室满足裁判同时评分。</w:t>
      </w:r>
      <w:bookmarkEnd w:id="101"/>
    </w:p>
    <w:p w14:paraId="5B0D1159">
      <w:pPr>
        <w:spacing w:line="400" w:lineRule="exact"/>
        <w:rPr>
          <w:rFonts w:ascii="仿宋_GB2312" w:hAnsi="仿宋_GB2312" w:eastAsia="仿宋_GB2312" w:cs="仿宋_GB2312"/>
          <w:color w:val="auto"/>
          <w:sz w:val="24"/>
        </w:rPr>
      </w:pPr>
      <w:bookmarkStart w:id="102" w:name="_Toc32157"/>
      <w:bookmarkStart w:id="103" w:name="_Toc141450662"/>
      <w:bookmarkStart w:id="104" w:name="_Toc173682098"/>
      <w:r>
        <w:rPr>
          <w:rFonts w:hint="eastAsia" w:ascii="仿宋_GB2312" w:hAnsi="仿宋_GB2312" w:eastAsia="仿宋_GB2312" w:cs="仿宋_GB2312"/>
          <w:color w:val="auto"/>
          <w:sz w:val="24"/>
        </w:rPr>
        <w:t>（二）场地布局图</w:t>
      </w:r>
      <w:bookmarkEnd w:id="102"/>
      <w:bookmarkEnd w:id="103"/>
      <w:bookmarkEnd w:id="104"/>
    </w:p>
    <w:p w14:paraId="4601BC81">
      <w:pPr>
        <w:spacing w:line="400" w:lineRule="exact"/>
        <w:rPr>
          <w:rFonts w:ascii="仿宋_GB2312" w:hAnsi="仿宋_GB2312" w:eastAsia="仿宋_GB2312" w:cs="仿宋_GB2312"/>
          <w:color w:val="auto"/>
          <w:sz w:val="24"/>
        </w:rPr>
      </w:pPr>
      <w:bookmarkStart w:id="105" w:name="_Toc173682099"/>
      <w:bookmarkStart w:id="106" w:name="_Toc19215"/>
      <w:r>
        <w:rPr>
          <w:rFonts w:hint="eastAsia" w:ascii="仿宋_GB2312" w:hAnsi="仿宋_GB2312" w:eastAsia="仿宋_GB2312" w:cs="仿宋_GB2312"/>
          <w:color w:val="auto"/>
          <w:sz w:val="24"/>
        </w:rPr>
        <w:drawing>
          <wp:anchor distT="0" distB="0" distL="114300" distR="114300" simplePos="0" relativeHeight="251663360" behindDoc="0" locked="0" layoutInCell="1" allowOverlap="1">
            <wp:simplePos x="0" y="0"/>
            <wp:positionH relativeFrom="column">
              <wp:align>center</wp:align>
            </wp:positionH>
            <wp:positionV relativeFrom="paragraph">
              <wp:posOffset>42545</wp:posOffset>
            </wp:positionV>
            <wp:extent cx="6024880" cy="3536315"/>
            <wp:effectExtent l="0" t="0" r="13970" b="6985"/>
            <wp:wrapTopAndBottom/>
            <wp:docPr id="1796500176" name="图片 1796500176" descr="C:\Users\Administrator\Documents\WeChat Files\wxid_z8e839hb2tqs22\FileStorage\Temp\65783f60ced04f6a30a2a6a23e5ac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00176" name="图片 1796500176" descr="C:\Users\Administrator\Documents\WeChat Files\wxid_z8e839hb2tqs22\FileStorage\Temp\65783f60ced04f6a30a2a6a23e5ac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041218" cy="3546419"/>
                    </a:xfrm>
                    <a:prstGeom prst="rect">
                      <a:avLst/>
                    </a:prstGeom>
                    <a:solidFill>
                      <a:schemeClr val="accent1"/>
                    </a:solidFill>
                    <a:ln>
                      <a:noFill/>
                    </a:ln>
                  </pic:spPr>
                </pic:pic>
              </a:graphicData>
            </a:graphic>
          </wp:anchor>
        </w:drawing>
      </w:r>
      <w:r>
        <w:rPr>
          <w:rFonts w:hint="eastAsia" w:ascii="仿宋_GB2312" w:hAnsi="仿宋_GB2312" w:eastAsia="仿宋_GB2312" w:cs="仿宋_GB2312"/>
          <w:color w:val="auto"/>
          <w:sz w:val="24"/>
        </w:rPr>
        <w:t>（三）设施设备清单</w:t>
      </w:r>
      <w:bookmarkEnd w:id="105"/>
      <w:bookmarkEnd w:id="106"/>
    </w:p>
    <w:p w14:paraId="6E3690AF">
      <w:pPr>
        <w:pStyle w:val="50"/>
        <w:spacing w:line="400" w:lineRule="exact"/>
        <w:ind w:left="0" w:leftChars="0" w:firstLine="48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互联网营销师项目赛场提供设施设备清单表</w:t>
      </w:r>
    </w:p>
    <w:tbl>
      <w:tblPr>
        <w:tblStyle w:val="238"/>
        <w:tblW w:w="955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9"/>
        <w:gridCol w:w="1238"/>
        <w:gridCol w:w="6956"/>
        <w:gridCol w:w="698"/>
      </w:tblGrid>
      <w:tr w14:paraId="5C88B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659" w:type="dxa"/>
          </w:tcPr>
          <w:p w14:paraId="068FFE7B">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序号</w:t>
            </w:r>
          </w:p>
        </w:tc>
        <w:tc>
          <w:tcPr>
            <w:tcW w:w="1238" w:type="dxa"/>
          </w:tcPr>
          <w:p w14:paraId="4D2E03FC">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名称</w:t>
            </w:r>
          </w:p>
        </w:tc>
        <w:tc>
          <w:tcPr>
            <w:tcW w:w="6956" w:type="dxa"/>
          </w:tcPr>
          <w:p w14:paraId="3175CD14">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规格要求</w:t>
            </w:r>
          </w:p>
        </w:tc>
        <w:tc>
          <w:tcPr>
            <w:tcW w:w="698" w:type="dxa"/>
          </w:tcPr>
          <w:p w14:paraId="5D1C3681">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数量</w:t>
            </w:r>
          </w:p>
        </w:tc>
      </w:tr>
      <w:tr w14:paraId="71921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59" w:type="dxa"/>
            <w:vAlign w:val="center"/>
          </w:tcPr>
          <w:p w14:paraId="015CD3EC">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1</w:t>
            </w:r>
          </w:p>
        </w:tc>
        <w:tc>
          <w:tcPr>
            <w:tcW w:w="1238" w:type="dxa"/>
            <w:vAlign w:val="center"/>
          </w:tcPr>
          <w:p w14:paraId="3137CE99">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工作电脑</w:t>
            </w:r>
          </w:p>
        </w:tc>
        <w:tc>
          <w:tcPr>
            <w:tcW w:w="6956" w:type="dxa"/>
          </w:tcPr>
          <w:p w14:paraId="3AE00683">
            <w:pPr>
              <w:widowControl/>
              <w:kinsoku w:val="0"/>
              <w:autoSpaceDE w:val="0"/>
              <w:autoSpaceDN w:val="0"/>
              <w:adjustRightInd w:val="0"/>
              <w:snapToGrid w:val="0"/>
              <w:spacing w:line="400" w:lineRule="exact"/>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1.CPU：8核心，16线程，最高睿频4.9GHz，CPU主频2.5GHz，三级缓存16M。</w:t>
            </w:r>
          </w:p>
          <w:p w14:paraId="56263E72">
            <w:pPr>
              <w:widowControl/>
              <w:kinsoku w:val="0"/>
              <w:autoSpaceDE w:val="0"/>
              <w:autoSpaceDN w:val="0"/>
              <w:adjustRightInd w:val="0"/>
              <w:snapToGrid w:val="0"/>
              <w:spacing w:line="400" w:lineRule="exact"/>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2.内存：不低于16G。</w:t>
            </w:r>
          </w:p>
          <w:p w14:paraId="23F963A0">
            <w:pPr>
              <w:widowControl/>
              <w:kinsoku w:val="0"/>
              <w:autoSpaceDE w:val="0"/>
              <w:autoSpaceDN w:val="0"/>
              <w:adjustRightInd w:val="0"/>
              <w:snapToGrid w:val="0"/>
              <w:spacing w:line="400" w:lineRule="exact"/>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3.显卡：不低于NVIDIA RTX 1060。4.操作系统：Windows 10或者11。5.网卡：集成100/1000M以太网卡。6.硬盘：不低于1TB。</w:t>
            </w:r>
          </w:p>
        </w:tc>
        <w:tc>
          <w:tcPr>
            <w:tcW w:w="698" w:type="dxa"/>
            <w:vAlign w:val="center"/>
          </w:tcPr>
          <w:p w14:paraId="5B56188D">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1台</w:t>
            </w:r>
          </w:p>
        </w:tc>
      </w:tr>
      <w:tr w14:paraId="0F942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659" w:type="dxa"/>
            <w:vAlign w:val="center"/>
          </w:tcPr>
          <w:p w14:paraId="0218EDBB">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1</w:t>
            </w:r>
          </w:p>
        </w:tc>
        <w:tc>
          <w:tcPr>
            <w:tcW w:w="1238" w:type="dxa"/>
            <w:vAlign w:val="center"/>
          </w:tcPr>
          <w:p w14:paraId="4C7E1555">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竞赛服务器</w:t>
            </w:r>
          </w:p>
        </w:tc>
        <w:tc>
          <w:tcPr>
            <w:tcW w:w="6956" w:type="dxa"/>
            <w:vAlign w:val="center"/>
          </w:tcPr>
          <w:p w14:paraId="0E13C1FB">
            <w:pPr>
              <w:widowControl/>
              <w:kinsoku w:val="0"/>
              <w:autoSpaceDE w:val="0"/>
              <w:autoSpaceDN w:val="0"/>
              <w:adjustRightInd w:val="0"/>
              <w:snapToGrid w:val="0"/>
              <w:spacing w:line="400" w:lineRule="exact"/>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英特尔至强 E5 系列 E5-2683 v4 十六核以上 CPU；32GB 以上内存；硬盘：500G 以上、转速：10000 RPM或固态 P4510；预装 Windows Server 2008 R2 操作系统及 IIS 7.5；千兆网卡。</w:t>
            </w:r>
          </w:p>
        </w:tc>
        <w:tc>
          <w:tcPr>
            <w:tcW w:w="698" w:type="dxa"/>
            <w:vAlign w:val="center"/>
          </w:tcPr>
          <w:p w14:paraId="14C6137B">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1台</w:t>
            </w:r>
          </w:p>
        </w:tc>
      </w:tr>
      <w:tr w14:paraId="71409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659" w:type="dxa"/>
            <w:vAlign w:val="center"/>
          </w:tcPr>
          <w:p w14:paraId="2508947A">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2</w:t>
            </w:r>
          </w:p>
        </w:tc>
        <w:tc>
          <w:tcPr>
            <w:tcW w:w="1238" w:type="dxa"/>
            <w:vAlign w:val="center"/>
          </w:tcPr>
          <w:p w14:paraId="5710CDA0">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lang w:eastAsia="en-US"/>
              </w:rPr>
            </w:pPr>
            <w:r>
              <w:rPr>
                <w:rFonts w:hint="eastAsia" w:ascii="仿宋_GB2312" w:hAnsi="仿宋_GB2312" w:eastAsia="仿宋_GB2312" w:cs="仿宋_GB2312"/>
                <w:snapToGrid w:val="0"/>
                <w:color w:val="auto"/>
                <w:sz w:val="24"/>
              </w:rPr>
              <w:t>AP</w:t>
            </w:r>
          </w:p>
        </w:tc>
        <w:tc>
          <w:tcPr>
            <w:tcW w:w="6956" w:type="dxa"/>
            <w:vAlign w:val="center"/>
          </w:tcPr>
          <w:p w14:paraId="626BA5E5">
            <w:pPr>
              <w:pStyle w:val="237"/>
              <w:spacing w:before="1" w:line="400" w:lineRule="exact"/>
              <w:ind w:left="111"/>
              <w:rPr>
                <w:rFonts w:ascii="仿宋_GB2312" w:hAnsi="仿宋_GB2312" w:eastAsia="仿宋_GB2312" w:cs="仿宋_GB2312"/>
                <w:snapToGrid w:val="0"/>
                <w:color w:val="auto"/>
                <w:sz w:val="24"/>
                <w:szCs w:val="24"/>
              </w:rPr>
            </w:pPr>
            <w:r>
              <w:rPr>
                <w:rFonts w:hint="eastAsia" w:ascii="仿宋_GB2312" w:hAnsi="仿宋_GB2312" w:eastAsia="仿宋_GB2312" w:cs="仿宋_GB2312"/>
                <w:snapToGrid w:val="0"/>
                <w:color w:val="auto"/>
                <w:sz w:val="24"/>
                <w:szCs w:val="24"/>
              </w:rPr>
              <w:t>华为 AP4050DN-S</w:t>
            </w:r>
          </w:p>
        </w:tc>
        <w:tc>
          <w:tcPr>
            <w:tcW w:w="698" w:type="dxa"/>
            <w:vAlign w:val="center"/>
          </w:tcPr>
          <w:p w14:paraId="6243CAC0">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1套</w:t>
            </w:r>
          </w:p>
        </w:tc>
      </w:tr>
      <w:tr w14:paraId="1587B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jc w:val="center"/>
        </w:trPr>
        <w:tc>
          <w:tcPr>
            <w:tcW w:w="659" w:type="dxa"/>
            <w:vAlign w:val="center"/>
          </w:tcPr>
          <w:p w14:paraId="3F5BA9AF">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3</w:t>
            </w:r>
          </w:p>
        </w:tc>
        <w:tc>
          <w:tcPr>
            <w:tcW w:w="1238" w:type="dxa"/>
            <w:vAlign w:val="center"/>
          </w:tcPr>
          <w:p w14:paraId="6FBB150C">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lang w:eastAsia="en-US"/>
              </w:rPr>
            </w:pPr>
            <w:r>
              <w:rPr>
                <w:rFonts w:hint="eastAsia" w:ascii="仿宋_GB2312" w:hAnsi="仿宋_GB2312" w:eastAsia="仿宋_GB2312" w:cs="仿宋_GB2312"/>
                <w:snapToGrid w:val="0"/>
                <w:color w:val="auto"/>
                <w:sz w:val="24"/>
              </w:rPr>
              <w:t>竞赛计算机</w:t>
            </w:r>
          </w:p>
        </w:tc>
        <w:tc>
          <w:tcPr>
            <w:tcW w:w="6956" w:type="dxa"/>
            <w:vAlign w:val="center"/>
          </w:tcPr>
          <w:p w14:paraId="3710DD42">
            <w:pPr>
              <w:pStyle w:val="237"/>
              <w:spacing w:before="113" w:line="400" w:lineRule="exact"/>
              <w:ind w:left="155"/>
              <w:rPr>
                <w:rFonts w:ascii="仿宋_GB2312" w:hAnsi="仿宋_GB2312" w:eastAsia="仿宋_GB2312" w:cs="仿宋_GB2312"/>
                <w:snapToGrid w:val="0"/>
                <w:color w:val="auto"/>
                <w:spacing w:val="-4"/>
                <w:sz w:val="24"/>
                <w:szCs w:val="24"/>
              </w:rPr>
            </w:pPr>
            <w:r>
              <w:rPr>
                <w:rFonts w:hint="eastAsia" w:ascii="仿宋_GB2312" w:hAnsi="仿宋_GB2312" w:eastAsia="仿宋_GB2312" w:cs="仿宋_GB2312"/>
                <w:snapToGrid w:val="0"/>
                <w:color w:val="auto"/>
                <w:sz w:val="24"/>
                <w:szCs w:val="24"/>
              </w:rPr>
              <w:t>酷睿 I5 双核 3.0 以上 CPU；8G 以上内存；100G 以上硬盘； 2G 显存以上独立显卡，千兆网卡。预装Windows7及以上操作系统；预装火狐浏览器、谷歌浏览器；预装录屏软件；预装全拼、简拼、微软拼音等中文输入法和英文输入法；</w:t>
            </w:r>
          </w:p>
        </w:tc>
        <w:tc>
          <w:tcPr>
            <w:tcW w:w="698" w:type="dxa"/>
            <w:vAlign w:val="center"/>
          </w:tcPr>
          <w:p w14:paraId="79577787">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若干</w:t>
            </w:r>
          </w:p>
        </w:tc>
      </w:tr>
      <w:tr w14:paraId="52E00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659" w:type="dxa"/>
            <w:vAlign w:val="center"/>
          </w:tcPr>
          <w:p w14:paraId="5257E8D5">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4</w:t>
            </w:r>
          </w:p>
        </w:tc>
        <w:tc>
          <w:tcPr>
            <w:tcW w:w="1238" w:type="dxa"/>
            <w:vAlign w:val="center"/>
          </w:tcPr>
          <w:p w14:paraId="689ADA43">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lang w:eastAsia="en-US"/>
              </w:rPr>
            </w:pPr>
            <w:r>
              <w:rPr>
                <w:rFonts w:hint="eastAsia" w:ascii="仿宋_GB2312" w:hAnsi="仿宋_GB2312" w:eastAsia="仿宋_GB2312" w:cs="仿宋_GB2312"/>
                <w:snapToGrid w:val="0"/>
                <w:color w:val="auto"/>
                <w:sz w:val="24"/>
              </w:rPr>
              <w:t>裁判计算机</w:t>
            </w:r>
          </w:p>
        </w:tc>
        <w:tc>
          <w:tcPr>
            <w:tcW w:w="6956" w:type="dxa"/>
            <w:vAlign w:val="center"/>
          </w:tcPr>
          <w:p w14:paraId="72D01BEA">
            <w:pPr>
              <w:pStyle w:val="237"/>
              <w:spacing w:before="77" w:line="400" w:lineRule="exact"/>
              <w:ind w:left="123"/>
              <w:rPr>
                <w:rFonts w:ascii="仿宋_GB2312" w:hAnsi="仿宋_GB2312" w:eastAsia="仿宋_GB2312" w:cs="仿宋_GB2312"/>
                <w:snapToGrid w:val="0"/>
                <w:color w:val="auto"/>
                <w:sz w:val="24"/>
                <w:szCs w:val="24"/>
              </w:rPr>
            </w:pPr>
            <w:r>
              <w:rPr>
                <w:rFonts w:hint="eastAsia" w:ascii="仿宋_GB2312" w:hAnsi="仿宋_GB2312" w:eastAsia="仿宋_GB2312" w:cs="仿宋_GB2312"/>
                <w:snapToGrid w:val="0"/>
                <w:color w:val="auto"/>
                <w:sz w:val="24"/>
                <w:szCs w:val="24"/>
              </w:rPr>
              <w:t>酷睿 I5 双核 3.0 以上 CPU；8G 以上内存；100G 以上硬盘； 2G 显存以上独立显卡，千兆网卡。预装 Windows7 及以上操作系统；预装火狐浏览器、谷歌浏览器；预装录屏软件；预装全拼、简拼、微软拼音等中文输入法和英文输入法；</w:t>
            </w:r>
          </w:p>
        </w:tc>
        <w:tc>
          <w:tcPr>
            <w:tcW w:w="698" w:type="dxa"/>
            <w:vAlign w:val="center"/>
          </w:tcPr>
          <w:p w14:paraId="0C904450">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若干</w:t>
            </w:r>
          </w:p>
        </w:tc>
      </w:tr>
      <w:tr w14:paraId="11310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659" w:type="dxa"/>
            <w:vAlign w:val="center"/>
          </w:tcPr>
          <w:p w14:paraId="76286BC2">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5</w:t>
            </w:r>
          </w:p>
        </w:tc>
        <w:tc>
          <w:tcPr>
            <w:tcW w:w="1238" w:type="dxa"/>
            <w:vAlign w:val="center"/>
          </w:tcPr>
          <w:p w14:paraId="4ABF4F8C">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主控计算机</w:t>
            </w:r>
          </w:p>
        </w:tc>
        <w:tc>
          <w:tcPr>
            <w:tcW w:w="6956" w:type="dxa"/>
            <w:vAlign w:val="center"/>
          </w:tcPr>
          <w:p w14:paraId="6DD4BF14">
            <w:pPr>
              <w:pStyle w:val="237"/>
              <w:spacing w:before="77" w:line="400" w:lineRule="exact"/>
              <w:ind w:left="123"/>
              <w:rPr>
                <w:rFonts w:ascii="仿宋_GB2312" w:hAnsi="仿宋_GB2312" w:eastAsia="仿宋_GB2312" w:cs="仿宋_GB2312"/>
                <w:snapToGrid w:val="0"/>
                <w:color w:val="auto"/>
                <w:spacing w:val="-2"/>
                <w:sz w:val="24"/>
                <w:szCs w:val="24"/>
              </w:rPr>
            </w:pPr>
            <w:r>
              <w:rPr>
                <w:rFonts w:hint="eastAsia" w:ascii="仿宋_GB2312" w:hAnsi="仿宋_GB2312" w:eastAsia="仿宋_GB2312" w:cs="仿宋_GB2312"/>
                <w:snapToGrid w:val="0"/>
                <w:color w:val="auto"/>
                <w:sz w:val="24"/>
                <w:szCs w:val="24"/>
              </w:rPr>
              <w:t>酷睿 I5 双核 3.0 以上 CPU；8G 以上内存；100G 以上硬盘； 2G 显存以上独立显卡，千兆网卡。预装 Windows7及以上操作系统；预装火狐浏览器、谷歌浏览器；预装录屏软件；预装全拼、简拼、微软拼音等中文输入法和英文输入法；</w:t>
            </w:r>
          </w:p>
        </w:tc>
        <w:tc>
          <w:tcPr>
            <w:tcW w:w="698" w:type="dxa"/>
            <w:vAlign w:val="center"/>
          </w:tcPr>
          <w:p w14:paraId="4B38F8DD">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1台</w:t>
            </w:r>
          </w:p>
        </w:tc>
      </w:tr>
      <w:tr w14:paraId="17669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659" w:type="dxa"/>
            <w:vAlign w:val="center"/>
          </w:tcPr>
          <w:p w14:paraId="4D2F2ACB">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6</w:t>
            </w:r>
          </w:p>
        </w:tc>
        <w:tc>
          <w:tcPr>
            <w:tcW w:w="1238" w:type="dxa"/>
            <w:vAlign w:val="center"/>
          </w:tcPr>
          <w:p w14:paraId="205C2962">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lang w:eastAsia="en-US"/>
              </w:rPr>
            </w:pPr>
            <w:r>
              <w:rPr>
                <w:rFonts w:hint="eastAsia" w:ascii="仿宋_GB2312" w:hAnsi="仿宋_GB2312" w:eastAsia="仿宋_GB2312" w:cs="仿宋_GB2312"/>
                <w:snapToGrid w:val="0"/>
                <w:color w:val="auto"/>
                <w:sz w:val="24"/>
              </w:rPr>
              <w:t>裁判长计算机</w:t>
            </w:r>
          </w:p>
        </w:tc>
        <w:tc>
          <w:tcPr>
            <w:tcW w:w="6956" w:type="dxa"/>
            <w:vAlign w:val="center"/>
          </w:tcPr>
          <w:p w14:paraId="5A077D2C">
            <w:pPr>
              <w:pStyle w:val="237"/>
              <w:spacing w:before="87" w:line="400" w:lineRule="exact"/>
              <w:ind w:left="113"/>
              <w:rPr>
                <w:rFonts w:ascii="仿宋_GB2312" w:hAnsi="仿宋_GB2312" w:eastAsia="仿宋_GB2312" w:cs="仿宋_GB2312"/>
                <w:snapToGrid w:val="0"/>
                <w:color w:val="auto"/>
                <w:spacing w:val="-2"/>
                <w:sz w:val="24"/>
                <w:szCs w:val="24"/>
              </w:rPr>
            </w:pPr>
            <w:r>
              <w:rPr>
                <w:rFonts w:hint="eastAsia" w:ascii="仿宋_GB2312" w:hAnsi="仿宋_GB2312" w:eastAsia="仿宋_GB2312" w:cs="仿宋_GB2312"/>
                <w:snapToGrid w:val="0"/>
                <w:color w:val="auto"/>
                <w:sz w:val="24"/>
                <w:szCs w:val="24"/>
              </w:rPr>
              <w:t>酷睿 I5 双核 3.0 以上 CPU；8G 以上内存；100G 以上硬盘； 2G 显存以上独立显卡，千兆网卡。预装 Windows7 及以上操作系统；预装火狐浏览器、谷歌浏览器；预装录屏软件；预装全拼、简拼、微软拼音等中文输入法和英文输入法；</w:t>
            </w:r>
          </w:p>
        </w:tc>
        <w:tc>
          <w:tcPr>
            <w:tcW w:w="698" w:type="dxa"/>
            <w:vAlign w:val="center"/>
          </w:tcPr>
          <w:p w14:paraId="17FB5200">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1台</w:t>
            </w:r>
          </w:p>
        </w:tc>
      </w:tr>
      <w:tr w14:paraId="3076D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659" w:type="dxa"/>
            <w:vAlign w:val="center"/>
          </w:tcPr>
          <w:p w14:paraId="460FBB36">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7</w:t>
            </w:r>
          </w:p>
        </w:tc>
        <w:tc>
          <w:tcPr>
            <w:tcW w:w="1238" w:type="dxa"/>
            <w:vAlign w:val="center"/>
          </w:tcPr>
          <w:p w14:paraId="26BA8C91">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直播补光灯</w:t>
            </w:r>
          </w:p>
        </w:tc>
        <w:tc>
          <w:tcPr>
            <w:tcW w:w="6956" w:type="dxa"/>
            <w:vAlign w:val="center"/>
          </w:tcPr>
          <w:p w14:paraId="077625E2">
            <w:pPr>
              <w:pStyle w:val="237"/>
              <w:spacing w:before="87" w:line="400" w:lineRule="exact"/>
              <w:ind w:left="113"/>
              <w:rPr>
                <w:rFonts w:ascii="仿宋_GB2312" w:hAnsi="仿宋_GB2312" w:eastAsia="仿宋_GB2312" w:cs="仿宋_GB2312"/>
                <w:snapToGrid w:val="0"/>
                <w:color w:val="auto"/>
                <w:sz w:val="24"/>
                <w:szCs w:val="24"/>
              </w:rPr>
            </w:pPr>
            <w:r>
              <w:rPr>
                <w:rFonts w:hint="eastAsia" w:ascii="仿宋_GB2312" w:hAnsi="仿宋_GB2312" w:eastAsia="仿宋_GB2312" w:cs="仿宋_GB2312"/>
                <w:snapToGrid w:val="0"/>
                <w:color w:val="auto"/>
                <w:sz w:val="24"/>
                <w:szCs w:val="24"/>
              </w:rPr>
              <w:t>可自由拉伸，最长1.7m，USB充电，包含白光、暖光、暖白光三色温，可自由调节亮度；可立在地上或者摆在桌上。</w:t>
            </w:r>
          </w:p>
        </w:tc>
        <w:tc>
          <w:tcPr>
            <w:tcW w:w="698" w:type="dxa"/>
            <w:vAlign w:val="center"/>
          </w:tcPr>
          <w:p w14:paraId="6FECE76E">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若干</w:t>
            </w:r>
          </w:p>
        </w:tc>
      </w:tr>
      <w:tr w14:paraId="0A2F2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659" w:type="dxa"/>
            <w:vAlign w:val="center"/>
          </w:tcPr>
          <w:p w14:paraId="747AD17B">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8</w:t>
            </w:r>
          </w:p>
        </w:tc>
        <w:tc>
          <w:tcPr>
            <w:tcW w:w="1238" w:type="dxa"/>
            <w:vAlign w:val="center"/>
          </w:tcPr>
          <w:p w14:paraId="002D63EB">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直播商品</w:t>
            </w:r>
          </w:p>
        </w:tc>
        <w:tc>
          <w:tcPr>
            <w:tcW w:w="6956" w:type="dxa"/>
            <w:vAlign w:val="center"/>
          </w:tcPr>
          <w:p w14:paraId="6DFFCB94">
            <w:pPr>
              <w:pStyle w:val="237"/>
              <w:spacing w:before="87" w:line="400" w:lineRule="exact"/>
              <w:ind w:left="113"/>
              <w:rPr>
                <w:rFonts w:ascii="仿宋_GB2312" w:hAnsi="仿宋_GB2312" w:eastAsia="仿宋_GB2312" w:cs="仿宋_GB2312"/>
                <w:snapToGrid w:val="0"/>
                <w:color w:val="auto"/>
                <w:sz w:val="24"/>
                <w:szCs w:val="24"/>
              </w:rPr>
            </w:pPr>
            <w:r>
              <w:rPr>
                <w:rFonts w:hint="eastAsia" w:ascii="仿宋_GB2312" w:hAnsi="仿宋_GB2312" w:eastAsia="仿宋_GB2312" w:cs="仿宋_GB2312"/>
                <w:snapToGrid w:val="0"/>
                <w:color w:val="auto"/>
                <w:sz w:val="24"/>
                <w:szCs w:val="24"/>
              </w:rPr>
              <w:t>商品实物；仿真模型，尺寸、颜色与实际产品相同，实心泡沫材质，同品类模型尺寸、颜色保证一致。</w:t>
            </w:r>
          </w:p>
        </w:tc>
        <w:tc>
          <w:tcPr>
            <w:tcW w:w="698" w:type="dxa"/>
            <w:vAlign w:val="center"/>
          </w:tcPr>
          <w:p w14:paraId="013928B4">
            <w:pPr>
              <w:widowControl/>
              <w:kinsoku w:val="0"/>
              <w:autoSpaceDE w:val="0"/>
              <w:autoSpaceDN w:val="0"/>
              <w:adjustRightInd w:val="0"/>
              <w:snapToGrid w:val="0"/>
              <w:spacing w:line="400" w:lineRule="exact"/>
              <w:jc w:val="center"/>
              <w:textAlignment w:val="baseline"/>
              <w:rPr>
                <w:rFonts w:ascii="仿宋_GB2312" w:hAnsi="仿宋_GB2312" w:eastAsia="仿宋_GB2312" w:cs="仿宋_GB2312"/>
                <w:snapToGrid w:val="0"/>
                <w:color w:val="auto"/>
                <w:sz w:val="24"/>
              </w:rPr>
            </w:pPr>
            <w:r>
              <w:rPr>
                <w:rFonts w:hint="eastAsia" w:ascii="仿宋_GB2312" w:hAnsi="仿宋_GB2312" w:eastAsia="仿宋_GB2312" w:cs="仿宋_GB2312"/>
                <w:snapToGrid w:val="0"/>
                <w:color w:val="auto"/>
                <w:sz w:val="24"/>
              </w:rPr>
              <w:t>若干</w:t>
            </w:r>
          </w:p>
        </w:tc>
      </w:tr>
    </w:tbl>
    <w:p w14:paraId="5BEF5A71">
      <w:pPr>
        <w:pStyle w:val="50"/>
        <w:spacing w:line="400" w:lineRule="exact"/>
        <w:ind w:left="0" w:leftChars="0" w:firstLine="480"/>
        <w:jc w:val="center"/>
        <w:rPr>
          <w:rFonts w:ascii="仿宋_GB2312" w:hAnsi="仿宋_GB2312" w:eastAsia="仿宋_GB2312" w:cs="仿宋_GB2312"/>
          <w:color w:val="auto"/>
          <w:sz w:val="24"/>
        </w:rPr>
      </w:pPr>
    </w:p>
    <w:p w14:paraId="742D926E">
      <w:pPr>
        <w:pStyle w:val="50"/>
        <w:spacing w:line="400" w:lineRule="exact"/>
        <w:ind w:left="0" w:leftChars="0" w:firstLine="48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选手自带工具、材料清单表</w:t>
      </w:r>
    </w:p>
    <w:tbl>
      <w:tblPr>
        <w:tblStyle w:val="52"/>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701"/>
        <w:gridCol w:w="6515"/>
      </w:tblGrid>
      <w:tr w14:paraId="4C9E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Align w:val="center"/>
          </w:tcPr>
          <w:p w14:paraId="3E4F5A1B">
            <w:pPr>
              <w:pStyle w:val="50"/>
              <w:spacing w:line="400" w:lineRule="exact"/>
              <w:ind w:left="0" w:leftChars="0" w:firstLine="0"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1701" w:type="dxa"/>
            <w:vAlign w:val="center"/>
          </w:tcPr>
          <w:p w14:paraId="3657B010">
            <w:pPr>
              <w:pStyle w:val="50"/>
              <w:spacing w:line="400" w:lineRule="exact"/>
              <w:ind w:left="0" w:leftChars="0" w:firstLine="480"/>
              <w:rPr>
                <w:rFonts w:ascii="仿宋_GB2312" w:hAnsi="仿宋_GB2312" w:eastAsia="仿宋_GB2312" w:cs="仿宋_GB2312"/>
                <w:color w:val="auto"/>
                <w:sz w:val="24"/>
              </w:rPr>
            </w:pPr>
            <w:r>
              <w:rPr>
                <w:rFonts w:hint="eastAsia" w:ascii="仿宋_GB2312" w:hAnsi="仿宋_GB2312" w:eastAsia="仿宋_GB2312" w:cs="仿宋_GB2312"/>
                <w:color w:val="auto"/>
                <w:sz w:val="24"/>
              </w:rPr>
              <w:t>名称</w:t>
            </w:r>
          </w:p>
        </w:tc>
        <w:tc>
          <w:tcPr>
            <w:tcW w:w="6515" w:type="dxa"/>
            <w:vAlign w:val="center"/>
          </w:tcPr>
          <w:p w14:paraId="4E3C2D7B">
            <w:pPr>
              <w:pStyle w:val="50"/>
              <w:spacing w:line="400" w:lineRule="exact"/>
              <w:ind w:left="0" w:leftChars="0" w:firstLine="48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技术规格</w:t>
            </w:r>
          </w:p>
        </w:tc>
      </w:tr>
      <w:tr w14:paraId="6CFD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62" w:type="dxa"/>
            <w:vAlign w:val="center"/>
          </w:tcPr>
          <w:p w14:paraId="33152017">
            <w:pPr>
              <w:pStyle w:val="50"/>
              <w:spacing w:after="0" w:line="400" w:lineRule="exact"/>
              <w:ind w:left="0" w:leftChars="0" w:firstLine="48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701" w:type="dxa"/>
            <w:vAlign w:val="center"/>
          </w:tcPr>
          <w:p w14:paraId="0EE3A89E">
            <w:pPr>
              <w:pStyle w:val="50"/>
              <w:spacing w:after="0" w:line="400" w:lineRule="exact"/>
              <w:ind w:left="0" w:leftChars="0" w:firstLine="0" w:firstLineChars="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直播耳机</w:t>
            </w:r>
          </w:p>
        </w:tc>
        <w:tc>
          <w:tcPr>
            <w:tcW w:w="6515" w:type="dxa"/>
            <w:vAlign w:val="center"/>
          </w:tcPr>
          <w:p w14:paraId="22B7552A">
            <w:pPr>
              <w:pStyle w:val="50"/>
              <w:tabs>
                <w:tab w:val="left" w:pos="829"/>
              </w:tabs>
              <w:spacing w:after="0" w:line="400" w:lineRule="exact"/>
              <w:ind w:left="0" w:leftChars="0" w:firstLine="0" w:firstLineChars="0"/>
              <w:rPr>
                <w:rFonts w:ascii="仿宋_GB2312" w:hAnsi="仿宋_GB2312" w:eastAsia="仿宋_GB2312" w:cs="仿宋_GB2312"/>
                <w:color w:val="auto"/>
                <w:sz w:val="24"/>
              </w:rPr>
            </w:pPr>
            <w:r>
              <w:rPr>
                <w:rFonts w:hint="eastAsia" w:ascii="仿宋_GB2312" w:hAnsi="仿宋_GB2312" w:eastAsia="仿宋_GB2312" w:cs="仿宋_GB2312"/>
                <w:color w:val="auto"/>
                <w:sz w:val="24"/>
              </w:rPr>
              <w:t>直插型、入耳式有线耳机，线长不低于 1.5m。</w:t>
            </w:r>
          </w:p>
        </w:tc>
      </w:tr>
      <w:tr w14:paraId="4F2A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Align w:val="center"/>
          </w:tcPr>
          <w:p w14:paraId="3A1D6DF6">
            <w:pPr>
              <w:pStyle w:val="50"/>
              <w:spacing w:after="0" w:line="400" w:lineRule="exact"/>
              <w:ind w:left="0" w:leftChars="0" w:firstLine="48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701" w:type="dxa"/>
            <w:vAlign w:val="center"/>
          </w:tcPr>
          <w:p w14:paraId="63E4D621">
            <w:pPr>
              <w:pStyle w:val="50"/>
              <w:spacing w:after="0" w:line="400" w:lineRule="exact"/>
              <w:ind w:left="0" w:leftChars="0" w:firstLine="0" w:firstLineChars="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直播手机</w:t>
            </w:r>
          </w:p>
        </w:tc>
        <w:tc>
          <w:tcPr>
            <w:tcW w:w="6515" w:type="dxa"/>
            <w:vAlign w:val="center"/>
          </w:tcPr>
          <w:p w14:paraId="0AB70773">
            <w:pPr>
              <w:pStyle w:val="50"/>
              <w:spacing w:after="0" w:line="400" w:lineRule="exact"/>
              <w:ind w:left="0" w:leftChars="0" w:firstLine="480"/>
              <w:rPr>
                <w:rFonts w:ascii="仿宋_GB2312" w:hAnsi="仿宋_GB2312" w:eastAsia="仿宋_GB2312" w:cs="仿宋_GB2312"/>
                <w:color w:val="auto"/>
                <w:sz w:val="24"/>
              </w:rPr>
            </w:pPr>
            <w:r>
              <w:rPr>
                <w:rFonts w:hint="eastAsia" w:ascii="仿宋_GB2312" w:hAnsi="仿宋_GB2312" w:eastAsia="仿宋_GB2312" w:cs="仿宋_GB2312"/>
                <w:color w:val="auto"/>
                <w:sz w:val="24"/>
              </w:rPr>
              <w:t>安卓（Android），满足前摄主摄均达500万像素或以上， 3GB+32GB 或以上。</w:t>
            </w:r>
          </w:p>
        </w:tc>
      </w:tr>
    </w:tbl>
    <w:p w14:paraId="148FEA35">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本赛项禁止携带手机(直播手机除外)、U 盘等通讯及具有存储功能的设备进入赛场，赛场配发的各类工具、材料，选手一律不得带出赛场。</w:t>
      </w:r>
    </w:p>
    <w:p w14:paraId="7CBC4124">
      <w:pPr>
        <w:spacing w:line="400" w:lineRule="exact"/>
        <w:rPr>
          <w:rFonts w:ascii="仿宋_GB2312" w:hAnsi="仿宋_GB2312" w:eastAsia="仿宋_GB2312" w:cs="仿宋_GB2312"/>
          <w:b/>
          <w:bCs/>
          <w:color w:val="auto"/>
          <w:sz w:val="24"/>
        </w:rPr>
      </w:pPr>
      <w:bookmarkStart w:id="107" w:name="_Toc1148"/>
      <w:bookmarkStart w:id="108" w:name="_Toc173682100"/>
      <w:r>
        <w:rPr>
          <w:rFonts w:hint="eastAsia" w:ascii="仿宋_GB2312" w:hAnsi="仿宋_GB2312" w:eastAsia="仿宋_GB2312" w:cs="仿宋_GB2312"/>
          <w:b/>
          <w:bCs/>
          <w:color w:val="auto"/>
          <w:sz w:val="24"/>
        </w:rPr>
        <w:t>六、注意事项</w:t>
      </w:r>
      <w:bookmarkEnd w:id="107"/>
      <w:bookmarkEnd w:id="108"/>
    </w:p>
    <w:p w14:paraId="4B2903B7">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1.参赛选手应按指定时间参加比赛；选手凭本人身份证和选手证进入赛场，对号入座或进入相应的实操考核场地，不得擅自更换座位或实操考核场地。</w:t>
      </w:r>
    </w:p>
    <w:p w14:paraId="4BFFAA2C">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2.参赛选手须提前 30 分钟入场，利用现场条件测试网络连通性及竞赛系统账号和口令；裁判长宣布比赛开始后方可答题。</w:t>
      </w:r>
    </w:p>
    <w:p w14:paraId="4A03EAE0">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3.参赛选手在竞赛开始 15 分钟后不得入场，竞赛开始 60 分钟后方能离场。</w:t>
      </w:r>
    </w:p>
    <w:p w14:paraId="364266D5">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4.参赛选手须服从大赛工作人员的管理，接受裁判人员的监督和检查。一经发现参赛选手出现违反竞赛纪律的行为，立即取消参赛资格；情节严重者将通报批评。</w:t>
      </w:r>
    </w:p>
    <w:p w14:paraId="195C83FD">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5.大赛进行期间，参赛选手妥善保管好随身携带的物品以及竞赛资料。遇有特殊情况，请及时与现场裁判人员联系。</w:t>
      </w:r>
    </w:p>
    <w:p w14:paraId="0F3A35FB">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6.竞赛进行期间，参赛选手若遇技术故障，应举手询问现场裁判人员。</w:t>
      </w:r>
    </w:p>
    <w:p w14:paraId="185E8A87">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7.竞赛结束后，参赛选手应立即停止答题或操作。</w:t>
      </w:r>
    </w:p>
    <w:p w14:paraId="6C0E0DD3">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rPr>
        <w:t>8.</w:t>
      </w:r>
      <w:r>
        <w:rPr>
          <w:rFonts w:hint="eastAsia" w:ascii="仿宋_GB2312" w:hAnsi="仿宋_GB2312" w:eastAsia="仿宋_GB2312" w:cs="仿宋_GB2312"/>
          <w:color w:val="auto"/>
          <w:kern w:val="0"/>
          <w:sz w:val="24"/>
          <w:lang w:val="zh-CN"/>
        </w:rPr>
        <w:t xml:space="preserve">参赛选手对不符合竞赛规定的设备、工具、软件，有失公正的评判，以及对工作人员等有违公平的行为可现场提出申诉。 </w:t>
      </w:r>
    </w:p>
    <w:p w14:paraId="2BF08A92">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rPr>
        <w:t>9.</w:t>
      </w:r>
      <w:r>
        <w:rPr>
          <w:rFonts w:hint="eastAsia" w:ascii="仿宋_GB2312" w:hAnsi="仿宋_GB2312" w:eastAsia="仿宋_GB2312" w:cs="仿宋_GB2312"/>
          <w:color w:val="auto"/>
          <w:kern w:val="0"/>
          <w:sz w:val="24"/>
          <w:lang w:val="zh-CN"/>
        </w:rPr>
        <w:t>申诉应在竞赛结束后</w:t>
      </w:r>
      <w:r>
        <w:rPr>
          <w:rFonts w:hint="eastAsia"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lang w:val="zh-CN"/>
        </w:rPr>
        <w:t>小时内提出，超过时效将不予受理。申诉时，应按照规定的程序由参赛队领队向仲裁组递交书面申诉报告。报告应对申诉事件的现象、发生的时间、涉及到的人员、申诉依据与理由等进行充分、实事求是的叙述。事实依据不充分、仅凭主观臆断的申诉不予受理。申诉报告须有申诉的参赛选手、领队签名。</w:t>
      </w:r>
    </w:p>
    <w:p w14:paraId="68D1FA68">
      <w:pPr>
        <w:widowControl/>
        <w:kinsoku w:val="0"/>
        <w:autoSpaceDE w:val="0"/>
        <w:autoSpaceDN w:val="0"/>
        <w:adjustRightInd w:val="0"/>
        <w:snapToGrid w:val="0"/>
        <w:spacing w:line="400" w:lineRule="exact"/>
        <w:ind w:firstLine="480" w:firstLineChars="200"/>
        <w:textAlignment w:val="baseline"/>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rPr>
        <w:t>10.</w:t>
      </w:r>
      <w:r>
        <w:rPr>
          <w:rFonts w:hint="eastAsia" w:ascii="仿宋_GB2312" w:hAnsi="仿宋_GB2312" w:eastAsia="仿宋_GB2312" w:cs="仿宋_GB2312"/>
          <w:color w:val="auto"/>
          <w:kern w:val="0"/>
          <w:sz w:val="24"/>
          <w:lang w:val="zh-CN"/>
        </w:rPr>
        <w:t>大赛仲裁组负责受理大赛中出现的申诉复议并进行仲裁，以保证竞赛顺利进行和竞赛结果公平、公正。仲裁组的裁决为最终裁决，参赛队不得因申诉或对仲裁处理意见不服而停止比赛或滋事，否则按弃权处理。</w:t>
      </w:r>
    </w:p>
    <w:p w14:paraId="188A8D08">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11.所有工作人员请勿携带与竞赛无关的电子设备、通讯设备及其他资料与用品进入赛场。</w:t>
      </w:r>
    </w:p>
    <w:p w14:paraId="71240C6B">
      <w:pPr>
        <w:spacing w:line="40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12.技术工作人员可在技术服务区保障赛场软件正常运行。</w:t>
      </w:r>
    </w:p>
    <w:p w14:paraId="3A8BC7A6">
      <w:pPr>
        <w:pStyle w:val="49"/>
        <w:spacing w:line="400" w:lineRule="exact"/>
        <w:ind w:firstLine="0" w:firstLineChars="0"/>
        <w:jc w:val="left"/>
        <w:rPr>
          <w:rFonts w:ascii="仿宋_GB2312" w:hAnsi="仿宋_GB2312" w:eastAsia="仿宋_GB2312" w:cs="仿宋_GB2312"/>
          <w:color w:val="auto"/>
          <w:spacing w:val="-10"/>
          <w:kern w:val="28"/>
          <w:sz w:val="24"/>
        </w:rPr>
      </w:pPr>
    </w:p>
    <w:p w14:paraId="7A6C6133">
      <w:pPr>
        <w:pStyle w:val="49"/>
        <w:spacing w:line="400" w:lineRule="exact"/>
        <w:ind w:firstLine="0" w:firstLineChars="0"/>
        <w:jc w:val="left"/>
        <w:rPr>
          <w:rFonts w:ascii="仿宋_GB2312" w:hAnsi="仿宋_GB2312" w:eastAsia="仿宋_GB2312" w:cs="仿宋_GB2312"/>
          <w:color w:val="auto"/>
          <w:spacing w:val="-10"/>
          <w:kern w:val="28"/>
          <w:sz w:val="24"/>
        </w:rPr>
      </w:pPr>
    </w:p>
    <w:p w14:paraId="2E770CFE">
      <w:pPr>
        <w:spacing w:line="400" w:lineRule="exact"/>
        <w:rPr>
          <w:rFonts w:ascii="仿宋_GB2312" w:hAnsi="仿宋_GB2312" w:eastAsia="仿宋_GB2312" w:cs="仿宋_GB2312"/>
          <w:b/>
          <w:bCs/>
          <w:color w:val="auto"/>
          <w:sz w:val="24"/>
        </w:rPr>
      </w:pPr>
      <w:bookmarkStart w:id="109" w:name="_Toc21467"/>
      <w:bookmarkStart w:id="110" w:name="_Toc173682101"/>
      <w:r>
        <w:rPr>
          <w:rFonts w:hint="eastAsia" w:ascii="仿宋_GB2312" w:hAnsi="仿宋_GB2312" w:eastAsia="仿宋_GB2312" w:cs="仿宋_GB2312"/>
          <w:b/>
          <w:bCs/>
          <w:color w:val="auto"/>
          <w:sz w:val="24"/>
        </w:rPr>
        <w:t>附件：竞赛大纲</w:t>
      </w:r>
      <w:bookmarkEnd w:id="109"/>
      <w:bookmarkEnd w:id="110"/>
    </w:p>
    <w:p w14:paraId="146C5999">
      <w:pPr>
        <w:widowControl/>
        <w:kinsoku w:val="0"/>
        <w:autoSpaceDE w:val="0"/>
        <w:autoSpaceDN w:val="0"/>
        <w:adjustRightInd w:val="0"/>
        <w:snapToGrid w:val="0"/>
        <w:spacing w:line="400" w:lineRule="exact"/>
        <w:ind w:firstLine="1200" w:firstLineChars="500"/>
        <w:textAlignment w:val="baseline"/>
        <w:outlineLvl w:val="0"/>
        <w:rPr>
          <w:rFonts w:ascii="仿宋_GB2312" w:hAnsi="仿宋_GB2312" w:eastAsia="仿宋_GB2312" w:cs="仿宋_GB2312"/>
          <w:color w:val="auto"/>
          <w:sz w:val="24"/>
        </w:rPr>
      </w:pPr>
      <w:bookmarkStart w:id="111" w:name="_Toc173682102"/>
      <w:r>
        <w:rPr>
          <w:rFonts w:hint="eastAsia" w:ascii="仿宋_GB2312" w:hAnsi="仿宋_GB2312" w:eastAsia="仿宋_GB2312" w:cs="仿宋_GB2312"/>
          <w:color w:val="auto"/>
          <w:sz w:val="24"/>
        </w:rPr>
        <w:t>表1 互联网营销师竞赛模块基本知识与技能要求</w:t>
      </w:r>
      <w:bookmarkEnd w:id="111"/>
    </w:p>
    <w:tbl>
      <w:tblPr>
        <w:tblStyle w:val="52"/>
        <w:tblW w:w="924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86"/>
        <w:gridCol w:w="1116"/>
        <w:gridCol w:w="5173"/>
        <w:gridCol w:w="1219"/>
        <w:gridCol w:w="855"/>
      </w:tblGrid>
      <w:tr w14:paraId="7E8B6D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8" w:hRule="atLeast"/>
          <w:jc w:val="center"/>
        </w:trPr>
        <w:tc>
          <w:tcPr>
            <w:tcW w:w="2002" w:type="dxa"/>
            <w:gridSpan w:val="2"/>
            <w:vAlign w:val="center"/>
          </w:tcPr>
          <w:p w14:paraId="36D54266">
            <w:pPr>
              <w:spacing w:line="400" w:lineRule="exact"/>
              <w:ind w:firstLine="480" w:firstLineChars="200"/>
              <w:jc w:val="center"/>
              <w:outlineLvl w:val="0"/>
              <w:rPr>
                <w:rFonts w:ascii="仿宋_GB2312" w:hAnsi="仿宋_GB2312" w:eastAsia="仿宋_GB2312" w:cs="仿宋_GB2312"/>
                <w:color w:val="auto"/>
                <w:sz w:val="24"/>
              </w:rPr>
            </w:pPr>
            <w:bookmarkStart w:id="112" w:name="_Toc173682104"/>
            <w:r>
              <w:rPr>
                <w:rFonts w:hint="eastAsia" w:ascii="仿宋_GB2312" w:hAnsi="仿宋_GB2312" w:eastAsia="仿宋_GB2312" w:cs="仿宋_GB2312"/>
                <w:color w:val="auto"/>
                <w:sz w:val="24"/>
              </w:rPr>
              <w:t>模块</w:t>
            </w:r>
            <w:bookmarkEnd w:id="112"/>
          </w:p>
        </w:tc>
        <w:tc>
          <w:tcPr>
            <w:tcW w:w="5173" w:type="dxa"/>
            <w:vAlign w:val="center"/>
          </w:tcPr>
          <w:p w14:paraId="729FF24A">
            <w:pPr>
              <w:spacing w:line="400" w:lineRule="exact"/>
              <w:ind w:firstLine="480" w:firstLineChars="200"/>
              <w:jc w:val="center"/>
              <w:outlineLvl w:val="0"/>
              <w:rPr>
                <w:rFonts w:ascii="仿宋_GB2312" w:hAnsi="仿宋_GB2312" w:eastAsia="仿宋_GB2312" w:cs="仿宋_GB2312"/>
                <w:color w:val="auto"/>
                <w:sz w:val="24"/>
              </w:rPr>
            </w:pPr>
            <w:bookmarkStart w:id="113" w:name="_Toc173682105"/>
            <w:r>
              <w:rPr>
                <w:rFonts w:hint="eastAsia" w:ascii="仿宋_GB2312" w:hAnsi="仿宋_GB2312" w:eastAsia="仿宋_GB2312" w:cs="仿宋_GB2312"/>
                <w:color w:val="auto"/>
                <w:sz w:val="24"/>
              </w:rPr>
              <w:t>主要内容</w:t>
            </w:r>
            <w:bookmarkEnd w:id="113"/>
          </w:p>
        </w:tc>
        <w:tc>
          <w:tcPr>
            <w:tcW w:w="1219" w:type="dxa"/>
            <w:vAlign w:val="center"/>
          </w:tcPr>
          <w:p w14:paraId="55608785">
            <w:pPr>
              <w:spacing w:line="400" w:lineRule="exact"/>
              <w:jc w:val="center"/>
              <w:outlineLvl w:val="0"/>
              <w:rPr>
                <w:rFonts w:ascii="仿宋_GB2312" w:hAnsi="仿宋_GB2312" w:eastAsia="仿宋_GB2312" w:cs="仿宋_GB2312"/>
                <w:color w:val="auto"/>
                <w:sz w:val="24"/>
              </w:rPr>
            </w:pPr>
            <w:bookmarkStart w:id="114" w:name="_Toc173682106"/>
            <w:r>
              <w:rPr>
                <w:rFonts w:hint="eastAsia" w:ascii="仿宋_GB2312" w:hAnsi="仿宋_GB2312" w:eastAsia="仿宋_GB2312" w:cs="仿宋_GB2312"/>
                <w:color w:val="auto"/>
                <w:sz w:val="24"/>
              </w:rPr>
              <w:t>比赛时长</w:t>
            </w:r>
            <w:bookmarkEnd w:id="114"/>
          </w:p>
        </w:tc>
        <w:tc>
          <w:tcPr>
            <w:tcW w:w="855" w:type="dxa"/>
            <w:vAlign w:val="center"/>
          </w:tcPr>
          <w:p w14:paraId="19B74891">
            <w:pPr>
              <w:spacing w:line="400" w:lineRule="exact"/>
              <w:jc w:val="center"/>
              <w:outlineLvl w:val="0"/>
              <w:rPr>
                <w:rFonts w:ascii="仿宋_GB2312" w:hAnsi="仿宋_GB2312" w:eastAsia="仿宋_GB2312" w:cs="仿宋_GB2312"/>
                <w:color w:val="auto"/>
                <w:sz w:val="24"/>
              </w:rPr>
            </w:pPr>
            <w:bookmarkStart w:id="115" w:name="_Toc173682107"/>
            <w:r>
              <w:rPr>
                <w:rFonts w:hint="eastAsia" w:ascii="仿宋_GB2312" w:hAnsi="仿宋_GB2312" w:eastAsia="仿宋_GB2312" w:cs="仿宋_GB2312"/>
                <w:color w:val="auto"/>
                <w:sz w:val="24"/>
              </w:rPr>
              <w:t>分值</w:t>
            </w:r>
            <w:bookmarkEnd w:id="115"/>
          </w:p>
        </w:tc>
      </w:tr>
      <w:tr w14:paraId="222E13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jc w:val="center"/>
        </w:trPr>
        <w:tc>
          <w:tcPr>
            <w:tcW w:w="886" w:type="dxa"/>
            <w:vAlign w:val="center"/>
          </w:tcPr>
          <w:p w14:paraId="34DEF402">
            <w:pPr>
              <w:spacing w:line="400" w:lineRule="exact"/>
              <w:outlineLvl w:val="0"/>
              <w:rPr>
                <w:rFonts w:ascii="仿宋_GB2312" w:hAnsi="仿宋_GB2312" w:eastAsia="仿宋_GB2312" w:cs="仿宋_GB2312"/>
                <w:color w:val="auto"/>
                <w:sz w:val="24"/>
              </w:rPr>
            </w:pPr>
            <w:bookmarkStart w:id="116" w:name="_Toc173682108"/>
            <w:r>
              <w:rPr>
                <w:rFonts w:hint="eastAsia" w:ascii="仿宋_GB2312" w:hAnsi="仿宋_GB2312" w:eastAsia="仿宋_GB2312" w:cs="仿宋_GB2312"/>
                <w:color w:val="auto"/>
                <w:sz w:val="24"/>
              </w:rPr>
              <w:t>模块一</w:t>
            </w:r>
            <w:bookmarkEnd w:id="116"/>
          </w:p>
        </w:tc>
        <w:tc>
          <w:tcPr>
            <w:tcW w:w="1116" w:type="dxa"/>
            <w:vAlign w:val="center"/>
          </w:tcPr>
          <w:p w14:paraId="1CF81AC5">
            <w:pPr>
              <w:spacing w:line="400" w:lineRule="exact"/>
              <w:outlineLvl w:val="0"/>
              <w:rPr>
                <w:rFonts w:ascii="仿宋_GB2312" w:hAnsi="仿宋_GB2312" w:eastAsia="仿宋_GB2312" w:cs="仿宋_GB2312"/>
                <w:color w:val="auto"/>
                <w:sz w:val="24"/>
              </w:rPr>
            </w:pPr>
            <w:bookmarkStart w:id="117" w:name="_Toc173682109"/>
            <w:r>
              <w:rPr>
                <w:rFonts w:hint="eastAsia" w:ascii="仿宋_GB2312" w:hAnsi="仿宋_GB2312" w:eastAsia="仿宋_GB2312" w:cs="仿宋_GB2312"/>
                <w:color w:val="auto"/>
                <w:sz w:val="24"/>
              </w:rPr>
              <w:t>数字营销推广</w:t>
            </w:r>
            <w:bookmarkEnd w:id="117"/>
          </w:p>
        </w:tc>
        <w:tc>
          <w:tcPr>
            <w:tcW w:w="5173" w:type="dxa"/>
            <w:vAlign w:val="center"/>
          </w:tcPr>
          <w:p w14:paraId="7658B0F9">
            <w:pPr>
              <w:spacing w:line="400" w:lineRule="exact"/>
              <w:outlineLvl w:val="0"/>
              <w:rPr>
                <w:rFonts w:ascii="仿宋_GB2312" w:hAnsi="仿宋_GB2312" w:eastAsia="仿宋_GB2312" w:cs="仿宋_GB2312"/>
                <w:color w:val="auto"/>
                <w:sz w:val="24"/>
              </w:rPr>
            </w:pPr>
            <w:bookmarkStart w:id="118" w:name="_Toc173682111"/>
            <w:r>
              <w:rPr>
                <w:rFonts w:hint="eastAsia" w:ascii="仿宋_GB2312" w:hAnsi="仿宋_GB2312" w:eastAsia="仿宋_GB2312" w:cs="仿宋_GB2312"/>
                <w:b/>
                <w:bCs/>
                <w:color w:val="auto"/>
                <w:sz w:val="24"/>
              </w:rPr>
              <w:t>图文推广：</w:t>
            </w:r>
            <w:bookmarkEnd w:id="118"/>
          </w:p>
          <w:p w14:paraId="6EB03124">
            <w:pPr>
              <w:spacing w:line="400" w:lineRule="exact"/>
              <w:outlineLvl w:val="0"/>
              <w:rPr>
                <w:rFonts w:ascii="仿宋_GB2312" w:hAnsi="仿宋_GB2312" w:eastAsia="仿宋_GB2312" w:cs="仿宋_GB2312"/>
                <w:color w:val="auto"/>
                <w:sz w:val="24"/>
              </w:rPr>
            </w:pPr>
            <w:bookmarkStart w:id="119" w:name="_Toc173682112"/>
            <w:r>
              <w:rPr>
                <w:rFonts w:hint="eastAsia" w:ascii="仿宋_GB2312" w:hAnsi="仿宋_GB2312" w:eastAsia="仿宋_GB2312" w:cs="仿宋_GB2312"/>
                <w:color w:val="auto"/>
                <w:sz w:val="24"/>
              </w:rPr>
              <w:t>（1）参赛选手通过企业介绍、企业产品分析选择图文推广，并设置图文广告组。</w:t>
            </w:r>
            <w:bookmarkEnd w:id="119"/>
          </w:p>
          <w:p w14:paraId="0449BED7">
            <w:pPr>
              <w:spacing w:line="400" w:lineRule="exact"/>
              <w:outlineLvl w:val="0"/>
              <w:rPr>
                <w:rFonts w:ascii="仿宋_GB2312" w:hAnsi="仿宋_GB2312" w:eastAsia="仿宋_GB2312" w:cs="仿宋_GB2312"/>
                <w:color w:val="auto"/>
                <w:sz w:val="24"/>
              </w:rPr>
            </w:pPr>
            <w:bookmarkStart w:id="120" w:name="_Toc173682113"/>
            <w:r>
              <w:rPr>
                <w:rFonts w:hint="eastAsia" w:ascii="仿宋_GB2312" w:hAnsi="仿宋_GB2312" w:eastAsia="仿宋_GB2312" w:cs="仿宋_GB2312"/>
                <w:color w:val="auto"/>
                <w:sz w:val="24"/>
              </w:rPr>
              <w:t>（2）结合推广资金，制定并实施数字营销推广策略，并设置广告计划进行图文推广。</w:t>
            </w:r>
            <w:bookmarkEnd w:id="120"/>
          </w:p>
          <w:p w14:paraId="0A16F91E">
            <w:pPr>
              <w:spacing w:line="400" w:lineRule="exact"/>
              <w:outlineLvl w:val="0"/>
              <w:rPr>
                <w:rFonts w:ascii="仿宋_GB2312" w:hAnsi="仿宋_GB2312" w:eastAsia="仿宋_GB2312" w:cs="仿宋_GB2312"/>
                <w:color w:val="auto"/>
                <w:sz w:val="24"/>
              </w:rPr>
            </w:pPr>
            <w:bookmarkStart w:id="121" w:name="_Toc173682114"/>
            <w:r>
              <w:rPr>
                <w:rFonts w:hint="eastAsia" w:ascii="仿宋_GB2312" w:hAnsi="仿宋_GB2312" w:eastAsia="仿宋_GB2312" w:cs="仿宋_GB2312"/>
                <w:color w:val="auto"/>
                <w:sz w:val="24"/>
              </w:rPr>
              <w:t>（3）在广告计划选择投放的图文。</w:t>
            </w:r>
            <w:bookmarkEnd w:id="121"/>
          </w:p>
          <w:p w14:paraId="7DD8D698">
            <w:pPr>
              <w:spacing w:line="400" w:lineRule="exact"/>
              <w:outlineLvl w:val="0"/>
              <w:rPr>
                <w:rFonts w:ascii="仿宋_GB2312" w:hAnsi="仿宋_GB2312" w:eastAsia="仿宋_GB2312" w:cs="仿宋_GB2312"/>
                <w:color w:val="auto"/>
                <w:sz w:val="24"/>
              </w:rPr>
            </w:pPr>
            <w:bookmarkStart w:id="122" w:name="_Toc173682115"/>
            <w:r>
              <w:rPr>
                <w:rFonts w:hint="eastAsia" w:ascii="仿宋_GB2312" w:hAnsi="仿宋_GB2312" w:eastAsia="仿宋_GB2312" w:cs="仿宋_GB2312"/>
                <w:color w:val="auto"/>
                <w:sz w:val="24"/>
              </w:rPr>
              <w:t>（4）从地域、性别、年龄、兴趣分类、兴趣关键词、平台、APP行为定向、手机品牌、网络、运营商等不同维度设置图文广告受众。</w:t>
            </w:r>
            <w:bookmarkEnd w:id="122"/>
          </w:p>
          <w:p w14:paraId="2609817A">
            <w:pPr>
              <w:spacing w:line="400" w:lineRule="exact"/>
              <w:outlineLvl w:val="0"/>
              <w:rPr>
                <w:rFonts w:ascii="仿宋_GB2312" w:hAnsi="仿宋_GB2312" w:eastAsia="仿宋_GB2312" w:cs="仿宋_GB2312"/>
                <w:color w:val="auto"/>
                <w:sz w:val="24"/>
              </w:rPr>
            </w:pPr>
            <w:bookmarkStart w:id="123" w:name="_Toc173682116"/>
            <w:r>
              <w:rPr>
                <w:rFonts w:hint="eastAsia" w:ascii="仿宋_GB2312" w:hAnsi="仿宋_GB2312" w:eastAsia="仿宋_GB2312" w:cs="仿宋_GB2312"/>
                <w:color w:val="auto"/>
                <w:sz w:val="24"/>
              </w:rPr>
              <w:t>（5）通过设置广告预算、投放时段、投放目标、付费方式和出价设置图文推广广告预算和出价。</w:t>
            </w:r>
            <w:bookmarkEnd w:id="123"/>
          </w:p>
          <w:p w14:paraId="3DF6C89F">
            <w:pPr>
              <w:spacing w:line="400" w:lineRule="exact"/>
              <w:outlineLvl w:val="0"/>
              <w:rPr>
                <w:rFonts w:ascii="仿宋_GB2312" w:hAnsi="仿宋_GB2312" w:eastAsia="仿宋_GB2312" w:cs="仿宋_GB2312"/>
                <w:color w:val="auto"/>
                <w:sz w:val="24"/>
              </w:rPr>
            </w:pPr>
            <w:bookmarkStart w:id="124" w:name="_Toc173682117"/>
            <w:r>
              <w:rPr>
                <w:rFonts w:hint="eastAsia" w:ascii="仿宋_GB2312" w:hAnsi="仿宋_GB2312" w:eastAsia="仿宋_GB2312" w:cs="仿宋_GB2312"/>
                <w:color w:val="auto"/>
                <w:sz w:val="24"/>
              </w:rPr>
              <w:t>（6）选择CPC和CPM付费方式定位图文推广投放目标。</w:t>
            </w:r>
            <w:bookmarkEnd w:id="124"/>
          </w:p>
          <w:p w14:paraId="7DE35A48">
            <w:pPr>
              <w:spacing w:line="400" w:lineRule="exact"/>
              <w:outlineLvl w:val="0"/>
              <w:rPr>
                <w:rFonts w:ascii="仿宋_GB2312" w:hAnsi="仿宋_GB2312" w:eastAsia="仿宋_GB2312" w:cs="仿宋_GB2312"/>
                <w:color w:val="auto"/>
                <w:sz w:val="24"/>
              </w:rPr>
            </w:pPr>
            <w:bookmarkStart w:id="125" w:name="_Toc173682118"/>
            <w:r>
              <w:rPr>
                <w:rFonts w:hint="eastAsia" w:ascii="仿宋_GB2312" w:hAnsi="仿宋_GB2312" w:eastAsia="仿宋_GB2312" w:cs="仿宋_GB2312"/>
                <w:color w:val="auto"/>
                <w:sz w:val="24"/>
              </w:rPr>
              <w:t>（7）通过广告投放位置设置、制作创意标题、设置创意分类和标签等设置图文推广创意。</w:t>
            </w:r>
            <w:bookmarkEnd w:id="125"/>
          </w:p>
          <w:p w14:paraId="72DAF243">
            <w:pPr>
              <w:spacing w:line="400" w:lineRule="exact"/>
              <w:outlineLvl w:val="0"/>
              <w:rPr>
                <w:rFonts w:ascii="仿宋_GB2312" w:hAnsi="仿宋_GB2312" w:eastAsia="仿宋_GB2312" w:cs="仿宋_GB2312"/>
                <w:color w:val="auto"/>
                <w:sz w:val="24"/>
              </w:rPr>
            </w:pPr>
            <w:bookmarkStart w:id="126" w:name="_Toc173682119"/>
            <w:r>
              <w:rPr>
                <w:rFonts w:hint="eastAsia" w:ascii="仿宋_GB2312" w:hAnsi="仿宋_GB2312" w:eastAsia="仿宋_GB2312" w:cs="仿宋_GB2312"/>
                <w:color w:val="auto"/>
                <w:sz w:val="24"/>
              </w:rPr>
              <w:t>（8）完成所有图文推广的广告组、广告计划、创意的设置后，可以完成一个周期的推广活动，不同广告组、广告计划、创意的设置带来不同的展示数和点击数，为了获得更好的推广效果，需根据营销报表对广告效果数据进行分析，并利用预算余额再次进行推广。</w:t>
            </w:r>
            <w:bookmarkEnd w:id="126"/>
          </w:p>
          <w:p w14:paraId="06CE31C4">
            <w:pPr>
              <w:spacing w:line="400" w:lineRule="exact"/>
              <w:outlineLvl w:val="0"/>
              <w:rPr>
                <w:rFonts w:ascii="仿宋_GB2312" w:hAnsi="仿宋_GB2312" w:eastAsia="仿宋_GB2312" w:cs="仿宋_GB2312"/>
                <w:b/>
                <w:bCs/>
                <w:color w:val="auto"/>
                <w:sz w:val="24"/>
              </w:rPr>
            </w:pPr>
            <w:bookmarkStart w:id="127" w:name="_Toc173682120"/>
            <w:r>
              <w:rPr>
                <w:rFonts w:hint="eastAsia" w:ascii="仿宋_GB2312" w:hAnsi="仿宋_GB2312" w:eastAsia="仿宋_GB2312" w:cs="仿宋_GB2312"/>
                <w:b/>
                <w:bCs/>
                <w:color w:val="auto"/>
                <w:sz w:val="24"/>
              </w:rPr>
              <w:t>视频推广：</w:t>
            </w:r>
            <w:bookmarkEnd w:id="127"/>
          </w:p>
          <w:p w14:paraId="505C0BC6">
            <w:pPr>
              <w:spacing w:line="400" w:lineRule="exact"/>
              <w:outlineLvl w:val="0"/>
              <w:rPr>
                <w:rFonts w:ascii="仿宋_GB2312" w:hAnsi="仿宋_GB2312" w:eastAsia="仿宋_GB2312" w:cs="仿宋_GB2312"/>
                <w:color w:val="auto"/>
                <w:sz w:val="24"/>
              </w:rPr>
            </w:pPr>
            <w:bookmarkStart w:id="128" w:name="_Toc173682121"/>
            <w:r>
              <w:rPr>
                <w:rFonts w:hint="eastAsia" w:ascii="仿宋_GB2312" w:hAnsi="仿宋_GB2312" w:eastAsia="仿宋_GB2312" w:cs="仿宋_GB2312"/>
                <w:color w:val="auto"/>
                <w:sz w:val="24"/>
              </w:rPr>
              <w:t>（1）参赛选手通过企业介绍、企业产品分析选择视频推广，并设置视频广告组。</w:t>
            </w:r>
            <w:bookmarkEnd w:id="128"/>
          </w:p>
          <w:p w14:paraId="4F4791C0">
            <w:pPr>
              <w:spacing w:line="400" w:lineRule="exact"/>
              <w:outlineLvl w:val="0"/>
              <w:rPr>
                <w:rFonts w:ascii="仿宋_GB2312" w:hAnsi="仿宋_GB2312" w:eastAsia="仿宋_GB2312" w:cs="仿宋_GB2312"/>
                <w:color w:val="auto"/>
                <w:sz w:val="24"/>
              </w:rPr>
            </w:pPr>
            <w:bookmarkStart w:id="129" w:name="_Toc173682122"/>
            <w:r>
              <w:rPr>
                <w:rFonts w:hint="eastAsia" w:ascii="仿宋_GB2312" w:hAnsi="仿宋_GB2312" w:eastAsia="仿宋_GB2312" w:cs="仿宋_GB2312"/>
                <w:color w:val="auto"/>
                <w:sz w:val="24"/>
              </w:rPr>
              <w:t>（2）结合推广资金，制定并实施数字营销推广策略，并设置广告计划进行视频推广。</w:t>
            </w:r>
            <w:bookmarkEnd w:id="129"/>
          </w:p>
          <w:p w14:paraId="5E4BB0AE">
            <w:pPr>
              <w:spacing w:line="400" w:lineRule="exact"/>
              <w:outlineLvl w:val="0"/>
              <w:rPr>
                <w:rFonts w:ascii="仿宋_GB2312" w:hAnsi="仿宋_GB2312" w:eastAsia="仿宋_GB2312" w:cs="仿宋_GB2312"/>
                <w:color w:val="auto"/>
                <w:sz w:val="24"/>
              </w:rPr>
            </w:pPr>
            <w:bookmarkStart w:id="130" w:name="_Toc173682123"/>
            <w:r>
              <w:rPr>
                <w:rFonts w:hint="eastAsia" w:ascii="仿宋_GB2312" w:hAnsi="仿宋_GB2312" w:eastAsia="仿宋_GB2312" w:cs="仿宋_GB2312"/>
                <w:color w:val="auto"/>
                <w:sz w:val="24"/>
              </w:rPr>
              <w:t>（3）在广告计划选择投放的视频。</w:t>
            </w:r>
            <w:bookmarkEnd w:id="130"/>
          </w:p>
          <w:p w14:paraId="0A8D829E">
            <w:pPr>
              <w:spacing w:line="400" w:lineRule="exact"/>
              <w:outlineLvl w:val="0"/>
              <w:rPr>
                <w:rFonts w:ascii="仿宋_GB2312" w:hAnsi="仿宋_GB2312" w:eastAsia="仿宋_GB2312" w:cs="仿宋_GB2312"/>
                <w:color w:val="auto"/>
                <w:sz w:val="24"/>
              </w:rPr>
            </w:pPr>
            <w:bookmarkStart w:id="131" w:name="_Toc173682124"/>
            <w:r>
              <w:rPr>
                <w:rFonts w:hint="eastAsia" w:ascii="仿宋_GB2312" w:hAnsi="仿宋_GB2312" w:eastAsia="仿宋_GB2312" w:cs="仿宋_GB2312"/>
                <w:color w:val="auto"/>
                <w:sz w:val="24"/>
              </w:rPr>
              <w:t>（4）从地域、性别、年龄、兴趣分类、兴趣关键词、平台、APP行为定向、手机品牌、网络、运营商等不同维度设置视频推广广告受众。</w:t>
            </w:r>
            <w:bookmarkEnd w:id="131"/>
          </w:p>
          <w:p w14:paraId="39BD03FA">
            <w:pPr>
              <w:spacing w:line="400" w:lineRule="exact"/>
              <w:outlineLvl w:val="0"/>
              <w:rPr>
                <w:rFonts w:ascii="仿宋_GB2312" w:hAnsi="仿宋_GB2312" w:eastAsia="仿宋_GB2312" w:cs="仿宋_GB2312"/>
                <w:color w:val="auto"/>
                <w:sz w:val="24"/>
              </w:rPr>
            </w:pPr>
            <w:bookmarkStart w:id="132" w:name="_Toc173682125"/>
            <w:r>
              <w:rPr>
                <w:rFonts w:hint="eastAsia" w:ascii="仿宋_GB2312" w:hAnsi="仿宋_GB2312" w:eastAsia="仿宋_GB2312" w:cs="仿宋_GB2312"/>
                <w:color w:val="auto"/>
                <w:sz w:val="24"/>
              </w:rPr>
              <w:t>（5）通过设置广告预算、投放时段、投放目标、付费方式和出价设置视频推广广告预算和出价。</w:t>
            </w:r>
            <w:bookmarkEnd w:id="132"/>
          </w:p>
          <w:p w14:paraId="52070964">
            <w:pPr>
              <w:spacing w:line="400" w:lineRule="exact"/>
              <w:outlineLvl w:val="0"/>
              <w:rPr>
                <w:rFonts w:ascii="仿宋_GB2312" w:hAnsi="仿宋_GB2312" w:eastAsia="仿宋_GB2312" w:cs="仿宋_GB2312"/>
                <w:color w:val="auto"/>
                <w:sz w:val="24"/>
              </w:rPr>
            </w:pPr>
            <w:bookmarkStart w:id="133" w:name="_Toc173682126"/>
            <w:r>
              <w:rPr>
                <w:rFonts w:hint="eastAsia" w:ascii="仿宋_GB2312" w:hAnsi="仿宋_GB2312" w:eastAsia="仿宋_GB2312" w:cs="仿宋_GB2312"/>
                <w:color w:val="auto"/>
                <w:sz w:val="24"/>
              </w:rPr>
              <w:t>（6）选择CPC和CPM付费方式定位视频推广投放目标。</w:t>
            </w:r>
            <w:bookmarkEnd w:id="133"/>
          </w:p>
          <w:p w14:paraId="1B741981">
            <w:pPr>
              <w:spacing w:line="400" w:lineRule="exact"/>
              <w:outlineLvl w:val="0"/>
              <w:rPr>
                <w:rFonts w:ascii="仿宋_GB2312" w:hAnsi="仿宋_GB2312" w:eastAsia="仿宋_GB2312" w:cs="仿宋_GB2312"/>
                <w:color w:val="auto"/>
                <w:sz w:val="24"/>
              </w:rPr>
            </w:pPr>
            <w:bookmarkStart w:id="134" w:name="_Toc173682127"/>
            <w:r>
              <w:rPr>
                <w:rFonts w:hint="eastAsia" w:ascii="仿宋_GB2312" w:hAnsi="仿宋_GB2312" w:eastAsia="仿宋_GB2312" w:cs="仿宋_GB2312"/>
                <w:color w:val="auto"/>
                <w:sz w:val="24"/>
              </w:rPr>
              <w:t>（7）通过广告投放位置设置、制作创意标题、设置创意分类和标签等设置视频推广创意。</w:t>
            </w:r>
            <w:bookmarkEnd w:id="134"/>
          </w:p>
          <w:p w14:paraId="30C32791">
            <w:pPr>
              <w:spacing w:line="400" w:lineRule="exact"/>
              <w:outlineLvl w:val="0"/>
              <w:rPr>
                <w:rFonts w:ascii="仿宋_GB2312" w:hAnsi="仿宋_GB2312" w:eastAsia="仿宋_GB2312" w:cs="仿宋_GB2312"/>
                <w:color w:val="auto"/>
                <w:sz w:val="24"/>
              </w:rPr>
            </w:pPr>
            <w:bookmarkStart w:id="135" w:name="_Toc173682128"/>
            <w:r>
              <w:rPr>
                <w:rFonts w:hint="eastAsia" w:ascii="仿宋_GB2312" w:hAnsi="仿宋_GB2312" w:eastAsia="仿宋_GB2312" w:cs="仿宋_GB2312"/>
                <w:color w:val="auto"/>
                <w:sz w:val="24"/>
              </w:rPr>
              <w:t>（8）完成所有视频推广的广告组、广告计划、创意的设置后，可以完成一个周期的推广活动，不同广告组、广告计划、创意的设置带来不同的展示数和点击数，为了获得更好的推广效果，需根据营销报表对广告效果数据进行分析，并利用预算余额再次进行推广。</w:t>
            </w:r>
            <w:bookmarkEnd w:id="135"/>
          </w:p>
        </w:tc>
        <w:tc>
          <w:tcPr>
            <w:tcW w:w="1219" w:type="dxa"/>
            <w:vAlign w:val="center"/>
          </w:tcPr>
          <w:p w14:paraId="78A3A1EE">
            <w:pPr>
              <w:spacing w:line="400" w:lineRule="exact"/>
              <w:jc w:val="center"/>
              <w:outlineLvl w:val="0"/>
              <w:rPr>
                <w:rFonts w:ascii="仿宋_GB2312" w:hAnsi="仿宋_GB2312" w:eastAsia="仿宋_GB2312" w:cs="仿宋_GB2312"/>
                <w:color w:val="auto"/>
                <w:sz w:val="24"/>
              </w:rPr>
            </w:pPr>
            <w:bookmarkStart w:id="136" w:name="_Toc173682136"/>
            <w:r>
              <w:rPr>
                <w:rFonts w:hint="eastAsia" w:ascii="仿宋_GB2312" w:hAnsi="仿宋_GB2312" w:eastAsia="仿宋_GB2312" w:cs="仿宋_GB2312"/>
                <w:color w:val="auto"/>
                <w:sz w:val="24"/>
              </w:rPr>
              <w:t>120分钟</w:t>
            </w:r>
            <w:bookmarkEnd w:id="136"/>
          </w:p>
        </w:tc>
        <w:tc>
          <w:tcPr>
            <w:tcW w:w="855" w:type="dxa"/>
            <w:vAlign w:val="center"/>
          </w:tcPr>
          <w:p w14:paraId="49508959">
            <w:pPr>
              <w:spacing w:line="400" w:lineRule="exact"/>
              <w:jc w:val="center"/>
              <w:outlineLvl w:val="0"/>
              <w:rPr>
                <w:rFonts w:ascii="仿宋_GB2312" w:hAnsi="仿宋_GB2312" w:eastAsia="仿宋_GB2312" w:cs="仿宋_GB2312"/>
                <w:color w:val="auto"/>
                <w:sz w:val="24"/>
              </w:rPr>
            </w:pPr>
            <w:bookmarkStart w:id="137" w:name="_Toc173682137"/>
            <w:r>
              <w:rPr>
                <w:rFonts w:hint="eastAsia" w:ascii="仿宋_GB2312" w:hAnsi="仿宋_GB2312" w:eastAsia="仿宋_GB2312" w:cs="仿宋_GB2312"/>
                <w:color w:val="auto"/>
                <w:sz w:val="24"/>
              </w:rPr>
              <w:t>40</w:t>
            </w:r>
            <w:bookmarkEnd w:id="137"/>
          </w:p>
        </w:tc>
      </w:tr>
      <w:tr w14:paraId="02F126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2" w:hRule="atLeast"/>
          <w:jc w:val="center"/>
        </w:trPr>
        <w:tc>
          <w:tcPr>
            <w:tcW w:w="886" w:type="dxa"/>
            <w:vAlign w:val="center"/>
          </w:tcPr>
          <w:p w14:paraId="34CA3F63">
            <w:pPr>
              <w:spacing w:line="400" w:lineRule="exact"/>
              <w:outlineLvl w:val="0"/>
              <w:rPr>
                <w:rFonts w:ascii="仿宋_GB2312" w:hAnsi="仿宋_GB2312" w:eastAsia="仿宋_GB2312" w:cs="仿宋_GB2312"/>
                <w:color w:val="auto"/>
                <w:sz w:val="24"/>
              </w:rPr>
            </w:pPr>
            <w:bookmarkStart w:id="138" w:name="_Toc173682138"/>
            <w:r>
              <w:rPr>
                <w:rFonts w:hint="eastAsia" w:ascii="仿宋_GB2312" w:hAnsi="仿宋_GB2312" w:eastAsia="仿宋_GB2312" w:cs="仿宋_GB2312"/>
                <w:color w:val="auto"/>
                <w:sz w:val="24"/>
              </w:rPr>
              <w:t>模块二</w:t>
            </w:r>
            <w:bookmarkEnd w:id="138"/>
          </w:p>
        </w:tc>
        <w:tc>
          <w:tcPr>
            <w:tcW w:w="1116" w:type="dxa"/>
            <w:vAlign w:val="center"/>
          </w:tcPr>
          <w:p w14:paraId="1B8FCCAB">
            <w:pPr>
              <w:spacing w:line="400" w:lineRule="exact"/>
              <w:outlineLvl w:val="0"/>
              <w:rPr>
                <w:rFonts w:ascii="仿宋_GB2312" w:hAnsi="仿宋_GB2312" w:eastAsia="仿宋_GB2312" w:cs="仿宋_GB2312"/>
                <w:color w:val="auto"/>
                <w:sz w:val="24"/>
              </w:rPr>
            </w:pPr>
            <w:bookmarkStart w:id="139" w:name="_Toc173682139"/>
            <w:r>
              <w:rPr>
                <w:rFonts w:hint="eastAsia" w:ascii="仿宋_GB2312" w:hAnsi="仿宋_GB2312" w:eastAsia="仿宋_GB2312" w:cs="仿宋_GB2312"/>
                <w:color w:val="auto"/>
                <w:sz w:val="24"/>
              </w:rPr>
              <w:t>直播营销</w:t>
            </w:r>
            <w:bookmarkEnd w:id="139"/>
          </w:p>
        </w:tc>
        <w:tc>
          <w:tcPr>
            <w:tcW w:w="5173" w:type="dxa"/>
            <w:vAlign w:val="center"/>
          </w:tcPr>
          <w:p w14:paraId="5924E1A1">
            <w:pPr>
              <w:spacing w:line="400" w:lineRule="exact"/>
              <w:outlineLvl w:val="0"/>
              <w:rPr>
                <w:rFonts w:ascii="仿宋_GB2312" w:hAnsi="仿宋_GB2312" w:eastAsia="仿宋_GB2312" w:cs="仿宋_GB2312"/>
                <w:b/>
                <w:bCs/>
                <w:color w:val="auto"/>
                <w:sz w:val="24"/>
              </w:rPr>
            </w:pPr>
            <w:bookmarkStart w:id="140" w:name="_Toc173682140"/>
            <w:r>
              <w:rPr>
                <w:rFonts w:hint="eastAsia" w:ascii="仿宋_GB2312" w:hAnsi="仿宋_GB2312" w:eastAsia="仿宋_GB2312" w:cs="仿宋_GB2312"/>
                <w:b/>
                <w:bCs/>
                <w:color w:val="auto"/>
                <w:sz w:val="24"/>
              </w:rPr>
              <w:t>任务1：市场信息分析</w:t>
            </w:r>
            <w:bookmarkEnd w:id="140"/>
          </w:p>
          <w:p w14:paraId="2EA7FE44">
            <w:pPr>
              <w:spacing w:line="400" w:lineRule="exact"/>
              <w:outlineLvl w:val="0"/>
              <w:rPr>
                <w:rFonts w:ascii="仿宋_GB2312" w:hAnsi="仿宋_GB2312" w:eastAsia="仿宋_GB2312" w:cs="仿宋_GB2312"/>
                <w:color w:val="auto"/>
                <w:sz w:val="24"/>
              </w:rPr>
            </w:pPr>
            <w:bookmarkStart w:id="141" w:name="_Toc173682141"/>
            <w:r>
              <w:rPr>
                <w:rFonts w:hint="eastAsia" w:ascii="仿宋_GB2312" w:hAnsi="仿宋_GB2312" w:eastAsia="仿宋_GB2312" w:cs="仿宋_GB2312"/>
                <w:color w:val="auto"/>
                <w:sz w:val="24"/>
              </w:rPr>
              <w:t>（1）在运营资金内合理规划目标商品采购数量。</w:t>
            </w:r>
            <w:bookmarkEnd w:id="141"/>
          </w:p>
          <w:p w14:paraId="0BF7C622">
            <w:pPr>
              <w:spacing w:line="400" w:lineRule="exact"/>
              <w:outlineLvl w:val="0"/>
              <w:rPr>
                <w:rFonts w:ascii="仿宋_GB2312" w:hAnsi="仿宋_GB2312" w:eastAsia="仿宋_GB2312" w:cs="仿宋_GB2312"/>
                <w:color w:val="auto"/>
                <w:sz w:val="24"/>
              </w:rPr>
            </w:pPr>
            <w:bookmarkStart w:id="142" w:name="_Toc173682142"/>
            <w:r>
              <w:rPr>
                <w:rFonts w:hint="eastAsia" w:ascii="仿宋_GB2312" w:hAnsi="仿宋_GB2312" w:eastAsia="仿宋_GB2312" w:cs="仿宋_GB2312"/>
                <w:color w:val="auto"/>
                <w:sz w:val="24"/>
              </w:rPr>
              <w:t>（2）合理规划直播商品角色定位。</w:t>
            </w:r>
            <w:bookmarkEnd w:id="142"/>
          </w:p>
          <w:p w14:paraId="709832A1">
            <w:pPr>
              <w:spacing w:line="400" w:lineRule="exact"/>
              <w:outlineLvl w:val="0"/>
              <w:rPr>
                <w:rFonts w:ascii="仿宋_GB2312" w:hAnsi="仿宋_GB2312" w:eastAsia="仿宋_GB2312" w:cs="仿宋_GB2312"/>
                <w:color w:val="auto"/>
                <w:sz w:val="24"/>
              </w:rPr>
            </w:pPr>
            <w:bookmarkStart w:id="143" w:name="_Toc173682143"/>
            <w:r>
              <w:rPr>
                <w:rFonts w:hint="eastAsia" w:ascii="仿宋_GB2312" w:hAnsi="仿宋_GB2312" w:eastAsia="仿宋_GB2312" w:cs="仿宋_GB2312"/>
                <w:color w:val="auto"/>
                <w:sz w:val="24"/>
              </w:rPr>
              <w:t>（3）根据营销规划，制定直播商品日常售价。</w:t>
            </w:r>
          </w:p>
          <w:p w14:paraId="087C3814">
            <w:pPr>
              <w:spacing w:line="400" w:lineRule="exact"/>
              <w:outlineLvl w:val="0"/>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任务2：直播规划</w:t>
            </w:r>
            <w:bookmarkEnd w:id="143"/>
          </w:p>
          <w:p w14:paraId="08C82FED">
            <w:pPr>
              <w:spacing w:line="400" w:lineRule="exact"/>
              <w:outlineLvl w:val="0"/>
              <w:rPr>
                <w:rFonts w:ascii="仿宋_GB2312" w:hAnsi="仿宋_GB2312" w:eastAsia="仿宋_GB2312" w:cs="仿宋_GB2312"/>
                <w:color w:val="auto"/>
                <w:sz w:val="24"/>
              </w:rPr>
            </w:pPr>
            <w:bookmarkStart w:id="144" w:name="_Toc173682144"/>
            <w:r>
              <w:rPr>
                <w:rFonts w:hint="eastAsia" w:ascii="仿宋_GB2312" w:hAnsi="仿宋_GB2312" w:eastAsia="仿宋_GB2312" w:cs="仿宋_GB2312"/>
                <w:color w:val="auto"/>
                <w:sz w:val="24"/>
              </w:rPr>
              <w:t>（1）根据选定的商品策划直播主题、时间等基础信息。</w:t>
            </w:r>
            <w:bookmarkEnd w:id="144"/>
          </w:p>
          <w:p w14:paraId="7A511F13">
            <w:pPr>
              <w:spacing w:line="400" w:lineRule="exact"/>
              <w:outlineLvl w:val="0"/>
              <w:rPr>
                <w:rFonts w:ascii="仿宋_GB2312" w:hAnsi="仿宋_GB2312" w:eastAsia="仿宋_GB2312" w:cs="仿宋_GB2312"/>
                <w:color w:val="auto"/>
                <w:sz w:val="24"/>
              </w:rPr>
            </w:pPr>
            <w:bookmarkStart w:id="145" w:name="_Toc173682145"/>
            <w:r>
              <w:rPr>
                <w:rFonts w:hint="eastAsia" w:ascii="仿宋_GB2312" w:hAnsi="仿宋_GB2312" w:eastAsia="仿宋_GB2312" w:cs="仿宋_GB2312"/>
                <w:color w:val="auto"/>
                <w:sz w:val="24"/>
              </w:rPr>
              <w:t>（2）根据商品特点及粉丝画像，策划直播互动玩法。</w:t>
            </w:r>
            <w:bookmarkEnd w:id="145"/>
          </w:p>
          <w:p w14:paraId="61EA634D">
            <w:pPr>
              <w:spacing w:line="400" w:lineRule="exact"/>
              <w:outlineLvl w:val="0"/>
              <w:rPr>
                <w:rFonts w:ascii="仿宋_GB2312" w:hAnsi="仿宋_GB2312" w:eastAsia="仿宋_GB2312" w:cs="仿宋_GB2312"/>
                <w:color w:val="auto"/>
                <w:sz w:val="24"/>
              </w:rPr>
            </w:pPr>
            <w:bookmarkStart w:id="146" w:name="_Toc173682146"/>
            <w:r>
              <w:rPr>
                <w:rFonts w:hint="eastAsia" w:ascii="仿宋_GB2312" w:hAnsi="仿宋_GB2312" w:eastAsia="仿宋_GB2312" w:cs="仿宋_GB2312"/>
                <w:color w:val="auto"/>
                <w:sz w:val="24"/>
              </w:rPr>
              <w:t>（3）根据商品特点及粉丝画像，策划商品促销利益点。</w:t>
            </w:r>
            <w:bookmarkEnd w:id="146"/>
          </w:p>
          <w:p w14:paraId="486AD533">
            <w:pPr>
              <w:spacing w:line="400" w:lineRule="exact"/>
              <w:outlineLvl w:val="0"/>
              <w:rPr>
                <w:rFonts w:ascii="仿宋_GB2312" w:hAnsi="仿宋_GB2312" w:eastAsia="仿宋_GB2312" w:cs="仿宋_GB2312"/>
                <w:b/>
                <w:bCs/>
                <w:color w:val="auto"/>
                <w:sz w:val="24"/>
              </w:rPr>
            </w:pPr>
            <w:bookmarkStart w:id="147" w:name="_Toc173682147"/>
            <w:r>
              <w:rPr>
                <w:rFonts w:hint="eastAsia" w:ascii="仿宋_GB2312" w:hAnsi="仿宋_GB2312" w:eastAsia="仿宋_GB2312" w:cs="仿宋_GB2312"/>
                <w:b/>
                <w:bCs/>
                <w:color w:val="auto"/>
                <w:sz w:val="24"/>
              </w:rPr>
              <w:t>任务3：脚本策划</w:t>
            </w:r>
            <w:bookmarkEnd w:id="147"/>
          </w:p>
          <w:p w14:paraId="106EA29D">
            <w:pPr>
              <w:spacing w:line="400" w:lineRule="exact"/>
              <w:outlineLvl w:val="0"/>
              <w:rPr>
                <w:rFonts w:ascii="仿宋_GB2312" w:hAnsi="仿宋_GB2312" w:eastAsia="仿宋_GB2312" w:cs="仿宋_GB2312"/>
                <w:color w:val="auto"/>
                <w:sz w:val="24"/>
              </w:rPr>
            </w:pPr>
            <w:bookmarkStart w:id="148" w:name="_Toc173682148"/>
            <w:r>
              <w:rPr>
                <w:rFonts w:hint="eastAsia" w:ascii="仿宋_GB2312" w:hAnsi="仿宋_GB2312" w:eastAsia="仿宋_GB2312" w:cs="仿宋_GB2312"/>
                <w:color w:val="auto"/>
                <w:sz w:val="24"/>
              </w:rPr>
              <w:t>（1）根据直播规划方案，完成整场直播脚本的撰写，需包含5款商品及直播互动等内容。</w:t>
            </w:r>
            <w:bookmarkEnd w:id="148"/>
          </w:p>
          <w:p w14:paraId="3540FF43">
            <w:pPr>
              <w:spacing w:line="400" w:lineRule="exact"/>
              <w:outlineLvl w:val="0"/>
              <w:rPr>
                <w:rFonts w:ascii="仿宋_GB2312" w:hAnsi="仿宋_GB2312" w:eastAsia="仿宋_GB2312" w:cs="仿宋_GB2312"/>
                <w:color w:val="auto"/>
                <w:sz w:val="24"/>
              </w:rPr>
            </w:pPr>
            <w:bookmarkStart w:id="149" w:name="_Toc173682149"/>
            <w:r>
              <w:rPr>
                <w:rFonts w:hint="eastAsia" w:ascii="仿宋_GB2312" w:hAnsi="仿宋_GB2312" w:eastAsia="仿宋_GB2312" w:cs="仿宋_GB2312"/>
                <w:color w:val="auto"/>
                <w:sz w:val="24"/>
              </w:rPr>
              <w:t>（2）根据直播规划方案及商品属性特点，完成指定的2款单品直播脚本的撰写。</w:t>
            </w:r>
            <w:bookmarkEnd w:id="149"/>
          </w:p>
          <w:p w14:paraId="6E495AFA">
            <w:pPr>
              <w:spacing w:line="400" w:lineRule="exact"/>
              <w:outlineLvl w:val="0"/>
              <w:rPr>
                <w:rFonts w:ascii="仿宋_GB2312" w:hAnsi="仿宋_GB2312" w:eastAsia="仿宋_GB2312" w:cs="仿宋_GB2312"/>
                <w:color w:val="auto"/>
                <w:sz w:val="24"/>
              </w:rPr>
            </w:pPr>
            <w:bookmarkStart w:id="150" w:name="_Toc173682150"/>
            <w:r>
              <w:rPr>
                <w:rFonts w:hint="eastAsia" w:ascii="仿宋_GB2312" w:hAnsi="仿宋_GB2312" w:eastAsia="仿宋_GB2312" w:cs="仿宋_GB2312"/>
                <w:color w:val="auto"/>
                <w:sz w:val="24"/>
              </w:rPr>
              <w:t>（3）整场直播脚本策划总计时长为30分钟。</w:t>
            </w:r>
            <w:bookmarkEnd w:id="150"/>
          </w:p>
          <w:p w14:paraId="009A2131">
            <w:pPr>
              <w:spacing w:line="400" w:lineRule="exact"/>
              <w:outlineLvl w:val="0"/>
              <w:rPr>
                <w:rFonts w:ascii="仿宋_GB2312" w:hAnsi="仿宋_GB2312" w:eastAsia="仿宋_GB2312" w:cs="仿宋_GB2312"/>
                <w:b/>
                <w:bCs/>
                <w:color w:val="auto"/>
                <w:sz w:val="24"/>
              </w:rPr>
            </w:pPr>
            <w:bookmarkStart w:id="151" w:name="_Toc173682151"/>
            <w:r>
              <w:rPr>
                <w:rFonts w:hint="eastAsia" w:ascii="仿宋_GB2312" w:hAnsi="仿宋_GB2312" w:eastAsia="仿宋_GB2312" w:cs="仿宋_GB2312"/>
                <w:b/>
                <w:bCs/>
                <w:color w:val="auto"/>
                <w:sz w:val="24"/>
              </w:rPr>
              <w:t>任务4：创建直播</w:t>
            </w:r>
            <w:bookmarkEnd w:id="151"/>
          </w:p>
          <w:p w14:paraId="21C4EEFF">
            <w:pPr>
              <w:spacing w:line="400" w:lineRule="exact"/>
              <w:outlineLvl w:val="0"/>
              <w:rPr>
                <w:rFonts w:ascii="仿宋_GB2312" w:hAnsi="仿宋_GB2312" w:eastAsia="仿宋_GB2312" w:cs="仿宋_GB2312"/>
                <w:color w:val="auto"/>
                <w:sz w:val="24"/>
              </w:rPr>
            </w:pPr>
            <w:bookmarkStart w:id="152" w:name="_Toc173682152"/>
            <w:r>
              <w:rPr>
                <w:rFonts w:hint="eastAsia" w:ascii="仿宋_GB2312" w:hAnsi="仿宋_GB2312" w:eastAsia="仿宋_GB2312" w:cs="仿宋_GB2312"/>
                <w:color w:val="auto"/>
                <w:sz w:val="24"/>
              </w:rPr>
              <w:t>（1）根据直播规划方案，策划标题、时间等内容。</w:t>
            </w:r>
            <w:bookmarkEnd w:id="152"/>
          </w:p>
          <w:p w14:paraId="3705E835">
            <w:pPr>
              <w:spacing w:line="400" w:lineRule="exact"/>
              <w:outlineLvl w:val="0"/>
              <w:rPr>
                <w:rFonts w:ascii="仿宋_GB2312" w:hAnsi="仿宋_GB2312" w:eastAsia="仿宋_GB2312" w:cs="仿宋_GB2312"/>
                <w:color w:val="auto"/>
                <w:sz w:val="24"/>
              </w:rPr>
            </w:pPr>
            <w:bookmarkStart w:id="153" w:name="_Toc173682153"/>
            <w:r>
              <w:rPr>
                <w:rFonts w:hint="eastAsia" w:ascii="仿宋_GB2312" w:hAnsi="仿宋_GB2312" w:eastAsia="仿宋_GB2312" w:cs="仿宋_GB2312"/>
                <w:color w:val="auto"/>
                <w:sz w:val="24"/>
              </w:rPr>
              <w:t>（2）根据直播规划方案，选择本场直播的频道（标签）。</w:t>
            </w:r>
            <w:bookmarkEnd w:id="153"/>
          </w:p>
          <w:p w14:paraId="455CE194">
            <w:pPr>
              <w:spacing w:line="400" w:lineRule="exact"/>
              <w:outlineLvl w:val="0"/>
              <w:rPr>
                <w:rFonts w:ascii="仿宋_GB2312" w:hAnsi="仿宋_GB2312" w:eastAsia="仿宋_GB2312" w:cs="仿宋_GB2312"/>
                <w:color w:val="auto"/>
                <w:sz w:val="24"/>
              </w:rPr>
            </w:pPr>
            <w:bookmarkStart w:id="154" w:name="_Toc173682154"/>
            <w:r>
              <w:rPr>
                <w:rFonts w:hint="eastAsia" w:ascii="仿宋_GB2312" w:hAnsi="仿宋_GB2312" w:eastAsia="仿宋_GB2312" w:cs="仿宋_GB2312"/>
                <w:color w:val="auto"/>
                <w:sz w:val="24"/>
              </w:rPr>
              <w:t>（3）根据直播规划方案，关联本场直播的商品。</w:t>
            </w:r>
            <w:bookmarkEnd w:id="154"/>
          </w:p>
          <w:p w14:paraId="61020CCE">
            <w:pPr>
              <w:spacing w:line="400" w:lineRule="exact"/>
              <w:outlineLvl w:val="0"/>
              <w:rPr>
                <w:rFonts w:ascii="仿宋_GB2312" w:hAnsi="仿宋_GB2312" w:eastAsia="仿宋_GB2312" w:cs="仿宋_GB2312"/>
                <w:b/>
                <w:bCs/>
                <w:color w:val="auto"/>
                <w:sz w:val="24"/>
              </w:rPr>
            </w:pPr>
            <w:bookmarkStart w:id="155" w:name="_Toc173682155"/>
            <w:r>
              <w:rPr>
                <w:rFonts w:hint="eastAsia" w:ascii="仿宋_GB2312" w:hAnsi="仿宋_GB2312" w:eastAsia="仿宋_GB2312" w:cs="仿宋_GB2312"/>
                <w:b/>
                <w:bCs/>
                <w:color w:val="auto"/>
                <w:sz w:val="24"/>
              </w:rPr>
              <w:t>任务5：直播装修</w:t>
            </w:r>
            <w:bookmarkEnd w:id="155"/>
          </w:p>
          <w:p w14:paraId="023F4B7A">
            <w:pPr>
              <w:spacing w:line="400" w:lineRule="exact"/>
              <w:outlineLvl w:val="0"/>
              <w:rPr>
                <w:rFonts w:ascii="仿宋_GB2312" w:hAnsi="仿宋_GB2312" w:eastAsia="仿宋_GB2312" w:cs="仿宋_GB2312"/>
                <w:color w:val="auto"/>
                <w:sz w:val="24"/>
              </w:rPr>
            </w:pPr>
            <w:bookmarkStart w:id="156" w:name="_Toc173682156"/>
            <w:r>
              <w:rPr>
                <w:rFonts w:hint="eastAsia" w:ascii="仿宋_GB2312" w:hAnsi="仿宋_GB2312" w:eastAsia="仿宋_GB2312" w:cs="仿宋_GB2312"/>
                <w:color w:val="auto"/>
                <w:sz w:val="24"/>
              </w:rPr>
              <w:t>（1）根据直播规划方案，设置直播间欢迎语。</w:t>
            </w:r>
            <w:bookmarkEnd w:id="156"/>
          </w:p>
          <w:p w14:paraId="0182964A">
            <w:pPr>
              <w:spacing w:line="400" w:lineRule="exact"/>
              <w:outlineLvl w:val="0"/>
              <w:rPr>
                <w:rFonts w:ascii="仿宋_GB2312" w:hAnsi="仿宋_GB2312" w:eastAsia="仿宋_GB2312" w:cs="仿宋_GB2312"/>
                <w:color w:val="auto"/>
                <w:sz w:val="24"/>
              </w:rPr>
            </w:pPr>
            <w:bookmarkStart w:id="157" w:name="_Toc173682157"/>
            <w:r>
              <w:rPr>
                <w:rFonts w:hint="eastAsia" w:ascii="仿宋_GB2312" w:hAnsi="仿宋_GB2312" w:eastAsia="仿宋_GB2312" w:cs="仿宋_GB2312"/>
                <w:color w:val="auto"/>
                <w:sz w:val="24"/>
              </w:rPr>
              <w:t>（2）根据直播间管理规范，设置直播间屏蔽词。</w:t>
            </w:r>
            <w:bookmarkEnd w:id="157"/>
          </w:p>
          <w:p w14:paraId="16CD1BCC">
            <w:pPr>
              <w:spacing w:line="400" w:lineRule="exact"/>
              <w:outlineLvl w:val="0"/>
              <w:rPr>
                <w:rFonts w:ascii="仿宋_GB2312" w:hAnsi="仿宋_GB2312" w:eastAsia="仿宋_GB2312" w:cs="仿宋_GB2312"/>
                <w:color w:val="auto"/>
                <w:sz w:val="24"/>
              </w:rPr>
            </w:pPr>
            <w:bookmarkStart w:id="158" w:name="_Toc173682158"/>
            <w:r>
              <w:rPr>
                <w:rFonts w:hint="eastAsia" w:ascii="仿宋_GB2312" w:hAnsi="仿宋_GB2312" w:eastAsia="仿宋_GB2312" w:cs="仿宋_GB2312"/>
                <w:color w:val="auto"/>
                <w:sz w:val="24"/>
              </w:rPr>
              <w:t>（3）根据直播规划方案及目标用户的特点，设置直播间快捷短语。</w:t>
            </w:r>
            <w:bookmarkEnd w:id="158"/>
          </w:p>
          <w:p w14:paraId="17B3A906">
            <w:pPr>
              <w:spacing w:line="400" w:lineRule="exact"/>
              <w:outlineLvl w:val="0"/>
              <w:rPr>
                <w:rFonts w:ascii="仿宋_GB2312" w:hAnsi="仿宋_GB2312" w:eastAsia="仿宋_GB2312" w:cs="仿宋_GB2312"/>
                <w:color w:val="auto"/>
                <w:sz w:val="24"/>
              </w:rPr>
            </w:pPr>
            <w:bookmarkStart w:id="159" w:name="_Toc173682159"/>
            <w:r>
              <w:rPr>
                <w:rFonts w:hint="eastAsia" w:ascii="仿宋_GB2312" w:hAnsi="仿宋_GB2312" w:eastAsia="仿宋_GB2312" w:cs="仿宋_GB2312"/>
                <w:color w:val="auto"/>
                <w:sz w:val="24"/>
              </w:rPr>
              <w:t>（4）根据直播规划方案，设置直播间信息卡。</w:t>
            </w:r>
            <w:bookmarkEnd w:id="159"/>
          </w:p>
          <w:p w14:paraId="0CDED9CB">
            <w:pPr>
              <w:spacing w:line="400" w:lineRule="exact"/>
              <w:outlineLvl w:val="0"/>
              <w:rPr>
                <w:rFonts w:ascii="仿宋_GB2312" w:hAnsi="仿宋_GB2312" w:eastAsia="仿宋_GB2312" w:cs="仿宋_GB2312"/>
                <w:b/>
                <w:bCs/>
                <w:color w:val="auto"/>
                <w:sz w:val="24"/>
              </w:rPr>
            </w:pPr>
            <w:bookmarkStart w:id="160" w:name="_Toc173682160"/>
            <w:r>
              <w:rPr>
                <w:rFonts w:hint="eastAsia" w:ascii="仿宋_GB2312" w:hAnsi="仿宋_GB2312" w:eastAsia="仿宋_GB2312" w:cs="仿宋_GB2312"/>
                <w:b/>
                <w:bCs/>
                <w:color w:val="auto"/>
                <w:sz w:val="24"/>
              </w:rPr>
              <w:t>任务6：直播推广</w:t>
            </w:r>
            <w:bookmarkEnd w:id="160"/>
          </w:p>
          <w:p w14:paraId="58E26867">
            <w:pPr>
              <w:spacing w:line="400" w:lineRule="exact"/>
              <w:outlineLvl w:val="0"/>
              <w:rPr>
                <w:rFonts w:ascii="仿宋_GB2312" w:hAnsi="仿宋_GB2312" w:eastAsia="仿宋_GB2312" w:cs="仿宋_GB2312"/>
                <w:color w:val="auto"/>
                <w:sz w:val="24"/>
              </w:rPr>
            </w:pPr>
            <w:bookmarkStart w:id="161" w:name="_Toc173682161"/>
            <w:r>
              <w:rPr>
                <w:rFonts w:hint="eastAsia" w:ascii="仿宋_GB2312" w:hAnsi="仿宋_GB2312" w:eastAsia="仿宋_GB2312" w:cs="仿宋_GB2312"/>
                <w:color w:val="auto"/>
                <w:sz w:val="24"/>
              </w:rPr>
              <w:t>（1）合理安排推广费用，策划推广方式与渠道组合。</w:t>
            </w:r>
            <w:bookmarkEnd w:id="161"/>
          </w:p>
          <w:p w14:paraId="78F353CA">
            <w:pPr>
              <w:spacing w:line="400" w:lineRule="exact"/>
              <w:outlineLvl w:val="0"/>
              <w:rPr>
                <w:rFonts w:ascii="仿宋_GB2312" w:hAnsi="仿宋_GB2312" w:eastAsia="仿宋_GB2312" w:cs="仿宋_GB2312"/>
                <w:color w:val="auto"/>
                <w:sz w:val="24"/>
              </w:rPr>
            </w:pPr>
            <w:bookmarkStart w:id="162" w:name="_Toc173682162"/>
            <w:r>
              <w:rPr>
                <w:rFonts w:hint="eastAsia" w:ascii="仿宋_GB2312" w:hAnsi="仿宋_GB2312" w:eastAsia="仿宋_GB2312" w:cs="仿宋_GB2312"/>
                <w:color w:val="auto"/>
                <w:sz w:val="24"/>
              </w:rPr>
              <w:t>（2）根据推广方案，完成直播前推广，包括免费推广、付费推广。</w:t>
            </w:r>
            <w:bookmarkEnd w:id="162"/>
          </w:p>
          <w:p w14:paraId="34AE1E86">
            <w:pPr>
              <w:spacing w:line="400" w:lineRule="exact"/>
              <w:outlineLvl w:val="0"/>
              <w:rPr>
                <w:rFonts w:ascii="仿宋_GB2312" w:hAnsi="仿宋_GB2312" w:eastAsia="仿宋_GB2312" w:cs="仿宋_GB2312"/>
                <w:b/>
                <w:bCs/>
                <w:color w:val="auto"/>
                <w:sz w:val="24"/>
              </w:rPr>
            </w:pPr>
            <w:bookmarkStart w:id="163" w:name="_Toc173682163"/>
            <w:r>
              <w:rPr>
                <w:rFonts w:hint="eastAsia" w:ascii="仿宋_GB2312" w:hAnsi="仿宋_GB2312" w:eastAsia="仿宋_GB2312" w:cs="仿宋_GB2312"/>
                <w:b/>
                <w:bCs/>
                <w:color w:val="auto"/>
                <w:sz w:val="24"/>
              </w:rPr>
              <w:t>任务7：直播售卖</w:t>
            </w:r>
            <w:bookmarkEnd w:id="163"/>
          </w:p>
          <w:p w14:paraId="34E20AE4">
            <w:pPr>
              <w:spacing w:line="400" w:lineRule="exact"/>
              <w:outlineLvl w:val="0"/>
              <w:rPr>
                <w:rFonts w:ascii="仿宋_GB2312" w:hAnsi="仿宋_GB2312" w:eastAsia="仿宋_GB2312" w:cs="仿宋_GB2312"/>
                <w:color w:val="auto"/>
                <w:sz w:val="24"/>
              </w:rPr>
            </w:pPr>
            <w:bookmarkStart w:id="164" w:name="_Toc173682164"/>
            <w:r>
              <w:rPr>
                <w:rFonts w:hint="eastAsia" w:ascii="仿宋_GB2312" w:hAnsi="仿宋_GB2312" w:eastAsia="仿宋_GB2312" w:cs="仿宋_GB2312"/>
                <w:color w:val="auto"/>
                <w:sz w:val="24"/>
              </w:rPr>
              <w:t>（1）根据背景资料完成直播售卖，包括直播开场、商品讲解、直播间互动、直播收尾等</w:t>
            </w:r>
            <w:bookmarkEnd w:id="164"/>
          </w:p>
          <w:p w14:paraId="54616865">
            <w:pPr>
              <w:spacing w:line="400" w:lineRule="exact"/>
              <w:outlineLvl w:val="0"/>
              <w:rPr>
                <w:rFonts w:ascii="仿宋_GB2312" w:hAnsi="仿宋_GB2312" w:eastAsia="仿宋_GB2312" w:cs="仿宋_GB2312"/>
                <w:color w:val="auto"/>
                <w:sz w:val="24"/>
              </w:rPr>
            </w:pPr>
            <w:bookmarkStart w:id="165" w:name="_Toc173682165"/>
            <w:r>
              <w:rPr>
                <w:rFonts w:hint="eastAsia" w:ascii="仿宋_GB2312" w:hAnsi="仿宋_GB2312" w:eastAsia="仿宋_GB2312" w:cs="仿宋_GB2312"/>
                <w:color w:val="auto"/>
                <w:sz w:val="24"/>
              </w:rPr>
              <w:t>（2）直播开场需包含问好、自我介绍、本次直播计划、促销活动四项内容。</w:t>
            </w:r>
            <w:bookmarkEnd w:id="165"/>
          </w:p>
          <w:p w14:paraId="509E5A08">
            <w:pPr>
              <w:spacing w:line="400" w:lineRule="exact"/>
              <w:outlineLvl w:val="0"/>
              <w:rPr>
                <w:rFonts w:ascii="仿宋_GB2312" w:hAnsi="仿宋_GB2312" w:eastAsia="仿宋_GB2312" w:cs="仿宋_GB2312"/>
                <w:color w:val="auto"/>
                <w:sz w:val="24"/>
              </w:rPr>
            </w:pPr>
            <w:bookmarkStart w:id="166" w:name="_Toc173682166"/>
            <w:r>
              <w:rPr>
                <w:rFonts w:hint="eastAsia" w:ascii="仿宋_GB2312" w:hAnsi="仿宋_GB2312" w:eastAsia="仿宋_GB2312" w:cs="仿宋_GB2312"/>
                <w:color w:val="auto"/>
                <w:sz w:val="24"/>
              </w:rPr>
              <w:t>（3）根据商品资料正确关联商品链接。</w:t>
            </w:r>
            <w:bookmarkEnd w:id="166"/>
          </w:p>
          <w:p w14:paraId="41A28EBA">
            <w:pPr>
              <w:spacing w:line="400" w:lineRule="exact"/>
              <w:outlineLvl w:val="0"/>
              <w:rPr>
                <w:rFonts w:ascii="仿宋_GB2312" w:hAnsi="仿宋_GB2312" w:eastAsia="仿宋_GB2312" w:cs="仿宋_GB2312"/>
                <w:color w:val="auto"/>
                <w:sz w:val="24"/>
              </w:rPr>
            </w:pPr>
            <w:bookmarkStart w:id="167" w:name="_Toc173682167"/>
            <w:r>
              <w:rPr>
                <w:rFonts w:hint="eastAsia" w:ascii="仿宋_GB2312" w:hAnsi="仿宋_GB2312" w:eastAsia="仿宋_GB2312" w:cs="仿宋_GB2312"/>
                <w:color w:val="auto"/>
                <w:sz w:val="24"/>
              </w:rPr>
              <w:t>（4）根据背景资料完成商品属性、特色、卖点的介绍，有商品日常价格、直播促销价的说明，有商品的特写展示。同时，要回答弹幕中出现的相关问题。</w:t>
            </w:r>
            <w:bookmarkEnd w:id="167"/>
          </w:p>
          <w:p w14:paraId="0EBB87E8">
            <w:pPr>
              <w:spacing w:line="400" w:lineRule="exact"/>
              <w:outlineLvl w:val="0"/>
              <w:rPr>
                <w:rFonts w:ascii="仿宋_GB2312" w:hAnsi="仿宋_GB2312" w:eastAsia="仿宋_GB2312" w:cs="仿宋_GB2312"/>
                <w:color w:val="auto"/>
                <w:sz w:val="24"/>
              </w:rPr>
            </w:pPr>
            <w:bookmarkStart w:id="168" w:name="_Toc173682168"/>
            <w:r>
              <w:rPr>
                <w:rFonts w:hint="eastAsia" w:ascii="仿宋_GB2312" w:hAnsi="仿宋_GB2312" w:eastAsia="仿宋_GB2312" w:cs="仿宋_GB2312"/>
                <w:color w:val="auto"/>
                <w:sz w:val="24"/>
              </w:rPr>
              <w:t>（5）结尾需要包含引导关注、感谢语等内容。</w:t>
            </w:r>
            <w:bookmarkEnd w:id="168"/>
          </w:p>
          <w:p w14:paraId="785254C0">
            <w:pPr>
              <w:spacing w:line="400" w:lineRule="exact"/>
              <w:outlineLvl w:val="0"/>
              <w:rPr>
                <w:rFonts w:ascii="仿宋_GB2312" w:hAnsi="仿宋_GB2312" w:eastAsia="仿宋_GB2312" w:cs="仿宋_GB2312"/>
                <w:b/>
                <w:bCs/>
                <w:color w:val="auto"/>
                <w:sz w:val="24"/>
              </w:rPr>
            </w:pPr>
            <w:bookmarkStart w:id="169" w:name="_Toc173682169"/>
            <w:r>
              <w:rPr>
                <w:rFonts w:hint="eastAsia" w:ascii="仿宋_GB2312" w:hAnsi="仿宋_GB2312" w:eastAsia="仿宋_GB2312" w:cs="仿宋_GB2312"/>
                <w:b/>
                <w:bCs/>
                <w:color w:val="auto"/>
                <w:sz w:val="24"/>
              </w:rPr>
              <w:t>任务8：直播互动</w:t>
            </w:r>
            <w:bookmarkEnd w:id="169"/>
          </w:p>
          <w:p w14:paraId="6E0FC0AC">
            <w:pPr>
              <w:spacing w:line="400" w:lineRule="exact"/>
              <w:outlineLvl w:val="0"/>
              <w:rPr>
                <w:rFonts w:ascii="仿宋_GB2312" w:hAnsi="仿宋_GB2312" w:eastAsia="仿宋_GB2312" w:cs="仿宋_GB2312"/>
                <w:color w:val="auto"/>
                <w:sz w:val="24"/>
              </w:rPr>
            </w:pPr>
            <w:bookmarkStart w:id="170" w:name="_Toc173682170"/>
            <w:r>
              <w:rPr>
                <w:rFonts w:hint="eastAsia" w:ascii="仿宋_GB2312" w:hAnsi="仿宋_GB2312" w:eastAsia="仿宋_GB2312" w:cs="仿宋_GB2312"/>
                <w:color w:val="auto"/>
                <w:sz w:val="24"/>
              </w:rPr>
              <w:t>（1）在直播开始前，完成直播互动的玩法预设。</w:t>
            </w:r>
            <w:bookmarkEnd w:id="170"/>
          </w:p>
          <w:p w14:paraId="750CB338">
            <w:pPr>
              <w:spacing w:line="400" w:lineRule="exact"/>
              <w:outlineLvl w:val="0"/>
              <w:rPr>
                <w:rFonts w:ascii="仿宋_GB2312" w:hAnsi="仿宋_GB2312" w:eastAsia="仿宋_GB2312" w:cs="仿宋_GB2312"/>
                <w:color w:val="auto"/>
                <w:sz w:val="24"/>
              </w:rPr>
            </w:pPr>
            <w:bookmarkStart w:id="171" w:name="_Toc173682171"/>
            <w:r>
              <w:rPr>
                <w:rFonts w:hint="eastAsia" w:ascii="仿宋_GB2312" w:hAnsi="仿宋_GB2312" w:eastAsia="仿宋_GB2312" w:cs="仿宋_GB2312"/>
                <w:color w:val="auto"/>
                <w:sz w:val="24"/>
              </w:rPr>
              <w:t>（2）根据脚本策划，完成直播商品讲解与互动。</w:t>
            </w:r>
            <w:bookmarkEnd w:id="171"/>
          </w:p>
          <w:p w14:paraId="3A2A1637">
            <w:pPr>
              <w:spacing w:line="400" w:lineRule="exact"/>
              <w:outlineLvl w:val="0"/>
              <w:rPr>
                <w:rFonts w:ascii="仿宋_GB2312" w:hAnsi="仿宋_GB2312" w:eastAsia="仿宋_GB2312" w:cs="仿宋_GB2312"/>
                <w:b/>
                <w:bCs/>
                <w:color w:val="auto"/>
                <w:sz w:val="24"/>
              </w:rPr>
            </w:pPr>
            <w:bookmarkStart w:id="172" w:name="_Toc173682172"/>
            <w:r>
              <w:rPr>
                <w:rFonts w:hint="eastAsia" w:ascii="仿宋_GB2312" w:hAnsi="仿宋_GB2312" w:eastAsia="仿宋_GB2312" w:cs="仿宋_GB2312"/>
                <w:b/>
                <w:bCs/>
                <w:color w:val="auto"/>
                <w:sz w:val="24"/>
              </w:rPr>
              <w:t>任务9：直播复盘</w:t>
            </w:r>
            <w:bookmarkEnd w:id="172"/>
          </w:p>
          <w:p w14:paraId="7970B9E9">
            <w:pPr>
              <w:spacing w:line="400" w:lineRule="exact"/>
              <w:outlineLvl w:val="0"/>
              <w:rPr>
                <w:rFonts w:ascii="仿宋_GB2312" w:hAnsi="仿宋_GB2312" w:eastAsia="仿宋_GB2312" w:cs="仿宋_GB2312"/>
                <w:color w:val="auto"/>
                <w:sz w:val="24"/>
              </w:rPr>
            </w:pPr>
            <w:bookmarkStart w:id="173" w:name="_Toc173682173"/>
            <w:r>
              <w:rPr>
                <w:rFonts w:hint="eastAsia" w:ascii="仿宋_GB2312" w:hAnsi="仿宋_GB2312" w:eastAsia="仿宋_GB2312" w:cs="仿宋_GB2312"/>
                <w:color w:val="auto"/>
                <w:sz w:val="24"/>
              </w:rPr>
              <w:t>（1）在直播结束后，完成直播相关数据的分析。</w:t>
            </w:r>
            <w:bookmarkEnd w:id="173"/>
          </w:p>
          <w:p w14:paraId="4761F680">
            <w:pPr>
              <w:spacing w:line="400" w:lineRule="exact"/>
              <w:outlineLvl w:val="0"/>
              <w:rPr>
                <w:rFonts w:ascii="仿宋_GB2312" w:hAnsi="仿宋_GB2312" w:eastAsia="仿宋_GB2312" w:cs="仿宋_GB2312"/>
                <w:color w:val="auto"/>
                <w:sz w:val="24"/>
              </w:rPr>
            </w:pPr>
            <w:bookmarkStart w:id="174" w:name="_Toc173682174"/>
            <w:r>
              <w:rPr>
                <w:rFonts w:hint="eastAsia" w:ascii="仿宋_GB2312" w:hAnsi="仿宋_GB2312" w:eastAsia="仿宋_GB2312" w:cs="仿宋_GB2312"/>
                <w:color w:val="auto"/>
                <w:sz w:val="24"/>
              </w:rPr>
              <w:t>（2）根据本场直播数据，完成相关试题。</w:t>
            </w:r>
            <w:bookmarkEnd w:id="174"/>
          </w:p>
        </w:tc>
        <w:tc>
          <w:tcPr>
            <w:tcW w:w="1219" w:type="dxa"/>
            <w:vAlign w:val="center"/>
          </w:tcPr>
          <w:p w14:paraId="7FF3A585">
            <w:pPr>
              <w:spacing w:line="400" w:lineRule="exact"/>
              <w:jc w:val="center"/>
              <w:outlineLvl w:val="0"/>
              <w:rPr>
                <w:rFonts w:ascii="仿宋_GB2312" w:hAnsi="仿宋_GB2312" w:eastAsia="仿宋_GB2312" w:cs="仿宋_GB2312"/>
                <w:color w:val="auto"/>
                <w:sz w:val="24"/>
              </w:rPr>
            </w:pPr>
            <w:bookmarkStart w:id="175" w:name="_Toc173682175"/>
            <w:r>
              <w:rPr>
                <w:rFonts w:hint="eastAsia" w:ascii="仿宋_GB2312" w:hAnsi="仿宋_GB2312" w:eastAsia="仿宋_GB2312" w:cs="仿宋_GB2312"/>
                <w:color w:val="auto"/>
                <w:sz w:val="24"/>
              </w:rPr>
              <w:t>240分钟</w:t>
            </w:r>
            <w:bookmarkEnd w:id="175"/>
          </w:p>
        </w:tc>
        <w:tc>
          <w:tcPr>
            <w:tcW w:w="855" w:type="dxa"/>
            <w:vAlign w:val="center"/>
          </w:tcPr>
          <w:p w14:paraId="0C8A48B8">
            <w:pPr>
              <w:spacing w:line="400" w:lineRule="exact"/>
              <w:jc w:val="center"/>
              <w:outlineLvl w:val="0"/>
              <w:rPr>
                <w:rFonts w:ascii="仿宋_GB2312" w:hAnsi="仿宋_GB2312" w:eastAsia="仿宋_GB2312" w:cs="仿宋_GB2312"/>
                <w:color w:val="auto"/>
                <w:sz w:val="24"/>
              </w:rPr>
            </w:pPr>
            <w:bookmarkStart w:id="176" w:name="_Toc173682176"/>
            <w:r>
              <w:rPr>
                <w:rFonts w:hint="eastAsia" w:ascii="仿宋_GB2312" w:hAnsi="仿宋_GB2312" w:eastAsia="仿宋_GB2312" w:cs="仿宋_GB2312"/>
                <w:color w:val="auto"/>
                <w:sz w:val="24"/>
              </w:rPr>
              <w:t>60</w:t>
            </w:r>
            <w:bookmarkEnd w:id="176"/>
          </w:p>
        </w:tc>
      </w:tr>
    </w:tbl>
    <w:p w14:paraId="29443846">
      <w:pPr>
        <w:widowControl/>
        <w:kinsoku w:val="0"/>
        <w:autoSpaceDE w:val="0"/>
        <w:autoSpaceDN w:val="0"/>
        <w:adjustRightInd w:val="0"/>
        <w:snapToGrid w:val="0"/>
        <w:spacing w:line="600" w:lineRule="exact"/>
        <w:ind w:firstLine="1600" w:firstLineChars="500"/>
        <w:textAlignment w:val="baseline"/>
        <w:outlineLvl w:val="0"/>
        <w:rPr>
          <w:rFonts w:ascii="仿宋_GB2312" w:hAnsi="仿宋_GB2312" w:eastAsia="仿宋_GB2312" w:cs="仿宋_GB2312"/>
          <w:color w:val="auto"/>
          <w:sz w:val="32"/>
          <w:szCs w:val="32"/>
        </w:rPr>
      </w:pPr>
    </w:p>
    <w:p w14:paraId="55A8CDA1">
      <w:pPr>
        <w:pStyle w:val="40"/>
        <w:spacing w:line="400" w:lineRule="exact"/>
        <w:rPr>
          <w:rFonts w:ascii="仿宋_GB2312" w:hAnsi="仿宋_GB2312" w:eastAsia="仿宋_GB2312" w:cs="仿宋_GB2312"/>
          <w:b/>
          <w:bCs/>
          <w:color w:val="auto"/>
          <w:sz w:val="24"/>
          <w:szCs w:val="24"/>
        </w:rPr>
      </w:pPr>
    </w:p>
    <w:p w14:paraId="64B45D71">
      <w:pPr>
        <w:pStyle w:val="40"/>
        <w:spacing w:line="400" w:lineRule="exact"/>
        <w:rPr>
          <w:rFonts w:ascii="仿宋_GB2312" w:hAnsi="仿宋_GB2312" w:eastAsia="仿宋_GB2312" w:cs="仿宋_GB2312"/>
          <w:b/>
          <w:bCs/>
          <w:color w:val="auto"/>
          <w:sz w:val="24"/>
          <w:szCs w:val="24"/>
        </w:rPr>
      </w:pPr>
    </w:p>
    <w:p w14:paraId="0BC58526">
      <w:pPr>
        <w:pStyle w:val="40"/>
        <w:spacing w:line="400" w:lineRule="exact"/>
        <w:rPr>
          <w:rFonts w:ascii="仿宋_GB2312" w:hAnsi="仿宋_GB2312" w:eastAsia="仿宋_GB2312" w:cs="仿宋_GB2312"/>
          <w:b/>
          <w:bCs/>
          <w:color w:val="auto"/>
          <w:sz w:val="24"/>
          <w:szCs w:val="24"/>
        </w:rPr>
      </w:pPr>
    </w:p>
    <w:p w14:paraId="0D2BB4C7">
      <w:pPr>
        <w:pStyle w:val="40"/>
        <w:spacing w:line="400" w:lineRule="exact"/>
        <w:rPr>
          <w:rFonts w:ascii="仿宋_GB2312" w:hAnsi="仿宋_GB2312" w:eastAsia="仿宋_GB2312" w:cs="仿宋_GB2312"/>
          <w:b/>
          <w:bCs/>
          <w:color w:val="auto"/>
          <w:sz w:val="24"/>
          <w:szCs w:val="24"/>
        </w:rPr>
      </w:pPr>
    </w:p>
    <w:p w14:paraId="5D08A0DE">
      <w:pPr>
        <w:pStyle w:val="40"/>
        <w:spacing w:line="400" w:lineRule="exact"/>
        <w:rPr>
          <w:rFonts w:ascii="仿宋_GB2312" w:hAnsi="仿宋_GB2312" w:eastAsia="仿宋_GB2312" w:cs="仿宋_GB2312"/>
          <w:b/>
          <w:bCs/>
          <w:color w:val="auto"/>
          <w:sz w:val="24"/>
          <w:szCs w:val="24"/>
        </w:rPr>
      </w:pPr>
    </w:p>
    <w:p w14:paraId="77DB21D7">
      <w:pPr>
        <w:pStyle w:val="40"/>
        <w:spacing w:line="400" w:lineRule="exact"/>
        <w:rPr>
          <w:rFonts w:ascii="仿宋_GB2312" w:hAnsi="仿宋_GB2312" w:eastAsia="仿宋_GB2312" w:cs="仿宋_GB2312"/>
          <w:b/>
          <w:bCs/>
          <w:color w:val="auto"/>
          <w:sz w:val="24"/>
          <w:szCs w:val="24"/>
        </w:rPr>
      </w:pPr>
    </w:p>
    <w:p w14:paraId="479F7CD2">
      <w:pPr>
        <w:pStyle w:val="40"/>
        <w:spacing w:line="400" w:lineRule="exact"/>
        <w:rPr>
          <w:rFonts w:ascii="仿宋_GB2312" w:hAnsi="仿宋_GB2312" w:eastAsia="仿宋_GB2312" w:cs="仿宋_GB2312"/>
          <w:b/>
          <w:bCs/>
          <w:color w:val="auto"/>
          <w:sz w:val="24"/>
          <w:szCs w:val="24"/>
        </w:rPr>
      </w:pPr>
    </w:p>
    <w:p w14:paraId="57989015">
      <w:pPr>
        <w:pStyle w:val="40"/>
        <w:spacing w:line="400" w:lineRule="exact"/>
        <w:rPr>
          <w:rFonts w:ascii="仿宋_GB2312" w:hAnsi="仿宋_GB2312" w:eastAsia="仿宋_GB2312" w:cs="仿宋_GB2312"/>
          <w:b/>
          <w:bCs/>
          <w:color w:val="auto"/>
          <w:sz w:val="24"/>
          <w:szCs w:val="24"/>
        </w:rPr>
      </w:pPr>
    </w:p>
    <w:p w14:paraId="3431FA5D">
      <w:pPr>
        <w:pStyle w:val="40"/>
        <w:spacing w:line="400" w:lineRule="exact"/>
        <w:rPr>
          <w:rFonts w:ascii="仿宋_GB2312" w:hAnsi="仿宋_GB2312" w:eastAsia="仿宋_GB2312" w:cs="仿宋_GB2312"/>
          <w:b/>
          <w:bCs/>
          <w:color w:val="auto"/>
          <w:sz w:val="24"/>
          <w:szCs w:val="24"/>
        </w:rPr>
      </w:pPr>
    </w:p>
    <w:p w14:paraId="12D3FB0F">
      <w:pPr>
        <w:pStyle w:val="40"/>
        <w:spacing w:line="400" w:lineRule="exact"/>
        <w:rPr>
          <w:rFonts w:ascii="仿宋_GB2312" w:hAnsi="仿宋_GB2312" w:eastAsia="仿宋_GB2312" w:cs="仿宋_GB2312"/>
          <w:b/>
          <w:bCs/>
          <w:color w:val="auto"/>
          <w:sz w:val="24"/>
          <w:szCs w:val="24"/>
        </w:rPr>
      </w:pPr>
    </w:p>
    <w:p w14:paraId="0246F923">
      <w:pPr>
        <w:pStyle w:val="40"/>
        <w:spacing w:line="400" w:lineRule="exact"/>
        <w:rPr>
          <w:rFonts w:ascii="仿宋_GB2312" w:hAnsi="仿宋_GB2312" w:eastAsia="仿宋_GB2312" w:cs="仿宋_GB2312"/>
          <w:b/>
          <w:bCs/>
          <w:color w:val="auto"/>
          <w:sz w:val="24"/>
          <w:szCs w:val="24"/>
        </w:rPr>
      </w:pPr>
    </w:p>
    <w:p w14:paraId="5BFDF1D2">
      <w:pPr>
        <w:pStyle w:val="40"/>
        <w:spacing w:line="400" w:lineRule="exact"/>
        <w:rPr>
          <w:rFonts w:ascii="仿宋_GB2312" w:hAnsi="仿宋_GB2312" w:eastAsia="仿宋_GB2312" w:cs="仿宋_GB2312"/>
          <w:b/>
          <w:bCs/>
          <w:color w:val="auto"/>
          <w:sz w:val="24"/>
          <w:szCs w:val="24"/>
        </w:rPr>
      </w:pPr>
    </w:p>
    <w:p w14:paraId="6E4667D6">
      <w:pPr>
        <w:pStyle w:val="40"/>
        <w:spacing w:line="400" w:lineRule="exact"/>
        <w:rPr>
          <w:rFonts w:ascii="仿宋_GB2312" w:hAnsi="仿宋_GB2312" w:eastAsia="仿宋_GB2312" w:cs="仿宋_GB2312"/>
          <w:b/>
          <w:bCs/>
          <w:color w:val="auto"/>
          <w:sz w:val="24"/>
          <w:szCs w:val="24"/>
        </w:rPr>
      </w:pPr>
    </w:p>
    <w:p w14:paraId="34C1EB77">
      <w:pPr>
        <w:pStyle w:val="40"/>
        <w:spacing w:line="400" w:lineRule="exact"/>
        <w:rPr>
          <w:rFonts w:ascii="仿宋_GB2312" w:hAnsi="仿宋_GB2312" w:eastAsia="仿宋_GB2312" w:cs="仿宋_GB2312"/>
          <w:b/>
          <w:bCs/>
          <w:color w:val="auto"/>
          <w:sz w:val="24"/>
          <w:szCs w:val="24"/>
        </w:rPr>
      </w:pPr>
    </w:p>
    <w:p w14:paraId="63612F87">
      <w:pPr>
        <w:pStyle w:val="40"/>
        <w:spacing w:line="400" w:lineRule="exact"/>
        <w:rPr>
          <w:rFonts w:ascii="仿宋_GB2312" w:hAnsi="仿宋_GB2312" w:eastAsia="仿宋_GB2312" w:cs="仿宋_GB2312"/>
          <w:b/>
          <w:bCs/>
          <w:color w:val="auto"/>
          <w:sz w:val="24"/>
          <w:szCs w:val="24"/>
        </w:rPr>
      </w:pPr>
    </w:p>
    <w:p w14:paraId="18E65B04">
      <w:pPr>
        <w:pStyle w:val="40"/>
        <w:spacing w:line="400" w:lineRule="exact"/>
        <w:rPr>
          <w:rFonts w:ascii="仿宋_GB2312" w:hAnsi="仿宋_GB2312" w:eastAsia="仿宋_GB2312" w:cs="仿宋_GB2312"/>
          <w:b/>
          <w:bCs/>
          <w:color w:val="auto"/>
          <w:sz w:val="24"/>
          <w:szCs w:val="24"/>
        </w:rPr>
      </w:pPr>
    </w:p>
    <w:p w14:paraId="41EEA9EB">
      <w:pPr>
        <w:spacing w:line="400" w:lineRule="exact"/>
        <w:jc w:val="lef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lang w:val="en-US" w:eastAsia="zh-CN"/>
        </w:rPr>
        <w:t>分标4</w:t>
      </w:r>
    </w:p>
    <w:tbl>
      <w:tblPr>
        <w:tblStyle w:val="51"/>
        <w:tblW w:w="9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937"/>
        <w:gridCol w:w="7465"/>
        <w:gridCol w:w="851"/>
      </w:tblGrid>
      <w:tr w14:paraId="4839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672" w:type="dxa"/>
            <w:gridSpan w:val="4"/>
            <w:vAlign w:val="center"/>
          </w:tcPr>
          <w:p w14:paraId="08AA637B">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一、项目技术规格参数及要求</w:t>
            </w:r>
          </w:p>
        </w:tc>
      </w:tr>
      <w:tr w14:paraId="1ECB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419" w:type="dxa"/>
            <w:vAlign w:val="center"/>
          </w:tcPr>
          <w:p w14:paraId="6F2E55C9">
            <w:pPr>
              <w:pStyle w:val="808"/>
              <w:snapToGrid w:val="0"/>
              <w:spacing w:line="4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序号</w:t>
            </w:r>
          </w:p>
        </w:tc>
        <w:tc>
          <w:tcPr>
            <w:tcW w:w="937" w:type="dxa"/>
            <w:vAlign w:val="center"/>
          </w:tcPr>
          <w:p w14:paraId="00FFAA1F">
            <w:pPr>
              <w:pStyle w:val="808"/>
              <w:snapToGrid w:val="0"/>
              <w:spacing w:line="4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标的名称</w:t>
            </w:r>
          </w:p>
        </w:tc>
        <w:tc>
          <w:tcPr>
            <w:tcW w:w="7465" w:type="dxa"/>
            <w:vAlign w:val="center"/>
          </w:tcPr>
          <w:p w14:paraId="02A4FDB6">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技术参数</w:t>
            </w:r>
          </w:p>
        </w:tc>
        <w:tc>
          <w:tcPr>
            <w:tcW w:w="851" w:type="dxa"/>
            <w:vAlign w:val="center"/>
          </w:tcPr>
          <w:p w14:paraId="2DCF50F6">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数量及单位</w:t>
            </w:r>
          </w:p>
        </w:tc>
      </w:tr>
      <w:tr w14:paraId="45AD3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19" w:type="dxa"/>
            <w:vAlign w:val="center"/>
          </w:tcPr>
          <w:p w14:paraId="22EF2387">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937" w:type="dxa"/>
            <w:vAlign w:val="center"/>
          </w:tcPr>
          <w:p w14:paraId="5FDDD3C8">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跨境电商数字营销综合实训平台</w:t>
            </w:r>
          </w:p>
        </w:tc>
        <w:tc>
          <w:tcPr>
            <w:tcW w:w="7465" w:type="dxa"/>
            <w:vAlign w:val="center"/>
          </w:tcPr>
          <w:p w14:paraId="1A81312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一、总体要求</w:t>
            </w:r>
          </w:p>
          <w:p w14:paraId="27DFC93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1、软件采用B/S架构，只需要通过能够上网的电脑和浏览器就可开展实训。</w:t>
            </w:r>
          </w:p>
          <w:p w14:paraId="4F5D076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2、平台应分为教学管理系统和实训系统两个部分，其中教学管理系统具备权限分配和资源管理功能，实训系统应能够支持学生完成跨境电商数字营销运营与决策实训。</w:t>
            </w:r>
          </w:p>
          <w:p w14:paraId="69A60AE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二、教学管理系统模块</w:t>
            </w:r>
          </w:p>
          <w:p w14:paraId="42A9212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1、教学管理系统后台</w:t>
            </w:r>
          </w:p>
          <w:p w14:paraId="7D09AF7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（1）教学管理系统后台主页面：应支持选择班级查看对应班级的实训任务与课程题库完成情况，支持通过柱状图与饼状图的可视化形式直观展现已完成实训任务与课程题库的人数与占比。</w:t>
            </w:r>
          </w:p>
          <w:p w14:paraId="418B5DA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教师管理：应支持通过教师名称或手机号码查询用户，支持通过是否完成手机号验证对用户进行筛选，查看教师姓名、用户名、联系电话、验证时间、学校、管理班级、班级人数、创建人、创建时间、授权状态</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授权到期时间</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信息，管理员可选择对教师账号进行信息修改或删除。系统应支持批量导出用户信息，添加新用户信息并创建账号，对教师账号进行单个或批量删除。</w:t>
            </w:r>
          </w:p>
          <w:p w14:paraId="19D4364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（3）班级管理：应支持在选择启用或禁用的班级状态下，通过班级名称查询班级，查看班级名称、班级学生人数、班级教师、学校名称、创建人、创建时间、授权状态、授权到期时间</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启用状态</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信息，管理员可选择对班级进行信息修改或禁用（启用），并在学生管理模块中对学生进行管理。系统应支持添加新班级信息并创建班级，对班级进行单个或批量禁用（启用）。</w:t>
            </w:r>
          </w:p>
          <w:p w14:paraId="279388D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学生管理：应支持在选择启用或禁用的账号状态下，通过学生名称/账号或手机号码查询用户，支持通过是否完成手机号验证对用户进行筛选，查看学生姓名、学校、班级、账号、手机号、验证时间、创建人、授权到期时间、启用状态</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创建时间</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信息，管理员可选择对学生账号进行信息修改或禁用。系统应支持批量导出用户信息，单个添加或通过模板批量添加新用户信息并创建账号，对学生账号进行单个或批量禁用（启用）。</w:t>
            </w:r>
          </w:p>
          <w:p w14:paraId="124A08E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（5）课程列表：应支持通过课程名称查询课程类型、课程明细、封面图片、创建人、所属学校</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添加时间</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信息，管理员可选择对课程信息进行修改。系统应支持添加新的课程信息并创建课程，并在课程明细中对课程明细信息进行管理。</w:t>
            </w:r>
          </w:p>
          <w:p w14:paraId="060D07B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（6）教学监控：应支持通过班级或学生姓名筛选、查询用户，查看班级、学号、姓名、积分、已完成实训任务、已完成课程题库、综合积分</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综合成绩</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信息。系统应支持批量导出用户信息。应支持教师查看学生每个实训任务的完成详情，支持对实训任务进行评分，并支持教师通过教学管理后台链接进入对应学生的实训后台，查看该学生的实训平台实操情况并进行评分。</w:t>
            </w:r>
          </w:p>
          <w:p w14:paraId="471E67A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7）交流中心：具备管理帖子与回复的功能模块。在帖子管理模块中，应支持通过用户姓名或帖子标题查询帖子，支持通过帖子置顶或审核状态对帖子进行筛选，查看帖子的发布人、帖子标题、图片、置顶情况、学校、班级</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审核状态</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信息，管理员可添加帖子，或对帖子进行删除</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审核</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操作。在回复管理模块中，可通过用户姓名查询回复，支持通过回复审核状态对回复进行筛选，查看评论人、回复内容、图片、审核状态</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添加时间</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信息，管理员可对帖子进行删除、审核操作。</w:t>
            </w:r>
          </w:p>
          <w:p w14:paraId="30F9DFD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2、教学管理系统前台</w:t>
            </w:r>
          </w:p>
          <w:p w14:paraId="23DEFE8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（1）教学管理系统前台主页面：</w:t>
            </w:r>
            <w:r>
              <w:rPr>
                <w:rFonts w:hint="eastAsia" w:ascii="仿宋_GB2312" w:hAnsi="仿宋_GB2312" w:eastAsia="仿宋_GB2312" w:cs="仿宋_GB2312"/>
                <w:snapToGrid w:val="0"/>
                <w:color w:val="auto"/>
                <w:kern w:val="0"/>
                <w:sz w:val="24"/>
                <w:lang w:val="en-US" w:eastAsia="zh-CN"/>
              </w:rPr>
              <w:t>至少</w:t>
            </w:r>
            <w:r>
              <w:rPr>
                <w:rFonts w:hint="eastAsia" w:ascii="仿宋_GB2312" w:hAnsi="仿宋_GB2312" w:eastAsia="仿宋_GB2312" w:cs="仿宋_GB2312"/>
                <w:snapToGrid w:val="0"/>
                <w:color w:val="auto"/>
                <w:kern w:val="0"/>
                <w:sz w:val="24"/>
              </w:rPr>
              <w:t>支持链接至实训任务、实训平台、课程题库、交流中心、课程知识库、实训轨迹、实训排名、资料下载功能模块。展示用户实训学习与答题完成情况，包括完成任务数、答题次数、积分、排名信息。实训任务进度模块支持显示设置的总任务数与完成任务数，以可视化的形式展现用户已完成的任务占比。课程题库进度模块支持显示设置的总试卷数与完成试卷数，并以可视化的形式展现用户已完成的课程题库占比。每月练习数模块可展示月度练习完成情况的历史记录，显示的信息有月份、完成任务数与答题次数。实训排名模块可展示用户实训得分排名，提供名次、用户头像、姓名、积分、完成任务数与答题次数信息。</w:t>
            </w:r>
          </w:p>
          <w:p w14:paraId="520A80A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实训任务：应支持展示用户实训任务完成情况，展示的信息包括实训积分、任务完成进度、已完成任务数量、未完成任务数量、班级排名。可根据实训任务的完成情况以全部任务、未完成任务、已完成任务三种状况对实训任务进行筛选分组显示，可按章节分组展示实训项目目录。每个实训任务显示任务完成情况，包括实训任务类型，学习、实操、答题和综合积分的得分情况，任务当前状态、任务详情信息。用户可通过学习、实操和答题链接进入对应课程知识库学习相关理论知识，进入实训平台进行实操练习，进入课程题库完成对应项目的试题库并答题。</w:t>
            </w:r>
          </w:p>
          <w:p w14:paraId="1318CE6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课程题库：应支持分组展示课程试题组，显示作答次数、测试得分信息。通过学习链接可进入对应课程知识库进行相关理论知识的学习，通过答题链接可进入试题组进行做题，试题形式包括单选题、多选题、判断题。完成答题后显示考试结果，提供答题得分、错题数量、正确答案与学生答案信息。</w:t>
            </w:r>
          </w:p>
          <w:p w14:paraId="1E60AA5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（4）交流中心：应提供热门话题、我的话题、我的回复分组，发表的话题支持配插图。</w:t>
            </w:r>
          </w:p>
          <w:p w14:paraId="5691441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（5）课程知识库：应支持按章节分组展示课程知识库目录，课程知识库提供的文字、图片</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视频形式的课程资源，视频内容支持静音、全屏播放、调整播放速度与画中画形式播放。</w:t>
            </w:r>
          </w:p>
          <w:p w14:paraId="638FF08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（6）实训轨迹：生成月度实训轨迹图，可按年查看每月完成任务数量。</w:t>
            </w:r>
          </w:p>
          <w:p w14:paraId="0D75ADA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（7）实训排名：应支持展示用户实训得分排名，提供名次、用户头像、姓名、完成任务数、综合积分与综合成绩信息。</w:t>
            </w:r>
          </w:p>
          <w:p w14:paraId="3864770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（8）资料下载：应支持分组展示课程资料，显示资料组浏览次数，支持通过关键字搜索资料组。支持根据资料情况下载PDF、DOC文档、视频</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图片形式的课程资料。</w:t>
            </w:r>
          </w:p>
          <w:p w14:paraId="65A4D90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三、实训系统功能模块（一）</w:t>
            </w:r>
          </w:p>
          <w:p w14:paraId="1CAD739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首页：应支持查看店铺的经营数据，包括今日花费、成交总花费、实收交易金额、总商品数、新增商品数、库存售空商品数据，并且支持查看店铺数据（店铺曝光量、店铺点击量、店铺点击率）和订单数据（订单量、总金额、客单价），支持通过折线图的可视化形式直观展现店铺数据以及订单数据的变化趋势。</w:t>
            </w:r>
          </w:p>
          <w:p w14:paraId="2383283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2.选品管理：选品管理应包含选品市场和进货单两个模块。</w:t>
            </w:r>
          </w:p>
          <w:p w14:paraId="55077CF8">
            <w:pPr>
              <w:snapToGrid w:val="0"/>
              <w:spacing w:line="400" w:lineRule="exact"/>
              <w:rPr>
                <w:rFonts w:ascii="仿宋_GB2312" w:hAnsi="仿宋_GB2312" w:eastAsia="仿宋_GB2312" w:cs="仿宋_GB2312"/>
                <w:b/>
                <w:bCs/>
                <w:snapToGrid w:val="0"/>
                <w:color w:val="auto"/>
                <w:kern w:val="0"/>
                <w:sz w:val="24"/>
              </w:rPr>
            </w:pPr>
            <w:r>
              <w:rPr>
                <w:rFonts w:hint="eastAsia" w:ascii="仿宋_GB2312" w:hAnsi="仿宋_GB2312" w:eastAsia="仿宋_GB2312" w:cs="仿宋_GB2312"/>
                <w:snapToGrid w:val="0"/>
                <w:color w:val="auto"/>
                <w:kern w:val="0"/>
                <w:sz w:val="24"/>
              </w:rPr>
              <w:t>★</w:t>
            </w:r>
            <w:r>
              <w:rPr>
                <w:rFonts w:hint="eastAsia" w:ascii="仿宋_GB2312" w:hAnsi="仿宋_GB2312" w:eastAsia="仿宋_GB2312" w:cs="仿宋_GB2312"/>
                <w:color w:val="auto"/>
                <w:sz w:val="24"/>
              </w:rPr>
              <w:t>●</w:t>
            </w:r>
            <w:r>
              <w:rPr>
                <w:rFonts w:hint="eastAsia" w:ascii="仿宋_GB2312" w:hAnsi="仿宋_GB2312" w:eastAsia="仿宋_GB2312" w:cs="仿宋_GB2312"/>
                <w:snapToGrid w:val="0"/>
                <w:color w:val="auto"/>
                <w:kern w:val="0"/>
                <w:sz w:val="24"/>
              </w:rPr>
              <w:t>（1）选品市场：应支持通过产品类目导航、产品标题关键词和综合排序搜索产品。其中产品类目应包含男装、女装、孕婴童、流行饰品、运动及娱乐五个一级类目，每个一级类目均应包含若干个二级类目。产品详情页面应支持查看产品图片、标题、评分、价格、起批量、颜色信息，并支持立即订购和加入进货单操作。</w:t>
            </w:r>
            <w:r>
              <w:rPr>
                <w:rFonts w:hint="eastAsia" w:ascii="仿宋_GB2312" w:hAnsi="仿宋_GB2312" w:eastAsia="仿宋_GB2312" w:cs="仿宋_GB2312"/>
                <w:b/>
                <w:bCs/>
                <w:snapToGrid w:val="0"/>
                <w:color w:val="auto"/>
                <w:kern w:val="0"/>
                <w:sz w:val="24"/>
              </w:rPr>
              <w:t>（</w:t>
            </w:r>
            <w:r>
              <w:rPr>
                <w:rFonts w:hint="eastAsia" w:ascii="仿宋_GB2312" w:hAnsi="仿宋_GB2312" w:eastAsia="仿宋_GB2312" w:cs="仿宋_GB2312"/>
                <w:b/>
                <w:bCs/>
                <w:color w:val="auto"/>
                <w:sz w:val="24"/>
              </w:rPr>
              <w:t>投标文件中需提供彩页、官网或功能截图等其中任意一项并加盖投标人CA电子签章</w:t>
            </w:r>
            <w:r>
              <w:rPr>
                <w:rFonts w:hint="eastAsia" w:ascii="仿宋_GB2312" w:hAnsi="仿宋_GB2312" w:eastAsia="仿宋_GB2312" w:cs="仿宋_GB2312"/>
                <w:b/>
                <w:bCs/>
                <w:snapToGrid w:val="0"/>
                <w:color w:val="auto"/>
                <w:kern w:val="0"/>
                <w:sz w:val="24"/>
              </w:rPr>
              <w:t>）</w:t>
            </w:r>
          </w:p>
          <w:p w14:paraId="5DC05FC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进货单：应支持查看所有添加到进货单的商品信息，包括商品标题、数量、单价、小计。应支持设置商品的数量，并支持对进货单里的商品进行删除和结算的操作。结算页面支持跳转至进货单或发布商品页面。</w:t>
            </w:r>
          </w:p>
          <w:p w14:paraId="51A1FF1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3.商品管理：商品管理包含管理商品、商品分类和素材中心三个模块。</w:t>
            </w:r>
          </w:p>
          <w:p w14:paraId="05F1E10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管理商品：应支持切换商品状态，包含仓库中、出售中、已下架、回收站四个状态类型；支持通过商品编号、关键词、时间条件筛选商品；支持对商品进行预览、编辑、上架、下架、删除、批量删除、批量上架、批量下架操作。回收站中应支持查看被删除的商品信息，支持对商品进行恢复的操作。商品详情编辑页面应支持设置商品标题、商品图片、商品编码、商品品牌、规格编码、尺码、颜色、零售价、库存、商品详细描述信息，并支持保存和发布。</w:t>
            </w:r>
          </w:p>
          <w:p w14:paraId="0ABC35A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（2）商品分类：应支持添加产品分类、编辑和删除已有分类操作。</w:t>
            </w:r>
          </w:p>
          <w:p w14:paraId="33BFA46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素材中心：图片银行模块应支持上传图片、添加分组，支持对图片进行删除、编辑名称、查看大图、编辑分组的操作；视频银行模块应支持上传视频、添加分组，支持对视频进行删除、编辑视频名称、查看视频和编辑视频分组的操作。</w:t>
            </w:r>
          </w:p>
          <w:p w14:paraId="29035E3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4.仓库管理：仓库管理应包含库存管理模块。库存管理模块应分为库存管理和库存流水两个模块。其中库存管理中应支持根据库存状态、关键字进行商品筛选，支持查看可用库存</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采购平均价数据，并支持查看库存流水；库存流水中应支持根据库存类型、关键字进行商品筛选，查询商品详细库存流水，包括操作类型、出库入库、采购单价、操作时间数据。</w:t>
            </w:r>
          </w:p>
          <w:p w14:paraId="7299D5F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5.交易管理：交易管理应包含订单管理模块。订单管理模块中支持根据订单号、商品名称、订单状态查询订单，查看下单日期、商品信息、数量、金额、状态信息，并支持通过“查看详情”查看订单的详情信息。</w:t>
            </w:r>
          </w:p>
          <w:p w14:paraId="69D9CE6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6.店铺管理：店铺管理应包含资金明细、店铺信息、我的店铺（PC端）、我的店铺（无线端）、店铺装修五个模块。</w:t>
            </w:r>
          </w:p>
          <w:p w14:paraId="21BC61C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（1）店铺资金明细：应支持切换资金状态，包括全部明细、收入明细、支出明细；并支持通过交易类型、关键字、单号、交易时间筛选店铺资金明细，且数据支持导出。</w:t>
            </w:r>
          </w:p>
          <w:p w14:paraId="5905E8E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（2）店铺信息：店铺信息中应支持查看店铺名称、店铺头像、店铺简介和联系地址，支持对内容进行修改和编辑操作，还可查看店铺资金。</w:t>
            </w:r>
          </w:p>
          <w:p w14:paraId="4CED602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（3）我的店铺（PC端）：应支持查看电脑端店铺页面。</w:t>
            </w:r>
          </w:p>
          <w:p w14:paraId="79FCBB1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（4）我的店铺（无线端）：应支持查看无线端店铺页面。</w:t>
            </w:r>
          </w:p>
          <w:p w14:paraId="10F87A6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店铺装修：应支持创建新的店铺主题模板，包括PC端装修模板和无线端装修模板；支持对PC端模板进行装修，包含店铺设置类（店铺信息、店铺导航）、图文类（轮播、通栏图片、纯文本、自定义内容）、商品类（商品列表、排行榜、秒杀商品、推荐商品、分类管区）、营销互动类（优惠券、满件折）模块；支持对无线端模板进行装修，包含店铺设置类（店铺信息、店铺导航）、图文类（轮播、通栏图片、纯文本、自定义内容）、商品类（商品列表、排行榜、推荐商品）、营销互动类（优惠券、满件折）模块。</w:t>
            </w:r>
          </w:p>
          <w:p w14:paraId="6528820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7.商家站内自营销：应包含优惠券、粉丝营销、折扣营销、场景搭配、EDM营销五个模块。</w:t>
            </w:r>
          </w:p>
          <w:p w14:paraId="56A1F57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（1）优惠券：应支持通过筛选状态、优惠券类型、活动名称查询优惠券，同时支持新建优惠券，并支持查看、编辑和暂停操作。新建优惠券页面可以设置基本信息、面额信息、发布信息。</w:t>
            </w:r>
          </w:p>
          <w:p w14:paraId="633AD30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粉丝营销：应支持发布图片/短视频，对文字描述、选择优惠券、关联商品、领取条件和发布时间进行设置，并查看帖子概况、粉丝概况和优质评论。帖子列表中支持通过帖子编号、帖子类型、状态、起止时间进行筛选，并对帖子进行编辑、查看和删除操作。</w:t>
            </w:r>
          </w:p>
          <w:p w14:paraId="3FE9B32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折扣营销：应包括满减折扣和单品折扣。满减折扣中支持查看不同活动类型和不同状态的活动，支持创建活动、编辑活动和暂停活动；创建活动页面支持设置活动基本信息、活动类型和活动详情。单品折扣中支持查看不同状态的活动，支持创建活动和暂停活动；创建活动页面支持设置活动基本信息</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优惠信息。</w:t>
            </w:r>
          </w:p>
          <w:p w14:paraId="15093B7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（4）场景搭配：应支持查看已创建的搭配套餐图片和标题信息，支持根据是否已设置主图进行筛选。支持进行新建、编辑、删除场景搭配操作。新建场景搭配页面支持设置主题、上传图片、选取产品操作。</w:t>
            </w:r>
          </w:p>
          <w:p w14:paraId="5565BC3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EDM营销：应支持通过营销名称和创建时间查找活动，支持新建和编辑活动操作。新建活动页面应可以选择人群（活跃老客人群、领券人群、潜力访客、收藏人群、待支付订单催付、店铺粉丝、加购人群）进行EDM设置和回信邮箱设置，并输入营销计划信息。</w:t>
            </w:r>
          </w:p>
          <w:p w14:paraId="5204AC4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8.平台广告营销：应包含外贸直通车、商品橱窗、星合短链、联盟营销、顶级展位五个模块。</w:t>
            </w:r>
          </w:p>
          <w:p w14:paraId="604F8591">
            <w:pPr>
              <w:snapToGrid w:val="0"/>
              <w:spacing w:line="400" w:lineRule="exact"/>
              <w:rPr>
                <w:rFonts w:ascii="仿宋_GB2312" w:hAnsi="仿宋_GB2312" w:eastAsia="仿宋_GB2312" w:cs="仿宋_GB2312"/>
                <w:b/>
                <w:bCs/>
                <w:snapToGrid w:val="0"/>
                <w:color w:val="auto"/>
                <w:kern w:val="0"/>
                <w:sz w:val="24"/>
              </w:rPr>
            </w:pPr>
            <w:r>
              <w:rPr>
                <w:rFonts w:hint="eastAsia" w:ascii="仿宋_GB2312" w:hAnsi="仿宋_GB2312" w:eastAsia="仿宋_GB2312" w:cs="仿宋_GB2312"/>
                <w:snapToGrid w:val="0"/>
                <w:color w:val="auto"/>
                <w:kern w:val="0"/>
                <w:sz w:val="24"/>
              </w:rPr>
              <w:t>★</w:t>
            </w:r>
            <w:r>
              <w:rPr>
                <w:rFonts w:hint="eastAsia" w:ascii="仿宋_GB2312" w:hAnsi="仿宋_GB2312" w:eastAsia="仿宋_GB2312" w:cs="仿宋_GB2312"/>
                <w:color w:val="auto"/>
                <w:sz w:val="24"/>
              </w:rPr>
              <w:t>●</w:t>
            </w:r>
            <w:r>
              <w:rPr>
                <w:rFonts w:hint="eastAsia" w:ascii="仿宋_GB2312" w:hAnsi="仿宋_GB2312" w:eastAsia="仿宋_GB2312" w:cs="仿宋_GB2312"/>
                <w:snapToGrid w:val="0"/>
                <w:color w:val="auto"/>
                <w:kern w:val="0"/>
                <w:sz w:val="24"/>
              </w:rPr>
              <w:t>（1）外贸直通车：应包含首页与推广管理两个部分。首页中应可以查看花费、曝光、点击量、点击率数据，支持新建推广计划和查看推广计划相关数据（包括状态、计划名称、每日预算）。新建推广计划页面应可以对推广计划的相关信息进行设置，包括推广商品、关键词偏好、投放设置。推广管理中应可以查看推广计划相关信息，包括今日实时消耗、实时曝光量、实时点击量、实时点击率、平均点击花费数据，支持通过推广状态、推广类型、计划名称筛选推广计划，支持对推广计划进行启动、暂停和删除操作。</w:t>
            </w:r>
            <w:r>
              <w:rPr>
                <w:rFonts w:hint="eastAsia" w:ascii="仿宋_GB2312" w:hAnsi="仿宋_GB2312" w:eastAsia="仿宋_GB2312" w:cs="仿宋_GB2312"/>
                <w:b/>
                <w:bCs/>
                <w:snapToGrid w:val="0"/>
                <w:color w:val="auto"/>
                <w:kern w:val="0"/>
                <w:sz w:val="24"/>
              </w:rPr>
              <w:t>（</w:t>
            </w:r>
            <w:r>
              <w:rPr>
                <w:rFonts w:hint="eastAsia" w:ascii="仿宋_GB2312" w:hAnsi="仿宋_GB2312" w:eastAsia="仿宋_GB2312" w:cs="仿宋_GB2312"/>
                <w:b/>
                <w:bCs/>
                <w:color w:val="auto"/>
                <w:sz w:val="24"/>
              </w:rPr>
              <w:t>投标文件中需提供彩页、官网或功能截图等其中任意一项并加盖投标人CA电子签章</w:t>
            </w:r>
            <w:r>
              <w:rPr>
                <w:rFonts w:hint="eastAsia" w:ascii="仿宋_GB2312" w:hAnsi="仿宋_GB2312" w:eastAsia="仿宋_GB2312" w:cs="仿宋_GB2312"/>
                <w:b/>
                <w:bCs/>
                <w:snapToGrid w:val="0"/>
                <w:color w:val="auto"/>
                <w:kern w:val="0"/>
                <w:sz w:val="24"/>
              </w:rPr>
              <w:t>）</w:t>
            </w:r>
          </w:p>
          <w:p w14:paraId="767784C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商品橱窗：应包含橱窗产品管理和橱窗订单管理两个部分。橱窗订单管理模块应支持查看橱窗订单相关信息，包括订单号、订单购买时间、开通时间、服务周期、橱窗组数，支持设置订单开通时间和购买橱窗操作。橱窗产品管理模块中应可以查看推广中橱窗和未使用橱窗信息，并可以查看橱窗产品相关数据，包括商品信息、搜索曝光量、搜索点击率、订单数量，还可以对橱窗产品进行替换</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优化操作，并支持添加产品操作。</w:t>
            </w:r>
          </w:p>
          <w:p w14:paraId="5AE7157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星合短链：应包含投放计划与效果报表两个部分。投放计划中应可以新建投放计划，选择短链类型、渠道，生成推广链接，并查看所有已投放的链接相关信息，包括短链地址、生成时间、短链类型，同时支持删除链接操作。效果报表中应可以按照时间筛选访客人次、店铺访客数、关注店铺用户数、收藏商品用户数、加购物车用户数、下单订单数、下定金额、支付金额、支付订单数数据，下方报表明细中支持查看已创建短链的相关信息，包括短链地址、生成时间、短链类型及相关数据。</w:t>
            </w:r>
          </w:p>
          <w:p w14:paraId="4F5051A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联盟营销：应包含推广中计划、快速入口、整体数据。支持手动添加商品，并可以批量设置佣金率。整体数据模块中应可以筛选时间条件查看数据，包括浏览量、访客数、算佣支付金额、支付订单数、预计佣金、结算订单数、结算佣金。</w:t>
            </w:r>
          </w:p>
          <w:p w14:paraId="7BE4643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顶级展位：应包含顶展关键词竞价、竞价管理、顶展创意创建、收藏的关键字模块。顶展关键词竞价中应可以查找热词，查看关键词相关信息，包括曝光度、收藏客户数、当前价格、出价次数、竞价状态，可以对关键词进行收藏操作。竞价开始之后，应可以对关键词进行出价的操作，并且结束竞价之后可以对关键词进行管理。竞价管理中应可以查看当前竞价中和历史成交竞价不同状态的竞价相关信息。顶展创意创建中应支持快捷制作创意的操作，可以设置基础信息（选择关键词、落地页）和创意信息（商品以及商品图、文案模板），并选择模板，对已有的顶展创意还可以进行编辑与删除操作。</w:t>
            </w:r>
          </w:p>
          <w:p w14:paraId="2F64BB7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9.平台活动营销：平台活动营销应支持查看平台上所有的平台营销活动，包括平台促销和频道活动两个部分。进入活动报名页面，应支持切换活动状态，包括正在招商的活动、参与中的活动、已结束活动，还应可以通过活动类型、报名状态筛选活动。平台促销活动模块中，完成大促指南、资质审核、选择商品（包括设置商品折扣信息、参与活动库存数和每人限购信息）、签署协议流程即可报名参加活动。频道活动模块中，完成活动介绍及规则、选择商品（包括设置商品折扣信息、参与活动库存数和每人限购信息）、签署协议流程即可报名参加活动。</w:t>
            </w:r>
          </w:p>
          <w:p w14:paraId="3A54478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10.商家站外自营销：应包含Google推广、TikTok推广、Instagram推广和Facebook推广四个模块。内置海量关键词数据，能通过人工智能算法，对学生的运营决策效果实现自动精准评判，并支持学生的对抗竞争。</w:t>
            </w:r>
          </w:p>
          <w:p w14:paraId="15A99A1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（1）Google推广：应包含概览、建议、广告系列、广告组、广告、搜索广告关键字、否定关键字模块；支持创建广告系列、广告组、制作广告。</w:t>
            </w:r>
          </w:p>
          <w:p w14:paraId="32AF4B6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1）概览模块：应支持查看点击次数、展示次数、平均每次点击费用、费用营销数据，同时支持筛选日期，以曲线图的可视化形式查看数据。</w:t>
            </w:r>
          </w:p>
          <w:p w14:paraId="4AEF3C6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2）建议模块：应支持查看广告预览效果和诊断信息。支持输入任意搜索字词查看预览Google的搜索结果页。</w:t>
            </w:r>
          </w:p>
          <w:p w14:paraId="0820EEB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广告系列模块：数据看板应支持以曲线图的可视化形式展现广告系列数据对比。数据列表应支持查看所有广告系列相关数据，包括广告系列名称、状态、预算，支持进行编辑、删除操作。新增广告系列页面可设置内容应包括广告系列类型（搜索）、网址、广告系列名称、起始日期、地理位置、预算</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出价信息。</w:t>
            </w:r>
          </w:p>
          <w:p w14:paraId="5507508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w:t>
            </w:r>
            <w:r>
              <w:rPr>
                <w:rFonts w:hint="eastAsia" w:ascii="仿宋_GB2312" w:hAnsi="仿宋_GB2312" w:eastAsia="仿宋_GB2312" w:cs="仿宋_GB2312"/>
                <w:color w:val="auto"/>
                <w:sz w:val="24"/>
              </w:rPr>
              <w:t>●</w:t>
            </w:r>
            <w:r>
              <w:rPr>
                <w:rFonts w:hint="eastAsia" w:ascii="仿宋_GB2312" w:hAnsi="仿宋_GB2312" w:eastAsia="仿宋_GB2312" w:cs="仿宋_GB2312"/>
                <w:snapToGrid w:val="0"/>
                <w:color w:val="auto"/>
                <w:kern w:val="0"/>
                <w:sz w:val="24"/>
              </w:rPr>
              <w:t>4）广告组模块：数据看板应支持以曲线图的可视化形式展现广告组数据对比。数据列表应支持查看所有广告组相关数据，包括广告组名称、状态、默认的最高每次点击费用，支持进行编辑、删除操作。新增广告组页面可设置内容应包括所属广告系列、广告组名称、目标CPC信息，并可添加关键字。</w:t>
            </w:r>
            <w:r>
              <w:rPr>
                <w:rFonts w:hint="eastAsia" w:ascii="仿宋_GB2312" w:hAnsi="仿宋_GB2312" w:eastAsia="仿宋_GB2312" w:cs="仿宋_GB2312"/>
                <w:b/>
                <w:bCs/>
                <w:snapToGrid w:val="0"/>
                <w:color w:val="auto"/>
                <w:kern w:val="0"/>
                <w:sz w:val="24"/>
              </w:rPr>
              <w:t>（</w:t>
            </w:r>
            <w:r>
              <w:rPr>
                <w:rFonts w:hint="eastAsia" w:ascii="仿宋_GB2312" w:hAnsi="仿宋_GB2312" w:eastAsia="仿宋_GB2312" w:cs="仿宋_GB2312"/>
                <w:b/>
                <w:bCs/>
                <w:color w:val="auto"/>
                <w:sz w:val="24"/>
              </w:rPr>
              <w:t>投标文件中需提供彩页、官网或功能截图等其中任意一项并加盖投标人CA电子签章</w:t>
            </w:r>
            <w:r>
              <w:rPr>
                <w:rFonts w:hint="eastAsia" w:ascii="仿宋_GB2312" w:hAnsi="仿宋_GB2312" w:eastAsia="仿宋_GB2312" w:cs="仿宋_GB2312"/>
                <w:b/>
                <w:bCs/>
                <w:snapToGrid w:val="0"/>
                <w:color w:val="auto"/>
                <w:kern w:val="0"/>
                <w:sz w:val="24"/>
              </w:rPr>
              <w:t>）</w:t>
            </w:r>
          </w:p>
          <w:p w14:paraId="2ED3878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5）广告模块：数据看板应支持以曲线图的可视化形式展现广告数据对比。</w:t>
            </w:r>
          </w:p>
          <w:p w14:paraId="3919BEA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数据列表应支持查看所有相关数据，包括广告落地页、状态、所属广告系列和广告组，支持进行编辑、删除操作。新增广告页面可设置内容应包括所属广告组、最终到达网址、标题、广告描述信息，右侧可以预览店铺投放效果。</w:t>
            </w:r>
          </w:p>
          <w:p w14:paraId="34B42A8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6）搜索广告关键字模块：数据看板应支持以曲线图的可视化形式展现搜索广告关键字数据对比。搜索广告关键字数据列表应包含关键字、匹配类型、广告系列名称、广告组名称、状态信息。添加搜索广告关键字页面支持添加搜索广告关键字，选择关键字所属的广告组，并从关键词工具中添加关键字。</w:t>
            </w:r>
          </w:p>
          <w:p w14:paraId="6502E65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7）否定关键字模块：</w:t>
            </w:r>
          </w:p>
          <w:p w14:paraId="64F1FFE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①否定关键字数据列表：应包含否定关键字、已添加到、匹配类型信息，支持进行删除和新增关键字操作。</w:t>
            </w:r>
          </w:p>
          <w:p w14:paraId="0287E73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②添加否定关键字页面：应支持添加否定关键字，选择否定关键字所属的广告组，并从关键词工具中添加否定关键字。</w:t>
            </w:r>
          </w:p>
          <w:p w14:paraId="2CC3DE9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（2）TikTok推广：应包含概览、广告系列、广告组、广告模块，支持创建广告系列、广告组、制作广告。</w:t>
            </w:r>
          </w:p>
          <w:p w14:paraId="1EA4AC2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1）概览模块：应支持查看点击次数、展示次数、平均每次点击费用、费用信息，同时支持筛选日期，支持以曲线图的可视化形式查看数据，并可查看广告系列相关信息。</w:t>
            </w:r>
          </w:p>
          <w:p w14:paraId="7124163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2）广告系列模块：</w:t>
            </w:r>
          </w:p>
          <w:p w14:paraId="5BA5FEE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①数据列表：应支持查看所有广告系列的相关数据，包括广告系列名称、状态、预算、花费，支持进行编辑</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删除操作。</w:t>
            </w:r>
          </w:p>
          <w:p w14:paraId="0E4F8B0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②新增广告系列页面：应支持设置广告系列名称、推广目标和预算。</w:t>
            </w:r>
          </w:p>
          <w:p w14:paraId="057F42F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u w:val="single"/>
              </w:rPr>
              <w:t>3）广告组模块：数据列表应支持查看所有广告组的相关数据，包括广告组名称、状态、预算、出价，支持进行编辑</w:t>
            </w:r>
            <w:r>
              <w:rPr>
                <w:rFonts w:hint="eastAsia" w:ascii="仿宋_GB2312" w:hAnsi="仿宋_GB2312" w:eastAsia="仿宋_GB2312" w:cs="仿宋_GB2312"/>
                <w:snapToGrid w:val="0"/>
                <w:color w:val="auto"/>
                <w:kern w:val="0"/>
                <w:sz w:val="24"/>
                <w:u w:val="single"/>
                <w:lang w:val="en-US" w:eastAsia="zh-CN"/>
              </w:rPr>
              <w:t>和</w:t>
            </w:r>
            <w:r>
              <w:rPr>
                <w:rFonts w:hint="eastAsia" w:ascii="仿宋_GB2312" w:hAnsi="仿宋_GB2312" w:eastAsia="仿宋_GB2312" w:cs="仿宋_GB2312"/>
                <w:snapToGrid w:val="0"/>
                <w:color w:val="auto"/>
                <w:kern w:val="0"/>
                <w:sz w:val="24"/>
                <w:u w:val="single"/>
              </w:rPr>
              <w:t>删除操作。新增广告组页面：应支持选择广告系列，设置广告组名称、推广对象类型、版位、目标（其中自定义定向包括设备、性别、地域、年龄、语言；自动定向包括地域、语言）、兴趣&amp;行为（选择自定义定向可以填写，包括添加兴趣、添加行为-视频互动、添加行为-创作者互动、添加行为-话题互动）、出价&amp;优化（包括优化目标、竞价策略）、预算&amp;排期信息。</w:t>
            </w:r>
          </w:p>
          <w:p w14:paraId="1D9BDA8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4）广告模块：数据列表应支持查看所有广告的相关数据，包括广告名称、状态、广告系列、广告组，支持进行编辑</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删除操作。新增广告页面应支持选择所属广告组，支持设置广告名称、广告发布身份、创意素材（广告标题、广告文案、视频上传）信息；支持设置URL链接和行动引导文案，右侧可以显示预览效果。</w:t>
            </w:r>
          </w:p>
          <w:p w14:paraId="5C7E062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（3）Instagram推广：应包含数据概览、广告组、广告模块，支持创建广告组、制作广告操作。</w:t>
            </w:r>
          </w:p>
          <w:p w14:paraId="01A2C8B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1）数据概览模块：应支持查看展示次数、广告链接单击次数、平均每次点击费用营销数据，同时支持以曲线图的可视化形式查看数据。</w:t>
            </w:r>
          </w:p>
          <w:p w14:paraId="0446431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2）广告组模块：</w:t>
            </w:r>
          </w:p>
          <w:p w14:paraId="340DB13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①数据看板：应支持以曲线图的可视化形式直观展现广告组数据。</w:t>
            </w:r>
          </w:p>
          <w:p w14:paraId="640DD12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②数据列表：应支持查看所有广告组的相关数据，包括广告组名称、状态、预算、点击次数，支持进行编辑</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删除操作。</w:t>
            </w:r>
          </w:p>
          <w:p w14:paraId="2A98831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③新增广告组页面：应支持设置广告组名称、广告目标、投放预算、排期（开始日期和结束日期）、受众（受众名称、性别、地区、年龄、细分定位）、布局信息。</w:t>
            </w:r>
          </w:p>
          <w:p w14:paraId="49B33ED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3）广告模块：</w:t>
            </w:r>
          </w:p>
          <w:p w14:paraId="769EEAF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①数据看板：应支持以曲线图的可视化形式直观展现广告数据。</w:t>
            </w:r>
          </w:p>
          <w:p w14:paraId="40746F1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②数据列表：应可以查看所有广告的相关数据，包括状态、广告组、预算，支持进行编辑</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删除操作。</w:t>
            </w:r>
          </w:p>
          <w:p w14:paraId="0473F4D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③新增广告页面：应支持选择所属广告组，添加广告文本模块可以设置广告类型（创建幻灯片和创建视频），并添加媒体，设置主要的文本和显示链接，右侧可以显示广告预览效果和支付概要。</w:t>
            </w:r>
          </w:p>
          <w:p w14:paraId="1610A41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（4）Facebook推广：应包含数据概览、广告系列、广告组、广告模块，支持创建广告系列、广告组、制作广告操作。</w:t>
            </w:r>
          </w:p>
          <w:p w14:paraId="4A66B70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1）数据概览模块：应支持查看点击次数、展示次数、平均每次点击费用、费用营销数据，同时支持以曲线图的可视化形式查看数据。</w:t>
            </w:r>
          </w:p>
          <w:p w14:paraId="3B18EB2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2）广告系列模块：</w:t>
            </w:r>
          </w:p>
          <w:p w14:paraId="5825172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①数据看板：应支持以曲线图的可视化形式直观展现广告系列数据。</w:t>
            </w:r>
          </w:p>
          <w:p w14:paraId="5F18760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②数据列表：应可以查看所有广告系列的相关数据，包括广告系列名称、预算、总花费，支持进行编辑</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删除操作。</w:t>
            </w:r>
          </w:p>
          <w:p w14:paraId="097BE7C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③新增广告系列页面：应支持选择广告系列类型（包含品牌认知、购买意向和行动转化三种类型），设置广告系列名称、广告系列详情（包含购买类型和广告目标）、广告系列预算信息。</w:t>
            </w:r>
          </w:p>
          <w:p w14:paraId="20F823C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3）广告组模块：</w:t>
            </w:r>
          </w:p>
          <w:p w14:paraId="63FED91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①数据看板：应支持以曲线图的可视化形式直观展现广告组数据。</w:t>
            </w:r>
          </w:p>
          <w:p w14:paraId="2BD87B8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②数据列表：应可以查看所有已创建广告组的相关数据，包括广告组名称、状态、预算、费用数据，支持进行编辑</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删除操作。</w:t>
            </w:r>
          </w:p>
          <w:p w14:paraId="36590ED3">
            <w:pPr>
              <w:snapToGrid w:val="0"/>
              <w:spacing w:line="400" w:lineRule="exact"/>
              <w:rPr>
                <w:rFonts w:ascii="仿宋_GB2312" w:hAnsi="仿宋_GB2312" w:eastAsia="仿宋_GB2312" w:cs="仿宋_GB2312"/>
                <w:b/>
                <w:bCs/>
                <w:snapToGrid w:val="0"/>
                <w:color w:val="auto"/>
                <w:kern w:val="0"/>
                <w:sz w:val="24"/>
              </w:rPr>
            </w:pPr>
            <w:r>
              <w:rPr>
                <w:rFonts w:hint="eastAsia" w:ascii="仿宋_GB2312" w:hAnsi="仿宋_GB2312" w:eastAsia="仿宋_GB2312" w:cs="仿宋_GB2312"/>
                <w:snapToGrid w:val="0"/>
                <w:color w:val="auto"/>
                <w:kern w:val="0"/>
                <w:sz w:val="24"/>
              </w:rPr>
              <w:t>★</w:t>
            </w:r>
            <w:r>
              <w:rPr>
                <w:rFonts w:hint="eastAsia" w:ascii="仿宋_GB2312" w:hAnsi="仿宋_GB2312" w:eastAsia="仿宋_GB2312" w:cs="仿宋_GB2312"/>
                <w:color w:val="auto"/>
                <w:sz w:val="24"/>
              </w:rPr>
              <w:t>●</w:t>
            </w:r>
            <w:r>
              <w:rPr>
                <w:rFonts w:hint="eastAsia" w:ascii="仿宋_GB2312" w:hAnsi="仿宋_GB2312" w:eastAsia="仿宋_GB2312" w:cs="仿宋_GB2312"/>
                <w:snapToGrid w:val="0"/>
                <w:color w:val="auto"/>
                <w:kern w:val="0"/>
                <w:sz w:val="24"/>
              </w:rPr>
              <w:t>③新增广告组页面：应支持选择广告系列，支持设置广告组名称、转化、预算和排期（包括日预算、开始日期、结束日期）、受众（包括地区、性别、年龄、细分定位、版位）、优化与投放（包括广告投放优化目标、费用控制额）信息。</w:t>
            </w:r>
            <w:r>
              <w:rPr>
                <w:rFonts w:hint="eastAsia" w:ascii="仿宋_GB2312" w:hAnsi="仿宋_GB2312" w:eastAsia="仿宋_GB2312" w:cs="仿宋_GB2312"/>
                <w:b/>
                <w:bCs/>
                <w:snapToGrid w:val="0"/>
                <w:color w:val="auto"/>
                <w:kern w:val="0"/>
                <w:sz w:val="24"/>
              </w:rPr>
              <w:t>（</w:t>
            </w:r>
            <w:r>
              <w:rPr>
                <w:rFonts w:hint="eastAsia" w:ascii="仿宋_GB2312" w:hAnsi="仿宋_GB2312" w:eastAsia="仿宋_GB2312" w:cs="仿宋_GB2312"/>
                <w:b/>
                <w:bCs/>
                <w:color w:val="auto"/>
                <w:sz w:val="24"/>
              </w:rPr>
              <w:t>投标文件中需提供彩页、官网或功能截图等其中任意一项并加盖投标人CA电子签章</w:t>
            </w:r>
            <w:r>
              <w:rPr>
                <w:rFonts w:hint="eastAsia" w:ascii="仿宋_GB2312" w:hAnsi="仿宋_GB2312" w:eastAsia="仿宋_GB2312" w:cs="仿宋_GB2312"/>
                <w:b/>
                <w:bCs/>
                <w:snapToGrid w:val="0"/>
                <w:color w:val="auto"/>
                <w:kern w:val="0"/>
                <w:sz w:val="24"/>
              </w:rPr>
              <w:t>）</w:t>
            </w:r>
          </w:p>
          <w:p w14:paraId="6DA08B1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4）广告模块：</w:t>
            </w:r>
          </w:p>
          <w:p w14:paraId="3E36110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①数据看板：应支持以曲线图的可视化形式直观展现广告数据。</w:t>
            </w:r>
          </w:p>
          <w:p w14:paraId="6A8380A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②数据列表：应可以查看所有广告的相关数据，包括广告名称、状态、广告系列、广告组、费用数据，支持进行编辑、删除操作。</w:t>
            </w:r>
          </w:p>
          <w:p w14:paraId="1E56686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③新增广告页面：应支持选择所属广告组，支持设置广告名称、身份、格式（单图片、轮播、精品栏广告）、上传素材、输入正文、标题、广告描述、目标网址内容，右侧显示广告预览效果。</w:t>
            </w:r>
          </w:p>
          <w:p w14:paraId="6249400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11.生意参谋：应包含生意概览、店铺流量、市场总览、订单明细和商品分析数据模块。</w:t>
            </w:r>
          </w:p>
          <w:p w14:paraId="56C84D6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（1）生意概览：应包括实时概况、店铺看板和来源分布排行、搜索词排行，支持根据时间进行筛选，同时可以以曲线图的直观形式查看数据。</w:t>
            </w:r>
          </w:p>
          <w:p w14:paraId="53AC8ED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店铺流量：应包含店铺流量和店铺来源两个部分。店铺流量中应可以查看支付金额、店铺访客数、店铺浏览数、支付转化率、客单价、支付订单数、支付买家数数据，并可以以曲线图的直观形式查看数据。店铺来源中应可以查看店铺流量的来源，同样以曲线图的形式展现。</w:t>
            </w:r>
          </w:p>
          <w:p w14:paraId="2C52368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市场总览：应包括流量看板和选词专家两个部分。流量看板中可以筛选热门行业和日期，查看市场相关流量数据，可以以曲线图的直观形式查看数据。选词专家支持查看对应关键词的搜索人气、搜索指数、点击率、成交转化率、竞争指数数据。</w:t>
            </w:r>
          </w:p>
          <w:p w14:paraId="0B9F3B0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订单明细：应包括订单总览和订单报表两个部分。订单总览中应支持查看总金额、下单客户数、支付转化率、客单价数据；订单报表中应可查看订单的相关信息，包括订单编号、订单金额、支付时间、收货地址。</w:t>
            </w:r>
          </w:p>
          <w:p w14:paraId="2A86D29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商品分析：应包括商品分析、商品排行榜、单品分析三个部分。商品分析中应可查看支付金额、下单主订单数、下单转化率、商品曝光量、商品点击量数据；商品排行榜中应可查看商品排行、商品名称、支付订单数、商品点击量数据；单品分析中应可以通过商品编号搜索商品，查看商品的支付金额、商品曝光量数据。</w:t>
            </w:r>
          </w:p>
          <w:p w14:paraId="43507E9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四、实训系统功能模块（二）</w:t>
            </w:r>
          </w:p>
          <w:p w14:paraId="6DBFDA2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1、账号注册：实训平台应分别仿真速卖通卖家和买家的注册流程。在模拟卖家开通店铺的过程中，应完成卖家账号注册、店铺名称设置、行业类目招商准入、商标审核、店铺类型选择。</w:t>
            </w:r>
          </w:p>
          <w:p w14:paraId="28D7EC9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2、卖家后台功能模块：应包括我的速卖通（卖家中心主页）、商品、交易、物流、店铺、营销、推广、账号及认证、生意参谋、违规模块。</w:t>
            </w:r>
          </w:p>
          <w:p w14:paraId="2EDB05E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3、我的速卖通：</w:t>
            </w:r>
          </w:p>
          <w:p w14:paraId="0B60F32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（1）“我的速卖通”即卖家中心主页面。本页面</w:t>
            </w:r>
            <w:r>
              <w:rPr>
                <w:rFonts w:hint="eastAsia" w:ascii="仿宋_GB2312" w:hAnsi="仿宋_GB2312" w:eastAsia="仿宋_GB2312" w:cs="仿宋_GB2312"/>
                <w:snapToGrid w:val="0"/>
                <w:color w:val="auto"/>
                <w:kern w:val="0"/>
                <w:sz w:val="24"/>
                <w:lang w:val="en-US" w:eastAsia="zh-CN"/>
              </w:rPr>
              <w:t>至少</w:t>
            </w:r>
            <w:r>
              <w:rPr>
                <w:rFonts w:hint="eastAsia" w:ascii="仿宋_GB2312" w:hAnsi="仿宋_GB2312" w:eastAsia="仿宋_GB2312" w:cs="仿宋_GB2312"/>
                <w:snapToGrid w:val="0"/>
                <w:color w:val="auto"/>
                <w:kern w:val="0"/>
                <w:sz w:val="24"/>
              </w:rPr>
              <w:t>应包括待办事项、店铺数据、公告功能模块。</w:t>
            </w:r>
          </w:p>
          <w:p w14:paraId="3F8B33D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店铺数据应展示经营数据、直通车和站外推广数据，经营数据包含店铺浏览量、店铺访客量、支付买家数、支付转化率。直通车展示账户余额、今日消耗数据，站外推广展示支付订单数、算佣支付金额数据。</w:t>
            </w:r>
          </w:p>
          <w:p w14:paraId="265FEC8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（3）公告：应展示最新公告和重要通知。</w:t>
            </w:r>
          </w:p>
          <w:p w14:paraId="31C81A4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4、商品模块：</w:t>
            </w:r>
          </w:p>
          <w:p w14:paraId="55EB6AD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（1）商品模块应包含商品发布、商品管理、素材中心、商品橱窗。</w:t>
            </w:r>
          </w:p>
          <w:p w14:paraId="7FA018C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商品发布编辑产品信息时应根据产品类目准备对应的商品基本属性并支持添加自定义属性。以女装—连衣裙类目为例，应包含商品标题、商品图片（商品正面图、侧面图）、营销图、产品视频、品牌、材质、风格产品属性、价格与库存、详细描述、包装与物流、其他设置。</w:t>
            </w:r>
          </w:p>
          <w:p w14:paraId="0A85516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商品管理模块，应系统支持通过常用入口跳转至AI智能诊断、商品分组、素材中心、尺码模板和产品信息模块。尺码模板模块应包含服装模板、鞋子模板、珠宝模板、内衣模板和家纺模板。支持新增尺码模板，编辑和删除已创建模板。产品信息模块支持关联产品模块和自定义模块的创建。支持通过商品状态（正在销售、草稿箱、审核中、审核不通过、已下架）、产品分组、负责人对产品进行筛选，通过商品标题或ID、商品编码搜索指定产品，显示产品主图、标题、产品分组、价格、库存、运费模板信息，并支持批量或对单个产品进行编辑、分配负责人、调整产品组、下架、删除操作。</w:t>
            </w:r>
          </w:p>
          <w:p w14:paraId="1A7C757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（4）素材中心模块应支持对图片和视频资料进行分组管理，支持对图片和视频进行按文件名搜索、移动到文件夹、删除的操作。</w:t>
            </w:r>
          </w:p>
          <w:p w14:paraId="340E20B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（5）商品橱窗模块应包括推广列表和橱窗获取记录，推广列表支持查看橱窗推广中的商品、新增推广商品，对已经推广的商品进行商品优化和删除的操作。</w:t>
            </w:r>
          </w:p>
          <w:p w14:paraId="281A3FF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5、交易模块：</w:t>
            </w:r>
          </w:p>
          <w:p w14:paraId="65EFA2A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（1）至少应包括所有订单、退款&amp;纠纷、订单批量导出、评价管理功能模块。</w:t>
            </w:r>
          </w:p>
          <w:p w14:paraId="7694DD5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所有订单模块应显示今日新订单、等待买家付款、发货未完成、买家申请取消、纠纷中订单、等待您评价的订单数据。支持通过订单状态、下单时间条件筛选订单，通过订单号、商品名称、买家、实际发货单号搜索订单，并显示订单号、下单时间、买家、购买物品、商品单价、购买商品数量、订单状态、订单总金额信息。</w:t>
            </w:r>
          </w:p>
          <w:p w14:paraId="5BAD54D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（3）退款&amp;纠纷：退款和纠纷订单处理，应支持管理纠纷中、等待您处理、等待买家退货和待举证的拒付订单。</w:t>
            </w:r>
          </w:p>
          <w:p w14:paraId="3584B35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（4）订单批量导出：应支持通过筛选订单状态和日期进行订单的批量导出，批量导出的订单数据支持下载。</w:t>
            </w:r>
          </w:p>
          <w:p w14:paraId="7774C1C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评价管理：应包括管理全部、待回复的评价和等待我评价的买家内容。应支持根据评价类型（全部、我发表的评价、好评、中评、差评）和评价生效时间对订单评价进行筛选分类，支持通过订单号搜索指定订单评价，显示订单号、购买商品、商品单价、数量、买家、订单关闭时间、买家给出评价、买家给出评分、卖家给出评价信息。</w:t>
            </w:r>
          </w:p>
          <w:p w14:paraId="0AA5946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6.消息中心模块：消息中心模块至少应包括买家会话、客户营销和买家会话-回复设置功能。买家会话界面支持对买家消息进行回复，发送商品和优惠券的操作。点击客户营销可链接至场景营销界面，支持新建自定义营销计划，在买家会话-回复设置模块中支持进行快捷回复和自动回复设置。</w:t>
            </w:r>
          </w:p>
          <w:p w14:paraId="7462B5F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7、物流模块：物流模块应包括速卖通物流介绍、物流中心、运费模板、仓发管理和国际小包订单。物流中心在线发货应支持发货和退货地址管理。运费模板应包括经济类物流</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标准类物流</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物流模板设置。仓发管理应支持申报海外仓。国际小包订单应支持对待发货、运输中、已完成、异常和退回状态下的国际小包订单进行管理，支持通过单号综合查询、交易订单号、国际物流单号、物流订单号，筛选物流方案和物流状态进行订单的查询。</w:t>
            </w:r>
          </w:p>
          <w:p w14:paraId="79622A9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8、店铺模块：店铺模块至少应包括店铺信息设置、店铺装修、商品分组功能。其中通过店铺装修模块对店铺进行装修时支持PC端和无线端版本的装修，应预备有店铺首页默认模版、时尚行业模版、鞋类运动行业模版、3C行业模版、家居行业模版、男装模版、活动页面模版</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母婴行业模版</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PC端店铺页面模板可供选用，且系统应支持用户对模板进行预览。商品分组支持创建分组并管理组内商品。</w:t>
            </w:r>
          </w:p>
          <w:p w14:paraId="1900FFB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9、营销模块：营销模块应包括营销活动规则、平台活动、店铺活动、客户营销、内容营销、人群宝。</w:t>
            </w:r>
          </w:p>
          <w:p w14:paraId="57D4088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（1）营销活动规则：应支持查看平台活动规则和频道活动规则。</w:t>
            </w:r>
          </w:p>
          <w:p w14:paraId="4034823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（2）平台活动：应支持报名促销活动和频道活动。</w:t>
            </w:r>
          </w:p>
          <w:p w14:paraId="0C9A825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店铺活动：应支持单品折扣、满减活动、店铺code、高净值买家专享折扣和互动活动、商品营销分组创建。创建营销活动并对商品进行营销分组。其中创建店铺活动时，卖家可对活动名称、活动开始时间、活动结束时间、参加活动产品进行设置。</w:t>
            </w:r>
          </w:p>
          <w:p w14:paraId="7A8B533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（4）客户营销：应支持新建自定义人群并创建自定义营销计划。</w:t>
            </w:r>
          </w:p>
          <w:p w14:paraId="3343CD4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（5）内容营销：应支持发图片帖/短视频帖和转发买家秀，并进行发帖管理。</w:t>
            </w:r>
          </w:p>
          <w:p w14:paraId="7426C37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（6）人群宝：应支持新建标签人群，管理收藏标签。</w:t>
            </w:r>
          </w:p>
          <w:p w14:paraId="5B8431A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10、推广模块：推广模块应包括站内推广、联盟营销、星合短链和站外SEO。</w:t>
            </w:r>
          </w:p>
          <w:p w14:paraId="2D76508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站内推广：应支持创建商品推广和品牌推广、推广管理。推广管理支持查看计划名称、计划概览、消耗进度、每日预算、曝光量、点击量、点击率、花费、平均点击花费情况，支持对已创建计划进行查看详情、暂停和删除的操作。</w:t>
            </w:r>
          </w:p>
          <w:p w14:paraId="492B607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（2）联盟营销：应包含单品营销计划、联盟营销活动、买家权益计划、基础佣金设置和效果报表的快速入口。</w:t>
            </w:r>
          </w:p>
          <w:p w14:paraId="5AEDB0C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（3）星合短链：应支持创建店铺、商品和自定义页面的投放计划，查看投放效果报表。</w:t>
            </w:r>
          </w:p>
          <w:p w14:paraId="0A9A201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（4）站外SEO：应支持商品TDK管理，支持待发布、审核中、审核不通过、已发布状态下的内容，支持通过筛选AI内容、自主内容、草稿状态、选择类目、时间进行内容的管理。</w:t>
            </w:r>
          </w:p>
          <w:p w14:paraId="121DD89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11、账号及认证模块：</w:t>
            </w:r>
          </w:p>
          <w:p w14:paraId="011F213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（1）账号及认证模块应包含账户中心、我的申请、我的品牌和API设置模块。</w:t>
            </w:r>
          </w:p>
          <w:p w14:paraId="4EC0102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（2）账户中心模块应包括账号信息（基本资料、子账号及权限设置、管理安全问题）、店铺联系人信息、企业信息。</w:t>
            </w:r>
          </w:p>
          <w:p w14:paraId="5A514AA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（3）我的申请模块应包括店铺类型申请、类目权限申请、平台已有的品牌申请、新商标注册申请。</w:t>
            </w:r>
          </w:p>
          <w:p w14:paraId="4585EFE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（4）我的品牌模块应支持申请品牌类目权限，通过筛选状态、品牌名称和类目进行重置，对已添加的品牌进行退出管理。</w:t>
            </w:r>
          </w:p>
          <w:p w14:paraId="178905B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（5）API设置应提供Token支持与外部ERP系统进行绑定。</w:t>
            </w:r>
          </w:p>
          <w:p w14:paraId="6938DBB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12、生意参谋模块：</w:t>
            </w:r>
          </w:p>
          <w:p w14:paraId="51B8DFC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（1）生意参谋模块应包括数据概览、实时播报、成交分析、流量分析、商品排行、单品分析、市场分析、搜索分析、选词专家和选品专家模块。</w:t>
            </w:r>
          </w:p>
          <w:p w14:paraId="121EC48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（2）数据概览：至少应包括实时概况、店铺层级、核心指标、流量看板、商品排行榜功能模块。</w:t>
            </w:r>
          </w:p>
          <w:p w14:paraId="690F067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（3）实时播报：应支持查看店铺实时数据，实时核心指标、实时商品排行和实时国家地区排行。</w:t>
            </w:r>
          </w:p>
          <w:p w14:paraId="443768B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（4）成交分析：成交分布应支持展示国家/地区、平台、行业、价格带、新老买家和90天支付次数数据图表，核心指标支持整体展示当前支付、下单、流量、加购收藏</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逆向</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重要指标。</w:t>
            </w:r>
          </w:p>
          <w:p w14:paraId="0679CE7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流量分析：流量分析应包含流量概况与流量来源，流量概况应支持展示店铺、商品、转化核心指标，可以观察流量总览，访客数、浏览量数据较前一日、较上周同期的变化可以精确到月周日。流量来源应包括店铺来源承接和离店页面排行，店铺来源承接支持查看推荐、搜索</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基础工具</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流量来源分布。</w:t>
            </w:r>
          </w:p>
          <w:p w14:paraId="191C865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6）商品排行：商品排行榜应包括全部商品和商品来源，全部商品包含“支付榜”“访客榜”“收藏榜”“加购榜”四个模块，通过这四个模块分别将商品按照不同数据进行分类。商品来源展示商品Top3访问国家/地区、访客数、下单买家数和下单转化率数据。</w:t>
            </w:r>
          </w:p>
          <w:p w14:paraId="136B572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（7）单品分析：应支持通过输入ID进行搜索查询，查看单品的核心指标、SKU、流量数据，生成的折线图可以保存至本地。</w:t>
            </w:r>
          </w:p>
          <w:p w14:paraId="4684ABB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8）市场分析：市场分析应包括市场大盘和国家分析。市场大盘应展现行业趋势和行业构成，包括访客指数、浏览商品数、商品浏览率、供需指数、客单价、商品加购人数和加收藏人数数据，展示统计日期支付金额和对比日期支付金额的对比图。</w:t>
            </w:r>
          </w:p>
          <w:p w14:paraId="489FB0A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（9）搜索分析：应包含热搜词、飙升词和零少词三个模块。通过输入搜索词进行搜索，热搜词和飙升词都能展示搜索词、查看商品、是否品牌词、搜索人气、搜索指数、点击率、支付转化率和竞争指数信息。</w:t>
            </w:r>
          </w:p>
          <w:p w14:paraId="48643A5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（10）选词专家：应支持运动及娱乐、玩具类目筛选其中的关键词分析包括热搜词、飙升词和零少词，展示搜索词、是否品牌词、搜索人气、搜索指数、点击率、成交转化率和竞争指数信息。</w:t>
            </w:r>
          </w:p>
          <w:p w14:paraId="365D0CD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（11）选品专家：应支持通过筛选类目、国家和时间查看热搜产品和热销产品概况。</w:t>
            </w:r>
          </w:p>
          <w:p w14:paraId="769F4E8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13、违规模块：违规模块应包含体检中心、违规处罚、店铺考核和商品诊断。支持查看店铺体检概览，违规处罚、店铺考核。商品诊断支持对待优化商品进行下架操作。</w:t>
            </w:r>
          </w:p>
          <w:p w14:paraId="2AA9FC6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14、买家中心：</w:t>
            </w:r>
          </w:p>
          <w:p w14:paraId="3A0A709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（1）买家中心应可显示与查看全部订单、待付款订单、待发货订单、待确认收货订单。</w:t>
            </w:r>
          </w:p>
          <w:p w14:paraId="7EA3264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在查看全部订单时，应可通过订单编号、产品名称信息搜索订单，显示订单编号、交易时间、购买物品、商品单价、购买商品数量、订单状态、订单总金额信息，支持对订单进行售后申请、评价、删除订单信息操作。</w:t>
            </w:r>
          </w:p>
          <w:p w14:paraId="476E0E1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（3）买家应可添加设置多组收货信息并在下单时选用。</w:t>
            </w:r>
          </w:p>
          <w:p w14:paraId="61309DF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15、商品搜索：买家应可通过关键词搜索商品，筛选指定价格区间或条件（是否包邮、评价星级）的搜索结果，并可通过销量、最新发布、价格对搜索结果进行排序。</w:t>
            </w:r>
          </w:p>
          <w:p w14:paraId="1EBB347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16、购物车：</w:t>
            </w:r>
          </w:p>
          <w:p w14:paraId="7B420B5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（1）买家在进行加购时应可选择加购数量，如果是有变参信息的产品，买家可选择加购产品的变参信息。</w:t>
            </w:r>
          </w:p>
          <w:p w14:paraId="2E3E7E4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在购物车中，买家应可查看加购商品名称、卖家、加购数量、单价信息，如果是有变参信息的产品，可显示加购产品的变参信息，系统应支持对加购商品进行查看商品详情、移出购物车、购物车单个商品或批量结算操作。</w:t>
            </w:r>
          </w:p>
          <w:p w14:paraId="48B251F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17、仿真Paypal系统：应模拟Paypal账户注册流程，支持关联银行账户，查看Paypal余额、银行账户和卡信息。包含账户首页、交易记录、付款和收款、钱包、帮助、通知、设置模块。</w:t>
            </w:r>
          </w:p>
          <w:p w14:paraId="36644DF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（1）账户注册时应支持设置国家、姓名、邮箱地址和密码信息，可进一步填写出生日期、国家、证件号码、邮政编码、详细地址、手机号码信息。</w:t>
            </w:r>
          </w:p>
          <w:p w14:paraId="4F653E3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账户首页：应包含账户名称、PayPal余额、银行账户和卡信息。PayPal余额支持查看账户余额，包括可用USD和USD总额。银行账户和卡支持查看银行详细信息，包括银行名称、账户类型、账号和状态，并可以移除银行账户。</w:t>
            </w:r>
          </w:p>
          <w:p w14:paraId="0051B7A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（3）付款和收款：至少应支持为商品或服务付款功能。</w:t>
            </w:r>
          </w:p>
          <w:p w14:paraId="7E01831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（4）钱包：应可查看PayPal余额，添加关联银行账户、关联信用卡和借记卡。</w:t>
            </w:r>
          </w:p>
          <w:p w14:paraId="1B8F4DF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（5）通知和设置：应包括设置账户、安全、付款模块。在账户模块中，可更新用户信息，设置账户选项，添加管理地址，查看邮箱地址、电话信息。在安全模块中，可创建或更新密码，设置密码提示问题。</w:t>
            </w:r>
          </w:p>
          <w:p w14:paraId="49AE354D">
            <w:pPr>
              <w:snapToGrid w:val="0"/>
              <w:spacing w:line="400" w:lineRule="exact"/>
              <w:rPr>
                <w:rFonts w:hint="eastAsia"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★18、平台应</w:t>
            </w:r>
            <w:r>
              <w:rPr>
                <w:rFonts w:hint="eastAsia" w:ascii="仿宋_GB2312" w:hAnsi="仿宋_GB2312" w:eastAsia="仿宋_GB2312" w:cs="仿宋_GB2312"/>
                <w:snapToGrid w:val="0"/>
                <w:color w:val="auto"/>
                <w:kern w:val="0"/>
                <w:sz w:val="24"/>
                <w:lang w:val="en-US" w:eastAsia="zh-CN"/>
              </w:rPr>
              <w:t>具有</w:t>
            </w:r>
            <w:r>
              <w:rPr>
                <w:rFonts w:hint="eastAsia" w:ascii="仿宋_GB2312" w:hAnsi="仿宋_GB2312" w:eastAsia="仿宋_GB2312" w:cs="仿宋_GB2312"/>
                <w:snapToGrid w:val="0"/>
                <w:color w:val="auto"/>
                <w:kern w:val="0"/>
                <w:sz w:val="24"/>
              </w:rPr>
              <w:t>仿真速卖通 API接口，支持外部 ERP 工具进行对接，至少实现商品刊登、订单同步及处理功能，为保证平台进一步扩展和系统专业性，投标人要保证采购人在质保期内能正常使用跨境电商ERP系统，质保期后，如需继续使用跨境电商ERP系统，则双方自行协商付费问题。（验收时需提供投标人或厂商的跨境电商ERP系统软件著作权证书扫描件并加盖</w:t>
            </w:r>
            <w:r>
              <w:rPr>
                <w:rFonts w:hint="eastAsia" w:ascii="仿宋_GB2312" w:hAnsi="仿宋_GB2312" w:eastAsia="仿宋_GB2312" w:cs="仿宋_GB2312"/>
                <w:snapToGrid w:val="0"/>
                <w:color w:val="auto"/>
                <w:kern w:val="0"/>
                <w:sz w:val="24"/>
                <w:lang w:val="en-US" w:eastAsia="zh-CN"/>
              </w:rPr>
              <w:t>投标人</w:t>
            </w:r>
            <w:r>
              <w:rPr>
                <w:rFonts w:hint="eastAsia" w:ascii="仿宋_GB2312" w:hAnsi="仿宋_GB2312" w:eastAsia="仿宋_GB2312" w:cs="仿宋_GB2312"/>
                <w:snapToGrid w:val="0"/>
                <w:color w:val="auto"/>
                <w:kern w:val="0"/>
                <w:sz w:val="24"/>
              </w:rPr>
              <w:t>公章，著作权名称中必须包含但不限于“跨境电商”、“ERP”关键词。）</w:t>
            </w:r>
          </w:p>
          <w:p w14:paraId="3276EE8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五、实训系统功能模块（三）</w:t>
            </w:r>
          </w:p>
          <w:p w14:paraId="2B58036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账号注册与店铺开通：实训平台应支持分别仿真亚马逊卖家和买家的注册流程。在开通店铺的过程中，可以完成卖家账号注册、完善企业资讯、完善卖家信息、注册商城确认、完善账单信息、完善店铺名称和商品信息</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身份验证流程。</w:t>
            </w:r>
          </w:p>
          <w:p w14:paraId="521D2C8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2、卖家后台功能模块：应具备目录、库存、订单、广告、程序、数据报告、付款、绩效、品牌模块。</w:t>
            </w:r>
          </w:p>
          <w:p w14:paraId="4797322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目录：应包括添加商品、批量上传商品、补全草稿、上传和管理视频、图片上传功能。批量上传商品支持上传文件来添加多个商品。补全草稿支持跳转至管理库存界面对发布不完整的商品进行补全商品信息的操作。上传和管理视频支持商品视频上传和管理。图片上传支持图片上传和管理，也可进行批量图片上传。</w:t>
            </w:r>
          </w:p>
          <w:p w14:paraId="2190640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w:t>
            </w:r>
            <w:r>
              <w:rPr>
                <w:rFonts w:hint="eastAsia" w:ascii="仿宋_GB2312" w:hAnsi="仿宋_GB2312" w:eastAsia="仿宋_GB2312" w:cs="仿宋_GB2312"/>
                <w:snapToGrid w:val="0"/>
                <w:color w:val="auto"/>
                <w:kern w:val="0"/>
                <w:sz w:val="24"/>
                <w:u w:val="none"/>
              </w:rPr>
              <w:t>库存：至少应包括管理所有库存、全球销售、亚马逊物流库存、无在售信息的亚马逊库存、不可售库存、货件、分析功能。其中“管理所有库存”支持通过商品状态（所有/在售/不可售/不完整/商品信息已删除/内容审核中/内容审核未通过）和配送类型（所有/亚马逊/卖家）对库存信息进行筛选，支持通过SKU、标题、ISBN搜索商品，系统应支持创建多渠道订单并设置每页显示的搜索结果数量。亚马逊物流库存支持对亚马逊配送的商品进行编辑和优化，支持创建多渠道订单。</w:t>
            </w:r>
          </w:p>
          <w:p w14:paraId="34D504B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订单：至少应包括管理订单功能。其中“管理订单”支持通过订单状态（等待中/未发货/已取消/已发运）、订单日期范围对订单进行筛选，通过订单编号、买家电子邮件、追踪编码搜索订单。系统应支持通过发货日期、订单日期、出货日期、配送服务对订单进行排序，且支持设置每页所显示的订单数量。</w:t>
            </w:r>
          </w:p>
          <w:p w14:paraId="62D6556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6、广告：应包括广告活动管理、A+商品描述管理器、优惠券、Prime专享折扣和管理促销功能。其中“广告活动管理”支持新建广告活动，可查看已经创建的广告活动状态、类型、广告活动竞价策略、广告预算信息。“A+商品描述管理器”支持创建基础的A+商品描述。“管理促销”模块创建促销时，包括社交媒体促销代码、购买折扣和买一赠一促销形式。</w:t>
            </w:r>
          </w:p>
          <w:p w14:paraId="5562A8F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7、程序：应包括配送计划功能，可查看货件处理进度。其中“货件”模块可对日期范围、显示（所有/处理中/在途/在运营中心/已完成/已删除/已取消）进行筛选，还可按货件编号搜索货件，展示姓名、货件编号、创建时间、上次更新、已发货、已收到、目的地和状态信息。</w:t>
            </w:r>
          </w:p>
          <w:p w14:paraId="46FE4FB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8、数据报告：至少应包括亚马逊销售指导、业务报告、库存和销售报告功能。</w:t>
            </w:r>
          </w:p>
          <w:p w14:paraId="0C3A38B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9、付款：“付款”模块应支持查看结算一览、交易一览、所有结算、付款、日期范围报告内容。</w:t>
            </w:r>
          </w:p>
          <w:p w14:paraId="4E123E8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10、绩效：应包括账户状况、反馈管理器功能。其中“账户状况”可查看客户服务绩效、政策合规性、配送绩效内容。</w:t>
            </w:r>
          </w:p>
          <w:p w14:paraId="7CED671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11、品牌：应支持查看买家评论，可跳转查看买家评论详情。</w:t>
            </w:r>
          </w:p>
          <w:p w14:paraId="2BD4F9B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12、设置：至少应包括账户信息、登录设置、退货设置、税务设置、亚马逊物流和用户权限功能。其中“账户信息”设置包含对卖家资料、付款、业务、发货和退货、税务信息的查看与编辑功能。</w:t>
            </w:r>
          </w:p>
          <w:p w14:paraId="31021E6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13、买家中心：至少应包括地址选择、添加新地址、管理地址簿、地址设置功能。</w:t>
            </w:r>
          </w:p>
          <w:p w14:paraId="5F6D998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14、浏览历史记录：至少应包括浏览历史记录（查看浏览商品记录）、管理历史记录（从视图中删除所有商品）功能。</w:t>
            </w:r>
          </w:p>
          <w:p w14:paraId="2CB3432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15、购物车：至少应包括展示商品名称、价格、购买数量信息，具备商品移出购物车、查看您的浏览历史记录、批量购买与总价结算功能。</w:t>
            </w:r>
          </w:p>
          <w:p w14:paraId="526E40C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16、我的订单：至少应包括订单查看（商品清单、收货信息、支付明细）、筛选与搜索、再次购买、未完成订单、电子订单、已取消的订单功能。</w:t>
            </w:r>
          </w:p>
          <w:p w14:paraId="43C1F67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17、商品展示：至少应包括商品名称、组图、视频、价格、品牌、变量属性信息的展示，以及选择商品数量加入购物车、立即购买功能。</w:t>
            </w:r>
          </w:p>
          <w:p w14:paraId="513E631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w:t>
            </w:r>
            <w:r>
              <w:rPr>
                <w:rFonts w:hint="eastAsia" w:ascii="仿宋_GB2312" w:hAnsi="仿宋_GB2312" w:eastAsia="仿宋_GB2312" w:cs="仿宋_GB2312"/>
                <w:color w:val="auto"/>
                <w:sz w:val="24"/>
              </w:rPr>
              <w:t>●</w:t>
            </w:r>
            <w:r>
              <w:rPr>
                <w:rFonts w:hint="eastAsia" w:ascii="仿宋_GB2312" w:hAnsi="仿宋_GB2312" w:eastAsia="仿宋_GB2312" w:cs="仿宋_GB2312"/>
                <w:snapToGrid w:val="0"/>
                <w:color w:val="auto"/>
                <w:kern w:val="0"/>
                <w:sz w:val="24"/>
              </w:rPr>
              <w:t>18、平台应仿真</w:t>
            </w:r>
            <w:bookmarkStart w:id="177" w:name="OLE_LINK3"/>
            <w:r>
              <w:rPr>
                <w:rFonts w:hint="eastAsia" w:ascii="仿宋_GB2312" w:hAnsi="仿宋_GB2312" w:eastAsia="仿宋_GB2312" w:cs="仿宋_GB2312"/>
                <w:snapToGrid w:val="0"/>
                <w:color w:val="auto"/>
                <w:kern w:val="0"/>
                <w:sz w:val="24"/>
              </w:rPr>
              <w:t>亚马逊</w:t>
            </w:r>
            <w:bookmarkEnd w:id="177"/>
            <w:r>
              <w:rPr>
                <w:rFonts w:hint="eastAsia" w:ascii="仿宋_GB2312" w:hAnsi="仿宋_GB2312" w:eastAsia="仿宋_GB2312" w:cs="仿宋_GB2312"/>
                <w:snapToGrid w:val="0"/>
                <w:color w:val="auto"/>
                <w:kern w:val="0"/>
                <w:sz w:val="24"/>
              </w:rPr>
              <w:t>API接口，支持外部ERP工具进行对接，至少实现商品刊登、订单同步及处理功能。</w:t>
            </w:r>
            <w:r>
              <w:rPr>
                <w:rFonts w:hint="eastAsia" w:ascii="仿宋_GB2312" w:hAnsi="仿宋_GB2312" w:eastAsia="仿宋_GB2312" w:cs="仿宋_GB2312"/>
                <w:b/>
                <w:bCs/>
                <w:snapToGrid w:val="0"/>
                <w:color w:val="auto"/>
                <w:kern w:val="0"/>
                <w:sz w:val="24"/>
              </w:rPr>
              <w:t>（</w:t>
            </w:r>
            <w:r>
              <w:rPr>
                <w:rFonts w:hint="eastAsia" w:ascii="仿宋_GB2312" w:hAnsi="仿宋_GB2312" w:eastAsia="仿宋_GB2312" w:cs="仿宋_GB2312"/>
                <w:b/>
                <w:bCs/>
                <w:color w:val="auto"/>
                <w:sz w:val="24"/>
              </w:rPr>
              <w:t>投标文件中需提供彩页、官网或功能截图等其中任意一项并加盖投标人CA电子签章</w:t>
            </w:r>
            <w:r>
              <w:rPr>
                <w:rFonts w:hint="eastAsia" w:ascii="仿宋_GB2312" w:hAnsi="仿宋_GB2312" w:eastAsia="仿宋_GB2312" w:cs="仿宋_GB2312"/>
                <w:b/>
                <w:bCs/>
                <w:snapToGrid w:val="0"/>
                <w:color w:val="auto"/>
                <w:kern w:val="0"/>
                <w:sz w:val="24"/>
              </w:rPr>
              <w:t>）</w:t>
            </w:r>
          </w:p>
          <w:p w14:paraId="73F8747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六、实训系统功能模块（四）</w:t>
            </w:r>
          </w:p>
          <w:p w14:paraId="1A31DD9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（为确保支持课程的后续二次开发与定制，本模块交付时必须提供完整的源代码。）</w:t>
            </w:r>
          </w:p>
          <w:p w14:paraId="1C831A0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1.实验简介：简介应包括实验目的、实验准备、实验内容描述。以多维度的数据分析展示，实现跨境电商数据多维度分析、可视化呈现。包括国家分析、行业分析</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选品分析</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不同主题的数据分析功能，分析图表可下载导出。各主题的分析模块均应包括实验简介、实验流程、实验报告、交流中心四个功能模块。</w:t>
            </w:r>
          </w:p>
          <w:p w14:paraId="61E56694">
            <w:pPr>
              <w:snapToGrid w:val="0"/>
              <w:spacing w:line="400" w:lineRule="exact"/>
              <w:rPr>
                <w:rFonts w:ascii="仿宋_GB2312" w:hAnsi="仿宋_GB2312" w:eastAsia="仿宋_GB2312" w:cs="仿宋_GB2312"/>
                <w:snapToGrid w:val="0"/>
                <w:color w:val="auto"/>
                <w:kern w:val="0"/>
                <w:sz w:val="24"/>
                <w:u w:val="single"/>
              </w:rPr>
            </w:pPr>
            <w:r>
              <w:rPr>
                <w:rFonts w:hint="eastAsia" w:ascii="仿宋_GB2312" w:hAnsi="仿宋_GB2312" w:eastAsia="仿宋_GB2312" w:cs="仿宋_GB2312"/>
                <w:snapToGrid w:val="0"/>
                <w:color w:val="auto"/>
                <w:kern w:val="0"/>
                <w:sz w:val="24"/>
              </w:rPr>
              <w:t>2.</w:t>
            </w:r>
            <w:r>
              <w:rPr>
                <w:rFonts w:hint="eastAsia" w:ascii="仿宋_GB2312" w:hAnsi="仿宋_GB2312" w:eastAsia="仿宋_GB2312" w:cs="仿宋_GB2312"/>
                <w:snapToGrid w:val="0"/>
                <w:color w:val="auto"/>
                <w:kern w:val="0"/>
                <w:sz w:val="24"/>
                <w:u w:val="single"/>
              </w:rPr>
              <w:t>实验流程：平台包括3个分析主题的共12个实验模块，依次为国家分析主题，提供国家市场分析、商品数量分析、店铺与商品分析、物流分析模块；行业分析主题，提供行业趋势、价格带分析、店铺及商品分析、物流分析模块；选品分析主题，提供行业规模及趋势、行业竞争分析、热销店铺分析、热销商品分析模块。各分析环节包括图表形成及分析结论的填写，并可将图表下载导出，且各分析环节均配有答题基础测试。</w:t>
            </w:r>
          </w:p>
          <w:p w14:paraId="57BED08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根据学生实训情况自动进行评分，并生成实验报告。实验报告应包含各分析环节对应的分析操作分值及基础测试分值。实验报告应包含各分析环节对应的分析操作分值及基础测试分值。国家分析实验报告应包括国家市场分析、商品数量分析、店铺与商品分析、物流分析得分，以及国家市场分析基础测试、商品数量分析基础测试、店铺与商品分析基础测试、物流分析基础测试得分。行业分析实验报告应包括行业趋势、价格带分析、店铺及商品分析、物流分析得分，以及行业趋势基础测试、价格带分析基础测试、店铺及商品分析基础测试、物流分析基础测试得分。选品分析实验报告应包括行业规模及趋势、行业竞争分析、热销店铺分析、热销商品分析得分，以及行业规模及趋势基础测试、行业竞争分析基础测试、热销店铺分析基础测试、热销商品分析基础测试得分。</w:t>
            </w:r>
          </w:p>
          <w:p w14:paraId="31641D0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国家分析主题提供国家市场分析、商品数量分析、店铺与商品分析、物流分析分析模块。每步分析操作完成后，需填写分析结论。各分析步骤完成后，提供关于本模块相关知识的测试，测试计入实验报告分值，完成试题后继续下一环节的内容。</w:t>
            </w:r>
          </w:p>
          <w:p w14:paraId="5129759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（1）国家市场分析</w:t>
            </w:r>
          </w:p>
          <w:p w14:paraId="0239641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国家市场分析模块包括国家订单量分析、类目成交额分析，提供分析图表及表格。国家订单量分析环节提供订单量分布、订单量环比增幅分析；类目成交额分析环节提供一级类目成交额环比增幅、一级类目成交额分布分析，支持一键导出图表及分析内容。</w:t>
            </w:r>
          </w:p>
          <w:p w14:paraId="1BFC038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（2）商品数量分析</w:t>
            </w:r>
          </w:p>
          <w:p w14:paraId="3BC0DCD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商品数量分析模块包括订单数量区间分析、价格区间商品数量分析、价格区间订单量分析，提供分析图表及表格。订单数量区间分析环节提供订单数量区间商品数量占比、订单数量区间商品数量分布分析；价格区间商品数量分析环节主要呈现各价格区间内的商品数量分布情况；价格区间订单量分析主要呈现各价格区间内的商品订单量分布结果，支持一键导出图表及分析内容。</w:t>
            </w:r>
          </w:p>
          <w:p w14:paraId="35F7F30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（3）店铺与商品分析</w:t>
            </w:r>
          </w:p>
          <w:p w14:paraId="7533658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店铺与商品分析模块包括Top10热卖店铺分析、热卖Top1店铺分析、Top10热卖商品分析。Top10热卖店铺分析主要呈现所分析月份的订单数量排名前十的店铺及其对应的成交额数量；热卖Top1店铺分析主要呈现订单数量Top1店铺内商品各价格区间对应的销售额、商品数量分布情况；Top10热卖商品分析主要呈现销量排名前十的商品情况，支持一键导出图表及分析内容。</w:t>
            </w:r>
          </w:p>
          <w:p w14:paraId="5EBD98F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（4）物流分析</w:t>
            </w:r>
          </w:p>
          <w:p w14:paraId="5633C7F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物流分析模块包括物流渠道占比、TOP5物流渠道分析，主要是对所选国家各物流渠道占比及Top5物流渠道各月份订单量变化趋势的分析，支持一键导出图表及分析内容。</w:t>
            </w:r>
          </w:p>
          <w:p w14:paraId="24605FC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行业分析主题提供行业趋势、价格带分析、店铺及商品分析、物流分析分析模块。每步分析操作完成后，需填写分析结论。各分析步骤完成后，提供关于本模块相关知识的测试，测试计入实验报告分值，完成试题后继续下一环节的内容。</w:t>
            </w:r>
          </w:p>
          <w:p w14:paraId="624ACB3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（1）行业趋势</w:t>
            </w:r>
          </w:p>
          <w:p w14:paraId="3C80C183">
            <w:pPr>
              <w:snapToGrid w:val="0"/>
              <w:spacing w:line="400" w:lineRule="exact"/>
              <w:rPr>
                <w:rFonts w:ascii="仿宋_GB2312" w:hAnsi="仿宋_GB2312" w:eastAsia="仿宋_GB2312" w:cs="仿宋_GB2312"/>
                <w:snapToGrid w:val="0"/>
                <w:color w:val="auto"/>
                <w:kern w:val="0"/>
                <w:sz w:val="24"/>
                <w:u w:val="none"/>
              </w:rPr>
            </w:pPr>
            <w:r>
              <w:rPr>
                <w:rFonts w:hint="eastAsia" w:ascii="仿宋_GB2312" w:hAnsi="仿宋_GB2312" w:eastAsia="仿宋_GB2312" w:cs="仿宋_GB2312"/>
                <w:snapToGrid w:val="0"/>
                <w:color w:val="auto"/>
                <w:kern w:val="0"/>
                <w:sz w:val="24"/>
                <w:u w:val="none"/>
              </w:rPr>
              <w:t>行业趋势分析模块提供不少于50个可选二级类目，包括趋势分析、国家市场分析、行业订单发货地分析。趋势分析部分可得到销量或销售额的趋势及环比增幅；国家市场分析呈现Top20国家消费者数量分布图；行业订单发货地呈现卖家发货地情况，支持一键导出图表及分析内容。</w:t>
            </w:r>
          </w:p>
          <w:p w14:paraId="3E0585C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（2）价格带分析</w:t>
            </w:r>
          </w:p>
          <w:p w14:paraId="69B9DB8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价格带分析模块包括行业客单价趋势分析、价格带商品数量分析、行业商品订单数量分析。客单价趋势分析部分可得到该时段内的客单价趋势与环比增幅；价格带商品数量分析呈现商品不同的价格带及各价格带对应的商品数量趋势与占比；行业商品订单数量分析呈现商品订单数量区间分布，以及各区间所对应的该区间内商品的总数量，支持一键导出图表及分析内容。</w:t>
            </w:r>
          </w:p>
          <w:p w14:paraId="652C699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（3）店铺及商品分析</w:t>
            </w:r>
          </w:p>
          <w:p w14:paraId="1AF064F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店铺及商品分析模块包括Top10热卖店铺分析、Top10商品分析。Top10热卖店铺分析主要呈现所分析月份的订单数量排名前十的店铺信息，以及各店铺对应的销售金额与增幅；Top10商品分析主要呈现销量排名前十的商品情况。完成以上各分析步骤及答题测试后方可结束该模块的分析，支持一键导出图表及分析内容。</w:t>
            </w:r>
          </w:p>
          <w:p w14:paraId="3A3B6D7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（4）物流分析</w:t>
            </w:r>
          </w:p>
          <w:p w14:paraId="4A6ED6B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物流分析模块包括物流渠道分析、物流订单数量分析、物流数据分析。物流渠道分析呈现行业销量Top10的各国家Top3物流渠道情况；物流订单数量分析呈现Top3国家各月份物流订单量趋势；物流数据主要对使用某物流的Top3国家及类目进行分析，支持一键导出图表及分析内容。</w:t>
            </w:r>
          </w:p>
          <w:p w14:paraId="7B25AB3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6.选品分析主题提供行业规模及趋势、行业竞争分析、热销店铺分析、热销商品分析分析模块。每步分析操作完成后，需填写分析结论。各分析步骤完成后，提供关于本模块相关知识的测试，测试计入实验报告分值，完成试题后继续下一环节的内容。</w:t>
            </w:r>
          </w:p>
          <w:p w14:paraId="1363181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（1）行业规模及趋势</w:t>
            </w:r>
          </w:p>
          <w:p w14:paraId="5328A4D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行业规模及趋势分析模块包括规模及趋势分析、行业趋势分析、行业订单发货地分析。规模与趋势分析部分可分析所选行业的规模、趋势及占比；行业趋势分析呈现所选行业交易金额趋势，支持一键导出图表及分析内容。</w:t>
            </w:r>
          </w:p>
          <w:p w14:paraId="326F3C2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（2）行业竞争分析</w:t>
            </w:r>
          </w:p>
          <w:p w14:paraId="6E27FBF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行业竞争分析模块支持对所选一级类目下几个热门二级类目的Top100店铺集中度进行分析，支持一键导出图表及分析内容。</w:t>
            </w:r>
          </w:p>
          <w:p w14:paraId="3A87156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（3）热销店铺分析</w:t>
            </w:r>
          </w:p>
          <w:p w14:paraId="3867C31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热销店铺分析模块呈现所选行业某月份的热卖店铺情况，包括店铺名称、店铺销售金额、所选国家销售额金额字段，支持一键导出图表及分析内容。</w:t>
            </w:r>
          </w:p>
          <w:p w14:paraId="1ECC3A3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（4）热销商品分析</w:t>
            </w:r>
          </w:p>
          <w:p w14:paraId="7C10EC3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热销商品分析模块包括Top100热卖产品价格带分析、热销商品物流返货渠道分析。Top100热销商品价格带分析呈现热销排名前100的商品价格带分布，以及各价格带对应的商品销量；热销商品物流发货渠道分析呈现所选国家及行业中常用的物流发货渠道，支持一键导出图表及分析内容。</w:t>
            </w:r>
          </w:p>
          <w:p w14:paraId="4B115EB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七、实训系统功能模块（五）</w:t>
            </w:r>
          </w:p>
          <w:p w14:paraId="373F898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1.产品模块：产品至少应包含查看所有产品、添加新产品、使用CSV添加/编辑产品、品牌授权功能模块。</w:t>
            </w:r>
          </w:p>
          <w:p w14:paraId="4273337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（1）查看所有产品：查看产品信息时，支持通过产品状态对产品进行筛选。用户可以查看已上传产品的图片、产品名称、父SKU、销量、价格、主仓库库存、国家/地区运费和最近更新时间信息。并能够支持对 单个产品信息进行编辑产品、禁用并删除产品、创建ProductBoost 活动操作。</w:t>
            </w:r>
          </w:p>
          <w:p w14:paraId="4FA2936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2.订单管理至少应包含未履行订单使用CSV履行订单和赔款功能模块。</w:t>
            </w:r>
          </w:p>
          <w:p w14:paraId="4AB8889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3.广告至少应包含查看所有活动、通过CSV创建活动和钱包功能模块。</w:t>
            </w:r>
          </w:p>
          <w:p w14:paraId="73CCA69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4.在账户API设置中，用户可自定义设置应用名称可通过重定向URI完成与外部ERP工具进行对接。</w:t>
            </w:r>
          </w:p>
          <w:p w14:paraId="30A5AAC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w:t>
            </w:r>
            <w:r>
              <w:rPr>
                <w:rFonts w:hint="eastAsia" w:ascii="仿宋_GB2312" w:hAnsi="仿宋_GB2312" w:eastAsia="仿宋_GB2312" w:cs="仿宋_GB2312"/>
                <w:snapToGrid w:val="0"/>
                <w:color w:val="auto"/>
                <w:kern w:val="0"/>
                <w:sz w:val="24"/>
                <w:u w:val="none"/>
              </w:rPr>
              <w:t>用户问题：用户问题管理至少包括采取措施和正在进行功能模块。采取措施模块中，支持通过赔款筛选条件对用户问题类型结果进行筛选，可通过用 户问题或订单 ID 查询搜索指定的用户问题。卖家对用户问题详情进行查看、处 理时，可查看用户问题 ID、开启日期、最近更新时间、状态、交易 ID</w:t>
            </w:r>
            <w:r>
              <w:rPr>
                <w:rFonts w:hint="eastAsia" w:ascii="仿宋_GB2312" w:hAnsi="仿宋_GB2312" w:eastAsia="仿宋_GB2312" w:cs="仿宋_GB2312"/>
                <w:snapToGrid w:val="0"/>
                <w:color w:val="auto"/>
                <w:kern w:val="0"/>
                <w:sz w:val="24"/>
                <w:u w:val="none"/>
                <w:lang w:val="en-US" w:eastAsia="zh-CN"/>
              </w:rPr>
              <w:t>和</w:t>
            </w:r>
            <w:r>
              <w:rPr>
                <w:rFonts w:hint="eastAsia" w:ascii="仿宋_GB2312" w:hAnsi="仿宋_GB2312" w:eastAsia="仿宋_GB2312" w:cs="仿宋_GB2312"/>
                <w:snapToGrid w:val="0"/>
                <w:color w:val="auto"/>
                <w:kern w:val="0"/>
                <w:sz w:val="24"/>
                <w:u w:val="none"/>
              </w:rPr>
              <w:t>购买日期</w:t>
            </w:r>
            <w:r>
              <w:rPr>
                <w:rFonts w:hint="eastAsia" w:ascii="仿宋_GB2312" w:hAnsi="仿宋_GB2312" w:eastAsia="仿宋_GB2312" w:cs="仿宋_GB2312"/>
                <w:snapToGrid w:val="0"/>
                <w:color w:val="auto"/>
                <w:kern w:val="0"/>
                <w:sz w:val="24"/>
                <w:u w:val="none"/>
                <w:lang w:val="en-US" w:eastAsia="zh-CN"/>
              </w:rPr>
              <w:t>的</w:t>
            </w:r>
            <w:r>
              <w:rPr>
                <w:rFonts w:hint="eastAsia" w:ascii="仿宋_GB2312" w:hAnsi="仿宋_GB2312" w:eastAsia="仿宋_GB2312" w:cs="仿宋_GB2312"/>
                <w:snapToGrid w:val="0"/>
                <w:color w:val="auto"/>
                <w:kern w:val="0"/>
                <w:sz w:val="24"/>
                <w:u w:val="none"/>
              </w:rPr>
              <w:t>详情信息，以及显示受影响的产品信息和用户问题详情信息。卖家可回 复用户问题，系统应预设有缺货、无法发货、预计到达时间-无物流信息、订单 已妥投、延迟配送致歉、物流跟踪信息、等待产品</w:t>
            </w:r>
            <w:r>
              <w:rPr>
                <w:rFonts w:hint="eastAsia" w:ascii="仿宋_GB2312" w:hAnsi="仿宋_GB2312" w:eastAsia="仿宋_GB2312" w:cs="仿宋_GB2312"/>
                <w:snapToGrid w:val="0"/>
                <w:color w:val="auto"/>
                <w:kern w:val="0"/>
                <w:sz w:val="24"/>
                <w:u w:val="none"/>
                <w:lang w:val="en-US" w:eastAsia="zh-CN"/>
              </w:rPr>
              <w:t>的</w:t>
            </w:r>
            <w:r>
              <w:rPr>
                <w:rFonts w:hint="eastAsia" w:ascii="仿宋_GB2312" w:hAnsi="仿宋_GB2312" w:eastAsia="仿宋_GB2312" w:cs="仿宋_GB2312"/>
                <w:snapToGrid w:val="0"/>
                <w:color w:val="auto"/>
                <w:kern w:val="0"/>
                <w:sz w:val="24"/>
                <w:u w:val="none"/>
              </w:rPr>
              <w:t>场景信息模板。</w:t>
            </w:r>
          </w:p>
          <w:p w14:paraId="650FF8A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八、实训系统功能模块（六）</w:t>
            </w:r>
          </w:p>
          <w:p w14:paraId="1B488AE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平台内容要求：平台需以海关“9810”通关模式为蓝本，再现跨境电商企业、跨境电商平台企业、跨境物流企业、海关、跨境电商综合服务企业五大场景。应还原“9810”监管流程及海外仓内作业设施、作业环境，使学生能身临其境体验“跨境电商出口海外仓”的全流程。</w:t>
            </w:r>
          </w:p>
          <w:p w14:paraId="4124B32D">
            <w:pPr>
              <w:snapToGrid w:val="0"/>
              <w:spacing w:line="400" w:lineRule="exact"/>
              <w:rPr>
                <w:rFonts w:ascii="仿宋_GB2312" w:hAnsi="仿宋_GB2312" w:eastAsia="仿宋_GB2312" w:cs="仿宋_GB2312"/>
                <w:b/>
                <w:bCs/>
                <w:snapToGrid w:val="0"/>
                <w:color w:val="auto"/>
                <w:kern w:val="0"/>
                <w:sz w:val="24"/>
              </w:rPr>
            </w:pPr>
            <w:r>
              <w:rPr>
                <w:rFonts w:hint="eastAsia" w:ascii="仿宋_GB2312" w:hAnsi="仿宋_GB2312" w:eastAsia="仿宋_GB2312" w:cs="仿宋_GB2312"/>
                <w:snapToGrid w:val="0"/>
                <w:color w:val="auto"/>
                <w:kern w:val="0"/>
                <w:sz w:val="24"/>
              </w:rPr>
              <w:t>★</w:t>
            </w:r>
            <w:r>
              <w:rPr>
                <w:rFonts w:hint="eastAsia" w:ascii="仿宋_GB2312" w:hAnsi="仿宋_GB2312" w:eastAsia="仿宋_GB2312" w:cs="仿宋_GB2312"/>
                <w:color w:val="auto"/>
                <w:sz w:val="24"/>
              </w:rPr>
              <w:t>●</w:t>
            </w:r>
            <w:r>
              <w:rPr>
                <w:rFonts w:hint="eastAsia" w:ascii="仿宋_GB2312" w:hAnsi="仿宋_GB2312" w:eastAsia="仿宋_GB2312" w:cs="仿宋_GB2312"/>
                <w:snapToGrid w:val="0"/>
                <w:color w:val="auto"/>
                <w:kern w:val="0"/>
                <w:sz w:val="24"/>
              </w:rPr>
              <w:t>2.系统需构建一座分别包含电商企业、海关监管作业场所、海关以及海外仓库地级城区。该城区需包含电商企业、海关监管作业场所、海关办事处、海外仓库及买家居家场景为主的5大三维实验场景。</w:t>
            </w:r>
            <w:r>
              <w:rPr>
                <w:rFonts w:hint="eastAsia" w:ascii="仿宋_GB2312" w:hAnsi="仿宋_GB2312" w:eastAsia="仿宋_GB2312" w:cs="仿宋_GB2312"/>
                <w:b/>
                <w:bCs/>
                <w:snapToGrid w:val="0"/>
                <w:color w:val="auto"/>
                <w:kern w:val="0"/>
                <w:sz w:val="24"/>
              </w:rPr>
              <w:t>（</w:t>
            </w:r>
            <w:r>
              <w:rPr>
                <w:rFonts w:hint="eastAsia" w:ascii="仿宋_GB2312" w:hAnsi="仿宋_GB2312" w:eastAsia="仿宋_GB2312" w:cs="仿宋_GB2312"/>
                <w:b/>
                <w:bCs/>
                <w:color w:val="auto"/>
                <w:sz w:val="24"/>
              </w:rPr>
              <w:t>投标文件中需提供彩页、官网或功能截图等其中任意一项并加盖投标人CA电子签章</w:t>
            </w:r>
            <w:r>
              <w:rPr>
                <w:rFonts w:hint="eastAsia" w:ascii="仿宋_GB2312" w:hAnsi="仿宋_GB2312" w:eastAsia="仿宋_GB2312" w:cs="仿宋_GB2312"/>
                <w:b/>
                <w:bCs/>
                <w:snapToGrid w:val="0"/>
                <w:color w:val="auto"/>
                <w:kern w:val="0"/>
                <w:sz w:val="24"/>
              </w:rPr>
              <w:t>）</w:t>
            </w:r>
          </w:p>
          <w:p w14:paraId="4C969E7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3.功能模块：平台分为实验流程、仿真实验、实验报告、实验目的、实验原理五个模块。</w:t>
            </w:r>
          </w:p>
          <w:p w14:paraId="6C4AF0E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实验流程：平台应包括6个实验流程，依次为前期准备、出口申报、查验放行、目的国入境清关、境外配送、退税申报。展示企业从海关企业资质备案到退税流程申报的跨境电商出口海外仓通关业务运作流程图。提供跨境电商出口海外仓通关相关课程试题，在学生完成试题并提交后，展示学生选择答案与正确答案。</w:t>
            </w:r>
          </w:p>
          <w:p w14:paraId="388DD17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5.实验报告：</w:t>
            </w:r>
          </w:p>
          <w:p w14:paraId="091A8E1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（1）若在实验尚未开始的情况下，查看实验报告，得分为零分。</w:t>
            </w:r>
          </w:p>
          <w:p w14:paraId="384B8FB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（2）系统应支持根据学生实训情况自动进行评分，并生成实验报告。</w:t>
            </w:r>
          </w:p>
          <w:p w14:paraId="0E260ED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（3）实验结果与分析应包含前期准备、出口申报、查验放行、目的国入境清关、境外配送、退税申报在内各项的得分情况。</w:t>
            </w:r>
          </w:p>
          <w:p w14:paraId="13E7068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6.实验目的：介绍跨境电商出口海外仓模拟实验的知识、能力、情感三个维度的目标。</w:t>
            </w:r>
          </w:p>
          <w:p w14:paraId="60BB532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7.实验原理：展示介绍跨境电商海外仓仿真实验的原理。</w:t>
            </w:r>
          </w:p>
          <w:p w14:paraId="10C1A41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8.提示帮助：提供平台操作帮助示意图。</w:t>
            </w:r>
          </w:p>
          <w:p w14:paraId="518F0D6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9.前期准备</w:t>
            </w:r>
          </w:p>
          <w:p w14:paraId="09A355B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本环节应真实模拟海外仓业务资质前期备案工作，系统模拟的备案工作主要包括海关企业资质备案、电商企业资质备案及海外仓业务模式备案。支持完成对海关企业资质备案工作、IC卡办理工作、电商企业资质备案工作、传输ID申请和海外仓业务模式备案任务的全流程练习。此外，系统需同步提醒各流程应该提交的相关材料和信息。</w:t>
            </w:r>
          </w:p>
          <w:p w14:paraId="3B95BFA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（1）海关企业资质备案</w:t>
            </w:r>
          </w:p>
          <w:p w14:paraId="1260A61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进入前期准备工作环节，系统需出现任务提示，引导用户进入各个任务场景，首先需要完成的实验任务是进行海关企业资质备案。</w:t>
            </w:r>
          </w:p>
          <w:p w14:paraId="3BF5B94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用户进入电商企业场景，完成线上对海关企业资质的填报工作，同时根据线上填报的需求，用户还需提交报关单位备案信息表（已盖章），提交成功即可完成海关企业资质备案工作。</w:t>
            </w:r>
          </w:p>
          <w:p w14:paraId="7FA245A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（2）IC卡申请</w:t>
            </w:r>
          </w:p>
          <w:p w14:paraId="63174254">
            <w:pPr>
              <w:snapToGrid w:val="0"/>
              <w:spacing w:line="400" w:lineRule="exact"/>
              <w:rPr>
                <w:rFonts w:ascii="仿宋_GB2312" w:hAnsi="仿宋_GB2312" w:eastAsia="仿宋_GB2312" w:cs="仿宋_GB2312"/>
                <w:snapToGrid w:val="0"/>
                <w:color w:val="auto"/>
                <w:kern w:val="0"/>
                <w:sz w:val="24"/>
                <w:u w:val="single"/>
              </w:rPr>
            </w:pPr>
            <w:r>
              <w:rPr>
                <w:rFonts w:hint="eastAsia" w:ascii="仿宋_GB2312" w:hAnsi="仿宋_GB2312" w:eastAsia="仿宋_GB2312" w:cs="仿宋_GB2312"/>
                <w:snapToGrid w:val="0"/>
                <w:color w:val="auto"/>
                <w:kern w:val="0"/>
                <w:sz w:val="24"/>
                <w:u w:val="none"/>
              </w:rPr>
              <w:t>用户在电商企业场景中，依照任务要求，前往中国电子口岸数据中心杭州分中心平台办理IC卡。用户需要先在中国电子口岸数据中心杭州分中心平台的电子口岸入网模块中进行新企业申请入网操作，根据要求提交营业执照、操作员身份证原件、海关签发的《报关人员备案证明》《对外贸易经营者备案登记表》原件和海关进出口货物收发人备案回执文件，完成IC卡的申请办理。</w:t>
            </w:r>
          </w:p>
          <w:p w14:paraId="07672DD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（3）电商企业资质备案</w:t>
            </w:r>
          </w:p>
          <w:p w14:paraId="59DF534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用户在电商企业场景中，完成线上对电商企业资质备案的填报工作。</w:t>
            </w:r>
          </w:p>
          <w:p w14:paraId="6993590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（4）传输ID申请</w:t>
            </w:r>
          </w:p>
          <w:p w14:paraId="50B5B1A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用户在电商企业场景中，再次前往中国电子口岸数据中心杭州分中心平台办理传输ID申请。用户在中国电子口岸数据中心杭州分中心平台的传输ID申请模块中应支持通过选择申请报关单模式或申请清单模式进行传输ID申请的填报工作，同时需要提交营业执照扫描件，完成传输ID申请办理以及企业数据的对接。</w:t>
            </w:r>
          </w:p>
          <w:p w14:paraId="3C1F91B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（5）海外仓业务模式备案</w:t>
            </w:r>
          </w:p>
          <w:p w14:paraId="7074618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用户需前往海关场景进行海外仓业务模式备案，该任务环节的主要办理流程包括提交资料、海关审核和结果反馈。用户需在海关场景找到对外窗口的工作人员，完成对话任务后，根据对话内容提交相对应的任务材料：《跨境电商海外仓出口企业备案登记表》《跨境电商海外仓信息登记表》、海外仓所有权文件（租赁协议）、企业营业执照以及海关所需要的其他信息，在顺利完成上述任务环节后，系统将弹出信息框提示审核成功，即为完成海外仓业务模式备案。</w:t>
            </w:r>
          </w:p>
          <w:p w14:paraId="48FE4AE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通过该任务环节的题目测试，完成前期的准备工作，返回电商企业，进行下一步出口申报工作。</w:t>
            </w:r>
          </w:p>
          <w:p w14:paraId="3D2B521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10.出口申报</w:t>
            </w:r>
          </w:p>
          <w:p w14:paraId="4E9E73B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本环节真实模拟货物进港，将货物运送至海关监管作业场所，完成货物运抵申报的场景。完成货物运抵申报后，用户可以分别选择报关单模式和清单模式进行出口申报学习。</w:t>
            </w:r>
          </w:p>
          <w:p w14:paraId="5BC414C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（1）以报关单模式申报</w:t>
            </w:r>
          </w:p>
          <w:p w14:paraId="0086EDB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完成货物运抵申报后，用户在电商企业场景中点击电脑选择以报关单模式申报，进行订仓单推送和单一窗口报关单推送流程的操作。选择跨境电商综合服务平台，推送订仓单数据，用户需要在跨境电商综合服务平台中将基础数据导入，包括下载报关单模式模板和创建申报任务，生成申报数据后，在数据申报管理模块中，进行数据的推送。订仓单数据推送成功后，下一步选择跨境电商出口统一版系统进行报关单的推送，用户需要根据要求填写货物申报信息，单一窗口报关单推送成功之后，等待海关进行逻辑校验，在海关系统审核无误后，申报企业可以在中国国际单一窗口查询申报结果。</w:t>
            </w:r>
          </w:p>
          <w:p w14:paraId="5213918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（2）以清单模式申报</w:t>
            </w:r>
          </w:p>
          <w:p w14:paraId="6E453A6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完成货物运抵申报后，用户在电商企业场景中点击电脑选择以清单模式申报，系统提示清单模式申报流程包含推送订仓单数据、推送物流单数据和推送清单数据。选择跨境电商综合服务平台推送订仓单数据，需要进行订仓单数据的导入，包括下载模板和导入订仓单，生成数据后将订仓单数据推送至海关跨境电商出口统一版管理系统。之后在跨境电商综合服务平台分别将物流单数据和清单数据推送至海关跨境电商出口统一版管理系统，完成清单数据的推送后，需要等待海关进行逻辑检验，在海关系统审核无误后，申报企业可以在中国国际单一窗口查询申报结果。</w:t>
            </w:r>
          </w:p>
          <w:p w14:paraId="5CD0B01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通过该任务环节的题目测试，完成出口申报工作，将进入下一流程，查验放行步骤。</w:t>
            </w:r>
          </w:p>
          <w:p w14:paraId="4D54E03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11.查验放行</w:t>
            </w:r>
          </w:p>
          <w:p w14:paraId="7B1B089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本环节应真实模拟系统载入海关监管作业场所场景，货物进港之后，在报关时海关系统布控查验，海关开具查验通知书，告知货主是否查验，手续通过后进行放行。应支持通过跨境监管作业场所平面图认知，了解跨境监管作业场所的人工查验区、机查区域、海关办公室、货物出入口布局。查验分为人工查验、机查，也可以无需查验，支持用户分别选择以上三个流程进行学习。</w:t>
            </w:r>
          </w:p>
          <w:p w14:paraId="4CC4A60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（1）人工查验</w:t>
            </w:r>
          </w:p>
          <w:p w14:paraId="2FD1C71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用户选择人工查验时，海关开具查验通知书，告知货主需要查验，查验无误后放行。之后通过文字学习放行指令，并支持查看报关单样例。</w:t>
            </w:r>
          </w:p>
          <w:p w14:paraId="11444C3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（2）机查</w:t>
            </w:r>
          </w:p>
          <w:p w14:paraId="4CB0627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用户选择机查时，应支持查看文字介绍，对包含安检机、六面扫描仪、分拣机、AGV叉车和海关办公室的监管作业场所认知设施设备进行认知学习。观看动画完成货物流转认知和违禁品考核后放行，完成机查认知学习。</w:t>
            </w:r>
          </w:p>
          <w:p w14:paraId="2FC25CB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（3）无需查验</w:t>
            </w:r>
          </w:p>
          <w:p w14:paraId="22BA93D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用户选择无需查验时，应支持通过文字学习放行指令，并可查看报关单样例。通过该任务环节的题目测试，可获得船舶信息和即将离港信息，观看动画了解船舶走向后，完成查验放行，进入目的地国入境清关流程，。</w:t>
            </w:r>
          </w:p>
          <w:p w14:paraId="4E45C82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12.目的国入境清关</w:t>
            </w:r>
          </w:p>
          <w:p w14:paraId="3F5A719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本环节应真实模拟目的国入境清关流程。应支持通过查看文字介绍，了解进口清关准备以及美国、欧盟、日本</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进口清关政策，进行认知学习。通过该任务环节的题目测试后，完成目的国入境清关流程，进入境外配送流程。</w:t>
            </w:r>
          </w:p>
          <w:p w14:paraId="0372918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13.境外配送</w:t>
            </w:r>
          </w:p>
          <w:p w14:paraId="14A1D31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本环节应真实模拟海外仓入库上架之后，仓库拣货、货物复检、打包并装车的活动，最后通过境外物流企业派送到消费者手中，消费者进行签收</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流程。该环节应支持练习货物的分拣、复检及打包活动，模拟境外配送环节涵盖的业务过程。</w:t>
            </w:r>
          </w:p>
          <w:p w14:paraId="4C8C839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仓库拣货：进入海外仓库，应支持观看动画了解海外仓货物入库上架的流程，之后进行海外仓常用设施设备的认知学习，包括托盘货架、移动式货架、堆垛机、手持数据采集器、手动托盘叉车、条码仓库管理系统。前往订单处理区打印订单，取手推车准备拣货，根据引导提示完成货物的拣选，之后移动至复检区，完成商品的复检工作，移动至打包区打包商品，货物打包完成后，运送到快递车上进行配送。完成上述流程，用户即完成仓库拣货的任务。</w:t>
            </w:r>
          </w:p>
          <w:p w14:paraId="2A78981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（2）商品签收：支持通过系统向买家发送包裹送达通知，用户以买家的身份体验商品签收</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环节。系统提示包裹已送达，请开门并完成商品的签收。</w:t>
            </w:r>
          </w:p>
          <w:p w14:paraId="0B55BD1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14.退税申报</w:t>
            </w:r>
          </w:p>
          <w:p w14:paraId="3E68668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本环节应真实模拟境外配送完成后，需要在线上完成退税申报的工作。该模块主要模拟国家税务总局申报</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中国电子口岸申报</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工作流程。</w:t>
            </w:r>
          </w:p>
          <w:p w14:paraId="694E19A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（1）国家税务总局申报</w:t>
            </w:r>
          </w:p>
          <w:p w14:paraId="5B7B2D4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用户在电商企业场景中，依照任务需求，登录至国家税务总局下载并安装便捷退税助手，之后再次进入网站填写外贸企业退税申报所属期进行申报。</w:t>
            </w:r>
          </w:p>
          <w:p w14:paraId="0BBF5D9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（2）中国电子口岸申报</w:t>
            </w:r>
          </w:p>
          <w:p w14:paraId="31DB461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用户在电商企业场景中，应支持登录至中国电子口岸，依照任务需求，填写登录信息，进入出口退税联网稽查业务系统下载解密软件，完成安装并开始解密。从文件导入报关单并提交，之后进行增值税专用发票管理。然后进行智能配单、采集外贸企业出口退税出口明细信息以及外贸企业出口退税进货明细信息、数据校验、数据自检、正式申报、加签申报、税务ukey输入</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环节，完成企业退税流程。</w:t>
            </w:r>
          </w:p>
          <w:p w14:paraId="1DBDB92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九、实训系统功能模块（七）</w:t>
            </w:r>
          </w:p>
          <w:p w14:paraId="7CE2189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1.平台总体要求：系统以模拟成立一家新的跨境贸易电子商务公司为前提，该公司需要采用保税备货的模式从事跨境贸易电子商务业务，用户在该模式下完成任务全流程。</w:t>
            </w:r>
          </w:p>
          <w:p w14:paraId="1C51374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w:t>
            </w:r>
            <w:r>
              <w:rPr>
                <w:rFonts w:hint="eastAsia" w:ascii="仿宋_GB2312" w:hAnsi="仿宋_GB2312" w:eastAsia="仿宋_GB2312" w:cs="仿宋_GB2312"/>
                <w:snapToGrid w:val="0"/>
                <w:color w:val="auto"/>
                <w:kern w:val="0"/>
                <w:sz w:val="24"/>
                <w:u w:val="single"/>
              </w:rPr>
              <w:t>系统构建了一座分别包含外经贸、电商企业、海关办事处、跨境电商保税仓库及物流企业地级城区。该城区包含电商企业、外经贸对外办事处、海关办事处、物流企业、保税区仓库及买家居家场景为主的6大三维实验场景。</w:t>
            </w:r>
          </w:p>
          <w:p w14:paraId="084F9F9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3.系统</w:t>
            </w:r>
            <w:r>
              <w:rPr>
                <w:rFonts w:hint="eastAsia" w:ascii="仿宋_GB2312" w:hAnsi="仿宋_GB2312" w:eastAsia="仿宋_GB2312" w:cs="仿宋_GB2312"/>
                <w:snapToGrid w:val="0"/>
                <w:color w:val="auto"/>
                <w:kern w:val="0"/>
                <w:sz w:val="24"/>
                <w:lang w:val="en-US" w:eastAsia="zh-CN"/>
              </w:rPr>
              <w:t>至少</w:t>
            </w:r>
            <w:r>
              <w:rPr>
                <w:rFonts w:hint="eastAsia" w:ascii="仿宋_GB2312" w:hAnsi="仿宋_GB2312" w:eastAsia="仿宋_GB2312" w:cs="仿宋_GB2312"/>
                <w:snapToGrid w:val="0"/>
                <w:color w:val="auto"/>
                <w:kern w:val="0"/>
                <w:sz w:val="24"/>
              </w:rPr>
              <w:t>涵盖备案登记、海关注册编码、电子口岸IC卡、单一窗口注册备案、电子口岸数据中心企业注册、商品备案、账册申请、申报、货物运抵、报关、报检预录入、过卡进区、查验、报关、表单申报、商品出库拣货、尾程派送关键节点。</w:t>
            </w:r>
          </w:p>
          <w:p w14:paraId="2DA5BC0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系统包含的任务数据资料分别有对外贸易经营者登记申请表、电商企业营业执照、法人身份证扫描件、电子口岸2号表、经办人身份证、操作员身份证、企业简介、经营主体备案信息、质量诚信经营承诺书、企业税款证明、注册登记证书实验材料。</w:t>
            </w:r>
          </w:p>
          <w:p w14:paraId="20E062D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5.系统</w:t>
            </w:r>
            <w:r>
              <w:rPr>
                <w:rFonts w:hint="eastAsia" w:ascii="仿宋_GB2312" w:hAnsi="仿宋_GB2312" w:eastAsia="仿宋_GB2312" w:cs="仿宋_GB2312"/>
                <w:snapToGrid w:val="0"/>
                <w:color w:val="auto"/>
                <w:kern w:val="0"/>
                <w:sz w:val="24"/>
                <w:lang w:val="en-US" w:eastAsia="zh-CN"/>
              </w:rPr>
              <w:t>至少</w:t>
            </w:r>
            <w:r>
              <w:rPr>
                <w:rFonts w:hint="eastAsia" w:ascii="仿宋_GB2312" w:hAnsi="仿宋_GB2312" w:eastAsia="仿宋_GB2312" w:cs="仿宋_GB2312"/>
                <w:snapToGrid w:val="0"/>
                <w:color w:val="auto"/>
                <w:kern w:val="0"/>
                <w:sz w:val="24"/>
              </w:rPr>
              <w:t>涉及包含跨境电商公共服务平台、商务委平台、电商平台、海关H2018通关管理平台、海关金关二期公共服务平台的知识点交互。</w:t>
            </w:r>
          </w:p>
          <w:p w14:paraId="6F60942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6.系统制定每一阶段详尽的评分标准，构建虚-实结合、考-练结合的保税进口实验教学评价体系，了解用户知识掌握情况、实验过程任务和实验结果全面考核，增加评价综合性。</w:t>
            </w:r>
          </w:p>
          <w:p w14:paraId="2BC409F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7.系统包含个人登录和专家入口，各自拥有不同的权限。</w:t>
            </w:r>
          </w:p>
          <w:p w14:paraId="7CFBC5D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8.系统提供中英文切换功能，可一键切换到全英文界面，既可以支持中英文双语教学，也可以为英语言用户提供顺畅的英文语言使用环境。</w:t>
            </w:r>
          </w:p>
          <w:p w14:paraId="35E0F59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9.系统提供回退功能，用户可通过回退返回到之前的操作界面，回退后此前所有操作的数据将被清空。</w:t>
            </w:r>
          </w:p>
          <w:p w14:paraId="083FD5E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10.实验分三种类型进行综合考核，分别为基础知识点认知，实验任务，以及实践基础考核。基础知识点认知占10%，实验任务占50%，实践基础考核占40%。同时考核模块系统设定了一定的时间，如果在限时内没有正确完成考核，或中途退出考核模块，学生在该考核模块的评分将为0。</w:t>
            </w:r>
          </w:p>
          <w:p w14:paraId="1EE9F1C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11.系统基于VR或AR技术，通过对场景进行三维建模，用户能在系统中进行360°三维交互，并搭配二维的平台申报模拟环节，以及结合图文及三维动画手段展示方法，让学生完成跨境电商保税进口模式下全流程的认知和知识点的掌握。</w:t>
            </w:r>
          </w:p>
          <w:p w14:paraId="0B167B3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12.平台实验流程模块:至少应包含实验简介、实验流程、实验报告、课后习题和实验帮助功能。</w:t>
            </w:r>
          </w:p>
          <w:p w14:paraId="4011F74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实验简介：包括实验背景、实验目的、实验内容和实验知识点。</w:t>
            </w:r>
          </w:p>
          <w:p w14:paraId="6BB4C2B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实验流程：实验包含前期准备、入区准备、入区通关、出区通关、尾程派送全流程。</w:t>
            </w:r>
          </w:p>
          <w:p w14:paraId="1463D7F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13.前期准备</w:t>
            </w:r>
          </w:p>
          <w:p w14:paraId="7A05E75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本环节真实模拟电商企业前期注册及备案工作，系统模拟的备案工作主要包括企业备案和商品备案。完成对外贸易经营者备案登记工作、单一窗口线上注册工作、线上电子口岸的企业注册任务的全流程练习。此外，系统会同步提醒各流程应该提交的相关材料和信息。</w:t>
            </w:r>
          </w:p>
          <w:p w14:paraId="6D0A16F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（1）对外贸易经营者备案登记</w:t>
            </w:r>
          </w:p>
          <w:p w14:paraId="682B187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进入前期准备环节，系统将出现任务提示，引导用户进入各个任务场景，首先需要完成的实验任务是完成对外贸易经营者备案登记。</w:t>
            </w:r>
          </w:p>
          <w:p w14:paraId="0B76DB5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用户进入电商企业场景，依照任务需求，前往国家商务网站完成线上对外贸易经营者备案登记申请表的填报工作，同时根据线上填报的需求，用户还需提交企业营业执照及法人身份证扫描件，填报成功获得对外贸易经营者备案登记申请表；电子口岸2号表该公章。</w:t>
            </w:r>
          </w:p>
          <w:p w14:paraId="2A0B545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完成了线上的填报工作，用户需要前往外经贸对外办事处，提交纸质版材料。到达任务点，找到对外经贸办事处对外窗口的工作人员，完成对话任务后，根据对话内容提交相对应的任务材料：对外贸易经营者备案登记申请表，营业执照（盖公章），法人身份证。填报成功获得加盖备案登记印章的对外贸易经营者备案登记表（有效期30天）。如若材料多次提交不正确，用户也可点开实验提示，查看当前环节需要提交的正确材料。工作人员（指系统内的工作人员）将为您提交的申请表进行盖章。</w:t>
            </w:r>
          </w:p>
          <w:p w14:paraId="71DBEDA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（2）海关注册编码</w:t>
            </w:r>
          </w:p>
          <w:p w14:paraId="21BAD37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进入海关办事处，先进行各窗口的认知，此场景分别包含了海关备案窗口、海关数据中心对外窗口、海关对外办事处窗口、海关国检人员窗口。用户找到海关对外办事处后，先完成对话任务，同时提交已盖完章的对外贸易经营者备案登记表，随后用户将成功获取海关10位注册编码。</w:t>
            </w:r>
          </w:p>
          <w:p w14:paraId="1335D3D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w:t>
            </w:r>
            <w:r>
              <w:rPr>
                <w:rFonts w:hint="eastAsia" w:ascii="仿宋_GB2312" w:hAnsi="仿宋_GB2312" w:eastAsia="仿宋_GB2312" w:cs="仿宋_GB2312"/>
                <w:color w:val="auto"/>
                <w:sz w:val="24"/>
              </w:rPr>
              <w:t>●</w:t>
            </w:r>
            <w:r>
              <w:rPr>
                <w:rFonts w:hint="eastAsia" w:ascii="仿宋_GB2312" w:hAnsi="仿宋_GB2312" w:eastAsia="仿宋_GB2312" w:cs="仿宋_GB2312"/>
                <w:snapToGrid w:val="0"/>
                <w:color w:val="auto"/>
                <w:kern w:val="0"/>
                <w:sz w:val="24"/>
              </w:rPr>
              <w:t>（3）电子口岸IC卡</w:t>
            </w:r>
          </w:p>
          <w:p w14:paraId="3A7E3EF2">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找到海关数据中心窗口，完成对话任务，同时根据对话内容，依次提交经办人身份证、法人持卡人身份证、操作员身份证、营业执照（盖公章）以及对外贸易经营者备案登记表（已盖章）、电子口岸2号表盖公章、报关单位海关注册登记证材料，填报成功获取电子口岸IC卡、法人IC卡、操作员IC卡、读卡器材料。</w:t>
            </w:r>
            <w:r>
              <w:rPr>
                <w:rFonts w:hint="eastAsia" w:ascii="仿宋_GB2312" w:hAnsi="仿宋_GB2312" w:eastAsia="仿宋_GB2312" w:cs="仿宋_GB2312"/>
                <w:b/>
                <w:bCs/>
                <w:snapToGrid w:val="0"/>
                <w:color w:val="auto"/>
                <w:kern w:val="0"/>
                <w:sz w:val="24"/>
              </w:rPr>
              <w:t>（</w:t>
            </w:r>
            <w:r>
              <w:rPr>
                <w:rFonts w:hint="eastAsia" w:ascii="仿宋_GB2312" w:hAnsi="仿宋_GB2312" w:eastAsia="仿宋_GB2312" w:cs="仿宋_GB2312"/>
                <w:b/>
                <w:bCs/>
                <w:color w:val="auto"/>
                <w:sz w:val="24"/>
              </w:rPr>
              <w:t>投标文件中需提供彩页、官网或功能截图等其中任意一项并加盖投标人CA电子签章</w:t>
            </w:r>
            <w:r>
              <w:rPr>
                <w:rFonts w:hint="eastAsia" w:ascii="仿宋_GB2312" w:hAnsi="仿宋_GB2312" w:eastAsia="仿宋_GB2312" w:cs="仿宋_GB2312"/>
                <w:b/>
                <w:bCs/>
                <w:snapToGrid w:val="0"/>
                <w:color w:val="auto"/>
                <w:kern w:val="0"/>
                <w:sz w:val="24"/>
              </w:rPr>
              <w:t>）</w:t>
            </w:r>
          </w:p>
          <w:p w14:paraId="7A877F0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（4）单一窗口注册备案</w:t>
            </w:r>
          </w:p>
          <w:p w14:paraId="303DEB4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返回电商企业场景，用户在打开电脑后，先进行操作平台的选择，在线上完成单一窗口线上注册工作，同时完成多项材料的提交，随后用户将携带相关人物材料前往海关办事处，进行线下提交流程。</w:t>
            </w:r>
          </w:p>
          <w:p w14:paraId="3131AAA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（5）电子口岸数据中心企业注册</w:t>
            </w:r>
          </w:p>
          <w:p w14:paraId="66B5E9A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返回企业场景，用户需打开电子口岸数据分中心的网站，完成现场注册任务，该任务环节，用户需提交的任务材料包含营业执照、操作员身份证、电子口岸业务办理申请单，在顺利完成上述任务环节后，系统将弹出信息提示，您已成功完成前期准备工作。</w:t>
            </w:r>
          </w:p>
          <w:p w14:paraId="35B1275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14.入区准备</w:t>
            </w:r>
          </w:p>
          <w:p w14:paraId="194E6A2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本环节真实模拟在将货物运送至特殊监管区之前，需要完成的入区准备工作。该模块主要模拟商品备案；账册申请、申报；货物运抵及报关</w:t>
            </w:r>
            <w:r>
              <w:rPr>
                <w:rFonts w:hint="eastAsia" w:ascii="仿宋_GB2312" w:hAnsi="仿宋_GB2312" w:eastAsia="仿宋_GB2312" w:cs="仿宋_GB2312"/>
                <w:snapToGrid w:val="0"/>
                <w:color w:val="auto"/>
                <w:kern w:val="0"/>
                <w:sz w:val="24"/>
                <w:lang w:val="en-US" w:eastAsia="zh-CN"/>
              </w:rPr>
              <w:t>和</w:t>
            </w:r>
            <w:r>
              <w:rPr>
                <w:rFonts w:hint="eastAsia" w:ascii="仿宋_GB2312" w:hAnsi="仿宋_GB2312" w:eastAsia="仿宋_GB2312" w:cs="仿宋_GB2312"/>
                <w:snapToGrid w:val="0"/>
                <w:color w:val="auto"/>
                <w:kern w:val="0"/>
                <w:sz w:val="24"/>
              </w:rPr>
              <w:t>报检预录入</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工作流程。</w:t>
            </w:r>
          </w:p>
          <w:p w14:paraId="000FC35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（1）商品备案</w:t>
            </w:r>
          </w:p>
          <w:p w14:paraId="67E1C28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物流企业在收到电商企业提供的国检商品备案明细表后，进行审核，在审核无误后，整理并制作国检备案申报表。进入知识点考核，用户在查看完国检商品备案明细表样例后，进行多选题的考核。随后再完成海关商品备案明细表的制作。</w:t>
            </w:r>
          </w:p>
          <w:p w14:paraId="060AE6D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（2）账册申请、申报</w:t>
            </w:r>
          </w:p>
          <w:p w14:paraId="7A92019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考核交互：打开账册申请页面，当前您需要申请的账册类型为：委内加工、跨电账册还是物流账册。在完成商品备案表的线上提交任务后，电商企业负责人可通知国外供应商进行发货处理。</w:t>
            </w:r>
          </w:p>
          <w:p w14:paraId="4896C20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（3）货物运抵</w:t>
            </w:r>
          </w:p>
          <w:p w14:paraId="135CB66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货物运抵至口岸的同事，供应商还会将寄来包含商业发票、装箱单、提单及货物明细单单据，用户可点击相关单据查看其式样。</w:t>
            </w:r>
          </w:p>
          <w:p w14:paraId="42E7C9F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（4）报关、报检预录入</w:t>
            </w:r>
          </w:p>
          <w:p w14:paraId="1FC5BB3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进入海关办事处场景，用户需提交包含报关单、报检单、明细单、装箱单、发票、提单及查验记录单单据，完成预录入工作。完成上述任务，系统将提示，您已完成当前环节任务，您可进入入区通关环节，完成后续通关任务。</w:t>
            </w:r>
          </w:p>
          <w:p w14:paraId="364DC398">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★15.入区通关</w:t>
            </w:r>
          </w:p>
          <w:p w14:paraId="701C84A2">
            <w:pPr>
              <w:snapToGrid w:val="0"/>
              <w:spacing w:line="400" w:lineRule="exact"/>
              <w:rPr>
                <w:rFonts w:ascii="仿宋_GB2312" w:hAnsi="仿宋_GB2312" w:eastAsia="仿宋_GB2312" w:cs="仿宋_GB2312"/>
                <w:b/>
                <w:bCs/>
                <w:snapToGrid w:val="0"/>
                <w:color w:val="auto"/>
                <w:kern w:val="0"/>
                <w:sz w:val="24"/>
              </w:rPr>
            </w:pPr>
            <w:r>
              <w:rPr>
                <w:rFonts w:hint="eastAsia" w:ascii="仿宋_GB2312" w:hAnsi="仿宋_GB2312" w:eastAsia="仿宋_GB2312" w:cs="仿宋_GB2312"/>
                <w:color w:val="auto"/>
                <w:sz w:val="24"/>
              </w:rPr>
              <w:t>●</w:t>
            </w:r>
            <w:r>
              <w:rPr>
                <w:rFonts w:hint="eastAsia" w:ascii="仿宋_GB2312" w:hAnsi="仿宋_GB2312" w:eastAsia="仿宋_GB2312" w:cs="仿宋_GB2312"/>
                <w:snapToGrid w:val="0"/>
                <w:color w:val="auto"/>
                <w:kern w:val="0"/>
                <w:sz w:val="24"/>
              </w:rPr>
              <w:t>本环节真实模拟系统载入保税区过关卡口场景，在完成关卡关联后，车辆可进入保税区，将货物运载至保税区仓库站前，等待国检、海关办理查验手续通过后进行入库。</w:t>
            </w:r>
            <w:r>
              <w:rPr>
                <w:rFonts w:hint="eastAsia" w:ascii="仿宋_GB2312" w:hAnsi="仿宋_GB2312" w:eastAsia="仿宋_GB2312" w:cs="仿宋_GB2312"/>
                <w:b/>
                <w:bCs/>
                <w:snapToGrid w:val="0"/>
                <w:color w:val="auto"/>
                <w:kern w:val="0"/>
                <w:sz w:val="24"/>
              </w:rPr>
              <w:t>（</w:t>
            </w:r>
            <w:r>
              <w:rPr>
                <w:rFonts w:hint="eastAsia" w:ascii="仿宋_GB2312" w:hAnsi="仿宋_GB2312" w:eastAsia="仿宋_GB2312" w:cs="仿宋_GB2312"/>
                <w:b/>
                <w:bCs/>
                <w:color w:val="auto"/>
                <w:sz w:val="24"/>
              </w:rPr>
              <w:t>投标文件中需提供彩页、官网或功能截图等其中任意一项并加盖投标人CA电子签章</w:t>
            </w:r>
            <w:r>
              <w:rPr>
                <w:rFonts w:hint="eastAsia" w:ascii="仿宋_GB2312" w:hAnsi="仿宋_GB2312" w:eastAsia="仿宋_GB2312" w:cs="仿宋_GB2312"/>
                <w:b/>
                <w:bCs/>
                <w:snapToGrid w:val="0"/>
                <w:color w:val="auto"/>
                <w:kern w:val="0"/>
                <w:sz w:val="24"/>
              </w:rPr>
              <w:t>）</w:t>
            </w:r>
          </w:p>
          <w:p w14:paraId="2653A67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（1）过卡进区</w:t>
            </w:r>
          </w:p>
          <w:p w14:paraId="2ADD8F84">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系统载入保税区过关卡口场景，在过卡口环节，用户需将核放单、IC卡提交给场站工作人员，待完成关卡关联后，车子放可进入保税区内。</w:t>
            </w:r>
          </w:p>
          <w:p w14:paraId="1130B4C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（2）查验、报关</w:t>
            </w:r>
          </w:p>
          <w:p w14:paraId="53114E1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车辆将入保税区后，将货物运载至保税区仓库站前，等待国检、海关办理查验手续后，货物方可办理放行手续，可入库。进入海关办事处，找到海关报关窗口，将报关单、报关委托书、发票及装箱单单据提交给窗口工作人员，即完成入区通关环节的任务。</w:t>
            </w:r>
          </w:p>
          <w:p w14:paraId="7AC5A98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16.出区通关</w:t>
            </w:r>
          </w:p>
          <w:p w14:paraId="4021932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本环节真实模拟备货在保税仓库的货物经电商平台销售后，办理二线出区的通关手续，然后进行零售物品打包装车活动，最后通过国内物流企业派送到消费者手中</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流程。该环节通过练习订单、运单、支付单、清单以及核注单和核放单的申报工作，货物的分拣、复检及打包活动，模拟出区通关环节涵盖的业务过程。</w:t>
            </w:r>
          </w:p>
          <w:p w14:paraId="7B73668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（1）表单申报</w:t>
            </w:r>
          </w:p>
          <w:p w14:paraId="5903B10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进入电商企业办公室，用户按照顺序依次完成订单、支付单、运单、清单单据的申报工作，同时在申报前期，用户需进行操作平台的选择，以上表单需在跨境电商公共服务平台上完成申报工作。在完成核注单及核放单的申报工作后，即可前往海外仓仓库，完成拣货任务。</w:t>
            </w:r>
          </w:p>
          <w:p w14:paraId="7D11D84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（2）仓储拣货</w:t>
            </w:r>
          </w:p>
          <w:p w14:paraId="5D4C9D2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前往订单处理区打印订单，取手推车，准备拣货，根据引导提示，完成货物的拣选，行走至复检区，完成商品的复检工作，打包商品，完成商品出库流程。完成上述流程，用户即完成出区通关的任务。</w:t>
            </w:r>
          </w:p>
          <w:p w14:paraId="1D1132F5">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17.尾程派送</w:t>
            </w:r>
          </w:p>
          <w:p w14:paraId="09612B2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本环节模拟电商平台销售的物品通过国内物流企业运送到消费者手中后，消费者签收后可以通过手机扫描商品的二维码进行商品溯源，了解商品的详细信息。商品签收尾程派送阶段，用户将以买家的身份体验商品签收</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环节。系统提示，您的商品已经送达，请开门并完成商品的签收。商品信息溯源完成商品的签收后，用户可点击拾取自己的手机完成商品信息追溯功能，追溯的信息可包含商品原产地、商品名称、生产日期、代理商、报关日期、进口口岸信息。</w:t>
            </w:r>
          </w:p>
          <w:p w14:paraId="1322065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18.实验报告模块</w:t>
            </w:r>
          </w:p>
          <w:p w14:paraId="59E8CEB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完成所有流程后，即可查看详细的实验报告。平台能够根据学生实训情况自动进行评分，并生成实验报告。</w:t>
            </w:r>
          </w:p>
          <w:p w14:paraId="6CF88E0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19.课后习题模块</w:t>
            </w:r>
          </w:p>
          <w:p w14:paraId="1BC2F6E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提供课后习题库，并进行自动评分。</w:t>
            </w:r>
          </w:p>
          <w:p w14:paraId="0AF03BB6">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十、实训系统功能模块（八）</w:t>
            </w:r>
          </w:p>
          <w:p w14:paraId="0F7873B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平台内容要求：平台以海关“9610”通关模式为蓝本，通过再现跨境电商企业仓储、跨境物流场所、跨境监管场所及离境口岸4大场景，用户从获取海外订单信息开始，借助实验平台依次开展订单申报、运单申报以及支付单申报</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工作，让学生以第一视角熟悉跨境电商物流通关业务流程。</w:t>
            </w:r>
          </w:p>
          <w:p w14:paraId="0E365BE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功能模块：平台分为实验介绍、实验流程、实验报告、课后习题、实验帮助、实验平台六个模块。</w:t>
            </w:r>
          </w:p>
          <w:p w14:paraId="3CC6675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多语言支持：平台支持英语和汉语两种语言。</w:t>
            </w:r>
          </w:p>
          <w:p w14:paraId="7934119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2.实验简介模块：简介应包括实验背景、实验目的、实验内容、实验知识点信息。</w:t>
            </w:r>
          </w:p>
          <w:p w14:paraId="65D781B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实验流程：平台包括12个实验流程，依次为平台收到用户订单、仓库排拣货、订单数据申报、运单数据申报、清单数据申报、物流分包、清单申报、支付单申报、运抵申报、跨境监管场所、离境口岸查验、放行、汇总申报。展示从平台受到用户订单到汇总报关业务的跨境电商物流通关业务运作流程图。</w:t>
            </w:r>
          </w:p>
          <w:p w14:paraId="7428008D">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3.实验报告：</w:t>
            </w:r>
          </w:p>
          <w:p w14:paraId="1A9A5C2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（1）若在实验尚未开始的情况下，查看实验报告，得分将为零分，给予用户提示以确认操作。</w:t>
            </w:r>
          </w:p>
          <w:p w14:paraId="2CC2548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（2）能够根据学生实训情况自动进行评分，并生成实验报告。</w:t>
            </w:r>
          </w:p>
          <w:p w14:paraId="3BA0A25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实验结果与分析应包含仓库安排拣货、订单数据申报、运单数据申报、收款单数据申报、清单数据申报、物流仓库货物分包、清单总单数据申报、运抵申报、跨境监管场所货物分包、离境口岸查验、汇总申报在内各项的得分情况。</w:t>
            </w:r>
          </w:p>
          <w:p w14:paraId="7DF2C25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4.课后习题：提供跨境电商物流通关相关课程试题，在学生完成试题并提交给，展示学生选择答案与正确答案。</w:t>
            </w:r>
          </w:p>
          <w:p w14:paraId="2B6C59C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5.实验帮助：提供平台操作帮助示意图。</w:t>
            </w:r>
          </w:p>
          <w:p w14:paraId="19E9A68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6.实验平台要求</w:t>
            </w:r>
          </w:p>
          <w:p w14:paraId="7A7A664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实验平台要求：跨境电商平台商户平台：模拟跨境电商平台商户后台页面收到用户订单后的情景，展示待完成订单、已完成订单数量数据。待完成订单模块提供待发货订单数量、订单日期、订单ID、履行天数、产品主图、产品（SKU）、货币代码、价格、配送费、数量、总成本信息，用户可进入查看订单详情，包括订单概览（订单状态、订单ID、交易ID、交易日期、收货地址）与产品详情（产品详情、产品ID、SKU、颜色、货币代码、数量、总价）信息，或选择订单进行发送。已完成订单模块提供日期、订单ID、履行条数、产品（SKU）、货币代码、价格、配送费、数量、总成本信息，用户可进入查看订单详情，包括订单概览（订单状态、订单ID、交易ID、交易日期、收货地址）与产品详情（产品详情、产品ID、SKU、颜色、货币代码、数量、总价）信息。</w:t>
            </w:r>
          </w:p>
          <w:p w14:paraId="02066909">
            <w:pPr>
              <w:snapToGrid w:val="0"/>
              <w:spacing w:line="400" w:lineRule="exact"/>
              <w:rPr>
                <w:rFonts w:ascii="仿宋_GB2312" w:hAnsi="仿宋_GB2312" w:eastAsia="仿宋_GB2312" w:cs="仿宋_GB2312"/>
                <w:b/>
                <w:bCs/>
                <w:snapToGrid w:val="0"/>
                <w:color w:val="auto"/>
                <w:kern w:val="0"/>
                <w:sz w:val="24"/>
              </w:rPr>
            </w:pPr>
            <w:r>
              <w:rPr>
                <w:rFonts w:hint="eastAsia" w:ascii="仿宋_GB2312" w:hAnsi="仿宋_GB2312" w:eastAsia="仿宋_GB2312" w:cs="仿宋_GB2312"/>
                <w:snapToGrid w:val="0"/>
                <w:color w:val="auto"/>
                <w:kern w:val="0"/>
                <w:sz w:val="24"/>
              </w:rPr>
              <w:t>★</w:t>
            </w:r>
            <w:r>
              <w:rPr>
                <w:rFonts w:hint="eastAsia" w:ascii="仿宋_GB2312" w:hAnsi="仿宋_GB2312" w:eastAsia="仿宋_GB2312" w:cs="仿宋_GB2312"/>
                <w:color w:val="auto"/>
                <w:sz w:val="24"/>
              </w:rPr>
              <w:t>●</w:t>
            </w:r>
            <w:r>
              <w:rPr>
                <w:rFonts w:hint="eastAsia" w:ascii="仿宋_GB2312" w:hAnsi="仿宋_GB2312" w:eastAsia="仿宋_GB2312" w:cs="仿宋_GB2312"/>
                <w:snapToGrid w:val="0"/>
                <w:color w:val="auto"/>
                <w:kern w:val="0"/>
                <w:sz w:val="24"/>
              </w:rPr>
              <w:t>（2）3D仓库分拣：模拟仓库安排拣货流程，在此过程中用户将体验按订单合成拣货单、按拣货单完成拣货、检查产品与订单是否一致、打包、打印并张贴物流面单、重量检验、物流揽件的业务流程，涉及热敏打印机、分拣车、扫码枪硬件设备的认知和使用。仓库包含货架区、复检区、打包区，设有小地图以便用户了解仓库布局。最终通过拣货顺序考核。</w:t>
            </w:r>
            <w:r>
              <w:rPr>
                <w:rFonts w:hint="eastAsia" w:ascii="仿宋_GB2312" w:hAnsi="仿宋_GB2312" w:eastAsia="仿宋_GB2312" w:cs="仿宋_GB2312"/>
                <w:b/>
                <w:bCs/>
                <w:snapToGrid w:val="0"/>
                <w:color w:val="auto"/>
                <w:kern w:val="0"/>
                <w:sz w:val="24"/>
              </w:rPr>
              <w:t>（</w:t>
            </w:r>
            <w:r>
              <w:rPr>
                <w:rFonts w:hint="eastAsia" w:ascii="仿宋_GB2312" w:hAnsi="仿宋_GB2312" w:eastAsia="仿宋_GB2312" w:cs="仿宋_GB2312"/>
                <w:b/>
                <w:bCs/>
                <w:color w:val="auto"/>
                <w:sz w:val="24"/>
              </w:rPr>
              <w:t>投标文件中需提供彩页、官网或功能截图等其中任意一项并加盖投标人CA电子签章</w:t>
            </w:r>
            <w:r>
              <w:rPr>
                <w:rFonts w:hint="eastAsia" w:ascii="仿宋_GB2312" w:hAnsi="仿宋_GB2312" w:eastAsia="仿宋_GB2312" w:cs="仿宋_GB2312"/>
                <w:b/>
                <w:bCs/>
                <w:snapToGrid w:val="0"/>
                <w:color w:val="auto"/>
                <w:kern w:val="0"/>
                <w:sz w:val="24"/>
              </w:rPr>
              <w:t>）</w:t>
            </w:r>
          </w:p>
          <w:p w14:paraId="73D94F73">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3）出口业务/订单导出：模拟订单数据申报流程中的订单导出流程。可设置导入文件、物流信息、币制、任务备注信息，其他展示的信息包括日期、物流企业、申报地海关、运输方式、报关企业、电商企业。支持下载订单模板、导入订单操作。</w:t>
            </w:r>
          </w:p>
          <w:p w14:paraId="16EE528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4）出口业务/订单匹配：模拟订单数据申报流程中的订单匹配流程。查看未匹配任务列表中任务的编号、出口日期、电商企业、运输方式、物流企业、订单数量、状态、备注信息，支持自动匹配或删除任务操作。可查看根据匹配状态筛选的任务的商品名称、单位、箱数、总重量、数量、单价、总金额、体积、匹配状态、校验信息、运单号、订单号信息，支持删除订单操作。</w:t>
            </w:r>
          </w:p>
          <w:p w14:paraId="2B9345A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5）出口业务/任务分配：模拟订单数据申报流程中的任务分配流程。可查看提运单号、船公司、集装箱号、集装箱型号、航班航次信息。查看待分配任务列表中任务的任务编号、出口日期、电商企业、运输方式、总体积、订单数量、备注信息，支持退单、导出、删除、确认分配操作。查看待提交任务列表中任务的提运单号、出口日期、电商企业、运输方式、总体积、总重量、总金额、订单数量、集装箱型号、航班航次信息，支持解除绑定、任务提交操作。</w:t>
            </w:r>
          </w:p>
          <w:p w14:paraId="109E2E2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（6）出口业务/订单申报：模拟订单数据申报流程中的订单申报流程。</w:t>
            </w:r>
          </w:p>
          <w:p w14:paraId="47A2CD9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可查看任务列表中任务的订单编号、电商平台代码、电商平台名称、电商企业代码、电商企业名称、日期、送报类型、业务状态信息，支持订单申报、运单申报、支付单申报、清单申报、清单总单申报、汇总申报、发起申报操作。回执状态模块展示订单、运单、清单申报数量，显示已申报订单、已申报运单、已申报清单、已申报清单总单、已申报汇总单的运单号、订单号、电商企业、重量、清单编号、订单状态、运单状态、收款单状态、清单状态信息，并可查看包含订单号、电商平台、货款金额、币制、申报类型、备注、回执描述、订单类型、电商企业、运费、业务状态、日期、回执状态</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信息表单详情。</w:t>
            </w:r>
          </w:p>
          <w:p w14:paraId="2724434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7）3D物流分包：模拟物流仓库货物分包流程。通过观看动画与查看文字介绍，了解认知安检机及危险品基础知识、红外扫码仪工作流程、包裹人工翻面流程、分拣机工作流程认知、物流大包打包流程、物流分拣全流程并完成物流顺序考核。</w:t>
            </w:r>
          </w:p>
          <w:p w14:paraId="45879DAF">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8）清单申报：模拟清单总单申报流程。可查看任务列表中任务的预录入编号、企业唯一编号、物流企业名称、申报企业名称、运输方式、航班航次号、提运单号、日期信息，支持订单申报、运单申报、支付单申报、清单申报、清单总单申报、汇总申报、发起申报操作。回执状态模块展示订单、运单、清单申报数量，显示预录入编号、企业唯一编号、订单编号、运单编号、电商平台名称、生产销售企业名称、申报企业名称、日期信息，并可查看包含申报地海关、电商平台、运单号、电子口岸编号、进出口标记、出口日期、申报企业名称、生产销售企业代码、贸易方式、运输工具、运单号、指运港、币制、毛重、包装种类代码、业务状态、日期、回执状态、订单号、物流企业、企业唯一编号、清单编号、出口口岸代码、申报业务类型、收发货人名称、生产销售企业名称、运输方式、航班航次、地区、费用、运费标志、净重、数量、申报类型、备注、状态时间信息的表单详情。</w:t>
            </w:r>
          </w:p>
          <w:p w14:paraId="6401050F">
            <w:pPr>
              <w:snapToGrid w:val="0"/>
              <w:spacing w:line="400" w:lineRule="exact"/>
              <w:rPr>
                <w:rFonts w:ascii="仿宋_GB2312" w:hAnsi="仿宋_GB2312" w:eastAsia="仿宋_GB2312" w:cs="仿宋_GB2312"/>
                <w:snapToGrid w:val="0"/>
                <w:color w:val="auto"/>
                <w:kern w:val="0"/>
                <w:sz w:val="24"/>
                <w:u w:val="single"/>
              </w:rPr>
            </w:pPr>
            <w:r>
              <w:rPr>
                <w:rFonts w:hint="eastAsia" w:ascii="仿宋_GB2312" w:hAnsi="仿宋_GB2312" w:eastAsia="仿宋_GB2312" w:cs="仿宋_GB2312"/>
                <w:snapToGrid w:val="0"/>
                <w:color w:val="auto"/>
                <w:kern w:val="0"/>
                <w:sz w:val="24"/>
              </w:rPr>
              <w:t>（9）</w:t>
            </w:r>
            <w:r>
              <w:rPr>
                <w:rFonts w:hint="eastAsia" w:ascii="仿宋_GB2312" w:hAnsi="仿宋_GB2312" w:eastAsia="仿宋_GB2312" w:cs="仿宋_GB2312"/>
                <w:snapToGrid w:val="0"/>
                <w:color w:val="auto"/>
                <w:kern w:val="0"/>
                <w:sz w:val="24"/>
                <w:u w:val="single"/>
              </w:rPr>
              <w:t>3D跨境监管场所：观看动画，了解跨境监管场所基础知识。在跨境监管场所中，用户将体验按总包安检、全方位智能扫描器读取大包单信息、拆包、全方位智能扫描器读取面单信息、信息匹配、货物按路向格口分拣入格、扎袋、打印总包袋牌并张贴、发往离境口岸的业务流程。通过观看动画与查看文字介绍，了解认知运抵申报、海关办公室、六面扫描仪、ADV叉车、跨境监管场所分拣全流程，并完成违禁品认知考核。</w:t>
            </w:r>
          </w:p>
          <w:p w14:paraId="788C45B7">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（10）3D离境口岸：模拟离境口岸场景。在离境口岸中，用户将体验按核对转关单信息、核对海关关封、放行、发往海外的业务流程。</w:t>
            </w:r>
          </w:p>
          <w:p w14:paraId="44377F3A">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11）汇总申报：模拟汇总申报流程。可查看任务列表中任务的统一编号、贸易方式、预录入编号、进出口岸、生产销售企业代码、运输方式、日期信息，支持订单申报、运单申报、支付单申报、清单申报、清单总单申报、汇总申报、发起申报</w:t>
            </w:r>
            <w:r>
              <w:rPr>
                <w:rFonts w:hint="eastAsia" w:ascii="仿宋_GB2312" w:hAnsi="仿宋_GB2312" w:eastAsia="仿宋_GB2312" w:cs="仿宋_GB2312"/>
                <w:snapToGrid w:val="0"/>
                <w:color w:val="auto"/>
                <w:kern w:val="0"/>
                <w:sz w:val="24"/>
                <w:lang w:val="en-US" w:eastAsia="zh-CN"/>
              </w:rPr>
              <w:t>的</w:t>
            </w:r>
            <w:r>
              <w:rPr>
                <w:rFonts w:hint="eastAsia" w:ascii="仿宋_GB2312" w:hAnsi="仿宋_GB2312" w:eastAsia="仿宋_GB2312" w:cs="仿宋_GB2312"/>
                <w:snapToGrid w:val="0"/>
                <w:color w:val="auto"/>
                <w:kern w:val="0"/>
                <w:sz w:val="24"/>
              </w:rPr>
              <w:t>操作。回执状态模块展示订单、运单、清单申报数量，显示已申报订单、已申报运单、已申报清单、已申报清单总单、已申报汇总单的预录入编号、企业唯一编号、物流企业名称、申报企业名称、运输方式、航班航次好、提运单号、日期信息，并可查看包含申报地海关、电子口岸编号、运输方式、运单号、物流企业、报文序号、申报类型、备注、企业唯一编号、申报企业名称、运输工具、毛重、报文总数、业务状态、日期信息的表单详情。</w:t>
            </w:r>
          </w:p>
          <w:p w14:paraId="0C1C22CB">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（12）商企退税与报关单：展示商企退税流程与报关单案例。</w:t>
            </w:r>
          </w:p>
          <w:p w14:paraId="425349E1">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十一、其他要求</w:t>
            </w:r>
          </w:p>
          <w:p w14:paraId="0D6E6B5E">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1、课程资源：提供跨境电商数字营销运营相关在线学习资源，包括视频、PPT课件，提供完整的课程体系以供教学参考。</w:t>
            </w:r>
          </w:p>
          <w:p w14:paraId="22D58A7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★2、实验指导：提供完整的配套实验教程，至少包含40个实训任务，且每个实训任务对应完整的配套资料（包括：实验目的、实验知识准备、实验内容与步骤、实验要求和思考题）和试题库。</w:t>
            </w:r>
          </w:p>
          <w:p w14:paraId="47BCDF4C">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w:t>
            </w:r>
            <w:r>
              <w:rPr>
                <w:rFonts w:hint="eastAsia" w:ascii="仿宋_GB2312" w:eastAsia="仿宋_GB2312"/>
                <w:color w:val="auto"/>
              </w:rPr>
              <w:t>◆</w:t>
            </w:r>
            <w:r>
              <w:rPr>
                <w:rFonts w:hint="eastAsia" w:ascii="仿宋_GB2312" w:hAnsi="仿宋_GB2312" w:eastAsia="仿宋_GB2312" w:cs="仿宋_GB2312"/>
                <w:color w:val="auto"/>
                <w:sz w:val="24"/>
                <w:lang w:val="en-US" w:eastAsia="zh-CN"/>
              </w:rPr>
              <w:t>3</w:t>
            </w:r>
            <w:r>
              <w:rPr>
                <w:rFonts w:hint="eastAsia" w:ascii="仿宋_GB2312" w:hAnsi="仿宋_GB2312" w:eastAsia="仿宋_GB2312" w:cs="仿宋_GB2312"/>
                <w:snapToGrid w:val="0"/>
                <w:color w:val="auto"/>
                <w:kern w:val="0"/>
                <w:sz w:val="24"/>
              </w:rPr>
              <w:t>、为确保软件信息系统安全，系统需具备二级及以上信息系统安全等级保护备案证明（投标文件中提供承诺函（格式自拟），</w:t>
            </w:r>
            <w:r>
              <w:rPr>
                <w:rFonts w:hint="eastAsia" w:ascii="仿宋_GB2312" w:hAnsi="仿宋_GB2312" w:eastAsia="仿宋_GB2312" w:cs="仿宋_GB2312"/>
                <w:b/>
                <w:bCs/>
                <w:snapToGrid w:val="0"/>
                <w:color w:val="auto"/>
                <w:kern w:val="0"/>
                <w:sz w:val="24"/>
              </w:rPr>
              <w:t>验收时提供信息系统安全等级保护备案证明原件</w:t>
            </w:r>
            <w:r>
              <w:rPr>
                <w:rFonts w:hint="eastAsia" w:ascii="仿宋_GB2312" w:hAnsi="仿宋_GB2312" w:eastAsia="仿宋_GB2312" w:cs="仿宋_GB2312"/>
                <w:snapToGrid w:val="0"/>
                <w:color w:val="auto"/>
                <w:kern w:val="0"/>
                <w:sz w:val="24"/>
              </w:rPr>
              <w:t>）</w:t>
            </w:r>
          </w:p>
          <w:p w14:paraId="20AF5870">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w:t>
            </w:r>
            <w:r>
              <w:rPr>
                <w:rFonts w:hint="eastAsia" w:ascii="仿宋_GB2312" w:hAnsi="仿宋_GB2312" w:eastAsia="仿宋_GB2312" w:cs="仿宋_GB2312"/>
                <w:snapToGrid w:val="0"/>
                <w:color w:val="auto"/>
                <w:kern w:val="0"/>
                <w:sz w:val="24"/>
                <w:lang w:val="en-US" w:eastAsia="zh-CN"/>
              </w:rPr>
              <w:t>4</w:t>
            </w:r>
            <w:r>
              <w:rPr>
                <w:rFonts w:hint="eastAsia" w:ascii="仿宋_GB2312" w:hAnsi="仿宋_GB2312" w:eastAsia="仿宋_GB2312" w:cs="仿宋_GB2312"/>
                <w:snapToGrid w:val="0"/>
                <w:color w:val="auto"/>
                <w:kern w:val="0"/>
                <w:sz w:val="24"/>
              </w:rPr>
              <w:t>、软件需要包含但不限于严密的数据安全措施，确保数据的安全性和完整性，保护用户隐私，符合相关法律法规要求。同时平台具有可扩展性和灵活性，符合RestFul架构规范的API，支持二次开发，以便平台能够适应不断变化的业务需求和数据规模。供应商在验收时提供具有软件评测资质的第三方机构出具的软件评测报告。</w:t>
            </w:r>
          </w:p>
          <w:p w14:paraId="36E8BA79">
            <w:pPr>
              <w:snapToGrid w:val="0"/>
              <w:spacing w:line="400" w:lineRule="exact"/>
              <w:rPr>
                <w:rFonts w:ascii="仿宋_GB2312" w:hAnsi="仿宋_GB2312" w:eastAsia="仿宋_GB2312" w:cs="仿宋_GB2312"/>
                <w:snapToGrid w:val="0"/>
                <w:color w:val="auto"/>
                <w:kern w:val="0"/>
                <w:sz w:val="24"/>
              </w:rPr>
            </w:pPr>
            <w:r>
              <w:rPr>
                <w:rFonts w:hint="eastAsia" w:ascii="仿宋_GB2312" w:hAnsi="仿宋_GB2312" w:eastAsia="仿宋_GB2312" w:cs="仿宋_GB2312"/>
                <w:snapToGrid w:val="0"/>
                <w:color w:val="auto"/>
                <w:kern w:val="0"/>
                <w:sz w:val="24"/>
              </w:rPr>
              <w:t>★十二、</w:t>
            </w:r>
            <w:r>
              <w:rPr>
                <w:rFonts w:hint="eastAsia" w:ascii="仿宋_GB2312" w:hAnsi="仿宋_GB2312" w:eastAsia="仿宋_GB2312" w:cs="仿宋_GB2312"/>
                <w:bCs/>
                <w:color w:val="auto"/>
                <w:sz w:val="24"/>
              </w:rPr>
              <w:t>中标人提供的软件需要适配国产化操作系统，如果目前尚未适配国产化操作系统，中标人须承诺交付三个月内完成适配国产化操作系统，承诺期限内未完成适配的视为未履行合同约定。适配后须按照合同约定提供同等时长的质保服务，费用含在投标报价中</w:t>
            </w:r>
            <w:r>
              <w:rPr>
                <w:rFonts w:hint="eastAsia" w:ascii="仿宋_GB2312" w:hAnsi="仿宋_GB2312" w:eastAsia="仿宋_GB2312" w:cs="仿宋_GB2312"/>
                <w:snapToGrid w:val="0"/>
                <w:color w:val="auto"/>
                <w:kern w:val="0"/>
                <w:sz w:val="24"/>
              </w:rPr>
              <w:t>。</w:t>
            </w:r>
          </w:p>
          <w:p w14:paraId="3EFFCA5D">
            <w:pPr>
              <w:snapToGrid w:val="0"/>
              <w:spacing w:line="400" w:lineRule="exact"/>
              <w:rPr>
                <w:rFonts w:ascii="仿宋_GB2312" w:hAnsi="仿宋_GB2312" w:eastAsia="仿宋_GB2312" w:cs="仿宋_GB2312"/>
                <w:snapToGrid w:val="0"/>
                <w:color w:val="auto"/>
                <w:kern w:val="0"/>
                <w:sz w:val="24"/>
                <w:lang w:val="zh-CN"/>
              </w:rPr>
            </w:pPr>
            <w:r>
              <w:rPr>
                <w:rFonts w:hint="eastAsia" w:ascii="仿宋_GB2312" w:hAnsi="仿宋_GB2312" w:eastAsia="仿宋_GB2312" w:cs="仿宋_GB2312"/>
                <w:snapToGrid w:val="0"/>
                <w:color w:val="auto"/>
                <w:kern w:val="0"/>
                <w:sz w:val="24"/>
              </w:rPr>
              <w:t>★十三、签订合同之前需再次查验投标文件中所需提供的证明文件，如出现所提供的证明文件不符合招标要求的情况，则视为虚假应标，采购人有权依法追究法律责任，并上报政府采购监督部门。</w:t>
            </w:r>
          </w:p>
          <w:p w14:paraId="3FFF4D77">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snapToGrid w:val="0"/>
                <w:color w:val="auto"/>
                <w:kern w:val="0"/>
                <w:sz w:val="24"/>
              </w:rPr>
              <w:t>★十四、系统供应商必须免费开放系统并免费提供对接服务，免费提供对接技术方面的培训。</w:t>
            </w:r>
          </w:p>
        </w:tc>
        <w:tc>
          <w:tcPr>
            <w:tcW w:w="851" w:type="dxa"/>
            <w:vAlign w:val="center"/>
          </w:tcPr>
          <w:p w14:paraId="1F023654">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1套</w:t>
            </w:r>
          </w:p>
        </w:tc>
      </w:tr>
    </w:tbl>
    <w:p w14:paraId="0257B96A">
      <w:pPr>
        <w:spacing w:line="400" w:lineRule="exact"/>
        <w:jc w:val="left"/>
        <w:rPr>
          <w:rFonts w:ascii="仿宋_GB2312" w:hAnsi="仿宋_GB2312" w:eastAsia="仿宋_GB2312" w:cs="仿宋_GB2312"/>
          <w:b/>
          <w:bCs/>
          <w:color w:val="auto"/>
          <w:sz w:val="24"/>
        </w:rPr>
      </w:pPr>
    </w:p>
    <w:tbl>
      <w:tblPr>
        <w:tblStyle w:val="51"/>
        <w:tblW w:w="9690" w:type="dxa"/>
        <w:tblInd w:w="-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8034"/>
      </w:tblGrid>
      <w:tr w14:paraId="19AB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90" w:type="dxa"/>
            <w:gridSpan w:val="2"/>
            <w:tcBorders>
              <w:top w:val="single" w:color="auto" w:sz="4" w:space="0"/>
              <w:left w:val="single" w:color="auto" w:sz="4" w:space="0"/>
              <w:bottom w:val="single" w:color="auto" w:sz="4" w:space="0"/>
              <w:right w:val="single" w:color="auto" w:sz="4" w:space="0"/>
            </w:tcBorders>
            <w:vAlign w:val="center"/>
          </w:tcPr>
          <w:p w14:paraId="79574551">
            <w:pPr>
              <w:spacing w:line="400" w:lineRule="exact"/>
              <w:ind w:right="-330" w:rightChars="-157"/>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4"/>
              </w:rPr>
              <w:t>★二、商务要求</w:t>
            </w:r>
          </w:p>
        </w:tc>
      </w:tr>
      <w:tr w14:paraId="5C72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56" w:type="dxa"/>
            <w:tcBorders>
              <w:top w:val="single" w:color="auto" w:sz="4" w:space="0"/>
              <w:left w:val="single" w:color="auto" w:sz="4" w:space="0"/>
              <w:bottom w:val="single" w:color="auto" w:sz="4" w:space="0"/>
              <w:right w:val="single" w:color="auto" w:sz="4" w:space="0"/>
            </w:tcBorders>
            <w:vAlign w:val="center"/>
          </w:tcPr>
          <w:p w14:paraId="5410BB28">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基本要求</w:t>
            </w:r>
          </w:p>
        </w:tc>
        <w:tc>
          <w:tcPr>
            <w:tcW w:w="8034" w:type="dxa"/>
            <w:tcBorders>
              <w:top w:val="single" w:color="auto" w:sz="4" w:space="0"/>
              <w:left w:val="single" w:color="auto" w:sz="4" w:space="0"/>
              <w:bottom w:val="single" w:color="auto" w:sz="4" w:space="0"/>
              <w:right w:val="single" w:color="auto" w:sz="4" w:space="0"/>
            </w:tcBorders>
            <w:vAlign w:val="center"/>
          </w:tcPr>
          <w:p w14:paraId="386EA210">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1.本项目投标报价包括货物及货物运抵指定交付地点的各种费用、随配附件、备品备件、安装调试、技术培训、技术资料、包装、售后服务、保险费、税金、验收检验及其他所有成本费用的总和；</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2.投标人应保证投标产品涉及到的知识产权和所提供的相关技术资料是合法取得，不会因为采购人的使用而被责令停止使用、追偿或要求赔偿损失，如出现此情况，一切经济和法律责任均由投标人承担；</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3.投标人所投产品应符合国家有关部门规定的相应技术、节能、安全和环保标准；国家有关部门对所投产品有强制性规定或要求的，必须符合相应规定或要求；</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4.软件本地化部署，若</w:t>
            </w:r>
            <w:r>
              <w:rPr>
                <w:rFonts w:hint="eastAsia" w:ascii="仿宋_GB2312" w:hAnsi="仿宋_GB2312" w:eastAsia="仿宋_GB2312" w:cs="仿宋_GB2312"/>
                <w:bCs/>
                <w:color w:val="auto"/>
                <w:sz w:val="24"/>
                <w:lang w:val="en-US" w:eastAsia="zh-CN"/>
              </w:rPr>
              <w:t>采购人</w:t>
            </w:r>
            <w:r>
              <w:rPr>
                <w:rFonts w:hint="eastAsia" w:ascii="仿宋_GB2312" w:hAnsi="仿宋_GB2312" w:eastAsia="仿宋_GB2312" w:cs="仿宋_GB2312"/>
                <w:bCs/>
                <w:color w:val="auto"/>
                <w:sz w:val="24"/>
              </w:rPr>
              <w:t>本地服务器不能</w:t>
            </w:r>
            <w:r>
              <w:rPr>
                <w:rFonts w:hint="eastAsia" w:ascii="仿宋_GB2312" w:hAnsi="仿宋_GB2312" w:eastAsia="仿宋_GB2312" w:cs="仿宋_GB2312"/>
                <w:bCs/>
                <w:color w:val="auto"/>
                <w:sz w:val="24"/>
                <w:lang w:val="en-US" w:eastAsia="zh-CN"/>
              </w:rPr>
              <w:t>使</w:t>
            </w:r>
            <w:r>
              <w:rPr>
                <w:rFonts w:hint="eastAsia" w:ascii="仿宋_GB2312" w:hAnsi="仿宋_GB2312" w:eastAsia="仿宋_GB2312" w:cs="仿宋_GB2312"/>
                <w:bCs/>
                <w:color w:val="auto"/>
                <w:sz w:val="24"/>
              </w:rPr>
              <w:t>软件正常运行和</w:t>
            </w:r>
            <w:r>
              <w:rPr>
                <w:rFonts w:hint="eastAsia" w:ascii="仿宋_GB2312" w:hAnsi="仿宋_GB2312" w:eastAsia="仿宋_GB2312" w:cs="仿宋_GB2312"/>
                <w:bCs/>
                <w:color w:val="auto"/>
                <w:sz w:val="24"/>
                <w:lang w:val="en-US" w:eastAsia="zh-CN"/>
              </w:rPr>
              <w:t>使</w:t>
            </w:r>
            <w:r>
              <w:rPr>
                <w:rFonts w:hint="eastAsia" w:ascii="仿宋_GB2312" w:hAnsi="仿宋_GB2312" w:eastAsia="仿宋_GB2312" w:cs="仿宋_GB2312"/>
                <w:bCs/>
                <w:color w:val="auto"/>
                <w:sz w:val="24"/>
              </w:rPr>
              <w:t>用</w:t>
            </w:r>
            <w:r>
              <w:rPr>
                <w:rFonts w:hint="eastAsia" w:ascii="仿宋_GB2312" w:hAnsi="仿宋_GB2312" w:eastAsia="仿宋_GB2312" w:cs="仿宋_GB2312"/>
                <w:bCs/>
                <w:color w:val="auto"/>
                <w:sz w:val="24"/>
                <w:lang w:eastAsia="zh-CN"/>
              </w:rPr>
              <w:t>，</w:t>
            </w:r>
            <w:r>
              <w:rPr>
                <w:rFonts w:hint="eastAsia" w:ascii="仿宋_GB2312" w:hAnsi="仿宋_GB2312" w:eastAsia="仿宋_GB2312" w:cs="仿宋_GB2312"/>
                <w:bCs/>
                <w:color w:val="auto"/>
                <w:sz w:val="24"/>
              </w:rPr>
              <w:t>供应商应同步提供满足软件使用的配套服务资源</w:t>
            </w:r>
            <w:r>
              <w:rPr>
                <w:rFonts w:hint="eastAsia" w:ascii="仿宋_GB2312" w:hAnsi="仿宋_GB2312" w:eastAsia="仿宋_GB2312" w:cs="仿宋_GB2312"/>
                <w:bCs/>
                <w:color w:val="auto"/>
                <w:sz w:val="24"/>
                <w:lang w:eastAsia="zh-CN"/>
              </w:rPr>
              <w:t>；</w:t>
            </w:r>
            <w:r>
              <w:rPr>
                <w:rFonts w:hint="eastAsia" w:ascii="仿宋_GB2312" w:hAnsi="仿宋_GB2312" w:eastAsia="仿宋_GB2312" w:cs="仿宋_GB2312"/>
                <w:bCs/>
                <w:color w:val="auto"/>
                <w:sz w:val="24"/>
              </w:rPr>
              <w:t>服务点数≥200，用户同时登录时响应时间低于1秒；同时，确保平台能够在通过安全可靠性测试的国产操作系统上运行。</w:t>
            </w:r>
          </w:p>
        </w:tc>
      </w:tr>
      <w:tr w14:paraId="0DE5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56" w:type="dxa"/>
            <w:tcBorders>
              <w:top w:val="single" w:color="auto" w:sz="4" w:space="0"/>
              <w:left w:val="single" w:color="auto" w:sz="4" w:space="0"/>
              <w:bottom w:val="single" w:color="auto" w:sz="4" w:space="0"/>
              <w:right w:val="single" w:color="auto" w:sz="4" w:space="0"/>
            </w:tcBorders>
            <w:vAlign w:val="center"/>
          </w:tcPr>
          <w:p w14:paraId="582982ED">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质量保证期</w:t>
            </w:r>
          </w:p>
        </w:tc>
        <w:tc>
          <w:tcPr>
            <w:tcW w:w="8034" w:type="dxa"/>
            <w:tcBorders>
              <w:top w:val="single" w:color="auto" w:sz="4" w:space="0"/>
              <w:left w:val="single" w:color="auto" w:sz="4" w:space="0"/>
              <w:bottom w:val="single" w:color="auto" w:sz="4" w:space="0"/>
              <w:right w:val="single" w:color="auto" w:sz="4" w:space="0"/>
            </w:tcBorders>
            <w:vAlign w:val="center"/>
          </w:tcPr>
          <w:p w14:paraId="6F9416CC">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按国家有关产品“三包”规定执行“三包”，质保期为自验收合格之日起3年。</w:t>
            </w:r>
          </w:p>
        </w:tc>
      </w:tr>
      <w:tr w14:paraId="0ED5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56" w:type="dxa"/>
            <w:tcBorders>
              <w:top w:val="single" w:color="auto" w:sz="4" w:space="0"/>
              <w:left w:val="single" w:color="auto" w:sz="4" w:space="0"/>
              <w:bottom w:val="single" w:color="auto" w:sz="4" w:space="0"/>
              <w:right w:val="single" w:color="auto" w:sz="4" w:space="0"/>
            </w:tcBorders>
            <w:vAlign w:val="center"/>
          </w:tcPr>
          <w:p w14:paraId="64BD8F22">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售后服务要求</w:t>
            </w:r>
          </w:p>
        </w:tc>
        <w:tc>
          <w:tcPr>
            <w:tcW w:w="8034" w:type="dxa"/>
            <w:tcBorders>
              <w:top w:val="single" w:color="auto" w:sz="4" w:space="0"/>
              <w:left w:val="single" w:color="auto" w:sz="4" w:space="0"/>
              <w:bottom w:val="single" w:color="auto" w:sz="4" w:space="0"/>
              <w:right w:val="single" w:color="auto" w:sz="4" w:space="0"/>
            </w:tcBorders>
            <w:vAlign w:val="center"/>
          </w:tcPr>
          <w:p w14:paraId="61BA6E5F">
            <w:pPr>
              <w:rPr>
                <w:color w:val="auto"/>
              </w:rPr>
            </w:pPr>
            <w:r>
              <w:rPr>
                <w:rFonts w:hint="eastAsia" w:ascii="仿宋_GB2312" w:hAnsi="仿宋_GB2312" w:eastAsia="仿宋_GB2312" w:cs="仿宋_GB2312"/>
                <w:bCs/>
                <w:color w:val="auto"/>
                <w:sz w:val="24"/>
              </w:rPr>
              <w:t>1.售后服务费用包含在报价中，售后服务内容如下：</w:t>
            </w:r>
          </w:p>
          <w:p w14:paraId="5C29D1D9">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(1)质保期内对采购人进行系统操作、日常维护等技术培训，培训时间由双方共同商定（每年不少于1次），受培训人数不低于10人时间不少于1天。</w:t>
            </w:r>
          </w:p>
          <w:p w14:paraId="51C776F4">
            <w:pPr>
              <w:spacing w:line="400" w:lineRule="exact"/>
              <w:jc w:val="left"/>
              <w:rPr>
                <w:color w:val="auto"/>
              </w:rPr>
            </w:pPr>
            <w:r>
              <w:rPr>
                <w:rFonts w:hint="eastAsia" w:ascii="仿宋_GB2312" w:hAnsi="仿宋_GB2312" w:eastAsia="仿宋_GB2312" w:cs="仿宋_GB2312"/>
                <w:bCs/>
                <w:color w:val="auto"/>
                <w:sz w:val="24"/>
              </w:rPr>
              <w:t>(2)中标人提供技术援助电话，解答采购人在使用中遇到的问题，及时为采购人提出解决问题的建议。接到报修通知后，一般问题8小时内通过远程方式解决；无法远程解决的大故障，应在接到报修通知后的24小时内派技术人员到达现场处理；到达现场后故障处理时限不超过48小时，如果超过故障处理时限，应免费提供同等质量的产品作为备用品供采购人使用，直至故障系统修复。</w:t>
            </w:r>
          </w:p>
          <w:p w14:paraId="2FFE9521">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本项目所含软件必须为符合采购人适用范围的正版软件（非试用版），且在质保期内提供免费升级及维护服务。本项目合同约定的质保期过后，中标人需确保该软件其功能仍与交付验收时一致（如合同另有约定的按合同约定），质保期过后如需对软件进行升级或售后服务双方再行协商。</w:t>
            </w:r>
          </w:p>
        </w:tc>
      </w:tr>
      <w:tr w14:paraId="5BB0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56" w:type="dxa"/>
            <w:tcBorders>
              <w:top w:val="single" w:color="auto" w:sz="4" w:space="0"/>
              <w:left w:val="single" w:color="auto" w:sz="4" w:space="0"/>
              <w:bottom w:val="single" w:color="auto" w:sz="4" w:space="0"/>
              <w:right w:val="single" w:color="auto" w:sz="4" w:space="0"/>
            </w:tcBorders>
            <w:vAlign w:val="center"/>
          </w:tcPr>
          <w:p w14:paraId="254EE2AB">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交货时间及地点</w:t>
            </w:r>
          </w:p>
        </w:tc>
        <w:tc>
          <w:tcPr>
            <w:tcW w:w="8034" w:type="dxa"/>
            <w:tcBorders>
              <w:top w:val="single" w:color="auto" w:sz="4" w:space="0"/>
              <w:left w:val="single" w:color="auto" w:sz="4" w:space="0"/>
              <w:bottom w:val="single" w:color="auto" w:sz="4" w:space="0"/>
              <w:right w:val="single" w:color="auto" w:sz="4" w:space="0"/>
            </w:tcBorders>
            <w:vAlign w:val="center"/>
          </w:tcPr>
          <w:p w14:paraId="1FA961ED">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1.交货时间：自签订合同之日起30日内安装调试完毕，验收合格并交付使用；</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2.交货地点：广西柳州市社湾路28号柳州职业技术大学社湾校区。</w:t>
            </w:r>
          </w:p>
        </w:tc>
      </w:tr>
      <w:tr w14:paraId="1707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56" w:type="dxa"/>
            <w:tcBorders>
              <w:top w:val="single" w:color="auto" w:sz="4" w:space="0"/>
              <w:left w:val="single" w:color="auto" w:sz="4" w:space="0"/>
              <w:bottom w:val="single" w:color="auto" w:sz="4" w:space="0"/>
              <w:right w:val="single" w:color="auto" w:sz="4" w:space="0"/>
            </w:tcBorders>
            <w:vAlign w:val="center"/>
          </w:tcPr>
          <w:p w14:paraId="4F3F85E0">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付款方式</w:t>
            </w:r>
          </w:p>
        </w:tc>
        <w:tc>
          <w:tcPr>
            <w:tcW w:w="8034" w:type="dxa"/>
            <w:tcBorders>
              <w:top w:val="single" w:color="auto" w:sz="4" w:space="0"/>
              <w:left w:val="single" w:color="auto" w:sz="4" w:space="0"/>
              <w:bottom w:val="single" w:color="auto" w:sz="4" w:space="0"/>
              <w:right w:val="single" w:color="auto" w:sz="4" w:space="0"/>
            </w:tcBorders>
            <w:vAlign w:val="center"/>
          </w:tcPr>
          <w:p w14:paraId="26BD1103">
            <w:pPr>
              <w:pStyle w:val="810"/>
              <w:snapToGrid w:val="0"/>
              <w:spacing w:line="400" w:lineRule="exact"/>
              <w:rPr>
                <w:rFonts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财政性资金按财政国库集中支付规定程序办理。</w:t>
            </w:r>
            <w:r>
              <w:rPr>
                <w:rFonts w:hint="eastAsia" w:ascii="仿宋_GB2312" w:hAnsi="仿宋_GB2312" w:eastAsia="仿宋_GB2312" w:cs="仿宋_GB2312"/>
                <w:bCs/>
                <w:color w:val="auto"/>
                <w:sz w:val="24"/>
                <w:szCs w:val="24"/>
              </w:rPr>
              <w:br w:type="textWrapping"/>
            </w:r>
            <w:r>
              <w:rPr>
                <w:rFonts w:hint="eastAsia" w:ascii="仿宋_GB2312" w:hAnsi="仿宋_GB2312" w:eastAsia="仿宋_GB2312" w:cs="仿宋_GB2312"/>
                <w:bCs/>
                <w:color w:val="auto"/>
                <w:sz w:val="24"/>
                <w:szCs w:val="24"/>
              </w:rPr>
              <w:t>货物安装调试完毕并验收合格交付使用后，采购人在收到中标人开具的合同总价款增值税专用发票之日起10个工作日内向中标人指定账户付清合同价款(不计利息)。</w:t>
            </w:r>
          </w:p>
          <w:p w14:paraId="162524DC">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
                <w:bCs/>
                <w:color w:val="auto"/>
                <w:sz w:val="24"/>
              </w:rPr>
              <w:t>注：资金支付等事项按照《保障中小企业款项支付条例》（国务院令第802号）、《广西壮族自治区财政厅关于持续优化政府采购营商环境推动高质量发展的通知》等要求执行。</w:t>
            </w:r>
          </w:p>
        </w:tc>
      </w:tr>
      <w:tr w14:paraId="5D0C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56" w:type="dxa"/>
            <w:tcBorders>
              <w:top w:val="single" w:color="auto" w:sz="4" w:space="0"/>
              <w:left w:val="single" w:color="auto" w:sz="4" w:space="0"/>
              <w:bottom w:val="single" w:color="auto" w:sz="4" w:space="0"/>
              <w:right w:val="single" w:color="auto" w:sz="4" w:space="0"/>
            </w:tcBorders>
            <w:vAlign w:val="center"/>
          </w:tcPr>
          <w:p w14:paraId="4DC7497A">
            <w:pPr>
              <w:spacing w:line="400" w:lineRule="exact"/>
              <w:ind w:right="-27" w:rightChars="-13"/>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履约保证金</w:t>
            </w:r>
          </w:p>
        </w:tc>
        <w:tc>
          <w:tcPr>
            <w:tcW w:w="8034" w:type="dxa"/>
            <w:tcBorders>
              <w:top w:val="single" w:color="auto" w:sz="4" w:space="0"/>
              <w:left w:val="single" w:color="auto" w:sz="4" w:space="0"/>
              <w:bottom w:val="single" w:color="auto" w:sz="4" w:space="0"/>
              <w:right w:val="single" w:color="auto" w:sz="4" w:space="0"/>
            </w:tcBorders>
            <w:vAlign w:val="center"/>
          </w:tcPr>
          <w:p w14:paraId="2480CF36">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1、履约保证金金额：</w:t>
            </w:r>
          </w:p>
          <w:p w14:paraId="1072E6A1">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大型企业须缴纳履约保证金金额：合同金额的5%；中型企业须缴纳履约保证金金额：合同金额的2%；小微企业或监狱企业或残疾人福利性单位：无须缴纳履约保证金。</w:t>
            </w:r>
          </w:p>
          <w:p w14:paraId="66A3BBBD">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2、履约保证金提交及退付方式、时间及条件：</w:t>
            </w:r>
          </w:p>
          <w:p w14:paraId="7337D6E2">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签订前2日内，中标人必须以银行转账、支票、汇票、本票或者银行、保险机构出具的保函、保险等非现金方式提交履约保证金。履约保证金在验收合格交付之日后，且在收到中标人退回履约保证金函件后5个工作日内，由采购人办理履约保证金退还手续（不计息）。</w:t>
            </w:r>
          </w:p>
          <w:p w14:paraId="02A1C458">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履约保证金账户：</w:t>
            </w:r>
          </w:p>
          <w:p w14:paraId="63428977">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名  称：柳州职业技术大学</w:t>
            </w:r>
          </w:p>
          <w:p w14:paraId="6AAAC8FB">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开户行：交通银行西江支行</w:t>
            </w:r>
          </w:p>
          <w:p w14:paraId="245115BE">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账  号：452060600018120020185</w:t>
            </w:r>
          </w:p>
          <w:p w14:paraId="0D74A77B">
            <w:pPr>
              <w:spacing w:line="400" w:lineRule="exact"/>
              <w:jc w:val="left"/>
              <w:rPr>
                <w:rFonts w:hint="eastAsia" w:ascii="仿宋_GB2312" w:hAnsi="仿宋_GB2312" w:eastAsia="宋体" w:cs="仿宋_GB2312"/>
                <w:color w:val="auto"/>
                <w:sz w:val="24"/>
                <w:lang w:val="en-US" w:eastAsia="zh-CN"/>
              </w:rPr>
            </w:pPr>
            <w:r>
              <w:rPr>
                <w:rFonts w:hint="eastAsia" w:ascii="仿宋_GB2312" w:hAnsi="仿宋_GB2312" w:eastAsia="仿宋_GB2312" w:cs="仿宋_GB2312"/>
                <w:color w:val="auto"/>
                <w:sz w:val="24"/>
              </w:rPr>
              <w:t>转账时注明：柳州职业技术大学“新能源汽车数字商贸产教融合基地”软件部分采购项目，采购编号LZZC2025-G1-990359-LZSZ（分标</w:t>
            </w:r>
            <w:r>
              <w:rPr>
                <w:rFonts w:hint="eastAsia" w:ascii="仿宋_GB2312" w:hAnsi="仿宋_GB2312" w:eastAsia="仿宋_GB2312" w:cs="仿宋_GB2312"/>
                <w:color w:val="auto"/>
                <w:sz w:val="24"/>
                <w:lang w:val="en-US" w:eastAsia="zh-CN"/>
              </w:rPr>
              <w:t>4</w:t>
            </w:r>
            <w:r>
              <w:rPr>
                <w:rFonts w:hint="eastAsia" w:ascii="仿宋_GB2312" w:hAnsi="仿宋_GB2312" w:eastAsia="仿宋_GB2312" w:cs="仿宋_GB2312"/>
                <w:color w:val="auto"/>
                <w:sz w:val="24"/>
              </w:rPr>
              <w:t>）履约保证金</w:t>
            </w:r>
            <w:r>
              <w:rPr>
                <w:rFonts w:hint="eastAsia"/>
                <w:color w:val="auto"/>
                <w:lang w:eastAsia="zh-CN"/>
              </w:rPr>
              <w:t>。</w:t>
            </w:r>
          </w:p>
          <w:p w14:paraId="241E189B">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3、中标人有下列情况之一的，</w:t>
            </w:r>
            <w:r>
              <w:rPr>
                <w:rFonts w:hint="eastAsia" w:ascii="仿宋_GB2312" w:hAnsi="仿宋_GB2312" w:eastAsia="仿宋_GB2312" w:cs="仿宋_GB2312"/>
                <w:color w:val="auto"/>
                <w:sz w:val="24"/>
                <w:lang w:val="en-US" w:eastAsia="zh-CN"/>
              </w:rPr>
              <w:t>采购人</w:t>
            </w:r>
            <w:r>
              <w:rPr>
                <w:rFonts w:hint="eastAsia" w:ascii="仿宋_GB2312" w:hAnsi="仿宋_GB2312" w:eastAsia="仿宋_GB2312" w:cs="仿宋_GB2312"/>
                <w:color w:val="auto"/>
                <w:sz w:val="24"/>
              </w:rPr>
              <w:t>向</w:t>
            </w:r>
            <w:r>
              <w:rPr>
                <w:rFonts w:hint="eastAsia" w:ascii="仿宋_GB2312" w:hAnsi="仿宋_GB2312" w:eastAsia="仿宋_GB2312" w:cs="仿宋_GB2312"/>
                <w:color w:val="auto"/>
                <w:sz w:val="24"/>
                <w:lang w:val="en-US" w:eastAsia="zh-CN"/>
              </w:rPr>
              <w:t>中标人</w:t>
            </w:r>
            <w:r>
              <w:rPr>
                <w:rFonts w:hint="eastAsia" w:ascii="仿宋_GB2312" w:hAnsi="仿宋_GB2312" w:eastAsia="仿宋_GB2312" w:cs="仿宋_GB2312"/>
                <w:color w:val="auto"/>
                <w:sz w:val="24"/>
              </w:rPr>
              <w:t>出具书面通知，</w:t>
            </w:r>
            <w:r>
              <w:rPr>
                <w:rFonts w:hint="eastAsia" w:ascii="仿宋_GB2312" w:hAnsi="仿宋_GB2312" w:eastAsia="仿宋_GB2312" w:cs="仿宋_GB2312"/>
                <w:color w:val="auto"/>
                <w:sz w:val="24"/>
                <w:lang w:val="en-US" w:eastAsia="zh-CN"/>
              </w:rPr>
              <w:t>中标人</w:t>
            </w:r>
            <w:r>
              <w:rPr>
                <w:rFonts w:hint="eastAsia" w:ascii="仿宋_GB2312" w:hAnsi="仿宋_GB2312" w:eastAsia="仿宋_GB2312" w:cs="仿宋_GB2312"/>
                <w:color w:val="auto"/>
                <w:sz w:val="24"/>
              </w:rPr>
              <w:t>未能及时解决的，采购人可没收其全部履约保证金，并视具体情况按合同第九条处理：</w:t>
            </w:r>
          </w:p>
          <w:p w14:paraId="660AC8E7">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⑴中标人提供的货物规格、技术标准、材料未达到其响应文件所承诺的，导致无法通过验收交付使用的；</w:t>
            </w:r>
          </w:p>
          <w:p w14:paraId="1B3C9FCE">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⑵中标人提供的货物经查证无法得到生产厂家正规售后服务的；</w:t>
            </w:r>
          </w:p>
          <w:p w14:paraId="5BED6454">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⑶中标人提供的货物未经正规合法经销渠道的；</w:t>
            </w:r>
          </w:p>
          <w:p w14:paraId="55DA31C9">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⑷中标人提供的货物侵犯了第三方合法权益而引发了纠纷或诉讼，导致无法按期交付使用的；</w:t>
            </w:r>
          </w:p>
          <w:p w14:paraId="67B18BFC">
            <w:pPr>
              <w:spacing w:line="400" w:lineRule="exact"/>
              <w:jc w:val="left"/>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⑸在货物试运行期间，故障率在10%及以上的。</w:t>
            </w:r>
          </w:p>
        </w:tc>
      </w:tr>
      <w:tr w14:paraId="23FF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690" w:type="dxa"/>
            <w:gridSpan w:val="2"/>
            <w:tcBorders>
              <w:top w:val="single" w:color="auto" w:sz="4" w:space="0"/>
              <w:left w:val="single" w:color="auto" w:sz="4" w:space="0"/>
              <w:bottom w:val="single" w:color="auto" w:sz="4" w:space="0"/>
              <w:right w:val="single" w:color="auto" w:sz="4" w:space="0"/>
            </w:tcBorders>
            <w:vAlign w:val="center"/>
          </w:tcPr>
          <w:p w14:paraId="0A76288E">
            <w:pPr>
              <w:pStyle w:val="27"/>
              <w:snapToGrid w:val="0"/>
              <w:spacing w:line="400" w:lineRule="exact"/>
              <w:ind w:right="27" w:rightChars="13"/>
              <w:rPr>
                <w:rFonts w:ascii="仿宋_GB2312" w:hAnsi="仿宋_GB2312" w:eastAsia="仿宋_GB2312" w:cs="仿宋_GB2312"/>
                <w:bCs/>
                <w:color w:val="auto"/>
                <w:sz w:val="24"/>
                <w:szCs w:val="24"/>
                <w:lang w:val="en-GB"/>
              </w:rPr>
            </w:pPr>
            <w:r>
              <w:rPr>
                <w:rFonts w:hint="eastAsia" w:ascii="仿宋_GB2312" w:hAnsi="仿宋_GB2312" w:eastAsia="仿宋_GB2312" w:cs="仿宋_GB2312"/>
                <w:b/>
                <w:color w:val="auto"/>
                <w:kern w:val="0"/>
                <w:sz w:val="24"/>
                <w:szCs w:val="24"/>
              </w:rPr>
              <w:t>★</w:t>
            </w:r>
            <w:r>
              <w:rPr>
                <w:rFonts w:hint="eastAsia" w:ascii="仿宋_GB2312" w:hAnsi="仿宋_GB2312" w:eastAsia="仿宋_GB2312" w:cs="仿宋_GB2312"/>
                <w:b/>
                <w:bCs/>
                <w:color w:val="auto"/>
                <w:sz w:val="24"/>
                <w:szCs w:val="24"/>
              </w:rPr>
              <w:t>三、</w:t>
            </w:r>
            <w:r>
              <w:rPr>
                <w:rFonts w:hint="eastAsia" w:ascii="仿宋_GB2312" w:hAnsi="仿宋_GB2312" w:eastAsia="仿宋_GB2312" w:cs="仿宋_GB2312"/>
                <w:b/>
                <w:color w:val="auto"/>
                <w:sz w:val="24"/>
                <w:szCs w:val="24"/>
              </w:rPr>
              <w:t>验收要求</w:t>
            </w:r>
          </w:p>
        </w:tc>
      </w:tr>
      <w:tr w14:paraId="4A37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56" w:type="dxa"/>
            <w:tcBorders>
              <w:top w:val="single" w:color="auto" w:sz="4" w:space="0"/>
              <w:left w:val="single" w:color="auto" w:sz="4" w:space="0"/>
              <w:bottom w:val="single" w:color="auto" w:sz="4" w:space="0"/>
              <w:right w:val="single" w:color="auto" w:sz="4" w:space="0"/>
            </w:tcBorders>
            <w:vAlign w:val="center"/>
          </w:tcPr>
          <w:p w14:paraId="1318E3D8">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bCs/>
                <w:color w:val="auto"/>
                <w:sz w:val="24"/>
              </w:rPr>
              <w:t>验收标准及要求</w:t>
            </w:r>
          </w:p>
        </w:tc>
        <w:tc>
          <w:tcPr>
            <w:tcW w:w="8034" w:type="dxa"/>
            <w:tcBorders>
              <w:top w:val="single" w:color="auto" w:sz="4" w:space="0"/>
              <w:left w:val="single" w:color="auto" w:sz="4" w:space="0"/>
              <w:bottom w:val="single" w:color="auto" w:sz="4" w:space="0"/>
              <w:right w:val="single" w:color="auto" w:sz="4" w:space="0"/>
            </w:tcBorders>
            <w:vAlign w:val="center"/>
          </w:tcPr>
          <w:p w14:paraId="13DFB685">
            <w:pPr>
              <w:numPr>
                <w:ilvl w:val="255"/>
                <w:numId w:val="0"/>
              </w:num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1.国家强制性技术标准及有关规定；</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交货验收时，采购人根据《广西壮族自治区政府采购项目履约验收管理办法》的规定，由采购人及中标人双方共同进行验收。必要时可委托国家认可的质量检测机构开展采购项目验收工作，验收时中标人必须有授权代表在场并在验收报告上签字，如正式验收时中标人授权代表未到场参加验收则视为中标人对验收过程及结果无异议。因软件使用问题发生争议时，由本地质量技术监督部门鉴定或委托具备资质的第三方机构鉴定。鉴定费（含运行产生全部费用）由中标人承担。投标人在投标报价时自行考虑；</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3.本项目因中标人提供的软件不能满足采购需求的技术参数或其投标文件承诺等原因无法通过验收，造成不能按时、按质、按量完成项目要求的，将按照《中华人民共和国政府采购法》等法律法规由中标人承担相应的法律责任；</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4.中标人负责软件安装调试，直至软件验收合格（期间所需器材及费用均由中标人承担），产品或服务在安装调试并试运行符合要求后，才做最终验收。</w:t>
            </w:r>
          </w:p>
          <w:p w14:paraId="7080FAA2">
            <w:pPr>
              <w:numPr>
                <w:ilvl w:val="255"/>
                <w:numId w:val="0"/>
              </w:num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5.中标人完成安装调试后，采购人可以进行累计运行时间不超过72小时的试运行，以确认所供软件功能参数、兼容性及稳定性符合标准达到初验条件，在试运行期间出现问题中标人应在接到采购人书面反馈后三日内解决，在解决问题前此项目仍视为尚未完成安装调试。如造成最终验收合格交付时间超过合同约定的按合同相关条款执行。</w:t>
            </w:r>
          </w:p>
          <w:p w14:paraId="0481F2E5">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
                <w:color w:val="auto"/>
                <w:sz w:val="24"/>
              </w:rPr>
              <w:t xml:space="preserve"> 注：投标人提供的技术培训方案及售后服务方案在合同实施阶段必须严格执行。投标人应认真对待方案和承诺内容，确保其真实性和可操作性，否则将承担相应的法律责任和违约后果。</w:t>
            </w:r>
            <w:r>
              <w:rPr>
                <w:rFonts w:hint="eastAsia" w:ascii="仿宋_GB2312" w:hAnsi="仿宋_GB2312" w:eastAsia="仿宋_GB2312" w:cs="仿宋_GB2312"/>
                <w:bCs/>
                <w:color w:val="auto"/>
                <w:sz w:val="24"/>
              </w:rPr>
              <w:t xml:space="preserve"> </w:t>
            </w:r>
          </w:p>
        </w:tc>
      </w:tr>
      <w:tr w14:paraId="5B7B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90" w:type="dxa"/>
            <w:gridSpan w:val="2"/>
            <w:tcBorders>
              <w:top w:val="single" w:color="auto" w:sz="4" w:space="0"/>
              <w:left w:val="single" w:color="auto" w:sz="4" w:space="0"/>
              <w:bottom w:val="single" w:color="auto" w:sz="4" w:space="0"/>
              <w:right w:val="single" w:color="auto" w:sz="4" w:space="0"/>
            </w:tcBorders>
            <w:vAlign w:val="center"/>
          </w:tcPr>
          <w:p w14:paraId="4165AF58">
            <w:pPr>
              <w:pStyle w:val="27"/>
              <w:snapToGrid w:val="0"/>
              <w:spacing w:line="400" w:lineRule="exact"/>
              <w:ind w:right="-330" w:rightChars="-157"/>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四、</w:t>
            </w:r>
            <w:r>
              <w:rPr>
                <w:rFonts w:hint="eastAsia" w:ascii="仿宋_GB2312" w:hAnsi="仿宋_GB2312" w:eastAsia="仿宋_GB2312" w:cs="仿宋_GB2312"/>
                <w:b/>
                <w:color w:val="auto"/>
                <w:sz w:val="24"/>
                <w:szCs w:val="24"/>
              </w:rPr>
              <w:t>资信要求</w:t>
            </w:r>
          </w:p>
        </w:tc>
      </w:tr>
      <w:tr w14:paraId="0F66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56" w:type="dxa"/>
            <w:tcBorders>
              <w:top w:val="single" w:color="auto" w:sz="4" w:space="0"/>
              <w:left w:val="single" w:color="auto" w:sz="4" w:space="0"/>
              <w:bottom w:val="single" w:color="auto" w:sz="4" w:space="0"/>
              <w:right w:val="single" w:color="auto" w:sz="4" w:space="0"/>
            </w:tcBorders>
            <w:vAlign w:val="center"/>
          </w:tcPr>
          <w:p w14:paraId="72482444">
            <w:pPr>
              <w:spacing w:line="400" w:lineRule="exact"/>
              <w:ind w:right="-27" w:rightChars="-13"/>
              <w:jc w:val="left"/>
              <w:rPr>
                <w:rFonts w:ascii="仿宋_GB2312" w:hAnsi="仿宋_GB2312" w:eastAsia="仿宋_GB2312" w:cs="仿宋_GB2312"/>
                <w:bCs/>
                <w:color w:val="auto"/>
                <w:sz w:val="24"/>
              </w:rPr>
            </w:pPr>
            <w:r>
              <w:rPr>
                <w:rFonts w:ascii="仿宋_GB2312" w:hAnsi="仿宋_GB2312" w:eastAsia="仿宋_GB2312" w:cs="仿宋_GB2312"/>
                <w:bCs/>
                <w:color w:val="auto"/>
                <w:sz w:val="24"/>
              </w:rPr>
              <w:t>★政策性资格要求</w:t>
            </w:r>
          </w:p>
        </w:tc>
        <w:tc>
          <w:tcPr>
            <w:tcW w:w="8034" w:type="dxa"/>
            <w:tcBorders>
              <w:top w:val="single" w:color="auto" w:sz="4" w:space="0"/>
              <w:left w:val="single" w:color="auto" w:sz="4" w:space="0"/>
              <w:bottom w:val="single" w:color="auto" w:sz="4" w:space="0"/>
              <w:right w:val="single" w:color="auto" w:sz="4" w:space="0"/>
            </w:tcBorders>
            <w:vAlign w:val="center"/>
          </w:tcPr>
          <w:p w14:paraId="23522ED9">
            <w:pPr>
              <w:spacing w:line="400" w:lineRule="exact"/>
              <w:rPr>
                <w:rFonts w:ascii="仿宋_GB2312" w:hAnsi="仿宋_GB2312" w:eastAsia="仿宋_GB2312" w:cs="仿宋_GB2312"/>
                <w:color w:val="auto"/>
                <w:sz w:val="24"/>
              </w:rPr>
            </w:pPr>
            <w:r>
              <w:rPr>
                <w:rStyle w:val="827"/>
                <w:rFonts w:hint="eastAsia" w:ascii="仿宋_GB2312" w:hAnsi="仿宋_GB2312" w:eastAsia="仿宋_GB2312" w:cs="仿宋_GB2312"/>
                <w:color w:val="auto"/>
                <w:sz w:val="24"/>
              </w:rPr>
              <w:t>1.根据《政府采购促进中小企业发展管理办法》（财库〔2020〕46号），本项目属于专门面向中小企业采购的项目，</w:t>
            </w:r>
            <w:r>
              <w:rPr>
                <w:rFonts w:hint="eastAsia" w:ascii="仿宋_GB2312" w:hAnsi="仿宋_GB2312" w:eastAsia="仿宋_GB2312" w:cs="仿宋_GB2312"/>
                <w:color w:val="auto"/>
                <w:sz w:val="24"/>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5EAA43C9">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2.中小企业须符合本项目采购标的所属行业对应的中小企业划分标准：</w:t>
            </w:r>
          </w:p>
          <w:p w14:paraId="23703D9E">
            <w:pPr>
              <w:spacing w:line="400" w:lineRule="exact"/>
              <w:rPr>
                <w:rFonts w:ascii="仿宋_GB2312" w:hAnsi="仿宋_GB2312" w:eastAsia="仿宋_GB2312" w:cs="仿宋_GB2312"/>
                <w:color w:val="auto"/>
                <w:sz w:val="24"/>
              </w:rPr>
            </w:pPr>
            <w:r>
              <w:rPr>
                <w:rStyle w:val="827"/>
                <w:rFonts w:hint="eastAsia" w:ascii="仿宋_GB2312" w:hAnsi="仿宋_GB2312" w:eastAsia="仿宋_GB2312" w:cs="仿宋_GB2312"/>
                <w:color w:val="auto"/>
                <w:sz w:val="24"/>
              </w:rPr>
              <w:t>（1）采购标的对应的中小企业划分标准所属行业：</w:t>
            </w:r>
            <w:r>
              <w:rPr>
                <w:rStyle w:val="827"/>
                <w:rFonts w:hint="eastAsia" w:ascii="仿宋_GB2312" w:hAnsi="仿宋_GB2312" w:eastAsia="仿宋_GB2312" w:cs="仿宋_GB2312"/>
                <w:color w:val="auto"/>
                <w:sz w:val="24"/>
                <w:u w:val="single"/>
              </w:rPr>
              <w:t>软件和信息技术服务业</w:t>
            </w:r>
            <w:r>
              <w:rPr>
                <w:rStyle w:val="827"/>
                <w:rFonts w:hint="eastAsia" w:ascii="仿宋_GB2312" w:hAnsi="仿宋_GB2312" w:eastAsia="仿宋_GB2312" w:cs="仿宋_GB2312"/>
                <w:color w:val="auto"/>
                <w:sz w:val="24"/>
              </w:rPr>
              <w:t>。</w:t>
            </w:r>
          </w:p>
          <w:p w14:paraId="0197C89E">
            <w:pPr>
              <w:spacing w:line="400" w:lineRule="exact"/>
              <w:rPr>
                <w:rFonts w:ascii="仿宋_GB2312" w:hAnsi="仿宋_GB2312" w:eastAsia="仿宋_GB2312" w:cs="仿宋_GB2312"/>
                <w:color w:val="auto"/>
                <w:sz w:val="24"/>
              </w:rPr>
            </w:pPr>
            <w:r>
              <w:rPr>
                <w:rStyle w:val="827"/>
                <w:rFonts w:hint="eastAsia" w:ascii="仿宋_GB2312" w:hAnsi="仿宋_GB2312" w:eastAsia="仿宋_GB2312" w:cs="仿宋_GB2312"/>
                <w:color w:val="auto"/>
                <w:sz w:val="24"/>
              </w:rPr>
              <w:t>（2）中小企业划分有关标准根据工信部等部委发布的《关于印发中小企业划型标准规定的通知》（工信部联企业〔2011〕300号）确定；</w:t>
            </w:r>
          </w:p>
          <w:p w14:paraId="394C35D0">
            <w:pPr>
              <w:spacing w:line="400" w:lineRule="exact"/>
              <w:rPr>
                <w:rFonts w:ascii="仿宋_GB2312" w:hAnsi="仿宋_GB2312" w:eastAsia="仿宋_GB2312" w:cs="仿宋_GB2312"/>
                <w:color w:val="auto"/>
                <w:sz w:val="24"/>
              </w:rPr>
            </w:pPr>
            <w:r>
              <w:rPr>
                <w:rStyle w:val="827"/>
                <w:rFonts w:hint="eastAsia" w:ascii="仿宋_GB2312" w:hAnsi="仿宋_GB2312" w:eastAsia="仿宋_GB2312" w:cs="仿宋_GB2312"/>
                <w:color w:val="auto"/>
                <w:sz w:val="24"/>
              </w:rPr>
              <w:t>（3）为方便投标人识别企业规模类型，投标人可使用工业和信息化部组织开发的中小企业规模类型自测小程序生成企业规模类型测试结果。自测小程序链接：https://baosong.miit.gov.cn/ScaleTest</w:t>
            </w:r>
          </w:p>
        </w:tc>
      </w:tr>
      <w:tr w14:paraId="012E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56" w:type="dxa"/>
            <w:tcBorders>
              <w:top w:val="single" w:color="auto" w:sz="4" w:space="0"/>
              <w:left w:val="single" w:color="auto" w:sz="4" w:space="0"/>
              <w:bottom w:val="single" w:color="auto" w:sz="4" w:space="0"/>
              <w:right w:val="single" w:color="auto" w:sz="4" w:space="0"/>
            </w:tcBorders>
            <w:vAlign w:val="center"/>
          </w:tcPr>
          <w:p w14:paraId="01CAE463">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 xml:space="preserve">质量管理、企业信用要求（如有） </w:t>
            </w:r>
          </w:p>
        </w:tc>
        <w:tc>
          <w:tcPr>
            <w:tcW w:w="8034" w:type="dxa"/>
            <w:tcBorders>
              <w:top w:val="single" w:color="auto" w:sz="4" w:space="0"/>
              <w:left w:val="single" w:color="auto" w:sz="4" w:space="0"/>
              <w:bottom w:val="single" w:color="auto" w:sz="4" w:space="0"/>
              <w:right w:val="single" w:color="auto" w:sz="4" w:space="0"/>
            </w:tcBorders>
            <w:vAlign w:val="center"/>
          </w:tcPr>
          <w:p w14:paraId="364DFE9C">
            <w:pPr>
              <w:pStyle w:val="483"/>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投标人或投标产品生产厂家具备有效的质量管理体系认证证书。</w:t>
            </w:r>
          </w:p>
        </w:tc>
      </w:tr>
      <w:tr w14:paraId="4802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56" w:type="dxa"/>
            <w:tcBorders>
              <w:top w:val="single" w:color="auto" w:sz="4" w:space="0"/>
              <w:left w:val="single" w:color="auto" w:sz="4" w:space="0"/>
              <w:bottom w:val="single" w:color="auto" w:sz="4" w:space="0"/>
              <w:right w:val="single" w:color="auto" w:sz="4" w:space="0"/>
            </w:tcBorders>
            <w:vAlign w:val="center"/>
          </w:tcPr>
          <w:p w14:paraId="0114B708">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能力或业绩要求（如有）</w:t>
            </w:r>
          </w:p>
        </w:tc>
        <w:tc>
          <w:tcPr>
            <w:tcW w:w="8034" w:type="dxa"/>
            <w:tcBorders>
              <w:top w:val="single" w:color="auto" w:sz="4" w:space="0"/>
              <w:left w:val="single" w:color="auto" w:sz="4" w:space="0"/>
              <w:bottom w:val="single" w:color="auto" w:sz="4" w:space="0"/>
              <w:right w:val="single" w:color="auto" w:sz="4" w:space="0"/>
            </w:tcBorders>
            <w:vAlign w:val="center"/>
          </w:tcPr>
          <w:p w14:paraId="3A6839EC">
            <w:pPr>
              <w:pStyle w:val="503"/>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投标人2022年1月1日起至今本</w:t>
            </w:r>
            <w:r>
              <w:rPr>
                <w:rFonts w:hint="eastAsia" w:ascii="仿宋_GB2312" w:hAnsi="仿宋_GB2312" w:eastAsia="仿宋_GB2312" w:cs="仿宋_GB2312"/>
                <w:color w:val="auto"/>
                <w:lang w:val="en-US" w:eastAsia="zh-CN"/>
              </w:rPr>
              <w:t>分标</w:t>
            </w:r>
            <w:r>
              <w:rPr>
                <w:rFonts w:hint="eastAsia" w:ascii="仿宋_GB2312" w:hAnsi="仿宋_GB2312" w:eastAsia="仿宋_GB2312" w:cs="仿宋_GB2312"/>
                <w:color w:val="auto"/>
              </w:rPr>
              <w:t>所投产品在项目中被安装使用。</w:t>
            </w:r>
          </w:p>
        </w:tc>
      </w:tr>
      <w:tr w14:paraId="31A7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690" w:type="dxa"/>
            <w:gridSpan w:val="2"/>
            <w:tcBorders>
              <w:top w:val="single" w:color="auto" w:sz="4" w:space="0"/>
              <w:left w:val="single" w:color="auto" w:sz="4" w:space="0"/>
              <w:bottom w:val="single" w:color="auto" w:sz="4" w:space="0"/>
              <w:right w:val="single" w:color="auto" w:sz="4" w:space="0"/>
            </w:tcBorders>
            <w:vAlign w:val="center"/>
          </w:tcPr>
          <w:p w14:paraId="51D8E710">
            <w:pPr>
              <w:pStyle w:val="27"/>
              <w:snapToGrid w:val="0"/>
              <w:spacing w:line="400" w:lineRule="exact"/>
              <w:ind w:right="-330" w:rightChars="-157"/>
              <w:rPr>
                <w:rFonts w:ascii="仿宋_GB2312" w:hAnsi="仿宋_GB2312" w:eastAsia="仿宋_GB2312" w:cs="仿宋_GB2312"/>
                <w:bCs/>
                <w:color w:val="auto"/>
                <w:sz w:val="24"/>
                <w:szCs w:val="24"/>
              </w:rPr>
            </w:pPr>
            <w:r>
              <w:rPr>
                <w:rFonts w:hint="eastAsia" w:ascii="仿宋_GB2312" w:hAnsi="仿宋_GB2312" w:eastAsia="仿宋_GB2312" w:cs="仿宋_GB2312"/>
                <w:b/>
                <w:bCs/>
                <w:color w:val="auto"/>
                <w:sz w:val="24"/>
                <w:szCs w:val="24"/>
              </w:rPr>
              <w:t>五、其他要求</w:t>
            </w:r>
          </w:p>
        </w:tc>
      </w:tr>
      <w:tr w14:paraId="1895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56" w:type="dxa"/>
            <w:tcBorders>
              <w:top w:val="single" w:color="auto" w:sz="4" w:space="0"/>
              <w:left w:val="single" w:color="auto" w:sz="4" w:space="0"/>
              <w:bottom w:val="single" w:color="auto" w:sz="4" w:space="0"/>
              <w:right w:val="single" w:color="auto" w:sz="4" w:space="0"/>
            </w:tcBorders>
            <w:vAlign w:val="center"/>
          </w:tcPr>
          <w:p w14:paraId="0CC8E5D7">
            <w:pPr>
              <w:spacing w:line="400" w:lineRule="exact"/>
              <w:ind w:right="-107" w:rightChars="-51"/>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无</w:t>
            </w:r>
          </w:p>
        </w:tc>
        <w:tc>
          <w:tcPr>
            <w:tcW w:w="8034" w:type="dxa"/>
            <w:tcBorders>
              <w:top w:val="single" w:color="auto" w:sz="4" w:space="0"/>
              <w:left w:val="single" w:color="auto" w:sz="4" w:space="0"/>
              <w:bottom w:val="single" w:color="auto" w:sz="4" w:space="0"/>
              <w:right w:val="single" w:color="auto" w:sz="4" w:space="0"/>
            </w:tcBorders>
            <w:vAlign w:val="center"/>
          </w:tcPr>
          <w:p w14:paraId="554811E0">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 xml:space="preserve"> </w:t>
            </w:r>
          </w:p>
        </w:tc>
      </w:tr>
    </w:tbl>
    <w:p w14:paraId="69B7E4A8">
      <w:pPr>
        <w:spacing w:line="400" w:lineRule="exact"/>
        <w:jc w:val="left"/>
        <w:rPr>
          <w:rFonts w:hint="eastAsia" w:ascii="仿宋_GB2312" w:hAnsi="仿宋_GB2312" w:eastAsia="仿宋_GB2312" w:cs="仿宋_GB2312"/>
          <w:b/>
          <w:bCs/>
          <w:color w:val="auto"/>
          <w:sz w:val="24"/>
          <w:lang w:val="en-US" w:eastAsia="zh-CN"/>
        </w:rPr>
      </w:pPr>
    </w:p>
    <w:p w14:paraId="58561E37">
      <w:pPr>
        <w:spacing w:line="400" w:lineRule="exact"/>
        <w:jc w:val="left"/>
        <w:rPr>
          <w:rFonts w:hint="eastAsia" w:ascii="仿宋_GB2312" w:hAnsi="仿宋_GB2312" w:eastAsia="仿宋_GB2312" w:cs="仿宋_GB2312"/>
          <w:b/>
          <w:bCs/>
          <w:color w:val="auto"/>
          <w:sz w:val="24"/>
          <w:lang w:val="en-US" w:eastAsia="zh-CN"/>
        </w:rPr>
      </w:pPr>
    </w:p>
    <w:p w14:paraId="0E5D4C2E">
      <w:pPr>
        <w:spacing w:line="400" w:lineRule="exact"/>
        <w:jc w:val="left"/>
        <w:rPr>
          <w:rFonts w:hint="eastAsia" w:ascii="仿宋_GB2312" w:hAnsi="仿宋_GB2312" w:eastAsia="仿宋_GB2312" w:cs="仿宋_GB2312"/>
          <w:b/>
          <w:bCs/>
          <w:color w:val="auto"/>
          <w:sz w:val="24"/>
          <w:lang w:val="en-US" w:eastAsia="zh-CN"/>
        </w:rPr>
      </w:pPr>
    </w:p>
    <w:p w14:paraId="7624A18A">
      <w:pPr>
        <w:spacing w:line="400" w:lineRule="exact"/>
        <w:jc w:val="left"/>
        <w:rPr>
          <w:rFonts w:hint="eastAsia" w:ascii="仿宋_GB2312" w:hAnsi="仿宋_GB2312" w:eastAsia="仿宋_GB2312" w:cs="仿宋_GB2312"/>
          <w:b/>
          <w:bCs/>
          <w:color w:val="auto"/>
          <w:sz w:val="24"/>
          <w:lang w:val="en-US" w:eastAsia="zh-CN"/>
        </w:rPr>
      </w:pPr>
    </w:p>
    <w:p w14:paraId="38C8C46A">
      <w:pPr>
        <w:spacing w:line="400" w:lineRule="exact"/>
        <w:jc w:val="left"/>
        <w:rPr>
          <w:rFonts w:hint="eastAsia" w:ascii="仿宋_GB2312" w:hAnsi="仿宋_GB2312" w:eastAsia="仿宋_GB2312" w:cs="仿宋_GB2312"/>
          <w:b/>
          <w:bCs/>
          <w:color w:val="auto"/>
          <w:sz w:val="24"/>
          <w:lang w:val="en-US" w:eastAsia="zh-CN"/>
        </w:rPr>
      </w:pPr>
    </w:p>
    <w:p w14:paraId="740E9709">
      <w:pPr>
        <w:spacing w:line="400" w:lineRule="exact"/>
        <w:jc w:val="left"/>
        <w:rPr>
          <w:rFonts w:hint="eastAsia" w:ascii="仿宋_GB2312" w:hAnsi="仿宋_GB2312" w:eastAsia="仿宋_GB2312" w:cs="仿宋_GB2312"/>
          <w:b/>
          <w:bCs/>
          <w:color w:val="auto"/>
          <w:sz w:val="24"/>
          <w:lang w:val="en-US" w:eastAsia="zh-CN"/>
        </w:rPr>
      </w:pPr>
    </w:p>
    <w:p w14:paraId="11D99546">
      <w:pPr>
        <w:spacing w:line="400" w:lineRule="exact"/>
        <w:jc w:val="left"/>
        <w:rPr>
          <w:rFonts w:hint="eastAsia" w:ascii="仿宋_GB2312" w:hAnsi="仿宋_GB2312" w:eastAsia="仿宋_GB2312" w:cs="仿宋_GB2312"/>
          <w:b/>
          <w:bCs/>
          <w:color w:val="auto"/>
          <w:sz w:val="24"/>
          <w:lang w:val="en-US" w:eastAsia="zh-CN"/>
        </w:rPr>
      </w:pPr>
    </w:p>
    <w:p w14:paraId="7E643966">
      <w:pPr>
        <w:spacing w:line="400" w:lineRule="exact"/>
        <w:jc w:val="left"/>
        <w:rPr>
          <w:rFonts w:hint="eastAsia" w:ascii="仿宋_GB2312" w:hAnsi="仿宋_GB2312" w:eastAsia="仿宋_GB2312" w:cs="仿宋_GB2312"/>
          <w:b/>
          <w:bCs/>
          <w:color w:val="auto"/>
          <w:sz w:val="24"/>
          <w:lang w:val="en-US" w:eastAsia="zh-CN"/>
        </w:rPr>
      </w:pPr>
    </w:p>
    <w:p w14:paraId="0CC79476">
      <w:pPr>
        <w:spacing w:line="400" w:lineRule="exact"/>
        <w:jc w:val="left"/>
        <w:rPr>
          <w:rFonts w:hint="eastAsia" w:ascii="仿宋_GB2312" w:hAnsi="仿宋_GB2312" w:eastAsia="仿宋_GB2312" w:cs="仿宋_GB2312"/>
          <w:b/>
          <w:bCs/>
          <w:color w:val="auto"/>
          <w:sz w:val="24"/>
          <w:lang w:val="en-US" w:eastAsia="zh-CN"/>
        </w:rPr>
      </w:pPr>
    </w:p>
    <w:p w14:paraId="200241C8">
      <w:pPr>
        <w:spacing w:line="400" w:lineRule="exact"/>
        <w:jc w:val="left"/>
        <w:rPr>
          <w:rFonts w:hint="eastAsia" w:ascii="仿宋_GB2312" w:hAnsi="仿宋_GB2312" w:eastAsia="仿宋_GB2312" w:cs="仿宋_GB2312"/>
          <w:b/>
          <w:bCs/>
          <w:color w:val="auto"/>
          <w:sz w:val="24"/>
          <w:lang w:val="en-US" w:eastAsia="zh-CN"/>
        </w:rPr>
      </w:pPr>
    </w:p>
    <w:p w14:paraId="7DCDF867">
      <w:pPr>
        <w:spacing w:line="400" w:lineRule="exact"/>
        <w:jc w:val="left"/>
        <w:rPr>
          <w:rFonts w:hint="eastAsia" w:ascii="仿宋_GB2312" w:hAnsi="仿宋_GB2312" w:eastAsia="仿宋_GB2312" w:cs="仿宋_GB2312"/>
          <w:b/>
          <w:bCs/>
          <w:color w:val="auto"/>
          <w:sz w:val="24"/>
          <w:lang w:val="en-US" w:eastAsia="zh-CN"/>
        </w:rPr>
      </w:pPr>
    </w:p>
    <w:p w14:paraId="6480985C">
      <w:pPr>
        <w:spacing w:line="400" w:lineRule="exact"/>
        <w:jc w:val="left"/>
        <w:rPr>
          <w:rFonts w:hint="eastAsia" w:ascii="仿宋_GB2312" w:hAnsi="仿宋_GB2312" w:eastAsia="仿宋_GB2312" w:cs="仿宋_GB2312"/>
          <w:b/>
          <w:bCs/>
          <w:color w:val="auto"/>
          <w:sz w:val="24"/>
          <w:lang w:val="en-US" w:eastAsia="zh-CN"/>
        </w:rPr>
      </w:pPr>
    </w:p>
    <w:p w14:paraId="650C32B3">
      <w:pPr>
        <w:spacing w:line="400" w:lineRule="exact"/>
        <w:jc w:val="left"/>
        <w:rPr>
          <w:rFonts w:hint="eastAsia" w:ascii="仿宋_GB2312" w:hAnsi="仿宋_GB2312" w:eastAsia="仿宋_GB2312" w:cs="仿宋_GB2312"/>
          <w:b/>
          <w:bCs/>
          <w:color w:val="auto"/>
          <w:sz w:val="24"/>
          <w:lang w:val="en-US" w:eastAsia="zh-CN"/>
        </w:rPr>
      </w:pPr>
    </w:p>
    <w:p w14:paraId="1249B613">
      <w:pPr>
        <w:spacing w:line="400" w:lineRule="exact"/>
        <w:jc w:val="left"/>
        <w:rPr>
          <w:rFonts w:hint="eastAsia" w:ascii="仿宋_GB2312" w:hAnsi="仿宋_GB2312" w:eastAsia="仿宋_GB2312" w:cs="仿宋_GB2312"/>
          <w:b/>
          <w:bCs/>
          <w:color w:val="auto"/>
          <w:sz w:val="24"/>
          <w:lang w:val="en-US" w:eastAsia="zh-CN"/>
        </w:rPr>
      </w:pPr>
    </w:p>
    <w:p w14:paraId="28536A35">
      <w:pPr>
        <w:spacing w:line="400" w:lineRule="exact"/>
        <w:jc w:val="left"/>
        <w:rPr>
          <w:rFonts w:hint="eastAsia" w:ascii="仿宋_GB2312" w:hAnsi="仿宋_GB2312" w:eastAsia="仿宋_GB2312" w:cs="仿宋_GB2312"/>
          <w:b/>
          <w:bCs/>
          <w:color w:val="auto"/>
          <w:sz w:val="24"/>
          <w:lang w:val="en-US" w:eastAsia="zh-CN"/>
        </w:rPr>
      </w:pPr>
    </w:p>
    <w:p w14:paraId="6990DAF6">
      <w:pPr>
        <w:spacing w:line="400" w:lineRule="exact"/>
        <w:jc w:val="left"/>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lang w:val="en-US" w:eastAsia="zh-CN"/>
        </w:rPr>
        <w:t>分标5</w:t>
      </w:r>
    </w:p>
    <w:tbl>
      <w:tblPr>
        <w:tblStyle w:val="51"/>
        <w:tblW w:w="9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872"/>
        <w:gridCol w:w="7455"/>
        <w:gridCol w:w="903"/>
      </w:tblGrid>
      <w:tr w14:paraId="516B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723" w:type="dxa"/>
            <w:gridSpan w:val="4"/>
            <w:vAlign w:val="center"/>
          </w:tcPr>
          <w:p w14:paraId="71E0590C">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一、项目技术规格参数及要求</w:t>
            </w:r>
          </w:p>
        </w:tc>
      </w:tr>
      <w:tr w14:paraId="5669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493" w:type="dxa"/>
            <w:vAlign w:val="center"/>
          </w:tcPr>
          <w:p w14:paraId="2F5A8573">
            <w:pPr>
              <w:pStyle w:val="808"/>
              <w:snapToGrid w:val="0"/>
              <w:spacing w:line="4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序号</w:t>
            </w:r>
          </w:p>
        </w:tc>
        <w:tc>
          <w:tcPr>
            <w:tcW w:w="872" w:type="dxa"/>
            <w:vAlign w:val="center"/>
          </w:tcPr>
          <w:p w14:paraId="65C5B92B">
            <w:pPr>
              <w:pStyle w:val="808"/>
              <w:snapToGrid w:val="0"/>
              <w:spacing w:line="4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标的名称</w:t>
            </w:r>
          </w:p>
        </w:tc>
        <w:tc>
          <w:tcPr>
            <w:tcW w:w="7455" w:type="dxa"/>
            <w:vAlign w:val="center"/>
          </w:tcPr>
          <w:p w14:paraId="64B8FB44">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技术参数</w:t>
            </w:r>
          </w:p>
        </w:tc>
        <w:tc>
          <w:tcPr>
            <w:tcW w:w="903" w:type="dxa"/>
            <w:vAlign w:val="center"/>
          </w:tcPr>
          <w:p w14:paraId="5180C609">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b/>
                <w:bCs/>
                <w:color w:val="auto"/>
                <w:sz w:val="24"/>
              </w:rPr>
              <w:t>数量及单位</w:t>
            </w:r>
          </w:p>
        </w:tc>
      </w:tr>
      <w:tr w14:paraId="171C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93" w:type="dxa"/>
            <w:vAlign w:val="center"/>
          </w:tcPr>
          <w:p w14:paraId="4E4B2EAB">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872" w:type="dxa"/>
            <w:vAlign w:val="center"/>
          </w:tcPr>
          <w:p w14:paraId="7FC98421">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直播电商一体化实训软件</w:t>
            </w:r>
          </w:p>
        </w:tc>
        <w:tc>
          <w:tcPr>
            <w:tcW w:w="7455" w:type="dxa"/>
            <w:vAlign w:val="center"/>
          </w:tcPr>
          <w:p w14:paraId="3568AE8A">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一、总体要求</w:t>
            </w:r>
          </w:p>
          <w:p w14:paraId="0305B71D">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1.软件涵盖课程内容资源满足《直播电商运营》专业核心课程要求，包括直播电商运营概述、直播策划、主播孵化、直播带货、直播推广、直播电商运营分析六个模块课程重点在于将直播电商的知识应用于实际，掌握直播创意策划、商品讲解与控场、引流推广和数据分析工作内容，同时具备直播电商运营的法律意识。</w:t>
            </w:r>
          </w:p>
          <w:p w14:paraId="58FFB9B2">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2.课程提供课程教学大纲/教案，涵盖各节知识目标、技能目标、重难点解读、教学设计内容，包含教学步骤安排、各环节时长安排、各环节教学方法、具体教学安排与实训安排，对教学实施各环节的具体描述。</w:t>
            </w:r>
          </w:p>
          <w:p w14:paraId="4B6B60CD">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3.资源包含教学课件，课件内容涉及的案例一并提供。</w:t>
            </w:r>
          </w:p>
          <w:p w14:paraId="56AE51F9">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4.资源中脚本策划模块包含录屏，主要讲解单品脚本话术设计技巧、互动脚本话术设计技巧、整场脚本流程设计的方法，录屏讲解与PPT课件内容完全对应。</w:t>
            </w:r>
          </w:p>
          <w:p w14:paraId="13BD0B70">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5.资源包含教学课件讲稿，具体讲解课程内容中未涉及的知识版块内容。</w:t>
            </w:r>
          </w:p>
          <w:p w14:paraId="3B2DB053">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6.资源内置教学案例，配合课程知识内容讲解，主要涉及：专业人设解读、单品脚本话术设计解读、直播间商品讲解要点解读、粉丝日常维护技巧解读、社交平台免费推广解读、电商平台免费推广解读。</w:t>
            </w:r>
          </w:p>
          <w:p w14:paraId="1D1CAC2D">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7.资源提供多个实训任务，包含文档形式的实训背景描述，文档、图片或视频形式的实训参考素材，内容涵盖实训要求、步骤指导、实训产出模板。</w:t>
            </w:r>
          </w:p>
          <w:p w14:paraId="26606426">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8. 资源提供拓展学习材料，展现形式包括视频、文档、PPT，涵盖本门课程涉及的知识及技能要点。</w:t>
            </w:r>
          </w:p>
          <w:p w14:paraId="0300B228">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9. 资源提供课后巩固习题，每一章配套一套习题，习题主要考核课程对应的重难点知识点，题型包括单选、多选、简答类型。</w:t>
            </w:r>
          </w:p>
          <w:p w14:paraId="40CA92A7">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10. 资源中的商品讲解与展示模块，需包括课件、实训设计、实训支撑素材。PPT课件中包括商品讲解要点、商品讲解技巧、找产品痛点的方法、商品展示的方法、价格刺激的方法讲解。需包含商品痛点分析和商品讲解文案撰写的实训，实训中需给出商品背景信息的素材，提供实训产出模板。</w:t>
            </w:r>
          </w:p>
          <w:p w14:paraId="28B960E3">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11. 资源中的直播免费推广模块，需包括课件、实训设计、实训支撑素材。PPT课件中包含直播免费推广渠道、短视频平台免费推广策略、电商平台免费推广策略、社交平台免费推广策略的讲解。设置直播免费推广实训，提供实训大纲、直播背景信息、各平台直播免费推广记录表</w:t>
            </w:r>
            <w:r>
              <w:rPr>
                <w:rFonts w:hint="eastAsia" w:ascii="仿宋_GB2312" w:hAnsi="仿宋_GB2312" w:eastAsia="仿宋_GB2312" w:cs="仿宋_GB2312"/>
                <w:bCs/>
                <w:snapToGrid w:val="0"/>
                <w:color w:val="auto"/>
                <w:kern w:val="0"/>
                <w:sz w:val="24"/>
                <w:lang w:val="en-US" w:eastAsia="zh-CN"/>
              </w:rPr>
              <w:t>的</w:t>
            </w:r>
            <w:r>
              <w:rPr>
                <w:rFonts w:hint="eastAsia" w:ascii="仿宋_GB2312" w:hAnsi="仿宋_GB2312" w:eastAsia="仿宋_GB2312" w:cs="仿宋_GB2312"/>
                <w:bCs/>
                <w:snapToGrid w:val="0"/>
                <w:color w:val="auto"/>
                <w:kern w:val="0"/>
                <w:sz w:val="24"/>
              </w:rPr>
              <w:t>实训素材。</w:t>
            </w:r>
          </w:p>
          <w:p w14:paraId="177D74AF">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二、实训任务要求</w:t>
            </w:r>
          </w:p>
          <w:p w14:paraId="334E8A0A">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（一）整体要求</w:t>
            </w:r>
          </w:p>
          <w:p w14:paraId="6AFFBF6B">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w:t>
            </w:r>
            <w:r>
              <w:rPr>
                <w:rFonts w:hint="eastAsia" w:ascii="仿宋_GB2312" w:hAnsi="仿宋_GB2312" w:eastAsia="仿宋_GB2312" w:cs="仿宋_GB2312"/>
                <w:bCs/>
                <w:snapToGrid w:val="0"/>
                <w:color w:val="auto"/>
                <w:kern w:val="0"/>
                <w:sz w:val="24"/>
                <w:u w:val="single"/>
              </w:rPr>
              <w:t>1、直播助理PC端提供直播策划、直播运营、直播复盘三大模块，主要内容包含直播商品管理、直播内容策划、直播推广策划、直播间装修、直播销售、直播互动、直播数据分析与优化典型工作任务。</w:t>
            </w:r>
          </w:p>
          <w:p w14:paraId="3ED42420">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2、依托云平台搭建原生主播APP，可利用 Andriod 手机 APP 端进行直播任务。</w:t>
            </w:r>
          </w:p>
          <w:p w14:paraId="17F23A4C">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3、PC端具有按照直播策划、直播运营、直播复盘三个模块进行实验控制的功能，即模块实验开启时，在实验时间内的功能可操作；不在实验有效时间的模块不可进入、不能操作。</w:t>
            </w:r>
          </w:p>
          <w:p w14:paraId="73CC9555">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★4、</w:t>
            </w:r>
            <w:r>
              <w:rPr>
                <w:rFonts w:hint="eastAsia" w:ascii="仿宋_GB2312" w:hAnsi="仿宋_GB2312" w:eastAsia="仿宋_GB2312" w:cs="仿宋_GB2312"/>
                <w:bCs/>
                <w:snapToGrid w:val="0"/>
                <w:color w:val="auto"/>
                <w:kern w:val="0"/>
                <w:sz w:val="24"/>
                <w:u w:val="single"/>
              </w:rPr>
              <w:t>系统结合商品历史销售、市场需求、及用户口碑数据，结合用户操作，进行直播订单资源分配，数据看板中展示分配结果。</w:t>
            </w:r>
          </w:p>
          <w:p w14:paraId="65AC2420">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5、系统提供直播巡场，批量查看主播端直播情况。</w:t>
            </w:r>
          </w:p>
          <w:p w14:paraId="67DD1CAE">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6、系统提供数据看板，包含数据分析图表，帮助主播实现基于数据分析的科学决策及运营诊断。</w:t>
            </w:r>
          </w:p>
          <w:p w14:paraId="2746AF89">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7、系统采用系统评分+人工评分的评分模式，全方位评价学生直播电商实训技能水平。</w:t>
            </w:r>
          </w:p>
          <w:p w14:paraId="32D07929">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8、系统提供教学管理功能，包括班级管理、实验管理、成绩管理、题库管理、资源管理。</w:t>
            </w:r>
          </w:p>
          <w:p w14:paraId="7E420B94">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（二）PC端功能要求</w:t>
            </w:r>
          </w:p>
          <w:p w14:paraId="27E8854F">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1、直播说明页：提供背景材料、直播素材、任务要求及系统规则；直播素材包含商品信息、商品图片。</w:t>
            </w:r>
          </w:p>
          <w:p w14:paraId="117DFFDB">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2、直播选品：能够按照任务要求完成直播选品。</w:t>
            </w:r>
          </w:p>
          <w:p w14:paraId="34698D87">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3、商品定位：针对目标选品能够进行利润款、引流款、形象款的商品定位。</w:t>
            </w:r>
          </w:p>
          <w:p w14:paraId="29622005">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4、采购及定价：依据系统提供信息，能够完成运营资金规划，并根据供应商信息完成采购，填写商品日常价格完成定价。</w:t>
            </w:r>
          </w:p>
          <w:p w14:paraId="03CABE90">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5、销售策略：制定各直播商品销售策略，针对不同商品策划直播价格、促销形式和利益点。</w:t>
            </w:r>
          </w:p>
          <w:p w14:paraId="690E8FD6">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6、主题策划：能够进行直播主题类型设计、直播主题撰写，并根据市场数据分析直播时间。</w:t>
            </w:r>
          </w:p>
          <w:p w14:paraId="60D9F5E3">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7、互动方案：能够进行全场互动活动方案的设计，针对每个互动活动完成互动活动名称、互动时间段、互动活动类型、预估时长和互动方案的策划；互动活动类型包含抽奖、优惠券、秒杀、才艺展示、投票、话题、连麦、点赞有礼、PK、自定义，其中抽奖、优惠券、秒杀活动要求设置详细的活动条件、活动内容、起止时间信息。</w:t>
            </w:r>
          </w:p>
          <w:p w14:paraId="680A22F3">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8、脚本策划：能够依据系统提供的全场脚本大纲结构，进行直播全场脚本策划。环节类型包含直播活动及产品讲解，包括抽奖、优惠券、秒杀、才艺展示、投票、话题、连麦、点赞有礼、PK、自定义、宠粉引流款、主推利润款、气质形象款。</w:t>
            </w:r>
          </w:p>
          <w:p w14:paraId="72A10369">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★9、</w:t>
            </w:r>
            <w:r>
              <w:rPr>
                <w:rFonts w:hint="eastAsia" w:ascii="仿宋_GB2312" w:hAnsi="仿宋_GB2312" w:eastAsia="仿宋_GB2312" w:cs="仿宋_GB2312"/>
                <w:bCs/>
                <w:snapToGrid w:val="0"/>
                <w:color w:val="auto"/>
                <w:kern w:val="0"/>
                <w:sz w:val="24"/>
                <w:u w:val="single"/>
              </w:rPr>
              <w:t>直播推广策划：包含受众分析、广告投放、站内推广任务。受众分析要求根据系统提供的受众人群画像，完成受众地域、性别、年龄、兴趣领域维度的分析；广告投放要求完成优化目标、投放位置、推广预算、出价方式和广告创意的设置。新媒体推广包括微信、微博、抖音、QQ、今日头条、小红书、知乎主流平台，提供各个平台的引流效果和预估引流成本数据；站内推广包含店铺拉新、粉丝预告、公域流量获取推广渠道，提供各个渠道的引流效果和预估成本数据。要求系统依据用户设置的推广引流方案进行直播观看人数分配，数据看板中展示分配结果。</w:t>
            </w:r>
          </w:p>
          <w:p w14:paraId="14D6C14D">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10、商品详情：支持商品的添加、上架、下架、删除及编辑；商品添加时需进行商品标题、商品关键词、售价、库存、主图、辅图及商品详情的撰写。</w:t>
            </w:r>
          </w:p>
          <w:p w14:paraId="667B5FFA">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11、场景布置：能够依据系统提供的主播类信息、营销类信息、预告信息、营销素材、镇店之宝直播间场景组件，填写相关内容。</w:t>
            </w:r>
          </w:p>
          <w:p w14:paraId="5F2EA827">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12、智能助理：能够完成直播间快捷短语、欢迎语、屏蔽管理和高频问题回复。</w:t>
            </w:r>
          </w:p>
          <w:p w14:paraId="1881C5C4">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13、直播间设置：支持直播时间、直播标题、封面、头像、简介</w:t>
            </w:r>
            <w:r>
              <w:rPr>
                <w:rFonts w:hint="eastAsia" w:ascii="仿宋_GB2312" w:hAnsi="仿宋_GB2312" w:eastAsia="仿宋_GB2312" w:cs="仿宋_GB2312"/>
                <w:bCs/>
                <w:snapToGrid w:val="0"/>
                <w:color w:val="auto"/>
                <w:kern w:val="0"/>
                <w:sz w:val="24"/>
                <w:lang w:val="en-US" w:eastAsia="zh-CN"/>
              </w:rPr>
              <w:t>和</w:t>
            </w:r>
            <w:r>
              <w:rPr>
                <w:rFonts w:hint="eastAsia" w:ascii="仿宋_GB2312" w:hAnsi="仿宋_GB2312" w:eastAsia="仿宋_GB2312" w:cs="仿宋_GB2312"/>
                <w:bCs/>
                <w:snapToGrid w:val="0"/>
                <w:color w:val="auto"/>
                <w:kern w:val="0"/>
                <w:sz w:val="24"/>
              </w:rPr>
              <w:t>直播产品</w:t>
            </w:r>
            <w:r>
              <w:rPr>
                <w:rFonts w:hint="eastAsia" w:ascii="仿宋_GB2312" w:hAnsi="仿宋_GB2312" w:eastAsia="仿宋_GB2312" w:cs="仿宋_GB2312"/>
                <w:bCs/>
                <w:snapToGrid w:val="0"/>
                <w:color w:val="auto"/>
                <w:kern w:val="0"/>
                <w:sz w:val="24"/>
                <w:lang w:val="en-US" w:eastAsia="zh-CN"/>
              </w:rPr>
              <w:t>的</w:t>
            </w:r>
            <w:r>
              <w:rPr>
                <w:rFonts w:hint="eastAsia" w:ascii="仿宋_GB2312" w:hAnsi="仿宋_GB2312" w:eastAsia="仿宋_GB2312" w:cs="仿宋_GB2312"/>
                <w:bCs/>
                <w:snapToGrid w:val="0"/>
                <w:color w:val="auto"/>
                <w:kern w:val="0"/>
                <w:sz w:val="24"/>
              </w:rPr>
              <w:t>直播间信息的查看与设置。</w:t>
            </w:r>
          </w:p>
          <w:p w14:paraId="2DCA84C0">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14、直播销售：系统提供直播须知和登录二维码，支持使用主播APP扫码登录账号。</w:t>
            </w:r>
          </w:p>
          <w:p w14:paraId="5FE3DF8B">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★15、</w:t>
            </w:r>
            <w:r>
              <w:rPr>
                <w:rFonts w:hint="eastAsia" w:ascii="仿宋_GB2312" w:hAnsi="仿宋_GB2312" w:eastAsia="仿宋_GB2312" w:cs="仿宋_GB2312"/>
                <w:bCs/>
                <w:snapToGrid w:val="0"/>
                <w:color w:val="auto"/>
                <w:kern w:val="0"/>
                <w:sz w:val="24"/>
                <w:u w:val="single"/>
              </w:rPr>
              <w:t>直播中台：提供直播过程中的观看次数、实时在线人数</w:t>
            </w:r>
            <w:r>
              <w:rPr>
                <w:rFonts w:hint="eastAsia" w:ascii="仿宋_GB2312" w:hAnsi="仿宋_GB2312" w:eastAsia="仿宋_GB2312" w:cs="仿宋_GB2312"/>
                <w:bCs/>
                <w:snapToGrid w:val="0"/>
                <w:color w:val="auto"/>
                <w:kern w:val="0"/>
                <w:sz w:val="24"/>
                <w:u w:val="single"/>
                <w:lang w:val="en-US" w:eastAsia="zh-CN"/>
              </w:rPr>
              <w:t>和</w:t>
            </w:r>
            <w:r>
              <w:rPr>
                <w:rFonts w:hint="eastAsia" w:ascii="仿宋_GB2312" w:hAnsi="仿宋_GB2312" w:eastAsia="仿宋_GB2312" w:cs="仿宋_GB2312"/>
                <w:bCs/>
                <w:snapToGrid w:val="0"/>
                <w:color w:val="auto"/>
                <w:kern w:val="0"/>
                <w:sz w:val="24"/>
                <w:u w:val="single"/>
              </w:rPr>
              <w:t>新增粉丝数</w:t>
            </w:r>
            <w:r>
              <w:rPr>
                <w:rFonts w:hint="eastAsia" w:ascii="仿宋_GB2312" w:hAnsi="仿宋_GB2312" w:eastAsia="仿宋_GB2312" w:cs="仿宋_GB2312"/>
                <w:bCs/>
                <w:snapToGrid w:val="0"/>
                <w:color w:val="auto"/>
                <w:kern w:val="0"/>
                <w:sz w:val="24"/>
                <w:u w:val="single"/>
                <w:lang w:val="en-US" w:eastAsia="zh-CN"/>
              </w:rPr>
              <w:t>的</w:t>
            </w:r>
            <w:r>
              <w:rPr>
                <w:rFonts w:hint="eastAsia" w:ascii="仿宋_GB2312" w:hAnsi="仿宋_GB2312" w:eastAsia="仿宋_GB2312" w:cs="仿宋_GB2312"/>
                <w:bCs/>
                <w:snapToGrid w:val="0"/>
                <w:color w:val="auto"/>
                <w:kern w:val="0"/>
                <w:sz w:val="24"/>
                <w:u w:val="single"/>
              </w:rPr>
              <w:t>实时直播数据，直播过程虚拟弹幕滚动显示；支持直播过程中进行商品、优惠券、秒杀、抽奖、粉丝推送、公告、投票、预告卡片、话题、信息卡</w:t>
            </w:r>
            <w:r>
              <w:rPr>
                <w:rFonts w:hint="eastAsia" w:ascii="仿宋_GB2312" w:hAnsi="仿宋_GB2312" w:eastAsia="仿宋_GB2312" w:cs="仿宋_GB2312"/>
                <w:bCs/>
                <w:snapToGrid w:val="0"/>
                <w:color w:val="auto"/>
                <w:kern w:val="0"/>
                <w:sz w:val="24"/>
                <w:u w:val="single"/>
                <w:lang w:val="en-US" w:eastAsia="zh-CN"/>
              </w:rPr>
              <w:t>和</w:t>
            </w:r>
            <w:r>
              <w:rPr>
                <w:rFonts w:hint="eastAsia" w:ascii="仿宋_GB2312" w:hAnsi="仿宋_GB2312" w:eastAsia="仿宋_GB2312" w:cs="仿宋_GB2312"/>
                <w:bCs/>
                <w:snapToGrid w:val="0"/>
                <w:color w:val="auto"/>
                <w:kern w:val="0"/>
                <w:sz w:val="24"/>
                <w:u w:val="single"/>
              </w:rPr>
              <w:t>订单处理</w:t>
            </w:r>
            <w:r>
              <w:rPr>
                <w:rFonts w:hint="eastAsia" w:ascii="仿宋_GB2312" w:hAnsi="仿宋_GB2312" w:eastAsia="仿宋_GB2312" w:cs="仿宋_GB2312"/>
                <w:bCs/>
                <w:snapToGrid w:val="0"/>
                <w:color w:val="auto"/>
                <w:kern w:val="0"/>
                <w:sz w:val="24"/>
                <w:u w:val="single"/>
                <w:lang w:eastAsia="zh-CN"/>
              </w:rPr>
              <w:t>的</w:t>
            </w:r>
            <w:r>
              <w:rPr>
                <w:rFonts w:hint="eastAsia" w:ascii="仿宋_GB2312" w:hAnsi="仿宋_GB2312" w:eastAsia="仿宋_GB2312" w:cs="仿宋_GB2312"/>
                <w:bCs/>
                <w:snapToGrid w:val="0"/>
                <w:color w:val="auto"/>
                <w:kern w:val="0"/>
                <w:sz w:val="24"/>
                <w:u w:val="single"/>
              </w:rPr>
              <w:t>互动活动推送。</w:t>
            </w:r>
          </w:p>
          <w:p w14:paraId="65495E5F">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16、数据看板：提供直播间数据，包含直播概况、销售数据、流量数据、用户数据。</w:t>
            </w:r>
          </w:p>
          <w:p w14:paraId="7D299AE2">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17、方案上传：提供优化方案PPT上传接口。</w:t>
            </w:r>
          </w:p>
          <w:p w14:paraId="3E1AA1A3">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（三）主播APP端功能要求：</w:t>
            </w:r>
          </w:p>
          <w:p w14:paraId="3223C78B">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1、直播执行：支持直播执行，直播过程中内置弹幕回复及处理考核任务。</w:t>
            </w:r>
          </w:p>
          <w:p w14:paraId="0A023438">
            <w:pPr>
              <w:tabs>
                <w:tab w:val="left" w:pos="900"/>
              </w:tabs>
              <w:autoSpaceDE w:val="0"/>
              <w:autoSpaceDN w:val="0"/>
              <w:adjustRightInd w:val="0"/>
              <w:spacing w:line="400" w:lineRule="exact"/>
              <w:rPr>
                <w:rFonts w:ascii="仿宋_GB2312" w:hAnsi="仿宋_GB2312" w:eastAsia="仿宋_GB2312" w:cs="仿宋_GB2312"/>
                <w:bCs/>
                <w:snapToGrid w:val="0"/>
                <w:color w:val="auto"/>
                <w:kern w:val="0"/>
                <w:sz w:val="24"/>
              </w:rPr>
            </w:pPr>
            <w:r>
              <w:rPr>
                <w:rFonts w:hint="eastAsia" w:ascii="仿宋_GB2312" w:hAnsi="仿宋_GB2312" w:eastAsia="仿宋_GB2312" w:cs="仿宋_GB2312"/>
                <w:bCs/>
                <w:snapToGrid w:val="0"/>
                <w:color w:val="auto"/>
                <w:kern w:val="0"/>
                <w:sz w:val="24"/>
              </w:rPr>
              <w:t>2、直播管理：支持直播过程中弹幕、推送产品效果、预告封面效果的查看，至少提供镜头翻转、退出直播、美颜滤镜、直播计时功能。</w:t>
            </w:r>
          </w:p>
          <w:p w14:paraId="0A322B4C">
            <w:pPr>
              <w:spacing w:line="400" w:lineRule="exact"/>
              <w:ind w:left="1" w:leftChars="-3" w:hanging="7" w:hangingChars="3"/>
              <w:rPr>
                <w:rFonts w:ascii="仿宋_GB2312" w:hAnsi="仿宋_GB2312" w:eastAsia="仿宋_GB2312" w:cs="仿宋_GB2312"/>
                <w:bCs/>
                <w:color w:val="auto"/>
                <w:sz w:val="24"/>
              </w:rPr>
            </w:pPr>
            <w:r>
              <w:rPr>
                <w:rFonts w:hint="eastAsia" w:ascii="仿宋_GB2312" w:hAnsi="仿宋_GB2312" w:eastAsia="仿宋_GB2312" w:cs="仿宋_GB2312"/>
                <w:bCs/>
                <w:snapToGrid w:val="0"/>
                <w:color w:val="auto"/>
                <w:kern w:val="0"/>
                <w:sz w:val="24"/>
              </w:rPr>
              <w:t>★三、</w:t>
            </w:r>
            <w:r>
              <w:rPr>
                <w:rFonts w:hint="eastAsia" w:ascii="仿宋_GB2312" w:hAnsi="仿宋_GB2312" w:eastAsia="仿宋_GB2312" w:cs="仿宋_GB2312"/>
                <w:bCs/>
                <w:color w:val="auto"/>
                <w:sz w:val="24"/>
              </w:rPr>
              <w:t>中标人提供的软件需要适配国产化操作系统，如果目前尚未适配国产化操作系统，中标人须承诺交付三个月内完成适配国产化操作系统，承诺期限内未完成适配的视为未履行合同约定。适配后须按照合同约定提供同等时长的质保服务，费用含在投标报价中。</w:t>
            </w:r>
          </w:p>
          <w:p w14:paraId="78BA82F8">
            <w:pPr>
              <w:spacing w:line="400" w:lineRule="exact"/>
              <w:rPr>
                <w:rFonts w:ascii="仿宋_GB2312" w:hAnsi="仿宋_GB2312" w:eastAsia="仿宋_GB2312" w:cs="仿宋_GB2312"/>
                <w:color w:val="auto"/>
                <w:sz w:val="24"/>
              </w:rPr>
            </w:pPr>
            <w:r>
              <w:rPr>
                <w:rFonts w:hint="eastAsia" w:ascii="仿宋_GB2312" w:hAnsi="仿宋_GB2312" w:eastAsia="仿宋_GB2312" w:cs="仿宋_GB2312"/>
                <w:bCs/>
                <w:snapToGrid w:val="0"/>
                <w:color w:val="auto"/>
                <w:kern w:val="0"/>
                <w:sz w:val="24"/>
              </w:rPr>
              <w:t>★</w:t>
            </w:r>
            <w:r>
              <w:rPr>
                <w:rFonts w:hint="eastAsia" w:ascii="仿宋_GB2312" w:hAnsi="仿宋_GB2312" w:eastAsia="仿宋_GB2312" w:cs="仿宋_GB2312"/>
                <w:bCs/>
                <w:snapToGrid w:val="0"/>
                <w:color w:val="auto"/>
                <w:kern w:val="0"/>
                <w:sz w:val="24"/>
                <w:lang w:val="en-US" w:eastAsia="zh-CN"/>
              </w:rPr>
              <w:t>四</w:t>
            </w:r>
            <w:r>
              <w:rPr>
                <w:rFonts w:hint="eastAsia" w:ascii="仿宋_GB2312" w:hAnsi="仿宋_GB2312" w:eastAsia="仿宋_GB2312" w:cs="仿宋_GB2312"/>
                <w:color w:val="auto"/>
                <w:sz w:val="24"/>
              </w:rPr>
              <w:t>、系统供应商必须免费开放系统并免费提供对接服务，免费提供对接技术方面的培训。</w:t>
            </w:r>
          </w:p>
        </w:tc>
        <w:tc>
          <w:tcPr>
            <w:tcW w:w="903" w:type="dxa"/>
            <w:vAlign w:val="center"/>
          </w:tcPr>
          <w:p w14:paraId="32BA2CB8">
            <w:pPr>
              <w:spacing w:line="40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kern w:val="0"/>
                <w:sz w:val="24"/>
              </w:rPr>
              <w:t>套</w:t>
            </w:r>
          </w:p>
        </w:tc>
      </w:tr>
    </w:tbl>
    <w:p w14:paraId="47CC89F9">
      <w:pPr>
        <w:spacing w:line="400" w:lineRule="exact"/>
        <w:jc w:val="left"/>
        <w:rPr>
          <w:rFonts w:ascii="仿宋_GB2312" w:hAnsi="仿宋_GB2312" w:eastAsia="仿宋_GB2312" w:cs="仿宋_GB2312"/>
          <w:b/>
          <w:bCs/>
          <w:color w:val="auto"/>
          <w:sz w:val="24"/>
        </w:rPr>
      </w:pPr>
    </w:p>
    <w:tbl>
      <w:tblPr>
        <w:tblStyle w:val="51"/>
        <w:tblW w:w="9720" w:type="dxa"/>
        <w:tblInd w:w="-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8032"/>
      </w:tblGrid>
      <w:tr w14:paraId="44C0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20" w:type="dxa"/>
            <w:gridSpan w:val="2"/>
            <w:tcBorders>
              <w:top w:val="single" w:color="auto" w:sz="4" w:space="0"/>
              <w:left w:val="single" w:color="auto" w:sz="4" w:space="0"/>
              <w:bottom w:val="single" w:color="auto" w:sz="4" w:space="0"/>
              <w:right w:val="single" w:color="auto" w:sz="4" w:space="0"/>
            </w:tcBorders>
            <w:vAlign w:val="center"/>
          </w:tcPr>
          <w:p w14:paraId="5380AB19">
            <w:pPr>
              <w:spacing w:line="400" w:lineRule="exact"/>
              <w:ind w:right="-330" w:rightChars="-157"/>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4"/>
              </w:rPr>
              <w:t>★二、商务要求</w:t>
            </w:r>
          </w:p>
        </w:tc>
      </w:tr>
      <w:tr w14:paraId="37E6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88" w:type="dxa"/>
            <w:tcBorders>
              <w:top w:val="single" w:color="auto" w:sz="4" w:space="0"/>
              <w:left w:val="single" w:color="auto" w:sz="4" w:space="0"/>
              <w:bottom w:val="single" w:color="auto" w:sz="4" w:space="0"/>
              <w:right w:val="single" w:color="auto" w:sz="4" w:space="0"/>
            </w:tcBorders>
            <w:vAlign w:val="center"/>
          </w:tcPr>
          <w:p w14:paraId="614B58B6">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基本要求</w:t>
            </w:r>
          </w:p>
        </w:tc>
        <w:tc>
          <w:tcPr>
            <w:tcW w:w="8032" w:type="dxa"/>
            <w:tcBorders>
              <w:top w:val="single" w:color="auto" w:sz="4" w:space="0"/>
              <w:left w:val="single" w:color="auto" w:sz="4" w:space="0"/>
              <w:bottom w:val="single" w:color="auto" w:sz="4" w:space="0"/>
              <w:right w:val="single" w:color="auto" w:sz="4" w:space="0"/>
            </w:tcBorders>
            <w:vAlign w:val="center"/>
          </w:tcPr>
          <w:p w14:paraId="298E59C4">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1.本项目投标报价包括货物及货物运抵指定交付地点的各种费用、随配附件、备品备件、安装调试、技术培训、技术资料、包装、售后服务、保险费、税金、验收检验及其他所有成本费用的总和；</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2.投标人应保证投标产品涉及到的知识产权和所提供的相关技术资料是合法取得，不会因为采购人的使用而被责令停止使用、追偿或要求赔偿损失，如出现此情况，一切经济和法律责任均由投标人承担；</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3.投标人所投产品应符合国家有关部门规定的相应技术、节能、安全和环保标准；国家有关部门对所投产品有强制性规定或要求的，必须符合相应规定或要求；</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4.软件本地化部署，若</w:t>
            </w:r>
            <w:r>
              <w:rPr>
                <w:rFonts w:hint="eastAsia" w:ascii="仿宋_GB2312" w:hAnsi="仿宋_GB2312" w:eastAsia="仿宋_GB2312" w:cs="仿宋_GB2312"/>
                <w:bCs/>
                <w:color w:val="auto"/>
                <w:sz w:val="24"/>
                <w:lang w:val="en-US" w:eastAsia="zh-CN"/>
              </w:rPr>
              <w:t>采购人</w:t>
            </w:r>
            <w:r>
              <w:rPr>
                <w:rFonts w:hint="eastAsia" w:ascii="仿宋_GB2312" w:hAnsi="仿宋_GB2312" w:eastAsia="仿宋_GB2312" w:cs="仿宋_GB2312"/>
                <w:bCs/>
                <w:color w:val="auto"/>
                <w:sz w:val="24"/>
              </w:rPr>
              <w:t>本地服务器不能</w:t>
            </w:r>
            <w:r>
              <w:rPr>
                <w:rFonts w:hint="eastAsia" w:ascii="仿宋_GB2312" w:hAnsi="仿宋_GB2312" w:eastAsia="仿宋_GB2312" w:cs="仿宋_GB2312"/>
                <w:bCs/>
                <w:color w:val="auto"/>
                <w:sz w:val="24"/>
                <w:lang w:val="en-US" w:eastAsia="zh-CN"/>
              </w:rPr>
              <w:t>使</w:t>
            </w:r>
            <w:r>
              <w:rPr>
                <w:rFonts w:hint="eastAsia" w:ascii="仿宋_GB2312" w:hAnsi="仿宋_GB2312" w:eastAsia="仿宋_GB2312" w:cs="仿宋_GB2312"/>
                <w:bCs/>
                <w:color w:val="auto"/>
                <w:sz w:val="24"/>
              </w:rPr>
              <w:t>软件正常运行和</w:t>
            </w:r>
            <w:r>
              <w:rPr>
                <w:rFonts w:hint="eastAsia" w:ascii="仿宋_GB2312" w:hAnsi="仿宋_GB2312" w:eastAsia="仿宋_GB2312" w:cs="仿宋_GB2312"/>
                <w:bCs/>
                <w:color w:val="auto"/>
                <w:sz w:val="24"/>
                <w:lang w:val="en-US" w:eastAsia="zh-CN"/>
              </w:rPr>
              <w:t>使</w:t>
            </w:r>
            <w:r>
              <w:rPr>
                <w:rFonts w:hint="eastAsia" w:ascii="仿宋_GB2312" w:hAnsi="仿宋_GB2312" w:eastAsia="仿宋_GB2312" w:cs="仿宋_GB2312"/>
                <w:bCs/>
                <w:color w:val="auto"/>
                <w:sz w:val="24"/>
              </w:rPr>
              <w:t>用</w:t>
            </w:r>
            <w:r>
              <w:rPr>
                <w:rFonts w:hint="eastAsia" w:ascii="仿宋_GB2312" w:hAnsi="仿宋_GB2312" w:eastAsia="仿宋_GB2312" w:cs="仿宋_GB2312"/>
                <w:bCs/>
                <w:color w:val="auto"/>
                <w:sz w:val="24"/>
                <w:lang w:eastAsia="zh-CN"/>
              </w:rPr>
              <w:t>，</w:t>
            </w:r>
            <w:r>
              <w:rPr>
                <w:rFonts w:hint="eastAsia" w:ascii="仿宋_GB2312" w:hAnsi="仿宋_GB2312" w:eastAsia="仿宋_GB2312" w:cs="仿宋_GB2312"/>
                <w:bCs/>
                <w:color w:val="auto"/>
                <w:sz w:val="24"/>
              </w:rPr>
              <w:t>供应商应同步提供满足软件使用的配套服务资源</w:t>
            </w:r>
            <w:r>
              <w:rPr>
                <w:rFonts w:hint="eastAsia" w:ascii="仿宋_GB2312" w:hAnsi="仿宋_GB2312" w:eastAsia="仿宋_GB2312" w:cs="仿宋_GB2312"/>
                <w:bCs/>
                <w:color w:val="auto"/>
                <w:sz w:val="24"/>
                <w:lang w:eastAsia="zh-CN"/>
              </w:rPr>
              <w:t>；</w:t>
            </w:r>
            <w:r>
              <w:rPr>
                <w:rFonts w:hint="eastAsia" w:ascii="仿宋_GB2312" w:hAnsi="仿宋_GB2312" w:eastAsia="仿宋_GB2312" w:cs="仿宋_GB2312"/>
                <w:bCs/>
                <w:color w:val="auto"/>
                <w:sz w:val="24"/>
              </w:rPr>
              <w:t>同时服务点数≥100，用户同时登录时响应时间低于1秒；同时，确保平台能够在通过安全可靠性测试的国产操作系统上运行。</w:t>
            </w:r>
          </w:p>
        </w:tc>
      </w:tr>
      <w:tr w14:paraId="45E6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88" w:type="dxa"/>
            <w:tcBorders>
              <w:top w:val="single" w:color="auto" w:sz="4" w:space="0"/>
              <w:left w:val="single" w:color="auto" w:sz="4" w:space="0"/>
              <w:bottom w:val="single" w:color="auto" w:sz="4" w:space="0"/>
              <w:right w:val="single" w:color="auto" w:sz="4" w:space="0"/>
            </w:tcBorders>
            <w:vAlign w:val="center"/>
          </w:tcPr>
          <w:p w14:paraId="2F7A5C6F">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质量保证期</w:t>
            </w:r>
          </w:p>
        </w:tc>
        <w:tc>
          <w:tcPr>
            <w:tcW w:w="8032" w:type="dxa"/>
            <w:tcBorders>
              <w:top w:val="single" w:color="auto" w:sz="4" w:space="0"/>
              <w:left w:val="single" w:color="auto" w:sz="4" w:space="0"/>
              <w:bottom w:val="single" w:color="auto" w:sz="4" w:space="0"/>
              <w:right w:val="single" w:color="auto" w:sz="4" w:space="0"/>
            </w:tcBorders>
            <w:vAlign w:val="center"/>
          </w:tcPr>
          <w:p w14:paraId="2FF26B89">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按国家有关产品“三包”规定执行“三包”，质保期为自验收合格之日起3年。</w:t>
            </w:r>
          </w:p>
        </w:tc>
      </w:tr>
      <w:tr w14:paraId="1985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88" w:type="dxa"/>
            <w:tcBorders>
              <w:top w:val="single" w:color="auto" w:sz="4" w:space="0"/>
              <w:left w:val="single" w:color="auto" w:sz="4" w:space="0"/>
              <w:bottom w:val="single" w:color="auto" w:sz="4" w:space="0"/>
              <w:right w:val="single" w:color="auto" w:sz="4" w:space="0"/>
            </w:tcBorders>
            <w:vAlign w:val="center"/>
          </w:tcPr>
          <w:p w14:paraId="76889C25">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售后服务要求</w:t>
            </w:r>
          </w:p>
        </w:tc>
        <w:tc>
          <w:tcPr>
            <w:tcW w:w="8032" w:type="dxa"/>
            <w:tcBorders>
              <w:top w:val="single" w:color="auto" w:sz="4" w:space="0"/>
              <w:left w:val="single" w:color="auto" w:sz="4" w:space="0"/>
              <w:bottom w:val="single" w:color="auto" w:sz="4" w:space="0"/>
              <w:right w:val="single" w:color="auto" w:sz="4" w:space="0"/>
            </w:tcBorders>
            <w:vAlign w:val="center"/>
          </w:tcPr>
          <w:p w14:paraId="60949E47">
            <w:pPr>
              <w:rPr>
                <w:color w:val="auto"/>
              </w:rPr>
            </w:pPr>
            <w:r>
              <w:rPr>
                <w:rFonts w:hint="eastAsia" w:ascii="仿宋_GB2312" w:hAnsi="仿宋_GB2312" w:eastAsia="仿宋_GB2312" w:cs="仿宋_GB2312"/>
                <w:bCs/>
                <w:color w:val="auto"/>
                <w:sz w:val="24"/>
              </w:rPr>
              <w:t>1.售后服务费用包含在报价中，售后服务内容如下：</w:t>
            </w:r>
          </w:p>
          <w:p w14:paraId="13DC3982">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(1)质保期内对采购人进行系统操作、日常维护等技术培训，培训时间由双方共同商定（每年不少于1次），受培训人数不低于10人时间不少于1天。</w:t>
            </w:r>
          </w:p>
          <w:p w14:paraId="048B6144">
            <w:pPr>
              <w:spacing w:line="400" w:lineRule="exact"/>
              <w:jc w:val="left"/>
              <w:rPr>
                <w:color w:val="auto"/>
              </w:rPr>
            </w:pPr>
            <w:r>
              <w:rPr>
                <w:rFonts w:hint="eastAsia" w:ascii="仿宋_GB2312" w:hAnsi="仿宋_GB2312" w:eastAsia="仿宋_GB2312" w:cs="仿宋_GB2312"/>
                <w:bCs/>
                <w:color w:val="auto"/>
                <w:sz w:val="24"/>
              </w:rPr>
              <w:t>(2)中标人提供技术援助电话，解答采购人在使用中遇到的问题，及时为采购人提出解决问题的建议。接到报修通知后，一般问题8小时内通过远程方式解决；无法远程解决的大故障，应在接到报修通知后的24小时内派技术人员到达现场处理；到达现场后故障处理时限不超过48小时，如果超过故障处理时限，应免费提供同等质量的产品作为备用品供采购人使用，直至故障系统修复。</w:t>
            </w:r>
          </w:p>
          <w:p w14:paraId="0D386587">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本项目所含软件必须为符合采购人适用范围的正版软件（非试用版），且在质保期内提供免费升级及维护服务。本项目合同约定的质保期过后，中标人需确保该软件其功能仍与交付验收时一致（如合同另有约定的按合同约定），质保期过后如需对软件进行升级或售后服务双方再行协商。</w:t>
            </w:r>
          </w:p>
        </w:tc>
      </w:tr>
      <w:tr w14:paraId="7E9B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88" w:type="dxa"/>
            <w:tcBorders>
              <w:top w:val="single" w:color="auto" w:sz="4" w:space="0"/>
              <w:left w:val="single" w:color="auto" w:sz="4" w:space="0"/>
              <w:bottom w:val="single" w:color="auto" w:sz="4" w:space="0"/>
              <w:right w:val="single" w:color="auto" w:sz="4" w:space="0"/>
            </w:tcBorders>
            <w:vAlign w:val="center"/>
          </w:tcPr>
          <w:p w14:paraId="654CE915">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交货时间及地点</w:t>
            </w:r>
          </w:p>
        </w:tc>
        <w:tc>
          <w:tcPr>
            <w:tcW w:w="8032" w:type="dxa"/>
            <w:tcBorders>
              <w:top w:val="single" w:color="auto" w:sz="4" w:space="0"/>
              <w:left w:val="single" w:color="auto" w:sz="4" w:space="0"/>
              <w:bottom w:val="single" w:color="auto" w:sz="4" w:space="0"/>
              <w:right w:val="single" w:color="auto" w:sz="4" w:space="0"/>
            </w:tcBorders>
            <w:vAlign w:val="center"/>
          </w:tcPr>
          <w:p w14:paraId="20DB4662">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1.交货时间：自签订合同之日起30日内安装调试完毕，验收合格并交付使用；</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2.交货地点：广西柳州市社湾路28号柳州职业技术大学社湾校区。</w:t>
            </w:r>
          </w:p>
        </w:tc>
      </w:tr>
      <w:tr w14:paraId="0C27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88" w:type="dxa"/>
            <w:tcBorders>
              <w:top w:val="single" w:color="auto" w:sz="4" w:space="0"/>
              <w:left w:val="single" w:color="auto" w:sz="4" w:space="0"/>
              <w:bottom w:val="single" w:color="auto" w:sz="4" w:space="0"/>
              <w:right w:val="single" w:color="auto" w:sz="4" w:space="0"/>
            </w:tcBorders>
            <w:vAlign w:val="center"/>
          </w:tcPr>
          <w:p w14:paraId="7A9646CF">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color w:val="auto"/>
                <w:sz w:val="24"/>
              </w:rPr>
              <w:t>付款方式</w:t>
            </w:r>
          </w:p>
        </w:tc>
        <w:tc>
          <w:tcPr>
            <w:tcW w:w="8032" w:type="dxa"/>
            <w:tcBorders>
              <w:top w:val="single" w:color="auto" w:sz="4" w:space="0"/>
              <w:left w:val="single" w:color="auto" w:sz="4" w:space="0"/>
              <w:bottom w:val="single" w:color="auto" w:sz="4" w:space="0"/>
              <w:right w:val="single" w:color="auto" w:sz="4" w:space="0"/>
            </w:tcBorders>
            <w:vAlign w:val="center"/>
          </w:tcPr>
          <w:p w14:paraId="2A3BCF68">
            <w:pPr>
              <w:pStyle w:val="810"/>
              <w:snapToGrid w:val="0"/>
              <w:spacing w:line="400" w:lineRule="exact"/>
              <w:rPr>
                <w:rFonts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财政性资金按财政国库集中支付规定程序办理。</w:t>
            </w:r>
            <w:r>
              <w:rPr>
                <w:rFonts w:hint="eastAsia" w:ascii="仿宋_GB2312" w:hAnsi="仿宋_GB2312" w:eastAsia="仿宋_GB2312" w:cs="仿宋_GB2312"/>
                <w:bCs/>
                <w:color w:val="auto"/>
                <w:sz w:val="24"/>
                <w:szCs w:val="24"/>
              </w:rPr>
              <w:br w:type="textWrapping"/>
            </w:r>
            <w:r>
              <w:rPr>
                <w:rFonts w:hint="eastAsia" w:ascii="仿宋_GB2312" w:hAnsi="仿宋_GB2312" w:eastAsia="仿宋_GB2312" w:cs="仿宋_GB2312"/>
                <w:bCs/>
                <w:color w:val="auto"/>
                <w:sz w:val="24"/>
                <w:szCs w:val="24"/>
              </w:rPr>
              <w:t>货物安装调试完毕并验收合格交付使用后，采购人在收到中标人开具的合同总价款增值税专用发票之日起10个工作日内向中标人指定账户付清合同价款(不计利息)。</w:t>
            </w:r>
          </w:p>
          <w:p w14:paraId="531DE5DF">
            <w:pPr>
              <w:spacing w:line="400" w:lineRule="exact"/>
              <w:jc w:val="left"/>
              <w:rPr>
                <w:rFonts w:ascii="仿宋_GB2312" w:hAnsi="仿宋_GB2312" w:eastAsia="仿宋_GB2312" w:cs="仿宋_GB2312"/>
                <w:bCs/>
                <w:color w:val="auto"/>
                <w:sz w:val="24"/>
              </w:rPr>
            </w:pPr>
            <w:r>
              <w:rPr>
                <w:rFonts w:hint="eastAsia" w:ascii="仿宋_GB2312" w:hAnsi="仿宋_GB2312" w:eastAsia="仿宋_GB2312" w:cs="仿宋_GB2312"/>
                <w:b/>
                <w:bCs/>
                <w:color w:val="auto"/>
                <w:sz w:val="24"/>
              </w:rPr>
              <w:t>注：资金支付等事项按照《保障中小企业款项支付条例》（国务院令第802号）、《广西壮族自治区财政厅关于持续优化政府采购营商环境推动高质量发展的通知》等要求执行。</w:t>
            </w:r>
          </w:p>
        </w:tc>
      </w:tr>
      <w:tr w14:paraId="66C6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88" w:type="dxa"/>
            <w:tcBorders>
              <w:top w:val="single" w:color="auto" w:sz="4" w:space="0"/>
              <w:left w:val="single" w:color="auto" w:sz="4" w:space="0"/>
              <w:bottom w:val="single" w:color="auto" w:sz="4" w:space="0"/>
              <w:right w:val="single" w:color="auto" w:sz="4" w:space="0"/>
            </w:tcBorders>
            <w:vAlign w:val="center"/>
          </w:tcPr>
          <w:p w14:paraId="550212D6">
            <w:pPr>
              <w:spacing w:line="400" w:lineRule="exact"/>
              <w:ind w:right="-27" w:rightChars="-13"/>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履约保证金</w:t>
            </w:r>
          </w:p>
        </w:tc>
        <w:tc>
          <w:tcPr>
            <w:tcW w:w="8032" w:type="dxa"/>
            <w:tcBorders>
              <w:top w:val="single" w:color="auto" w:sz="4" w:space="0"/>
              <w:left w:val="single" w:color="auto" w:sz="4" w:space="0"/>
              <w:bottom w:val="single" w:color="auto" w:sz="4" w:space="0"/>
              <w:right w:val="single" w:color="auto" w:sz="4" w:space="0"/>
            </w:tcBorders>
            <w:vAlign w:val="center"/>
          </w:tcPr>
          <w:p w14:paraId="3CD213A3">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1、履约保证金金额：</w:t>
            </w:r>
          </w:p>
          <w:p w14:paraId="44802545">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大型企业须缴纳履约保证金金额：合同金额的5%；中型企业须缴纳履约保证金金额：合同金额的2%；小微企业或监狱企业或残疾人福利性单位：无须缴纳履约保证金。</w:t>
            </w:r>
          </w:p>
          <w:p w14:paraId="72DFFA4B">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2、履约保证金提交及退付方式、时间及条件：</w:t>
            </w:r>
          </w:p>
          <w:p w14:paraId="0E70C89B">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签订前2日内，中标人必须以银行转账、支票、汇票、本票或者银行、保险机构出具的保函、保险等非现金方式提交履约保证金。履约保证金在验收合格交付之日后，且在收到中标人退回履约保证金函件后5个工作日内，由采购人办理履约保证金退还手续（不计息）。</w:t>
            </w:r>
          </w:p>
          <w:p w14:paraId="73FF775E">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履约保证金账户：</w:t>
            </w:r>
          </w:p>
          <w:p w14:paraId="56A75F6E">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名  称：柳州职业技术大学</w:t>
            </w:r>
          </w:p>
          <w:p w14:paraId="7896ECE6">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开户行：交通银行西江支行</w:t>
            </w:r>
          </w:p>
          <w:p w14:paraId="5D407B5B">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账  号：452060600018120020185</w:t>
            </w:r>
          </w:p>
          <w:p w14:paraId="6EEBCD75">
            <w:pPr>
              <w:spacing w:line="400" w:lineRule="exact"/>
              <w:jc w:val="left"/>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转账时注明：柳州职业技术大学“新能源汽车数字商贸产教融合基地”软件部分采购项目，采购编号LZZC2025-G1-990359-LZSZ（分标</w:t>
            </w:r>
            <w:r>
              <w:rPr>
                <w:rFonts w:hint="eastAsia" w:ascii="仿宋_GB2312" w:hAnsi="仿宋_GB2312" w:eastAsia="仿宋_GB2312" w:cs="仿宋_GB2312"/>
                <w:color w:val="auto"/>
                <w:sz w:val="24"/>
                <w:lang w:val="en-US" w:eastAsia="zh-CN"/>
              </w:rPr>
              <w:t>5</w:t>
            </w:r>
            <w:r>
              <w:rPr>
                <w:rFonts w:hint="eastAsia" w:ascii="仿宋_GB2312" w:hAnsi="仿宋_GB2312" w:eastAsia="仿宋_GB2312" w:cs="仿宋_GB2312"/>
                <w:color w:val="auto"/>
                <w:sz w:val="24"/>
              </w:rPr>
              <w:t>）履约保证金</w:t>
            </w:r>
            <w:r>
              <w:rPr>
                <w:rFonts w:hint="eastAsia" w:ascii="仿宋_GB2312" w:hAnsi="仿宋_GB2312" w:eastAsia="仿宋_GB2312" w:cs="仿宋_GB2312"/>
                <w:color w:val="auto"/>
                <w:sz w:val="24"/>
                <w:lang w:eastAsia="zh-CN"/>
              </w:rPr>
              <w:t>。</w:t>
            </w:r>
          </w:p>
          <w:p w14:paraId="3869EA02">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3、中标人有下列情况之一的，</w:t>
            </w:r>
            <w:r>
              <w:rPr>
                <w:rFonts w:hint="eastAsia" w:ascii="仿宋_GB2312" w:hAnsi="仿宋_GB2312" w:eastAsia="仿宋_GB2312" w:cs="仿宋_GB2312"/>
                <w:color w:val="auto"/>
                <w:sz w:val="24"/>
                <w:lang w:val="en-US" w:eastAsia="zh-CN"/>
              </w:rPr>
              <w:t>采购人</w:t>
            </w:r>
            <w:r>
              <w:rPr>
                <w:rFonts w:hint="eastAsia" w:ascii="仿宋_GB2312" w:hAnsi="仿宋_GB2312" w:eastAsia="仿宋_GB2312" w:cs="仿宋_GB2312"/>
                <w:color w:val="auto"/>
                <w:sz w:val="24"/>
              </w:rPr>
              <w:t>向</w:t>
            </w:r>
            <w:r>
              <w:rPr>
                <w:rFonts w:hint="eastAsia" w:ascii="仿宋_GB2312" w:hAnsi="仿宋_GB2312" w:eastAsia="仿宋_GB2312" w:cs="仿宋_GB2312"/>
                <w:color w:val="auto"/>
                <w:sz w:val="24"/>
                <w:lang w:val="en-US" w:eastAsia="zh-CN"/>
              </w:rPr>
              <w:t>中标人</w:t>
            </w:r>
            <w:r>
              <w:rPr>
                <w:rFonts w:hint="eastAsia" w:ascii="仿宋_GB2312" w:hAnsi="仿宋_GB2312" w:eastAsia="仿宋_GB2312" w:cs="仿宋_GB2312"/>
                <w:color w:val="auto"/>
                <w:sz w:val="24"/>
              </w:rPr>
              <w:t>出具书面通知，</w:t>
            </w:r>
            <w:r>
              <w:rPr>
                <w:rFonts w:hint="eastAsia" w:ascii="仿宋_GB2312" w:hAnsi="仿宋_GB2312" w:eastAsia="仿宋_GB2312" w:cs="仿宋_GB2312"/>
                <w:color w:val="auto"/>
                <w:sz w:val="24"/>
                <w:lang w:val="en-US" w:eastAsia="zh-CN"/>
              </w:rPr>
              <w:t>中标人</w:t>
            </w:r>
            <w:r>
              <w:rPr>
                <w:rFonts w:hint="eastAsia" w:ascii="仿宋_GB2312" w:hAnsi="仿宋_GB2312" w:eastAsia="仿宋_GB2312" w:cs="仿宋_GB2312"/>
                <w:color w:val="auto"/>
                <w:sz w:val="24"/>
              </w:rPr>
              <w:t>未能及时解决的，采购人可没收其全部履约保证金，并视具体情况按合同第九条处理：</w:t>
            </w:r>
          </w:p>
          <w:p w14:paraId="2E8A3B73">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⑴中标人提供的货物规格、技术标准、材料未达到其响应文件所承诺的，导致无法通过验收交付使用的；</w:t>
            </w:r>
          </w:p>
          <w:p w14:paraId="24F9D3D3">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⑵中标人提供的货物经查证无法得到生产厂家正规售后服务的；</w:t>
            </w:r>
          </w:p>
          <w:p w14:paraId="7FCAEEE8">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⑶中标人提供的货物未经正规合法经销渠道的；</w:t>
            </w:r>
          </w:p>
          <w:p w14:paraId="7F5267D9">
            <w:pPr>
              <w:spacing w:line="40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⑷中标人提供的货物侵犯了第三方合法权益而引发了纠纷或诉讼，导致无法按期交付使用的；</w:t>
            </w:r>
          </w:p>
          <w:p w14:paraId="70690219">
            <w:pPr>
              <w:spacing w:line="400" w:lineRule="exact"/>
              <w:jc w:val="left"/>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⑸在货物试运行期间，故障率在10%及以上的。</w:t>
            </w:r>
          </w:p>
        </w:tc>
      </w:tr>
      <w:tr w14:paraId="376C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720" w:type="dxa"/>
            <w:gridSpan w:val="2"/>
            <w:tcBorders>
              <w:top w:val="single" w:color="auto" w:sz="4" w:space="0"/>
              <w:left w:val="single" w:color="auto" w:sz="4" w:space="0"/>
              <w:bottom w:val="single" w:color="auto" w:sz="4" w:space="0"/>
              <w:right w:val="single" w:color="auto" w:sz="4" w:space="0"/>
            </w:tcBorders>
            <w:vAlign w:val="center"/>
          </w:tcPr>
          <w:p w14:paraId="37624570">
            <w:pPr>
              <w:pStyle w:val="27"/>
              <w:snapToGrid w:val="0"/>
              <w:spacing w:line="400" w:lineRule="exact"/>
              <w:ind w:right="27" w:rightChars="13"/>
              <w:rPr>
                <w:rFonts w:ascii="仿宋_GB2312" w:hAnsi="仿宋_GB2312" w:eastAsia="仿宋_GB2312" w:cs="仿宋_GB2312"/>
                <w:bCs/>
                <w:color w:val="auto"/>
                <w:sz w:val="24"/>
                <w:szCs w:val="24"/>
                <w:lang w:val="en-GB"/>
              </w:rPr>
            </w:pPr>
            <w:r>
              <w:rPr>
                <w:rFonts w:hint="eastAsia" w:ascii="仿宋_GB2312" w:hAnsi="仿宋_GB2312" w:eastAsia="仿宋_GB2312" w:cs="仿宋_GB2312"/>
                <w:b/>
                <w:color w:val="auto"/>
                <w:kern w:val="0"/>
                <w:sz w:val="24"/>
                <w:szCs w:val="24"/>
              </w:rPr>
              <w:t>★</w:t>
            </w:r>
            <w:r>
              <w:rPr>
                <w:rFonts w:hint="eastAsia" w:ascii="仿宋_GB2312" w:hAnsi="仿宋_GB2312" w:eastAsia="仿宋_GB2312" w:cs="仿宋_GB2312"/>
                <w:b/>
                <w:bCs/>
                <w:color w:val="auto"/>
                <w:sz w:val="24"/>
                <w:szCs w:val="24"/>
              </w:rPr>
              <w:t>三、</w:t>
            </w:r>
            <w:r>
              <w:rPr>
                <w:rFonts w:hint="eastAsia" w:ascii="仿宋_GB2312" w:hAnsi="仿宋_GB2312" w:eastAsia="仿宋_GB2312" w:cs="仿宋_GB2312"/>
                <w:b/>
                <w:color w:val="auto"/>
                <w:sz w:val="24"/>
                <w:szCs w:val="24"/>
              </w:rPr>
              <w:t>验收要求</w:t>
            </w:r>
          </w:p>
        </w:tc>
      </w:tr>
      <w:tr w14:paraId="1B09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88" w:type="dxa"/>
            <w:tcBorders>
              <w:top w:val="single" w:color="auto" w:sz="4" w:space="0"/>
              <w:left w:val="single" w:color="auto" w:sz="4" w:space="0"/>
              <w:bottom w:val="single" w:color="auto" w:sz="4" w:space="0"/>
              <w:right w:val="single" w:color="auto" w:sz="4" w:space="0"/>
            </w:tcBorders>
            <w:vAlign w:val="center"/>
          </w:tcPr>
          <w:p w14:paraId="049D6953">
            <w:pPr>
              <w:spacing w:line="400" w:lineRule="exact"/>
              <w:ind w:right="-27" w:rightChars="-13"/>
              <w:jc w:val="left"/>
              <w:rPr>
                <w:rFonts w:ascii="仿宋_GB2312" w:hAnsi="仿宋_GB2312" w:eastAsia="仿宋_GB2312" w:cs="仿宋_GB2312"/>
                <w:bCs/>
                <w:color w:val="auto"/>
                <w:sz w:val="24"/>
                <w:lang w:val="en-GB"/>
              </w:rPr>
            </w:pPr>
            <w:r>
              <w:rPr>
                <w:rFonts w:hint="eastAsia" w:ascii="仿宋_GB2312" w:hAnsi="仿宋_GB2312" w:eastAsia="仿宋_GB2312" w:cs="仿宋_GB2312"/>
                <w:bCs/>
                <w:color w:val="auto"/>
                <w:sz w:val="24"/>
              </w:rPr>
              <w:t>验收标准及要求</w:t>
            </w:r>
          </w:p>
        </w:tc>
        <w:tc>
          <w:tcPr>
            <w:tcW w:w="8032" w:type="dxa"/>
            <w:tcBorders>
              <w:top w:val="single" w:color="auto" w:sz="4" w:space="0"/>
              <w:left w:val="single" w:color="auto" w:sz="4" w:space="0"/>
              <w:bottom w:val="single" w:color="auto" w:sz="4" w:space="0"/>
              <w:right w:val="single" w:color="auto" w:sz="4" w:space="0"/>
            </w:tcBorders>
            <w:vAlign w:val="center"/>
          </w:tcPr>
          <w:p w14:paraId="49BC2327">
            <w:pPr>
              <w:numPr>
                <w:ilvl w:val="255"/>
                <w:numId w:val="0"/>
              </w:num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1.国家强制性技术标准及有关规定；</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交货验收时，采购人根据《广西壮族自治区政府采购项目履约验收管理办法》的规定，由采购人及中标人双方共同进行验收。必要时可委托国家认可的质量检测机构开展采购项目验收工作，验收时中标人必须有授权代表在场并在验收报告上签字，如正式验收时中标人授权代表未到场参加验收则视为中标人对验收过程及结果无异议。因软件使用问题发生争议时，由本地质量技术监督部门鉴定或委托具备资质的第三方机构鉴定。鉴定费（含运行产生全部费用）由中标人承担。投标人在投标报价时自行考虑；</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3.本项目因中标人提供的软件不能满足采购需求的技术参数或其投标文件承诺等原因无法通过验收，造成不能按时、按质、按量完成项目要求的，将按照《中华人民共和国政府采购法》等法律法规由中标人承担相应的法律责任；</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4.中标人负责软件安装调试，直至软件验收合格（期间所需器材及费用均由中标人承担），产品或服务在安装调试并试运行符合要求后，才做最终验收。</w:t>
            </w:r>
          </w:p>
          <w:p w14:paraId="28942E13">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5.中标人完成安装调试后，采购人可以进行累计运行时间不超过72小时的试运行，以确认所供软件功能参数、兼容性及稳定性符合标准达到初验条件，在试运行期间出现问题中标人应在接到采购人书面反馈后三日内解决，在解决问题前此项目仍视为尚未完成安装调试。如造成最终验收合格交付时间超过合同约定的按合同相关条款执行。</w:t>
            </w:r>
          </w:p>
          <w:p w14:paraId="640BF37A">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
                <w:color w:val="auto"/>
                <w:sz w:val="24"/>
              </w:rPr>
              <w:t xml:space="preserve"> 注：投标人提供的项目实施方案及售后服务方案在合同实施阶段必须严格执行。投标人应认真对待方案和承诺内容，确保其真实性和可操作性，否则将承担相应的法律责任和违约后果。</w:t>
            </w:r>
          </w:p>
        </w:tc>
      </w:tr>
      <w:tr w14:paraId="2D8B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20" w:type="dxa"/>
            <w:gridSpan w:val="2"/>
            <w:tcBorders>
              <w:top w:val="single" w:color="auto" w:sz="4" w:space="0"/>
              <w:left w:val="single" w:color="auto" w:sz="4" w:space="0"/>
              <w:bottom w:val="single" w:color="auto" w:sz="4" w:space="0"/>
              <w:right w:val="single" w:color="auto" w:sz="4" w:space="0"/>
            </w:tcBorders>
            <w:vAlign w:val="center"/>
          </w:tcPr>
          <w:p w14:paraId="775B9143">
            <w:pPr>
              <w:pStyle w:val="27"/>
              <w:snapToGrid w:val="0"/>
              <w:spacing w:line="400" w:lineRule="exact"/>
              <w:ind w:right="-330" w:rightChars="-157"/>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四、</w:t>
            </w:r>
            <w:r>
              <w:rPr>
                <w:rFonts w:hint="eastAsia" w:ascii="仿宋_GB2312" w:hAnsi="仿宋_GB2312" w:eastAsia="仿宋_GB2312" w:cs="仿宋_GB2312"/>
                <w:b/>
                <w:color w:val="auto"/>
                <w:sz w:val="24"/>
                <w:szCs w:val="24"/>
              </w:rPr>
              <w:t>资信要求</w:t>
            </w:r>
          </w:p>
        </w:tc>
      </w:tr>
      <w:tr w14:paraId="75DD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88" w:type="dxa"/>
            <w:tcBorders>
              <w:top w:val="single" w:color="auto" w:sz="4" w:space="0"/>
              <w:left w:val="single" w:color="auto" w:sz="4" w:space="0"/>
              <w:bottom w:val="single" w:color="auto" w:sz="4" w:space="0"/>
              <w:right w:val="single" w:color="auto" w:sz="4" w:space="0"/>
            </w:tcBorders>
            <w:vAlign w:val="center"/>
          </w:tcPr>
          <w:p w14:paraId="419CCB52">
            <w:pPr>
              <w:spacing w:line="400" w:lineRule="exact"/>
              <w:ind w:right="-27" w:rightChars="-13"/>
              <w:jc w:val="left"/>
              <w:rPr>
                <w:rFonts w:ascii="仿宋_GB2312" w:hAnsi="仿宋_GB2312" w:eastAsia="仿宋_GB2312" w:cs="仿宋_GB2312"/>
                <w:bCs/>
                <w:color w:val="auto"/>
                <w:sz w:val="24"/>
              </w:rPr>
            </w:pPr>
            <w:r>
              <w:rPr>
                <w:rFonts w:ascii="仿宋_GB2312" w:hAnsi="仿宋_GB2312" w:eastAsia="仿宋_GB2312" w:cs="仿宋_GB2312"/>
                <w:bCs/>
                <w:color w:val="auto"/>
                <w:sz w:val="24"/>
              </w:rPr>
              <w:t>★政策性资格要求</w:t>
            </w:r>
          </w:p>
        </w:tc>
        <w:tc>
          <w:tcPr>
            <w:tcW w:w="8032" w:type="dxa"/>
            <w:tcBorders>
              <w:top w:val="single" w:color="auto" w:sz="4" w:space="0"/>
              <w:left w:val="single" w:color="auto" w:sz="4" w:space="0"/>
              <w:bottom w:val="single" w:color="auto" w:sz="4" w:space="0"/>
              <w:right w:val="single" w:color="auto" w:sz="4" w:space="0"/>
            </w:tcBorders>
            <w:vAlign w:val="center"/>
          </w:tcPr>
          <w:p w14:paraId="1AA2CD65">
            <w:pPr>
              <w:pStyle w:val="825"/>
              <w:spacing w:before="0" w:beforeAutospacing="0" w:after="0" w:afterAutospacing="0" w:line="400" w:lineRule="exact"/>
              <w:rPr>
                <w:rFonts w:ascii="仿宋_GB2312" w:hAnsi="仿宋_GB2312" w:eastAsia="仿宋_GB2312" w:cs="仿宋_GB2312"/>
                <w:color w:val="auto"/>
              </w:rPr>
            </w:pPr>
            <w:r>
              <w:rPr>
                <w:rStyle w:val="827"/>
                <w:rFonts w:hint="eastAsia" w:ascii="仿宋_GB2312" w:hAnsi="仿宋_GB2312" w:eastAsia="仿宋_GB2312" w:cs="仿宋_GB2312"/>
                <w:color w:val="auto"/>
              </w:rPr>
              <w:t>1.根据《政府采购促进中小企业发展管理办法》（财库〔2020〕46号），本项目属于专门面向中小企业采购的项目，</w:t>
            </w:r>
            <w:r>
              <w:rPr>
                <w:rFonts w:hint="eastAsia" w:ascii="仿宋_GB2312" w:hAnsi="仿宋_GB2312" w:eastAsia="仿宋_GB2312" w:cs="仿宋_GB2312"/>
                <w:color w:val="auto"/>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3CE3EDAE">
            <w:pPr>
              <w:pStyle w:val="825"/>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2.中小企业须符合本项目采购标的所属行业对应的中小企业划分标准：</w:t>
            </w:r>
          </w:p>
          <w:p w14:paraId="311803C9">
            <w:pPr>
              <w:pStyle w:val="825"/>
              <w:spacing w:before="0" w:beforeAutospacing="0" w:after="0" w:afterAutospacing="0" w:line="400" w:lineRule="exact"/>
              <w:rPr>
                <w:rFonts w:ascii="仿宋_GB2312" w:hAnsi="仿宋_GB2312" w:eastAsia="仿宋_GB2312" w:cs="仿宋_GB2312"/>
                <w:color w:val="auto"/>
              </w:rPr>
            </w:pPr>
            <w:r>
              <w:rPr>
                <w:rStyle w:val="827"/>
                <w:rFonts w:hint="eastAsia" w:ascii="仿宋_GB2312" w:hAnsi="仿宋_GB2312" w:eastAsia="仿宋_GB2312" w:cs="仿宋_GB2312"/>
                <w:color w:val="auto"/>
              </w:rPr>
              <w:t>（1）采购标的对应的中小企业划分标准所属行业：</w:t>
            </w:r>
            <w:r>
              <w:rPr>
                <w:rStyle w:val="827"/>
                <w:rFonts w:hint="eastAsia" w:ascii="仿宋_GB2312" w:hAnsi="仿宋_GB2312" w:eastAsia="仿宋_GB2312" w:cs="仿宋_GB2312"/>
                <w:color w:val="auto"/>
                <w:u w:val="single"/>
              </w:rPr>
              <w:t>软件和信息技术服务业</w:t>
            </w:r>
            <w:r>
              <w:rPr>
                <w:rStyle w:val="827"/>
                <w:rFonts w:hint="eastAsia" w:ascii="仿宋_GB2312" w:hAnsi="仿宋_GB2312" w:eastAsia="仿宋_GB2312" w:cs="仿宋_GB2312"/>
                <w:color w:val="auto"/>
              </w:rPr>
              <w:t>。</w:t>
            </w:r>
          </w:p>
          <w:p w14:paraId="6098904E">
            <w:pPr>
              <w:pStyle w:val="825"/>
              <w:spacing w:before="0" w:beforeAutospacing="0" w:after="0" w:afterAutospacing="0" w:line="400" w:lineRule="exact"/>
              <w:rPr>
                <w:rFonts w:ascii="仿宋_GB2312" w:hAnsi="仿宋_GB2312" w:eastAsia="仿宋_GB2312" w:cs="仿宋_GB2312"/>
                <w:color w:val="auto"/>
              </w:rPr>
            </w:pPr>
            <w:r>
              <w:rPr>
                <w:rStyle w:val="827"/>
                <w:rFonts w:hint="eastAsia" w:ascii="仿宋_GB2312" w:hAnsi="仿宋_GB2312" w:eastAsia="仿宋_GB2312" w:cs="仿宋_GB2312"/>
                <w:color w:val="auto"/>
              </w:rPr>
              <w:t>（2）中小企业划分有关标准根据工信部等部委发布的《关于印发中小企业划型标准规定的通知》（工信部联企业〔2011〕300号）确定；</w:t>
            </w:r>
          </w:p>
          <w:p w14:paraId="6ABE9471">
            <w:pPr>
              <w:pStyle w:val="829"/>
              <w:spacing w:before="0" w:beforeAutospacing="0" w:after="0" w:afterAutospacing="0" w:line="400" w:lineRule="exact"/>
              <w:rPr>
                <w:rFonts w:ascii="仿宋_GB2312" w:hAnsi="仿宋_GB2312" w:eastAsia="仿宋_GB2312" w:cs="仿宋_GB2312"/>
                <w:color w:val="auto"/>
              </w:rPr>
            </w:pPr>
            <w:r>
              <w:rPr>
                <w:rStyle w:val="827"/>
                <w:rFonts w:hint="eastAsia" w:ascii="仿宋_GB2312" w:hAnsi="仿宋_GB2312" w:eastAsia="仿宋_GB2312" w:cs="仿宋_GB2312"/>
                <w:color w:val="auto"/>
              </w:rPr>
              <w:t>（3）为方便投标人识别企业规模类型，投标人可使用工业和信息化部组织开发的中小企业规模类型自测小程序生成企业规模类型测试结果。自测小程序链接：https://baosong.miit.gov.cn/ScaleTest</w:t>
            </w:r>
          </w:p>
        </w:tc>
      </w:tr>
      <w:tr w14:paraId="57C4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88" w:type="dxa"/>
            <w:tcBorders>
              <w:top w:val="single" w:color="auto" w:sz="4" w:space="0"/>
              <w:left w:val="single" w:color="auto" w:sz="4" w:space="0"/>
              <w:bottom w:val="single" w:color="auto" w:sz="4" w:space="0"/>
              <w:right w:val="single" w:color="auto" w:sz="4" w:space="0"/>
            </w:tcBorders>
            <w:vAlign w:val="center"/>
          </w:tcPr>
          <w:p w14:paraId="03083F1C">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 xml:space="preserve">质量管理、企业信用要求（如有） </w:t>
            </w:r>
          </w:p>
        </w:tc>
        <w:tc>
          <w:tcPr>
            <w:tcW w:w="8032" w:type="dxa"/>
            <w:tcBorders>
              <w:top w:val="single" w:color="auto" w:sz="4" w:space="0"/>
              <w:left w:val="single" w:color="auto" w:sz="4" w:space="0"/>
              <w:bottom w:val="single" w:color="auto" w:sz="4" w:space="0"/>
              <w:right w:val="single" w:color="auto" w:sz="4" w:space="0"/>
            </w:tcBorders>
            <w:vAlign w:val="center"/>
          </w:tcPr>
          <w:p w14:paraId="30498FAF">
            <w:pPr>
              <w:pStyle w:val="483"/>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投标人或投标产品生产厂家具备有效的质量管理体系认证证书。</w:t>
            </w:r>
          </w:p>
        </w:tc>
      </w:tr>
      <w:tr w14:paraId="3890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88" w:type="dxa"/>
            <w:tcBorders>
              <w:top w:val="single" w:color="auto" w:sz="4" w:space="0"/>
              <w:left w:val="single" w:color="auto" w:sz="4" w:space="0"/>
              <w:bottom w:val="single" w:color="auto" w:sz="4" w:space="0"/>
              <w:right w:val="single" w:color="auto" w:sz="4" w:space="0"/>
            </w:tcBorders>
            <w:vAlign w:val="center"/>
          </w:tcPr>
          <w:p w14:paraId="3D62E7F4">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能力或业绩要求（如有）</w:t>
            </w:r>
          </w:p>
        </w:tc>
        <w:tc>
          <w:tcPr>
            <w:tcW w:w="8032" w:type="dxa"/>
            <w:tcBorders>
              <w:top w:val="single" w:color="auto" w:sz="4" w:space="0"/>
              <w:left w:val="single" w:color="auto" w:sz="4" w:space="0"/>
              <w:bottom w:val="single" w:color="auto" w:sz="4" w:space="0"/>
              <w:right w:val="single" w:color="auto" w:sz="4" w:space="0"/>
            </w:tcBorders>
            <w:vAlign w:val="center"/>
          </w:tcPr>
          <w:p w14:paraId="539A18FD">
            <w:pPr>
              <w:pStyle w:val="503"/>
              <w:spacing w:before="0" w:beforeAutospacing="0" w:after="0" w:afterAutospacing="0" w:line="400" w:lineRule="exact"/>
              <w:rPr>
                <w:rFonts w:ascii="仿宋_GB2312" w:hAnsi="仿宋_GB2312" w:eastAsia="仿宋_GB2312" w:cs="仿宋_GB2312"/>
                <w:color w:val="auto"/>
              </w:rPr>
            </w:pPr>
            <w:r>
              <w:rPr>
                <w:rFonts w:hint="eastAsia" w:ascii="仿宋_GB2312" w:hAnsi="仿宋_GB2312" w:eastAsia="仿宋_GB2312" w:cs="仿宋_GB2312"/>
                <w:color w:val="auto"/>
              </w:rPr>
              <w:t>投标人2022年1月1日起至今本</w:t>
            </w:r>
            <w:r>
              <w:rPr>
                <w:rFonts w:hint="eastAsia" w:ascii="仿宋_GB2312" w:hAnsi="仿宋_GB2312" w:eastAsia="仿宋_GB2312" w:cs="仿宋_GB2312"/>
                <w:color w:val="auto"/>
                <w:lang w:val="en-US" w:eastAsia="zh-CN"/>
              </w:rPr>
              <w:t>分标</w:t>
            </w:r>
            <w:r>
              <w:rPr>
                <w:rFonts w:hint="eastAsia" w:ascii="仿宋_GB2312" w:hAnsi="仿宋_GB2312" w:eastAsia="仿宋_GB2312" w:cs="仿宋_GB2312"/>
                <w:color w:val="auto"/>
              </w:rPr>
              <w:t>所投产品在项目中被安装使用。</w:t>
            </w:r>
          </w:p>
        </w:tc>
      </w:tr>
      <w:tr w14:paraId="62B6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720" w:type="dxa"/>
            <w:gridSpan w:val="2"/>
            <w:tcBorders>
              <w:top w:val="single" w:color="auto" w:sz="4" w:space="0"/>
              <w:left w:val="single" w:color="auto" w:sz="4" w:space="0"/>
              <w:bottom w:val="single" w:color="auto" w:sz="4" w:space="0"/>
              <w:right w:val="single" w:color="auto" w:sz="4" w:space="0"/>
            </w:tcBorders>
            <w:vAlign w:val="center"/>
          </w:tcPr>
          <w:p w14:paraId="70FF5C16">
            <w:pPr>
              <w:pStyle w:val="27"/>
              <w:snapToGrid w:val="0"/>
              <w:spacing w:line="400" w:lineRule="exact"/>
              <w:ind w:right="-330" w:rightChars="-157"/>
              <w:rPr>
                <w:rFonts w:ascii="仿宋_GB2312" w:hAnsi="仿宋_GB2312" w:eastAsia="仿宋_GB2312" w:cs="仿宋_GB2312"/>
                <w:bCs/>
                <w:color w:val="auto"/>
                <w:sz w:val="24"/>
                <w:szCs w:val="24"/>
              </w:rPr>
            </w:pPr>
            <w:r>
              <w:rPr>
                <w:rFonts w:hint="eastAsia" w:ascii="仿宋_GB2312" w:hAnsi="仿宋_GB2312" w:eastAsia="仿宋_GB2312" w:cs="仿宋_GB2312"/>
                <w:b/>
                <w:bCs/>
                <w:color w:val="auto"/>
                <w:sz w:val="24"/>
                <w:szCs w:val="24"/>
              </w:rPr>
              <w:t>五、其他要求</w:t>
            </w:r>
          </w:p>
        </w:tc>
      </w:tr>
      <w:tr w14:paraId="6CAB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88" w:type="dxa"/>
            <w:tcBorders>
              <w:top w:val="single" w:color="auto" w:sz="4" w:space="0"/>
              <w:left w:val="single" w:color="auto" w:sz="4" w:space="0"/>
              <w:bottom w:val="single" w:color="auto" w:sz="4" w:space="0"/>
              <w:right w:val="single" w:color="auto" w:sz="4" w:space="0"/>
            </w:tcBorders>
            <w:vAlign w:val="center"/>
          </w:tcPr>
          <w:p w14:paraId="13A67275">
            <w:pPr>
              <w:spacing w:line="400" w:lineRule="exact"/>
              <w:ind w:right="-107" w:rightChars="-51"/>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无</w:t>
            </w:r>
          </w:p>
        </w:tc>
        <w:tc>
          <w:tcPr>
            <w:tcW w:w="8032" w:type="dxa"/>
            <w:tcBorders>
              <w:top w:val="single" w:color="auto" w:sz="4" w:space="0"/>
              <w:left w:val="single" w:color="auto" w:sz="4" w:space="0"/>
              <w:bottom w:val="single" w:color="auto" w:sz="4" w:space="0"/>
              <w:right w:val="single" w:color="auto" w:sz="4" w:space="0"/>
            </w:tcBorders>
            <w:vAlign w:val="center"/>
          </w:tcPr>
          <w:p w14:paraId="7B0FEB04">
            <w:pPr>
              <w:spacing w:line="400" w:lineRule="exact"/>
              <w:ind w:right="27" w:rightChars="13"/>
              <w:jc w:val="left"/>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 xml:space="preserve"> </w:t>
            </w:r>
          </w:p>
        </w:tc>
      </w:tr>
    </w:tbl>
    <w:p w14:paraId="77F45F7A">
      <w:pPr>
        <w:spacing w:line="600" w:lineRule="exact"/>
        <w:jc w:val="left"/>
        <w:rPr>
          <w:rFonts w:ascii="仿宋_GB2312" w:hAnsi="仿宋_GB2312" w:eastAsia="仿宋_GB2312" w:cs="仿宋_GB2312"/>
          <w:b/>
          <w:bCs/>
          <w:color w:val="auto"/>
          <w:sz w:val="24"/>
        </w:rPr>
      </w:pPr>
    </w:p>
    <w:p w14:paraId="59ABFE52">
      <w:pPr>
        <w:spacing w:line="600" w:lineRule="exact"/>
        <w:jc w:val="left"/>
        <w:rPr>
          <w:rFonts w:ascii="仿宋_GB2312" w:hAnsi="仿宋_GB2312" w:eastAsia="仿宋_GB2312" w:cs="仿宋_GB2312"/>
          <w:b/>
          <w:bCs/>
          <w:color w:val="auto"/>
          <w:sz w:val="24"/>
        </w:rPr>
      </w:pPr>
    </w:p>
    <w:p w14:paraId="2C7D7A93">
      <w:pPr>
        <w:spacing w:line="600" w:lineRule="exact"/>
        <w:jc w:val="left"/>
        <w:rPr>
          <w:rFonts w:ascii="仿宋_GB2312" w:hAnsi="仿宋_GB2312" w:eastAsia="仿宋_GB2312" w:cs="仿宋_GB2312"/>
          <w:b/>
          <w:bCs/>
          <w:color w:val="auto"/>
          <w:sz w:val="24"/>
        </w:rPr>
      </w:pPr>
    </w:p>
    <w:p w14:paraId="7D4E78FD">
      <w:pPr>
        <w:spacing w:line="600" w:lineRule="exact"/>
        <w:jc w:val="left"/>
        <w:rPr>
          <w:rFonts w:ascii="仿宋_GB2312" w:hAnsi="仿宋_GB2312" w:eastAsia="仿宋_GB2312" w:cs="仿宋_GB2312"/>
          <w:b/>
          <w:bCs/>
          <w:color w:val="auto"/>
          <w:sz w:val="24"/>
        </w:rPr>
        <w:sectPr>
          <w:footerReference r:id="rId8" w:type="default"/>
          <w:pgSz w:w="11906" w:h="16838"/>
          <w:pgMar w:top="1440" w:right="1440" w:bottom="1440" w:left="1440" w:header="851" w:footer="992" w:gutter="0"/>
          <w:cols w:space="720" w:num="1"/>
          <w:docGrid w:linePitch="312" w:charSpace="0"/>
        </w:sectPr>
      </w:pPr>
    </w:p>
    <w:p w14:paraId="23F90F82">
      <w:pPr>
        <w:pStyle w:val="3"/>
        <w:spacing w:line="276" w:lineRule="auto"/>
        <w:jc w:val="center"/>
        <w:rPr>
          <w:color w:val="auto"/>
          <w:sz w:val="32"/>
          <w:szCs w:val="32"/>
        </w:rPr>
      </w:pPr>
      <w:bookmarkStart w:id="178" w:name="_Toc29711"/>
      <w:r>
        <w:rPr>
          <w:rFonts w:hint="eastAsia"/>
          <w:color w:val="auto"/>
          <w:sz w:val="32"/>
          <w:szCs w:val="32"/>
        </w:rPr>
        <w:t>第三章 投标人须知</w:t>
      </w:r>
      <w:bookmarkEnd w:id="178"/>
    </w:p>
    <w:p w14:paraId="0D64281A">
      <w:pPr>
        <w:spacing w:line="276" w:lineRule="auto"/>
        <w:jc w:val="center"/>
        <w:rPr>
          <w:rFonts w:ascii="仿宋_GB2312" w:eastAsia="仿宋_GB2312"/>
          <w:b/>
          <w:color w:val="auto"/>
          <w:sz w:val="28"/>
          <w:szCs w:val="28"/>
        </w:rPr>
      </w:pPr>
      <w:r>
        <w:rPr>
          <w:rFonts w:hint="eastAsia" w:ascii="仿宋_GB2312" w:eastAsia="仿宋_GB2312"/>
          <w:b/>
          <w:color w:val="auto"/>
          <w:sz w:val="28"/>
          <w:szCs w:val="28"/>
        </w:rPr>
        <w:t>前附表</w:t>
      </w:r>
    </w:p>
    <w:tbl>
      <w:tblPr>
        <w:tblStyle w:val="51"/>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1DDA5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499D8973">
            <w:pPr>
              <w:spacing w:line="400" w:lineRule="exact"/>
              <w:jc w:val="center"/>
              <w:rPr>
                <w:rFonts w:ascii="仿宋_GB2312" w:eastAsia="仿宋_GB2312"/>
                <w:b/>
                <w:color w:val="auto"/>
                <w:sz w:val="24"/>
              </w:rPr>
            </w:pPr>
            <w:r>
              <w:rPr>
                <w:rFonts w:hint="eastAsia" w:ascii="仿宋_GB2312" w:eastAsia="仿宋_GB2312"/>
                <w:b/>
                <w:color w:val="auto"/>
                <w:sz w:val="24"/>
              </w:rPr>
              <w:t>序号</w:t>
            </w:r>
          </w:p>
        </w:tc>
        <w:tc>
          <w:tcPr>
            <w:tcW w:w="8232" w:type="dxa"/>
          </w:tcPr>
          <w:p w14:paraId="37D56583">
            <w:pPr>
              <w:spacing w:line="400" w:lineRule="exact"/>
              <w:jc w:val="center"/>
              <w:rPr>
                <w:rFonts w:ascii="仿宋_GB2312" w:eastAsia="仿宋_GB2312"/>
                <w:b/>
                <w:color w:val="auto"/>
                <w:sz w:val="24"/>
              </w:rPr>
            </w:pPr>
            <w:r>
              <w:rPr>
                <w:rFonts w:hint="eastAsia" w:ascii="仿宋_GB2312" w:eastAsia="仿宋_GB2312"/>
                <w:b/>
                <w:color w:val="auto"/>
                <w:sz w:val="24"/>
              </w:rPr>
              <w:t>内    容</w:t>
            </w:r>
          </w:p>
        </w:tc>
      </w:tr>
      <w:tr w14:paraId="77BBE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6A0EBDE">
            <w:pPr>
              <w:spacing w:line="400" w:lineRule="exact"/>
              <w:jc w:val="center"/>
              <w:rPr>
                <w:rFonts w:ascii="仿宋_GB2312" w:eastAsia="仿宋_GB2312"/>
                <w:color w:val="auto"/>
                <w:sz w:val="24"/>
              </w:rPr>
            </w:pPr>
            <w:r>
              <w:rPr>
                <w:rFonts w:hint="eastAsia" w:ascii="仿宋_GB2312" w:eastAsia="仿宋_GB2312"/>
                <w:color w:val="auto"/>
                <w:sz w:val="24"/>
              </w:rPr>
              <w:t>1</w:t>
            </w:r>
          </w:p>
        </w:tc>
        <w:tc>
          <w:tcPr>
            <w:tcW w:w="8232" w:type="dxa"/>
            <w:vAlign w:val="center"/>
          </w:tcPr>
          <w:p w14:paraId="4EC16944">
            <w:pPr>
              <w:spacing w:line="400" w:lineRule="exact"/>
              <w:rPr>
                <w:rFonts w:ascii="仿宋_GB2312" w:eastAsia="仿宋_GB2312"/>
                <w:color w:val="auto"/>
                <w:sz w:val="24"/>
              </w:rPr>
            </w:pPr>
            <w:r>
              <w:rPr>
                <w:rFonts w:hint="eastAsia" w:ascii="仿宋_GB2312" w:eastAsia="仿宋_GB2312"/>
                <w:color w:val="auto"/>
                <w:sz w:val="24"/>
              </w:rPr>
              <w:t>项目名称：</w:t>
            </w:r>
            <w:r>
              <w:rPr>
                <w:rFonts w:ascii="仿宋_GB2312" w:hAnsi="宋体" w:eastAsia="仿宋_GB2312"/>
                <w:color w:val="auto"/>
                <w:sz w:val="24"/>
              </w:rPr>
              <w:t>柳州职业技术大学“新能源汽车数字商贸产教融合基地”软件部分采购</w:t>
            </w:r>
          </w:p>
          <w:p w14:paraId="0EB1E99A">
            <w:pPr>
              <w:spacing w:line="400" w:lineRule="exact"/>
              <w:rPr>
                <w:rFonts w:ascii="仿宋_GB2312" w:eastAsia="仿宋_GB2312"/>
                <w:color w:val="auto"/>
                <w:sz w:val="24"/>
              </w:rPr>
            </w:pPr>
            <w:r>
              <w:rPr>
                <w:rFonts w:hint="eastAsia" w:ascii="仿宋_GB2312" w:eastAsia="仿宋_GB2312"/>
                <w:color w:val="auto"/>
                <w:sz w:val="24"/>
              </w:rPr>
              <w:t>项目编号：</w:t>
            </w:r>
            <w:r>
              <w:rPr>
                <w:rFonts w:hint="eastAsia" w:ascii="仿宋_GB2312" w:hAnsi="宋体" w:eastAsia="仿宋_GB2312"/>
                <w:color w:val="auto"/>
                <w:sz w:val="24"/>
              </w:rPr>
              <w:t>LZZC2025-G1-990359-LZSZ</w:t>
            </w:r>
          </w:p>
        </w:tc>
      </w:tr>
      <w:tr w14:paraId="3E06E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5A7AD5D">
            <w:pPr>
              <w:spacing w:line="400" w:lineRule="exact"/>
              <w:jc w:val="center"/>
              <w:rPr>
                <w:rFonts w:ascii="仿宋_GB2312" w:eastAsia="仿宋_GB2312"/>
                <w:color w:val="auto"/>
                <w:sz w:val="24"/>
              </w:rPr>
            </w:pPr>
            <w:r>
              <w:rPr>
                <w:rFonts w:ascii="仿宋_GB2312" w:eastAsia="仿宋_GB2312"/>
                <w:color w:val="auto"/>
                <w:sz w:val="24"/>
              </w:rPr>
              <w:t>2</w:t>
            </w:r>
          </w:p>
        </w:tc>
        <w:tc>
          <w:tcPr>
            <w:tcW w:w="8232" w:type="dxa"/>
          </w:tcPr>
          <w:p w14:paraId="5410A466">
            <w:pPr>
              <w:autoSpaceDE w:val="0"/>
              <w:autoSpaceDN w:val="0"/>
              <w:spacing w:line="400" w:lineRule="exact"/>
              <w:textAlignment w:val="bottom"/>
              <w:rPr>
                <w:rFonts w:ascii="仿宋_GB2312" w:eastAsia="仿宋_GB2312"/>
                <w:color w:val="auto"/>
                <w:sz w:val="24"/>
              </w:rPr>
            </w:pPr>
            <w:r>
              <w:rPr>
                <w:rFonts w:hint="eastAsia" w:ascii="仿宋_GB2312" w:eastAsia="仿宋_GB2312"/>
                <w:color w:val="auto"/>
                <w:sz w:val="24"/>
              </w:rPr>
              <w:t>采购资金来源：财政性资金</w:t>
            </w:r>
          </w:p>
          <w:p w14:paraId="66475F64">
            <w:pPr>
              <w:spacing w:line="440" w:lineRule="exact"/>
              <w:rPr>
                <w:rFonts w:ascii="仿宋_GB2312" w:hAnsi="宋体" w:eastAsia="仿宋_GB2312"/>
                <w:color w:val="auto"/>
                <w:sz w:val="24"/>
              </w:rPr>
            </w:pPr>
            <w:r>
              <w:rPr>
                <w:rFonts w:hint="eastAsia" w:ascii="仿宋_GB2312" w:eastAsia="仿宋_GB2312"/>
                <w:color w:val="auto"/>
                <w:sz w:val="24"/>
              </w:rPr>
              <w:t>预算金额（人民币）：</w:t>
            </w:r>
          </w:p>
          <w:p w14:paraId="5CD13164">
            <w:pPr>
              <w:spacing w:line="440" w:lineRule="exact"/>
              <w:rPr>
                <w:rFonts w:ascii="仿宋_GB2312" w:hAnsi="宋体" w:eastAsia="仿宋_GB2312"/>
                <w:color w:val="auto"/>
                <w:sz w:val="24"/>
              </w:rPr>
            </w:pPr>
            <w:r>
              <w:rPr>
                <w:rFonts w:hint="eastAsia" w:ascii="仿宋_GB2312" w:hAnsi="宋体" w:eastAsia="仿宋_GB2312"/>
                <w:color w:val="auto"/>
                <w:sz w:val="24"/>
              </w:rPr>
              <w:t>分标1</w:t>
            </w:r>
            <w:r>
              <w:rPr>
                <w:rFonts w:ascii="仿宋_GB2312" w:hAnsi="宋体" w:eastAsia="仿宋_GB2312"/>
                <w:color w:val="auto"/>
                <w:sz w:val="24"/>
              </w:rPr>
              <w:t>：</w:t>
            </w:r>
            <w:r>
              <w:rPr>
                <w:rFonts w:hint="eastAsia" w:ascii="仿宋_GB2312" w:hAnsi="宋体" w:eastAsia="仿宋_GB2312"/>
                <w:color w:val="auto"/>
                <w:sz w:val="24"/>
              </w:rPr>
              <w:t>贰拾伍万元</w:t>
            </w:r>
            <w:r>
              <w:rPr>
                <w:rFonts w:ascii="仿宋_GB2312" w:hAnsi="宋体" w:eastAsia="仿宋_GB2312"/>
                <w:color w:val="auto"/>
                <w:sz w:val="24"/>
              </w:rPr>
              <w:t>整（¥</w:t>
            </w:r>
            <w:r>
              <w:rPr>
                <w:rFonts w:hint="eastAsia" w:ascii="仿宋_GB2312" w:hAnsi="宋体" w:eastAsia="仿宋_GB2312"/>
                <w:color w:val="auto"/>
                <w:sz w:val="24"/>
              </w:rPr>
              <w:t>25</w:t>
            </w:r>
            <w:r>
              <w:rPr>
                <w:rFonts w:ascii="仿宋_GB2312" w:hAnsi="宋体" w:eastAsia="仿宋_GB2312"/>
                <w:color w:val="auto"/>
                <w:sz w:val="24"/>
              </w:rPr>
              <w:t>0,</w:t>
            </w:r>
            <w:r>
              <w:rPr>
                <w:rFonts w:hint="eastAsia" w:ascii="仿宋_GB2312" w:hAnsi="宋体" w:eastAsia="仿宋_GB2312"/>
                <w:color w:val="auto"/>
                <w:sz w:val="24"/>
              </w:rPr>
              <w:t>0</w:t>
            </w:r>
            <w:r>
              <w:rPr>
                <w:rFonts w:ascii="仿宋_GB2312" w:hAnsi="宋体" w:eastAsia="仿宋_GB2312"/>
                <w:color w:val="auto"/>
                <w:sz w:val="24"/>
              </w:rPr>
              <w:t>00.00）；</w:t>
            </w:r>
            <w:r>
              <w:rPr>
                <w:rFonts w:ascii="仿宋_GB2312" w:hAnsi="宋体" w:eastAsia="仿宋_GB2312"/>
                <w:color w:val="auto"/>
                <w:sz w:val="24"/>
              </w:rPr>
              <w:br w:type="textWrapping"/>
            </w:r>
            <w:r>
              <w:rPr>
                <w:rFonts w:hint="eastAsia" w:ascii="仿宋_GB2312" w:hAnsi="宋体" w:eastAsia="仿宋_GB2312"/>
                <w:color w:val="auto"/>
                <w:sz w:val="24"/>
              </w:rPr>
              <w:t>分标</w:t>
            </w:r>
            <w:r>
              <w:rPr>
                <w:rFonts w:hint="eastAsia" w:ascii="仿宋_GB2312" w:hAnsi="宋体" w:eastAsia="仿宋_GB2312"/>
                <w:color w:val="auto"/>
                <w:sz w:val="24"/>
                <w:lang w:val="en-US" w:eastAsia="zh-CN"/>
              </w:rPr>
              <w:t>2</w:t>
            </w:r>
            <w:r>
              <w:rPr>
                <w:rFonts w:ascii="仿宋_GB2312" w:hAnsi="宋体" w:eastAsia="仿宋_GB2312"/>
                <w:color w:val="auto"/>
                <w:sz w:val="24"/>
              </w:rPr>
              <w:t>：</w:t>
            </w:r>
            <w:r>
              <w:rPr>
                <w:rFonts w:hint="eastAsia" w:ascii="仿宋_GB2312" w:hAnsi="宋体" w:eastAsia="仿宋_GB2312"/>
                <w:color w:val="auto"/>
                <w:sz w:val="24"/>
              </w:rPr>
              <w:t>贰拾壹万元</w:t>
            </w:r>
            <w:r>
              <w:rPr>
                <w:rFonts w:ascii="仿宋_GB2312" w:hAnsi="宋体" w:eastAsia="仿宋_GB2312"/>
                <w:color w:val="auto"/>
                <w:sz w:val="24"/>
              </w:rPr>
              <w:t>整（¥</w:t>
            </w:r>
            <w:r>
              <w:rPr>
                <w:rFonts w:hint="eastAsia" w:ascii="仿宋_GB2312" w:hAnsi="宋体" w:eastAsia="仿宋_GB2312"/>
                <w:color w:val="auto"/>
                <w:sz w:val="24"/>
              </w:rPr>
              <w:t>21</w:t>
            </w:r>
            <w:r>
              <w:rPr>
                <w:rFonts w:ascii="仿宋_GB2312" w:hAnsi="宋体" w:eastAsia="仿宋_GB2312"/>
                <w:color w:val="auto"/>
                <w:sz w:val="24"/>
              </w:rPr>
              <w:t>0,</w:t>
            </w:r>
            <w:r>
              <w:rPr>
                <w:rFonts w:hint="eastAsia" w:ascii="仿宋_GB2312" w:hAnsi="宋体" w:eastAsia="仿宋_GB2312"/>
                <w:color w:val="auto"/>
                <w:sz w:val="24"/>
              </w:rPr>
              <w:t>0</w:t>
            </w:r>
            <w:r>
              <w:rPr>
                <w:rFonts w:ascii="仿宋_GB2312" w:hAnsi="宋体" w:eastAsia="仿宋_GB2312"/>
                <w:color w:val="auto"/>
                <w:sz w:val="24"/>
              </w:rPr>
              <w:t>00.00）；</w:t>
            </w:r>
          </w:p>
          <w:p w14:paraId="1ED706F8">
            <w:pPr>
              <w:spacing w:line="440" w:lineRule="exact"/>
              <w:rPr>
                <w:rFonts w:ascii="仿宋_GB2312" w:hAnsi="宋体" w:eastAsia="仿宋_GB2312"/>
                <w:color w:val="auto"/>
                <w:sz w:val="24"/>
              </w:rPr>
            </w:pPr>
            <w:r>
              <w:rPr>
                <w:rFonts w:hint="eastAsia" w:ascii="仿宋_GB2312" w:hAnsi="宋体" w:eastAsia="仿宋_GB2312"/>
                <w:color w:val="auto"/>
                <w:sz w:val="24"/>
              </w:rPr>
              <w:t>分标</w:t>
            </w:r>
            <w:r>
              <w:rPr>
                <w:rFonts w:hint="eastAsia" w:ascii="仿宋_GB2312" w:hAnsi="宋体" w:eastAsia="仿宋_GB2312"/>
                <w:color w:val="auto"/>
                <w:sz w:val="24"/>
                <w:lang w:val="en-US" w:eastAsia="zh-CN"/>
              </w:rPr>
              <w:t>3</w:t>
            </w:r>
            <w:r>
              <w:rPr>
                <w:rFonts w:ascii="仿宋_GB2312" w:hAnsi="宋体" w:eastAsia="仿宋_GB2312"/>
                <w:color w:val="auto"/>
                <w:sz w:val="24"/>
              </w:rPr>
              <w:t>：</w:t>
            </w:r>
            <w:r>
              <w:rPr>
                <w:rFonts w:hint="eastAsia" w:ascii="仿宋_GB2312" w:hAnsi="宋体" w:eastAsia="仿宋_GB2312"/>
                <w:color w:val="auto"/>
                <w:sz w:val="24"/>
              </w:rPr>
              <w:t>伍拾万元</w:t>
            </w:r>
            <w:r>
              <w:rPr>
                <w:rFonts w:ascii="仿宋_GB2312" w:hAnsi="宋体" w:eastAsia="仿宋_GB2312"/>
                <w:color w:val="auto"/>
                <w:sz w:val="24"/>
              </w:rPr>
              <w:t>整（¥</w:t>
            </w:r>
            <w:r>
              <w:rPr>
                <w:rFonts w:hint="eastAsia" w:ascii="仿宋_GB2312" w:hAnsi="宋体" w:eastAsia="仿宋_GB2312"/>
                <w:color w:val="auto"/>
                <w:sz w:val="24"/>
              </w:rPr>
              <w:t>50</w:t>
            </w:r>
            <w:r>
              <w:rPr>
                <w:rFonts w:ascii="仿宋_GB2312" w:hAnsi="宋体" w:eastAsia="仿宋_GB2312"/>
                <w:color w:val="auto"/>
                <w:sz w:val="24"/>
              </w:rPr>
              <w:t>0,</w:t>
            </w:r>
            <w:r>
              <w:rPr>
                <w:rFonts w:hint="eastAsia" w:ascii="仿宋_GB2312" w:hAnsi="宋体" w:eastAsia="仿宋_GB2312"/>
                <w:color w:val="auto"/>
                <w:sz w:val="24"/>
              </w:rPr>
              <w:t>0</w:t>
            </w:r>
            <w:r>
              <w:rPr>
                <w:rFonts w:ascii="仿宋_GB2312" w:hAnsi="宋体" w:eastAsia="仿宋_GB2312"/>
                <w:color w:val="auto"/>
                <w:sz w:val="24"/>
              </w:rPr>
              <w:t>00.00）；</w:t>
            </w:r>
          </w:p>
          <w:p w14:paraId="08488705">
            <w:pPr>
              <w:spacing w:line="440" w:lineRule="exact"/>
              <w:rPr>
                <w:rFonts w:ascii="仿宋_GB2312" w:eastAsia="仿宋_GB2312"/>
                <w:color w:val="auto"/>
                <w:sz w:val="24"/>
              </w:rPr>
            </w:pPr>
            <w:r>
              <w:rPr>
                <w:rFonts w:hint="eastAsia" w:ascii="仿宋_GB2312" w:hAnsi="宋体" w:eastAsia="仿宋_GB2312"/>
                <w:color w:val="auto"/>
                <w:sz w:val="24"/>
              </w:rPr>
              <w:t>分标</w:t>
            </w:r>
            <w:r>
              <w:rPr>
                <w:rFonts w:hint="eastAsia" w:ascii="仿宋_GB2312" w:hAnsi="宋体" w:eastAsia="仿宋_GB2312"/>
                <w:color w:val="auto"/>
                <w:sz w:val="24"/>
                <w:lang w:val="en-US" w:eastAsia="zh-CN"/>
              </w:rPr>
              <w:t>4</w:t>
            </w:r>
            <w:r>
              <w:rPr>
                <w:rFonts w:ascii="仿宋_GB2312" w:hAnsi="宋体" w:eastAsia="仿宋_GB2312"/>
                <w:color w:val="auto"/>
                <w:sz w:val="24"/>
              </w:rPr>
              <w:t>：</w:t>
            </w:r>
            <w:r>
              <w:rPr>
                <w:rFonts w:hint="eastAsia" w:ascii="仿宋_GB2312" w:hAnsi="宋体" w:eastAsia="仿宋_GB2312"/>
                <w:color w:val="auto"/>
                <w:sz w:val="24"/>
              </w:rPr>
              <w:t>叁拾万元</w:t>
            </w:r>
            <w:r>
              <w:rPr>
                <w:rFonts w:ascii="仿宋_GB2312" w:hAnsi="宋体" w:eastAsia="仿宋_GB2312"/>
                <w:color w:val="auto"/>
                <w:sz w:val="24"/>
              </w:rPr>
              <w:t>整（¥</w:t>
            </w:r>
            <w:r>
              <w:rPr>
                <w:rFonts w:hint="eastAsia" w:ascii="仿宋_GB2312" w:hAnsi="宋体" w:eastAsia="仿宋_GB2312"/>
                <w:color w:val="auto"/>
                <w:sz w:val="24"/>
              </w:rPr>
              <w:t>30</w:t>
            </w:r>
            <w:r>
              <w:rPr>
                <w:rFonts w:ascii="仿宋_GB2312" w:hAnsi="宋体" w:eastAsia="仿宋_GB2312"/>
                <w:color w:val="auto"/>
                <w:sz w:val="24"/>
              </w:rPr>
              <w:t>0,</w:t>
            </w:r>
            <w:r>
              <w:rPr>
                <w:rFonts w:hint="eastAsia" w:ascii="仿宋_GB2312" w:hAnsi="宋体" w:eastAsia="仿宋_GB2312"/>
                <w:color w:val="auto"/>
                <w:sz w:val="24"/>
              </w:rPr>
              <w:t>0</w:t>
            </w:r>
            <w:r>
              <w:rPr>
                <w:rFonts w:ascii="仿宋_GB2312" w:hAnsi="宋体" w:eastAsia="仿宋_GB2312"/>
                <w:color w:val="auto"/>
                <w:sz w:val="24"/>
              </w:rPr>
              <w:t>00.00）；</w:t>
            </w:r>
            <w:r>
              <w:rPr>
                <w:rFonts w:ascii="仿宋_GB2312" w:hAnsi="宋体" w:eastAsia="仿宋_GB2312"/>
                <w:color w:val="auto"/>
                <w:sz w:val="24"/>
              </w:rPr>
              <w:br w:type="textWrapping"/>
            </w:r>
            <w:r>
              <w:rPr>
                <w:rFonts w:hint="eastAsia" w:ascii="仿宋_GB2312" w:hAnsi="宋体" w:eastAsia="仿宋_GB2312"/>
                <w:color w:val="auto"/>
                <w:sz w:val="24"/>
              </w:rPr>
              <w:t>分标</w:t>
            </w:r>
            <w:r>
              <w:rPr>
                <w:rFonts w:hint="eastAsia" w:ascii="仿宋_GB2312" w:hAnsi="宋体" w:eastAsia="仿宋_GB2312"/>
                <w:color w:val="auto"/>
                <w:sz w:val="24"/>
                <w:lang w:val="en-US" w:eastAsia="zh-CN"/>
              </w:rPr>
              <w:t>5</w:t>
            </w:r>
            <w:r>
              <w:rPr>
                <w:rFonts w:ascii="仿宋_GB2312" w:hAnsi="宋体" w:eastAsia="仿宋_GB2312"/>
                <w:color w:val="auto"/>
                <w:sz w:val="24"/>
              </w:rPr>
              <w:t>：</w:t>
            </w:r>
            <w:r>
              <w:rPr>
                <w:rFonts w:hint="eastAsia" w:ascii="仿宋_GB2312" w:hAnsi="宋体" w:eastAsia="仿宋_GB2312"/>
                <w:color w:val="auto"/>
                <w:sz w:val="24"/>
              </w:rPr>
              <w:t>叁拾玖万元</w:t>
            </w:r>
            <w:r>
              <w:rPr>
                <w:rFonts w:ascii="仿宋_GB2312" w:hAnsi="宋体" w:eastAsia="仿宋_GB2312"/>
                <w:color w:val="auto"/>
                <w:sz w:val="24"/>
              </w:rPr>
              <w:t>整（¥</w:t>
            </w:r>
            <w:r>
              <w:rPr>
                <w:rFonts w:hint="eastAsia" w:ascii="仿宋_GB2312" w:hAnsi="宋体" w:eastAsia="仿宋_GB2312"/>
                <w:color w:val="auto"/>
                <w:sz w:val="24"/>
              </w:rPr>
              <w:t>39</w:t>
            </w:r>
            <w:r>
              <w:rPr>
                <w:rFonts w:ascii="仿宋_GB2312" w:hAnsi="宋体" w:eastAsia="仿宋_GB2312"/>
                <w:color w:val="auto"/>
                <w:sz w:val="24"/>
              </w:rPr>
              <w:t>0,</w:t>
            </w:r>
            <w:r>
              <w:rPr>
                <w:rFonts w:hint="eastAsia" w:ascii="仿宋_GB2312" w:hAnsi="宋体" w:eastAsia="仿宋_GB2312"/>
                <w:color w:val="auto"/>
                <w:sz w:val="24"/>
              </w:rPr>
              <w:t>0</w:t>
            </w:r>
            <w:r>
              <w:rPr>
                <w:rFonts w:ascii="仿宋_GB2312" w:hAnsi="宋体" w:eastAsia="仿宋_GB2312"/>
                <w:color w:val="auto"/>
                <w:sz w:val="24"/>
              </w:rPr>
              <w:t>00.00）。</w:t>
            </w:r>
          </w:p>
        </w:tc>
      </w:tr>
      <w:tr w14:paraId="7D31D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929AACA">
            <w:pPr>
              <w:spacing w:line="400" w:lineRule="exact"/>
              <w:jc w:val="center"/>
              <w:rPr>
                <w:rFonts w:ascii="仿宋_GB2312" w:eastAsia="仿宋_GB2312"/>
                <w:color w:val="auto"/>
                <w:sz w:val="24"/>
              </w:rPr>
            </w:pPr>
            <w:r>
              <w:rPr>
                <w:rFonts w:ascii="仿宋_GB2312" w:eastAsia="仿宋_GB2312"/>
                <w:color w:val="auto"/>
                <w:sz w:val="24"/>
              </w:rPr>
              <w:t>3</w:t>
            </w:r>
          </w:p>
        </w:tc>
        <w:tc>
          <w:tcPr>
            <w:tcW w:w="8232" w:type="dxa"/>
            <w:vAlign w:val="center"/>
          </w:tcPr>
          <w:p w14:paraId="5E517DF0">
            <w:pPr>
              <w:spacing w:line="400" w:lineRule="exact"/>
              <w:rPr>
                <w:rFonts w:ascii="仿宋_GB2312" w:eastAsia="仿宋_GB2312"/>
                <w:color w:val="auto"/>
                <w:sz w:val="24"/>
              </w:rPr>
            </w:pPr>
            <w:r>
              <w:rPr>
                <w:rFonts w:hint="eastAsia" w:ascii="仿宋_GB2312" w:eastAsia="仿宋_GB2312"/>
                <w:color w:val="auto"/>
                <w:sz w:val="24"/>
              </w:rPr>
              <w:t>投标报价及费用：</w:t>
            </w:r>
          </w:p>
          <w:p w14:paraId="53CCF91A">
            <w:pPr>
              <w:spacing w:line="400" w:lineRule="exact"/>
              <w:rPr>
                <w:rFonts w:ascii="仿宋_GB2312" w:eastAsia="仿宋_GB2312"/>
                <w:color w:val="auto"/>
                <w:sz w:val="24"/>
              </w:rPr>
            </w:pPr>
            <w:r>
              <w:rPr>
                <w:rFonts w:hint="eastAsia" w:ascii="仿宋_GB2312" w:eastAsia="仿宋_GB2312"/>
                <w:color w:val="auto"/>
                <w:sz w:val="24"/>
              </w:rPr>
              <w:t>1.本项目投标应以人民币报价；</w:t>
            </w:r>
          </w:p>
          <w:p w14:paraId="2E826FB3">
            <w:pPr>
              <w:spacing w:line="400" w:lineRule="exact"/>
              <w:rPr>
                <w:rFonts w:ascii="仿宋_GB2312" w:eastAsia="仿宋_GB2312"/>
                <w:color w:val="auto"/>
                <w:sz w:val="24"/>
              </w:rPr>
            </w:pPr>
            <w:r>
              <w:rPr>
                <w:rFonts w:hint="eastAsia" w:ascii="仿宋_GB2312" w:eastAsia="仿宋_GB2312"/>
                <w:color w:val="auto"/>
                <w:sz w:val="24"/>
              </w:rPr>
              <w:t>2.不论投标结果如何，投标人均应自行承担所有与投标有关的全部费用；</w:t>
            </w:r>
          </w:p>
          <w:p w14:paraId="7DA40136">
            <w:pPr>
              <w:spacing w:line="400" w:lineRule="exact"/>
              <w:rPr>
                <w:rFonts w:ascii="仿宋_GB2312" w:eastAsia="仿宋_GB2312"/>
                <w:color w:val="auto"/>
                <w:sz w:val="24"/>
              </w:rPr>
            </w:pPr>
            <w:r>
              <w:rPr>
                <w:rFonts w:hint="eastAsia" w:ascii="仿宋_GB2312" w:eastAsia="仿宋_GB2312"/>
                <w:color w:val="auto"/>
                <w:sz w:val="24"/>
              </w:rPr>
              <w:t>3.本次招标文件和代理服务费用全免。</w:t>
            </w:r>
          </w:p>
        </w:tc>
      </w:tr>
      <w:tr w14:paraId="7D64D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4CF0D43E">
            <w:pPr>
              <w:spacing w:line="400" w:lineRule="exact"/>
              <w:jc w:val="center"/>
              <w:rPr>
                <w:rFonts w:ascii="仿宋_GB2312" w:eastAsia="仿宋_GB2312"/>
                <w:color w:val="auto"/>
                <w:sz w:val="24"/>
              </w:rPr>
            </w:pPr>
            <w:r>
              <w:rPr>
                <w:rFonts w:ascii="仿宋_GB2312" w:eastAsia="仿宋_GB2312"/>
                <w:color w:val="auto"/>
                <w:sz w:val="24"/>
              </w:rPr>
              <w:t>4</w:t>
            </w:r>
          </w:p>
        </w:tc>
        <w:tc>
          <w:tcPr>
            <w:tcW w:w="8232" w:type="dxa"/>
            <w:vAlign w:val="center"/>
          </w:tcPr>
          <w:p w14:paraId="340901C0">
            <w:pPr>
              <w:spacing w:line="400" w:lineRule="exact"/>
              <w:rPr>
                <w:rFonts w:ascii="仿宋_GB2312" w:eastAsia="仿宋_GB2312"/>
                <w:color w:val="auto"/>
                <w:sz w:val="24"/>
              </w:rPr>
            </w:pPr>
            <w:r>
              <w:rPr>
                <w:rFonts w:hint="eastAsia" w:ascii="仿宋_GB2312" w:eastAsia="仿宋_GB2312"/>
                <w:color w:val="auto"/>
                <w:sz w:val="24"/>
              </w:rPr>
              <w:t>投标保证金为：本项目无需提交投标保证金。</w:t>
            </w:r>
          </w:p>
        </w:tc>
      </w:tr>
      <w:tr w14:paraId="721B2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F551C14">
            <w:pPr>
              <w:spacing w:line="400" w:lineRule="exact"/>
              <w:jc w:val="center"/>
              <w:rPr>
                <w:rFonts w:ascii="仿宋_GB2312" w:eastAsia="仿宋_GB2312"/>
                <w:color w:val="auto"/>
                <w:sz w:val="24"/>
              </w:rPr>
            </w:pPr>
            <w:r>
              <w:rPr>
                <w:rFonts w:ascii="仿宋_GB2312" w:eastAsia="仿宋_GB2312"/>
                <w:color w:val="auto"/>
                <w:sz w:val="24"/>
              </w:rPr>
              <w:t>5</w:t>
            </w:r>
          </w:p>
        </w:tc>
        <w:tc>
          <w:tcPr>
            <w:tcW w:w="8232" w:type="dxa"/>
            <w:vAlign w:val="center"/>
          </w:tcPr>
          <w:p w14:paraId="624B707D">
            <w:pPr>
              <w:spacing w:line="400" w:lineRule="exact"/>
              <w:rPr>
                <w:rFonts w:ascii="仿宋_GB2312" w:eastAsia="仿宋_GB2312"/>
                <w:color w:val="auto"/>
                <w:sz w:val="24"/>
              </w:rPr>
            </w:pPr>
            <w:r>
              <w:rPr>
                <w:rFonts w:hint="eastAsia" w:ascii="仿宋_GB2312" w:hAnsi="宋体" w:eastAsia="仿宋_GB2312"/>
                <w:color w:val="auto"/>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color w:val="auto"/>
                <w:sz w:val="24"/>
              </w:rPr>
              <w:t>招标文件提供期限，并在财政部门指定的政府采购信息发布媒体上发布公告。</w:t>
            </w:r>
          </w:p>
        </w:tc>
      </w:tr>
      <w:tr w14:paraId="41A50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42900EE">
            <w:pPr>
              <w:spacing w:line="400" w:lineRule="exact"/>
              <w:jc w:val="center"/>
              <w:rPr>
                <w:rFonts w:ascii="仿宋_GB2312" w:eastAsia="仿宋_GB2312"/>
                <w:color w:val="auto"/>
                <w:sz w:val="24"/>
              </w:rPr>
            </w:pPr>
            <w:r>
              <w:rPr>
                <w:rFonts w:hint="eastAsia" w:ascii="仿宋_GB2312" w:eastAsia="仿宋_GB2312"/>
                <w:color w:val="auto"/>
                <w:sz w:val="24"/>
              </w:rPr>
              <w:t>6</w:t>
            </w:r>
          </w:p>
        </w:tc>
        <w:tc>
          <w:tcPr>
            <w:tcW w:w="8232" w:type="dxa"/>
            <w:vAlign w:val="center"/>
          </w:tcPr>
          <w:p w14:paraId="2442A1D1">
            <w:pPr>
              <w:pStyle w:val="542"/>
              <w:spacing w:before="0" w:beforeAutospacing="0" w:after="0" w:afterAutospacing="0" w:line="460" w:lineRule="atLeast"/>
              <w:rPr>
                <w:rFonts w:ascii="仿宋_GB2312" w:eastAsia="仿宋_GB2312"/>
                <w:color w:val="auto"/>
              </w:rPr>
            </w:pPr>
            <w:r>
              <w:rPr>
                <w:rStyle w:val="543"/>
                <w:rFonts w:hint="eastAsia" w:ascii="仿宋_GB2312" w:eastAsia="仿宋_GB2312"/>
                <w:color w:val="auto"/>
              </w:rPr>
              <w:t>本项目属于专门面向中小企业采购的项目，监狱企业、残疾人福利单位视同小型、微型企业：</w:t>
            </w:r>
            <w:r>
              <w:rPr>
                <w:rFonts w:hint="eastAsia" w:ascii="仿宋_GB2312" w:eastAsia="仿宋_GB2312"/>
                <w:color w:val="auto"/>
              </w:rPr>
              <w:br w:type="textWrapping"/>
            </w:r>
            <w:r>
              <w:rPr>
                <w:rFonts w:hint="eastAsia" w:ascii="仿宋_GB2312" w:eastAsia="仿宋_GB2312"/>
                <w:color w:val="auto"/>
              </w:rPr>
              <w:t>1.</w:t>
            </w:r>
            <w:r>
              <w:rPr>
                <w:rStyle w:val="543"/>
                <w:rFonts w:hint="eastAsia" w:ascii="仿宋_GB2312" w:eastAsia="仿宋_GB2312"/>
                <w:color w:val="auto"/>
              </w:rPr>
              <w:t>中小</w:t>
            </w:r>
            <w:r>
              <w:rPr>
                <w:rFonts w:hint="eastAsia" w:ascii="仿宋_GB2312" w:eastAsia="仿宋_GB2312"/>
                <w:color w:val="auto"/>
              </w:rPr>
              <w:t>企业以投标人填写的《中小企业声明函》为判定标准（格式见公开招标文件第六章）；</w:t>
            </w:r>
            <w:r>
              <w:rPr>
                <w:rFonts w:hint="eastAsia" w:ascii="仿宋_GB2312" w:eastAsia="仿宋_GB2312"/>
                <w:color w:val="auto"/>
              </w:rPr>
              <w:br w:type="textWrapping"/>
            </w:r>
            <w:r>
              <w:rPr>
                <w:rFonts w:hint="eastAsia" w:ascii="仿宋_GB2312" w:eastAsia="仿宋_GB2312"/>
                <w:color w:val="auto"/>
              </w:rPr>
              <w:t>2.残疾人福利性单位以投标人提供的《残疾人福利性单位声明函》为判定标准（格式见公开招标文件第六章）；</w:t>
            </w:r>
            <w:r>
              <w:rPr>
                <w:rFonts w:hint="eastAsia" w:ascii="仿宋_GB2312" w:eastAsia="仿宋_GB2312"/>
                <w:color w:val="auto"/>
              </w:rPr>
              <w:br w:type="textWrapping"/>
            </w:r>
            <w:r>
              <w:rPr>
                <w:rFonts w:hint="eastAsia" w:ascii="仿宋_GB2312" w:eastAsia="仿宋_GB2312"/>
                <w:color w:val="auto"/>
              </w:rPr>
              <w:t>3.监狱企业以投标人提供由省级以上监狱管理局、戒毒管理局（含新疆生产建设兵团）出具的属于监狱企业的证明文件为判定标准。</w:t>
            </w:r>
          </w:p>
        </w:tc>
      </w:tr>
      <w:tr w14:paraId="483D4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CF426D7">
            <w:pPr>
              <w:spacing w:line="400" w:lineRule="exact"/>
              <w:jc w:val="center"/>
              <w:rPr>
                <w:rFonts w:ascii="仿宋_GB2312" w:eastAsia="仿宋_GB2312"/>
                <w:color w:val="auto"/>
                <w:sz w:val="24"/>
              </w:rPr>
            </w:pPr>
            <w:r>
              <w:rPr>
                <w:rFonts w:hint="eastAsia" w:ascii="仿宋_GB2312" w:eastAsia="仿宋_GB2312"/>
                <w:color w:val="auto"/>
                <w:sz w:val="24"/>
              </w:rPr>
              <w:t>7</w:t>
            </w:r>
          </w:p>
        </w:tc>
        <w:tc>
          <w:tcPr>
            <w:tcW w:w="8232" w:type="dxa"/>
            <w:vAlign w:val="center"/>
          </w:tcPr>
          <w:p w14:paraId="13D43F53">
            <w:pPr>
              <w:pStyle w:val="563"/>
              <w:spacing w:before="0" w:beforeAutospacing="0" w:after="0" w:afterAutospacing="0" w:line="460" w:lineRule="atLeast"/>
              <w:rPr>
                <w:rFonts w:ascii="仿宋_GB2312" w:eastAsia="仿宋_GB2312"/>
                <w:color w:val="auto"/>
              </w:rPr>
            </w:pPr>
            <w:r>
              <w:rPr>
                <w:rStyle w:val="564"/>
                <w:rFonts w:hint="eastAsia" w:ascii="仿宋_GB2312" w:eastAsia="仿宋_GB2312"/>
                <w:color w:val="auto"/>
              </w:rPr>
              <w:t>电子投标文件：</w:t>
            </w:r>
            <w:r>
              <w:rPr>
                <w:rFonts w:hint="eastAsia" w:ascii="仿宋_GB2312" w:eastAsia="仿宋_GB2312"/>
                <w:b/>
                <w:bCs/>
                <w:color w:val="auto"/>
              </w:rPr>
              <w:br w:type="textWrapping"/>
            </w:r>
            <w:r>
              <w:rPr>
                <w:rStyle w:val="564"/>
                <w:rFonts w:hint="eastAsia" w:ascii="仿宋_GB2312" w:eastAsia="仿宋_GB2312"/>
                <w:color w:val="auto"/>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auto"/>
              </w:rPr>
              <w:br w:type="textWrapping"/>
            </w:r>
            <w:r>
              <w:rPr>
                <w:rStyle w:val="564"/>
                <w:rFonts w:hint="eastAsia" w:ascii="仿宋_GB2312" w:eastAsia="仿宋_GB2312"/>
                <w:color w:val="auto"/>
              </w:rPr>
              <w:t>2.未按规定传输提交电子投标文件的将被广西政府采购云平台拒绝。</w:t>
            </w:r>
            <w:r>
              <w:rPr>
                <w:rFonts w:hint="eastAsia" w:ascii="仿宋_GB2312" w:eastAsia="仿宋_GB2312"/>
                <w:b/>
                <w:bCs/>
                <w:color w:val="auto"/>
              </w:rPr>
              <w:br w:type="textWrapping"/>
            </w:r>
            <w:r>
              <w:rPr>
                <w:rStyle w:val="564"/>
                <w:rFonts w:hint="eastAsia" w:ascii="仿宋_GB2312" w:eastAsia="仿宋_GB2312"/>
                <w:color w:val="auto"/>
              </w:rPr>
              <w:t>3.电子投标文件成功提交后，投标人可自行打印投标文件接收回执。</w:t>
            </w:r>
          </w:p>
        </w:tc>
      </w:tr>
      <w:tr w14:paraId="6A2A6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429E59D">
            <w:pPr>
              <w:spacing w:line="400" w:lineRule="exact"/>
              <w:jc w:val="center"/>
              <w:rPr>
                <w:rFonts w:ascii="仿宋_GB2312" w:eastAsia="仿宋_GB2312"/>
                <w:color w:val="auto"/>
                <w:sz w:val="24"/>
              </w:rPr>
            </w:pPr>
            <w:r>
              <w:rPr>
                <w:rFonts w:hint="eastAsia" w:ascii="仿宋_GB2312" w:eastAsia="仿宋_GB2312"/>
                <w:color w:val="auto"/>
                <w:sz w:val="24"/>
              </w:rPr>
              <w:t>8</w:t>
            </w:r>
          </w:p>
        </w:tc>
        <w:tc>
          <w:tcPr>
            <w:tcW w:w="8232" w:type="dxa"/>
            <w:vAlign w:val="center"/>
          </w:tcPr>
          <w:p w14:paraId="7CEA42E8">
            <w:pPr>
              <w:pStyle w:val="584"/>
              <w:spacing w:before="0" w:beforeAutospacing="0" w:after="0" w:afterAutospacing="0" w:line="460" w:lineRule="atLeast"/>
              <w:rPr>
                <w:rFonts w:ascii="仿宋_GB2312" w:eastAsia="仿宋_GB2312"/>
                <w:color w:val="auto"/>
              </w:rPr>
            </w:pPr>
            <w:r>
              <w:rPr>
                <w:rFonts w:hint="eastAsia" w:ascii="仿宋_GB2312" w:eastAsia="仿宋_GB2312"/>
                <w:color w:val="auto"/>
              </w:rPr>
              <w:t>投标文件提交截止时间及地点：详见公开招标公告。</w:t>
            </w:r>
          </w:p>
        </w:tc>
      </w:tr>
      <w:tr w14:paraId="135CC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E8B5C23">
            <w:pPr>
              <w:spacing w:line="400" w:lineRule="exact"/>
              <w:jc w:val="center"/>
              <w:rPr>
                <w:rFonts w:ascii="仿宋_GB2312" w:eastAsia="仿宋_GB2312"/>
                <w:color w:val="auto"/>
                <w:sz w:val="24"/>
              </w:rPr>
            </w:pPr>
            <w:r>
              <w:rPr>
                <w:rFonts w:hint="eastAsia" w:ascii="仿宋_GB2312" w:eastAsia="仿宋_GB2312"/>
                <w:color w:val="auto"/>
                <w:sz w:val="24"/>
              </w:rPr>
              <w:t>9</w:t>
            </w:r>
          </w:p>
        </w:tc>
        <w:tc>
          <w:tcPr>
            <w:tcW w:w="8232" w:type="dxa"/>
            <w:vAlign w:val="center"/>
          </w:tcPr>
          <w:p w14:paraId="19043C74">
            <w:pPr>
              <w:pStyle w:val="604"/>
              <w:spacing w:before="0" w:beforeAutospacing="0" w:after="0" w:afterAutospacing="0" w:line="460" w:lineRule="atLeast"/>
              <w:rPr>
                <w:rFonts w:ascii="仿宋_GB2312" w:eastAsia="仿宋_GB2312"/>
                <w:color w:val="auto"/>
              </w:rPr>
            </w:pPr>
            <w:r>
              <w:rPr>
                <w:rFonts w:hint="eastAsia" w:ascii="仿宋_GB2312" w:eastAsia="仿宋_GB2312"/>
                <w:color w:val="auto"/>
              </w:rPr>
              <w:t>开标时间：详见公开招标公告。</w:t>
            </w:r>
          </w:p>
        </w:tc>
      </w:tr>
      <w:tr w14:paraId="55B29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32DCB91">
            <w:pPr>
              <w:spacing w:line="400" w:lineRule="exact"/>
              <w:jc w:val="center"/>
              <w:rPr>
                <w:rFonts w:ascii="仿宋_GB2312" w:eastAsia="仿宋_GB2312"/>
                <w:color w:val="auto"/>
                <w:sz w:val="24"/>
              </w:rPr>
            </w:pPr>
            <w:r>
              <w:rPr>
                <w:rFonts w:hint="eastAsia" w:ascii="仿宋_GB2312" w:eastAsia="仿宋_GB2312"/>
                <w:color w:val="auto"/>
                <w:sz w:val="24"/>
              </w:rPr>
              <w:t>10</w:t>
            </w:r>
          </w:p>
        </w:tc>
        <w:tc>
          <w:tcPr>
            <w:tcW w:w="8232" w:type="dxa"/>
            <w:vAlign w:val="center"/>
          </w:tcPr>
          <w:p w14:paraId="2633DA49">
            <w:pPr>
              <w:pStyle w:val="624"/>
              <w:spacing w:before="0" w:beforeAutospacing="0" w:after="0" w:afterAutospacing="0" w:line="460" w:lineRule="atLeast"/>
              <w:rPr>
                <w:rFonts w:ascii="仿宋_GB2312" w:eastAsia="仿宋_GB2312"/>
                <w:color w:val="auto"/>
              </w:rPr>
            </w:pPr>
            <w:r>
              <w:rPr>
                <w:rFonts w:hint="eastAsia" w:ascii="仿宋_GB2312" w:eastAsia="仿宋_GB2312"/>
                <w:color w:val="auto"/>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64873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EE24802">
            <w:pPr>
              <w:spacing w:line="400" w:lineRule="exact"/>
              <w:jc w:val="center"/>
              <w:rPr>
                <w:rFonts w:ascii="仿宋_GB2312" w:eastAsia="仿宋_GB2312"/>
                <w:color w:val="auto"/>
                <w:sz w:val="24"/>
              </w:rPr>
            </w:pPr>
            <w:r>
              <w:rPr>
                <w:rFonts w:hint="eastAsia" w:ascii="仿宋_GB2312" w:eastAsia="仿宋_GB2312"/>
                <w:color w:val="auto"/>
                <w:sz w:val="24"/>
              </w:rPr>
              <w:t>11</w:t>
            </w:r>
          </w:p>
        </w:tc>
        <w:tc>
          <w:tcPr>
            <w:tcW w:w="8232" w:type="dxa"/>
            <w:vAlign w:val="center"/>
          </w:tcPr>
          <w:p w14:paraId="30B7EAE7">
            <w:pPr>
              <w:pStyle w:val="644"/>
              <w:spacing w:before="0" w:beforeAutospacing="0" w:after="0" w:afterAutospacing="0" w:line="460" w:lineRule="atLeast"/>
              <w:rPr>
                <w:rFonts w:ascii="仿宋_GB2312" w:eastAsia="仿宋_GB2312"/>
                <w:color w:val="auto"/>
              </w:rPr>
            </w:pPr>
            <w:r>
              <w:rPr>
                <w:rFonts w:hint="eastAsia" w:ascii="仿宋_GB2312" w:eastAsia="仿宋_GB2312"/>
                <w:color w:val="auto"/>
              </w:rPr>
              <w:t>评标方法：综合评分法</w:t>
            </w:r>
          </w:p>
        </w:tc>
      </w:tr>
      <w:tr w14:paraId="39C3D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F328342">
            <w:pPr>
              <w:spacing w:line="400" w:lineRule="exact"/>
              <w:jc w:val="center"/>
              <w:rPr>
                <w:rFonts w:ascii="仿宋_GB2312" w:eastAsia="仿宋_GB2312"/>
                <w:color w:val="auto"/>
                <w:sz w:val="24"/>
              </w:rPr>
            </w:pPr>
            <w:r>
              <w:rPr>
                <w:rFonts w:hint="eastAsia" w:ascii="仿宋_GB2312" w:eastAsia="仿宋_GB2312"/>
                <w:color w:val="auto"/>
                <w:sz w:val="24"/>
              </w:rPr>
              <w:t>12</w:t>
            </w:r>
          </w:p>
        </w:tc>
        <w:tc>
          <w:tcPr>
            <w:tcW w:w="8232" w:type="dxa"/>
            <w:vAlign w:val="center"/>
          </w:tcPr>
          <w:p w14:paraId="1ECBF6DC">
            <w:pPr>
              <w:pStyle w:val="664"/>
              <w:spacing w:before="0" w:beforeAutospacing="0" w:after="0" w:afterAutospacing="0" w:line="460" w:lineRule="atLeast"/>
              <w:rPr>
                <w:rFonts w:ascii="仿宋_GB2312" w:eastAsia="仿宋_GB2312"/>
                <w:color w:val="auto"/>
              </w:rPr>
            </w:pPr>
            <w:r>
              <w:rPr>
                <w:rFonts w:hint="eastAsia" w:ascii="仿宋_GB2312" w:eastAsia="仿宋_GB2312"/>
                <w:color w:val="auto"/>
              </w:rPr>
              <w:t>发布媒体：中国政府采购网（www.ccgp.gov.cn）、广西壮族自治区政府采购网（zfcg.gxzf.gov.cn）、柳州市政府采购网（zfcg.lzscz.liuzhou.gov.cn）。</w:t>
            </w:r>
          </w:p>
        </w:tc>
      </w:tr>
      <w:tr w14:paraId="72081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2C02C06">
            <w:pPr>
              <w:spacing w:line="400" w:lineRule="exact"/>
              <w:jc w:val="center"/>
              <w:rPr>
                <w:rFonts w:ascii="仿宋_GB2312" w:eastAsia="仿宋_GB2312"/>
                <w:color w:val="auto"/>
                <w:sz w:val="24"/>
              </w:rPr>
            </w:pPr>
            <w:r>
              <w:rPr>
                <w:rFonts w:hint="eastAsia" w:ascii="仿宋_GB2312" w:eastAsia="仿宋_GB2312"/>
                <w:color w:val="auto"/>
                <w:sz w:val="24"/>
              </w:rPr>
              <w:t>13</w:t>
            </w:r>
          </w:p>
        </w:tc>
        <w:tc>
          <w:tcPr>
            <w:tcW w:w="8232" w:type="dxa"/>
            <w:vAlign w:val="center"/>
          </w:tcPr>
          <w:p w14:paraId="4DDBC8AC">
            <w:pPr>
              <w:pStyle w:val="684"/>
              <w:spacing w:before="0" w:beforeAutospacing="0" w:after="0" w:afterAutospacing="0" w:line="460" w:lineRule="atLeast"/>
              <w:rPr>
                <w:rFonts w:ascii="仿宋_GB2312" w:eastAsia="仿宋_GB2312"/>
                <w:color w:val="auto"/>
              </w:rPr>
            </w:pPr>
            <w:r>
              <w:rPr>
                <w:rStyle w:val="685"/>
                <w:rFonts w:hint="eastAsia" w:ascii="仿宋_GB2312" w:eastAsia="仿宋_GB2312"/>
                <w:color w:val="auto"/>
              </w:rPr>
              <w:t>一、信用信息使用规则：</w:t>
            </w:r>
            <w:r>
              <w:rPr>
                <w:rFonts w:hint="eastAsia" w:ascii="仿宋_GB2312" w:eastAsia="仿宋_GB2312"/>
                <w:color w:val="auto"/>
              </w:rPr>
              <w:br w:type="textWrapping"/>
            </w:r>
            <w:r>
              <w:rPr>
                <w:rFonts w:hint="eastAsia" w:ascii="仿宋_GB2312" w:eastAsia="仿宋_GB2312"/>
                <w:color w:val="auto"/>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auto"/>
              </w:rPr>
              <w:br w:type="textWrapping"/>
            </w:r>
            <w:r>
              <w:rPr>
                <w:rStyle w:val="685"/>
                <w:rFonts w:hint="eastAsia" w:ascii="仿宋_GB2312" w:eastAsia="仿宋_GB2312"/>
                <w:color w:val="auto"/>
              </w:rPr>
              <w:t>二、甄别方式：</w:t>
            </w:r>
            <w:r>
              <w:rPr>
                <w:rFonts w:hint="eastAsia" w:ascii="仿宋_GB2312" w:eastAsia="仿宋_GB2312"/>
                <w:b/>
                <w:bCs/>
                <w:color w:val="auto"/>
              </w:rPr>
              <w:br w:type="textWrapping"/>
            </w:r>
            <w:r>
              <w:rPr>
                <w:rStyle w:val="685"/>
                <w:rFonts w:hint="eastAsia" w:ascii="仿宋_GB2312" w:eastAsia="仿宋_GB2312"/>
                <w:color w:val="auto"/>
              </w:rPr>
              <w:t>1.在本项目资格性审查时，采购人将对投标人信用进行查询，并按照以上信用信息使用规则处理；</w:t>
            </w:r>
            <w:r>
              <w:rPr>
                <w:rFonts w:hint="eastAsia" w:ascii="仿宋_GB2312" w:eastAsia="仿宋_GB2312"/>
                <w:b/>
                <w:bCs/>
                <w:color w:val="auto"/>
              </w:rPr>
              <w:br w:type="textWrapping"/>
            </w:r>
            <w:r>
              <w:rPr>
                <w:rStyle w:val="685"/>
                <w:rFonts w:hint="eastAsia" w:ascii="仿宋_GB2312" w:eastAsia="仿宋_GB2312"/>
                <w:color w:val="auto"/>
              </w:rPr>
              <w:t>2.在中标通知书发出前，采购人或者采购代理机构将对中标人信用进行查询，并按照以上信用信息使用规则处理；</w:t>
            </w:r>
            <w:r>
              <w:rPr>
                <w:rFonts w:hint="eastAsia" w:ascii="仿宋_GB2312" w:eastAsia="仿宋_GB2312"/>
                <w:b/>
                <w:bCs/>
                <w:color w:val="auto"/>
              </w:rPr>
              <w:br w:type="textWrapping"/>
            </w:r>
            <w:r>
              <w:rPr>
                <w:rStyle w:val="685"/>
                <w:rFonts w:hint="eastAsia" w:ascii="仿宋_GB2312" w:eastAsia="仿宋_GB2312"/>
                <w:color w:val="auto"/>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48014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9EC6CEF">
            <w:pPr>
              <w:spacing w:line="400" w:lineRule="exact"/>
              <w:jc w:val="center"/>
              <w:rPr>
                <w:rFonts w:ascii="仿宋_GB2312" w:eastAsia="仿宋_GB2312"/>
                <w:color w:val="auto"/>
                <w:sz w:val="24"/>
              </w:rPr>
            </w:pPr>
            <w:r>
              <w:rPr>
                <w:rFonts w:hint="eastAsia" w:ascii="仿宋_GB2312" w:eastAsia="仿宋_GB2312"/>
                <w:color w:val="auto"/>
                <w:sz w:val="24"/>
              </w:rPr>
              <w:t>14</w:t>
            </w:r>
          </w:p>
        </w:tc>
        <w:tc>
          <w:tcPr>
            <w:tcW w:w="8232" w:type="dxa"/>
            <w:vAlign w:val="center"/>
          </w:tcPr>
          <w:p w14:paraId="19E5EC54">
            <w:pPr>
              <w:pStyle w:val="705"/>
              <w:spacing w:before="0" w:beforeAutospacing="0" w:after="0" w:afterAutospacing="0" w:line="460" w:lineRule="atLeast"/>
              <w:rPr>
                <w:rFonts w:ascii="仿宋_GB2312" w:eastAsia="仿宋_GB2312"/>
                <w:color w:val="auto"/>
              </w:rPr>
            </w:pPr>
            <w:r>
              <w:rPr>
                <w:rFonts w:hint="eastAsia" w:ascii="仿宋_GB2312" w:eastAsia="仿宋_GB2312"/>
                <w:color w:val="auto"/>
              </w:rPr>
              <w:t>中标公告及中标通知书：采购代理机构在采购人依法确认中标人后两个工作日内发布中标公告和中标通知书。</w:t>
            </w:r>
            <w:r>
              <w:rPr>
                <w:rFonts w:hint="eastAsia" w:ascii="仿宋_GB2312" w:eastAsia="仿宋_GB2312"/>
                <w:color w:val="auto"/>
              </w:rPr>
              <w:br w:type="textWrapping"/>
            </w:r>
            <w:r>
              <w:rPr>
                <w:rStyle w:val="706"/>
                <w:rFonts w:hint="eastAsia" w:ascii="仿宋_GB2312" w:eastAsia="仿宋_GB2312"/>
                <w:color w:val="auto"/>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095E7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C6FBF90">
            <w:pPr>
              <w:spacing w:line="400" w:lineRule="exact"/>
              <w:jc w:val="center"/>
              <w:rPr>
                <w:rFonts w:ascii="仿宋_GB2312" w:eastAsia="仿宋_GB2312"/>
                <w:color w:val="auto"/>
                <w:sz w:val="24"/>
              </w:rPr>
            </w:pPr>
            <w:r>
              <w:rPr>
                <w:rFonts w:hint="eastAsia" w:ascii="仿宋_GB2312" w:eastAsia="仿宋_GB2312"/>
                <w:color w:val="auto"/>
                <w:sz w:val="24"/>
              </w:rPr>
              <w:t>15</w:t>
            </w:r>
          </w:p>
        </w:tc>
        <w:tc>
          <w:tcPr>
            <w:tcW w:w="8232" w:type="dxa"/>
            <w:vAlign w:val="center"/>
          </w:tcPr>
          <w:p w14:paraId="4B43C3C7">
            <w:pPr>
              <w:pStyle w:val="726"/>
              <w:spacing w:before="0" w:beforeAutospacing="0" w:after="0" w:afterAutospacing="0" w:line="460" w:lineRule="atLeast"/>
              <w:rPr>
                <w:rFonts w:ascii="仿宋_GB2312" w:eastAsia="仿宋_GB2312"/>
                <w:color w:val="auto"/>
              </w:rPr>
            </w:pPr>
            <w:r>
              <w:rPr>
                <w:rStyle w:val="727"/>
                <w:rFonts w:hint="eastAsia" w:ascii="仿宋_GB2312" w:eastAsia="仿宋_GB2312"/>
                <w:color w:val="auto"/>
              </w:rPr>
              <w:t>签订合同时间：中标通知书发出后</w:t>
            </w:r>
            <w:r>
              <w:rPr>
                <w:rStyle w:val="727"/>
                <w:rFonts w:hint="eastAsia" w:ascii="仿宋_GB2312" w:eastAsia="仿宋_GB2312"/>
                <w:color w:val="auto"/>
                <w:u w:val="single"/>
              </w:rPr>
              <w:t>25</w:t>
            </w:r>
            <w:r>
              <w:rPr>
                <w:rStyle w:val="727"/>
                <w:rFonts w:hint="eastAsia" w:ascii="仿宋_GB2312" w:eastAsia="仿宋_GB2312"/>
                <w:color w:val="auto"/>
              </w:rPr>
              <w:t>日内。</w:t>
            </w:r>
          </w:p>
        </w:tc>
      </w:tr>
      <w:tr w14:paraId="74DAE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7E2DB4B">
            <w:pPr>
              <w:spacing w:line="400" w:lineRule="exact"/>
              <w:jc w:val="center"/>
              <w:rPr>
                <w:rFonts w:ascii="仿宋_GB2312" w:eastAsia="仿宋_GB2312"/>
                <w:color w:val="auto"/>
                <w:sz w:val="24"/>
              </w:rPr>
            </w:pPr>
            <w:r>
              <w:rPr>
                <w:rFonts w:hint="eastAsia" w:ascii="仿宋_GB2312" w:eastAsia="仿宋_GB2312"/>
                <w:color w:val="auto"/>
                <w:sz w:val="24"/>
              </w:rPr>
              <w:t>16</w:t>
            </w:r>
          </w:p>
        </w:tc>
        <w:tc>
          <w:tcPr>
            <w:tcW w:w="8232" w:type="dxa"/>
            <w:vAlign w:val="center"/>
          </w:tcPr>
          <w:p w14:paraId="5D52C12D">
            <w:pPr>
              <w:pStyle w:val="747"/>
              <w:spacing w:before="0" w:beforeAutospacing="0" w:after="0" w:afterAutospacing="0" w:line="460" w:lineRule="atLeast"/>
              <w:rPr>
                <w:rFonts w:ascii="仿宋_GB2312" w:eastAsia="仿宋_GB2312"/>
                <w:color w:val="auto"/>
              </w:rPr>
            </w:pPr>
            <w:r>
              <w:rPr>
                <w:rFonts w:hint="eastAsia" w:ascii="仿宋_GB2312" w:eastAsia="仿宋_GB2312"/>
                <w:color w:val="auto"/>
              </w:rPr>
              <w:t>投标文件有效期：投标截止日期后</w:t>
            </w:r>
            <w:r>
              <w:rPr>
                <w:rFonts w:hint="eastAsia" w:ascii="仿宋_GB2312" w:eastAsia="仿宋_GB2312"/>
                <w:color w:val="auto"/>
                <w:u w:val="single"/>
              </w:rPr>
              <w:t>不得少于90天</w:t>
            </w:r>
            <w:r>
              <w:rPr>
                <w:rFonts w:hint="eastAsia" w:ascii="仿宋_GB2312" w:eastAsia="仿宋_GB2312"/>
                <w:color w:val="auto"/>
              </w:rPr>
              <w:t>。</w:t>
            </w:r>
          </w:p>
        </w:tc>
      </w:tr>
      <w:tr w14:paraId="0CF31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63354FD">
            <w:pPr>
              <w:spacing w:line="400" w:lineRule="exact"/>
              <w:jc w:val="center"/>
              <w:rPr>
                <w:rFonts w:ascii="仿宋_GB2312" w:eastAsia="仿宋_GB2312"/>
                <w:color w:val="auto"/>
                <w:sz w:val="24"/>
              </w:rPr>
            </w:pPr>
            <w:r>
              <w:rPr>
                <w:rFonts w:hint="eastAsia" w:ascii="仿宋_GB2312" w:eastAsia="仿宋_GB2312"/>
                <w:color w:val="auto"/>
                <w:sz w:val="24"/>
              </w:rPr>
              <w:t>17</w:t>
            </w:r>
          </w:p>
        </w:tc>
        <w:tc>
          <w:tcPr>
            <w:tcW w:w="8232" w:type="dxa"/>
            <w:vAlign w:val="center"/>
          </w:tcPr>
          <w:p w14:paraId="3D8165A3">
            <w:pPr>
              <w:pStyle w:val="767"/>
              <w:spacing w:before="0" w:beforeAutospacing="0" w:after="0" w:afterAutospacing="0" w:line="460" w:lineRule="atLeast"/>
              <w:rPr>
                <w:rFonts w:ascii="仿宋_GB2312" w:eastAsia="仿宋_GB2312"/>
                <w:color w:val="auto"/>
              </w:rPr>
            </w:pPr>
            <w:r>
              <w:rPr>
                <w:rFonts w:hint="eastAsia" w:ascii="仿宋_GB2312" w:eastAsia="仿宋_GB2312"/>
                <w:color w:val="auto"/>
              </w:rPr>
              <w:t>解释：本招标文件的解释权属于采购代理机构。</w:t>
            </w:r>
          </w:p>
        </w:tc>
      </w:tr>
      <w:tr w14:paraId="5C024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BD16429">
            <w:pPr>
              <w:spacing w:line="400" w:lineRule="exact"/>
              <w:jc w:val="center"/>
              <w:rPr>
                <w:rFonts w:ascii="仿宋_GB2312" w:eastAsia="仿宋_GB2312"/>
                <w:color w:val="auto"/>
                <w:sz w:val="24"/>
              </w:rPr>
            </w:pPr>
            <w:r>
              <w:rPr>
                <w:rFonts w:hint="eastAsia" w:ascii="仿宋_GB2312" w:eastAsia="仿宋_GB2312"/>
                <w:color w:val="auto"/>
                <w:sz w:val="24"/>
              </w:rPr>
              <w:t>18</w:t>
            </w:r>
          </w:p>
        </w:tc>
        <w:tc>
          <w:tcPr>
            <w:tcW w:w="8232" w:type="dxa"/>
            <w:vAlign w:val="center"/>
          </w:tcPr>
          <w:p w14:paraId="74DB65CB">
            <w:pPr>
              <w:pStyle w:val="787"/>
              <w:spacing w:before="0" w:beforeAutospacing="0" w:after="0" w:afterAutospacing="0" w:line="460" w:lineRule="atLeast"/>
              <w:rPr>
                <w:rFonts w:ascii="仿宋_GB2312" w:eastAsia="仿宋_GB2312"/>
                <w:color w:val="auto"/>
              </w:rPr>
            </w:pPr>
            <w:r>
              <w:rPr>
                <w:rFonts w:hint="eastAsia" w:ascii="仿宋_GB2312" w:eastAsia="仿宋_GB2312"/>
                <w:color w:val="auto"/>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3D983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6408FEE">
            <w:pPr>
              <w:spacing w:line="400" w:lineRule="exact"/>
              <w:jc w:val="center"/>
              <w:rPr>
                <w:rFonts w:ascii="仿宋_GB2312" w:eastAsia="仿宋_GB2312"/>
                <w:color w:val="auto"/>
                <w:sz w:val="24"/>
              </w:rPr>
            </w:pPr>
            <w:r>
              <w:rPr>
                <w:rFonts w:hint="eastAsia" w:ascii="仿宋_GB2312" w:eastAsia="仿宋_GB2312"/>
                <w:color w:val="auto"/>
                <w:sz w:val="24"/>
              </w:rPr>
              <w:t>19</w:t>
            </w:r>
          </w:p>
        </w:tc>
        <w:tc>
          <w:tcPr>
            <w:tcW w:w="8232" w:type="dxa"/>
            <w:vAlign w:val="center"/>
          </w:tcPr>
          <w:p w14:paraId="42834DFF">
            <w:pPr>
              <w:pStyle w:val="807"/>
              <w:spacing w:before="0" w:beforeAutospacing="0" w:after="0" w:afterAutospacing="0" w:line="460" w:lineRule="atLeast"/>
              <w:rPr>
                <w:rFonts w:ascii="仿宋_GB2312" w:eastAsia="仿宋_GB2312"/>
                <w:color w:val="auto"/>
              </w:rPr>
            </w:pPr>
            <w:r>
              <w:rPr>
                <w:rFonts w:hint="eastAsia" w:ascii="仿宋_GB2312" w:eastAsia="仿宋_GB2312"/>
                <w:color w:val="auto"/>
              </w:rPr>
              <w:t>1.本招标文件中描述投标人的“公章”是指投标人的CA电子签章。</w:t>
            </w:r>
            <w:r>
              <w:rPr>
                <w:rFonts w:hint="eastAsia" w:ascii="仿宋_GB2312" w:eastAsia="仿宋_GB2312"/>
                <w:color w:val="auto"/>
              </w:rPr>
              <w:br w:type="textWrapping"/>
            </w:r>
            <w:r>
              <w:rPr>
                <w:rFonts w:hint="eastAsia" w:ascii="仿宋_GB2312" w:eastAsia="仿宋_GB2312"/>
                <w:color w:val="auto"/>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0FCB4813">
      <w:pPr>
        <w:spacing w:line="360" w:lineRule="auto"/>
        <w:jc w:val="center"/>
        <w:rPr>
          <w:b/>
          <w:color w:val="auto"/>
          <w:sz w:val="32"/>
          <w:szCs w:val="32"/>
        </w:rPr>
        <w:sectPr>
          <w:pgSz w:w="11906" w:h="16838"/>
          <w:pgMar w:top="1440" w:right="1440" w:bottom="1440" w:left="1440" w:header="851" w:footer="992" w:gutter="0"/>
          <w:cols w:space="720" w:num="1"/>
          <w:docGrid w:linePitch="312" w:charSpace="0"/>
        </w:sectPr>
      </w:pPr>
    </w:p>
    <w:p w14:paraId="726525B4">
      <w:pPr>
        <w:spacing w:line="360" w:lineRule="auto"/>
        <w:jc w:val="center"/>
        <w:rPr>
          <w:b/>
          <w:color w:val="auto"/>
          <w:sz w:val="32"/>
          <w:szCs w:val="32"/>
        </w:rPr>
      </w:pPr>
      <w:r>
        <w:rPr>
          <w:rFonts w:hint="eastAsia"/>
          <w:b/>
          <w:color w:val="auto"/>
          <w:sz w:val="32"/>
          <w:szCs w:val="32"/>
        </w:rPr>
        <w:t>投标人须知</w:t>
      </w:r>
    </w:p>
    <w:p w14:paraId="466725E6">
      <w:pPr>
        <w:spacing w:line="300" w:lineRule="exact"/>
        <w:jc w:val="center"/>
        <w:rPr>
          <w:b/>
          <w:color w:val="auto"/>
          <w:sz w:val="32"/>
          <w:szCs w:val="32"/>
        </w:rPr>
      </w:pPr>
    </w:p>
    <w:p w14:paraId="49763200">
      <w:pPr>
        <w:pStyle w:val="27"/>
        <w:snapToGrid w:val="0"/>
        <w:spacing w:line="360" w:lineRule="exact"/>
        <w:ind w:right="-330" w:rightChars="-157"/>
        <w:rPr>
          <w:rFonts w:ascii="仿宋_GB2312" w:hAnsi="宋体" w:eastAsia="仿宋_GB2312"/>
          <w:b/>
          <w:color w:val="auto"/>
          <w:sz w:val="24"/>
          <w:szCs w:val="24"/>
        </w:rPr>
      </w:pPr>
      <w:r>
        <w:rPr>
          <w:rFonts w:hint="eastAsia" w:ascii="仿宋_GB2312" w:hAnsi="宋体" w:eastAsia="仿宋_GB2312"/>
          <w:b/>
          <w:color w:val="auto"/>
          <w:sz w:val="24"/>
          <w:szCs w:val="24"/>
        </w:rPr>
        <w:t>一、总  则</w:t>
      </w:r>
    </w:p>
    <w:p w14:paraId="6E5E8C13">
      <w:pPr>
        <w:snapToGrid w:val="0"/>
        <w:spacing w:line="360" w:lineRule="exact"/>
        <w:ind w:right="-330" w:rightChars="-157" w:firstLine="472" w:firstLineChars="196"/>
        <w:jc w:val="left"/>
        <w:outlineLvl w:val="1"/>
        <w:rPr>
          <w:rFonts w:ascii="仿宋_GB2312" w:eastAsia="仿宋_GB2312"/>
          <w:b/>
          <w:color w:val="auto"/>
          <w:sz w:val="24"/>
        </w:rPr>
      </w:pPr>
      <w:bookmarkStart w:id="179" w:name="_Toc254970527"/>
      <w:bookmarkStart w:id="180" w:name="_Toc254970668"/>
      <w:r>
        <w:rPr>
          <w:rFonts w:hint="eastAsia" w:ascii="仿宋_GB2312" w:eastAsia="仿宋_GB2312"/>
          <w:b/>
          <w:color w:val="auto"/>
          <w:sz w:val="24"/>
        </w:rPr>
        <w:t>1. 适用范围</w:t>
      </w:r>
      <w:bookmarkEnd w:id="179"/>
      <w:bookmarkEnd w:id="180"/>
    </w:p>
    <w:p w14:paraId="219D1FD1">
      <w:pPr>
        <w:pStyle w:val="27"/>
        <w:snapToGrid w:val="0"/>
        <w:spacing w:line="360" w:lineRule="exact"/>
        <w:ind w:right="-330" w:rightChars="-157"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1.1本招标文件适用于</w:t>
      </w:r>
      <w:r>
        <w:rPr>
          <w:rFonts w:hint="eastAsia" w:ascii="仿宋_GB2312" w:hAnsi="宋体" w:eastAsia="仿宋_GB2312"/>
          <w:color w:val="auto"/>
          <w:sz w:val="24"/>
          <w:u w:val="single"/>
        </w:rPr>
        <w:t>柳州职业技术大学“新能源汽车数字商贸产教融合基地”软件部分采购</w:t>
      </w:r>
      <w:r>
        <w:rPr>
          <w:rFonts w:hint="eastAsia" w:ascii="仿宋_GB2312" w:hAnsi="宋体" w:eastAsia="仿宋_GB2312"/>
          <w:bCs/>
          <w:color w:val="auto"/>
          <w:sz w:val="24"/>
          <w:szCs w:val="24"/>
        </w:rPr>
        <w:t>项目的招标、投标、评标、定标、验收、合同履约、付款等行为（法律、法规另有规定的，从其规定）。</w:t>
      </w:r>
    </w:p>
    <w:p w14:paraId="7C38570D">
      <w:pPr>
        <w:snapToGrid w:val="0"/>
        <w:spacing w:line="360" w:lineRule="exact"/>
        <w:ind w:right="-330" w:rightChars="-157" w:firstLine="354" w:firstLineChars="147"/>
        <w:jc w:val="left"/>
        <w:outlineLvl w:val="1"/>
        <w:rPr>
          <w:rFonts w:ascii="仿宋_GB2312" w:eastAsia="仿宋_GB2312"/>
          <w:b/>
          <w:color w:val="auto"/>
          <w:sz w:val="24"/>
        </w:rPr>
      </w:pPr>
      <w:bookmarkStart w:id="181" w:name="_Toc254970669"/>
      <w:bookmarkStart w:id="182" w:name="_Toc254970528"/>
      <w:r>
        <w:rPr>
          <w:rFonts w:hint="eastAsia" w:ascii="仿宋_GB2312" w:eastAsia="仿宋_GB2312"/>
          <w:b/>
          <w:color w:val="auto"/>
          <w:sz w:val="24"/>
        </w:rPr>
        <w:t>2.定义</w:t>
      </w:r>
      <w:bookmarkEnd w:id="181"/>
      <w:bookmarkEnd w:id="182"/>
    </w:p>
    <w:p w14:paraId="2A3EAED0">
      <w:pPr>
        <w:pStyle w:val="27"/>
        <w:snapToGrid w:val="0"/>
        <w:spacing w:line="360" w:lineRule="exact"/>
        <w:ind w:right="-330" w:rightChars="-157"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2.1“采购人”是指：</w:t>
      </w:r>
      <w:r>
        <w:rPr>
          <w:rFonts w:hint="eastAsia" w:ascii="仿宋_GB2312" w:hAnsi="宋体" w:eastAsia="仿宋_GB2312"/>
          <w:color w:val="auto"/>
          <w:sz w:val="24"/>
          <w:u w:val="single"/>
        </w:rPr>
        <w:t>柳州职业技术大学</w:t>
      </w:r>
      <w:r>
        <w:rPr>
          <w:rFonts w:hint="eastAsia" w:ascii="仿宋_GB2312" w:hAnsi="宋体" w:eastAsia="仿宋_GB2312"/>
          <w:bCs/>
          <w:color w:val="auto"/>
          <w:sz w:val="24"/>
          <w:szCs w:val="24"/>
        </w:rPr>
        <w:t>；“采购代理机构”是指</w:t>
      </w:r>
      <w:r>
        <w:rPr>
          <w:rFonts w:hint="eastAsia" w:ascii="仿宋_GB2312" w:hAnsi="宋体" w:eastAsia="仿宋_GB2312"/>
          <w:bCs/>
          <w:color w:val="auto"/>
          <w:sz w:val="24"/>
          <w:szCs w:val="24"/>
          <w:u w:val="single"/>
        </w:rPr>
        <w:t>柳州市政府集中采购中心</w:t>
      </w:r>
      <w:r>
        <w:rPr>
          <w:rFonts w:hint="eastAsia" w:ascii="仿宋_GB2312" w:hAnsi="宋体" w:eastAsia="仿宋_GB2312"/>
          <w:bCs/>
          <w:color w:val="auto"/>
          <w:sz w:val="24"/>
          <w:szCs w:val="24"/>
        </w:rPr>
        <w:t>。</w:t>
      </w:r>
    </w:p>
    <w:p w14:paraId="23755855">
      <w:pPr>
        <w:pStyle w:val="27"/>
        <w:snapToGrid w:val="0"/>
        <w:spacing w:line="360" w:lineRule="exact"/>
        <w:ind w:right="-330" w:rightChars="-157" w:firstLine="480" w:firstLineChars="200"/>
        <w:rPr>
          <w:rFonts w:ascii="仿宋_GB2312" w:hAnsi="宋体" w:eastAsia="仿宋_GB2312"/>
          <w:bCs/>
          <w:color w:val="auto"/>
          <w:sz w:val="24"/>
          <w:szCs w:val="24"/>
        </w:rPr>
      </w:pPr>
      <w:bookmarkStart w:id="183" w:name="_Hlk93681432"/>
      <w:r>
        <w:rPr>
          <w:rFonts w:hint="eastAsia" w:ascii="仿宋_GB2312" w:hAnsi="宋体" w:eastAsia="仿宋_GB2312"/>
          <w:bCs/>
          <w:color w:val="auto"/>
          <w:sz w:val="24"/>
          <w:szCs w:val="24"/>
        </w:rPr>
        <w:t>2.2“投标人”系指响应本公开招标文件要求，参加投标的法人或其他组织或自然人。如果该投标人在本次投标中中标，即成为“中标人”。</w:t>
      </w:r>
    </w:p>
    <w:p w14:paraId="1D589792">
      <w:pPr>
        <w:pStyle w:val="27"/>
        <w:snapToGrid w:val="0"/>
        <w:spacing w:line="360" w:lineRule="exact"/>
        <w:ind w:right="-330" w:rightChars="-157"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2.3“产品”系指投标人按招标文件规定，须向采购人提供的一切设备（含安装）、保险、税金、备品备件、工具、手册及其它有关技术资料和材料。</w:t>
      </w:r>
    </w:p>
    <w:bookmarkEnd w:id="183"/>
    <w:p w14:paraId="76F1CBB9">
      <w:pPr>
        <w:pStyle w:val="27"/>
        <w:snapToGrid w:val="0"/>
        <w:spacing w:line="360" w:lineRule="exact"/>
        <w:ind w:right="-330" w:rightChars="-157"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2.4“服务”系指招标文件规定投标人须承担的安装、调试、技术协助、校准、培训、技术指导以及其他类似的义务。</w:t>
      </w:r>
    </w:p>
    <w:p w14:paraId="1E52ECC5">
      <w:pPr>
        <w:pStyle w:val="27"/>
        <w:snapToGrid w:val="0"/>
        <w:spacing w:line="360" w:lineRule="exact"/>
        <w:ind w:right="-330" w:rightChars="-157"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2.5“项目”系指投标人按招标文件规定向采购人提供的产品和服务。</w:t>
      </w:r>
    </w:p>
    <w:p w14:paraId="7473CDCA">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2.6“签字”系指投标人的法定代表人或授权委托代理人的电子签名或电子签章或手写签名或盖章，表示同意、认可、承担责任或义务的行为。</w:t>
      </w:r>
    </w:p>
    <w:p w14:paraId="6FAFFB80">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2.7“电子投标文件”系指完整的投标文件，内容包括资格文件、报价要求文件、商务技术文件。</w:t>
      </w:r>
    </w:p>
    <w:p w14:paraId="337F6048">
      <w:pPr>
        <w:pStyle w:val="27"/>
        <w:widowControl/>
        <w:snapToGrid w:val="0"/>
        <w:spacing w:line="400" w:lineRule="exact"/>
        <w:ind w:firstLine="480" w:firstLineChars="200"/>
        <w:rPr>
          <w:rFonts w:ascii="仿宋_GB2312" w:hAnsi="宋体" w:eastAsia="仿宋_GB2312"/>
          <w:bCs/>
          <w:color w:val="auto"/>
          <w:sz w:val="24"/>
        </w:rPr>
      </w:pPr>
      <w:r>
        <w:rPr>
          <w:rFonts w:hint="eastAsia" w:ascii="仿宋_GB2312" w:hAnsi="宋体" w:eastAsia="仿宋_GB2312"/>
          <w:bCs/>
          <w:color w:val="auto"/>
          <w:sz w:val="24"/>
        </w:rPr>
        <w:t>2.8“</w:t>
      </w:r>
      <w:r>
        <w:rPr>
          <w:rFonts w:hint="eastAsia" w:ascii="仿宋_GB2312" w:hAnsi="仿宋_GB2312" w:eastAsia="仿宋_GB2312" w:cs="仿宋_GB2312"/>
          <w:color w:val="auto"/>
          <w:kern w:val="0"/>
          <w:sz w:val="24"/>
        </w:rPr>
        <w:t>★</w:t>
      </w:r>
      <w:r>
        <w:rPr>
          <w:rFonts w:hint="eastAsia" w:ascii="仿宋_GB2312" w:hAnsi="宋体" w:eastAsia="仿宋_GB2312"/>
          <w:bCs/>
          <w:color w:val="auto"/>
          <w:sz w:val="24"/>
        </w:rPr>
        <w:t>”系指本次采购项目“第二章 采购需求”中的实质性要求。</w:t>
      </w:r>
    </w:p>
    <w:p w14:paraId="222D7DCB">
      <w:pPr>
        <w:pStyle w:val="27"/>
        <w:snapToGrid w:val="0"/>
        <w:spacing w:line="360" w:lineRule="exact"/>
        <w:ind w:right="-330" w:rightChars="-157" w:firstLine="480" w:firstLineChars="200"/>
        <w:rPr>
          <w:rFonts w:ascii="仿宋_GB2312" w:hAnsi="宋体" w:eastAsia="仿宋_GB2312"/>
          <w:bCs/>
          <w:color w:val="auto"/>
          <w:sz w:val="24"/>
          <w:szCs w:val="24"/>
        </w:rPr>
      </w:pPr>
      <w:bookmarkStart w:id="184" w:name="_Hlk93681424"/>
      <w:bookmarkStart w:id="185" w:name="_Toc254970529"/>
      <w:bookmarkStart w:id="186" w:name="_Toc254970670"/>
      <w:bookmarkStart w:id="187" w:name="_Toc254970675"/>
      <w:bookmarkStart w:id="188" w:name="_Toc254970534"/>
      <w:bookmarkStart w:id="189" w:name="_Toc254970536"/>
      <w:bookmarkStart w:id="190" w:name="_Toc254970677"/>
      <w:r>
        <w:rPr>
          <w:rFonts w:hint="eastAsia" w:ascii="仿宋_GB2312" w:hAnsi="宋体" w:eastAsia="仿宋_GB2312"/>
          <w:bCs/>
          <w:color w:val="auto"/>
          <w:sz w:val="24"/>
          <w:szCs w:val="24"/>
        </w:rPr>
        <w:t>2.9“▲”系指本次采购的核心产品。</w:t>
      </w:r>
    </w:p>
    <w:p w14:paraId="7A40790E">
      <w:pPr>
        <w:pStyle w:val="27"/>
        <w:snapToGrid w:val="0"/>
        <w:spacing w:line="360" w:lineRule="exact"/>
        <w:ind w:right="-330" w:rightChars="-157"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2.10公开招标文件中所称的“以上”、“以下”、“内”、“以内”、“届满”，包括本数；所称的“不满”、“不足”、“以外”，不包括本数。</w:t>
      </w:r>
    </w:p>
    <w:p w14:paraId="29357A6B">
      <w:pPr>
        <w:pStyle w:val="27"/>
        <w:widowControl/>
        <w:snapToGrid w:val="0"/>
        <w:spacing w:line="400" w:lineRule="exact"/>
        <w:ind w:firstLine="480" w:firstLineChars="200"/>
        <w:rPr>
          <w:rFonts w:ascii="仿宋_GB2312" w:hAnsi="宋体" w:eastAsia="仿宋_GB2312"/>
          <w:bCs/>
          <w:color w:val="auto"/>
          <w:sz w:val="24"/>
        </w:rPr>
      </w:pPr>
      <w:r>
        <w:rPr>
          <w:rFonts w:hint="eastAsia" w:ascii="仿宋_GB2312" w:hAnsi="宋体" w:eastAsia="仿宋_GB2312"/>
          <w:bCs/>
          <w:color w:val="auto"/>
          <w:sz w:val="24"/>
        </w:rPr>
        <w:t>2.11“法定代表人”系指投标人的法定代表人、负责人或自然人。</w:t>
      </w:r>
    </w:p>
    <w:bookmarkEnd w:id="184"/>
    <w:p w14:paraId="36AE4D25">
      <w:pPr>
        <w:snapToGrid w:val="0"/>
        <w:spacing w:line="400" w:lineRule="exact"/>
        <w:ind w:firstLine="482" w:firstLineChars="200"/>
        <w:jc w:val="left"/>
        <w:rPr>
          <w:rFonts w:ascii="仿宋_GB2312" w:eastAsia="仿宋_GB2312"/>
          <w:b/>
          <w:color w:val="auto"/>
          <w:sz w:val="24"/>
        </w:rPr>
      </w:pPr>
      <w:r>
        <w:rPr>
          <w:rFonts w:hint="eastAsia" w:ascii="仿宋_GB2312" w:eastAsia="仿宋_GB2312"/>
          <w:b/>
          <w:color w:val="auto"/>
          <w:sz w:val="24"/>
        </w:rPr>
        <w:t>3.招标方式</w:t>
      </w:r>
      <w:bookmarkEnd w:id="185"/>
      <w:bookmarkEnd w:id="186"/>
    </w:p>
    <w:p w14:paraId="68E56B29">
      <w:pPr>
        <w:snapToGrid w:val="0"/>
        <w:spacing w:line="400" w:lineRule="exact"/>
        <w:ind w:firstLine="480" w:firstLineChars="200"/>
        <w:jc w:val="left"/>
        <w:rPr>
          <w:rFonts w:ascii="仿宋_GB2312" w:eastAsia="仿宋_GB2312"/>
          <w:color w:val="auto"/>
          <w:sz w:val="24"/>
        </w:rPr>
      </w:pPr>
      <w:r>
        <w:rPr>
          <w:rFonts w:hint="eastAsia" w:ascii="仿宋_GB2312" w:eastAsia="仿宋_GB2312"/>
          <w:color w:val="auto"/>
          <w:sz w:val="24"/>
        </w:rPr>
        <w:t>3.1公开招标方式。</w:t>
      </w:r>
    </w:p>
    <w:p w14:paraId="5018AFA0">
      <w:pPr>
        <w:snapToGrid w:val="0"/>
        <w:spacing w:line="400" w:lineRule="exact"/>
        <w:ind w:firstLine="482" w:firstLineChars="200"/>
        <w:jc w:val="left"/>
        <w:rPr>
          <w:rFonts w:ascii="仿宋_GB2312" w:eastAsia="仿宋_GB2312"/>
          <w:b/>
          <w:color w:val="auto"/>
          <w:sz w:val="24"/>
        </w:rPr>
      </w:pPr>
      <w:bookmarkStart w:id="191" w:name="_Toc254970671"/>
      <w:bookmarkStart w:id="192" w:name="_Toc254970530"/>
      <w:r>
        <w:rPr>
          <w:rFonts w:hint="eastAsia" w:ascii="仿宋_GB2312" w:eastAsia="仿宋_GB2312"/>
          <w:b/>
          <w:color w:val="auto"/>
          <w:sz w:val="24"/>
        </w:rPr>
        <w:t>4.投标委托</w:t>
      </w:r>
      <w:bookmarkEnd w:id="191"/>
      <w:bookmarkEnd w:id="192"/>
    </w:p>
    <w:p w14:paraId="064B38AD">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4.1如投标人代表不是法定代表人，须有法定代表人出具的授权委托书（格式见第六章投标文件格式）。</w:t>
      </w:r>
      <w:bookmarkStart w:id="193" w:name="_Toc254970531"/>
      <w:bookmarkStart w:id="194" w:name="_Toc254970672"/>
    </w:p>
    <w:p w14:paraId="457E8D64">
      <w:pPr>
        <w:snapToGrid w:val="0"/>
        <w:spacing w:line="400" w:lineRule="exact"/>
        <w:ind w:firstLine="482" w:firstLineChars="200"/>
        <w:jc w:val="left"/>
        <w:rPr>
          <w:rFonts w:ascii="仿宋_GB2312" w:eastAsia="仿宋_GB2312"/>
          <w:b/>
          <w:color w:val="auto"/>
          <w:sz w:val="24"/>
        </w:rPr>
      </w:pPr>
      <w:r>
        <w:rPr>
          <w:rFonts w:hint="eastAsia" w:ascii="仿宋_GB2312" w:eastAsia="仿宋_GB2312"/>
          <w:b/>
          <w:color w:val="auto"/>
          <w:sz w:val="24"/>
        </w:rPr>
        <w:t>5.投标费用</w:t>
      </w:r>
      <w:bookmarkEnd w:id="193"/>
      <w:bookmarkEnd w:id="194"/>
    </w:p>
    <w:p w14:paraId="6864C688">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5.1投标人均应自行承担所有与投标有关的全部费用（招标文件有相关规定的除外）。</w:t>
      </w:r>
    </w:p>
    <w:p w14:paraId="153EE0E0">
      <w:pPr>
        <w:snapToGrid w:val="0"/>
        <w:spacing w:line="400" w:lineRule="exact"/>
        <w:ind w:firstLine="482" w:firstLineChars="200"/>
        <w:jc w:val="left"/>
        <w:rPr>
          <w:rFonts w:ascii="仿宋_GB2312" w:eastAsia="仿宋_GB2312"/>
          <w:b/>
          <w:color w:val="auto"/>
          <w:sz w:val="24"/>
        </w:rPr>
      </w:pPr>
      <w:r>
        <w:rPr>
          <w:rFonts w:hint="eastAsia" w:ascii="仿宋_GB2312" w:eastAsia="仿宋_GB2312"/>
          <w:b/>
          <w:color w:val="auto"/>
          <w:sz w:val="24"/>
        </w:rPr>
        <w:t>6.联合体投标</w:t>
      </w:r>
    </w:p>
    <w:p w14:paraId="714951B9">
      <w:pPr>
        <w:snapToGrid w:val="0"/>
        <w:spacing w:line="400" w:lineRule="exact"/>
        <w:ind w:firstLine="420"/>
        <w:jc w:val="left"/>
        <w:rPr>
          <w:rFonts w:ascii="仿宋_GB2312" w:eastAsia="仿宋_GB2312"/>
          <w:color w:val="auto"/>
          <w:sz w:val="24"/>
        </w:rPr>
      </w:pPr>
      <w:r>
        <w:rPr>
          <w:rFonts w:hint="eastAsia" w:ascii="仿宋_GB2312" w:eastAsia="仿宋_GB2312"/>
          <w:color w:val="auto"/>
          <w:sz w:val="24"/>
        </w:rPr>
        <w:t>6.1本项目</w:t>
      </w:r>
      <w:r>
        <w:rPr>
          <w:rFonts w:hint="eastAsia" w:ascii="仿宋_GB2312" w:eastAsia="仿宋_GB2312"/>
          <w:color w:val="auto"/>
          <w:sz w:val="24"/>
          <w:u w:val="single"/>
        </w:rPr>
        <w:t>不接受</w:t>
      </w:r>
      <w:r>
        <w:rPr>
          <w:rFonts w:hint="eastAsia" w:ascii="仿宋_GB2312" w:eastAsia="仿宋_GB2312"/>
          <w:color w:val="auto"/>
          <w:sz w:val="24"/>
        </w:rPr>
        <w:t>联合体投标。</w:t>
      </w:r>
    </w:p>
    <w:p w14:paraId="230EE2D1">
      <w:pPr>
        <w:snapToGrid w:val="0"/>
        <w:spacing w:line="400" w:lineRule="exact"/>
        <w:ind w:firstLine="470" w:firstLineChars="195"/>
        <w:rPr>
          <w:rFonts w:ascii="仿宋_GB2312" w:eastAsia="仿宋_GB2312"/>
          <w:b/>
          <w:color w:val="auto"/>
          <w:kern w:val="0"/>
          <w:sz w:val="24"/>
        </w:rPr>
      </w:pPr>
      <w:r>
        <w:rPr>
          <w:rFonts w:hint="eastAsia" w:ascii="仿宋_GB2312" w:eastAsia="仿宋_GB2312"/>
          <w:b/>
          <w:color w:val="auto"/>
          <w:sz w:val="24"/>
        </w:rPr>
        <w:t>7.</w:t>
      </w:r>
      <w:r>
        <w:rPr>
          <w:rFonts w:hint="eastAsia" w:ascii="仿宋_GB2312" w:eastAsia="仿宋_GB2312"/>
          <w:b/>
          <w:color w:val="auto"/>
          <w:kern w:val="0"/>
          <w:sz w:val="24"/>
        </w:rPr>
        <w:t xml:space="preserve">转包与分包             </w:t>
      </w:r>
    </w:p>
    <w:p w14:paraId="730E82A4">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7.1本项目不允许转包。</w:t>
      </w:r>
    </w:p>
    <w:p w14:paraId="58CAC2C2">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7.2本项目不可以分包。</w:t>
      </w:r>
    </w:p>
    <w:p w14:paraId="04CC5D5E">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7.2.1享受扶持政策获得政府采购合同的，小微企业不得将合同分包给大中型企业，中型企业不得将合同分包给大型企业。</w:t>
      </w:r>
    </w:p>
    <w:p w14:paraId="45FB7BF1">
      <w:pPr>
        <w:snapToGrid w:val="0"/>
        <w:spacing w:line="400" w:lineRule="exact"/>
        <w:ind w:firstLine="472" w:firstLineChars="196"/>
        <w:jc w:val="left"/>
        <w:outlineLvl w:val="1"/>
        <w:rPr>
          <w:rFonts w:ascii="仿宋_GB2312" w:eastAsia="仿宋_GB2312"/>
          <w:b/>
          <w:color w:val="auto"/>
          <w:sz w:val="24"/>
        </w:rPr>
      </w:pPr>
      <w:bookmarkStart w:id="195" w:name="_Toc254970673"/>
      <w:bookmarkStart w:id="196" w:name="_Toc254970532"/>
      <w:r>
        <w:rPr>
          <w:rFonts w:hint="eastAsia" w:ascii="仿宋_GB2312" w:eastAsia="仿宋_GB2312"/>
          <w:b/>
          <w:color w:val="auto"/>
          <w:sz w:val="24"/>
        </w:rPr>
        <w:t>8.特别说明</w:t>
      </w:r>
      <w:bookmarkEnd w:id="195"/>
      <w:bookmarkEnd w:id="196"/>
    </w:p>
    <w:p w14:paraId="243A50A2">
      <w:pPr>
        <w:pStyle w:val="27"/>
        <w:snapToGrid w:val="0"/>
        <w:spacing w:line="400" w:lineRule="exact"/>
        <w:ind w:firstLine="480" w:firstLineChars="200"/>
        <w:rPr>
          <w:rFonts w:ascii="仿宋_GB2312" w:hAnsi="宋体" w:eastAsia="仿宋_GB2312"/>
          <w:bCs/>
          <w:color w:val="auto"/>
          <w:sz w:val="24"/>
          <w:szCs w:val="24"/>
        </w:rPr>
      </w:pPr>
      <w:bookmarkStart w:id="197" w:name="_Toc254970674"/>
      <w:bookmarkStart w:id="198" w:name="_Toc254970533"/>
      <w:r>
        <w:rPr>
          <w:rFonts w:hint="eastAsia" w:ascii="仿宋_GB2312" w:hAnsi="宋体" w:eastAsia="仿宋_GB2312"/>
          <w:bCs/>
          <w:color w:val="auto"/>
          <w:sz w:val="24"/>
          <w:szCs w:val="24"/>
        </w:rPr>
        <w:t>8.1投标人应仔细阅读招标文件的所有内容，按照招标文件的要求提交投标文件，并对所提供的全部资料的真实性承担法律责任。</w:t>
      </w:r>
    </w:p>
    <w:p w14:paraId="3DC5438C">
      <w:pPr>
        <w:pStyle w:val="27"/>
        <w:spacing w:line="400" w:lineRule="exact"/>
        <w:ind w:firstLine="480" w:firstLineChars="200"/>
        <w:rPr>
          <w:rFonts w:ascii="仿宋_GB2312" w:hAnsi="宋体" w:eastAsia="仿宋_GB2312"/>
          <w:color w:val="auto"/>
          <w:sz w:val="24"/>
          <w:szCs w:val="24"/>
        </w:rPr>
      </w:pPr>
      <w:r>
        <w:rPr>
          <w:rFonts w:hint="eastAsia" w:ascii="仿宋_GB2312" w:hAnsi="宋体" w:eastAsia="仿宋_GB2312"/>
          <w:color w:val="auto"/>
          <w:sz w:val="24"/>
          <w:szCs w:val="24"/>
        </w:rPr>
        <w:t>8.</w:t>
      </w:r>
      <w:r>
        <w:rPr>
          <w:rFonts w:hint="eastAsia" w:ascii="仿宋_GB2312" w:hAnsi="宋体" w:eastAsia="仿宋_GB2312"/>
          <w:color w:val="auto"/>
          <w:sz w:val="24"/>
          <w:szCs w:val="24"/>
          <w:lang w:val="en-US" w:eastAsia="zh-CN"/>
        </w:rPr>
        <w:t>2</w:t>
      </w:r>
      <w:r>
        <w:rPr>
          <w:rFonts w:hint="eastAsia" w:ascii="仿宋_GB2312" w:hAnsi="宋体" w:eastAsia="仿宋_GB2312"/>
          <w:color w:val="auto"/>
          <w:sz w:val="24"/>
          <w:szCs w:val="24"/>
        </w:rPr>
        <w:t>关联供应商不得参加同一合同项下的政府采购活动，否则投标文件将被视为无效：</w:t>
      </w:r>
    </w:p>
    <w:p w14:paraId="465ACFD2">
      <w:pPr>
        <w:pStyle w:val="27"/>
        <w:snapToGrid w:val="0"/>
        <w:spacing w:line="400" w:lineRule="exact"/>
        <w:ind w:firstLine="480" w:firstLineChars="200"/>
        <w:outlineLvl w:val="1"/>
        <w:rPr>
          <w:rFonts w:ascii="仿宋_GB2312" w:hAnsi="宋体" w:eastAsia="仿宋_GB2312"/>
          <w:color w:val="auto"/>
          <w:sz w:val="24"/>
          <w:szCs w:val="24"/>
        </w:rPr>
      </w:pPr>
      <w:r>
        <w:rPr>
          <w:rFonts w:hint="eastAsia" w:ascii="仿宋_GB2312" w:hAnsi="宋体" w:eastAsia="仿宋_GB2312"/>
          <w:color w:val="auto"/>
          <w:sz w:val="24"/>
          <w:szCs w:val="24"/>
        </w:rPr>
        <w:t>8.</w:t>
      </w:r>
      <w:r>
        <w:rPr>
          <w:rFonts w:hint="eastAsia" w:ascii="仿宋_GB2312" w:hAnsi="宋体" w:eastAsia="仿宋_GB2312"/>
          <w:color w:val="auto"/>
          <w:sz w:val="24"/>
          <w:szCs w:val="24"/>
          <w:lang w:val="en-US" w:eastAsia="zh-CN"/>
        </w:rPr>
        <w:t>2</w:t>
      </w:r>
      <w:r>
        <w:rPr>
          <w:rFonts w:hint="eastAsia" w:ascii="仿宋_GB2312" w:hAnsi="宋体" w:eastAsia="仿宋_GB2312"/>
          <w:color w:val="auto"/>
          <w:sz w:val="24"/>
          <w:szCs w:val="24"/>
        </w:rPr>
        <w:t>.1 单位负责人为同一人或者存在直接控股、管理关系的不同供应商，不得参加同一合同项下的政府采购活动。</w:t>
      </w:r>
    </w:p>
    <w:p w14:paraId="0343CFA9">
      <w:pPr>
        <w:pStyle w:val="27"/>
        <w:widowControl/>
        <w:snapToGrid w:val="0"/>
        <w:spacing w:line="400" w:lineRule="exact"/>
        <w:ind w:firstLine="480" w:firstLineChars="200"/>
        <w:outlineLvl w:val="1"/>
        <w:rPr>
          <w:rFonts w:ascii="仿宋_GB2312" w:hAnsi="宋体" w:eastAsia="仿宋_GB2312"/>
          <w:color w:val="auto"/>
          <w:sz w:val="24"/>
          <w:szCs w:val="24"/>
        </w:rPr>
      </w:pPr>
      <w:r>
        <w:rPr>
          <w:rFonts w:hint="eastAsia" w:ascii="仿宋_GB2312" w:hAnsi="宋体" w:eastAsia="仿宋_GB2312"/>
          <w:color w:val="auto"/>
          <w:sz w:val="24"/>
          <w:szCs w:val="24"/>
        </w:rPr>
        <w:t>8.</w:t>
      </w:r>
      <w:r>
        <w:rPr>
          <w:rFonts w:hint="eastAsia" w:ascii="仿宋_GB2312" w:hAnsi="宋体" w:eastAsia="仿宋_GB2312"/>
          <w:color w:val="auto"/>
          <w:sz w:val="24"/>
          <w:szCs w:val="24"/>
          <w:lang w:val="en-US" w:eastAsia="zh-CN"/>
        </w:rPr>
        <w:t>3</w:t>
      </w:r>
      <w:r>
        <w:rPr>
          <w:rFonts w:hint="eastAsia" w:ascii="仿宋_GB2312" w:hAnsi="宋体" w:eastAsia="仿宋_GB2312"/>
          <w:color w:val="auto"/>
          <w:sz w:val="24"/>
          <w:szCs w:val="24"/>
        </w:rPr>
        <w:t>除单一来源采购项目外，为采购项目提供整体设计、规范编制或者项目管理、监理、检测等服务的供应商，不得再参加该采购项目的其他采购活动。</w:t>
      </w:r>
    </w:p>
    <w:bookmarkEnd w:id="197"/>
    <w:bookmarkEnd w:id="198"/>
    <w:p w14:paraId="54718536">
      <w:pPr>
        <w:pStyle w:val="27"/>
        <w:snapToGrid w:val="0"/>
        <w:spacing w:line="400" w:lineRule="exact"/>
        <w:ind w:firstLine="472" w:firstLineChars="196"/>
        <w:outlineLvl w:val="1"/>
        <w:rPr>
          <w:rFonts w:ascii="仿宋_GB2312" w:hAnsi="宋体" w:eastAsia="仿宋_GB2312"/>
          <w:b/>
          <w:bCs/>
          <w:color w:val="auto"/>
          <w:sz w:val="24"/>
          <w:szCs w:val="24"/>
        </w:rPr>
      </w:pPr>
      <w:r>
        <w:rPr>
          <w:rFonts w:hint="eastAsia" w:ascii="仿宋_GB2312" w:hAnsi="宋体" w:eastAsia="仿宋_GB2312"/>
          <w:b/>
          <w:bCs/>
          <w:color w:val="auto"/>
          <w:sz w:val="24"/>
          <w:szCs w:val="24"/>
        </w:rPr>
        <w:t>9.</w:t>
      </w:r>
      <w:r>
        <w:rPr>
          <w:rFonts w:hint="eastAsia" w:ascii="仿宋_GB2312" w:hAnsi="宋体" w:eastAsia="仿宋_GB2312" w:cs="宋体"/>
          <w:b/>
          <w:color w:val="auto"/>
          <w:sz w:val="24"/>
          <w:szCs w:val="24"/>
        </w:rPr>
        <w:t>质疑和投诉</w:t>
      </w:r>
    </w:p>
    <w:p w14:paraId="2DEE6C1D">
      <w:pPr>
        <w:pStyle w:val="27"/>
        <w:snapToGrid w:val="0"/>
        <w:spacing w:line="400" w:lineRule="exact"/>
        <w:ind w:firstLine="482" w:firstLineChars="200"/>
        <w:rPr>
          <w:rFonts w:ascii="仿宋_GB2312" w:hAnsi="宋体" w:eastAsia="仿宋_GB2312"/>
          <w:bCs/>
          <w:color w:val="auto"/>
          <w:sz w:val="24"/>
          <w:szCs w:val="24"/>
        </w:rPr>
      </w:pPr>
      <w:r>
        <w:rPr>
          <w:rFonts w:hint="eastAsia" w:ascii="仿宋_GB2312" w:hAnsi="宋体" w:eastAsia="仿宋_GB2312"/>
          <w:b/>
          <w:color w:val="auto"/>
          <w:sz w:val="24"/>
        </w:rPr>
        <w:t>注：投标人对电子标项目提出质疑和投诉的，应按照《政府采购质疑和投诉办法》（财政部令第94号）规定的方式提交质疑和投诉。</w:t>
      </w:r>
    </w:p>
    <w:p w14:paraId="421396CF">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4B222499">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9.1.1对可以质疑的采购文件提出质疑的，为收到采购文件之日或者采购文件公告期限届满之日；</w:t>
      </w:r>
    </w:p>
    <w:p w14:paraId="08B39A54">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9.1.2对采购过程提出质疑的，为各采购程序环节结束之日；</w:t>
      </w:r>
    </w:p>
    <w:p w14:paraId="283805F4">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9.1.3对成交结果提出质疑的，为成交结果公告期限届满之日。</w:t>
      </w:r>
    </w:p>
    <w:p w14:paraId="60D2C8CE">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投标人对采购人或采购代理机构的答复不满意或者采购人、采购代理机构未在规定时间内作出答复的，可以在答复期满后十五个工作日内向同级政府采购监管部门投诉。</w:t>
      </w:r>
    </w:p>
    <w:p w14:paraId="273E2145">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111C2C6F">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4F8633EE">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9.4质疑书面要求</w:t>
      </w:r>
    </w:p>
    <w:p w14:paraId="06736524">
      <w:pPr>
        <w:pStyle w:val="27"/>
        <w:spacing w:line="400" w:lineRule="exact"/>
        <w:ind w:firstLine="480" w:firstLineChars="200"/>
        <w:rPr>
          <w:rFonts w:ascii="仿宋_GB2312" w:hAnsi="宋体" w:eastAsia="仿宋_GB2312"/>
          <w:color w:val="auto"/>
          <w:sz w:val="24"/>
          <w:szCs w:val="24"/>
        </w:rPr>
      </w:pPr>
      <w:r>
        <w:rPr>
          <w:rFonts w:hint="eastAsia" w:ascii="仿宋_GB2312" w:hAnsi="宋体" w:eastAsia="仿宋_GB2312"/>
          <w:bCs/>
          <w:color w:val="auto"/>
          <w:sz w:val="24"/>
          <w:szCs w:val="24"/>
        </w:rPr>
        <w:t>9.4.1质疑人质疑时须提交质疑</w:t>
      </w:r>
      <w:r>
        <w:rPr>
          <w:rFonts w:ascii="仿宋_GB2312" w:hAnsi="宋体" w:eastAsia="仿宋_GB2312"/>
          <w:color w:val="auto"/>
          <w:sz w:val="24"/>
          <w:szCs w:val="24"/>
        </w:rPr>
        <w:t>函</w:t>
      </w:r>
      <w:r>
        <w:rPr>
          <w:rFonts w:hint="eastAsia" w:ascii="仿宋_GB2312" w:hAnsi="宋体" w:eastAsia="仿宋_GB2312"/>
          <w:color w:val="auto"/>
          <w:sz w:val="24"/>
          <w:szCs w:val="24"/>
        </w:rPr>
        <w:t>和必要的证明材料</w:t>
      </w:r>
      <w:r>
        <w:rPr>
          <w:rFonts w:hint="eastAsia" w:ascii="仿宋_GB2312" w:eastAsia="仿宋_GB2312"/>
          <w:color w:val="auto"/>
          <w:sz w:val="24"/>
        </w:rPr>
        <w:t>，</w:t>
      </w:r>
      <w:r>
        <w:rPr>
          <w:rFonts w:hint="eastAsia" w:ascii="仿宋_GB2312" w:hAnsi="宋体" w:eastAsia="仿宋_GB2312"/>
          <w:color w:val="auto"/>
          <w:sz w:val="24"/>
          <w:szCs w:val="24"/>
        </w:rPr>
        <w:t>供应商须在法定质疑期内一次性提出针对同一采购程序环节的质疑。</w:t>
      </w:r>
      <w:r>
        <w:rPr>
          <w:rFonts w:hint="eastAsia" w:ascii="仿宋_GB2312" w:hAnsi="宋体" w:eastAsia="仿宋_GB2312"/>
          <w:bCs/>
          <w:color w:val="auto"/>
          <w:sz w:val="24"/>
          <w:szCs w:val="24"/>
        </w:rPr>
        <w:t>质疑函至少包括下列主要内容：</w:t>
      </w:r>
    </w:p>
    <w:p w14:paraId="3898D3E2">
      <w:pPr>
        <w:pStyle w:val="27"/>
        <w:numPr>
          <w:ilvl w:val="0"/>
          <w:numId w:val="4"/>
        </w:numPr>
        <w:tabs>
          <w:tab w:val="left" w:pos="1150"/>
          <w:tab w:val="left" w:pos="1350"/>
        </w:tabs>
        <w:spacing w:line="400" w:lineRule="exact"/>
        <w:rPr>
          <w:rFonts w:ascii="仿宋_GB2312" w:hAnsi="宋体" w:eastAsia="仿宋_GB2312"/>
          <w:color w:val="auto"/>
          <w:sz w:val="24"/>
          <w:szCs w:val="24"/>
        </w:rPr>
      </w:pPr>
      <w:r>
        <w:rPr>
          <w:rFonts w:hint="eastAsia" w:ascii="仿宋_GB2312" w:hAnsi="宋体" w:eastAsia="仿宋_GB2312"/>
          <w:color w:val="auto"/>
          <w:sz w:val="24"/>
          <w:szCs w:val="24"/>
        </w:rPr>
        <w:t>供应商的姓名或名称、地址、邮编、联系人及联系电话；</w:t>
      </w:r>
    </w:p>
    <w:p w14:paraId="4E6715F7">
      <w:pPr>
        <w:pStyle w:val="27"/>
        <w:numPr>
          <w:ilvl w:val="0"/>
          <w:numId w:val="4"/>
        </w:numPr>
        <w:spacing w:line="400" w:lineRule="exact"/>
        <w:rPr>
          <w:rFonts w:ascii="仿宋_GB2312" w:hAnsi="宋体" w:eastAsia="仿宋_GB2312"/>
          <w:color w:val="auto"/>
          <w:sz w:val="24"/>
          <w:szCs w:val="24"/>
        </w:rPr>
      </w:pPr>
      <w:r>
        <w:rPr>
          <w:rFonts w:hint="eastAsia" w:ascii="仿宋_GB2312" w:hAnsi="宋体" w:eastAsia="仿宋_GB2312"/>
          <w:color w:val="auto"/>
          <w:sz w:val="24"/>
          <w:szCs w:val="24"/>
        </w:rPr>
        <w:t>质疑项目的名称、编号；</w:t>
      </w:r>
    </w:p>
    <w:p w14:paraId="786E9073">
      <w:pPr>
        <w:pStyle w:val="27"/>
        <w:numPr>
          <w:ilvl w:val="0"/>
          <w:numId w:val="4"/>
        </w:numPr>
        <w:spacing w:line="400" w:lineRule="exact"/>
        <w:rPr>
          <w:rFonts w:ascii="仿宋_GB2312" w:hAnsi="宋体" w:eastAsia="仿宋_GB2312"/>
          <w:color w:val="auto"/>
          <w:sz w:val="24"/>
          <w:szCs w:val="24"/>
        </w:rPr>
      </w:pPr>
      <w:r>
        <w:rPr>
          <w:rFonts w:hint="eastAsia" w:ascii="仿宋_GB2312" w:hAnsi="宋体" w:eastAsia="仿宋_GB2312"/>
          <w:color w:val="auto"/>
          <w:sz w:val="24"/>
          <w:szCs w:val="24"/>
        </w:rPr>
        <w:t>具体、明确的质疑事项和与质疑事项相关的请求；</w:t>
      </w:r>
    </w:p>
    <w:p w14:paraId="091CE403">
      <w:pPr>
        <w:pStyle w:val="27"/>
        <w:numPr>
          <w:ilvl w:val="0"/>
          <w:numId w:val="4"/>
        </w:numPr>
        <w:spacing w:line="400" w:lineRule="exact"/>
        <w:rPr>
          <w:rFonts w:ascii="仿宋_GB2312" w:hAnsi="宋体" w:eastAsia="仿宋_GB2312"/>
          <w:color w:val="auto"/>
          <w:sz w:val="24"/>
          <w:szCs w:val="24"/>
        </w:rPr>
      </w:pPr>
      <w:r>
        <w:rPr>
          <w:rFonts w:hint="eastAsia" w:ascii="仿宋_GB2312" w:hAnsi="宋体" w:eastAsia="仿宋_GB2312"/>
          <w:color w:val="auto"/>
          <w:sz w:val="24"/>
          <w:szCs w:val="24"/>
        </w:rPr>
        <w:t>事实依据；</w:t>
      </w:r>
    </w:p>
    <w:p w14:paraId="3D54D258">
      <w:pPr>
        <w:pStyle w:val="27"/>
        <w:numPr>
          <w:ilvl w:val="0"/>
          <w:numId w:val="4"/>
        </w:numPr>
        <w:spacing w:line="400" w:lineRule="exact"/>
        <w:rPr>
          <w:rFonts w:ascii="仿宋_GB2312" w:hAnsi="宋体" w:eastAsia="仿宋_GB2312"/>
          <w:color w:val="auto"/>
          <w:sz w:val="24"/>
          <w:szCs w:val="24"/>
        </w:rPr>
      </w:pPr>
      <w:r>
        <w:rPr>
          <w:rFonts w:hint="eastAsia" w:ascii="仿宋_GB2312" w:hAnsi="宋体" w:eastAsia="仿宋_GB2312"/>
          <w:color w:val="auto"/>
          <w:sz w:val="24"/>
          <w:szCs w:val="24"/>
        </w:rPr>
        <w:t>必要的法律依据；</w:t>
      </w:r>
    </w:p>
    <w:p w14:paraId="24F0AFA0">
      <w:pPr>
        <w:pStyle w:val="27"/>
        <w:numPr>
          <w:ilvl w:val="0"/>
          <w:numId w:val="4"/>
        </w:numPr>
        <w:spacing w:line="400" w:lineRule="exact"/>
        <w:ind w:left="1025" w:hanging="590"/>
        <w:rPr>
          <w:rFonts w:ascii="仿宋_GB2312" w:hAnsi="宋体" w:eastAsia="仿宋_GB2312"/>
          <w:color w:val="auto"/>
          <w:sz w:val="24"/>
          <w:szCs w:val="24"/>
        </w:rPr>
      </w:pPr>
      <w:r>
        <w:rPr>
          <w:rFonts w:hint="eastAsia" w:ascii="仿宋_GB2312" w:hAnsi="宋体" w:eastAsia="仿宋_GB2312"/>
          <w:color w:val="auto"/>
          <w:sz w:val="24"/>
          <w:szCs w:val="24"/>
        </w:rPr>
        <w:t>提出质疑的日期。</w:t>
      </w:r>
    </w:p>
    <w:p w14:paraId="0E99FCD7">
      <w:pPr>
        <w:pStyle w:val="27"/>
        <w:snapToGrid w:val="0"/>
        <w:spacing w:line="400" w:lineRule="exact"/>
        <w:ind w:firstLine="480" w:firstLineChars="200"/>
        <w:rPr>
          <w:rFonts w:ascii="仿宋_GB2312" w:hAnsi="宋体" w:eastAsia="仿宋_GB2312"/>
          <w:bCs/>
          <w:color w:val="auto"/>
          <w:sz w:val="24"/>
          <w:szCs w:val="24"/>
        </w:rPr>
      </w:pPr>
      <w:r>
        <w:rPr>
          <w:rFonts w:hint="eastAsia" w:ascii="仿宋_GB2312" w:hAnsi="宋体" w:eastAsia="仿宋_GB2312"/>
          <w:bCs/>
          <w:color w:val="auto"/>
          <w:sz w:val="24"/>
          <w:szCs w:val="24"/>
        </w:rPr>
        <w:t>供应商为自然人的，应当由本人签字；供应商为法人或者其他组织的，应当由法定代表人、主要负责人，或其授权代表签字或者盖章，并加盖公章。</w:t>
      </w:r>
    </w:p>
    <w:p w14:paraId="4E0CA9BE">
      <w:pPr>
        <w:pStyle w:val="27"/>
        <w:spacing w:line="400" w:lineRule="exact"/>
        <w:ind w:firstLine="480" w:firstLineChars="200"/>
        <w:rPr>
          <w:rFonts w:ascii="仿宋_GB2312" w:hAnsi="宋体" w:eastAsia="仿宋_GB2312"/>
          <w:color w:val="auto"/>
          <w:sz w:val="24"/>
          <w:szCs w:val="24"/>
        </w:rPr>
      </w:pPr>
      <w:r>
        <w:rPr>
          <w:rFonts w:hint="eastAsia" w:ascii="仿宋_GB2312" w:hAnsi="宋体" w:eastAsia="仿宋_GB2312"/>
          <w:bCs/>
          <w:color w:val="auto"/>
          <w:sz w:val="24"/>
          <w:szCs w:val="24"/>
        </w:rPr>
        <w:t>代理人提出质疑和投诉，应当提交供应商签署的授权委托书。</w:t>
      </w:r>
    </w:p>
    <w:p w14:paraId="123DF2EA">
      <w:pPr>
        <w:snapToGrid w:val="0"/>
        <w:spacing w:line="400" w:lineRule="exact"/>
        <w:ind w:firstLine="480" w:firstLineChars="200"/>
        <w:jc w:val="left"/>
        <w:rPr>
          <w:rFonts w:ascii="仿宋_GB2312" w:eastAsia="仿宋_GB2312" w:cs="Courier New"/>
          <w:color w:val="auto"/>
          <w:sz w:val="24"/>
        </w:rPr>
      </w:pPr>
      <w:r>
        <w:rPr>
          <w:rFonts w:hint="eastAsia" w:ascii="仿宋_GB2312" w:eastAsia="仿宋_GB2312" w:cs="Courier New"/>
          <w:color w:val="auto"/>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3BDBDA61">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9.6联系部门：柳州市政府集中采购中心监督科。</w:t>
      </w:r>
    </w:p>
    <w:p w14:paraId="49B7FCA3">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9.7联系电话：0772-2992103。</w:t>
      </w:r>
    </w:p>
    <w:p w14:paraId="68D03FC8">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9.8通讯地址：广西</w:t>
      </w:r>
      <w:r>
        <w:rPr>
          <w:rFonts w:ascii="仿宋_GB2312" w:eastAsia="仿宋_GB2312" w:cs="Courier New"/>
          <w:color w:val="auto"/>
          <w:sz w:val="24"/>
        </w:rPr>
        <w:t>柳州市三中路6</w:t>
      </w:r>
      <w:r>
        <w:rPr>
          <w:rFonts w:hint="eastAsia" w:ascii="仿宋_GB2312" w:eastAsia="仿宋_GB2312" w:cs="Courier New"/>
          <w:color w:val="auto"/>
          <w:sz w:val="24"/>
        </w:rPr>
        <w:t>4-2</w:t>
      </w:r>
      <w:r>
        <w:rPr>
          <w:rFonts w:ascii="仿宋_GB2312" w:eastAsia="仿宋_GB2312" w:cs="Courier New"/>
          <w:color w:val="auto"/>
          <w:sz w:val="24"/>
        </w:rPr>
        <w:t>号</w:t>
      </w:r>
      <w:r>
        <w:rPr>
          <w:rFonts w:hint="eastAsia" w:ascii="仿宋_GB2312" w:eastAsia="仿宋_GB2312" w:cs="Courier New"/>
          <w:color w:val="auto"/>
          <w:sz w:val="24"/>
        </w:rPr>
        <w:t>。</w:t>
      </w:r>
    </w:p>
    <w:p w14:paraId="60255C78">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9.9现场提交质疑办理业务时间：工作日8时00分到12时00分，15时00分到18时 00分，业务时间以外、双休日和法定节假日不办理业务。</w:t>
      </w:r>
    </w:p>
    <w:p w14:paraId="0A7F1033">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9.10投诉的书面要求</w:t>
      </w:r>
    </w:p>
    <w:p w14:paraId="0631A45F">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9.10.1符合《政府采购质疑和投诉办法》（财政部第94号令）要求。</w:t>
      </w:r>
    </w:p>
    <w:p w14:paraId="4B012C62">
      <w:pPr>
        <w:pStyle w:val="27"/>
        <w:snapToGrid w:val="0"/>
        <w:spacing w:line="360" w:lineRule="exact"/>
        <w:ind w:right="-330" w:rightChars="-157" w:firstLine="472" w:firstLineChars="196"/>
        <w:rPr>
          <w:rFonts w:ascii="仿宋_GB2312" w:hAnsi="宋体" w:eastAsia="仿宋_GB2312"/>
          <w:b/>
          <w:color w:val="auto"/>
          <w:sz w:val="24"/>
          <w:szCs w:val="24"/>
        </w:rPr>
      </w:pPr>
      <w:r>
        <w:rPr>
          <w:rFonts w:hint="eastAsia" w:ascii="仿宋_GB2312" w:hAnsi="宋体" w:eastAsia="仿宋_GB2312"/>
          <w:b/>
          <w:color w:val="auto"/>
          <w:sz w:val="24"/>
          <w:szCs w:val="24"/>
        </w:rPr>
        <w:t>二、招标文件</w:t>
      </w:r>
      <w:bookmarkEnd w:id="187"/>
      <w:bookmarkEnd w:id="188"/>
    </w:p>
    <w:p w14:paraId="39D8CBAE">
      <w:pPr>
        <w:snapToGrid w:val="0"/>
        <w:spacing w:line="360" w:lineRule="exact"/>
        <w:ind w:right="-330" w:rightChars="-157" w:firstLine="472" w:firstLineChars="196"/>
        <w:jc w:val="left"/>
        <w:rPr>
          <w:rFonts w:eastAsia="仿宋_GB2312" w:asciiTheme="minorHAnsi" w:hAnsiTheme="minorHAnsi"/>
          <w:b/>
          <w:color w:val="auto"/>
          <w:sz w:val="24"/>
          <w:lang w:val="en-GB"/>
        </w:rPr>
      </w:pPr>
      <w:r>
        <w:rPr>
          <w:rFonts w:hint="eastAsia" w:ascii="仿宋_GB2312" w:eastAsia="仿宋_GB2312" w:cs="Courier New"/>
          <w:b/>
          <w:color w:val="auto"/>
          <w:sz w:val="24"/>
        </w:rPr>
        <w:t>10.招标文件的构成</w:t>
      </w:r>
    </w:p>
    <w:p w14:paraId="58C22867">
      <w:pPr>
        <w:tabs>
          <w:tab w:val="left" w:pos="3870"/>
          <w:tab w:val="left" w:pos="4085"/>
        </w:tabs>
        <w:snapToGrid w:val="0"/>
        <w:spacing w:line="360" w:lineRule="exact"/>
        <w:ind w:right="-330" w:rightChars="-157" w:firstLine="720" w:firstLineChars="300"/>
        <w:jc w:val="left"/>
        <w:rPr>
          <w:rFonts w:ascii="仿宋_GB2312" w:eastAsia="仿宋_GB2312"/>
          <w:color w:val="auto"/>
          <w:sz w:val="24"/>
        </w:rPr>
      </w:pPr>
      <w:r>
        <w:rPr>
          <w:rFonts w:ascii="仿宋_GB2312" w:eastAsia="仿宋_GB2312"/>
          <w:color w:val="auto"/>
          <w:sz w:val="24"/>
        </w:rPr>
        <w:t>（1）公开招标公告；</w:t>
      </w:r>
    </w:p>
    <w:p w14:paraId="1F404F4C">
      <w:pPr>
        <w:tabs>
          <w:tab w:val="left" w:pos="3870"/>
          <w:tab w:val="left" w:pos="4085"/>
        </w:tabs>
        <w:snapToGrid w:val="0"/>
        <w:spacing w:line="360" w:lineRule="exact"/>
        <w:ind w:right="-330" w:rightChars="-157" w:firstLine="720" w:firstLineChars="300"/>
        <w:jc w:val="left"/>
        <w:rPr>
          <w:rFonts w:ascii="仿宋_GB2312" w:eastAsia="仿宋_GB2312"/>
          <w:color w:val="auto"/>
          <w:sz w:val="24"/>
        </w:rPr>
      </w:pPr>
      <w:r>
        <w:rPr>
          <w:rFonts w:ascii="仿宋_GB2312" w:eastAsia="仿宋_GB2312"/>
          <w:color w:val="auto"/>
          <w:sz w:val="24"/>
        </w:rPr>
        <w:t>（2）采购需求；</w:t>
      </w:r>
    </w:p>
    <w:p w14:paraId="33B1B2CD">
      <w:pPr>
        <w:tabs>
          <w:tab w:val="left" w:pos="3870"/>
          <w:tab w:val="left" w:pos="4085"/>
        </w:tabs>
        <w:snapToGrid w:val="0"/>
        <w:spacing w:line="360" w:lineRule="exact"/>
        <w:ind w:right="-330" w:rightChars="-157" w:firstLine="720" w:firstLineChars="300"/>
        <w:jc w:val="left"/>
        <w:rPr>
          <w:rFonts w:ascii="仿宋_GB2312" w:eastAsia="仿宋_GB2312"/>
          <w:color w:val="auto"/>
          <w:sz w:val="24"/>
        </w:rPr>
      </w:pPr>
      <w:r>
        <w:rPr>
          <w:rFonts w:ascii="仿宋_GB2312" w:eastAsia="仿宋_GB2312"/>
          <w:color w:val="auto"/>
          <w:sz w:val="24"/>
        </w:rPr>
        <w:t>（3）投标人须知；</w:t>
      </w:r>
    </w:p>
    <w:p w14:paraId="10B74DE7">
      <w:pPr>
        <w:tabs>
          <w:tab w:val="left" w:pos="3870"/>
          <w:tab w:val="left" w:pos="4085"/>
        </w:tabs>
        <w:snapToGrid w:val="0"/>
        <w:spacing w:line="360" w:lineRule="exact"/>
        <w:ind w:right="-330" w:rightChars="-157" w:firstLine="720" w:firstLineChars="300"/>
        <w:jc w:val="left"/>
        <w:rPr>
          <w:rFonts w:ascii="仿宋_GB2312" w:eastAsia="仿宋_GB2312"/>
          <w:color w:val="auto"/>
          <w:sz w:val="24"/>
        </w:rPr>
      </w:pPr>
      <w:r>
        <w:rPr>
          <w:rFonts w:ascii="仿宋_GB2312" w:eastAsia="仿宋_GB2312"/>
          <w:color w:val="auto"/>
          <w:sz w:val="24"/>
        </w:rPr>
        <w:t>（4）评标方法及评标标准；</w:t>
      </w:r>
    </w:p>
    <w:p w14:paraId="2968BD29">
      <w:pPr>
        <w:tabs>
          <w:tab w:val="left" w:pos="3870"/>
          <w:tab w:val="left" w:pos="4085"/>
        </w:tabs>
        <w:snapToGrid w:val="0"/>
        <w:spacing w:line="360" w:lineRule="exact"/>
        <w:ind w:right="-330" w:rightChars="-157" w:firstLine="720" w:firstLineChars="300"/>
        <w:jc w:val="left"/>
        <w:rPr>
          <w:rFonts w:ascii="仿宋_GB2312" w:eastAsia="仿宋_GB2312"/>
          <w:color w:val="auto"/>
          <w:sz w:val="24"/>
        </w:rPr>
      </w:pPr>
      <w:r>
        <w:rPr>
          <w:rFonts w:ascii="仿宋_GB2312" w:eastAsia="仿宋_GB2312"/>
          <w:color w:val="auto"/>
          <w:sz w:val="24"/>
        </w:rPr>
        <w:t>（5）合同主要条款及验收书格式；</w:t>
      </w:r>
    </w:p>
    <w:p w14:paraId="7CD4621B">
      <w:pPr>
        <w:tabs>
          <w:tab w:val="left" w:pos="3870"/>
          <w:tab w:val="left" w:pos="4085"/>
        </w:tabs>
        <w:snapToGrid w:val="0"/>
        <w:spacing w:line="360" w:lineRule="exact"/>
        <w:ind w:right="-330" w:rightChars="-157" w:firstLine="720" w:firstLineChars="300"/>
        <w:jc w:val="left"/>
        <w:rPr>
          <w:rFonts w:ascii="仿宋_GB2312" w:eastAsia="仿宋_GB2312"/>
          <w:color w:val="auto"/>
          <w:sz w:val="24"/>
        </w:rPr>
      </w:pPr>
      <w:r>
        <w:rPr>
          <w:rFonts w:ascii="仿宋_GB2312" w:eastAsia="仿宋_GB2312"/>
          <w:color w:val="auto"/>
          <w:sz w:val="24"/>
        </w:rPr>
        <w:t>（6）投标文件格式。</w:t>
      </w:r>
    </w:p>
    <w:p w14:paraId="4DF9B46F">
      <w:pPr>
        <w:snapToGrid w:val="0"/>
        <w:spacing w:line="400" w:lineRule="exact"/>
        <w:ind w:firstLine="472" w:firstLineChars="196"/>
        <w:jc w:val="left"/>
        <w:rPr>
          <w:rFonts w:ascii="仿宋_GB2312" w:eastAsia="仿宋_GB2312" w:cs="Courier New"/>
          <w:b/>
          <w:color w:val="auto"/>
          <w:sz w:val="24"/>
        </w:rPr>
      </w:pPr>
      <w:r>
        <w:rPr>
          <w:rFonts w:hint="eastAsia" w:ascii="仿宋_GB2312" w:eastAsia="仿宋_GB2312" w:cs="Courier New"/>
          <w:b/>
          <w:color w:val="auto"/>
          <w:sz w:val="24"/>
        </w:rPr>
        <w:t>11.投标人的风险</w:t>
      </w:r>
    </w:p>
    <w:p w14:paraId="4506BF76">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11.1投标人没有按照招标文件要求提供全部资料，或者投标人没有对招标文件在各方面作出实质性响应是投标人的风险，并可能导致其投标被拒绝。</w:t>
      </w:r>
    </w:p>
    <w:p w14:paraId="792047A6">
      <w:pPr>
        <w:snapToGrid w:val="0"/>
        <w:spacing w:line="400" w:lineRule="exact"/>
        <w:ind w:firstLine="472" w:firstLineChars="196"/>
        <w:jc w:val="left"/>
        <w:rPr>
          <w:rFonts w:ascii="仿宋_GB2312" w:eastAsia="仿宋_GB2312"/>
          <w:b/>
          <w:color w:val="auto"/>
          <w:sz w:val="24"/>
        </w:rPr>
      </w:pPr>
      <w:r>
        <w:rPr>
          <w:rFonts w:hint="eastAsia" w:ascii="仿宋_GB2312" w:eastAsia="仿宋_GB2312" w:cs="Courier New"/>
          <w:b/>
          <w:color w:val="auto"/>
          <w:sz w:val="24"/>
        </w:rPr>
        <w:t>12.招标文件的澄清与修改</w:t>
      </w:r>
      <w:r>
        <w:rPr>
          <w:rFonts w:hint="eastAsia" w:ascii="仿宋_GB2312" w:eastAsia="仿宋_GB2312"/>
          <w:b/>
          <w:color w:val="auto"/>
          <w:sz w:val="24"/>
        </w:rPr>
        <w:t xml:space="preserve"> </w:t>
      </w:r>
    </w:p>
    <w:p w14:paraId="61AFF209">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62DE3267">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12.2采购人或采购代理机构以书面形式答复投标人询问的问题，除书面答复以外的其他澄清方式及澄清内容均无效。</w:t>
      </w:r>
    </w:p>
    <w:p w14:paraId="4D57C953">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12.3招标文件澄清、答复、修改、补充的内容为招标文件的组成部分。当招标文件与招标文件的答复、澄清、修改、补充通知就同一内容的表述不一致时，以最后发出的书面文件为准。</w:t>
      </w:r>
    </w:p>
    <w:p w14:paraId="60CA0D68">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12.4招标文件的澄清、答复、修改或补充都应该通过本采购代理机构以法定形式发布，采购人非通过代理机构，不得擅自澄清、答复、修改或补充招标文件。</w:t>
      </w:r>
    </w:p>
    <w:p w14:paraId="75127819">
      <w:pPr>
        <w:snapToGrid w:val="0"/>
        <w:spacing w:line="400" w:lineRule="exact"/>
        <w:ind w:right="-330" w:rightChars="-157" w:firstLine="420"/>
        <w:jc w:val="left"/>
        <w:rPr>
          <w:rFonts w:ascii="仿宋_GB2312" w:eastAsia="仿宋_GB2312" w:cs="Courier New"/>
          <w:color w:val="auto"/>
          <w:sz w:val="24"/>
        </w:rPr>
      </w:pPr>
      <w:r>
        <w:rPr>
          <w:rFonts w:hint="eastAsia" w:ascii="仿宋_GB2312" w:eastAsia="仿宋_GB2312" w:cs="Courier New"/>
          <w:color w:val="auto"/>
          <w:sz w:val="24"/>
        </w:rPr>
        <w:t>12.5</w:t>
      </w:r>
      <w:r>
        <w:rPr>
          <w:rFonts w:hint="eastAsia" w:ascii="仿宋_GB2312" w:hAnsi="宋体" w:eastAsia="仿宋_GB2312"/>
          <w:color w:val="auto"/>
          <w:sz w:val="24"/>
        </w:rPr>
        <w:t>采购人或采购代理机构可以视采购具体情况，延长</w:t>
      </w:r>
      <w:r>
        <w:rPr>
          <w:rFonts w:hint="eastAsia" w:ascii="仿宋_GB2312" w:eastAsia="仿宋_GB2312"/>
          <w:color w:val="auto"/>
          <w:sz w:val="24"/>
        </w:rPr>
        <w:t>招标文件提供期限，并在财政部门指定的政府采购信息发布媒体上发布公告</w:t>
      </w:r>
      <w:r>
        <w:rPr>
          <w:rFonts w:hint="eastAsia" w:ascii="仿宋_GB2312" w:eastAsia="仿宋_GB2312" w:cs="Courier New"/>
          <w:color w:val="auto"/>
          <w:sz w:val="24"/>
        </w:rPr>
        <w:t>。</w:t>
      </w:r>
    </w:p>
    <w:p w14:paraId="56766693">
      <w:pPr>
        <w:snapToGrid w:val="0"/>
        <w:spacing w:line="400" w:lineRule="exact"/>
        <w:ind w:right="-330" w:rightChars="-157" w:firstLine="472" w:firstLineChars="196"/>
        <w:jc w:val="left"/>
        <w:rPr>
          <w:rFonts w:ascii="仿宋_GB2312" w:eastAsia="仿宋_GB2312" w:cs="Courier New"/>
          <w:b/>
          <w:color w:val="auto"/>
          <w:sz w:val="24"/>
        </w:rPr>
      </w:pPr>
      <w:bookmarkStart w:id="199" w:name="_Toc254970676"/>
      <w:bookmarkStart w:id="200" w:name="_Toc254970535"/>
      <w:r>
        <w:rPr>
          <w:rFonts w:hint="eastAsia" w:ascii="仿宋_GB2312" w:eastAsia="仿宋_GB2312" w:cs="Courier New"/>
          <w:b/>
          <w:color w:val="auto"/>
          <w:sz w:val="24"/>
        </w:rPr>
        <w:t>三、投标文件的编制</w:t>
      </w:r>
      <w:bookmarkEnd w:id="199"/>
      <w:bookmarkEnd w:id="200"/>
    </w:p>
    <w:p w14:paraId="3E40625E">
      <w:pPr>
        <w:snapToGrid w:val="0"/>
        <w:spacing w:line="400" w:lineRule="exact"/>
        <w:ind w:right="-330" w:rightChars="-157" w:firstLine="472" w:firstLineChars="196"/>
        <w:jc w:val="left"/>
        <w:rPr>
          <w:rFonts w:ascii="仿宋_GB2312" w:eastAsia="仿宋_GB2312"/>
          <w:b/>
          <w:color w:val="auto"/>
          <w:sz w:val="24"/>
        </w:rPr>
      </w:pPr>
      <w:r>
        <w:rPr>
          <w:rFonts w:hint="eastAsia" w:ascii="仿宋_GB2312" w:eastAsia="仿宋_GB2312" w:cs="Courier New"/>
          <w:b/>
          <w:color w:val="auto"/>
          <w:sz w:val="24"/>
        </w:rPr>
        <w:t>13.投标文件的组成</w:t>
      </w:r>
    </w:p>
    <w:p w14:paraId="70D748F1">
      <w:pPr>
        <w:snapToGrid w:val="0"/>
        <w:spacing w:line="400" w:lineRule="exact"/>
        <w:ind w:firstLine="482" w:firstLineChars="200"/>
        <w:jc w:val="left"/>
        <w:rPr>
          <w:rFonts w:ascii="仿宋_GB2312" w:eastAsia="仿宋_GB2312"/>
          <w:b/>
          <w:bCs/>
          <w:color w:val="auto"/>
          <w:sz w:val="24"/>
        </w:rPr>
      </w:pPr>
      <w:r>
        <w:rPr>
          <w:rFonts w:hint="eastAsia" w:ascii="仿宋_GB2312" w:eastAsia="仿宋_GB2312"/>
          <w:b/>
          <w:bCs/>
          <w:color w:val="auto"/>
          <w:sz w:val="24"/>
        </w:rPr>
        <w:t>13.1投标文件由资格文件、报价要求文件、商务技术文件三部分组成。</w:t>
      </w:r>
    </w:p>
    <w:bookmarkEnd w:id="189"/>
    <w:bookmarkEnd w:id="190"/>
    <w:p w14:paraId="7F3FA79A">
      <w:pPr>
        <w:snapToGrid w:val="0"/>
        <w:spacing w:line="400" w:lineRule="exact"/>
        <w:ind w:right="-330" w:rightChars="-157" w:firstLine="472" w:firstLineChars="196"/>
        <w:jc w:val="left"/>
        <w:rPr>
          <w:rFonts w:ascii="仿宋_GB2312" w:eastAsia="仿宋_GB2312" w:cs="Courier New"/>
          <w:b/>
          <w:color w:val="auto"/>
          <w:sz w:val="24"/>
        </w:rPr>
      </w:pPr>
      <w:r>
        <w:rPr>
          <w:rFonts w:hint="eastAsia" w:ascii="仿宋_GB2312" w:eastAsia="仿宋_GB2312"/>
          <w:b/>
          <w:color w:val="auto"/>
          <w:sz w:val="24"/>
        </w:rPr>
        <w:t>13.1.</w:t>
      </w:r>
      <w:r>
        <w:rPr>
          <w:rFonts w:ascii="仿宋_GB2312" w:eastAsia="仿宋_GB2312"/>
          <w:b/>
          <w:color w:val="auto"/>
          <w:sz w:val="24"/>
        </w:rPr>
        <w:t>1</w:t>
      </w:r>
      <w:r>
        <w:rPr>
          <w:rFonts w:hint="eastAsia" w:ascii="仿宋_GB2312" w:eastAsia="仿宋_GB2312" w:cs="Courier New"/>
          <w:b/>
          <w:bCs/>
          <w:color w:val="auto"/>
          <w:sz w:val="24"/>
        </w:rPr>
        <w:t>资格文件</w:t>
      </w:r>
    </w:p>
    <w:p w14:paraId="644CDC1E">
      <w:pPr>
        <w:snapToGrid w:val="0"/>
        <w:spacing w:line="400" w:lineRule="exact"/>
        <w:ind w:right="-330" w:rightChars="-157" w:firstLine="472" w:firstLineChars="196"/>
        <w:jc w:val="left"/>
        <w:rPr>
          <w:rFonts w:ascii="仿宋_GB2312" w:hAnsi="宋体" w:eastAsia="仿宋_GB2312" w:cs="Courier New"/>
          <w:color w:val="auto"/>
          <w:sz w:val="24"/>
        </w:rPr>
      </w:pPr>
      <w:r>
        <w:rPr>
          <w:rFonts w:hint="eastAsia" w:ascii="仿宋_GB2312" w:hAnsi="宋体" w:eastAsia="仿宋_GB2312"/>
          <w:b/>
          <w:bCs/>
          <w:color w:val="auto"/>
          <w:sz w:val="24"/>
        </w:rPr>
        <w:t>注：以下各项必须提供并加盖投标人CA电子签章、按照第六章格式要求签字，否则其投标无效。</w:t>
      </w:r>
    </w:p>
    <w:p w14:paraId="55915BDF">
      <w:pPr>
        <w:pStyle w:val="258"/>
        <w:spacing w:before="0" w:beforeAutospacing="0" w:after="0" w:afterAutospacing="0" w:line="400" w:lineRule="exact"/>
        <w:rPr>
          <w:rFonts w:ascii="仿宋_GB2312" w:eastAsia="仿宋_GB2312"/>
          <w:color w:val="auto"/>
        </w:rPr>
      </w:pPr>
      <w:r>
        <w:rPr>
          <w:rFonts w:hint="eastAsia" w:ascii="仿宋_GB2312" w:eastAsia="仿宋_GB2312"/>
          <w:color w:val="auto"/>
        </w:rPr>
        <w:t>  （1）法定代表人身份证明书（</w:t>
      </w:r>
      <w:r>
        <w:rPr>
          <w:rFonts w:hint="eastAsia" w:ascii="仿宋_GB2312" w:eastAsia="仿宋_GB2312"/>
          <w:b/>
          <w:bCs/>
          <w:color w:val="auto"/>
        </w:rPr>
        <w:t>必须提供</w:t>
      </w:r>
      <w:r>
        <w:rPr>
          <w:rFonts w:hint="eastAsia" w:ascii="仿宋_GB2312" w:eastAsia="仿宋_GB2312"/>
          <w:color w:val="auto"/>
        </w:rPr>
        <w:t>，格式见第六章）；</w:t>
      </w:r>
    </w:p>
    <w:p w14:paraId="0FC3C240">
      <w:pPr>
        <w:pStyle w:val="258"/>
        <w:spacing w:before="0" w:beforeAutospacing="0" w:after="0" w:afterAutospacing="0" w:line="400" w:lineRule="exact"/>
        <w:rPr>
          <w:rFonts w:ascii="仿宋_GB2312" w:eastAsia="仿宋_GB2312"/>
          <w:color w:val="auto"/>
        </w:rPr>
      </w:pPr>
      <w:r>
        <w:rPr>
          <w:rFonts w:hint="eastAsia" w:ascii="仿宋_GB2312" w:eastAsia="仿宋_GB2312"/>
          <w:color w:val="auto"/>
        </w:rPr>
        <w:t>  （2）法定代表人授权委托书（</w:t>
      </w:r>
      <w:r>
        <w:rPr>
          <w:rFonts w:hint="eastAsia" w:ascii="仿宋_GB2312" w:eastAsia="仿宋_GB2312"/>
          <w:b/>
          <w:bCs/>
          <w:color w:val="auto"/>
        </w:rPr>
        <w:t>委托代理时必须提供</w:t>
      </w:r>
      <w:r>
        <w:rPr>
          <w:rFonts w:hint="eastAsia" w:ascii="仿宋_GB2312" w:eastAsia="仿宋_GB2312"/>
          <w:color w:val="auto"/>
        </w:rPr>
        <w:t>，格式见第六章）；</w:t>
      </w:r>
    </w:p>
    <w:p w14:paraId="121454DA">
      <w:pPr>
        <w:pStyle w:val="258"/>
        <w:spacing w:before="0" w:beforeAutospacing="0" w:after="0" w:afterAutospacing="0" w:line="400" w:lineRule="exact"/>
        <w:rPr>
          <w:rFonts w:ascii="仿宋_GB2312" w:eastAsia="仿宋_GB2312"/>
          <w:color w:val="auto"/>
        </w:rPr>
      </w:pPr>
      <w:r>
        <w:rPr>
          <w:rFonts w:hint="eastAsia" w:ascii="仿宋_GB2312" w:eastAsia="仿宋_GB2312"/>
          <w:color w:val="auto"/>
        </w:rPr>
        <w:t>  （3）投标人资格声明函（</w:t>
      </w:r>
      <w:r>
        <w:rPr>
          <w:rFonts w:hint="eastAsia" w:ascii="仿宋_GB2312" w:eastAsia="仿宋_GB2312"/>
          <w:b/>
          <w:bCs/>
          <w:color w:val="auto"/>
        </w:rPr>
        <w:t>必须提供</w:t>
      </w:r>
      <w:r>
        <w:rPr>
          <w:rFonts w:hint="eastAsia" w:ascii="仿宋_GB2312" w:eastAsia="仿宋_GB2312"/>
          <w:color w:val="auto"/>
        </w:rPr>
        <w:t>，格式见第六章）；</w:t>
      </w:r>
    </w:p>
    <w:p w14:paraId="57479500">
      <w:pPr>
        <w:pStyle w:val="258"/>
        <w:spacing w:before="0" w:beforeAutospacing="0" w:after="0" w:afterAutospacing="0" w:line="400" w:lineRule="exact"/>
        <w:rPr>
          <w:rFonts w:ascii="仿宋_GB2312" w:eastAsia="仿宋_GB2312"/>
          <w:color w:val="auto"/>
        </w:rPr>
      </w:pPr>
      <w:r>
        <w:rPr>
          <w:rFonts w:hint="eastAsia" w:ascii="仿宋_GB2312" w:eastAsia="仿宋_GB2312"/>
          <w:color w:val="auto"/>
        </w:rPr>
        <w:t>  （4）投标人有效主体资格证明（如营业执照、事业单位法人证书、执业许可证、自然人身份证等）（</w:t>
      </w:r>
      <w:r>
        <w:rPr>
          <w:rFonts w:hint="eastAsia" w:ascii="仿宋_GB2312" w:eastAsia="仿宋_GB2312"/>
          <w:b/>
          <w:bCs/>
          <w:color w:val="auto"/>
        </w:rPr>
        <w:t>必须提供</w:t>
      </w:r>
      <w:r>
        <w:rPr>
          <w:rFonts w:hint="eastAsia" w:ascii="仿宋_GB2312" w:eastAsia="仿宋_GB2312"/>
          <w:color w:val="auto"/>
        </w:rPr>
        <w:t>）；</w:t>
      </w:r>
    </w:p>
    <w:p w14:paraId="1D0665D2">
      <w:pPr>
        <w:pStyle w:val="258"/>
        <w:spacing w:before="0" w:beforeAutospacing="0" w:after="0" w:afterAutospacing="0" w:line="400" w:lineRule="exact"/>
        <w:rPr>
          <w:rFonts w:ascii="仿宋_GB2312" w:eastAsia="仿宋_GB2312"/>
          <w:color w:val="auto"/>
        </w:rPr>
      </w:pPr>
      <w:r>
        <w:rPr>
          <w:rFonts w:hint="eastAsia" w:ascii="仿宋_GB2312" w:eastAsia="仿宋_GB2312"/>
          <w:color w:val="auto"/>
        </w:rPr>
        <w:t>  （5）本项目属于专门面向中小企业采购的项目，投标人</w:t>
      </w:r>
      <w:r>
        <w:rPr>
          <w:rFonts w:hint="eastAsia" w:ascii="仿宋_GB2312" w:eastAsia="仿宋_GB2312"/>
          <w:b/>
          <w:bCs/>
          <w:color w:val="auto"/>
        </w:rPr>
        <w:t>必须提供</w:t>
      </w:r>
      <w:r>
        <w:rPr>
          <w:rFonts w:hint="eastAsia" w:ascii="仿宋_GB2312" w:eastAsia="仿宋_GB2312"/>
          <w:color w:val="auto"/>
        </w:rPr>
        <w:t>以下中小企业证明材料之一：</w:t>
      </w:r>
      <w:r>
        <w:rPr>
          <w:rFonts w:hint="eastAsia" w:ascii="仿宋_GB2312" w:eastAsia="仿宋_GB2312"/>
          <w:color w:val="auto"/>
        </w:rPr>
        <w:br w:type="textWrapping"/>
      </w:r>
      <w:r>
        <w:rPr>
          <w:rFonts w:hint="eastAsia" w:ascii="仿宋_GB2312" w:eastAsia="仿宋_GB2312"/>
          <w:color w:val="auto"/>
        </w:rPr>
        <w:t>   ①中小企业声明函（货物由中小企业制造的</w:t>
      </w:r>
      <w:r>
        <w:rPr>
          <w:rFonts w:hint="eastAsia" w:ascii="仿宋_GB2312" w:eastAsia="仿宋_GB2312"/>
          <w:b/>
          <w:bCs/>
          <w:color w:val="auto"/>
        </w:rPr>
        <w:t>必须提供</w:t>
      </w:r>
      <w:r>
        <w:rPr>
          <w:rFonts w:hint="eastAsia" w:ascii="仿宋_GB2312" w:eastAsia="仿宋_GB2312"/>
          <w:color w:val="auto"/>
        </w:rPr>
        <w:t>，格式见第六章）；</w:t>
      </w:r>
      <w:r>
        <w:rPr>
          <w:rFonts w:hint="eastAsia" w:ascii="仿宋_GB2312" w:eastAsia="仿宋_GB2312"/>
          <w:color w:val="auto"/>
        </w:rPr>
        <w:br w:type="textWrapping"/>
      </w:r>
      <w:r>
        <w:rPr>
          <w:rFonts w:hint="eastAsia" w:ascii="仿宋_GB2312" w:eastAsia="仿宋_GB2312"/>
          <w:color w:val="auto"/>
        </w:rPr>
        <w:t>   ②残疾人福利性单位声明函（货物由残疾人福利性单位制造的</w:t>
      </w:r>
      <w:r>
        <w:rPr>
          <w:rFonts w:hint="eastAsia" w:ascii="仿宋_GB2312" w:eastAsia="仿宋_GB2312"/>
          <w:b/>
          <w:bCs/>
          <w:color w:val="auto"/>
        </w:rPr>
        <w:t>必须提供</w:t>
      </w:r>
      <w:r>
        <w:rPr>
          <w:rFonts w:hint="eastAsia" w:ascii="仿宋_GB2312" w:eastAsia="仿宋_GB2312"/>
          <w:color w:val="auto"/>
        </w:rPr>
        <w:t>，格式见第六章）；</w:t>
      </w:r>
      <w:r>
        <w:rPr>
          <w:rFonts w:hint="eastAsia" w:ascii="仿宋_GB2312" w:eastAsia="仿宋_GB2312"/>
          <w:color w:val="auto"/>
        </w:rPr>
        <w:br w:type="textWrapping"/>
      </w:r>
      <w:r>
        <w:rPr>
          <w:rFonts w:hint="eastAsia" w:ascii="仿宋_GB2312" w:eastAsia="仿宋_GB2312"/>
          <w:color w:val="auto"/>
        </w:rPr>
        <w:t>   ③监狱企业由省级以上监狱管理局、戒毒管理局（含新疆生产建设兵团）出具的属于监狱企业的证明文件（货物由监狱企业制造的</w:t>
      </w:r>
      <w:r>
        <w:rPr>
          <w:rFonts w:hint="eastAsia" w:ascii="仿宋_GB2312" w:eastAsia="仿宋_GB2312"/>
          <w:b/>
          <w:bCs/>
          <w:color w:val="auto"/>
        </w:rPr>
        <w:t>必须提供</w:t>
      </w:r>
      <w:r>
        <w:rPr>
          <w:rFonts w:hint="eastAsia" w:ascii="仿宋_GB2312" w:eastAsia="仿宋_GB2312"/>
          <w:color w:val="auto"/>
        </w:rPr>
        <w:t>）；</w:t>
      </w:r>
    </w:p>
    <w:p w14:paraId="45FC8AC7">
      <w:pPr>
        <w:snapToGrid w:val="0"/>
        <w:spacing w:line="400" w:lineRule="exact"/>
        <w:ind w:firstLine="420"/>
        <w:jc w:val="left"/>
        <w:rPr>
          <w:rFonts w:ascii="仿宋_GB2312" w:eastAsia="仿宋_GB2312" w:cs="Courier New"/>
          <w:b/>
          <w:bCs/>
          <w:color w:val="auto"/>
          <w:sz w:val="24"/>
        </w:rPr>
      </w:pPr>
      <w:r>
        <w:rPr>
          <w:rFonts w:hint="eastAsia" w:ascii="仿宋_GB2312" w:eastAsia="仿宋_GB2312" w:cs="Courier New"/>
          <w:b/>
          <w:bCs/>
          <w:color w:val="auto"/>
          <w:sz w:val="24"/>
        </w:rPr>
        <w:t>13.1.2报价要求文件</w:t>
      </w:r>
    </w:p>
    <w:p w14:paraId="6C293B80">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b/>
          <w:bCs/>
          <w:color w:val="auto"/>
          <w:sz w:val="24"/>
        </w:rPr>
        <w:t>注：以下各项必须提供并加盖投标人</w:t>
      </w:r>
      <w:r>
        <w:rPr>
          <w:rFonts w:hint="eastAsia" w:ascii="仿宋_GB2312" w:hAnsi="宋体" w:eastAsia="仿宋_GB2312"/>
          <w:b/>
          <w:bCs/>
          <w:color w:val="auto"/>
          <w:sz w:val="24"/>
        </w:rPr>
        <w:t>CA电子签章</w:t>
      </w:r>
      <w:r>
        <w:rPr>
          <w:rFonts w:hint="eastAsia" w:ascii="仿宋_GB2312" w:eastAsia="仿宋_GB2312" w:cs="Courier New"/>
          <w:b/>
          <w:bCs/>
          <w:color w:val="auto"/>
          <w:sz w:val="24"/>
        </w:rPr>
        <w:t>、</w:t>
      </w:r>
      <w:r>
        <w:rPr>
          <w:rFonts w:hint="eastAsia" w:ascii="仿宋_GB2312" w:eastAsia="仿宋_GB2312"/>
          <w:b/>
          <w:bCs/>
          <w:color w:val="auto"/>
          <w:sz w:val="24"/>
        </w:rPr>
        <w:t>按照第六章格式要求签字，</w:t>
      </w:r>
      <w:r>
        <w:rPr>
          <w:rFonts w:hint="eastAsia" w:ascii="仿宋_GB2312" w:eastAsia="仿宋_GB2312" w:cs="Courier New"/>
          <w:b/>
          <w:bCs/>
          <w:color w:val="auto"/>
          <w:sz w:val="24"/>
        </w:rPr>
        <w:t>否则其投标无效。</w:t>
      </w:r>
    </w:p>
    <w:p w14:paraId="685F1F29">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（1）开标一览表（</w:t>
      </w:r>
      <w:r>
        <w:rPr>
          <w:rFonts w:hint="eastAsia" w:ascii="仿宋_GB2312" w:eastAsia="仿宋_GB2312"/>
          <w:b/>
          <w:bCs/>
          <w:color w:val="auto"/>
          <w:sz w:val="24"/>
        </w:rPr>
        <w:t>必须提供</w:t>
      </w:r>
      <w:r>
        <w:rPr>
          <w:rFonts w:hint="eastAsia" w:ascii="仿宋_GB2312" w:eastAsia="仿宋_GB2312"/>
          <w:color w:val="auto"/>
          <w:sz w:val="24"/>
        </w:rPr>
        <w:t>，格式见第六章</w:t>
      </w:r>
      <w:r>
        <w:rPr>
          <w:rFonts w:hint="eastAsia" w:ascii="仿宋_GB2312" w:eastAsia="仿宋_GB2312" w:cs="Courier New"/>
          <w:color w:val="auto"/>
          <w:sz w:val="24"/>
        </w:rPr>
        <w:t>）；</w:t>
      </w:r>
    </w:p>
    <w:p w14:paraId="3F86A320">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（2）投标报价明细表（</w:t>
      </w:r>
      <w:r>
        <w:rPr>
          <w:rFonts w:hint="eastAsia" w:ascii="仿宋_GB2312" w:eastAsia="仿宋_GB2312"/>
          <w:b/>
          <w:bCs/>
          <w:color w:val="auto"/>
          <w:sz w:val="24"/>
        </w:rPr>
        <w:t>必须提供，</w:t>
      </w:r>
      <w:r>
        <w:rPr>
          <w:rFonts w:hint="eastAsia" w:ascii="仿宋_GB2312" w:eastAsia="仿宋_GB2312"/>
          <w:color w:val="auto"/>
          <w:sz w:val="24"/>
        </w:rPr>
        <w:t>格式见第六章</w:t>
      </w:r>
      <w:r>
        <w:rPr>
          <w:rFonts w:hint="eastAsia" w:ascii="仿宋_GB2312" w:eastAsia="仿宋_GB2312" w:cs="Courier New"/>
          <w:color w:val="auto"/>
          <w:sz w:val="24"/>
        </w:rPr>
        <w:t>）。</w:t>
      </w:r>
    </w:p>
    <w:p w14:paraId="083B8D7E">
      <w:pPr>
        <w:snapToGrid w:val="0"/>
        <w:spacing w:line="400" w:lineRule="exact"/>
        <w:ind w:right="-330" w:rightChars="-157" w:firstLine="441" w:firstLineChars="183"/>
        <w:jc w:val="left"/>
        <w:rPr>
          <w:rFonts w:ascii="仿宋_GB2312" w:eastAsia="仿宋_GB2312" w:cs="Courier New"/>
          <w:b/>
          <w:color w:val="auto"/>
          <w:sz w:val="24"/>
        </w:rPr>
      </w:pPr>
      <w:r>
        <w:rPr>
          <w:rFonts w:hint="eastAsia" w:ascii="仿宋_GB2312" w:eastAsia="仿宋_GB2312"/>
          <w:b/>
          <w:color w:val="auto"/>
          <w:sz w:val="24"/>
        </w:rPr>
        <w:t>13.1.3商务技术文件</w:t>
      </w:r>
    </w:p>
    <w:p w14:paraId="1BCE24E5">
      <w:pPr>
        <w:snapToGrid w:val="0"/>
        <w:spacing w:line="400" w:lineRule="exact"/>
        <w:ind w:right="-330" w:rightChars="-157" w:firstLine="472" w:firstLineChars="196"/>
        <w:jc w:val="left"/>
        <w:rPr>
          <w:rFonts w:ascii="仿宋_GB2312" w:hAnsi="宋体" w:eastAsia="仿宋_GB2312" w:cs="Courier New"/>
          <w:color w:val="auto"/>
          <w:sz w:val="24"/>
        </w:rPr>
      </w:pPr>
      <w:bookmarkStart w:id="201" w:name="_Hlk517112171"/>
      <w:bookmarkStart w:id="202" w:name="_Toc254970537"/>
      <w:bookmarkStart w:id="203" w:name="_Hlk517112217"/>
      <w:bookmarkStart w:id="204" w:name="_Toc254970678"/>
      <w:r>
        <w:rPr>
          <w:rFonts w:hint="eastAsia" w:ascii="仿宋_GB2312" w:hAnsi="宋体" w:eastAsia="仿宋_GB2312"/>
          <w:b/>
          <w:bCs/>
          <w:color w:val="auto"/>
          <w:sz w:val="24"/>
        </w:rPr>
        <w:t>注：以下第（1）至第（</w:t>
      </w:r>
      <w:r>
        <w:rPr>
          <w:rFonts w:hint="eastAsia" w:ascii="仿宋_GB2312" w:hAnsi="宋体" w:eastAsia="仿宋_GB2312"/>
          <w:b/>
          <w:bCs/>
          <w:color w:val="auto"/>
          <w:sz w:val="24"/>
          <w:lang w:val="en-US" w:eastAsia="zh-CN"/>
        </w:rPr>
        <w:t>6</w:t>
      </w:r>
      <w:r>
        <w:rPr>
          <w:rFonts w:hint="eastAsia" w:ascii="仿宋_GB2312" w:hAnsi="宋体" w:eastAsia="仿宋_GB2312"/>
          <w:b/>
          <w:bCs/>
          <w:color w:val="auto"/>
          <w:sz w:val="24"/>
        </w:rPr>
        <w:t>）项必须提供并加盖投标人CA电子签章、并按照第六章格式要求签字，否则投标无效。其余各项如有请提供，同时要加盖投标人CA电子签章，否则该材料被视为无效。</w:t>
      </w:r>
    </w:p>
    <w:bookmarkEnd w:id="201"/>
    <w:p w14:paraId="29535647">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rPr>
        <w:t>  （1）投标函（</w:t>
      </w:r>
      <w:r>
        <w:rPr>
          <w:rFonts w:hint="eastAsia" w:ascii="仿宋_GB2312" w:eastAsia="仿宋_GB2312"/>
          <w:b/>
          <w:bCs/>
          <w:color w:val="auto"/>
        </w:rPr>
        <w:t>必须提供</w:t>
      </w:r>
      <w:r>
        <w:rPr>
          <w:rFonts w:hint="eastAsia" w:ascii="仿宋_GB2312" w:eastAsia="仿宋_GB2312"/>
          <w:color w:val="auto"/>
        </w:rPr>
        <w:t>，格式见第六章）；</w:t>
      </w:r>
    </w:p>
    <w:p w14:paraId="19A65C45">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rPr>
        <w:t>  （2）技术响应表（</w:t>
      </w:r>
      <w:r>
        <w:rPr>
          <w:rFonts w:hint="eastAsia" w:ascii="仿宋_GB2312" w:eastAsia="仿宋_GB2312"/>
          <w:b/>
          <w:bCs/>
          <w:color w:val="auto"/>
        </w:rPr>
        <w:t>必须提供</w:t>
      </w:r>
      <w:r>
        <w:rPr>
          <w:rFonts w:hint="eastAsia" w:ascii="仿宋_GB2312" w:eastAsia="仿宋_GB2312"/>
          <w:color w:val="auto"/>
        </w:rPr>
        <w:t>，格式见第六章）；</w:t>
      </w:r>
    </w:p>
    <w:p w14:paraId="0DD326BE">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rPr>
        <w:t>  （3）商务响应表（</w:t>
      </w:r>
      <w:r>
        <w:rPr>
          <w:rFonts w:hint="eastAsia" w:ascii="仿宋_GB2312" w:eastAsia="仿宋_GB2312"/>
          <w:b/>
          <w:bCs/>
          <w:color w:val="auto"/>
        </w:rPr>
        <w:t>必须提供</w:t>
      </w:r>
      <w:r>
        <w:rPr>
          <w:rFonts w:hint="eastAsia" w:ascii="仿宋_GB2312" w:eastAsia="仿宋_GB2312"/>
          <w:color w:val="auto"/>
        </w:rPr>
        <w:t>，格式见第六章）；</w:t>
      </w:r>
    </w:p>
    <w:p w14:paraId="38C2C8F8">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rPr>
        <w:t>  （4）</w:t>
      </w:r>
      <w:r>
        <w:rPr>
          <w:rFonts w:hint="eastAsia" w:ascii="仿宋_GB2312" w:eastAsia="仿宋_GB2312"/>
          <w:color w:val="auto"/>
          <w:lang w:val="en-US" w:eastAsia="zh-CN"/>
        </w:rPr>
        <w:t>分标1、3、4</w:t>
      </w:r>
      <w:r>
        <w:rPr>
          <w:rFonts w:hint="eastAsia" w:ascii="仿宋_GB2312" w:eastAsia="仿宋_GB2312"/>
          <w:color w:val="auto"/>
        </w:rPr>
        <w:t>采购需求中标记“●”号的技术参数，根据所述内容提供彩页、官网或功能截图等其中任意一项并加盖投标人CA电子签章（</w:t>
      </w:r>
      <w:r>
        <w:rPr>
          <w:rFonts w:hint="eastAsia" w:ascii="仿宋_GB2312" w:eastAsia="仿宋_GB2312"/>
          <w:b/>
          <w:bCs/>
          <w:color w:val="auto"/>
        </w:rPr>
        <w:t>必须提供</w:t>
      </w:r>
      <w:r>
        <w:rPr>
          <w:rFonts w:hint="eastAsia" w:ascii="仿宋_GB2312" w:eastAsia="仿宋_GB2312"/>
          <w:color w:val="auto"/>
        </w:rPr>
        <w:t>）；</w:t>
      </w:r>
    </w:p>
    <w:p w14:paraId="790E3E50">
      <w:pPr>
        <w:pStyle w:val="278"/>
        <w:spacing w:before="0" w:beforeAutospacing="0" w:after="0" w:afterAutospacing="0" w:line="400" w:lineRule="exact"/>
        <w:ind w:firstLine="480"/>
        <w:rPr>
          <w:rFonts w:ascii="仿宋_GB2312" w:eastAsia="仿宋_GB2312"/>
          <w:color w:val="auto"/>
        </w:rPr>
      </w:pPr>
      <w:r>
        <w:rPr>
          <w:rFonts w:hint="eastAsia" w:ascii="仿宋_GB2312" w:eastAsia="仿宋_GB2312"/>
          <w:color w:val="auto"/>
        </w:rPr>
        <w:t>（</w:t>
      </w:r>
      <w:r>
        <w:rPr>
          <w:rFonts w:hint="eastAsia" w:ascii="仿宋_GB2312" w:eastAsia="仿宋_GB2312"/>
          <w:color w:val="auto"/>
          <w:lang w:val="en-US" w:eastAsia="zh-CN"/>
        </w:rPr>
        <w:t>5</w:t>
      </w:r>
      <w:r>
        <w:rPr>
          <w:rFonts w:hint="eastAsia" w:ascii="仿宋_GB2312" w:eastAsia="仿宋_GB2312"/>
          <w:color w:val="auto"/>
        </w:rPr>
        <w:t>）</w:t>
      </w:r>
      <w:r>
        <w:rPr>
          <w:rFonts w:hint="eastAsia" w:ascii="仿宋_GB2312" w:eastAsia="仿宋_GB2312"/>
          <w:color w:val="auto"/>
          <w:lang w:val="en-US" w:eastAsia="zh-CN"/>
        </w:rPr>
        <w:t>分标3根据</w:t>
      </w:r>
      <w:r>
        <w:rPr>
          <w:rFonts w:hint="eastAsia" w:ascii="仿宋_GB2312" w:eastAsia="仿宋_GB2312"/>
          <w:color w:val="auto"/>
        </w:rPr>
        <w:t>采购需求标记“■”号</w:t>
      </w:r>
      <w:r>
        <w:rPr>
          <w:rFonts w:hint="eastAsia" w:ascii="仿宋_GB2312" w:eastAsia="仿宋_GB2312"/>
          <w:color w:val="auto"/>
          <w:lang w:val="en-US" w:eastAsia="zh-CN"/>
        </w:rPr>
        <w:t>要求</w:t>
      </w:r>
      <w:r>
        <w:rPr>
          <w:rFonts w:hint="eastAsia" w:ascii="仿宋_GB2312" w:eastAsia="仿宋_GB2312"/>
          <w:color w:val="auto"/>
        </w:rPr>
        <w:t>，提供拟投入项目人员清单</w:t>
      </w:r>
      <w:r>
        <w:rPr>
          <w:rFonts w:hint="eastAsia" w:ascii="仿宋_GB2312" w:eastAsia="仿宋_GB2312"/>
          <w:color w:val="auto"/>
          <w:lang w:eastAsia="zh-CN"/>
        </w:rPr>
        <w:t>（</w:t>
      </w:r>
      <w:r>
        <w:rPr>
          <w:rFonts w:hint="eastAsia" w:ascii="仿宋_GB2312" w:eastAsia="仿宋_GB2312"/>
          <w:color w:val="auto"/>
        </w:rPr>
        <w:t>包括项目实施人员和售后服务人员）并加盖投标人CA电子签章（</w:t>
      </w:r>
      <w:r>
        <w:rPr>
          <w:rFonts w:hint="eastAsia" w:ascii="仿宋_GB2312" w:eastAsia="仿宋_GB2312"/>
          <w:b/>
          <w:bCs/>
          <w:color w:val="auto"/>
        </w:rPr>
        <w:t>必须提供</w:t>
      </w:r>
      <w:r>
        <w:rPr>
          <w:rFonts w:hint="eastAsia" w:ascii="仿宋_GB2312" w:eastAsia="仿宋_GB2312"/>
          <w:color w:val="auto"/>
        </w:rPr>
        <w:t>，格式自拟）；</w:t>
      </w:r>
    </w:p>
    <w:p w14:paraId="438B2077">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rPr>
        <w:t xml:space="preserve">    （</w:t>
      </w:r>
      <w:r>
        <w:rPr>
          <w:rFonts w:hint="eastAsia" w:ascii="仿宋_GB2312" w:eastAsia="仿宋_GB2312"/>
          <w:color w:val="auto"/>
          <w:lang w:val="en-US" w:eastAsia="zh-CN"/>
        </w:rPr>
        <w:t>6</w:t>
      </w:r>
      <w:r>
        <w:rPr>
          <w:rFonts w:hint="eastAsia" w:ascii="仿宋_GB2312" w:eastAsia="仿宋_GB2312"/>
          <w:color w:val="auto"/>
        </w:rPr>
        <w:t>）</w:t>
      </w:r>
      <w:r>
        <w:rPr>
          <w:rFonts w:hint="eastAsia" w:ascii="仿宋_GB2312" w:eastAsia="仿宋_GB2312"/>
          <w:color w:val="auto"/>
          <w:lang w:val="en-US" w:eastAsia="zh-CN"/>
        </w:rPr>
        <w:t>分标3、4</w:t>
      </w:r>
      <w:r>
        <w:rPr>
          <w:rFonts w:hint="eastAsia" w:ascii="仿宋_GB2312" w:eastAsia="仿宋_GB2312"/>
          <w:color w:val="auto"/>
        </w:rPr>
        <w:t>采购需求中标记“◆”号</w:t>
      </w:r>
      <w:r>
        <w:rPr>
          <w:rFonts w:hint="eastAsia" w:ascii="仿宋_GB2312" w:eastAsia="仿宋_GB2312"/>
          <w:color w:val="auto"/>
          <w:lang w:val="en-US" w:eastAsia="zh-CN"/>
        </w:rPr>
        <w:t>的项</w:t>
      </w:r>
      <w:r>
        <w:rPr>
          <w:rFonts w:hint="eastAsia" w:ascii="仿宋_GB2312" w:eastAsia="仿宋_GB2312"/>
          <w:color w:val="auto"/>
        </w:rPr>
        <w:t>，根据所述内容提供承诺函并加盖投标人CA电子签章（</w:t>
      </w:r>
      <w:r>
        <w:rPr>
          <w:rFonts w:hint="eastAsia" w:ascii="仿宋_GB2312" w:eastAsia="仿宋_GB2312"/>
          <w:b/>
          <w:bCs/>
          <w:color w:val="auto"/>
        </w:rPr>
        <w:t>必须提供</w:t>
      </w:r>
      <w:r>
        <w:rPr>
          <w:rFonts w:hint="eastAsia" w:ascii="仿宋_GB2312" w:eastAsia="仿宋_GB2312"/>
          <w:color w:val="auto"/>
        </w:rPr>
        <w:t>，格式自拟）；</w:t>
      </w:r>
    </w:p>
    <w:p w14:paraId="092C39E1">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rPr>
        <w:t>  （</w:t>
      </w:r>
      <w:r>
        <w:rPr>
          <w:rFonts w:hint="eastAsia" w:ascii="仿宋_GB2312" w:eastAsia="仿宋_GB2312"/>
          <w:color w:val="auto"/>
          <w:lang w:val="en-US" w:eastAsia="zh-CN"/>
        </w:rPr>
        <w:t>7</w:t>
      </w:r>
      <w:r>
        <w:rPr>
          <w:rFonts w:hint="eastAsia" w:ascii="仿宋_GB2312" w:eastAsia="仿宋_GB2312"/>
          <w:color w:val="auto"/>
        </w:rPr>
        <w:t>）分标</w:t>
      </w:r>
      <w:r>
        <w:rPr>
          <w:rFonts w:hint="eastAsia" w:ascii="仿宋_GB2312" w:eastAsia="仿宋_GB2312"/>
          <w:color w:val="auto"/>
          <w:lang w:val="en-US" w:eastAsia="zh-CN"/>
        </w:rPr>
        <w:t>2</w:t>
      </w:r>
      <w:r>
        <w:rPr>
          <w:rFonts w:hint="eastAsia" w:ascii="仿宋_GB2312" w:eastAsia="仿宋_GB2312"/>
          <w:color w:val="auto"/>
        </w:rPr>
        <w:t>、</w:t>
      </w:r>
      <w:r>
        <w:rPr>
          <w:rFonts w:hint="eastAsia" w:ascii="仿宋_GB2312" w:eastAsia="仿宋_GB2312"/>
          <w:color w:val="auto"/>
          <w:lang w:val="en-US" w:eastAsia="zh-CN"/>
        </w:rPr>
        <w:t>3</w:t>
      </w:r>
      <w:r>
        <w:rPr>
          <w:rFonts w:hint="eastAsia" w:ascii="仿宋_GB2312" w:eastAsia="仿宋_GB2312"/>
          <w:color w:val="auto"/>
        </w:rPr>
        <w:t>、</w:t>
      </w:r>
      <w:r>
        <w:rPr>
          <w:rFonts w:hint="eastAsia" w:ascii="仿宋_GB2312" w:eastAsia="仿宋_GB2312"/>
          <w:color w:val="auto"/>
          <w:lang w:val="en-US" w:eastAsia="zh-CN"/>
        </w:rPr>
        <w:t>5</w:t>
      </w:r>
      <w:r>
        <w:rPr>
          <w:rFonts w:hint="eastAsia" w:ascii="仿宋_GB2312" w:eastAsia="仿宋_GB2312"/>
          <w:color w:val="auto"/>
        </w:rPr>
        <w:t>项目实施方案（如有，格式见第六章）；</w:t>
      </w:r>
    </w:p>
    <w:p w14:paraId="3C596591">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rPr>
        <w:t>  （</w:t>
      </w:r>
      <w:r>
        <w:rPr>
          <w:rFonts w:hint="eastAsia" w:ascii="仿宋_GB2312" w:eastAsia="仿宋_GB2312"/>
          <w:color w:val="auto"/>
          <w:lang w:val="en-US" w:eastAsia="zh-CN"/>
        </w:rPr>
        <w:t>8</w:t>
      </w:r>
      <w:r>
        <w:rPr>
          <w:rFonts w:hint="eastAsia" w:ascii="仿宋_GB2312" w:eastAsia="仿宋_GB2312"/>
          <w:color w:val="auto"/>
        </w:rPr>
        <w:t>）分标</w:t>
      </w:r>
      <w:r>
        <w:rPr>
          <w:rFonts w:hint="eastAsia" w:ascii="仿宋_GB2312" w:eastAsia="仿宋_GB2312"/>
          <w:color w:val="auto"/>
          <w:lang w:val="en-US" w:eastAsia="zh-CN"/>
        </w:rPr>
        <w:t>1</w:t>
      </w:r>
      <w:r>
        <w:rPr>
          <w:rFonts w:hint="eastAsia" w:ascii="仿宋_GB2312" w:eastAsia="仿宋_GB2312"/>
          <w:color w:val="auto"/>
        </w:rPr>
        <w:t>、</w:t>
      </w:r>
      <w:r>
        <w:rPr>
          <w:rFonts w:hint="eastAsia" w:ascii="仿宋_GB2312" w:eastAsia="仿宋_GB2312"/>
          <w:color w:val="auto"/>
          <w:lang w:val="en-US" w:eastAsia="zh-CN"/>
        </w:rPr>
        <w:t>2</w:t>
      </w:r>
      <w:r>
        <w:rPr>
          <w:rFonts w:hint="eastAsia" w:ascii="仿宋_GB2312" w:eastAsia="仿宋_GB2312"/>
          <w:color w:val="auto"/>
        </w:rPr>
        <w:t>、</w:t>
      </w:r>
      <w:r>
        <w:rPr>
          <w:rFonts w:hint="eastAsia" w:ascii="仿宋_GB2312" w:eastAsia="仿宋_GB2312"/>
          <w:color w:val="auto"/>
          <w:lang w:val="en-US" w:eastAsia="zh-CN"/>
        </w:rPr>
        <w:t>3</w:t>
      </w:r>
      <w:r>
        <w:rPr>
          <w:rFonts w:hint="eastAsia" w:ascii="仿宋_GB2312" w:eastAsia="仿宋_GB2312"/>
          <w:color w:val="auto"/>
        </w:rPr>
        <w:t>、</w:t>
      </w:r>
      <w:r>
        <w:rPr>
          <w:rFonts w:hint="eastAsia" w:ascii="仿宋_GB2312" w:eastAsia="仿宋_GB2312"/>
          <w:color w:val="auto"/>
          <w:lang w:val="en-US" w:eastAsia="zh-CN"/>
        </w:rPr>
        <w:t>4</w:t>
      </w:r>
      <w:r>
        <w:rPr>
          <w:rFonts w:hint="eastAsia" w:ascii="仿宋_GB2312" w:eastAsia="仿宋_GB2312"/>
          <w:color w:val="auto"/>
        </w:rPr>
        <w:t>技术培训方案（如有，格式见第六章）；</w:t>
      </w:r>
    </w:p>
    <w:p w14:paraId="19078350">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rPr>
        <w:t>  （</w:t>
      </w:r>
      <w:r>
        <w:rPr>
          <w:rFonts w:hint="eastAsia" w:ascii="仿宋_GB2312" w:eastAsia="仿宋_GB2312"/>
          <w:color w:val="auto"/>
          <w:lang w:val="en-US" w:eastAsia="zh-CN"/>
        </w:rPr>
        <w:t>9</w:t>
      </w:r>
      <w:r>
        <w:rPr>
          <w:rFonts w:hint="eastAsia" w:ascii="仿宋_GB2312" w:eastAsia="仿宋_GB2312"/>
          <w:color w:val="auto"/>
        </w:rPr>
        <w:t>）</w:t>
      </w:r>
      <w:r>
        <w:rPr>
          <w:rFonts w:hint="eastAsia" w:ascii="仿宋_GB2312" w:eastAsia="仿宋_GB2312"/>
          <w:color w:val="auto"/>
          <w:lang w:val="en-US" w:eastAsia="zh-CN"/>
        </w:rPr>
        <w:t>分标1</w:t>
      </w:r>
      <w:r>
        <w:rPr>
          <w:rFonts w:hint="eastAsia" w:ascii="仿宋_GB2312" w:eastAsia="仿宋_GB2312"/>
          <w:color w:val="auto"/>
        </w:rPr>
        <w:t>、</w:t>
      </w:r>
      <w:r>
        <w:rPr>
          <w:rFonts w:hint="eastAsia" w:ascii="仿宋_GB2312" w:eastAsia="仿宋_GB2312"/>
          <w:color w:val="auto"/>
          <w:lang w:val="en-US" w:eastAsia="zh-CN"/>
        </w:rPr>
        <w:t>2</w:t>
      </w:r>
      <w:r>
        <w:rPr>
          <w:rFonts w:hint="eastAsia" w:ascii="仿宋_GB2312" w:eastAsia="仿宋_GB2312"/>
          <w:color w:val="auto"/>
        </w:rPr>
        <w:t>、</w:t>
      </w:r>
      <w:r>
        <w:rPr>
          <w:rFonts w:hint="eastAsia" w:ascii="仿宋_GB2312" w:eastAsia="仿宋_GB2312"/>
          <w:color w:val="auto"/>
          <w:lang w:val="en-US" w:eastAsia="zh-CN"/>
        </w:rPr>
        <w:t>3</w:t>
      </w:r>
      <w:r>
        <w:rPr>
          <w:rFonts w:hint="eastAsia" w:ascii="仿宋_GB2312" w:eastAsia="仿宋_GB2312"/>
          <w:color w:val="auto"/>
        </w:rPr>
        <w:t>、</w:t>
      </w:r>
      <w:r>
        <w:rPr>
          <w:rFonts w:hint="eastAsia" w:ascii="仿宋_GB2312" w:eastAsia="仿宋_GB2312"/>
          <w:color w:val="auto"/>
          <w:lang w:val="en-US" w:eastAsia="zh-CN"/>
        </w:rPr>
        <w:t>4、5</w:t>
      </w:r>
      <w:r>
        <w:rPr>
          <w:rFonts w:hint="eastAsia" w:ascii="仿宋_GB2312" w:eastAsia="仿宋_GB2312"/>
          <w:color w:val="auto"/>
        </w:rPr>
        <w:t>售后服务方案（如有，格式见第六章）；</w:t>
      </w:r>
    </w:p>
    <w:p w14:paraId="46FDE540">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0</w:t>
      </w:r>
      <w:r>
        <w:rPr>
          <w:rFonts w:hint="eastAsia" w:ascii="仿宋_GB2312" w:eastAsia="仿宋_GB2312"/>
          <w:color w:val="auto"/>
        </w:rPr>
        <w:t>）</w:t>
      </w:r>
      <w:r>
        <w:rPr>
          <w:rFonts w:hint="eastAsia" w:ascii="仿宋_GB2312" w:eastAsia="仿宋_GB2312"/>
          <w:color w:val="auto"/>
          <w:lang w:val="en-US" w:eastAsia="zh-CN"/>
        </w:rPr>
        <w:t>分标1</w:t>
      </w:r>
      <w:r>
        <w:rPr>
          <w:rFonts w:hint="eastAsia" w:ascii="仿宋_GB2312" w:eastAsia="仿宋_GB2312"/>
          <w:color w:val="auto"/>
        </w:rPr>
        <w:t>、</w:t>
      </w:r>
      <w:r>
        <w:rPr>
          <w:rFonts w:hint="eastAsia" w:ascii="仿宋_GB2312" w:eastAsia="仿宋_GB2312"/>
          <w:color w:val="auto"/>
          <w:lang w:val="en-US" w:eastAsia="zh-CN"/>
        </w:rPr>
        <w:t>2</w:t>
      </w:r>
      <w:r>
        <w:rPr>
          <w:rFonts w:hint="eastAsia" w:ascii="仿宋_GB2312" w:eastAsia="仿宋_GB2312"/>
          <w:color w:val="auto"/>
        </w:rPr>
        <w:t>、</w:t>
      </w:r>
      <w:r>
        <w:rPr>
          <w:rFonts w:hint="eastAsia" w:ascii="仿宋_GB2312" w:eastAsia="仿宋_GB2312"/>
          <w:color w:val="auto"/>
          <w:lang w:val="en-US" w:eastAsia="zh-CN"/>
        </w:rPr>
        <w:t>3</w:t>
      </w:r>
      <w:r>
        <w:rPr>
          <w:rFonts w:hint="eastAsia" w:ascii="仿宋_GB2312" w:eastAsia="仿宋_GB2312"/>
          <w:color w:val="auto"/>
        </w:rPr>
        <w:t>、</w:t>
      </w:r>
      <w:r>
        <w:rPr>
          <w:rFonts w:hint="eastAsia" w:ascii="仿宋_GB2312" w:eastAsia="仿宋_GB2312"/>
          <w:color w:val="auto"/>
          <w:lang w:val="en-US" w:eastAsia="zh-CN"/>
        </w:rPr>
        <w:t>4、5</w:t>
      </w:r>
      <w:r>
        <w:rPr>
          <w:rFonts w:hint="eastAsia" w:ascii="仿宋_GB2312" w:eastAsia="仿宋_GB2312"/>
          <w:color w:val="auto"/>
        </w:rPr>
        <w:t>投标人项目经验一览表（如有，格式见第六章）；</w:t>
      </w:r>
    </w:p>
    <w:p w14:paraId="21CA431D">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1</w:t>
      </w:r>
      <w:r>
        <w:rPr>
          <w:rFonts w:hint="eastAsia" w:ascii="仿宋_GB2312" w:eastAsia="仿宋_GB2312"/>
          <w:color w:val="auto"/>
        </w:rPr>
        <w:t>）</w:t>
      </w:r>
      <w:r>
        <w:rPr>
          <w:rFonts w:hint="eastAsia" w:ascii="仿宋_GB2312" w:eastAsia="仿宋_GB2312"/>
          <w:color w:val="auto"/>
          <w:lang w:val="en-US" w:eastAsia="zh-CN"/>
        </w:rPr>
        <w:t>分标1</w:t>
      </w:r>
      <w:r>
        <w:rPr>
          <w:rFonts w:hint="eastAsia" w:ascii="仿宋_GB2312" w:eastAsia="仿宋_GB2312"/>
          <w:color w:val="auto"/>
        </w:rPr>
        <w:t>投标人或投标产品生产厂家具备有效的质量管理体系认证证书</w:t>
      </w:r>
      <w:r>
        <w:rPr>
          <w:rFonts w:hint="eastAsia" w:ascii="仿宋_GB2312" w:eastAsia="仿宋_GB2312"/>
          <w:color w:val="auto"/>
          <w:lang w:eastAsia="zh-CN"/>
        </w:rPr>
        <w:t>、</w:t>
      </w:r>
      <w:r>
        <w:rPr>
          <w:rFonts w:hint="eastAsia" w:ascii="仿宋_GB2312" w:eastAsia="仿宋_GB2312"/>
          <w:color w:val="auto"/>
        </w:rPr>
        <w:t>职业健康安全管理体系认证证书</w:t>
      </w:r>
      <w:r>
        <w:rPr>
          <w:rFonts w:hint="eastAsia" w:ascii="仿宋_GB2312" w:eastAsia="仿宋_GB2312"/>
          <w:color w:val="auto"/>
          <w:lang w:eastAsia="zh-CN"/>
        </w:rPr>
        <w:t>、</w:t>
      </w:r>
      <w:r>
        <w:rPr>
          <w:rFonts w:hint="eastAsia" w:ascii="仿宋_GB2312" w:eastAsia="仿宋_GB2312"/>
          <w:color w:val="auto"/>
        </w:rPr>
        <w:t>环境管理体系认证证书（如有）；</w:t>
      </w:r>
    </w:p>
    <w:p w14:paraId="5AC5356B">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2</w:t>
      </w:r>
      <w:r>
        <w:rPr>
          <w:rFonts w:hint="eastAsia" w:ascii="仿宋_GB2312" w:eastAsia="仿宋_GB2312"/>
          <w:color w:val="auto"/>
        </w:rPr>
        <w:t>）</w:t>
      </w:r>
      <w:r>
        <w:rPr>
          <w:rFonts w:hint="eastAsia" w:ascii="仿宋_GB2312" w:eastAsia="仿宋_GB2312"/>
          <w:color w:val="auto"/>
          <w:lang w:val="en-US" w:eastAsia="zh-CN"/>
        </w:rPr>
        <w:t>分标2</w:t>
      </w:r>
      <w:r>
        <w:rPr>
          <w:rFonts w:hint="eastAsia" w:ascii="仿宋_GB2312" w:eastAsia="仿宋_GB2312"/>
          <w:color w:val="auto"/>
        </w:rPr>
        <w:t>投标人</w:t>
      </w:r>
      <w:r>
        <w:rPr>
          <w:rFonts w:hint="eastAsia" w:ascii="仿宋_GB2312" w:hAnsi="仿宋_GB2312" w:eastAsia="仿宋_GB2312" w:cs="仿宋_GB2312"/>
          <w:color w:val="auto"/>
          <w:szCs w:val="21"/>
        </w:rPr>
        <w:t>或投标产品生产厂家</w:t>
      </w:r>
      <w:r>
        <w:rPr>
          <w:rFonts w:hint="eastAsia" w:ascii="仿宋_GB2312" w:eastAsia="仿宋_GB2312"/>
          <w:color w:val="auto"/>
        </w:rPr>
        <w:t>具备有效的质量管理体系认证证书（如有）；</w:t>
      </w:r>
    </w:p>
    <w:p w14:paraId="4BB4EE32">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rPr>
        <w:t> </w:t>
      </w:r>
      <w:r>
        <w:rPr>
          <w:rFonts w:hint="eastAsia" w:ascii="仿宋_GB2312" w:eastAsia="仿宋_GB2312"/>
          <w:color w:val="auto"/>
          <w:lang w:val="en-US" w:eastAsia="zh-CN"/>
        </w:rPr>
        <w:t xml:space="preserve">  </w:t>
      </w:r>
      <w:r>
        <w:rPr>
          <w:rFonts w:hint="eastAsia" w:ascii="仿宋_GB2312" w:eastAsia="仿宋_GB2312"/>
          <w:color w:val="auto"/>
        </w:rPr>
        <w:t>（1</w:t>
      </w:r>
      <w:r>
        <w:rPr>
          <w:rFonts w:hint="eastAsia" w:ascii="仿宋_GB2312" w:eastAsia="仿宋_GB2312"/>
          <w:color w:val="auto"/>
          <w:lang w:val="en-US" w:eastAsia="zh-CN"/>
        </w:rPr>
        <w:t>3</w:t>
      </w:r>
      <w:r>
        <w:rPr>
          <w:rFonts w:hint="eastAsia" w:ascii="仿宋_GB2312" w:eastAsia="仿宋_GB2312"/>
          <w:color w:val="auto"/>
        </w:rPr>
        <w:t>）</w:t>
      </w:r>
      <w:r>
        <w:rPr>
          <w:rFonts w:hint="eastAsia" w:ascii="仿宋_GB2312" w:eastAsia="仿宋_GB2312"/>
          <w:color w:val="auto"/>
          <w:lang w:val="en-US" w:eastAsia="zh-CN"/>
        </w:rPr>
        <w:t>分标2</w:t>
      </w:r>
      <w:r>
        <w:rPr>
          <w:rFonts w:hint="eastAsia" w:ascii="仿宋_GB2312" w:eastAsia="仿宋_GB2312"/>
          <w:color w:val="auto"/>
        </w:rPr>
        <w:t>投标人或投标产品生产厂家具有软件著作权</w:t>
      </w:r>
      <w:r>
        <w:rPr>
          <w:rFonts w:hint="eastAsia" w:ascii="仿宋_GB2312" w:eastAsia="仿宋_GB2312"/>
          <w:color w:val="auto"/>
          <w:lang w:val="en-US" w:eastAsia="zh-CN"/>
        </w:rPr>
        <w:t>证书</w:t>
      </w:r>
      <w:r>
        <w:rPr>
          <w:rFonts w:hint="eastAsia" w:ascii="仿宋_GB2312" w:eastAsia="仿宋_GB2312"/>
          <w:color w:val="auto"/>
        </w:rPr>
        <w:t>（如有）；</w:t>
      </w:r>
    </w:p>
    <w:p w14:paraId="71D44040">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lang w:val="en-US" w:eastAsia="zh-CN"/>
        </w:rPr>
        <w:t xml:space="preserve">   </w:t>
      </w:r>
      <w:r>
        <w:rPr>
          <w:rFonts w:hint="eastAsia" w:ascii="仿宋_GB2312" w:eastAsia="仿宋_GB2312"/>
          <w:color w:val="auto"/>
        </w:rPr>
        <w:t>（</w:t>
      </w:r>
      <w:r>
        <w:rPr>
          <w:rFonts w:hint="eastAsia" w:ascii="仿宋_GB2312" w:eastAsia="仿宋_GB2312"/>
          <w:color w:val="auto"/>
          <w:lang w:val="en-US" w:eastAsia="zh-CN"/>
        </w:rPr>
        <w:t>14</w:t>
      </w:r>
      <w:r>
        <w:rPr>
          <w:rFonts w:hint="eastAsia" w:ascii="仿宋_GB2312" w:eastAsia="仿宋_GB2312"/>
          <w:color w:val="auto"/>
        </w:rPr>
        <w:t>）</w:t>
      </w:r>
      <w:r>
        <w:rPr>
          <w:rFonts w:hint="eastAsia" w:ascii="仿宋_GB2312" w:eastAsia="仿宋_GB2312"/>
          <w:color w:val="auto"/>
          <w:lang w:val="en-US" w:eastAsia="zh-CN"/>
        </w:rPr>
        <w:t>分标3</w:t>
      </w:r>
      <w:r>
        <w:rPr>
          <w:rFonts w:hint="eastAsia" w:ascii="仿宋_GB2312" w:eastAsia="仿宋_GB2312"/>
          <w:color w:val="auto"/>
        </w:rPr>
        <w:t>投标人或投标产品生产厂家具备有效的质量管理体系认证证书（如有）；</w:t>
      </w:r>
    </w:p>
    <w:p w14:paraId="721C67F1">
      <w:pPr>
        <w:pStyle w:val="278"/>
        <w:spacing w:before="0" w:beforeAutospacing="0" w:after="0" w:afterAutospacing="0" w:line="400" w:lineRule="exact"/>
        <w:ind w:firstLine="480"/>
        <w:rPr>
          <w:rFonts w:ascii="仿宋_GB2312" w:eastAsia="仿宋_GB2312"/>
          <w:color w:val="auto"/>
        </w:rPr>
      </w:pPr>
      <w:r>
        <w:rPr>
          <w:rFonts w:hint="eastAsia" w:ascii="仿宋_GB2312" w:eastAsia="仿宋_GB2312"/>
          <w:color w:val="auto"/>
        </w:rPr>
        <w:t>（1</w:t>
      </w:r>
      <w:r>
        <w:rPr>
          <w:rFonts w:hint="eastAsia" w:ascii="仿宋_GB2312" w:eastAsia="仿宋_GB2312"/>
          <w:color w:val="auto"/>
          <w:lang w:val="en-US" w:eastAsia="zh-CN"/>
        </w:rPr>
        <w:t>5</w:t>
      </w:r>
      <w:r>
        <w:rPr>
          <w:rFonts w:hint="eastAsia" w:ascii="仿宋_GB2312" w:eastAsia="仿宋_GB2312"/>
          <w:color w:val="auto"/>
        </w:rPr>
        <w:t>）</w:t>
      </w:r>
      <w:r>
        <w:rPr>
          <w:rFonts w:hint="eastAsia" w:ascii="仿宋_GB2312" w:eastAsia="仿宋_GB2312"/>
          <w:color w:val="auto"/>
          <w:lang w:val="en-US" w:eastAsia="zh-CN"/>
        </w:rPr>
        <w:t>分标3</w:t>
      </w:r>
      <w:r>
        <w:rPr>
          <w:rFonts w:hint="eastAsia" w:ascii="仿宋_GB2312" w:eastAsia="仿宋_GB2312"/>
          <w:color w:val="auto"/>
        </w:rPr>
        <w:t>人员配备相关证明材料（如有）；</w:t>
      </w:r>
    </w:p>
    <w:p w14:paraId="614F90AC">
      <w:pPr>
        <w:pStyle w:val="278"/>
        <w:spacing w:before="0" w:beforeAutospacing="0" w:after="0" w:afterAutospacing="0" w:line="400" w:lineRule="exact"/>
        <w:ind w:firstLine="480"/>
        <w:rPr>
          <w:rFonts w:ascii="仿宋_GB2312" w:eastAsia="仿宋_GB2312"/>
          <w:color w:val="auto"/>
        </w:rPr>
      </w:pPr>
      <w:r>
        <w:rPr>
          <w:rFonts w:hint="eastAsia" w:ascii="仿宋_GB2312" w:eastAsia="仿宋_GB2312"/>
          <w:color w:val="auto"/>
        </w:rPr>
        <w:t>（1</w:t>
      </w:r>
      <w:r>
        <w:rPr>
          <w:rFonts w:hint="eastAsia" w:ascii="仿宋_GB2312" w:eastAsia="仿宋_GB2312"/>
          <w:color w:val="auto"/>
          <w:lang w:val="en-US" w:eastAsia="zh-CN"/>
        </w:rPr>
        <w:t>6</w:t>
      </w:r>
      <w:r>
        <w:rPr>
          <w:rFonts w:hint="eastAsia" w:ascii="仿宋_GB2312" w:eastAsia="仿宋_GB2312"/>
          <w:color w:val="auto"/>
        </w:rPr>
        <w:t>）</w:t>
      </w:r>
      <w:r>
        <w:rPr>
          <w:rFonts w:hint="eastAsia" w:ascii="仿宋_GB2312" w:eastAsia="仿宋_GB2312"/>
          <w:color w:val="auto"/>
          <w:lang w:val="en-US" w:eastAsia="zh-CN"/>
        </w:rPr>
        <w:t>分标4投标人提供所投产品的软件评测报告或软件著作权证书</w:t>
      </w:r>
      <w:r>
        <w:rPr>
          <w:rFonts w:hint="eastAsia" w:ascii="仿宋_GB2312" w:eastAsia="仿宋_GB2312"/>
          <w:color w:val="auto"/>
        </w:rPr>
        <w:t>（如有）；</w:t>
      </w:r>
    </w:p>
    <w:p w14:paraId="32F0B7FF">
      <w:pPr>
        <w:pStyle w:val="278"/>
        <w:spacing w:before="0" w:beforeAutospacing="0" w:after="0" w:afterAutospacing="0" w:line="400" w:lineRule="exact"/>
        <w:ind w:firstLine="480"/>
        <w:rPr>
          <w:rFonts w:hint="eastAsia" w:ascii="仿宋_GB2312" w:eastAsia="仿宋_GB2312"/>
          <w:color w:val="auto"/>
        </w:rPr>
      </w:pPr>
      <w:r>
        <w:rPr>
          <w:rFonts w:hint="eastAsia" w:ascii="仿宋_GB2312" w:eastAsia="仿宋_GB2312"/>
          <w:color w:val="auto"/>
        </w:rPr>
        <w:t>（</w:t>
      </w:r>
      <w:r>
        <w:rPr>
          <w:rFonts w:hint="eastAsia" w:ascii="仿宋_GB2312" w:eastAsia="仿宋_GB2312"/>
          <w:color w:val="auto"/>
          <w:lang w:val="en-US" w:eastAsia="zh-CN"/>
        </w:rPr>
        <w:t>17</w:t>
      </w:r>
      <w:r>
        <w:rPr>
          <w:rFonts w:hint="eastAsia" w:ascii="仿宋_GB2312" w:eastAsia="仿宋_GB2312"/>
          <w:color w:val="auto"/>
        </w:rPr>
        <w:t>）</w:t>
      </w:r>
      <w:r>
        <w:rPr>
          <w:rFonts w:hint="eastAsia" w:ascii="仿宋_GB2312" w:eastAsia="仿宋_GB2312"/>
          <w:color w:val="auto"/>
          <w:lang w:val="en-US" w:eastAsia="zh-CN"/>
        </w:rPr>
        <w:t>分标4</w:t>
      </w:r>
      <w:r>
        <w:rPr>
          <w:rFonts w:hint="eastAsia" w:ascii="仿宋_GB2312" w:eastAsia="仿宋_GB2312"/>
          <w:color w:val="auto"/>
        </w:rPr>
        <w:t>投标人或投标产品生产厂家具备有效的质量管理体系认证证书（如有）；</w:t>
      </w:r>
    </w:p>
    <w:p w14:paraId="51BE8183">
      <w:pPr>
        <w:pStyle w:val="278"/>
        <w:spacing w:before="0" w:beforeAutospacing="0" w:after="0" w:afterAutospacing="0" w:line="400" w:lineRule="exact"/>
        <w:ind w:firstLine="480"/>
        <w:rPr>
          <w:rFonts w:ascii="仿宋_GB2312" w:eastAsia="仿宋_GB2312"/>
          <w:color w:val="auto"/>
        </w:rPr>
      </w:pPr>
      <w:r>
        <w:rPr>
          <w:rFonts w:hint="eastAsia" w:ascii="仿宋_GB2312" w:eastAsia="仿宋_GB2312"/>
          <w:color w:val="auto"/>
        </w:rPr>
        <w:t>（</w:t>
      </w:r>
      <w:r>
        <w:rPr>
          <w:rFonts w:hint="eastAsia" w:ascii="仿宋_GB2312" w:eastAsia="仿宋_GB2312"/>
          <w:color w:val="auto"/>
          <w:lang w:val="en-US" w:eastAsia="zh-CN"/>
        </w:rPr>
        <w:t>18</w:t>
      </w:r>
      <w:r>
        <w:rPr>
          <w:rFonts w:hint="eastAsia" w:ascii="仿宋_GB2312" w:eastAsia="仿宋_GB2312"/>
          <w:color w:val="auto"/>
        </w:rPr>
        <w:t>）</w:t>
      </w:r>
      <w:r>
        <w:rPr>
          <w:rFonts w:hint="eastAsia" w:ascii="仿宋_GB2312" w:eastAsia="仿宋_GB2312"/>
          <w:color w:val="auto"/>
          <w:lang w:val="en-US" w:eastAsia="zh-CN"/>
        </w:rPr>
        <w:t>分标4</w:t>
      </w:r>
      <w:r>
        <w:rPr>
          <w:rFonts w:ascii="仿宋_GB2312" w:eastAsia="仿宋_GB2312"/>
          <w:color w:val="auto"/>
        </w:rPr>
        <w:t>所投产品的中英双语界面截图</w:t>
      </w:r>
      <w:r>
        <w:rPr>
          <w:rFonts w:hint="eastAsia" w:ascii="仿宋_GB2312" w:eastAsia="仿宋_GB2312"/>
          <w:color w:val="auto"/>
        </w:rPr>
        <w:t>（如有）；</w:t>
      </w:r>
    </w:p>
    <w:p w14:paraId="659AA29B">
      <w:pPr>
        <w:pStyle w:val="278"/>
        <w:spacing w:before="0" w:beforeAutospacing="0" w:after="0" w:afterAutospacing="0" w:line="400" w:lineRule="exact"/>
        <w:ind w:firstLine="480"/>
        <w:rPr>
          <w:rFonts w:hint="eastAsia" w:ascii="仿宋_GB2312" w:eastAsia="仿宋_GB2312"/>
          <w:color w:val="auto"/>
          <w:lang w:eastAsia="zh-CN"/>
        </w:rPr>
      </w:pPr>
      <w:r>
        <w:rPr>
          <w:rFonts w:hint="eastAsia" w:ascii="仿宋_GB2312" w:eastAsia="仿宋_GB2312"/>
          <w:color w:val="auto"/>
          <w:lang w:val="en-US" w:eastAsia="zh-CN"/>
        </w:rPr>
        <w:t>（19）分标5</w:t>
      </w:r>
      <w:r>
        <w:rPr>
          <w:rFonts w:hint="eastAsia" w:ascii="仿宋_GB2312" w:eastAsia="仿宋_GB2312"/>
          <w:color w:val="auto"/>
        </w:rPr>
        <w:t>投标人或投标产品生产厂家具备有效的质量管理体系认证证书（如有）</w:t>
      </w:r>
      <w:r>
        <w:rPr>
          <w:rFonts w:hint="eastAsia" w:ascii="仿宋_GB2312" w:eastAsia="仿宋_GB2312"/>
          <w:color w:val="auto"/>
          <w:lang w:eastAsia="zh-CN"/>
        </w:rPr>
        <w:t>；</w:t>
      </w:r>
    </w:p>
    <w:p w14:paraId="0E32D2BB">
      <w:pPr>
        <w:pStyle w:val="278"/>
        <w:spacing w:before="0" w:beforeAutospacing="0" w:after="0" w:afterAutospacing="0" w:line="400" w:lineRule="exact"/>
        <w:ind w:firstLine="480"/>
        <w:rPr>
          <w:rFonts w:hint="eastAsia" w:ascii="仿宋_GB2312" w:eastAsia="仿宋_GB2312"/>
          <w:color w:val="auto"/>
          <w:lang w:eastAsia="zh-CN"/>
        </w:rPr>
      </w:pPr>
      <w:r>
        <w:rPr>
          <w:rFonts w:hint="eastAsia" w:ascii="仿宋_GB2312" w:eastAsia="仿宋_GB2312"/>
          <w:color w:val="auto"/>
          <w:lang w:val="en-US" w:eastAsia="zh-CN"/>
        </w:rPr>
        <w:t>（20）分标5</w:t>
      </w:r>
      <w:r>
        <w:rPr>
          <w:rFonts w:hint="eastAsia" w:ascii="仿宋_GB2312" w:eastAsia="仿宋_GB2312"/>
          <w:color w:val="auto"/>
        </w:rPr>
        <w:t>投标人或投标产品生产厂家具有软件著作权</w:t>
      </w:r>
      <w:r>
        <w:rPr>
          <w:rFonts w:hint="eastAsia" w:ascii="仿宋_GB2312" w:eastAsia="仿宋_GB2312"/>
          <w:color w:val="auto"/>
          <w:lang w:val="en-US" w:eastAsia="zh-CN"/>
        </w:rPr>
        <w:t>证书</w:t>
      </w:r>
      <w:r>
        <w:rPr>
          <w:rFonts w:hint="eastAsia" w:ascii="仿宋_GB2312" w:eastAsia="仿宋_GB2312"/>
          <w:color w:val="auto"/>
        </w:rPr>
        <w:t>（如有）</w:t>
      </w:r>
      <w:r>
        <w:rPr>
          <w:rFonts w:hint="eastAsia" w:ascii="仿宋_GB2312" w:eastAsia="仿宋_GB2312"/>
          <w:color w:val="auto"/>
          <w:lang w:eastAsia="zh-CN"/>
        </w:rPr>
        <w:t>；</w:t>
      </w:r>
    </w:p>
    <w:p w14:paraId="20BDD1CE">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rPr>
        <w:t>  （2</w:t>
      </w:r>
      <w:r>
        <w:rPr>
          <w:rFonts w:hint="eastAsia" w:ascii="仿宋_GB2312" w:eastAsia="仿宋_GB2312"/>
          <w:color w:val="auto"/>
          <w:lang w:val="en-US" w:eastAsia="zh-CN"/>
        </w:rPr>
        <w:t>1</w:t>
      </w:r>
      <w:r>
        <w:rPr>
          <w:rFonts w:hint="eastAsia" w:ascii="仿宋_GB2312" w:eastAsia="仿宋_GB2312"/>
          <w:color w:val="auto"/>
        </w:rPr>
        <w:t>）投标人对本项目的合理化建议和改进措施（如有，格式自拟）；</w:t>
      </w:r>
    </w:p>
    <w:p w14:paraId="5F02F2BF">
      <w:pPr>
        <w:pStyle w:val="278"/>
        <w:spacing w:before="0" w:beforeAutospacing="0" w:after="0" w:afterAutospacing="0" w:line="400" w:lineRule="exact"/>
        <w:rPr>
          <w:rFonts w:ascii="仿宋_GB2312" w:eastAsia="仿宋_GB2312"/>
          <w:color w:val="auto"/>
        </w:rPr>
      </w:pPr>
      <w:r>
        <w:rPr>
          <w:rFonts w:hint="eastAsia" w:ascii="仿宋_GB2312" w:eastAsia="仿宋_GB2312"/>
          <w:color w:val="auto"/>
        </w:rPr>
        <w:t>  （2</w:t>
      </w:r>
      <w:r>
        <w:rPr>
          <w:rFonts w:hint="eastAsia" w:ascii="仿宋_GB2312" w:eastAsia="仿宋_GB2312"/>
          <w:color w:val="auto"/>
          <w:lang w:val="en-US" w:eastAsia="zh-CN"/>
        </w:rPr>
        <w:t>2</w:t>
      </w:r>
      <w:r>
        <w:rPr>
          <w:rFonts w:hint="eastAsia" w:ascii="仿宋_GB2312" w:eastAsia="仿宋_GB2312"/>
          <w:color w:val="auto"/>
        </w:rPr>
        <w:t>）投标人认为必要提供的声明及文件资料（如有，格式自拟）。</w:t>
      </w:r>
    </w:p>
    <w:bookmarkEnd w:id="202"/>
    <w:bookmarkEnd w:id="203"/>
    <w:bookmarkEnd w:id="204"/>
    <w:p w14:paraId="1EFC5DEC">
      <w:pPr>
        <w:snapToGrid w:val="0"/>
        <w:spacing w:line="400" w:lineRule="exact"/>
        <w:ind w:firstLine="422" w:firstLineChars="175"/>
        <w:jc w:val="left"/>
        <w:rPr>
          <w:rFonts w:ascii="仿宋_GB2312" w:eastAsia="仿宋_GB2312" w:cs="Courier New"/>
          <w:b/>
          <w:color w:val="auto"/>
          <w:sz w:val="24"/>
        </w:rPr>
      </w:pPr>
      <w:r>
        <w:rPr>
          <w:rFonts w:hint="eastAsia" w:ascii="仿宋_GB2312" w:eastAsia="仿宋_GB2312" w:cs="Courier New"/>
          <w:b/>
          <w:color w:val="auto"/>
          <w:sz w:val="24"/>
        </w:rPr>
        <w:t>14.投标文件的语言及计量</w:t>
      </w:r>
    </w:p>
    <w:p w14:paraId="70C5403E">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14.1投标文件以及投标人与采购代理机构就有关投标事宜的所有来往函电，均应以中文汉语书写。除签字、盖章、专用名称等特殊情形外，以中文汉语以外的文字表述的投标文件视同未提供。</w:t>
      </w:r>
    </w:p>
    <w:p w14:paraId="48DFF9DA">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14.2投标计量单位，招标文件已有明确规定的，使用招标文件规定的计量单位；招标文件没有规定的，应采用中华人民共和国法定计量单位，否则视同未响应。</w:t>
      </w:r>
    </w:p>
    <w:p w14:paraId="08C87536">
      <w:pPr>
        <w:snapToGrid w:val="0"/>
        <w:spacing w:line="400" w:lineRule="exact"/>
        <w:ind w:firstLine="422" w:firstLineChars="175"/>
        <w:jc w:val="left"/>
        <w:rPr>
          <w:rFonts w:ascii="仿宋_GB2312" w:eastAsia="仿宋_GB2312" w:cs="Courier New"/>
          <w:b/>
          <w:color w:val="auto"/>
          <w:sz w:val="24"/>
        </w:rPr>
      </w:pPr>
      <w:bookmarkStart w:id="205" w:name="_Toc254970679"/>
      <w:bookmarkStart w:id="206" w:name="_Toc254970538"/>
      <w:r>
        <w:rPr>
          <w:rFonts w:hint="eastAsia" w:ascii="仿宋_GB2312" w:eastAsia="仿宋_GB2312" w:cs="Courier New"/>
          <w:b/>
          <w:color w:val="auto"/>
          <w:sz w:val="24"/>
        </w:rPr>
        <w:t>15.投标报价</w:t>
      </w:r>
      <w:bookmarkEnd w:id="205"/>
      <w:bookmarkEnd w:id="206"/>
    </w:p>
    <w:p w14:paraId="53E26984">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15.1投标报价应按招标文件中相关附表格式填写。</w:t>
      </w:r>
    </w:p>
    <w:p w14:paraId="607C49DB">
      <w:pPr>
        <w:snapToGrid w:val="0"/>
        <w:spacing w:line="360" w:lineRule="exact"/>
        <w:ind w:right="-330" w:rightChars="-157" w:firstLine="420"/>
        <w:jc w:val="left"/>
        <w:rPr>
          <w:rFonts w:ascii="仿宋_GB2312" w:eastAsia="仿宋_GB2312" w:cs="Courier New"/>
          <w:color w:val="auto"/>
          <w:sz w:val="24"/>
        </w:rPr>
      </w:pPr>
      <w:bookmarkStart w:id="207" w:name="_Hlk93681408"/>
      <w:r>
        <w:rPr>
          <w:rFonts w:hint="eastAsia" w:ascii="仿宋_GB2312" w:eastAsia="仿宋_GB2312" w:cs="Courier New"/>
          <w:color w:val="auto"/>
          <w:sz w:val="24"/>
        </w:rPr>
        <w:t>15.2投标报价是履行合同的最终价格，应包括货物及货物运抵指定交付地点的所有成本、各种费用的总和。</w:t>
      </w:r>
    </w:p>
    <w:bookmarkEnd w:id="207"/>
    <w:p w14:paraId="2A8BF100">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15.3投标文件只允许有一个总报价，有选择的或有条件的报价将不予接受。</w:t>
      </w:r>
    </w:p>
    <w:p w14:paraId="53F55F89">
      <w:pPr>
        <w:snapToGrid w:val="0"/>
        <w:spacing w:line="400" w:lineRule="exact"/>
        <w:ind w:firstLine="422" w:firstLineChars="175"/>
        <w:jc w:val="left"/>
        <w:rPr>
          <w:rFonts w:ascii="仿宋_GB2312" w:eastAsia="仿宋_GB2312" w:cs="Courier New"/>
          <w:b/>
          <w:color w:val="auto"/>
          <w:sz w:val="24"/>
        </w:rPr>
      </w:pPr>
      <w:r>
        <w:rPr>
          <w:rFonts w:hint="eastAsia" w:ascii="仿宋_GB2312" w:eastAsia="仿宋_GB2312" w:cs="Courier New"/>
          <w:b/>
          <w:color w:val="auto"/>
          <w:sz w:val="24"/>
        </w:rPr>
        <w:t>16.投标文件的有效期</w:t>
      </w:r>
    </w:p>
    <w:p w14:paraId="73C9396B">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16.1 投标截止日期后不得少于90天，投标文件应保持有效。有效期不足的投标文件将被拒绝，视为投标无效。</w:t>
      </w:r>
    </w:p>
    <w:p w14:paraId="6F048603">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16.2在特殊情况下，采购人可与投标人协商延长投标书的有效期，这种要求和答复均以书面形式进行。</w:t>
      </w:r>
    </w:p>
    <w:p w14:paraId="03C119B7">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 xml:space="preserve">16.3投标人可拒绝接受延长有效期要求，同意延长有效期的投标人不能修改投标文件其它内容。 </w:t>
      </w:r>
    </w:p>
    <w:p w14:paraId="7512501F">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16.4投标人的投标文件在投标有效期内保持有效；如中标，投标文件至合同履行完毕止均应保持有效。</w:t>
      </w:r>
    </w:p>
    <w:p w14:paraId="4DC1C4E9">
      <w:pPr>
        <w:spacing w:line="400" w:lineRule="exact"/>
        <w:ind w:firstLine="472" w:firstLineChars="196"/>
        <w:rPr>
          <w:rFonts w:ascii="仿宋_GB2312" w:eastAsia="仿宋_GB2312" w:cs="Courier New"/>
          <w:b/>
          <w:color w:val="auto"/>
          <w:sz w:val="24"/>
        </w:rPr>
      </w:pPr>
      <w:bookmarkStart w:id="208" w:name="_Toc254970541"/>
      <w:bookmarkStart w:id="209" w:name="_Toc254970682"/>
      <w:r>
        <w:rPr>
          <w:rFonts w:hint="eastAsia" w:ascii="仿宋_GB2312" w:eastAsia="仿宋_GB2312" w:cs="Courier New"/>
          <w:b/>
          <w:color w:val="auto"/>
          <w:sz w:val="24"/>
        </w:rPr>
        <w:t>17.投标保证金</w:t>
      </w:r>
      <w:bookmarkEnd w:id="208"/>
      <w:bookmarkEnd w:id="209"/>
    </w:p>
    <w:p w14:paraId="64D8A63D">
      <w:pPr>
        <w:snapToGrid w:val="0"/>
        <w:spacing w:line="400" w:lineRule="exact"/>
        <w:ind w:firstLine="420"/>
        <w:jc w:val="left"/>
        <w:rPr>
          <w:rFonts w:ascii="仿宋_GB2312" w:eastAsia="仿宋_GB2312" w:cs="Courier New"/>
          <w:color w:val="auto"/>
          <w:sz w:val="24"/>
        </w:rPr>
      </w:pPr>
      <w:bookmarkStart w:id="210" w:name="_Toc254970542"/>
      <w:bookmarkStart w:id="211" w:name="_Toc254970683"/>
      <w:r>
        <w:rPr>
          <w:rFonts w:hint="eastAsia" w:ascii="仿宋_GB2312" w:eastAsia="仿宋_GB2312" w:cs="Courier New"/>
          <w:color w:val="auto"/>
          <w:sz w:val="24"/>
        </w:rPr>
        <w:t>17.1本项目无需提交投标保证金。</w:t>
      </w:r>
    </w:p>
    <w:p w14:paraId="60933D25">
      <w:pPr>
        <w:snapToGrid w:val="0"/>
        <w:spacing w:line="400" w:lineRule="exact"/>
        <w:ind w:firstLine="422" w:firstLineChars="175"/>
        <w:jc w:val="left"/>
        <w:rPr>
          <w:rFonts w:ascii="仿宋_GB2312" w:eastAsia="仿宋_GB2312" w:cs="Courier New"/>
          <w:b/>
          <w:color w:val="auto"/>
          <w:sz w:val="24"/>
        </w:rPr>
      </w:pPr>
      <w:r>
        <w:rPr>
          <w:rFonts w:hint="eastAsia" w:ascii="仿宋_GB2312" w:eastAsia="仿宋_GB2312" w:cs="Courier New"/>
          <w:b/>
          <w:color w:val="auto"/>
          <w:sz w:val="24"/>
        </w:rPr>
        <w:t>18.电子投标文件的</w:t>
      </w:r>
      <w:bookmarkEnd w:id="210"/>
      <w:bookmarkEnd w:id="211"/>
      <w:r>
        <w:rPr>
          <w:rFonts w:hint="eastAsia" w:ascii="仿宋_GB2312" w:eastAsia="仿宋_GB2312" w:cs="Courier New"/>
          <w:b/>
          <w:color w:val="auto"/>
          <w:sz w:val="24"/>
        </w:rPr>
        <w:t>编制、加密要求</w:t>
      </w:r>
    </w:p>
    <w:p w14:paraId="0F8E8854">
      <w:pPr>
        <w:spacing w:line="360" w:lineRule="auto"/>
        <w:ind w:firstLine="480" w:firstLineChars="200"/>
        <w:rPr>
          <w:rFonts w:ascii="仿宋_GB2312" w:eastAsia="仿宋_GB2312"/>
          <w:color w:val="auto"/>
          <w:sz w:val="24"/>
        </w:rPr>
      </w:pPr>
      <w:r>
        <w:rPr>
          <w:rFonts w:hint="eastAsia" w:ascii="仿宋_GB2312" w:eastAsia="仿宋_GB2312" w:cs="Courier New"/>
          <w:color w:val="auto"/>
          <w:sz w:val="24"/>
        </w:rPr>
        <w:t>18.1投标人应按本招标文件规定的格式</w:t>
      </w:r>
      <w:r>
        <w:rPr>
          <w:rFonts w:hint="eastAsia" w:ascii="仿宋_GB2312" w:eastAsia="仿宋_GB2312"/>
          <w:color w:val="auto"/>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color w:val="auto"/>
          <w:sz w:val="24"/>
        </w:rPr>
        <w:t>未设置或设置关联点错误导致</w:t>
      </w:r>
      <w:r>
        <w:rPr>
          <w:rFonts w:hint="eastAsia" w:ascii="仿宋_GB2312" w:eastAsia="仿宋_GB2312"/>
          <w:color w:val="auto"/>
          <w:sz w:val="24"/>
        </w:rPr>
        <w:t>电子</w:t>
      </w:r>
      <w:r>
        <w:rPr>
          <w:rFonts w:hint="eastAsia" w:ascii="仿宋_GB2312" w:hAnsi="宋体" w:eastAsia="仿宋_GB2312"/>
          <w:color w:val="auto"/>
          <w:sz w:val="24"/>
        </w:rPr>
        <w:t>投标文件被误读、漏读或者查找不到相关内容，</w:t>
      </w:r>
      <w:r>
        <w:rPr>
          <w:rFonts w:hint="eastAsia" w:ascii="仿宋_GB2312" w:eastAsia="仿宋_GB2312"/>
          <w:color w:val="auto"/>
          <w:sz w:val="24"/>
        </w:rPr>
        <w:t>导致评标委员会在评审时做出对投标人不利的评审，所引起的后果由投标人自行承担。</w:t>
      </w:r>
    </w:p>
    <w:p w14:paraId="320658B3">
      <w:pPr>
        <w:spacing w:line="360" w:lineRule="auto"/>
        <w:ind w:firstLine="482" w:firstLineChars="200"/>
        <w:rPr>
          <w:rFonts w:ascii="仿宋_GB2312" w:eastAsia="仿宋_GB2312"/>
          <w:b/>
          <w:bCs/>
          <w:color w:val="auto"/>
          <w:sz w:val="24"/>
        </w:rPr>
      </w:pPr>
      <w:r>
        <w:rPr>
          <w:rFonts w:hint="eastAsia" w:ascii="仿宋_GB2312" w:eastAsia="仿宋_GB2312"/>
          <w:b/>
          <w:bCs/>
          <w:color w:val="auto"/>
          <w:sz w:val="24"/>
        </w:rPr>
        <w:t>18.2公开招标文件中规定须由投标人在规定处盖章的，投标人应加盖CA电子签章，否则视为投标无效。</w:t>
      </w:r>
    </w:p>
    <w:p w14:paraId="10D5141A">
      <w:pPr>
        <w:spacing w:line="360" w:lineRule="auto"/>
        <w:ind w:firstLine="482" w:firstLineChars="200"/>
        <w:rPr>
          <w:rFonts w:ascii="仿宋_GB2312" w:eastAsia="仿宋_GB2312"/>
          <w:b/>
          <w:color w:val="auto"/>
          <w:sz w:val="24"/>
        </w:rPr>
      </w:pPr>
      <w:r>
        <w:rPr>
          <w:rFonts w:hint="eastAsia" w:ascii="仿宋_GB2312" w:eastAsia="仿宋_GB2312"/>
          <w:b/>
          <w:bCs/>
          <w:color w:val="auto"/>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color w:val="auto"/>
          <w:sz w:val="24"/>
        </w:rPr>
        <w:t>否则视为投标无效。</w:t>
      </w:r>
    </w:p>
    <w:p w14:paraId="1143CC4E">
      <w:pPr>
        <w:spacing w:line="360" w:lineRule="auto"/>
        <w:ind w:firstLine="480" w:firstLineChars="200"/>
        <w:rPr>
          <w:rFonts w:ascii="仿宋_GB2312" w:hAnsi="宋体" w:eastAsia="仿宋_GB2312"/>
          <w:color w:val="auto"/>
          <w:sz w:val="24"/>
        </w:rPr>
      </w:pPr>
      <w:r>
        <w:rPr>
          <w:rFonts w:hint="eastAsia" w:ascii="仿宋_GB2312" w:eastAsia="仿宋_GB2312"/>
          <w:color w:val="auto"/>
          <w:sz w:val="24"/>
        </w:rPr>
        <w:t>18.4电子投标文件不得涂改，若有修改错漏处，须加盖投标人CA电子签章或者法定代表人或授权委托代理人签字。</w:t>
      </w:r>
      <w:bookmarkStart w:id="212" w:name="_Hlk93676509"/>
      <w:r>
        <w:rPr>
          <w:rFonts w:hint="eastAsia" w:ascii="仿宋_GB2312" w:eastAsia="仿宋_GB2312"/>
          <w:color w:val="auto"/>
          <w:sz w:val="24"/>
        </w:rPr>
        <w:t>扫描不清晰或乱码或表达不清所引起的后果由投标人负责。</w:t>
      </w:r>
      <w:bookmarkEnd w:id="212"/>
      <w:r>
        <w:rPr>
          <w:rFonts w:hint="eastAsia" w:ascii="仿宋_GB2312" w:hAnsi="宋体" w:eastAsia="仿宋_GB2312"/>
          <w:color w:val="auto"/>
          <w:sz w:val="24"/>
        </w:rPr>
        <w:t>18.5</w:t>
      </w:r>
      <w:r>
        <w:rPr>
          <w:rFonts w:hint="eastAsia" w:ascii="仿宋_GB2312" w:eastAsia="仿宋_GB2312"/>
          <w:color w:val="auto"/>
          <w:sz w:val="24"/>
        </w:rPr>
        <w:t>电子</w:t>
      </w:r>
      <w:r>
        <w:rPr>
          <w:rFonts w:hint="eastAsia" w:ascii="仿宋_GB2312" w:hAnsi="宋体" w:eastAsia="仿宋_GB2312"/>
          <w:color w:val="auto"/>
          <w:sz w:val="24"/>
        </w:rPr>
        <w:t>投标文件所提供的相关材料的尺寸和清晰度应该能够在电脑上被阅读、识别和判断。</w:t>
      </w:r>
    </w:p>
    <w:p w14:paraId="686844FF">
      <w:pPr>
        <w:snapToGrid w:val="0"/>
        <w:spacing w:line="42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18.6</w:t>
      </w:r>
      <w:r>
        <w:rPr>
          <w:rFonts w:hint="eastAsia" w:ascii="仿宋_GB2312" w:eastAsia="仿宋_GB2312"/>
          <w:color w:val="auto"/>
          <w:sz w:val="24"/>
        </w:rPr>
        <w:t>电子</w:t>
      </w:r>
      <w:r>
        <w:rPr>
          <w:rFonts w:hint="eastAsia" w:ascii="仿宋_GB2312" w:hAnsi="宋体" w:eastAsia="仿宋_GB2312"/>
          <w:color w:val="auto"/>
          <w:sz w:val="24"/>
        </w:rPr>
        <w:t>投标文件内容无法阅读、识别和判断的，视为未提供。</w:t>
      </w:r>
    </w:p>
    <w:p w14:paraId="6E196CD7">
      <w:pPr>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18.7</w:t>
      </w:r>
      <w:r>
        <w:rPr>
          <w:rFonts w:hint="eastAsia" w:ascii="仿宋_GB2312" w:eastAsia="仿宋_GB2312"/>
          <w:color w:val="auto"/>
          <w:sz w:val="24"/>
        </w:rPr>
        <w:t>电子</w:t>
      </w:r>
      <w:r>
        <w:rPr>
          <w:rFonts w:hint="eastAsia" w:ascii="仿宋_GB2312" w:hAnsi="宋体" w:eastAsia="仿宋_GB2312"/>
          <w:color w:val="auto"/>
          <w:sz w:val="24"/>
        </w:rPr>
        <w:t>投标文件的容量大小须符合广西政府采购云平台客户端规定。</w:t>
      </w:r>
    </w:p>
    <w:p w14:paraId="79E61BD7">
      <w:pPr>
        <w:snapToGrid w:val="0"/>
        <w:spacing w:line="440" w:lineRule="exact"/>
        <w:ind w:firstLine="482" w:firstLineChars="200"/>
        <w:jc w:val="left"/>
        <w:rPr>
          <w:rFonts w:ascii="仿宋_GB2312" w:hAnsi="宋体" w:eastAsia="仿宋_GB2312"/>
          <w:b/>
          <w:bCs/>
          <w:color w:val="auto"/>
          <w:sz w:val="24"/>
        </w:rPr>
      </w:pPr>
      <w:r>
        <w:rPr>
          <w:rFonts w:hint="eastAsia" w:ascii="仿宋_GB2312" w:hAnsi="宋体" w:eastAsia="仿宋_GB2312"/>
          <w:b/>
          <w:bCs/>
          <w:color w:val="auto"/>
          <w:sz w:val="24"/>
        </w:rPr>
        <w:t>18.8电子投标文件的加密要求</w:t>
      </w:r>
    </w:p>
    <w:p w14:paraId="68844CDE">
      <w:pPr>
        <w:snapToGrid w:val="0"/>
        <w:spacing w:line="420" w:lineRule="exact"/>
        <w:ind w:firstLine="480" w:firstLineChars="200"/>
        <w:jc w:val="left"/>
        <w:rPr>
          <w:rFonts w:ascii="仿宋_GB2312" w:hAnsi="宋体" w:eastAsia="仿宋_GB2312"/>
          <w:color w:val="auto"/>
          <w:sz w:val="24"/>
        </w:rPr>
      </w:pPr>
      <w:r>
        <w:rPr>
          <w:rFonts w:hint="eastAsia" w:ascii="仿宋_GB2312" w:eastAsia="仿宋_GB2312"/>
          <w:color w:val="auto"/>
          <w:sz w:val="24"/>
        </w:rPr>
        <w:t>电子</w:t>
      </w:r>
      <w:r>
        <w:rPr>
          <w:rFonts w:hint="eastAsia" w:ascii="仿宋_GB2312" w:hAnsi="宋体" w:eastAsia="仿宋_GB2312"/>
          <w:color w:val="auto"/>
          <w:sz w:val="24"/>
        </w:rPr>
        <w:t>投标文件应按广西政府采购云平台客户端软件有关规定加密，否则广西政府采购云平台将拒收</w:t>
      </w:r>
      <w:r>
        <w:rPr>
          <w:rFonts w:hint="eastAsia" w:ascii="仿宋_GB2312" w:eastAsia="仿宋_GB2312" w:cs="Courier New"/>
          <w:color w:val="auto"/>
          <w:sz w:val="24"/>
        </w:rPr>
        <w:t>，由此造成的风险由投标人承担。</w:t>
      </w:r>
    </w:p>
    <w:p w14:paraId="6163C56A">
      <w:pPr>
        <w:snapToGrid w:val="0"/>
        <w:spacing w:line="400" w:lineRule="exact"/>
        <w:ind w:firstLine="422" w:firstLineChars="175"/>
        <w:jc w:val="left"/>
        <w:rPr>
          <w:rFonts w:ascii="仿宋_GB2312" w:eastAsia="仿宋_GB2312"/>
          <w:b/>
          <w:color w:val="auto"/>
          <w:sz w:val="24"/>
        </w:rPr>
      </w:pPr>
      <w:r>
        <w:rPr>
          <w:rFonts w:hint="eastAsia" w:ascii="仿宋_GB2312" w:eastAsia="仿宋_GB2312" w:cs="Courier New"/>
          <w:b/>
          <w:color w:val="auto"/>
          <w:sz w:val="24"/>
        </w:rPr>
        <w:t>19.电子投标文件的提交、修改、撤回和解密</w:t>
      </w:r>
    </w:p>
    <w:p w14:paraId="1768016C">
      <w:pPr>
        <w:tabs>
          <w:tab w:val="left" w:pos="3870"/>
          <w:tab w:val="left" w:pos="4085"/>
        </w:tabs>
        <w:snapToGrid w:val="0"/>
        <w:spacing w:line="420" w:lineRule="exact"/>
        <w:ind w:firstLine="480" w:firstLineChars="200"/>
        <w:jc w:val="left"/>
        <w:rPr>
          <w:rFonts w:ascii="仿宋_GB2312" w:hAnsi="宋体" w:eastAsia="仿宋_GB2312"/>
          <w:color w:val="auto"/>
          <w:sz w:val="24"/>
        </w:rPr>
      </w:pPr>
      <w:bookmarkStart w:id="213" w:name="_Toc254970684"/>
      <w:bookmarkStart w:id="214" w:name="_Toc254970543"/>
      <w:r>
        <w:rPr>
          <w:rFonts w:hint="eastAsia" w:ascii="仿宋_GB2312" w:hAnsi="宋体" w:eastAsia="仿宋_GB2312"/>
          <w:color w:val="auto"/>
          <w:sz w:val="24"/>
        </w:rPr>
        <w:t>19.1本项目实行“网上投标、电子评标”，投标人应于提交投标文件截止时间前在广西政府采购云平台上提交已经加密的电子投标文件。</w:t>
      </w:r>
    </w:p>
    <w:p w14:paraId="4D677BE8">
      <w:pPr>
        <w:tabs>
          <w:tab w:val="left" w:pos="3870"/>
          <w:tab w:val="left" w:pos="4085"/>
        </w:tabs>
        <w:snapToGrid w:val="0"/>
        <w:spacing w:line="42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19.2未按规定上传的电子投标文件将被广西政府采购云平台拒收，由此造成电子投标文件解密失败或被误投的风险由投标人自行承担。</w:t>
      </w:r>
    </w:p>
    <w:p w14:paraId="1268777A">
      <w:pPr>
        <w:tabs>
          <w:tab w:val="left" w:pos="3870"/>
          <w:tab w:val="left" w:pos="4085"/>
        </w:tabs>
        <w:snapToGrid w:val="0"/>
        <w:spacing w:line="42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76A3B835">
      <w:pPr>
        <w:tabs>
          <w:tab w:val="left" w:pos="3870"/>
          <w:tab w:val="left" w:pos="4085"/>
        </w:tabs>
        <w:snapToGrid w:val="0"/>
        <w:spacing w:line="420" w:lineRule="exact"/>
        <w:ind w:firstLine="482" w:firstLineChars="200"/>
        <w:jc w:val="left"/>
        <w:rPr>
          <w:rFonts w:ascii="仿宋_GB2312" w:hAnsi="宋体" w:eastAsia="仿宋_GB2312"/>
          <w:color w:val="auto"/>
          <w:sz w:val="24"/>
        </w:rPr>
      </w:pPr>
      <w:r>
        <w:rPr>
          <w:rFonts w:hint="eastAsia" w:ascii="仿宋_GB2312" w:hAnsi="宋体" w:eastAsia="仿宋_GB2312"/>
          <w:b/>
          <w:bCs/>
          <w:color w:val="auto"/>
          <w:sz w:val="24"/>
        </w:rPr>
        <w:t>19.4</w:t>
      </w:r>
      <w:r>
        <w:rPr>
          <w:rFonts w:hint="eastAsia" w:ascii="仿宋_GB2312" w:eastAsia="仿宋_GB2312"/>
          <w:b/>
          <w:bCs/>
          <w:color w:val="auto"/>
          <w:sz w:val="24"/>
        </w:rPr>
        <w:t>电子投标文件成功提交后，投标人可自行打印投标文件接收回执。</w:t>
      </w:r>
    </w:p>
    <w:p w14:paraId="79049C38">
      <w:pPr>
        <w:tabs>
          <w:tab w:val="left" w:pos="3870"/>
          <w:tab w:val="left" w:pos="4085"/>
        </w:tabs>
        <w:snapToGrid w:val="0"/>
        <w:spacing w:line="42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46103709">
      <w:pPr>
        <w:tabs>
          <w:tab w:val="left" w:pos="3870"/>
          <w:tab w:val="left" w:pos="4085"/>
        </w:tabs>
        <w:snapToGrid w:val="0"/>
        <w:spacing w:line="42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非广西政府采购云平台技术原因造成的投标人超过解密时限未完成解密的，或投标文件无法解密或解密失败，视为投标人放弃投标，投标无效。</w:t>
      </w:r>
    </w:p>
    <w:p w14:paraId="1212FE8F">
      <w:pPr>
        <w:snapToGrid w:val="0"/>
        <w:spacing w:line="400" w:lineRule="exact"/>
        <w:ind w:firstLine="354" w:firstLineChars="147"/>
        <w:jc w:val="left"/>
        <w:rPr>
          <w:rFonts w:ascii="仿宋_GB2312" w:eastAsia="仿宋_GB2312"/>
          <w:b/>
          <w:color w:val="auto"/>
          <w:sz w:val="24"/>
        </w:rPr>
      </w:pPr>
      <w:r>
        <w:rPr>
          <w:rFonts w:hint="eastAsia" w:ascii="仿宋_GB2312" w:eastAsia="仿宋_GB2312" w:cs="Courier New"/>
          <w:b/>
          <w:color w:val="auto"/>
          <w:sz w:val="24"/>
        </w:rPr>
        <w:t>20.投标无效的情形</w:t>
      </w:r>
      <w:bookmarkEnd w:id="213"/>
      <w:bookmarkEnd w:id="214"/>
    </w:p>
    <w:p w14:paraId="77518CF3">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投标文件必须以书面形式进行。若投标人截止时间前未</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的，或</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后仍不符合招标文件要求的，评标委员会有权认定其</w:t>
      </w:r>
      <w:r>
        <w:rPr>
          <w:rFonts w:hint="eastAsia" w:ascii="仿宋_GB2312" w:eastAsia="仿宋_GB2312" w:cs="Courier New"/>
          <w:color w:val="auto"/>
          <w:sz w:val="24"/>
          <w:lang w:eastAsia="zh-CN"/>
        </w:rPr>
        <w:t>投标</w:t>
      </w:r>
      <w:r>
        <w:rPr>
          <w:rFonts w:hint="eastAsia" w:ascii="仿宋_GB2312" w:eastAsia="仿宋_GB2312" w:cs="Courier New"/>
          <w:color w:val="auto"/>
          <w:sz w:val="24"/>
        </w:rPr>
        <w:t>无效。</w:t>
      </w:r>
    </w:p>
    <w:p w14:paraId="6C7DFBE2">
      <w:pPr>
        <w:snapToGrid w:val="0"/>
        <w:spacing w:line="400" w:lineRule="exact"/>
        <w:ind w:firstLine="472" w:firstLineChars="196"/>
        <w:rPr>
          <w:rFonts w:ascii="仿宋_GB2312" w:eastAsia="仿宋_GB2312"/>
          <w:b/>
          <w:bCs/>
          <w:color w:val="auto"/>
          <w:sz w:val="24"/>
        </w:rPr>
      </w:pPr>
      <w:r>
        <w:rPr>
          <w:rFonts w:hint="eastAsia" w:ascii="仿宋_GB2312" w:eastAsia="仿宋_GB2312"/>
          <w:b/>
          <w:color w:val="auto"/>
          <w:sz w:val="24"/>
        </w:rPr>
        <w:t>20.1.1投标人存在下列情况之一的，投标无效：</w:t>
      </w:r>
    </w:p>
    <w:p w14:paraId="527A2C62">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（1）投标文件未按招标文件要求签署、盖章的；</w:t>
      </w:r>
    </w:p>
    <w:p w14:paraId="36C003C9">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（2）不具备招标文件中规定的资格要求的；</w:t>
      </w:r>
    </w:p>
    <w:p w14:paraId="55F4FE2D">
      <w:pPr>
        <w:snapToGrid w:val="0"/>
        <w:spacing w:line="400" w:lineRule="exact"/>
        <w:ind w:firstLine="420"/>
        <w:jc w:val="left"/>
        <w:rPr>
          <w:rFonts w:ascii="仿宋_GB2312" w:eastAsia="仿宋_GB2312" w:cs="Courier New"/>
          <w:color w:val="auto"/>
          <w:sz w:val="24"/>
        </w:rPr>
      </w:pPr>
      <w:bookmarkStart w:id="215" w:name="_Hlk93676577"/>
      <w:r>
        <w:rPr>
          <w:rFonts w:hint="eastAsia" w:ascii="仿宋_GB2312" w:eastAsia="仿宋_GB2312" w:cs="Courier New"/>
          <w:color w:val="auto"/>
          <w:sz w:val="24"/>
        </w:rPr>
        <w:t>（3）报价超过招标文件中规定的预算金额或者最高限价的；</w:t>
      </w:r>
    </w:p>
    <w:bookmarkEnd w:id="215"/>
    <w:p w14:paraId="187AC6AD">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（4）投标文件含有采购人不能接受的附加条件的；</w:t>
      </w:r>
    </w:p>
    <w:p w14:paraId="512FB0BD">
      <w:pPr>
        <w:snapToGrid w:val="0"/>
        <w:spacing w:line="400" w:lineRule="exact"/>
        <w:ind w:firstLine="420"/>
        <w:jc w:val="left"/>
        <w:rPr>
          <w:rFonts w:ascii="仿宋_GB2312" w:eastAsia="仿宋_GB2312" w:cs="Courier New"/>
          <w:b/>
          <w:bCs/>
          <w:color w:val="auto"/>
          <w:sz w:val="24"/>
        </w:rPr>
      </w:pPr>
      <w:r>
        <w:rPr>
          <w:rFonts w:hint="eastAsia" w:ascii="仿宋_GB2312" w:eastAsia="仿宋_GB2312" w:cs="Courier New"/>
          <w:b/>
          <w:bCs/>
          <w:color w:val="auto"/>
          <w:sz w:val="24"/>
        </w:rPr>
        <w:t>（5）投标人在线制作电子投标文件时填写的报价金额与解密后“电子加密投标文件”中《开标一览表》填写的金额不一致并拒绝按公开招标文件要求接受调整的；</w:t>
      </w:r>
    </w:p>
    <w:p w14:paraId="291BF9C0">
      <w:pPr>
        <w:snapToGrid w:val="0"/>
        <w:spacing w:line="360" w:lineRule="exact"/>
        <w:ind w:right="-330" w:rightChars="-157" w:firstLine="420"/>
        <w:jc w:val="left"/>
        <w:rPr>
          <w:rFonts w:ascii="仿宋_GB2312" w:eastAsia="仿宋_GB2312" w:cs="Courier New"/>
          <w:color w:val="auto"/>
          <w:sz w:val="24"/>
        </w:rPr>
      </w:pPr>
      <w:r>
        <w:rPr>
          <w:rFonts w:hint="eastAsia" w:ascii="仿宋_GB2312" w:eastAsia="仿宋_GB2312" w:cs="Courier New"/>
          <w:color w:val="auto"/>
          <w:sz w:val="24"/>
        </w:rPr>
        <w:t>（6）法律、法规和招标文件规定的其他无效情形。</w:t>
      </w:r>
    </w:p>
    <w:p w14:paraId="02292FA1">
      <w:pPr>
        <w:snapToGrid w:val="0"/>
        <w:spacing w:line="350" w:lineRule="exact"/>
        <w:ind w:right="-330" w:rightChars="-157" w:firstLine="472" w:firstLineChars="196"/>
        <w:rPr>
          <w:rFonts w:ascii="仿宋_GB2312" w:eastAsia="仿宋_GB2312"/>
          <w:b/>
          <w:color w:val="auto"/>
          <w:sz w:val="24"/>
        </w:rPr>
      </w:pPr>
      <w:r>
        <w:rPr>
          <w:rFonts w:hint="eastAsia" w:ascii="仿宋_GB2312" w:eastAsia="仿宋_GB2312"/>
          <w:b/>
          <w:color w:val="auto"/>
          <w:sz w:val="24"/>
        </w:rPr>
        <w:t>20.1.2在资格性审查时，如发现下列情形之一的，投标文件将被视为无效：</w:t>
      </w:r>
    </w:p>
    <w:p w14:paraId="02E62C3E">
      <w:pPr>
        <w:tabs>
          <w:tab w:val="left" w:pos="3870"/>
          <w:tab w:val="left" w:pos="4085"/>
        </w:tabs>
        <w:snapToGrid w:val="0"/>
        <w:spacing w:line="360" w:lineRule="exact"/>
        <w:ind w:right="-330" w:rightChars="-157" w:firstLine="480" w:firstLineChars="200"/>
        <w:jc w:val="left"/>
        <w:rPr>
          <w:rFonts w:ascii="仿宋_GB2312" w:hAnsi="宋体" w:eastAsia="仿宋_GB2312" w:cs="Courier New"/>
          <w:color w:val="auto"/>
          <w:sz w:val="24"/>
        </w:rPr>
      </w:pPr>
      <w:r>
        <w:rPr>
          <w:rFonts w:ascii="仿宋_GB2312" w:eastAsia="仿宋_GB2312"/>
          <w:color w:val="auto"/>
          <w:sz w:val="24"/>
        </w:rPr>
        <w:t>（1）资格证明文件不全的，或者不符合招标文件标明的资格要求的；</w:t>
      </w:r>
    </w:p>
    <w:p w14:paraId="553884C5">
      <w:pPr>
        <w:tabs>
          <w:tab w:val="left" w:pos="3870"/>
          <w:tab w:val="left" w:pos="4085"/>
        </w:tabs>
        <w:snapToGrid w:val="0"/>
        <w:spacing w:line="360" w:lineRule="exact"/>
        <w:ind w:right="-330" w:rightChars="-157" w:firstLine="480" w:firstLineChars="200"/>
        <w:jc w:val="left"/>
        <w:rPr>
          <w:rFonts w:ascii="仿宋_GB2312" w:hAnsi="宋体" w:eastAsia="仿宋_GB2312" w:cs="Courier New"/>
          <w:color w:val="auto"/>
          <w:sz w:val="24"/>
        </w:rPr>
      </w:pPr>
      <w:r>
        <w:rPr>
          <w:rFonts w:ascii="仿宋_GB2312" w:eastAsia="仿宋_GB2312"/>
          <w:color w:val="auto"/>
          <w:sz w:val="24"/>
        </w:rPr>
        <w:t>（2）无法定代表人或其授权委托代理人签字，或未提供法定代表人授权委托书或者填写项目不齐全的；</w:t>
      </w:r>
    </w:p>
    <w:p w14:paraId="125DE03D">
      <w:pPr>
        <w:tabs>
          <w:tab w:val="left" w:pos="3870"/>
          <w:tab w:val="left" w:pos="4085"/>
        </w:tabs>
        <w:snapToGrid w:val="0"/>
        <w:spacing w:line="360" w:lineRule="exact"/>
        <w:ind w:right="-330" w:rightChars="-157" w:firstLine="480" w:firstLineChars="200"/>
        <w:jc w:val="left"/>
        <w:rPr>
          <w:rFonts w:ascii="仿宋_GB2312" w:hAnsi="宋体" w:eastAsia="仿宋_GB2312" w:cs="Courier New"/>
          <w:color w:val="auto"/>
          <w:sz w:val="24"/>
        </w:rPr>
      </w:pPr>
      <w:r>
        <w:rPr>
          <w:rFonts w:ascii="仿宋_GB2312" w:eastAsia="仿宋_GB2312"/>
          <w:color w:val="auto"/>
          <w:sz w:val="24"/>
        </w:rPr>
        <w:t>（3）委托代理人与法定代表人授权委托书中的代理人不符的。</w:t>
      </w:r>
    </w:p>
    <w:p w14:paraId="7CA697B1">
      <w:pPr>
        <w:snapToGrid w:val="0"/>
        <w:spacing w:line="340" w:lineRule="exact"/>
        <w:ind w:right="-330" w:rightChars="-157" w:firstLine="472" w:firstLineChars="196"/>
        <w:rPr>
          <w:rFonts w:ascii="仿宋_GB2312" w:eastAsia="仿宋_GB2312"/>
          <w:b/>
          <w:bCs/>
          <w:color w:val="auto"/>
          <w:kern w:val="0"/>
          <w:sz w:val="24"/>
        </w:rPr>
      </w:pPr>
      <w:r>
        <w:rPr>
          <w:rFonts w:hint="eastAsia" w:ascii="仿宋_GB2312" w:eastAsia="仿宋_GB2312"/>
          <w:b/>
          <w:bCs/>
          <w:color w:val="auto"/>
          <w:kern w:val="0"/>
          <w:sz w:val="24"/>
        </w:rPr>
        <w:t>20.1.3在符合性评审时，如发现下列情形之一的，投标文件将被视为无效：</w:t>
      </w:r>
    </w:p>
    <w:p w14:paraId="3107B08D">
      <w:pPr>
        <w:tabs>
          <w:tab w:val="left" w:pos="3870"/>
          <w:tab w:val="left" w:pos="4085"/>
        </w:tabs>
        <w:snapToGrid w:val="0"/>
        <w:spacing w:line="360" w:lineRule="exact"/>
        <w:ind w:right="-330" w:rightChars="-157" w:firstLine="480" w:firstLineChars="200"/>
        <w:jc w:val="left"/>
        <w:rPr>
          <w:rFonts w:ascii="仿宋_GB2312" w:hAnsi="宋体" w:eastAsia="仿宋_GB2312" w:cs="Courier New"/>
          <w:color w:val="auto"/>
          <w:sz w:val="24"/>
        </w:rPr>
      </w:pPr>
      <w:r>
        <w:rPr>
          <w:rFonts w:ascii="仿宋_GB2312" w:eastAsia="仿宋_GB2312"/>
          <w:color w:val="auto"/>
          <w:sz w:val="24"/>
        </w:rPr>
        <w:t>（1）投标有效期、服务期限、付款方式等商务条款不能满足招标文件要求的；</w:t>
      </w:r>
    </w:p>
    <w:p w14:paraId="53713E88">
      <w:pPr>
        <w:tabs>
          <w:tab w:val="left" w:pos="3870"/>
          <w:tab w:val="left" w:pos="4085"/>
        </w:tabs>
        <w:snapToGrid w:val="0"/>
        <w:spacing w:line="360" w:lineRule="exact"/>
        <w:ind w:right="-330" w:rightChars="-157" w:firstLine="480" w:firstLineChars="200"/>
        <w:jc w:val="left"/>
        <w:rPr>
          <w:rFonts w:ascii="仿宋_GB2312" w:hAnsi="宋体" w:eastAsia="仿宋_GB2312" w:cs="Courier New"/>
          <w:color w:val="auto"/>
          <w:sz w:val="24"/>
        </w:rPr>
      </w:pPr>
      <w:r>
        <w:rPr>
          <w:rFonts w:ascii="仿宋_GB2312" w:eastAsia="仿宋_GB2312"/>
          <w:color w:val="auto"/>
          <w:sz w:val="24"/>
        </w:rPr>
        <w:t>（2）投标人就采购需求中标记 “★”符号的实质性响应内容发生负偏离一项以上的；</w:t>
      </w:r>
      <w:r>
        <w:rPr>
          <w:rFonts w:hint="eastAsia" w:ascii="仿宋_GB2312" w:eastAsia="仿宋_GB2312"/>
          <w:color w:val="auto"/>
          <w:sz w:val="24"/>
        </w:rPr>
        <w:t>分标</w:t>
      </w:r>
      <w:r>
        <w:rPr>
          <w:rFonts w:hint="eastAsia" w:ascii="仿宋_GB2312" w:eastAsia="仿宋_GB2312"/>
          <w:color w:val="auto"/>
          <w:sz w:val="24"/>
          <w:lang w:val="en-US" w:eastAsia="zh-CN"/>
        </w:rPr>
        <w:t>1</w:t>
      </w:r>
      <w:r>
        <w:rPr>
          <w:rFonts w:hint="eastAsia" w:ascii="仿宋_GB2312" w:eastAsia="仿宋_GB2312"/>
          <w:color w:val="auto"/>
          <w:sz w:val="24"/>
        </w:rPr>
        <w:t>没有标记“★”符号的技术参数要求，评审时投标人的响应内容发生负偏离四项以上的；分标</w:t>
      </w:r>
      <w:r>
        <w:rPr>
          <w:rFonts w:hint="eastAsia" w:ascii="仿宋_GB2312" w:eastAsia="仿宋_GB2312"/>
          <w:color w:val="auto"/>
          <w:sz w:val="24"/>
          <w:lang w:val="en-US" w:eastAsia="zh-CN"/>
        </w:rPr>
        <w:t>2</w:t>
      </w:r>
      <w:r>
        <w:rPr>
          <w:rFonts w:hint="eastAsia" w:ascii="仿宋_GB2312" w:eastAsia="仿宋_GB2312"/>
          <w:color w:val="auto"/>
          <w:sz w:val="24"/>
        </w:rPr>
        <w:t>没有标记“★”符号的技术参数要求，评审时投标人的响应内容发生负偏离四项以上的；分标</w:t>
      </w:r>
      <w:r>
        <w:rPr>
          <w:rFonts w:hint="eastAsia" w:ascii="仿宋_GB2312" w:eastAsia="仿宋_GB2312"/>
          <w:color w:val="auto"/>
          <w:sz w:val="24"/>
          <w:lang w:val="en-US" w:eastAsia="zh-CN"/>
        </w:rPr>
        <w:t>3</w:t>
      </w:r>
      <w:r>
        <w:rPr>
          <w:rFonts w:hint="eastAsia" w:ascii="仿宋_GB2312" w:eastAsia="仿宋_GB2312"/>
          <w:color w:val="auto"/>
          <w:sz w:val="24"/>
        </w:rPr>
        <w:t>没有标记“★”符号的技术参数要求，评审时投标人的响应内容发生负偏离四项以上的；分标</w:t>
      </w:r>
      <w:r>
        <w:rPr>
          <w:rFonts w:hint="eastAsia" w:ascii="仿宋_GB2312" w:eastAsia="仿宋_GB2312"/>
          <w:color w:val="auto"/>
          <w:sz w:val="24"/>
          <w:lang w:val="en-US" w:eastAsia="zh-CN"/>
        </w:rPr>
        <w:t>4</w:t>
      </w:r>
      <w:r>
        <w:rPr>
          <w:rFonts w:hint="eastAsia" w:ascii="仿宋_GB2312" w:eastAsia="仿宋_GB2312"/>
          <w:color w:val="auto"/>
          <w:sz w:val="24"/>
        </w:rPr>
        <w:t>没有标记“★”符号的技术参数要求，评审时投标人的响应内容发生负偏离四项以上的；分标</w:t>
      </w:r>
      <w:r>
        <w:rPr>
          <w:rFonts w:hint="eastAsia" w:ascii="仿宋_GB2312" w:eastAsia="仿宋_GB2312"/>
          <w:color w:val="auto"/>
          <w:sz w:val="24"/>
          <w:lang w:val="en-US" w:eastAsia="zh-CN"/>
        </w:rPr>
        <w:t>5</w:t>
      </w:r>
      <w:r>
        <w:rPr>
          <w:rFonts w:hint="eastAsia" w:ascii="仿宋_GB2312" w:eastAsia="仿宋_GB2312"/>
          <w:color w:val="auto"/>
          <w:sz w:val="24"/>
        </w:rPr>
        <w:t>没有标记“★”符号的技术参数要求，评审时投标人的响应内容发生负偏离四项以上的</w:t>
      </w:r>
      <w:r>
        <w:rPr>
          <w:rFonts w:ascii="仿宋_GB2312" w:eastAsia="仿宋_GB2312"/>
          <w:color w:val="auto"/>
          <w:sz w:val="24"/>
        </w:rPr>
        <w:t>；</w:t>
      </w:r>
    </w:p>
    <w:p w14:paraId="2FD14915">
      <w:pPr>
        <w:tabs>
          <w:tab w:val="left" w:pos="3870"/>
          <w:tab w:val="left" w:pos="4085"/>
        </w:tabs>
        <w:snapToGrid w:val="0"/>
        <w:spacing w:line="360" w:lineRule="exact"/>
        <w:ind w:right="-330" w:rightChars="-157" w:firstLine="480" w:firstLineChars="200"/>
        <w:jc w:val="left"/>
        <w:rPr>
          <w:rFonts w:ascii="仿宋_GB2312" w:hAnsi="宋体" w:eastAsia="仿宋_GB2312" w:cs="Courier New"/>
          <w:color w:val="auto"/>
          <w:sz w:val="24"/>
        </w:rPr>
      </w:pPr>
      <w:r>
        <w:rPr>
          <w:rFonts w:ascii="仿宋_GB2312" w:eastAsia="仿宋_GB2312"/>
          <w:color w:val="auto"/>
          <w:sz w:val="24"/>
        </w:rPr>
        <w:t>（3）投标技术方案不明确，存在一个或一个以上备选（替代）投标方案的；</w:t>
      </w:r>
    </w:p>
    <w:p w14:paraId="7BD60236">
      <w:pPr>
        <w:tabs>
          <w:tab w:val="left" w:pos="3870"/>
          <w:tab w:val="left" w:pos="4085"/>
        </w:tabs>
        <w:snapToGrid w:val="0"/>
        <w:spacing w:line="360" w:lineRule="exact"/>
        <w:ind w:right="-330" w:rightChars="-157" w:firstLine="480" w:firstLineChars="200"/>
        <w:jc w:val="left"/>
        <w:rPr>
          <w:rFonts w:ascii="仿宋_GB2312" w:hAnsi="宋体" w:eastAsia="仿宋_GB2312" w:cs="Courier New"/>
          <w:color w:val="auto"/>
          <w:sz w:val="24"/>
        </w:rPr>
      </w:pPr>
      <w:r>
        <w:rPr>
          <w:rFonts w:ascii="仿宋_GB2312" w:eastAsia="仿宋_GB2312"/>
          <w:color w:val="auto"/>
          <w:sz w:val="24"/>
        </w:rPr>
        <w:t>（4）未采用人民币报价或者未按照招标文件标明的币种报价的；</w:t>
      </w:r>
    </w:p>
    <w:p w14:paraId="25F8EDA7">
      <w:pPr>
        <w:tabs>
          <w:tab w:val="left" w:pos="3870"/>
          <w:tab w:val="left" w:pos="4085"/>
        </w:tabs>
        <w:snapToGrid w:val="0"/>
        <w:spacing w:line="360" w:lineRule="exact"/>
        <w:ind w:right="-330" w:rightChars="-157" w:firstLine="480" w:firstLineChars="200"/>
        <w:jc w:val="left"/>
        <w:rPr>
          <w:rFonts w:ascii="仿宋_GB2312" w:hAnsi="宋体" w:eastAsia="仿宋_GB2312" w:cs="Courier New"/>
          <w:color w:val="auto"/>
          <w:sz w:val="24"/>
        </w:rPr>
      </w:pPr>
      <w:r>
        <w:rPr>
          <w:rFonts w:ascii="仿宋_GB2312" w:eastAsia="仿宋_GB2312"/>
          <w:color w:val="auto"/>
          <w:sz w:val="24"/>
        </w:rPr>
        <w:t>（5）报价超出最高限价，或者超出采购预算金额的；</w:t>
      </w:r>
    </w:p>
    <w:p w14:paraId="6F420F5B">
      <w:pPr>
        <w:tabs>
          <w:tab w:val="left" w:pos="3870"/>
          <w:tab w:val="left" w:pos="4085"/>
        </w:tabs>
        <w:snapToGrid w:val="0"/>
        <w:spacing w:line="360" w:lineRule="exact"/>
        <w:ind w:right="-330" w:rightChars="-157" w:firstLine="480" w:firstLineChars="200"/>
        <w:jc w:val="left"/>
        <w:rPr>
          <w:rFonts w:ascii="仿宋_GB2312" w:hAnsi="宋体" w:eastAsia="仿宋_GB2312" w:cs="Courier New"/>
          <w:color w:val="auto"/>
          <w:sz w:val="24"/>
        </w:rPr>
      </w:pPr>
      <w:r>
        <w:rPr>
          <w:rFonts w:ascii="仿宋_GB2312" w:eastAsia="仿宋_GB2312"/>
          <w:color w:val="auto"/>
          <w:sz w:val="24"/>
        </w:rPr>
        <w:t>（6）投标报价具有选择性，或者开标价格与投标文件承诺的优惠（折扣）价格不一致的；</w:t>
      </w:r>
    </w:p>
    <w:p w14:paraId="2F932F25">
      <w:pPr>
        <w:tabs>
          <w:tab w:val="left" w:pos="3870"/>
          <w:tab w:val="left" w:pos="4085"/>
        </w:tabs>
        <w:snapToGrid w:val="0"/>
        <w:spacing w:line="360" w:lineRule="exact"/>
        <w:ind w:right="-330" w:rightChars="-157" w:firstLine="480" w:firstLineChars="200"/>
        <w:jc w:val="left"/>
        <w:rPr>
          <w:rFonts w:ascii="仿宋_GB2312" w:hAnsi="宋体" w:eastAsia="仿宋_GB2312" w:cs="Courier New"/>
          <w:color w:val="auto"/>
          <w:sz w:val="24"/>
        </w:rPr>
      </w:pPr>
      <w:r>
        <w:rPr>
          <w:rFonts w:ascii="仿宋_GB2312" w:eastAsia="仿宋_GB2312"/>
          <w:color w:val="auto"/>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4BF39B54">
      <w:pPr>
        <w:snapToGrid w:val="0"/>
        <w:spacing w:line="400" w:lineRule="exact"/>
        <w:ind w:firstLine="472" w:firstLineChars="196"/>
        <w:rPr>
          <w:rFonts w:ascii="仿宋_GB2312" w:eastAsia="仿宋_GB2312"/>
          <w:b/>
          <w:color w:val="auto"/>
          <w:sz w:val="24"/>
        </w:rPr>
      </w:pPr>
      <w:r>
        <w:rPr>
          <w:rFonts w:hint="eastAsia" w:ascii="仿宋_GB2312" w:eastAsia="仿宋_GB2312"/>
          <w:b/>
          <w:color w:val="auto"/>
          <w:sz w:val="24"/>
        </w:rPr>
        <w:t>20.1.4在评审时有下列情形之一的视为投标人相互串通投标，投标文件将被视为无效：</w:t>
      </w:r>
    </w:p>
    <w:p w14:paraId="1C9E3178">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（1）不同投标人的投标文件由同一单位或者个人编制；或不同投标人报名（获取文件）的IP地址一致的；</w:t>
      </w:r>
    </w:p>
    <w:p w14:paraId="1BC9A547">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（2）不同投标人委托同一单位或者个人办理投标事宜；</w:t>
      </w:r>
    </w:p>
    <w:p w14:paraId="74F35015">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（3）不同的投标人的投标文件载明的项目管理成员或者联系人员为同一个人；</w:t>
      </w:r>
    </w:p>
    <w:p w14:paraId="0672CE7B">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（4）不同投标人的投标文件异常一致或投标报价呈规律性差异；</w:t>
      </w:r>
    </w:p>
    <w:p w14:paraId="246B58CF">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（5）不同投标人的投标文件相互混装。</w:t>
      </w:r>
    </w:p>
    <w:p w14:paraId="35BC57B4">
      <w:pPr>
        <w:snapToGrid w:val="0"/>
        <w:spacing w:line="400" w:lineRule="exact"/>
        <w:ind w:firstLine="472" w:firstLineChars="196"/>
        <w:rPr>
          <w:rFonts w:ascii="仿宋_GB2312" w:eastAsia="仿宋_GB2312"/>
          <w:b/>
          <w:color w:val="auto"/>
          <w:sz w:val="24"/>
        </w:rPr>
      </w:pPr>
      <w:r>
        <w:rPr>
          <w:rFonts w:hint="eastAsia" w:ascii="仿宋_GB2312" w:eastAsia="仿宋_GB2312"/>
          <w:b/>
          <w:color w:val="auto"/>
          <w:sz w:val="24"/>
        </w:rPr>
        <w:t>20.1.5被拒绝的投标文件为无效。</w:t>
      </w:r>
    </w:p>
    <w:p w14:paraId="5099FCB5">
      <w:pPr>
        <w:spacing w:line="460" w:lineRule="exact"/>
        <w:ind w:firstLine="482" w:firstLineChars="200"/>
        <w:rPr>
          <w:rFonts w:ascii="仿宋_GB2312" w:eastAsia="仿宋_GB2312"/>
          <w:b/>
          <w:color w:val="auto"/>
          <w:sz w:val="24"/>
        </w:rPr>
      </w:pPr>
      <w:r>
        <w:rPr>
          <w:rFonts w:hint="eastAsia" w:ascii="仿宋_GB2312" w:eastAsia="仿宋_GB2312"/>
          <w:b/>
          <w:color w:val="auto"/>
          <w:sz w:val="24"/>
        </w:rPr>
        <w:t>20.2特别说明</w:t>
      </w:r>
    </w:p>
    <w:p w14:paraId="41521085">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20.2.1广西政府采购云平台如对电子化开评标程序有调整的，按调整后的程序操作。</w:t>
      </w:r>
    </w:p>
    <w:p w14:paraId="684D3A1A">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20.2.2评审在严格保密的情况下进行，任何一方不得透露与评审有关的其他投标人的技术资料、价格和其他信息。</w:t>
      </w:r>
    </w:p>
    <w:p w14:paraId="77EFDCF5">
      <w:pPr>
        <w:spacing w:line="460" w:lineRule="exact"/>
        <w:ind w:firstLine="482" w:firstLineChars="200"/>
        <w:rPr>
          <w:rFonts w:ascii="仿宋_GB2312" w:eastAsia="仿宋_GB2312"/>
          <w:b/>
          <w:bCs/>
          <w:color w:val="auto"/>
          <w:sz w:val="24"/>
        </w:rPr>
      </w:pPr>
      <w:r>
        <w:rPr>
          <w:rFonts w:hint="eastAsia" w:ascii="仿宋_GB2312" w:eastAsia="仿宋_GB2312"/>
          <w:b/>
          <w:bCs/>
          <w:color w:val="auto"/>
          <w:sz w:val="24"/>
        </w:rPr>
        <w:t>20.3可中止电子交易活动的情形</w:t>
      </w:r>
    </w:p>
    <w:p w14:paraId="1B2A58E5">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采购过程中出现以下情形，导致广西政府采购云平台无法正常运行，或者无法保证电子交易的公平、公正和安全时，采购代理机构可中止电子交易活动：</w:t>
      </w:r>
    </w:p>
    <w:p w14:paraId="614F25EA">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20.3.1广西政府采购云平台发生故障而无法登录访问的；</w:t>
      </w:r>
    </w:p>
    <w:p w14:paraId="47A97E62">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20.3.2广西政府采购云平台应用或数据库出现错误，不能进行正常操作的；</w:t>
      </w:r>
    </w:p>
    <w:p w14:paraId="7A67413C">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20.3.3广西政府采购云平台发现严重安全漏洞，有潜在泄密危险的；</w:t>
      </w:r>
    </w:p>
    <w:p w14:paraId="20D6B711">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20.3.4病毒发作导致不能进行正常操作的；</w:t>
      </w:r>
    </w:p>
    <w:p w14:paraId="4A2B49EE">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20.3.5其他无法保证电子交易的公平、公正和安全的情况。</w:t>
      </w:r>
    </w:p>
    <w:p w14:paraId="3775F538">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2FA2838A">
      <w:pPr>
        <w:snapToGrid w:val="0"/>
        <w:spacing w:line="400" w:lineRule="exact"/>
        <w:ind w:firstLine="472" w:firstLineChars="196"/>
        <w:rPr>
          <w:rFonts w:ascii="仿宋_GB2312" w:eastAsia="仿宋_GB2312" w:cs="Courier New"/>
          <w:b/>
          <w:color w:val="auto"/>
          <w:sz w:val="24"/>
        </w:rPr>
      </w:pPr>
      <w:r>
        <w:rPr>
          <w:rFonts w:hint="eastAsia" w:ascii="仿宋_GB2312" w:eastAsia="仿宋_GB2312" w:cs="Courier New"/>
          <w:b/>
          <w:color w:val="auto"/>
          <w:sz w:val="24"/>
        </w:rPr>
        <w:t>四、开标</w:t>
      </w:r>
    </w:p>
    <w:p w14:paraId="32014569">
      <w:pPr>
        <w:pStyle w:val="27"/>
        <w:snapToGrid w:val="0"/>
        <w:spacing w:line="400" w:lineRule="exact"/>
        <w:ind w:firstLine="472" w:firstLineChars="196"/>
        <w:rPr>
          <w:rFonts w:ascii="仿宋_GB2312" w:hAnsi="宋体" w:eastAsia="仿宋_GB2312"/>
          <w:b/>
          <w:color w:val="auto"/>
          <w:sz w:val="24"/>
          <w:szCs w:val="24"/>
        </w:rPr>
      </w:pPr>
      <w:r>
        <w:rPr>
          <w:rFonts w:hint="eastAsia" w:ascii="仿宋_GB2312" w:hAnsi="宋体" w:eastAsia="仿宋_GB2312"/>
          <w:b/>
          <w:color w:val="auto"/>
          <w:sz w:val="24"/>
          <w:szCs w:val="24"/>
        </w:rPr>
        <w:t>21.开标准备</w:t>
      </w:r>
    </w:p>
    <w:p w14:paraId="5A2FD0A4">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2C31BF0D">
      <w:pPr>
        <w:pStyle w:val="27"/>
        <w:snapToGrid w:val="0"/>
        <w:spacing w:line="400" w:lineRule="exact"/>
        <w:ind w:firstLine="482" w:firstLineChars="200"/>
        <w:rPr>
          <w:rFonts w:ascii="仿宋_GB2312" w:hAnsi="宋体" w:eastAsia="仿宋_GB2312"/>
          <w:b/>
          <w:color w:val="auto"/>
          <w:sz w:val="24"/>
          <w:szCs w:val="24"/>
        </w:rPr>
      </w:pPr>
      <w:r>
        <w:rPr>
          <w:rFonts w:hint="eastAsia" w:ascii="仿宋_GB2312" w:hAnsi="宋体" w:eastAsia="仿宋_GB2312"/>
          <w:b/>
          <w:color w:val="auto"/>
          <w:sz w:val="24"/>
          <w:szCs w:val="24"/>
        </w:rPr>
        <w:t>22.开标程序</w:t>
      </w:r>
    </w:p>
    <w:p w14:paraId="1C51A7C8">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22.1开标会由采购代理机构主持；</w:t>
      </w:r>
    </w:p>
    <w:p w14:paraId="7B3811AA">
      <w:pPr>
        <w:snapToGrid w:val="0"/>
        <w:spacing w:line="400" w:lineRule="exact"/>
        <w:ind w:firstLine="420"/>
        <w:jc w:val="left"/>
        <w:rPr>
          <w:rFonts w:ascii="仿宋_GB2312" w:hAnsi="宋体" w:eastAsia="仿宋_GB2312"/>
          <w:color w:val="auto"/>
          <w:sz w:val="24"/>
        </w:rPr>
      </w:pPr>
      <w:r>
        <w:rPr>
          <w:rFonts w:hint="eastAsia" w:ascii="仿宋_GB2312" w:eastAsia="仿宋_GB2312" w:cs="Courier New"/>
          <w:color w:val="auto"/>
          <w:sz w:val="24"/>
        </w:rPr>
        <w:t>22.2</w:t>
      </w:r>
      <w:r>
        <w:rPr>
          <w:rFonts w:hint="eastAsia" w:ascii="仿宋_GB2312" w:hAnsi="宋体" w:eastAsia="仿宋_GB2312"/>
          <w:color w:val="auto"/>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77DE48B0">
      <w:pPr>
        <w:tabs>
          <w:tab w:val="left" w:pos="3870"/>
          <w:tab w:val="left" w:pos="4085"/>
        </w:tabs>
        <w:snapToGrid w:val="0"/>
        <w:spacing w:line="42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7F5A1DE9">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22.4公开报价；</w:t>
      </w:r>
    </w:p>
    <w:p w14:paraId="313A67E8">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22.5报价确认：采购代理机构开启签字时段，投标人应及时通过CA证书对报价记录表进行确认。未在规定时间内确认的，视同认可开标结果；</w:t>
      </w:r>
    </w:p>
    <w:p w14:paraId="3C78A549">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22.6开标会结束。</w:t>
      </w:r>
    </w:p>
    <w:p w14:paraId="1DE774E2">
      <w:pPr>
        <w:snapToGrid w:val="0"/>
        <w:spacing w:line="370" w:lineRule="exact"/>
        <w:ind w:firstLine="472" w:firstLineChars="196"/>
        <w:rPr>
          <w:rFonts w:ascii="仿宋_GB2312" w:eastAsia="仿宋_GB2312"/>
          <w:b/>
          <w:bCs/>
          <w:color w:val="auto"/>
          <w:kern w:val="0"/>
          <w:sz w:val="24"/>
        </w:rPr>
      </w:pPr>
      <w:r>
        <w:rPr>
          <w:rFonts w:hint="eastAsia" w:ascii="仿宋_GB2312" w:eastAsia="仿宋_GB2312"/>
          <w:b/>
          <w:bCs/>
          <w:color w:val="auto"/>
          <w:kern w:val="0"/>
          <w:sz w:val="24"/>
        </w:rPr>
        <w:t>五、资格性审查</w:t>
      </w:r>
    </w:p>
    <w:p w14:paraId="65562462">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23.采购人应当依法对投标人的资格进行审查。</w:t>
      </w:r>
    </w:p>
    <w:p w14:paraId="6D3DD58A">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24.合格投标人不足三家的，不得评标。</w:t>
      </w:r>
    </w:p>
    <w:p w14:paraId="4CAA576B">
      <w:pPr>
        <w:pStyle w:val="27"/>
        <w:snapToGrid w:val="0"/>
        <w:spacing w:line="370" w:lineRule="exact"/>
        <w:ind w:firstLine="472" w:firstLineChars="196"/>
        <w:rPr>
          <w:rFonts w:ascii="仿宋_GB2312" w:hAnsi="宋体" w:eastAsia="仿宋_GB2312"/>
          <w:b/>
          <w:color w:val="auto"/>
          <w:sz w:val="24"/>
          <w:szCs w:val="24"/>
        </w:rPr>
      </w:pPr>
      <w:bookmarkStart w:id="216" w:name="_Toc254970545"/>
      <w:bookmarkStart w:id="217" w:name="_Toc254970686"/>
      <w:r>
        <w:rPr>
          <w:rFonts w:hint="eastAsia" w:ascii="仿宋_GB2312" w:hAnsi="宋体" w:eastAsia="仿宋_GB2312"/>
          <w:b/>
          <w:color w:val="auto"/>
          <w:sz w:val="24"/>
          <w:szCs w:val="24"/>
        </w:rPr>
        <w:t>六、评标</w:t>
      </w:r>
      <w:bookmarkEnd w:id="216"/>
      <w:bookmarkEnd w:id="217"/>
    </w:p>
    <w:p w14:paraId="5CD266C6">
      <w:pPr>
        <w:pStyle w:val="27"/>
        <w:snapToGrid w:val="0"/>
        <w:spacing w:line="370" w:lineRule="exact"/>
        <w:ind w:left="720" w:leftChars="228" w:hanging="241" w:hangingChars="100"/>
        <w:rPr>
          <w:rFonts w:ascii="仿宋_GB2312" w:hAnsi="宋体" w:eastAsia="仿宋_GB2312"/>
          <w:b/>
          <w:color w:val="auto"/>
          <w:sz w:val="24"/>
          <w:szCs w:val="24"/>
        </w:rPr>
      </w:pPr>
      <w:r>
        <w:rPr>
          <w:rFonts w:hint="eastAsia" w:ascii="仿宋_GB2312" w:hAnsi="宋体" w:eastAsia="仿宋_GB2312"/>
          <w:b/>
          <w:color w:val="auto"/>
          <w:sz w:val="24"/>
          <w:szCs w:val="24"/>
        </w:rPr>
        <w:t>25.组建评标委员会</w:t>
      </w:r>
    </w:p>
    <w:p w14:paraId="4127591D">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25.1本项目评标委员会由采购人代表和评审专家组成。</w:t>
      </w:r>
    </w:p>
    <w:p w14:paraId="0FD6CF31">
      <w:pPr>
        <w:pStyle w:val="27"/>
        <w:snapToGrid w:val="0"/>
        <w:spacing w:line="370" w:lineRule="exact"/>
        <w:ind w:left="720" w:leftChars="228" w:hanging="241" w:hangingChars="100"/>
        <w:rPr>
          <w:rFonts w:ascii="仿宋_GB2312" w:hAnsi="宋体" w:eastAsia="仿宋_GB2312"/>
          <w:b/>
          <w:color w:val="auto"/>
          <w:sz w:val="24"/>
          <w:szCs w:val="24"/>
        </w:rPr>
      </w:pPr>
      <w:r>
        <w:rPr>
          <w:rFonts w:hint="eastAsia" w:ascii="仿宋_GB2312" w:hAnsi="宋体" w:eastAsia="仿宋_GB2312"/>
          <w:b/>
          <w:color w:val="auto"/>
          <w:sz w:val="24"/>
          <w:szCs w:val="24"/>
        </w:rPr>
        <w:t>26.评标的方式</w:t>
      </w:r>
    </w:p>
    <w:p w14:paraId="62F3BA51">
      <w:pPr>
        <w:snapToGrid w:val="0"/>
        <w:spacing w:line="370" w:lineRule="exact"/>
        <w:ind w:firstLine="420"/>
        <w:jc w:val="left"/>
        <w:rPr>
          <w:rFonts w:ascii="仿宋_GB2312" w:eastAsia="仿宋_GB2312"/>
          <w:color w:val="auto"/>
          <w:sz w:val="24"/>
        </w:rPr>
      </w:pPr>
      <w:r>
        <w:rPr>
          <w:rFonts w:hint="eastAsia" w:ascii="仿宋_GB2312" w:eastAsia="仿宋_GB2312" w:cs="Courier New"/>
          <w:color w:val="auto"/>
          <w:sz w:val="24"/>
        </w:rPr>
        <w:t>26.1本项目采用不公开方式评标，评标的依据为招标文件和投标文件。</w:t>
      </w:r>
    </w:p>
    <w:p w14:paraId="7F54E65E">
      <w:pPr>
        <w:pStyle w:val="27"/>
        <w:snapToGrid w:val="0"/>
        <w:spacing w:line="370" w:lineRule="exact"/>
        <w:ind w:left="720" w:leftChars="228" w:hanging="241" w:hangingChars="100"/>
        <w:rPr>
          <w:rFonts w:ascii="仿宋_GB2312" w:hAnsi="宋体" w:eastAsia="仿宋_GB2312"/>
          <w:b/>
          <w:color w:val="auto"/>
          <w:sz w:val="24"/>
          <w:szCs w:val="24"/>
        </w:rPr>
      </w:pPr>
      <w:r>
        <w:rPr>
          <w:rFonts w:hint="eastAsia" w:ascii="仿宋_GB2312" w:hAnsi="宋体" w:eastAsia="仿宋_GB2312"/>
          <w:b/>
          <w:color w:val="auto"/>
          <w:sz w:val="24"/>
          <w:szCs w:val="24"/>
        </w:rPr>
        <w:t>27.</w:t>
      </w:r>
      <w:r>
        <w:rPr>
          <w:rFonts w:hint="eastAsia" w:ascii="仿宋_GB2312" w:hAnsi="宋体" w:eastAsia="仿宋_GB2312"/>
          <w:b/>
          <w:bCs/>
          <w:color w:val="auto"/>
          <w:sz w:val="24"/>
          <w:szCs w:val="24"/>
        </w:rPr>
        <w:t>评标程序</w:t>
      </w:r>
    </w:p>
    <w:p w14:paraId="3E0B2243">
      <w:pPr>
        <w:snapToGrid w:val="0"/>
        <w:spacing w:line="370" w:lineRule="exact"/>
        <w:ind w:firstLine="472" w:firstLineChars="196"/>
        <w:rPr>
          <w:rFonts w:ascii="仿宋_GB2312" w:eastAsia="仿宋_GB2312"/>
          <w:b/>
          <w:bCs/>
          <w:color w:val="auto"/>
          <w:kern w:val="0"/>
          <w:sz w:val="24"/>
        </w:rPr>
      </w:pPr>
      <w:r>
        <w:rPr>
          <w:rFonts w:hint="eastAsia" w:ascii="仿宋_GB2312" w:eastAsia="仿宋_GB2312"/>
          <w:b/>
          <w:bCs/>
          <w:color w:val="auto"/>
          <w:kern w:val="0"/>
          <w:sz w:val="24"/>
        </w:rPr>
        <w:t>27.1符合性审查</w:t>
      </w:r>
    </w:p>
    <w:p w14:paraId="6C9BF344">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（1）评标委员会审查、评价投标文件是否符合招标文件的商务、技术等实质性要求。</w:t>
      </w:r>
    </w:p>
    <w:p w14:paraId="3B6B641E">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（2）评标委员会将根据投标人的投标文件进行审查、核对，如有疑问，评标委员会将通过广西政府采购云平台，以询标函的方式要求投标人在线对相关问题进行澄清或者说明。</w:t>
      </w:r>
    </w:p>
    <w:p w14:paraId="12D8067F">
      <w:pPr>
        <w:snapToGrid w:val="0"/>
        <w:spacing w:line="370" w:lineRule="exact"/>
        <w:ind w:firstLine="472" w:firstLineChars="196"/>
        <w:rPr>
          <w:rFonts w:ascii="仿宋_GB2312" w:eastAsia="仿宋_GB2312"/>
          <w:b/>
          <w:bCs/>
          <w:color w:val="auto"/>
          <w:kern w:val="0"/>
          <w:sz w:val="24"/>
        </w:rPr>
      </w:pPr>
      <w:r>
        <w:rPr>
          <w:rFonts w:hint="eastAsia" w:ascii="仿宋_GB2312" w:eastAsia="仿宋_GB2312"/>
          <w:b/>
          <w:bCs/>
          <w:color w:val="auto"/>
          <w:kern w:val="0"/>
          <w:sz w:val="24"/>
        </w:rPr>
        <w:t>27.2投标文件的比较和评价</w:t>
      </w:r>
    </w:p>
    <w:p w14:paraId="4A16314F">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（1）各投标人的技术得分为所有评委的有效评分的算术平均数。</w:t>
      </w:r>
    </w:p>
    <w:p w14:paraId="2D53F074">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（2）评标委员会完成评标后，评委对各部分得分汇总，计算出本项目最终得分等。评标委员会按评标标准推荐中标候选人同时起草评标报告。</w:t>
      </w:r>
    </w:p>
    <w:p w14:paraId="7BDD9215">
      <w:pPr>
        <w:snapToGrid w:val="0"/>
        <w:spacing w:line="370" w:lineRule="exact"/>
        <w:ind w:firstLine="482" w:firstLineChars="200"/>
        <w:rPr>
          <w:rFonts w:ascii="仿宋_GB2312" w:eastAsia="仿宋_GB2312"/>
          <w:b/>
          <w:color w:val="auto"/>
          <w:sz w:val="24"/>
        </w:rPr>
      </w:pPr>
      <w:r>
        <w:rPr>
          <w:rFonts w:hint="eastAsia" w:ascii="仿宋_GB2312" w:eastAsia="仿宋_GB2312"/>
          <w:b/>
          <w:color w:val="auto"/>
          <w:sz w:val="24"/>
        </w:rPr>
        <w:t>28.澄清问题的形式</w:t>
      </w:r>
    </w:p>
    <w:p w14:paraId="1645A8C3">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2A0FA18D">
      <w:pPr>
        <w:snapToGrid w:val="0"/>
        <w:spacing w:line="370" w:lineRule="exact"/>
        <w:ind w:firstLine="420"/>
        <w:jc w:val="left"/>
        <w:rPr>
          <w:rFonts w:hint="eastAsia" w:ascii="仿宋_GB2312" w:eastAsia="仿宋_GB2312" w:cs="Courier New"/>
          <w:color w:val="auto"/>
          <w:sz w:val="24"/>
        </w:rPr>
      </w:pPr>
      <w:r>
        <w:rPr>
          <w:rFonts w:hint="eastAsia" w:ascii="仿宋_GB2312" w:eastAsia="仿宋_GB2312" w:cs="Courier New"/>
          <w:color w:val="auto"/>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7C82EECD">
      <w:pPr>
        <w:pStyle w:val="40"/>
        <w:numPr>
          <w:ilvl w:val="0"/>
          <w:numId w:val="0"/>
        </w:numPr>
        <w:ind w:leftChars="0" w:firstLine="480" w:firstLineChars="200"/>
        <w:rPr>
          <w:rFonts w:hint="eastAsia" w:ascii="仿宋_GB2312" w:eastAsia="仿宋_GB2312" w:cs="Courier New" w:hAnsiTheme="minorHAnsi"/>
          <w:color w:val="auto"/>
          <w:kern w:val="2"/>
          <w:sz w:val="24"/>
          <w:szCs w:val="24"/>
          <w:highlight w:val="none"/>
          <w:lang w:val="en-US" w:eastAsia="zh-CN" w:bidi="ar-SA"/>
        </w:rPr>
      </w:pPr>
      <w:r>
        <w:rPr>
          <w:rFonts w:hint="eastAsia" w:ascii="仿宋_GB2312" w:hAnsi="Times New Roman" w:eastAsia="仿宋_GB2312" w:cs="Courier New"/>
          <w:color w:val="auto"/>
          <w:sz w:val="24"/>
        </w:rPr>
        <w:t>28.3</w:t>
      </w:r>
      <w:r>
        <w:rPr>
          <w:rFonts w:hint="eastAsia" w:ascii="仿宋_GB2312" w:eastAsia="仿宋_GB2312" w:cs="Courier New" w:hAnsiTheme="minorHAnsi"/>
          <w:color w:val="auto"/>
          <w:kern w:val="2"/>
          <w:sz w:val="24"/>
          <w:szCs w:val="24"/>
          <w:highlight w:val="none"/>
          <w:lang w:val="en-US" w:eastAsia="zh-CN" w:bidi="ar-SA"/>
        </w:rPr>
        <w:t>投标人有以下情形之一的，评标委员会有权视该投标文件无效:</w:t>
      </w:r>
    </w:p>
    <w:p w14:paraId="6C294BCE">
      <w:pPr>
        <w:snapToGrid w:val="0"/>
        <w:spacing w:line="370" w:lineRule="exact"/>
        <w:ind w:left="0" w:leftChars="0" w:firstLine="420" w:firstLineChars="0"/>
        <w:jc w:val="left"/>
        <w:rPr>
          <w:rFonts w:hint="eastAsia" w:ascii="仿宋_GB2312" w:hAnsi="Times New Roman" w:eastAsia="仿宋_GB2312" w:cs="Courier New"/>
          <w:color w:val="auto"/>
          <w:kern w:val="2"/>
          <w:sz w:val="24"/>
          <w:szCs w:val="24"/>
          <w:highlight w:val="none"/>
          <w:lang w:val="en-US" w:eastAsia="zh-CN" w:bidi="ar-SA"/>
        </w:rPr>
      </w:pPr>
      <w:r>
        <w:rPr>
          <w:rFonts w:hint="eastAsia" w:ascii="仿宋_GB2312" w:hAnsi="Times New Roman" w:eastAsia="仿宋_GB2312" w:cs="Courier New"/>
          <w:color w:val="auto"/>
          <w:kern w:val="2"/>
          <w:sz w:val="24"/>
          <w:szCs w:val="24"/>
          <w:highlight w:val="none"/>
          <w:lang w:val="en-US" w:eastAsia="zh-CN" w:bidi="ar-SA"/>
        </w:rPr>
        <w:t>（1）截止时间前未澄清、说明或者补正，或澄清、说明或者补正超过规定时间的:</w:t>
      </w:r>
    </w:p>
    <w:p w14:paraId="6FB0C08E">
      <w:pPr>
        <w:snapToGrid w:val="0"/>
        <w:spacing w:line="370" w:lineRule="exact"/>
        <w:ind w:left="0" w:leftChars="0" w:firstLine="420" w:firstLineChars="0"/>
        <w:jc w:val="left"/>
        <w:rPr>
          <w:rFonts w:hint="eastAsia" w:ascii="仿宋_GB2312" w:hAnsi="Times New Roman" w:eastAsia="仿宋_GB2312" w:cs="Courier New"/>
          <w:color w:val="auto"/>
          <w:kern w:val="2"/>
          <w:sz w:val="24"/>
          <w:szCs w:val="24"/>
          <w:highlight w:val="none"/>
          <w:lang w:val="en-US" w:eastAsia="zh-CN" w:bidi="ar-SA"/>
        </w:rPr>
      </w:pPr>
      <w:r>
        <w:rPr>
          <w:rFonts w:hint="eastAsia" w:ascii="仿宋_GB2312" w:hAnsi="Times New Roman" w:eastAsia="仿宋_GB2312" w:cs="Courier New"/>
          <w:color w:val="auto"/>
          <w:kern w:val="2"/>
          <w:sz w:val="24"/>
          <w:szCs w:val="24"/>
          <w:highlight w:val="none"/>
          <w:lang w:val="en-US" w:eastAsia="zh-CN" w:bidi="ar-SA"/>
        </w:rPr>
        <w:t>（2）澄清、说明或者补正超出投标文件范围或改变了投标文件的实质性内容的；</w:t>
      </w:r>
    </w:p>
    <w:p w14:paraId="06C34185">
      <w:pPr>
        <w:snapToGrid w:val="0"/>
        <w:spacing w:line="370" w:lineRule="exact"/>
        <w:ind w:firstLine="420"/>
        <w:jc w:val="left"/>
        <w:rPr>
          <w:rFonts w:ascii="仿宋_GB2312" w:eastAsia="仿宋_GB2312" w:cs="Courier New"/>
          <w:color w:val="auto"/>
          <w:sz w:val="24"/>
        </w:rPr>
      </w:pPr>
      <w:r>
        <w:rPr>
          <w:rFonts w:hint="eastAsia" w:ascii="仿宋_GB2312" w:hAnsi="Times New Roman" w:eastAsia="仿宋_GB2312" w:cs="Courier New"/>
          <w:color w:val="auto"/>
          <w:kern w:val="2"/>
          <w:sz w:val="24"/>
          <w:szCs w:val="24"/>
          <w:highlight w:val="none"/>
          <w:lang w:val="en-US" w:eastAsia="zh-CN" w:bidi="ar-SA"/>
        </w:rPr>
        <w:t>（3）</w:t>
      </w:r>
      <w:r>
        <w:rPr>
          <w:rFonts w:hint="eastAsia" w:ascii="仿宋_GB2312" w:eastAsia="仿宋_GB2312" w:cs="Courier New"/>
          <w:color w:val="auto"/>
          <w:kern w:val="2"/>
          <w:sz w:val="24"/>
          <w:szCs w:val="24"/>
          <w:highlight w:val="none"/>
          <w:lang w:val="en-US" w:eastAsia="zh-CN" w:bidi="ar-SA"/>
        </w:rPr>
        <w:t>澄清、说明或者补正</w:t>
      </w:r>
      <w:r>
        <w:rPr>
          <w:rFonts w:hint="eastAsia" w:ascii="仿宋_GB2312" w:hAnsi="Times New Roman" w:eastAsia="仿宋_GB2312" w:cs="Courier New"/>
          <w:color w:val="auto"/>
          <w:kern w:val="2"/>
          <w:sz w:val="24"/>
          <w:szCs w:val="24"/>
          <w:highlight w:val="none"/>
          <w:lang w:val="en-US" w:eastAsia="zh-CN" w:bidi="ar-SA"/>
        </w:rPr>
        <w:t>后投标文件仍不符合招标文件要求的。</w:t>
      </w:r>
    </w:p>
    <w:p w14:paraId="4ECE4DA5">
      <w:pPr>
        <w:snapToGrid w:val="0"/>
        <w:spacing w:line="370" w:lineRule="exact"/>
        <w:ind w:firstLine="482" w:firstLineChars="200"/>
        <w:rPr>
          <w:rFonts w:ascii="仿宋_GB2312" w:eastAsia="仿宋_GB2312"/>
          <w:b/>
          <w:color w:val="auto"/>
          <w:sz w:val="24"/>
        </w:rPr>
      </w:pPr>
      <w:r>
        <w:rPr>
          <w:rFonts w:hint="eastAsia" w:ascii="仿宋_GB2312" w:eastAsia="仿宋_GB2312"/>
          <w:b/>
          <w:color w:val="auto"/>
          <w:sz w:val="24"/>
        </w:rPr>
        <w:t>29.错误修正</w:t>
      </w:r>
    </w:p>
    <w:p w14:paraId="555CC8D5">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29.1投标文件报价出现前后不一致的，除招标文件另有规定外，按照下列规定修正：</w:t>
      </w:r>
    </w:p>
    <w:p w14:paraId="03B8F0A8">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（1）投标文件中开标一览表（报价表）内容与投标文件中相应内容不一致的，以开标一览表（报价表）为准；</w:t>
      </w:r>
    </w:p>
    <w:p w14:paraId="043B2FDE">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（2）大写金额和小写金额不一致的，以大写金额为准；</w:t>
      </w:r>
    </w:p>
    <w:p w14:paraId="36B08798">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（3）单价金额小数点或者百分比有明显错位的，以开标一览表的总价为准，并修改单价；</w:t>
      </w:r>
    </w:p>
    <w:p w14:paraId="7B680786">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（4）总价金额与按单价汇总金额不一致的，以单价金额计算结果为准。</w:t>
      </w:r>
    </w:p>
    <w:p w14:paraId="7DE4B8F5">
      <w:pPr>
        <w:snapToGrid w:val="0"/>
        <w:spacing w:line="370" w:lineRule="exact"/>
        <w:ind w:firstLine="420"/>
        <w:jc w:val="left"/>
        <w:rPr>
          <w:rFonts w:ascii="仿宋_GB2312" w:eastAsia="仿宋_GB2312" w:cs="Courier New"/>
          <w:b/>
          <w:color w:val="auto"/>
          <w:sz w:val="24"/>
        </w:rPr>
      </w:pPr>
      <w:r>
        <w:rPr>
          <w:rFonts w:hint="eastAsia" w:ascii="仿宋_GB2312" w:eastAsia="仿宋_GB2312" w:cs="Courier New"/>
          <w:b/>
          <w:color w:val="auto"/>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3D9173F3">
      <w:pPr>
        <w:pStyle w:val="27"/>
        <w:tabs>
          <w:tab w:val="left" w:pos="630"/>
        </w:tabs>
        <w:snapToGrid w:val="0"/>
        <w:spacing w:line="370" w:lineRule="exact"/>
        <w:ind w:firstLine="472" w:firstLineChars="196"/>
        <w:rPr>
          <w:rFonts w:ascii="仿宋_GB2312" w:hAnsi="宋体" w:eastAsia="仿宋_GB2312"/>
          <w:b/>
          <w:color w:val="auto"/>
          <w:sz w:val="24"/>
          <w:szCs w:val="24"/>
        </w:rPr>
      </w:pPr>
      <w:r>
        <w:rPr>
          <w:rFonts w:hint="eastAsia" w:ascii="仿宋_GB2312" w:hAnsi="宋体" w:eastAsia="仿宋_GB2312"/>
          <w:b/>
          <w:color w:val="auto"/>
          <w:sz w:val="24"/>
          <w:szCs w:val="24"/>
        </w:rPr>
        <w:t>30.评标原则和评标方法</w:t>
      </w:r>
    </w:p>
    <w:p w14:paraId="00FA977B">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53485861">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30.2本项目评标方法是综合评分法，具体评标内容及评标标准等详见第四章：评标方法及评标标准。</w:t>
      </w:r>
    </w:p>
    <w:p w14:paraId="552B058F">
      <w:pPr>
        <w:pStyle w:val="27"/>
        <w:snapToGrid w:val="0"/>
        <w:spacing w:line="370" w:lineRule="exact"/>
        <w:ind w:firstLine="472" w:firstLineChars="196"/>
        <w:rPr>
          <w:rFonts w:ascii="仿宋_GB2312" w:hAnsi="宋体" w:eastAsia="仿宋_GB2312"/>
          <w:b/>
          <w:color w:val="auto"/>
          <w:sz w:val="24"/>
          <w:szCs w:val="24"/>
        </w:rPr>
      </w:pPr>
      <w:r>
        <w:rPr>
          <w:rFonts w:hint="eastAsia" w:ascii="仿宋_GB2312" w:hAnsi="宋体" w:eastAsia="仿宋_GB2312"/>
          <w:b/>
          <w:color w:val="auto"/>
          <w:sz w:val="24"/>
          <w:szCs w:val="24"/>
        </w:rPr>
        <w:t>31.评标过程的监控</w:t>
      </w:r>
    </w:p>
    <w:p w14:paraId="7BC76A30">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31.1本项目评标过程实行全程录音、录像监控（或政府采购监督管理部门工作人员进行现场监督），投标人在评标过程中所进行的试图影响评标结果的不公正活动，可能导致其投标被拒绝。</w:t>
      </w:r>
    </w:p>
    <w:p w14:paraId="2D3C6ADB">
      <w:pPr>
        <w:pStyle w:val="27"/>
        <w:snapToGrid w:val="0"/>
        <w:spacing w:line="370" w:lineRule="exact"/>
        <w:ind w:firstLine="482" w:firstLineChars="200"/>
        <w:rPr>
          <w:rFonts w:ascii="仿宋_GB2312" w:hAnsi="宋体" w:eastAsia="仿宋_GB2312"/>
          <w:color w:val="auto"/>
          <w:sz w:val="24"/>
          <w:szCs w:val="24"/>
        </w:rPr>
      </w:pPr>
      <w:r>
        <w:rPr>
          <w:rFonts w:hint="eastAsia" w:ascii="仿宋_GB2312" w:hAnsi="宋体" w:eastAsia="仿宋_GB2312"/>
          <w:b/>
          <w:color w:val="auto"/>
          <w:sz w:val="24"/>
          <w:szCs w:val="24"/>
        </w:rPr>
        <w:t>七、评标结果</w:t>
      </w:r>
    </w:p>
    <w:p w14:paraId="251B8437">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32.采购人或者采购代理机构核对评标结果。</w:t>
      </w:r>
    </w:p>
    <w:p w14:paraId="07395F88">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33.采购人或者采购代理机构在公告中标结果的同时，对未通过资格审查的投标人，应当告知其未通过的原因；采用综合评分法评审的，还应当告知未中标人本人的评审得分与排序。</w:t>
      </w:r>
    </w:p>
    <w:p w14:paraId="75AE996F">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3DF6D78C">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152F06F2">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36.在中标通知书发出前，采购人或采购代理机构应当对中标人信用进行查询，并按照信用信息使用规则处理。</w:t>
      </w:r>
    </w:p>
    <w:p w14:paraId="039ABCA3">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37.投标人对中标公告有异议的，应当在中标公告</w:t>
      </w:r>
      <w:r>
        <w:rPr>
          <w:rFonts w:hint="eastAsia" w:ascii="仿宋_GB2312" w:hAnsi="宋体" w:eastAsia="仿宋_GB2312"/>
          <w:bCs/>
          <w:color w:val="auto"/>
          <w:sz w:val="24"/>
        </w:rPr>
        <w:t>期限届满</w:t>
      </w:r>
      <w:r>
        <w:rPr>
          <w:rFonts w:hint="eastAsia" w:ascii="仿宋_GB2312" w:eastAsia="仿宋_GB2312" w:cs="Courier New"/>
          <w:color w:val="auto"/>
          <w:sz w:val="24"/>
        </w:rPr>
        <w:t>之日起七个工作日内，以书面形式向采购人或采购代理机构提出质疑，并及时索要书面回执。</w:t>
      </w:r>
    </w:p>
    <w:p w14:paraId="20F2932C">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38.采购人或采购代理机构（采购代理机构应当按照有关规定就采购人委托授权范围内的事项）在收到投标人的书面质疑后七个工作日内作出答复，但答复的内容不得涉及商业秘密。</w:t>
      </w:r>
    </w:p>
    <w:p w14:paraId="0FD77260">
      <w:pPr>
        <w:pStyle w:val="27"/>
        <w:snapToGrid w:val="0"/>
        <w:spacing w:line="370" w:lineRule="exact"/>
        <w:ind w:firstLine="472" w:firstLineChars="196"/>
        <w:rPr>
          <w:rFonts w:ascii="仿宋_GB2312" w:hAnsi="宋体" w:eastAsia="仿宋_GB2312"/>
          <w:b/>
          <w:color w:val="auto"/>
          <w:sz w:val="24"/>
          <w:szCs w:val="24"/>
        </w:rPr>
      </w:pPr>
      <w:bookmarkStart w:id="218" w:name="_Toc254970547"/>
      <w:bookmarkStart w:id="219" w:name="_Toc254970688"/>
      <w:r>
        <w:rPr>
          <w:rFonts w:hint="eastAsia" w:ascii="仿宋_GB2312" w:hAnsi="宋体" w:eastAsia="仿宋_GB2312"/>
          <w:b/>
          <w:color w:val="auto"/>
          <w:sz w:val="24"/>
          <w:szCs w:val="24"/>
        </w:rPr>
        <w:t>八、</w:t>
      </w:r>
      <w:bookmarkEnd w:id="218"/>
      <w:bookmarkEnd w:id="219"/>
      <w:r>
        <w:rPr>
          <w:rFonts w:hint="eastAsia" w:ascii="仿宋_GB2312" w:hAnsi="宋体" w:eastAsia="仿宋_GB2312"/>
          <w:b/>
          <w:color w:val="auto"/>
          <w:sz w:val="24"/>
          <w:szCs w:val="24"/>
        </w:rPr>
        <w:t>签订合同</w:t>
      </w:r>
    </w:p>
    <w:p w14:paraId="5FD52A8B">
      <w:pPr>
        <w:pStyle w:val="27"/>
        <w:snapToGrid w:val="0"/>
        <w:spacing w:line="370" w:lineRule="exact"/>
        <w:ind w:firstLine="472" w:firstLineChars="196"/>
        <w:rPr>
          <w:rFonts w:ascii="仿宋_GB2312" w:hAnsi="宋体" w:eastAsia="仿宋_GB2312"/>
          <w:b/>
          <w:bCs/>
          <w:color w:val="auto"/>
          <w:sz w:val="24"/>
          <w:szCs w:val="24"/>
        </w:rPr>
      </w:pPr>
      <w:r>
        <w:rPr>
          <w:rFonts w:hint="eastAsia" w:ascii="仿宋_GB2312" w:hAnsi="宋体" w:eastAsia="仿宋_GB2312"/>
          <w:b/>
          <w:color w:val="auto"/>
          <w:sz w:val="24"/>
          <w:szCs w:val="24"/>
        </w:rPr>
        <w:t>39.合同授予标准</w:t>
      </w:r>
    </w:p>
    <w:p w14:paraId="536D19EF">
      <w:pPr>
        <w:snapToGrid w:val="0"/>
        <w:spacing w:line="370" w:lineRule="exact"/>
        <w:ind w:firstLine="420"/>
        <w:jc w:val="left"/>
        <w:rPr>
          <w:rFonts w:ascii="仿宋_GB2312" w:eastAsia="仿宋_GB2312" w:cs="Courier New"/>
          <w:color w:val="auto"/>
          <w:sz w:val="24"/>
        </w:rPr>
      </w:pPr>
      <w:r>
        <w:rPr>
          <w:rFonts w:hint="eastAsia" w:ascii="仿宋_GB2312" w:eastAsia="仿宋_GB2312" w:cs="Courier New"/>
          <w:color w:val="auto"/>
          <w:sz w:val="24"/>
        </w:rPr>
        <w:t>39.1合同将授予被确定实质上响应招标文件要求，具备履行合同能力，综合评分排名第一的投标人。</w:t>
      </w:r>
    </w:p>
    <w:p w14:paraId="4B47F921">
      <w:pPr>
        <w:snapToGrid w:val="0"/>
        <w:spacing w:line="370" w:lineRule="exact"/>
        <w:ind w:firstLine="420"/>
        <w:jc w:val="left"/>
        <w:rPr>
          <w:rFonts w:ascii="仿宋_GB2312" w:eastAsia="仿宋_GB2312" w:cs="Courier New"/>
          <w:b/>
          <w:bCs/>
          <w:color w:val="auto"/>
          <w:sz w:val="24"/>
        </w:rPr>
      </w:pPr>
      <w:r>
        <w:rPr>
          <w:rFonts w:hint="eastAsia" w:ascii="仿宋_GB2312" w:eastAsia="仿宋_GB2312" w:cs="Courier New"/>
          <w:b/>
          <w:bCs/>
          <w:color w:val="auto"/>
          <w:sz w:val="24"/>
        </w:rPr>
        <w:t>40.签订合同</w:t>
      </w:r>
    </w:p>
    <w:p w14:paraId="1889EE2C">
      <w:pPr>
        <w:snapToGrid w:val="0"/>
        <w:spacing w:line="370" w:lineRule="exact"/>
        <w:ind w:firstLine="420"/>
        <w:jc w:val="left"/>
        <w:rPr>
          <w:rFonts w:ascii="仿宋_GB2312" w:eastAsia="仿宋_GB2312" w:cs="Courier New"/>
          <w:color w:val="auto"/>
          <w:sz w:val="24"/>
        </w:rPr>
      </w:pPr>
      <w:bookmarkStart w:id="220" w:name="_Hlk93676812"/>
      <w:r>
        <w:rPr>
          <w:rFonts w:hint="eastAsia" w:ascii="仿宋_GB2312" w:eastAsia="仿宋_GB2312" w:cs="Courier New"/>
          <w:color w:val="auto"/>
          <w:sz w:val="24"/>
        </w:rPr>
        <w:t>40.1中标人接到中标通知书后，应按有关规定与采购人签订合同。</w:t>
      </w:r>
    </w:p>
    <w:bookmarkEnd w:id="220"/>
    <w:p w14:paraId="723CF1A9">
      <w:pPr>
        <w:snapToGrid w:val="0"/>
        <w:spacing w:line="360" w:lineRule="exact"/>
        <w:ind w:right="-470" w:rightChars="-224" w:firstLine="420"/>
        <w:jc w:val="left"/>
        <w:rPr>
          <w:rFonts w:ascii="仿宋_GB2312" w:eastAsia="仿宋_GB2312" w:cs="Courier New"/>
          <w:color w:val="auto"/>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color w:val="auto"/>
          <w:sz w:val="24"/>
        </w:rPr>
        <w:t>40.2中标人因不可抗力或者自身原因不能履行采购合同的，采购人或采购代理机构应将该情况报政府采购监督管理部门，从合格的中标候选人中另行确定中标人或重新开展政府采购活</w:t>
      </w:r>
      <w:bookmarkStart w:id="221" w:name="_Toc254970689"/>
      <w:bookmarkStart w:id="222" w:name="_Toc254970548"/>
      <w:bookmarkStart w:id="223" w:name="_Toc497578452"/>
    </w:p>
    <w:p w14:paraId="3CDDB7F9">
      <w:pPr>
        <w:rPr>
          <w:color w:val="auto"/>
        </w:rPr>
      </w:pPr>
    </w:p>
    <w:p w14:paraId="0AB4DA4D">
      <w:pPr>
        <w:pStyle w:val="3"/>
        <w:jc w:val="center"/>
        <w:rPr>
          <w:color w:val="auto"/>
          <w:sz w:val="30"/>
          <w:szCs w:val="30"/>
        </w:rPr>
      </w:pPr>
      <w:bookmarkStart w:id="224" w:name="_Toc27328"/>
    </w:p>
    <w:p w14:paraId="1C1427B3">
      <w:pPr>
        <w:pStyle w:val="3"/>
        <w:jc w:val="center"/>
        <w:rPr>
          <w:color w:val="auto"/>
          <w:sz w:val="30"/>
          <w:szCs w:val="30"/>
        </w:rPr>
      </w:pPr>
    </w:p>
    <w:p w14:paraId="50619D32">
      <w:pPr>
        <w:rPr>
          <w:color w:val="auto"/>
          <w:sz w:val="30"/>
          <w:szCs w:val="30"/>
        </w:rPr>
      </w:pPr>
    </w:p>
    <w:p w14:paraId="453CACF2">
      <w:pPr>
        <w:rPr>
          <w:color w:val="auto"/>
          <w:sz w:val="30"/>
          <w:szCs w:val="30"/>
        </w:rPr>
      </w:pPr>
    </w:p>
    <w:p w14:paraId="0582A5EF">
      <w:pPr>
        <w:pStyle w:val="3"/>
        <w:jc w:val="center"/>
        <w:rPr>
          <w:color w:val="auto"/>
        </w:rPr>
      </w:pPr>
      <w:r>
        <w:rPr>
          <w:rFonts w:hint="eastAsia"/>
          <w:color w:val="auto"/>
          <w:sz w:val="30"/>
          <w:szCs w:val="30"/>
        </w:rPr>
        <w:t xml:space="preserve">第四章 </w:t>
      </w:r>
      <w:bookmarkEnd w:id="221"/>
      <w:bookmarkEnd w:id="222"/>
      <w:r>
        <w:rPr>
          <w:rFonts w:hint="eastAsia"/>
          <w:color w:val="auto"/>
          <w:sz w:val="30"/>
          <w:szCs w:val="30"/>
        </w:rPr>
        <w:t>评标方法及评标标准</w:t>
      </w:r>
      <w:bookmarkEnd w:id="223"/>
      <w:bookmarkEnd w:id="224"/>
      <w:r>
        <w:rPr>
          <w:color w:val="auto"/>
        </w:rPr>
        <w:tab/>
      </w:r>
    </w:p>
    <w:p w14:paraId="381564A8">
      <w:pPr>
        <w:rPr>
          <w:color w:val="auto"/>
        </w:rPr>
      </w:pPr>
    </w:p>
    <w:p w14:paraId="0251DB4A">
      <w:pPr>
        <w:rPr>
          <w:b/>
          <w:color w:val="auto"/>
          <w:sz w:val="24"/>
        </w:rPr>
      </w:pPr>
    </w:p>
    <w:p w14:paraId="70253E7A">
      <w:pPr>
        <w:tabs>
          <w:tab w:val="left" w:pos="3055"/>
        </w:tabs>
        <w:jc w:val="center"/>
        <w:rPr>
          <w:rFonts w:ascii="宋体" w:hAnsi="宋体" w:cs="Courier New"/>
          <w:b/>
          <w:bCs/>
          <w:color w:val="auto"/>
          <w:sz w:val="32"/>
          <w:szCs w:val="32"/>
        </w:rPr>
      </w:pPr>
    </w:p>
    <w:p w14:paraId="1B6C5237">
      <w:pPr>
        <w:tabs>
          <w:tab w:val="left" w:pos="3055"/>
        </w:tabs>
        <w:jc w:val="center"/>
        <w:rPr>
          <w:rFonts w:ascii="宋体" w:hAnsi="宋体" w:cs="Courier New"/>
          <w:b/>
          <w:bCs/>
          <w:color w:val="auto"/>
          <w:sz w:val="32"/>
          <w:szCs w:val="32"/>
        </w:rPr>
      </w:pPr>
    </w:p>
    <w:p w14:paraId="517B5A55">
      <w:pPr>
        <w:tabs>
          <w:tab w:val="left" w:pos="3055"/>
        </w:tabs>
        <w:jc w:val="center"/>
        <w:rPr>
          <w:rFonts w:ascii="宋体" w:hAnsi="宋体" w:cs="Courier New"/>
          <w:b/>
          <w:bCs/>
          <w:color w:val="auto"/>
          <w:sz w:val="32"/>
          <w:szCs w:val="32"/>
        </w:rPr>
      </w:pPr>
    </w:p>
    <w:p w14:paraId="709A6190">
      <w:pPr>
        <w:tabs>
          <w:tab w:val="left" w:pos="3055"/>
        </w:tabs>
        <w:jc w:val="center"/>
        <w:rPr>
          <w:rFonts w:ascii="宋体" w:hAnsi="宋体" w:cs="Courier New"/>
          <w:b/>
          <w:bCs/>
          <w:color w:val="auto"/>
          <w:sz w:val="32"/>
          <w:szCs w:val="32"/>
        </w:rPr>
      </w:pPr>
    </w:p>
    <w:p w14:paraId="1195F7BF">
      <w:pPr>
        <w:tabs>
          <w:tab w:val="left" w:pos="3055"/>
        </w:tabs>
        <w:jc w:val="center"/>
        <w:rPr>
          <w:rFonts w:ascii="宋体" w:hAnsi="宋体" w:cs="Courier New"/>
          <w:b/>
          <w:bCs/>
          <w:color w:val="auto"/>
          <w:sz w:val="32"/>
          <w:szCs w:val="32"/>
        </w:rPr>
      </w:pPr>
    </w:p>
    <w:p w14:paraId="52431336">
      <w:pPr>
        <w:tabs>
          <w:tab w:val="left" w:pos="3055"/>
        </w:tabs>
        <w:jc w:val="center"/>
        <w:rPr>
          <w:rFonts w:ascii="宋体" w:hAnsi="宋体" w:cs="Courier New"/>
          <w:b/>
          <w:bCs/>
          <w:color w:val="auto"/>
          <w:sz w:val="32"/>
          <w:szCs w:val="32"/>
        </w:rPr>
      </w:pPr>
    </w:p>
    <w:p w14:paraId="6962062A">
      <w:pPr>
        <w:tabs>
          <w:tab w:val="left" w:pos="3055"/>
        </w:tabs>
        <w:jc w:val="center"/>
        <w:rPr>
          <w:rFonts w:ascii="宋体" w:hAnsi="宋体" w:cs="Courier New"/>
          <w:b/>
          <w:bCs/>
          <w:color w:val="auto"/>
          <w:sz w:val="32"/>
          <w:szCs w:val="32"/>
        </w:rPr>
      </w:pPr>
    </w:p>
    <w:p w14:paraId="723221DB">
      <w:pPr>
        <w:tabs>
          <w:tab w:val="left" w:pos="3055"/>
        </w:tabs>
        <w:jc w:val="center"/>
        <w:rPr>
          <w:rFonts w:ascii="宋体" w:hAnsi="宋体" w:cs="Courier New"/>
          <w:b/>
          <w:bCs/>
          <w:color w:val="auto"/>
          <w:sz w:val="32"/>
          <w:szCs w:val="32"/>
        </w:rPr>
      </w:pPr>
    </w:p>
    <w:p w14:paraId="18F21CA3">
      <w:pPr>
        <w:tabs>
          <w:tab w:val="left" w:pos="3055"/>
        </w:tabs>
        <w:jc w:val="center"/>
        <w:rPr>
          <w:rFonts w:ascii="宋体" w:hAnsi="宋体" w:cs="Courier New"/>
          <w:b/>
          <w:bCs/>
          <w:color w:val="auto"/>
          <w:sz w:val="32"/>
          <w:szCs w:val="32"/>
        </w:rPr>
      </w:pPr>
    </w:p>
    <w:p w14:paraId="2EA12E98">
      <w:pPr>
        <w:tabs>
          <w:tab w:val="left" w:pos="3055"/>
        </w:tabs>
        <w:jc w:val="center"/>
        <w:rPr>
          <w:rFonts w:ascii="宋体" w:hAnsi="宋体" w:cs="Courier New"/>
          <w:b/>
          <w:bCs/>
          <w:color w:val="auto"/>
          <w:sz w:val="32"/>
          <w:szCs w:val="32"/>
        </w:rPr>
      </w:pPr>
    </w:p>
    <w:p w14:paraId="46F6AC34">
      <w:pPr>
        <w:tabs>
          <w:tab w:val="left" w:pos="3055"/>
        </w:tabs>
        <w:jc w:val="center"/>
        <w:rPr>
          <w:rFonts w:ascii="宋体" w:hAnsi="宋体" w:cs="Courier New"/>
          <w:b/>
          <w:bCs/>
          <w:color w:val="auto"/>
          <w:sz w:val="32"/>
          <w:szCs w:val="32"/>
        </w:rPr>
      </w:pPr>
    </w:p>
    <w:p w14:paraId="27A3FCDC">
      <w:pPr>
        <w:tabs>
          <w:tab w:val="left" w:pos="3055"/>
        </w:tabs>
        <w:jc w:val="center"/>
        <w:rPr>
          <w:rFonts w:ascii="宋体" w:hAnsi="宋体" w:cs="Courier New"/>
          <w:b/>
          <w:bCs/>
          <w:color w:val="auto"/>
          <w:sz w:val="32"/>
          <w:szCs w:val="32"/>
        </w:rPr>
      </w:pPr>
    </w:p>
    <w:p w14:paraId="7980F893">
      <w:pPr>
        <w:tabs>
          <w:tab w:val="left" w:pos="3055"/>
        </w:tabs>
        <w:jc w:val="center"/>
        <w:rPr>
          <w:rFonts w:ascii="宋体" w:hAnsi="宋体" w:cs="Courier New"/>
          <w:b/>
          <w:bCs/>
          <w:color w:val="auto"/>
          <w:sz w:val="32"/>
          <w:szCs w:val="32"/>
        </w:rPr>
      </w:pPr>
    </w:p>
    <w:p w14:paraId="3E4BE31F">
      <w:pPr>
        <w:tabs>
          <w:tab w:val="left" w:pos="3055"/>
        </w:tabs>
        <w:jc w:val="center"/>
        <w:rPr>
          <w:rFonts w:ascii="宋体" w:hAnsi="宋体" w:cs="Courier New"/>
          <w:b/>
          <w:bCs/>
          <w:color w:val="auto"/>
          <w:sz w:val="32"/>
          <w:szCs w:val="32"/>
        </w:rPr>
      </w:pPr>
    </w:p>
    <w:p w14:paraId="4F1CE4DE">
      <w:pPr>
        <w:tabs>
          <w:tab w:val="left" w:pos="3055"/>
        </w:tabs>
        <w:jc w:val="center"/>
        <w:rPr>
          <w:rFonts w:ascii="宋体" w:hAnsi="宋体" w:cs="Courier New"/>
          <w:b/>
          <w:bCs/>
          <w:color w:val="auto"/>
          <w:sz w:val="32"/>
          <w:szCs w:val="32"/>
        </w:rPr>
      </w:pPr>
    </w:p>
    <w:p w14:paraId="6B217002">
      <w:pPr>
        <w:tabs>
          <w:tab w:val="left" w:pos="3055"/>
        </w:tabs>
        <w:jc w:val="center"/>
        <w:rPr>
          <w:rFonts w:ascii="宋体" w:hAnsi="宋体" w:cs="Courier New"/>
          <w:b/>
          <w:bCs/>
          <w:color w:val="auto"/>
          <w:sz w:val="32"/>
          <w:szCs w:val="32"/>
        </w:rPr>
      </w:pPr>
    </w:p>
    <w:p w14:paraId="29153D1B">
      <w:pPr>
        <w:tabs>
          <w:tab w:val="left" w:pos="3055"/>
        </w:tabs>
        <w:jc w:val="center"/>
        <w:rPr>
          <w:rFonts w:ascii="宋体" w:hAnsi="宋体" w:cs="Courier New"/>
          <w:b/>
          <w:bCs/>
          <w:color w:val="auto"/>
          <w:sz w:val="32"/>
          <w:szCs w:val="32"/>
        </w:rPr>
      </w:pPr>
    </w:p>
    <w:p w14:paraId="4E35EE18">
      <w:pPr>
        <w:tabs>
          <w:tab w:val="left" w:pos="3055"/>
        </w:tabs>
        <w:jc w:val="center"/>
        <w:rPr>
          <w:rFonts w:ascii="宋体" w:hAnsi="宋体" w:cs="Courier New"/>
          <w:b/>
          <w:bCs/>
          <w:color w:val="auto"/>
          <w:sz w:val="32"/>
          <w:szCs w:val="32"/>
        </w:rPr>
      </w:pPr>
    </w:p>
    <w:p w14:paraId="6D647D76">
      <w:pPr>
        <w:tabs>
          <w:tab w:val="left" w:pos="3055"/>
        </w:tabs>
        <w:jc w:val="center"/>
        <w:rPr>
          <w:rFonts w:ascii="宋体" w:hAnsi="宋体" w:cs="Courier New"/>
          <w:b/>
          <w:bCs/>
          <w:color w:val="auto"/>
          <w:sz w:val="32"/>
          <w:szCs w:val="32"/>
        </w:rPr>
      </w:pPr>
    </w:p>
    <w:p w14:paraId="44C35B20">
      <w:pPr>
        <w:tabs>
          <w:tab w:val="left" w:pos="3055"/>
        </w:tabs>
        <w:jc w:val="center"/>
        <w:rPr>
          <w:rFonts w:ascii="宋体" w:hAnsi="宋体" w:cs="Courier New"/>
          <w:b/>
          <w:bCs/>
          <w:color w:val="auto"/>
          <w:sz w:val="32"/>
          <w:szCs w:val="32"/>
        </w:rPr>
      </w:pPr>
      <w:r>
        <w:rPr>
          <w:rFonts w:hint="eastAsia" w:ascii="宋体" w:hAnsi="宋体" w:cs="Courier New"/>
          <w:b/>
          <w:bCs/>
          <w:color w:val="auto"/>
          <w:sz w:val="32"/>
          <w:szCs w:val="32"/>
        </w:rPr>
        <w:t>评标方法及评标标准（</w:t>
      </w:r>
      <w:r>
        <w:rPr>
          <w:rFonts w:hint="eastAsia" w:ascii="宋体" w:hAnsi="宋体" w:cs="Courier New"/>
          <w:b/>
          <w:bCs/>
          <w:color w:val="auto"/>
          <w:sz w:val="32"/>
          <w:szCs w:val="32"/>
          <w:lang w:val="en-US" w:eastAsia="zh-CN"/>
        </w:rPr>
        <w:t>分标1</w:t>
      </w:r>
      <w:r>
        <w:rPr>
          <w:rFonts w:hint="eastAsia" w:ascii="宋体" w:hAnsi="宋体" w:cs="Courier New"/>
          <w:b/>
          <w:bCs/>
          <w:color w:val="auto"/>
          <w:sz w:val="32"/>
          <w:szCs w:val="32"/>
        </w:rPr>
        <w:t>）</w:t>
      </w:r>
    </w:p>
    <w:p w14:paraId="1DCE4B27">
      <w:pPr>
        <w:spacing w:line="390" w:lineRule="exact"/>
        <w:ind w:right="-168" w:rightChars="-80" w:firstLine="482" w:firstLineChars="200"/>
        <w:rPr>
          <w:rFonts w:ascii="仿宋_GB2312" w:eastAsia="仿宋_GB2312"/>
          <w:b/>
          <w:bCs/>
          <w:color w:val="auto"/>
          <w:sz w:val="24"/>
        </w:rPr>
      </w:pPr>
      <w:r>
        <w:rPr>
          <w:rFonts w:hint="eastAsia" w:ascii="仿宋_GB2312" w:eastAsia="仿宋_GB2312"/>
          <w:b/>
          <w:bCs/>
          <w:color w:val="auto"/>
          <w:sz w:val="24"/>
        </w:rPr>
        <w:t>一、评标原则</w:t>
      </w:r>
    </w:p>
    <w:p w14:paraId="470D4FB1">
      <w:pPr>
        <w:spacing w:line="390" w:lineRule="exact"/>
        <w:ind w:right="-168" w:rightChars="-80"/>
        <w:rPr>
          <w:rFonts w:ascii="仿宋_GB2312" w:eastAsia="仿宋_GB2312"/>
          <w:color w:val="auto"/>
          <w:sz w:val="24"/>
        </w:rPr>
      </w:pPr>
      <w:r>
        <w:rPr>
          <w:rFonts w:hint="eastAsia" w:ascii="仿宋_GB2312" w:eastAsia="仿宋_GB2312"/>
          <w:color w:val="auto"/>
          <w:sz w:val="24"/>
        </w:rPr>
        <w:t xml:space="preserve">    （一）评委构成：本招标采购项目的评委分别由依法组成的评审专家、采购人代表共五人或以上单数构成，其中专家人数不少于评标委员会成员总数的三分之二。</w:t>
      </w:r>
    </w:p>
    <w:p w14:paraId="3A67ADCC">
      <w:pPr>
        <w:spacing w:line="390" w:lineRule="exact"/>
        <w:ind w:right="-168" w:rightChars="-80" w:firstLine="435"/>
        <w:rPr>
          <w:rFonts w:ascii="仿宋_GB2312" w:eastAsia="仿宋_GB2312"/>
          <w:b/>
          <w:color w:val="auto"/>
          <w:sz w:val="24"/>
        </w:rPr>
      </w:pPr>
      <w:r>
        <w:rPr>
          <w:rFonts w:hint="eastAsia" w:ascii="仿宋_GB2312" w:eastAsia="仿宋_GB2312"/>
          <w:b/>
          <w:color w:val="auto"/>
          <w:sz w:val="24"/>
        </w:rPr>
        <w:t>（二）评标依据：评委将以招投标文件为评标依据，对投标人的价格、技术、信誉、业绩等方面按百分制打分。</w:t>
      </w:r>
    </w:p>
    <w:p w14:paraId="58EB081F">
      <w:pPr>
        <w:spacing w:line="390" w:lineRule="exact"/>
        <w:ind w:right="-168" w:rightChars="-80" w:firstLine="435"/>
        <w:rPr>
          <w:rFonts w:ascii="仿宋_GB2312" w:eastAsia="仿宋_GB2312"/>
          <w:color w:val="auto"/>
          <w:sz w:val="24"/>
        </w:rPr>
      </w:pPr>
      <w:r>
        <w:rPr>
          <w:rFonts w:hint="eastAsia" w:ascii="仿宋_GB2312" w:eastAsia="仿宋_GB2312"/>
          <w:color w:val="auto"/>
          <w:sz w:val="24"/>
        </w:rPr>
        <w:t>（三）评标方式：以封闭方式进行。</w:t>
      </w:r>
    </w:p>
    <w:p w14:paraId="6E4CC397">
      <w:pPr>
        <w:spacing w:line="390" w:lineRule="exact"/>
        <w:ind w:right="-168" w:rightChars="-80" w:firstLine="435"/>
        <w:rPr>
          <w:rFonts w:ascii="仿宋_GB2312" w:eastAsia="仿宋_GB2312"/>
          <w:color w:val="auto"/>
          <w:sz w:val="24"/>
        </w:rPr>
      </w:pPr>
      <w:r>
        <w:rPr>
          <w:rFonts w:hint="eastAsia" w:ascii="仿宋_GB2312" w:eastAsia="仿宋_GB2312"/>
          <w:color w:val="auto"/>
          <w:sz w:val="24"/>
        </w:rPr>
        <w:t>（四）评标委员会认为投标人的报价明显低于其他通过符合性审查投标人的报价，有可能影响产品质量或者不能诚信履约的，</w:t>
      </w:r>
      <w:r>
        <w:rPr>
          <w:rFonts w:hint="eastAsia" w:ascii="仿宋_GB2312" w:eastAsia="仿宋_GB2312" w:cs="Courier New"/>
          <w:color w:val="auto"/>
          <w:sz w:val="24"/>
        </w:rPr>
        <w:t>应当通过广西政府采购云平台发起询标函，要求其在评标现场合理的时间内通过广西政府采购云平台提供书面说明</w:t>
      </w:r>
      <w:r>
        <w:rPr>
          <w:rFonts w:hint="eastAsia" w:ascii="仿宋_GB2312" w:eastAsia="仿宋_GB2312"/>
          <w:color w:val="auto"/>
          <w:sz w:val="24"/>
        </w:rPr>
        <w:t xml:space="preserve">，必要时提交相关证明材料；投标人不能证明其报价合理性的，评标委员会应当将其作为无效投标处理。     </w:t>
      </w:r>
    </w:p>
    <w:p w14:paraId="7F865699">
      <w:pPr>
        <w:spacing w:line="390" w:lineRule="exact"/>
        <w:ind w:right="-168" w:rightChars="-80" w:firstLine="435"/>
        <w:rPr>
          <w:rFonts w:ascii="仿宋_GB2312" w:eastAsia="仿宋_GB2312"/>
          <w:b/>
          <w:bCs/>
          <w:color w:val="auto"/>
          <w:sz w:val="24"/>
        </w:rPr>
      </w:pPr>
      <w:r>
        <w:rPr>
          <w:rFonts w:hint="eastAsia" w:ascii="仿宋_GB2312" w:eastAsia="仿宋_GB2312"/>
          <w:b/>
          <w:bCs/>
          <w:color w:val="auto"/>
          <w:sz w:val="24"/>
        </w:rPr>
        <w:t>二、评标方法</w:t>
      </w:r>
      <w:r>
        <w:rPr>
          <w:rFonts w:ascii="仿宋_GB2312" w:eastAsia="仿宋_GB2312"/>
          <w:b/>
          <w:bCs/>
          <w:color w:val="auto"/>
          <w:sz w:val="24"/>
        </w:rPr>
        <w:tab/>
      </w:r>
    </w:p>
    <w:p w14:paraId="6CCFFE32">
      <w:pPr>
        <w:spacing w:line="390" w:lineRule="exact"/>
        <w:ind w:right="-168" w:rightChars="-80" w:firstLine="435"/>
        <w:rPr>
          <w:rFonts w:ascii="仿宋_GB2312" w:eastAsia="仿宋_GB2312"/>
          <w:color w:val="auto"/>
          <w:sz w:val="24"/>
        </w:rPr>
      </w:pPr>
      <w:r>
        <w:rPr>
          <w:rFonts w:hint="eastAsia" w:ascii="仿宋_GB2312" w:eastAsia="仿宋_GB2312"/>
          <w:color w:val="auto"/>
          <w:sz w:val="24"/>
        </w:rPr>
        <w:t>（一）对进入详评的，采用百分制综合评分法。</w:t>
      </w:r>
    </w:p>
    <w:p w14:paraId="02944216">
      <w:pPr>
        <w:spacing w:line="400" w:lineRule="atLeast"/>
        <w:ind w:firstLine="480" w:firstLineChars="200"/>
        <w:jc w:val="left"/>
        <w:rPr>
          <w:rFonts w:ascii="仿宋_GB2312" w:hAnsi="宋体" w:eastAsia="仿宋_GB2312"/>
          <w:color w:val="auto"/>
          <w:sz w:val="24"/>
        </w:rPr>
      </w:pPr>
      <w:r>
        <w:rPr>
          <w:rFonts w:hint="eastAsia" w:ascii="仿宋_GB2312" w:eastAsia="仿宋_GB2312"/>
          <w:color w:val="auto"/>
          <w:sz w:val="24"/>
        </w:rPr>
        <w:t>（二）计分办法（分值计算保留小数点后两位，第三位四舍五入）</w:t>
      </w:r>
      <w:r>
        <w:rPr>
          <w:rFonts w:hint="eastAsia" w:ascii="仿宋_GB2312" w:hAnsi="宋体" w:eastAsia="仿宋_GB2312"/>
          <w:color w:val="auto"/>
          <w:sz w:val="24"/>
        </w:rPr>
        <w:t>：</w:t>
      </w:r>
    </w:p>
    <w:tbl>
      <w:tblPr>
        <w:tblStyle w:val="814"/>
        <w:tblpPr w:leftFromText="180" w:rightFromText="180" w:vertAnchor="text" w:horzAnchor="page" w:tblpX="661" w:tblpY="378"/>
        <w:tblOverlap w:val="never"/>
        <w:tblW w:w="97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1035"/>
        <w:gridCol w:w="1022"/>
      </w:tblGrid>
      <w:tr w14:paraId="0CA2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772" w:type="dxa"/>
            <w:gridSpan w:val="5"/>
            <w:shd w:val="clear" w:color="auto" w:fill="D7D7D7"/>
            <w:vAlign w:val="center"/>
          </w:tcPr>
          <w:p w14:paraId="085CE950">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客观分</w:t>
            </w:r>
          </w:p>
        </w:tc>
      </w:tr>
      <w:tr w14:paraId="3DC0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44EFD854">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评分项</w:t>
            </w:r>
          </w:p>
        </w:tc>
        <w:tc>
          <w:tcPr>
            <w:tcW w:w="1090" w:type="dxa"/>
            <w:vAlign w:val="center"/>
          </w:tcPr>
          <w:p w14:paraId="188EB705">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评审因素</w:t>
            </w:r>
          </w:p>
        </w:tc>
        <w:tc>
          <w:tcPr>
            <w:tcW w:w="5776" w:type="dxa"/>
            <w:vAlign w:val="center"/>
          </w:tcPr>
          <w:p w14:paraId="72895137">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评分标准说明</w:t>
            </w:r>
          </w:p>
        </w:tc>
        <w:tc>
          <w:tcPr>
            <w:tcW w:w="1035" w:type="dxa"/>
            <w:vAlign w:val="center"/>
          </w:tcPr>
          <w:p w14:paraId="0FC1103E">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分值</w:t>
            </w:r>
          </w:p>
        </w:tc>
        <w:tc>
          <w:tcPr>
            <w:tcW w:w="1022" w:type="dxa"/>
            <w:vAlign w:val="center"/>
          </w:tcPr>
          <w:p w14:paraId="0714278B">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对应的投标文件格式</w:t>
            </w:r>
          </w:p>
        </w:tc>
      </w:tr>
      <w:tr w14:paraId="5C34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9" w:hRule="atLeast"/>
        </w:trPr>
        <w:tc>
          <w:tcPr>
            <w:tcW w:w="849" w:type="dxa"/>
            <w:vAlign w:val="center"/>
          </w:tcPr>
          <w:p w14:paraId="1B8691A1">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价格分</w:t>
            </w:r>
          </w:p>
        </w:tc>
        <w:tc>
          <w:tcPr>
            <w:tcW w:w="1090" w:type="dxa"/>
            <w:vAlign w:val="center"/>
          </w:tcPr>
          <w:p w14:paraId="0586DBD9">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价格</w:t>
            </w:r>
          </w:p>
        </w:tc>
        <w:tc>
          <w:tcPr>
            <w:tcW w:w="5776" w:type="dxa"/>
            <w:vAlign w:val="center"/>
          </w:tcPr>
          <w:p w14:paraId="7F6A0A08">
            <w:pPr>
              <w:spacing w:line="440" w:lineRule="exact"/>
              <w:ind w:firstLine="420" w:firstLineChars="200"/>
              <w:jc w:val="left"/>
              <w:rPr>
                <w:rFonts w:ascii="仿宋_GB2312" w:hAnsi="仿宋_GB2312" w:eastAsia="仿宋_GB2312" w:cs="仿宋_GB2312"/>
                <w:bCs/>
                <w:color w:val="auto"/>
                <w:szCs w:val="21"/>
              </w:rPr>
            </w:pPr>
            <w:r>
              <w:rPr>
                <w:rFonts w:hint="eastAsia" w:ascii="仿宋_GB2312" w:hAnsi="仿宋_GB2312" w:eastAsia="仿宋_GB2312" w:cs="仿宋_GB2312"/>
                <w:color w:val="auto"/>
                <w:szCs w:val="21"/>
              </w:rPr>
              <w:t>1.满足招标文件要求且投标价格最低的投标报价为评标基准价，其投标人的报价分为最高分</w:t>
            </w:r>
            <w:r>
              <w:rPr>
                <w:rFonts w:hint="eastAsia" w:ascii="仿宋_GB2312" w:hAnsi="仿宋_GB2312" w:eastAsia="仿宋_GB2312" w:cs="仿宋_GB2312"/>
                <w:bCs/>
                <w:color w:val="auto"/>
                <w:szCs w:val="21"/>
                <w:lang w:val="en-US" w:eastAsia="zh-CN"/>
              </w:rPr>
              <w:t>30</w:t>
            </w:r>
            <w:r>
              <w:rPr>
                <w:rFonts w:hint="eastAsia" w:ascii="仿宋_GB2312" w:hAnsi="仿宋_GB2312" w:eastAsia="仿宋_GB2312" w:cs="仿宋_GB2312"/>
                <w:bCs/>
                <w:color w:val="auto"/>
                <w:szCs w:val="21"/>
              </w:rPr>
              <w:t>分；</w:t>
            </w:r>
          </w:p>
          <w:p w14:paraId="500A456D">
            <w:pPr>
              <w:spacing w:line="440" w:lineRule="exact"/>
              <w:ind w:firstLine="420" w:firstLineChars="200"/>
              <w:jc w:val="left"/>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2.其他投标人的报价得分按以下公式计算：</w:t>
            </w:r>
          </w:p>
          <w:p w14:paraId="15F4A3E6">
            <w:pPr>
              <w:spacing w:line="440" w:lineRule="exact"/>
              <w:ind w:firstLine="420" w:firstLineChars="200"/>
              <w:jc w:val="left"/>
              <w:rPr>
                <w:rFonts w:ascii="仿宋_GB2312" w:hAnsi="仿宋_GB2312" w:eastAsia="仿宋_GB2312" w:cs="仿宋_GB2312"/>
                <w:color w:val="auto"/>
                <w:szCs w:val="21"/>
              </w:rPr>
            </w:pPr>
            <w:r>
              <w:rPr>
                <w:rFonts w:hint="eastAsia" w:ascii="仿宋_GB2312" w:hAnsi="仿宋_GB2312" w:eastAsia="仿宋_GB2312" w:cs="仿宋_GB2312"/>
                <w:bCs/>
                <w:color w:val="auto"/>
                <w:szCs w:val="21"/>
              </w:rPr>
              <w:t>报价得分=（评标基准价／某投标人投标报价）×</w:t>
            </w:r>
            <w:r>
              <w:rPr>
                <w:rFonts w:hint="eastAsia" w:ascii="仿宋_GB2312" w:hAnsi="仿宋_GB2312" w:eastAsia="仿宋_GB2312" w:cs="仿宋_GB2312"/>
                <w:bCs/>
                <w:color w:val="auto"/>
                <w:szCs w:val="21"/>
                <w:lang w:val="en-US" w:eastAsia="zh-CN"/>
              </w:rPr>
              <w:t>30</w:t>
            </w:r>
            <w:r>
              <w:rPr>
                <w:rFonts w:hint="eastAsia" w:ascii="仿宋_GB2312" w:hAnsi="仿宋_GB2312" w:eastAsia="仿宋_GB2312" w:cs="仿宋_GB2312"/>
                <w:color w:val="auto"/>
                <w:szCs w:val="21"/>
              </w:rPr>
              <w:t>分；</w:t>
            </w:r>
          </w:p>
          <w:p w14:paraId="622F8F32">
            <w:pPr>
              <w:spacing w:line="440" w:lineRule="exact"/>
              <w:ind w:firstLine="422" w:firstLineChars="200"/>
              <w:jc w:val="left"/>
              <w:rPr>
                <w:rFonts w:ascii="仿宋_GB2312" w:hAnsi="仿宋_GB2312" w:eastAsia="仿宋_GB2312" w:cs="仿宋_GB2312"/>
                <w:b/>
                <w:color w:val="auto"/>
                <w:szCs w:val="21"/>
              </w:rPr>
            </w:pPr>
            <w:r>
              <w:rPr>
                <w:rFonts w:hint="eastAsia" w:ascii="仿宋_GB2312" w:hAnsi="仿宋_GB2312" w:eastAsia="仿宋_GB2312" w:cs="仿宋_GB2312"/>
                <w:b/>
                <w:bCs/>
                <w:color w:val="auto"/>
              </w:rPr>
              <w:t>注：专门面向中小企业采购的项目或者采购包，不再执行价格评审优惠的扶持政策。</w:t>
            </w:r>
          </w:p>
        </w:tc>
        <w:tc>
          <w:tcPr>
            <w:tcW w:w="1035" w:type="dxa"/>
            <w:vAlign w:val="center"/>
          </w:tcPr>
          <w:p w14:paraId="404F5D3F">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lang w:val="en-US" w:eastAsia="zh-CN"/>
              </w:rPr>
              <w:t>30</w:t>
            </w:r>
          </w:p>
        </w:tc>
        <w:tc>
          <w:tcPr>
            <w:tcW w:w="1022" w:type="dxa"/>
            <w:vAlign w:val="center"/>
          </w:tcPr>
          <w:p w14:paraId="59711156">
            <w:pPr>
              <w:spacing w:line="360" w:lineRule="exact"/>
              <w:jc w:val="center"/>
              <w:rPr>
                <w:rFonts w:ascii="仿宋_GB2312" w:hAnsi="仿宋_GB2312" w:eastAsia="仿宋_GB2312" w:cs="仿宋_GB2312"/>
                <w:b/>
                <w:bCs/>
                <w:color w:val="auto"/>
                <w:szCs w:val="21"/>
              </w:rPr>
            </w:pPr>
          </w:p>
        </w:tc>
      </w:tr>
      <w:tr w14:paraId="0070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4505AE6A">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信誉分</w:t>
            </w:r>
          </w:p>
        </w:tc>
        <w:tc>
          <w:tcPr>
            <w:tcW w:w="1090" w:type="dxa"/>
            <w:vAlign w:val="center"/>
          </w:tcPr>
          <w:p w14:paraId="5E67EB9F">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体系认证</w:t>
            </w:r>
          </w:p>
        </w:tc>
        <w:tc>
          <w:tcPr>
            <w:tcW w:w="5776" w:type="dxa"/>
            <w:vAlign w:val="center"/>
          </w:tcPr>
          <w:p w14:paraId="6227EAC9">
            <w:pPr>
              <w:spacing w:line="440" w:lineRule="exact"/>
              <w:ind w:firstLine="420" w:firstLineChars="200"/>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1.投标人或投标产品生产厂家具备有效的质量管理体系认证证书得2分，满分2分。</w:t>
            </w:r>
          </w:p>
          <w:p w14:paraId="7A017F4D">
            <w:pPr>
              <w:spacing w:line="440" w:lineRule="exact"/>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2.</w:t>
            </w:r>
            <w:r>
              <w:rPr>
                <w:rFonts w:hint="eastAsia" w:ascii="仿宋_GB2312" w:hAnsi="仿宋_GB2312" w:eastAsia="仿宋_GB2312" w:cs="仿宋_GB2312"/>
                <w:color w:val="auto"/>
                <w:szCs w:val="21"/>
              </w:rPr>
              <w:t>投标人或投标产品生产厂家具备有效的职业健康安全管理体系认证证书得2分，满分2分。</w:t>
            </w:r>
          </w:p>
          <w:p w14:paraId="29DC1E5E">
            <w:pPr>
              <w:spacing w:line="440" w:lineRule="exact"/>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3.</w:t>
            </w:r>
            <w:r>
              <w:rPr>
                <w:rFonts w:hint="eastAsia" w:ascii="仿宋_GB2312" w:hAnsi="仿宋_GB2312" w:eastAsia="仿宋_GB2312" w:cs="仿宋_GB2312"/>
                <w:color w:val="auto"/>
                <w:szCs w:val="21"/>
              </w:rPr>
              <w:t>投标人或投标产品生产厂家具备有效的环境管理体系认证证书得2分，满分2分。</w:t>
            </w:r>
          </w:p>
          <w:p w14:paraId="6045B82E">
            <w:pPr>
              <w:spacing w:line="44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color w:val="auto"/>
                <w:szCs w:val="21"/>
              </w:rPr>
              <w:t>注：投标人提供证书材料并加盖投标人CA电子签章，否则不予计分。</w:t>
            </w:r>
          </w:p>
        </w:tc>
        <w:tc>
          <w:tcPr>
            <w:tcW w:w="1035" w:type="dxa"/>
            <w:vAlign w:val="center"/>
          </w:tcPr>
          <w:p w14:paraId="410E63CE">
            <w:pPr>
              <w:spacing w:line="360" w:lineRule="exact"/>
              <w:jc w:val="center"/>
              <w:rPr>
                <w:rFonts w:ascii="仿宋_GB2312" w:hAnsi="仿宋_GB2312" w:cs="仿宋_GB2312"/>
                <w:b/>
                <w:bCs/>
                <w:dstrike/>
                <w:color w:val="auto"/>
                <w:szCs w:val="21"/>
              </w:rPr>
            </w:pPr>
            <w:r>
              <w:rPr>
                <w:rFonts w:hint="eastAsia" w:ascii="仿宋_GB2312" w:hAnsi="仿宋_GB2312" w:eastAsia="仿宋_GB2312" w:cs="仿宋_GB2312"/>
                <w:b/>
                <w:bCs/>
                <w:color w:val="auto"/>
                <w:szCs w:val="21"/>
              </w:rPr>
              <w:t>6</w:t>
            </w:r>
          </w:p>
        </w:tc>
        <w:tc>
          <w:tcPr>
            <w:tcW w:w="1022" w:type="dxa"/>
            <w:vAlign w:val="center"/>
          </w:tcPr>
          <w:p w14:paraId="5E43CC3A">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color w:val="auto"/>
                <w:szCs w:val="21"/>
              </w:rPr>
              <w:t>相关认证证书材料</w:t>
            </w:r>
          </w:p>
        </w:tc>
      </w:tr>
      <w:tr w14:paraId="0B5D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670AD90F">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rPr>
              <w:t>业绩分</w:t>
            </w:r>
          </w:p>
        </w:tc>
        <w:tc>
          <w:tcPr>
            <w:tcW w:w="1090" w:type="dxa"/>
            <w:vAlign w:val="center"/>
          </w:tcPr>
          <w:p w14:paraId="52EC8EBD">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bCs/>
                <w:color w:val="auto"/>
              </w:rPr>
              <w:t>项目经验</w:t>
            </w:r>
          </w:p>
        </w:tc>
        <w:tc>
          <w:tcPr>
            <w:tcW w:w="5776" w:type="dxa"/>
            <w:vAlign w:val="center"/>
          </w:tcPr>
          <w:p w14:paraId="2B83FC65">
            <w:pPr>
              <w:spacing w:line="440" w:lineRule="exact"/>
              <w:ind w:firstLine="420" w:firstLineChars="200"/>
              <w:rPr>
                <w:rFonts w:ascii="仿宋_GB2312" w:hAnsi="仿宋_GB2312" w:eastAsia="仿宋_GB2312" w:cs="仿宋_GB2312"/>
                <w:color w:val="auto"/>
              </w:rPr>
            </w:pPr>
            <w:r>
              <w:rPr>
                <w:rFonts w:hint="eastAsia" w:ascii="仿宋_GB2312" w:hAnsi="仿宋_GB2312" w:eastAsia="仿宋_GB2312" w:cs="仿宋_GB2312"/>
                <w:color w:val="auto"/>
              </w:rPr>
              <w:t>投标人从2022年1月1日起至今本</w:t>
            </w:r>
            <w:r>
              <w:rPr>
                <w:rFonts w:hint="eastAsia" w:ascii="仿宋_GB2312" w:hAnsi="仿宋_GB2312" w:eastAsia="仿宋_GB2312" w:cs="仿宋_GB2312"/>
                <w:color w:val="auto"/>
                <w:lang w:val="en-US" w:eastAsia="zh-CN"/>
              </w:rPr>
              <w:t>分标</w:t>
            </w:r>
            <w:r>
              <w:rPr>
                <w:rFonts w:hint="eastAsia" w:ascii="仿宋_GB2312" w:hAnsi="仿宋_GB2312" w:eastAsia="仿宋_GB2312" w:cs="仿宋_GB2312"/>
                <w:color w:val="auto"/>
              </w:rPr>
              <w:t>所投产品在项目中被安装使用，每有一项得2分，满分6分。</w:t>
            </w:r>
          </w:p>
          <w:p w14:paraId="7D9A6A50">
            <w:pPr>
              <w:spacing w:line="440" w:lineRule="exact"/>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rPr>
              <w:t>注：</w:t>
            </w:r>
            <w:r>
              <w:rPr>
                <w:rFonts w:hint="eastAsia" w:ascii="仿宋_GB2312" w:hAnsi="仿宋_GB2312" w:eastAsia="仿宋_GB2312" w:cs="仿宋_GB2312"/>
                <w:b/>
                <w:color w:val="auto"/>
                <w:szCs w:val="21"/>
              </w:rPr>
              <w:t>1.以合同签订时间为准；</w:t>
            </w:r>
          </w:p>
          <w:p w14:paraId="68717DDC">
            <w:pPr>
              <w:spacing w:line="440" w:lineRule="exact"/>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2.</w:t>
            </w:r>
            <w:r>
              <w:rPr>
                <w:rFonts w:hint="eastAsia" w:ascii="仿宋_GB2312" w:hAnsi="仿宋_GB2312" w:eastAsia="仿宋_GB2312" w:cs="仿宋_GB2312"/>
                <w:b/>
                <w:bCs/>
                <w:color w:val="auto"/>
              </w:rPr>
              <w:t>投标人提供上述合同材料并加盖投标人</w:t>
            </w:r>
            <w:r>
              <w:rPr>
                <w:rFonts w:hint="eastAsia" w:ascii="仿宋_GB2312" w:hAnsi="仿宋_GB2312" w:eastAsia="仿宋_GB2312" w:cs="仿宋_GB2312"/>
                <w:b/>
                <w:color w:val="auto"/>
              </w:rPr>
              <w:t>CA电子签章</w:t>
            </w:r>
            <w:r>
              <w:rPr>
                <w:rFonts w:hint="eastAsia" w:ascii="仿宋_GB2312" w:hAnsi="仿宋_GB2312" w:eastAsia="仿宋_GB2312" w:cs="仿宋_GB2312"/>
                <w:b/>
                <w:bCs/>
                <w:color w:val="auto"/>
              </w:rPr>
              <w:t>，否则不予计分</w:t>
            </w:r>
            <w:r>
              <w:rPr>
                <w:rFonts w:hint="eastAsia" w:ascii="仿宋_GB2312" w:hAnsi="仿宋_GB2312" w:eastAsia="仿宋_GB2312" w:cs="仿宋_GB2312"/>
                <w:b/>
                <w:color w:val="auto"/>
              </w:rPr>
              <w:t>。</w:t>
            </w:r>
          </w:p>
        </w:tc>
        <w:tc>
          <w:tcPr>
            <w:tcW w:w="1035" w:type="dxa"/>
            <w:vAlign w:val="center"/>
          </w:tcPr>
          <w:p w14:paraId="554510D4">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6</w:t>
            </w:r>
          </w:p>
        </w:tc>
        <w:tc>
          <w:tcPr>
            <w:tcW w:w="1022" w:type="dxa"/>
            <w:vAlign w:val="center"/>
          </w:tcPr>
          <w:p w14:paraId="29D06ED9">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rPr>
              <w:t>投标人项目经验一览表</w:t>
            </w:r>
          </w:p>
        </w:tc>
      </w:tr>
      <w:tr w14:paraId="0F6D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Align w:val="center"/>
          </w:tcPr>
          <w:p w14:paraId="37DBA444">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技术参数分</w:t>
            </w:r>
          </w:p>
        </w:tc>
        <w:tc>
          <w:tcPr>
            <w:tcW w:w="1090" w:type="dxa"/>
            <w:vAlign w:val="center"/>
          </w:tcPr>
          <w:p w14:paraId="73533837">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技术性能参数</w:t>
            </w:r>
          </w:p>
        </w:tc>
        <w:tc>
          <w:tcPr>
            <w:tcW w:w="5776" w:type="dxa"/>
            <w:vAlign w:val="center"/>
          </w:tcPr>
          <w:p w14:paraId="7539097B">
            <w:pPr>
              <w:pStyle w:val="820"/>
              <w:ind w:firstLine="422" w:firstLineChars="200"/>
              <w:rPr>
                <w:color w:val="auto"/>
              </w:rPr>
            </w:pPr>
            <w:r>
              <w:rPr>
                <w:rFonts w:hint="eastAsia" w:ascii="仿宋_GB2312" w:hAnsi="仿宋_GB2312" w:eastAsia="仿宋_GB2312" w:cs="仿宋_GB2312"/>
                <w:b/>
                <w:color w:val="auto"/>
                <w:sz w:val="21"/>
                <w:szCs w:val="21"/>
                <w:lang w:val="en-US" w:eastAsia="zh-CN"/>
              </w:rPr>
              <w:t>承诺</w:t>
            </w:r>
            <w:r>
              <w:rPr>
                <w:rFonts w:hint="eastAsia" w:ascii="仿宋_GB2312" w:hAnsi="仿宋_GB2312" w:eastAsia="仿宋_GB2312" w:cs="仿宋_GB2312"/>
                <w:b/>
                <w:color w:val="auto"/>
                <w:sz w:val="21"/>
                <w:szCs w:val="21"/>
              </w:rPr>
              <w:t>所投产品</w:t>
            </w:r>
            <w:r>
              <w:rPr>
                <w:rFonts w:hint="eastAsia" w:ascii="仿宋_GB2312" w:hAnsi="仿宋_GB2312" w:eastAsia="仿宋_GB2312" w:cs="仿宋_GB2312"/>
                <w:b/>
                <w:color w:val="auto"/>
                <w:sz w:val="21"/>
                <w:szCs w:val="21"/>
                <w:lang w:val="en-US" w:eastAsia="zh-CN"/>
              </w:rPr>
              <w:t>没有</w:t>
            </w:r>
            <w:r>
              <w:rPr>
                <w:rFonts w:hint="eastAsia" w:ascii="仿宋_GB2312" w:hAnsi="仿宋_GB2312" w:eastAsia="仿宋_GB2312" w:cs="仿宋_GB2312"/>
                <w:b/>
                <w:color w:val="auto"/>
                <w:sz w:val="21"/>
                <w:szCs w:val="21"/>
              </w:rPr>
              <w:t>标记“★”</w:t>
            </w:r>
            <w:r>
              <w:rPr>
                <w:rFonts w:hint="eastAsia" w:ascii="仿宋_GB2312" w:hAnsi="仿宋_GB2312" w:eastAsia="仿宋_GB2312" w:cs="仿宋_GB2312"/>
                <w:b/>
                <w:color w:val="auto"/>
                <w:sz w:val="21"/>
                <w:szCs w:val="21"/>
                <w:lang w:val="en-US" w:eastAsia="zh-CN"/>
              </w:rPr>
              <w:t>符号</w:t>
            </w:r>
            <w:r>
              <w:rPr>
                <w:rFonts w:hint="eastAsia" w:ascii="仿宋_GB2312" w:hAnsi="仿宋_GB2312" w:eastAsia="仿宋_GB2312" w:cs="仿宋_GB2312"/>
                <w:b/>
                <w:color w:val="auto"/>
                <w:sz w:val="21"/>
                <w:szCs w:val="21"/>
              </w:rPr>
              <w:t>的参数</w:t>
            </w:r>
            <w:r>
              <w:rPr>
                <w:rFonts w:hint="eastAsia" w:ascii="仿宋_GB2312" w:hAnsi="仿宋_GB2312" w:eastAsia="仿宋_GB2312" w:cs="仿宋_GB2312"/>
                <w:b/>
                <w:color w:val="auto"/>
                <w:sz w:val="21"/>
                <w:szCs w:val="21"/>
                <w:lang w:val="en-US" w:eastAsia="zh-CN"/>
              </w:rPr>
              <w:t>无负偏离的得基础分5</w:t>
            </w:r>
            <w:r>
              <w:rPr>
                <w:rFonts w:hint="eastAsia" w:ascii="仿宋_GB2312" w:hAnsi="仿宋_GB2312" w:eastAsia="仿宋_GB2312" w:cs="仿宋_GB2312"/>
                <w:b/>
                <w:color w:val="auto"/>
                <w:sz w:val="21"/>
                <w:szCs w:val="21"/>
              </w:rPr>
              <w:t>分。</w:t>
            </w:r>
          </w:p>
        </w:tc>
        <w:tc>
          <w:tcPr>
            <w:tcW w:w="1035" w:type="dxa"/>
            <w:vAlign w:val="center"/>
          </w:tcPr>
          <w:p w14:paraId="7B8D7727">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lang w:val="en-US" w:eastAsia="zh-CN"/>
              </w:rPr>
              <w:t>5</w:t>
            </w:r>
          </w:p>
        </w:tc>
        <w:tc>
          <w:tcPr>
            <w:tcW w:w="1022" w:type="dxa"/>
            <w:vAlign w:val="center"/>
          </w:tcPr>
          <w:p w14:paraId="4A489A01">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color w:val="auto"/>
                <w:szCs w:val="21"/>
              </w:rPr>
              <w:t>技术响应表</w:t>
            </w:r>
          </w:p>
        </w:tc>
      </w:tr>
      <w:tr w14:paraId="309C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shd w:val="clear" w:color="auto" w:fill="auto"/>
            <w:vAlign w:val="center"/>
          </w:tcPr>
          <w:p w14:paraId="73A87DEA">
            <w:pPr>
              <w:spacing w:line="360" w:lineRule="exact"/>
              <w:jc w:val="center"/>
              <w:rPr>
                <w:rFonts w:ascii="仿宋_GB2312" w:hAnsi="仿宋_GB2312" w:eastAsia="仿宋_GB2312" w:cs="仿宋_GB2312"/>
                <w:b/>
                <w:bCs/>
                <w:color w:val="auto"/>
              </w:rPr>
            </w:pPr>
            <w:r>
              <w:rPr>
                <w:rFonts w:hint="eastAsia" w:ascii="仿宋_GB2312" w:hAnsi="仿宋_GB2312" w:eastAsia="仿宋_GB2312" w:cs="仿宋_GB2312"/>
                <w:b/>
                <w:bCs/>
                <w:color w:val="auto"/>
              </w:rPr>
              <w:t>系统性能演示分</w:t>
            </w:r>
          </w:p>
        </w:tc>
        <w:tc>
          <w:tcPr>
            <w:tcW w:w="1090" w:type="dxa"/>
            <w:shd w:val="clear" w:color="auto" w:fill="auto"/>
            <w:vAlign w:val="center"/>
          </w:tcPr>
          <w:p w14:paraId="2205F941">
            <w:pPr>
              <w:spacing w:line="360" w:lineRule="exact"/>
              <w:jc w:val="center"/>
              <w:rPr>
                <w:rFonts w:ascii="仿宋_GB2312" w:hAnsi="仿宋_GB2312" w:eastAsia="仿宋_GB2312" w:cs="仿宋_GB2312"/>
                <w:b/>
                <w:bCs/>
                <w:color w:val="auto"/>
              </w:rPr>
            </w:pPr>
            <w:r>
              <w:rPr>
                <w:rFonts w:hint="eastAsia" w:ascii="仿宋_GB2312" w:hAnsi="仿宋_GB2312" w:eastAsia="仿宋_GB2312" w:cs="仿宋_GB2312"/>
                <w:b/>
                <w:bCs/>
                <w:color w:val="auto"/>
              </w:rPr>
              <w:t>系统性能演示</w:t>
            </w:r>
          </w:p>
        </w:tc>
        <w:tc>
          <w:tcPr>
            <w:tcW w:w="5776" w:type="dxa"/>
            <w:vAlign w:val="center"/>
          </w:tcPr>
          <w:p w14:paraId="208A4BC0">
            <w:pPr>
              <w:pStyle w:val="820"/>
              <w:ind w:firstLine="422" w:firstLineChars="200"/>
              <w:rPr>
                <w:rFonts w:ascii="仿宋_GB2312" w:hAnsi="仿宋_GB2312" w:eastAsia="仿宋_GB2312" w:cs="仿宋_GB2312"/>
                <w:b/>
                <w:color w:val="auto"/>
                <w:sz w:val="21"/>
                <w:szCs w:val="21"/>
              </w:rPr>
            </w:pPr>
            <w:r>
              <w:rPr>
                <w:rFonts w:hint="eastAsia" w:ascii="仿宋_GB2312" w:hAnsi="仿宋_GB2312" w:eastAsia="仿宋_GB2312" w:cs="仿宋_GB2312"/>
                <w:b/>
                <w:color w:val="auto"/>
                <w:sz w:val="21"/>
                <w:szCs w:val="21"/>
              </w:rPr>
              <w:t>针对本</w:t>
            </w:r>
            <w:r>
              <w:rPr>
                <w:rFonts w:hint="eastAsia" w:ascii="仿宋_GB2312" w:hAnsi="仿宋_GB2312" w:eastAsia="仿宋_GB2312" w:cs="仿宋_GB2312"/>
                <w:b/>
                <w:color w:val="auto"/>
                <w:sz w:val="21"/>
                <w:szCs w:val="21"/>
                <w:lang w:eastAsia="zh-CN"/>
              </w:rPr>
              <w:t>分标</w:t>
            </w:r>
            <w:r>
              <w:rPr>
                <w:rFonts w:hint="eastAsia" w:ascii="仿宋_GB2312" w:hAnsi="仿宋_GB2312" w:eastAsia="仿宋_GB2312" w:cs="仿宋_GB2312"/>
                <w:b/>
                <w:color w:val="auto"/>
                <w:sz w:val="21"/>
                <w:szCs w:val="21"/>
              </w:rPr>
              <w:t>，投标人自行准备演示设备进行系统演示，由投标人对技术参数中加下划线“</w:t>
            </w:r>
            <w:r>
              <w:rPr>
                <w:rFonts w:hint="eastAsia" w:ascii="仿宋_GB2312" w:hAnsi="仿宋_GB2312" w:eastAsia="仿宋_GB2312" w:cs="仿宋_GB2312"/>
                <w:b/>
                <w:color w:val="auto"/>
                <w:sz w:val="21"/>
                <w:szCs w:val="21"/>
                <w:u w:val="single"/>
              </w:rPr>
              <w:t xml:space="preserve">  </w:t>
            </w:r>
            <w:r>
              <w:rPr>
                <w:rFonts w:hint="eastAsia" w:ascii="仿宋_GB2312" w:hAnsi="仿宋_GB2312" w:eastAsia="仿宋_GB2312" w:cs="仿宋_GB2312"/>
                <w:b/>
                <w:color w:val="auto"/>
                <w:sz w:val="21"/>
                <w:szCs w:val="21"/>
              </w:rPr>
              <w:t>”的技术参数（4项）自行选择并进行演示，每满足1项得6分，满分24分，不演示不得分。</w:t>
            </w:r>
          </w:p>
          <w:p w14:paraId="66288620">
            <w:pPr>
              <w:pStyle w:val="820"/>
              <w:ind w:firstLine="422" w:firstLineChars="200"/>
              <w:rPr>
                <w:rFonts w:ascii="仿宋_GB2312" w:hAnsi="仿宋_GB2312" w:eastAsia="仿宋_GB2312" w:cs="仿宋_GB2312"/>
                <w:b/>
                <w:color w:val="auto"/>
                <w:sz w:val="21"/>
                <w:szCs w:val="21"/>
              </w:rPr>
            </w:pPr>
            <w:r>
              <w:rPr>
                <w:rFonts w:hint="eastAsia" w:ascii="仿宋_GB2312" w:hAnsi="仿宋_GB2312" w:eastAsia="仿宋_GB2312" w:cs="仿宋_GB2312"/>
                <w:b/>
                <w:color w:val="auto"/>
                <w:sz w:val="21"/>
                <w:szCs w:val="21"/>
              </w:rPr>
              <w:t>演示要求:</w:t>
            </w:r>
          </w:p>
          <w:p w14:paraId="2DA4C3B9">
            <w:pPr>
              <w:pStyle w:val="820"/>
              <w:ind w:firstLine="422" w:firstLineChars="200"/>
              <w:rPr>
                <w:rFonts w:ascii="仿宋_GB2312" w:hAnsi="仿宋_GB2312" w:eastAsia="仿宋_GB2312" w:cs="仿宋_GB2312"/>
                <w:b/>
                <w:color w:val="auto"/>
                <w:sz w:val="21"/>
                <w:szCs w:val="21"/>
              </w:rPr>
            </w:pPr>
            <w:r>
              <w:rPr>
                <w:rFonts w:hint="eastAsia" w:ascii="仿宋_GB2312" w:hAnsi="仿宋_GB2312" w:eastAsia="仿宋_GB2312" w:cs="仿宋_GB2312"/>
                <w:b/>
                <w:color w:val="auto"/>
                <w:sz w:val="21"/>
                <w:szCs w:val="21"/>
              </w:rPr>
              <w:t>1.必须按照参数对照投标产品逐条予以演示，演示视频以图片或提前录制视频方式呈现的演示无效，不予计分；</w:t>
            </w:r>
          </w:p>
          <w:p w14:paraId="06CA775F">
            <w:pPr>
              <w:pStyle w:val="820"/>
              <w:ind w:firstLine="422" w:firstLineChars="200"/>
              <w:rPr>
                <w:rFonts w:ascii="仿宋_GB2312" w:hAnsi="仿宋_GB2312" w:eastAsia="仿宋_GB2312" w:cs="仿宋_GB2312"/>
                <w:b/>
                <w:color w:val="auto"/>
                <w:sz w:val="21"/>
                <w:szCs w:val="21"/>
              </w:rPr>
            </w:pPr>
            <w:r>
              <w:rPr>
                <w:rFonts w:hint="eastAsia" w:ascii="仿宋_GB2312" w:hAnsi="仿宋_GB2312" w:eastAsia="仿宋_GB2312" w:cs="仿宋_GB2312"/>
                <w:b/>
                <w:color w:val="auto"/>
                <w:sz w:val="21"/>
                <w:szCs w:val="21"/>
              </w:rPr>
              <w:t>2.演示时间:不超过10分钟，超时演示部分不予计分;</w:t>
            </w:r>
          </w:p>
          <w:p w14:paraId="67B4B5E5">
            <w:pPr>
              <w:pStyle w:val="820"/>
              <w:ind w:firstLine="422" w:firstLineChars="200"/>
              <w:rPr>
                <w:rFonts w:ascii="仿宋_GB2312" w:hAnsi="仿宋_GB2312" w:eastAsia="仿宋_GB2312" w:cs="仿宋_GB2312"/>
                <w:b/>
                <w:color w:val="auto"/>
                <w:sz w:val="21"/>
                <w:szCs w:val="21"/>
              </w:rPr>
            </w:pPr>
            <w:r>
              <w:rPr>
                <w:rFonts w:hint="eastAsia" w:ascii="仿宋_GB2312" w:hAnsi="仿宋_GB2312" w:eastAsia="仿宋_GB2312" w:cs="仿宋_GB2312"/>
                <w:b/>
                <w:color w:val="auto"/>
                <w:sz w:val="21"/>
                <w:szCs w:val="21"/>
              </w:rPr>
              <w:t>3.投标人通过广西政府采购云平台进行远程演示，具体演示开始时间以评标委员会向投标人发出邀请为准。</w:t>
            </w:r>
          </w:p>
          <w:p w14:paraId="551DB18C">
            <w:pPr>
              <w:pStyle w:val="820"/>
              <w:ind w:firstLine="422" w:firstLineChars="200"/>
              <w:rPr>
                <w:rFonts w:ascii="仿宋_GB2312" w:hAnsi="仿宋_GB2312" w:eastAsia="仿宋_GB2312" w:cs="仿宋_GB2312"/>
                <w:b/>
                <w:color w:val="auto"/>
                <w:sz w:val="21"/>
                <w:szCs w:val="21"/>
              </w:rPr>
            </w:pPr>
            <w:r>
              <w:rPr>
                <w:rFonts w:hint="eastAsia" w:ascii="仿宋_GB2312" w:hAnsi="仿宋_GB2312" w:eastAsia="仿宋_GB2312" w:cs="仿宋_GB2312"/>
                <w:b/>
                <w:color w:val="auto"/>
                <w:sz w:val="21"/>
                <w:szCs w:val="21"/>
              </w:rPr>
              <w:t>4.投标人及时熟悉掌握远程演示操作指南：https://helpcenter.zcygov.cn/document#/document/detail?siteCode=gx&amp;manualId=4535&amp;topicId=1565</w:t>
            </w:r>
          </w:p>
        </w:tc>
        <w:tc>
          <w:tcPr>
            <w:tcW w:w="1035" w:type="dxa"/>
            <w:vAlign w:val="center"/>
          </w:tcPr>
          <w:p w14:paraId="223CB27B">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24</w:t>
            </w:r>
          </w:p>
        </w:tc>
        <w:tc>
          <w:tcPr>
            <w:tcW w:w="1022" w:type="dxa"/>
            <w:vAlign w:val="center"/>
          </w:tcPr>
          <w:p w14:paraId="2DE2737F">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系统演示</w:t>
            </w:r>
          </w:p>
        </w:tc>
      </w:tr>
      <w:tr w14:paraId="3522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vAlign w:val="center"/>
          </w:tcPr>
          <w:p w14:paraId="4D0B4BB2">
            <w:pPr>
              <w:pStyle w:val="815"/>
              <w:tabs>
                <w:tab w:val="left" w:pos="312"/>
              </w:tabs>
              <w:spacing w:line="400" w:lineRule="exact"/>
              <w:ind w:firstLine="422" w:firstLineChars="200"/>
              <w:jc w:val="center"/>
              <w:rPr>
                <w:rFonts w:ascii="仿宋_GB2312" w:hAnsi="仿宋_GB2312" w:eastAsia="仿宋_GB2312" w:cs="仿宋_GB2312"/>
                <w:color w:val="auto"/>
              </w:rPr>
            </w:pPr>
            <w:r>
              <w:rPr>
                <w:rFonts w:hint="eastAsia" w:ascii="仿宋_GB2312" w:hAnsi="仿宋_GB2312" w:eastAsia="仿宋_GB2312" w:cs="仿宋_GB2312"/>
                <w:b/>
                <w:bCs/>
                <w:color w:val="auto"/>
              </w:rPr>
              <w:t>客观分总分</w:t>
            </w:r>
          </w:p>
        </w:tc>
        <w:tc>
          <w:tcPr>
            <w:tcW w:w="1035" w:type="dxa"/>
            <w:vAlign w:val="center"/>
          </w:tcPr>
          <w:p w14:paraId="45EB03F2">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lang w:val="en-US" w:eastAsia="zh-CN"/>
              </w:rPr>
              <w:t>71</w:t>
            </w:r>
          </w:p>
        </w:tc>
        <w:tc>
          <w:tcPr>
            <w:tcW w:w="1022" w:type="dxa"/>
            <w:vAlign w:val="center"/>
          </w:tcPr>
          <w:p w14:paraId="6CA24BED">
            <w:pPr>
              <w:spacing w:line="360" w:lineRule="exact"/>
              <w:jc w:val="center"/>
              <w:rPr>
                <w:rFonts w:ascii="仿宋_GB2312" w:hAnsi="仿宋_GB2312" w:eastAsia="仿宋_GB2312" w:cs="仿宋_GB2312"/>
                <w:color w:val="auto"/>
                <w:szCs w:val="21"/>
              </w:rPr>
            </w:pPr>
          </w:p>
        </w:tc>
      </w:tr>
    </w:tbl>
    <w:p w14:paraId="2F87D93B">
      <w:pPr>
        <w:rPr>
          <w:color w:val="auto"/>
        </w:rPr>
      </w:pPr>
    </w:p>
    <w:tbl>
      <w:tblPr>
        <w:tblStyle w:val="814"/>
        <w:tblpPr w:leftFromText="180" w:rightFromText="180" w:vertAnchor="text" w:horzAnchor="page" w:tblpX="661" w:tblpY="1"/>
        <w:tblOverlap w:val="never"/>
        <w:tblW w:w="9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024"/>
      </w:tblGrid>
      <w:tr w14:paraId="474A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789" w:type="dxa"/>
            <w:gridSpan w:val="5"/>
            <w:shd w:val="clear" w:color="auto" w:fill="D7D7D7"/>
            <w:vAlign w:val="center"/>
          </w:tcPr>
          <w:p w14:paraId="4A5D0C9D">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color w:val="auto"/>
                <w:szCs w:val="21"/>
              </w:rPr>
              <w:t>主观分</w:t>
            </w:r>
          </w:p>
        </w:tc>
      </w:tr>
      <w:tr w14:paraId="3841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49" w:type="dxa"/>
            <w:vAlign w:val="center"/>
          </w:tcPr>
          <w:p w14:paraId="274A67E5">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评分项</w:t>
            </w:r>
          </w:p>
        </w:tc>
        <w:tc>
          <w:tcPr>
            <w:tcW w:w="1090" w:type="dxa"/>
            <w:vAlign w:val="center"/>
          </w:tcPr>
          <w:p w14:paraId="2E95176F">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评审因素</w:t>
            </w:r>
          </w:p>
        </w:tc>
        <w:tc>
          <w:tcPr>
            <w:tcW w:w="5859" w:type="dxa"/>
            <w:vAlign w:val="center"/>
          </w:tcPr>
          <w:p w14:paraId="14E48E93">
            <w:pPr>
              <w:spacing w:line="34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评分标准说明</w:t>
            </w:r>
          </w:p>
        </w:tc>
        <w:tc>
          <w:tcPr>
            <w:tcW w:w="967" w:type="dxa"/>
            <w:vAlign w:val="center"/>
          </w:tcPr>
          <w:p w14:paraId="4FA550E8">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分值</w:t>
            </w:r>
          </w:p>
        </w:tc>
        <w:tc>
          <w:tcPr>
            <w:tcW w:w="1024" w:type="dxa"/>
            <w:vAlign w:val="center"/>
          </w:tcPr>
          <w:p w14:paraId="4E6D0E8A">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对应的投标文件格式</w:t>
            </w:r>
          </w:p>
        </w:tc>
      </w:tr>
      <w:tr w14:paraId="4FE6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49" w:type="dxa"/>
            <w:vMerge w:val="restart"/>
            <w:vAlign w:val="center"/>
          </w:tcPr>
          <w:p w14:paraId="184FA364">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售后服务方案分</w:t>
            </w:r>
          </w:p>
        </w:tc>
        <w:tc>
          <w:tcPr>
            <w:tcW w:w="1090" w:type="dxa"/>
            <w:vAlign w:val="center"/>
          </w:tcPr>
          <w:p w14:paraId="29A22B3E">
            <w:pPr>
              <w:widowControl/>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技术培训方案</w:t>
            </w:r>
          </w:p>
        </w:tc>
        <w:tc>
          <w:tcPr>
            <w:tcW w:w="5859" w:type="dxa"/>
            <w:vAlign w:val="center"/>
          </w:tcPr>
          <w:p w14:paraId="4BA3630A">
            <w:pPr>
              <w:widowControl/>
              <w:spacing w:line="43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一档（1</w:t>
            </w:r>
            <w:r>
              <w:rPr>
                <w:rFonts w:hint="eastAsia" w:ascii="仿宋_GB2312" w:hAnsi="仿宋_GB2312" w:eastAsia="仿宋_GB2312" w:cs="仿宋_GB2312"/>
                <w:b/>
                <w:color w:val="auto"/>
                <w:szCs w:val="21"/>
              </w:rPr>
              <w:t>4</w:t>
            </w:r>
            <w:r>
              <w:rPr>
                <w:rFonts w:hint="eastAsia" w:ascii="仿宋_GB2312" w:hAnsi="仿宋_GB2312" w:eastAsia="仿宋_GB2312" w:cs="仿宋_GB2312"/>
                <w:b/>
                <w:bCs/>
                <w:color w:val="auto"/>
              </w:rPr>
              <w:t>分）：在满足二档的基础上，</w:t>
            </w:r>
            <w:r>
              <w:rPr>
                <w:rFonts w:hint="eastAsia" w:ascii="仿宋_GB2312" w:hAnsi="仿宋_GB2312" w:eastAsia="仿宋_GB2312" w:cs="仿宋_GB2312"/>
                <w:color w:val="auto"/>
              </w:rPr>
              <w:t>培训方案详细且合理，培训人员经验丰富；培训方式灵活，包括线上（如直播、录播）、线下等多种形式，安排得当；培训内容全面，涵盖软件基本操作、常见问题解决、日常维护及进阶功能等，课时充足；提供详细的培训计划，包括时间安排、课程大纲及配套学习材料；</w:t>
            </w:r>
          </w:p>
          <w:p w14:paraId="39DF2FC5">
            <w:pPr>
              <w:widowControl/>
              <w:spacing w:line="43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二档（9分）：在满足三档的基础上，</w:t>
            </w:r>
            <w:r>
              <w:rPr>
                <w:rFonts w:hint="eastAsia" w:ascii="仿宋_GB2312" w:hAnsi="仿宋_GB2312" w:eastAsia="仿宋_GB2312" w:cs="仿宋_GB2312"/>
                <w:color w:val="auto"/>
              </w:rPr>
              <w:t xml:space="preserve">培训方案相对详细，培训方式及内容满足采购需求；能覆盖软件的主要功能操作，提供基本的培训资料； </w:t>
            </w:r>
          </w:p>
          <w:p w14:paraId="509EFE64">
            <w:pPr>
              <w:widowControl/>
              <w:spacing w:line="43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三档（4分）：</w:t>
            </w:r>
            <w:r>
              <w:rPr>
                <w:rFonts w:hint="eastAsia" w:ascii="仿宋_GB2312" w:hAnsi="仿宋_GB2312" w:eastAsia="仿宋_GB2312" w:cs="仿宋_GB2312"/>
                <w:color w:val="auto"/>
              </w:rPr>
              <w:t>方案满足采购需求，内容简单，能确保用户掌握软件基本使用。</w:t>
            </w:r>
          </w:p>
          <w:p w14:paraId="2D93C65B">
            <w:pPr>
              <w:widowControl/>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szCs w:val="21"/>
              </w:rPr>
              <w:t>注：1.该方案内容可以包括：（1）培训方式及时间安排；（2）培训内容概述及材料清单。</w:t>
            </w:r>
          </w:p>
          <w:p w14:paraId="5F593A3D">
            <w:pPr>
              <w:widowControl/>
              <w:spacing w:line="430" w:lineRule="exact"/>
              <w:ind w:firstLine="422" w:firstLineChars="200"/>
              <w:rPr>
                <w:color w:val="auto"/>
              </w:rPr>
            </w:pPr>
            <w:r>
              <w:rPr>
                <w:rFonts w:hint="eastAsia" w:ascii="仿宋_GB2312" w:hAnsi="仿宋_GB2312" w:eastAsia="仿宋_GB2312" w:cs="仿宋_GB2312"/>
                <w:b/>
                <w:color w:val="auto"/>
              </w:rPr>
              <w:t>2.未提供以上方案或提供的内容与本项目无关的得0分。</w:t>
            </w:r>
          </w:p>
        </w:tc>
        <w:tc>
          <w:tcPr>
            <w:tcW w:w="967" w:type="dxa"/>
            <w:vAlign w:val="center"/>
          </w:tcPr>
          <w:p w14:paraId="62C3970C">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14</w:t>
            </w:r>
          </w:p>
        </w:tc>
        <w:tc>
          <w:tcPr>
            <w:tcW w:w="1024" w:type="dxa"/>
            <w:vAlign w:val="center"/>
          </w:tcPr>
          <w:p w14:paraId="0895DB59">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培训方案</w:t>
            </w:r>
          </w:p>
        </w:tc>
      </w:tr>
      <w:tr w14:paraId="6077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continue"/>
            <w:vAlign w:val="center"/>
          </w:tcPr>
          <w:p w14:paraId="07700FA8">
            <w:pPr>
              <w:spacing w:line="360" w:lineRule="exact"/>
              <w:jc w:val="center"/>
              <w:rPr>
                <w:rFonts w:ascii="仿宋_GB2312" w:hAnsi="仿宋_GB2312" w:eastAsia="仿宋_GB2312" w:cs="仿宋_GB2312"/>
                <w:color w:val="auto"/>
                <w:szCs w:val="21"/>
              </w:rPr>
            </w:pPr>
          </w:p>
        </w:tc>
        <w:tc>
          <w:tcPr>
            <w:tcW w:w="1090" w:type="dxa"/>
            <w:vAlign w:val="center"/>
          </w:tcPr>
          <w:p w14:paraId="34C0C67A">
            <w:pPr>
              <w:widowControl/>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售后服务方案</w:t>
            </w:r>
          </w:p>
        </w:tc>
        <w:tc>
          <w:tcPr>
            <w:tcW w:w="5859" w:type="dxa"/>
            <w:vAlign w:val="center"/>
          </w:tcPr>
          <w:p w14:paraId="5336861E">
            <w:pPr>
              <w:widowControl/>
              <w:spacing w:line="43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一档（</w:t>
            </w:r>
            <w:r>
              <w:rPr>
                <w:rFonts w:hint="eastAsia" w:ascii="仿宋_GB2312" w:hAnsi="仿宋_GB2312" w:eastAsia="仿宋_GB2312" w:cs="仿宋_GB2312"/>
                <w:b/>
                <w:bCs/>
                <w:color w:val="auto"/>
                <w:lang w:val="en-US" w:eastAsia="zh-CN"/>
              </w:rPr>
              <w:t>15</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在满足二档的基础上，售后服务方案详细、全面、针对性强；配备专职售后技术支持人员，职责明确，响应高效；技术支持方式多样，包括电话支持、在线支持、远程协助和现场支持等，故障解决流程清晰且易于操作；有良好的定期回访制度；</w:t>
            </w:r>
          </w:p>
          <w:p w14:paraId="6176947F">
            <w:pPr>
              <w:widowControl/>
              <w:spacing w:line="43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二档（</w:t>
            </w:r>
            <w:r>
              <w:rPr>
                <w:rFonts w:hint="eastAsia" w:ascii="仿宋_GB2312" w:hAnsi="仿宋_GB2312" w:eastAsia="仿宋_GB2312" w:cs="仿宋_GB2312"/>
                <w:b/>
                <w:bCs/>
                <w:color w:val="auto"/>
                <w:lang w:val="en-US" w:eastAsia="zh-CN"/>
              </w:rPr>
              <w:t>10</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在满足三档的基础上，方案能较好满足采购需求，符合实际，有一定的针对性、可行性；售后服务有承诺，保障响应措施较有力，并有定期回访制度；</w:t>
            </w:r>
          </w:p>
          <w:p w14:paraId="1CF35178">
            <w:pPr>
              <w:widowControl/>
              <w:numPr>
                <w:ilvl w:val="-1"/>
                <w:numId w:val="0"/>
              </w:numPr>
              <w:spacing w:line="430" w:lineRule="exact"/>
              <w:ind w:firstLine="422" w:firstLineChars="200"/>
              <w:rPr>
                <w:rFonts w:ascii="仿宋_GB2312" w:hAnsi="仿宋_GB2312" w:eastAsia="仿宋_GB2312" w:cs="仿宋_GB2312"/>
                <w:color w:val="auto"/>
                <w:kern w:val="21"/>
                <w:szCs w:val="21"/>
              </w:rPr>
            </w:pPr>
            <w:r>
              <w:rPr>
                <w:rFonts w:hint="eastAsia" w:ascii="仿宋_GB2312" w:hAnsi="仿宋_GB2312" w:eastAsia="仿宋_GB2312" w:cs="仿宋_GB2312"/>
                <w:b/>
                <w:bCs/>
                <w:color w:val="auto"/>
                <w:szCs w:val="21"/>
              </w:rPr>
              <w:t>三档（</w:t>
            </w:r>
            <w:r>
              <w:rPr>
                <w:rFonts w:hint="eastAsia" w:ascii="仿宋_GB2312" w:hAnsi="仿宋_GB2312" w:eastAsia="仿宋_GB2312" w:cs="仿宋_GB2312"/>
                <w:b/>
                <w:bCs/>
                <w:color w:val="auto"/>
                <w:szCs w:val="21"/>
                <w:lang w:val="en-US" w:eastAsia="zh-CN"/>
              </w:rPr>
              <w:t>5</w:t>
            </w:r>
            <w:r>
              <w:rPr>
                <w:rFonts w:hint="eastAsia" w:ascii="仿宋_GB2312" w:hAnsi="仿宋_GB2312" w:eastAsia="仿宋_GB2312" w:cs="仿宋_GB2312"/>
                <w:b/>
                <w:bCs/>
                <w:color w:val="auto"/>
                <w:szCs w:val="21"/>
              </w:rPr>
              <w:t>分）</w:t>
            </w:r>
            <w:r>
              <w:rPr>
                <w:rFonts w:hint="eastAsia" w:ascii="仿宋_GB2312" w:hAnsi="仿宋_GB2312" w:eastAsia="仿宋_GB2312" w:cs="仿宋_GB2312"/>
                <w:color w:val="auto"/>
                <w:szCs w:val="21"/>
              </w:rPr>
              <w:t>：方案相对详细，有售后服务保障内容，符合实际，方案针对性、可行性一般；</w:t>
            </w:r>
          </w:p>
          <w:p w14:paraId="2D1E0B57">
            <w:pPr>
              <w:widowControl/>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szCs w:val="21"/>
              </w:rPr>
              <w:t>注：1.该方案内容可以包括：（1）售后服务技术支持方案；（2）故障应急预案；（3）定期回访维护方案。</w:t>
            </w:r>
          </w:p>
          <w:p w14:paraId="53C92671">
            <w:pPr>
              <w:widowControl/>
              <w:spacing w:line="43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color w:val="auto"/>
              </w:rPr>
              <w:t>2.未提供以上方案或提供的内容与本项目无关的得0分。</w:t>
            </w:r>
          </w:p>
        </w:tc>
        <w:tc>
          <w:tcPr>
            <w:tcW w:w="967" w:type="dxa"/>
            <w:vAlign w:val="center"/>
          </w:tcPr>
          <w:p w14:paraId="0522F77D">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lang w:val="en-US" w:eastAsia="zh-CN"/>
              </w:rPr>
              <w:t>15</w:t>
            </w:r>
          </w:p>
        </w:tc>
        <w:tc>
          <w:tcPr>
            <w:tcW w:w="1024" w:type="dxa"/>
            <w:vAlign w:val="center"/>
          </w:tcPr>
          <w:p w14:paraId="7E7583FA">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color w:val="auto"/>
                <w:szCs w:val="21"/>
              </w:rPr>
              <w:t>售后服务方案</w:t>
            </w:r>
          </w:p>
        </w:tc>
      </w:tr>
      <w:tr w14:paraId="735D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vAlign w:val="center"/>
          </w:tcPr>
          <w:p w14:paraId="72080115">
            <w:pPr>
              <w:pStyle w:val="815"/>
              <w:spacing w:line="400" w:lineRule="exact"/>
              <w:ind w:firstLine="422" w:firstLineChars="200"/>
              <w:jc w:val="center"/>
              <w:rPr>
                <w:rFonts w:ascii="仿宋_GB2312" w:hAnsi="仿宋_GB2312" w:eastAsia="仿宋_GB2312" w:cs="仿宋_GB2312"/>
                <w:b/>
                <w:bCs/>
                <w:color w:val="auto"/>
              </w:rPr>
            </w:pPr>
            <w:r>
              <w:rPr>
                <w:rFonts w:hint="eastAsia" w:ascii="仿宋_GB2312" w:hAnsi="仿宋_GB2312" w:eastAsia="仿宋_GB2312" w:cs="仿宋_GB2312"/>
                <w:b/>
                <w:bCs/>
                <w:color w:val="auto"/>
              </w:rPr>
              <w:t>主观分总分</w:t>
            </w:r>
          </w:p>
        </w:tc>
        <w:tc>
          <w:tcPr>
            <w:tcW w:w="967" w:type="dxa"/>
            <w:vAlign w:val="center"/>
          </w:tcPr>
          <w:p w14:paraId="59CBF16F">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lang w:val="en-US" w:eastAsia="zh-CN"/>
              </w:rPr>
              <w:t>29</w:t>
            </w:r>
          </w:p>
        </w:tc>
        <w:tc>
          <w:tcPr>
            <w:tcW w:w="1024" w:type="dxa"/>
            <w:vAlign w:val="center"/>
          </w:tcPr>
          <w:p w14:paraId="2A94647E">
            <w:pPr>
              <w:spacing w:line="360" w:lineRule="exact"/>
              <w:jc w:val="center"/>
              <w:rPr>
                <w:rFonts w:ascii="仿宋_GB2312" w:hAnsi="仿宋_GB2312" w:eastAsia="仿宋_GB2312" w:cs="仿宋_GB2312"/>
                <w:color w:val="auto"/>
                <w:szCs w:val="21"/>
              </w:rPr>
            </w:pPr>
          </w:p>
        </w:tc>
      </w:tr>
    </w:tbl>
    <w:p w14:paraId="01022463">
      <w:pPr>
        <w:spacing w:line="360" w:lineRule="exact"/>
        <w:ind w:right="-168" w:rightChars="-80"/>
        <w:rPr>
          <w:rFonts w:ascii="仿宋_GB2312" w:eastAsia="仿宋_GB2312"/>
          <w:b/>
          <w:color w:val="auto"/>
          <w:sz w:val="24"/>
        </w:rPr>
      </w:pPr>
      <w:r>
        <w:rPr>
          <w:rFonts w:hint="eastAsia" w:ascii="仿宋_GB2312" w:eastAsia="仿宋_GB2312"/>
          <w:b/>
          <w:color w:val="auto"/>
          <w:sz w:val="24"/>
        </w:rPr>
        <w:t>（三）总得分=客观分+主观分</w:t>
      </w:r>
    </w:p>
    <w:p w14:paraId="205F9411">
      <w:pPr>
        <w:adjustRightInd w:val="0"/>
        <w:spacing w:line="360" w:lineRule="exact"/>
        <w:ind w:firstLine="482" w:firstLineChars="200"/>
        <w:jc w:val="left"/>
        <w:textAlignment w:val="baseline"/>
        <w:rPr>
          <w:rFonts w:ascii="仿宋_GB2312" w:hAnsi="宋体" w:eastAsia="仿宋_GB2312"/>
          <w:b/>
          <w:color w:val="auto"/>
          <w:kern w:val="0"/>
          <w:sz w:val="24"/>
        </w:rPr>
      </w:pPr>
      <w:r>
        <w:rPr>
          <w:rFonts w:hint="eastAsia" w:ascii="仿宋_GB2312" w:hAnsi="宋体" w:eastAsia="仿宋_GB2312"/>
          <w:b/>
          <w:color w:val="auto"/>
          <w:kern w:val="0"/>
          <w:sz w:val="24"/>
        </w:rPr>
        <w:t>三、中标标准及中标候选人推荐原则</w:t>
      </w:r>
    </w:p>
    <w:p w14:paraId="1EEDF07F">
      <w:pPr>
        <w:adjustRightInd w:val="0"/>
        <w:spacing w:line="360" w:lineRule="exact"/>
        <w:ind w:firstLine="482" w:firstLineChars="200"/>
        <w:jc w:val="left"/>
        <w:textAlignment w:val="baseline"/>
        <w:rPr>
          <w:rFonts w:ascii="仿宋_GB2312" w:hAnsi="宋体" w:eastAsia="仿宋_GB2312"/>
          <w:b/>
          <w:color w:val="auto"/>
          <w:kern w:val="0"/>
          <w:sz w:val="24"/>
        </w:rPr>
      </w:pPr>
      <w:r>
        <w:rPr>
          <w:rFonts w:hint="eastAsia" w:ascii="仿宋_GB2312" w:hAnsi="宋体" w:eastAsia="仿宋_GB2312"/>
          <w:b/>
          <w:color w:val="auto"/>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采购人或采购代理机构应将该情况报政府采购监督管理部门，从合格的中标候选人中另行确定中标人或重新开展政府采购活动。</w:t>
      </w:r>
    </w:p>
    <w:p w14:paraId="25A6D2F9">
      <w:pPr>
        <w:spacing w:line="360" w:lineRule="exact"/>
        <w:ind w:firstLine="482" w:firstLineChars="200"/>
        <w:jc w:val="left"/>
        <w:rPr>
          <w:rFonts w:ascii="仿宋_GB2312" w:hAnsi="宋体" w:eastAsia="仿宋_GB2312"/>
          <w:b/>
          <w:bCs/>
          <w:color w:val="auto"/>
          <w:sz w:val="24"/>
        </w:rPr>
      </w:pPr>
      <w:r>
        <w:rPr>
          <w:rFonts w:hint="eastAsia" w:ascii="仿宋_GB2312" w:hAnsi="宋体" w:eastAsia="仿宋_GB2312"/>
          <w:b/>
          <w:color w:val="auto"/>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color w:val="auto"/>
          <w:sz w:val="24"/>
        </w:rPr>
        <w:t>。</w:t>
      </w:r>
    </w:p>
    <w:p w14:paraId="45412F81">
      <w:pPr>
        <w:tabs>
          <w:tab w:val="left" w:pos="3055"/>
        </w:tabs>
        <w:jc w:val="center"/>
        <w:rPr>
          <w:b/>
          <w:color w:val="auto"/>
          <w:sz w:val="30"/>
          <w:szCs w:val="30"/>
        </w:rPr>
      </w:pPr>
      <w:r>
        <w:rPr>
          <w:rFonts w:hint="eastAsia" w:ascii="宋体" w:hAnsi="宋体" w:cs="Courier New"/>
          <w:b/>
          <w:bCs/>
          <w:color w:val="auto"/>
          <w:sz w:val="32"/>
          <w:szCs w:val="32"/>
        </w:rPr>
        <w:t>评标方法及评标标准（</w:t>
      </w:r>
      <w:r>
        <w:rPr>
          <w:rFonts w:hint="eastAsia" w:ascii="宋体" w:hAnsi="宋体" w:cs="Courier New"/>
          <w:b/>
          <w:bCs/>
          <w:color w:val="auto"/>
          <w:sz w:val="32"/>
          <w:szCs w:val="32"/>
          <w:lang w:val="en-US" w:eastAsia="zh-CN"/>
        </w:rPr>
        <w:t>分标2</w:t>
      </w:r>
      <w:r>
        <w:rPr>
          <w:rFonts w:hint="eastAsia" w:ascii="宋体" w:hAnsi="宋体" w:cs="Courier New"/>
          <w:b/>
          <w:bCs/>
          <w:color w:val="auto"/>
          <w:sz w:val="32"/>
          <w:szCs w:val="32"/>
        </w:rPr>
        <w:t>）</w:t>
      </w:r>
    </w:p>
    <w:p w14:paraId="35C27EC1">
      <w:pPr>
        <w:spacing w:line="390" w:lineRule="exact"/>
        <w:ind w:right="-168" w:rightChars="-80" w:firstLine="482" w:firstLineChars="200"/>
        <w:rPr>
          <w:rFonts w:ascii="仿宋_GB2312" w:eastAsia="仿宋_GB2312"/>
          <w:b/>
          <w:bCs/>
          <w:color w:val="auto"/>
          <w:sz w:val="24"/>
        </w:rPr>
      </w:pPr>
      <w:r>
        <w:rPr>
          <w:rFonts w:hint="eastAsia" w:ascii="仿宋_GB2312" w:eastAsia="仿宋_GB2312"/>
          <w:b/>
          <w:bCs/>
          <w:color w:val="auto"/>
          <w:sz w:val="24"/>
        </w:rPr>
        <w:t>一、评标原则</w:t>
      </w:r>
    </w:p>
    <w:p w14:paraId="694C6946">
      <w:pPr>
        <w:spacing w:line="390" w:lineRule="exact"/>
        <w:ind w:right="-168" w:rightChars="-80"/>
        <w:rPr>
          <w:rFonts w:ascii="仿宋_GB2312" w:eastAsia="仿宋_GB2312"/>
          <w:color w:val="auto"/>
          <w:sz w:val="24"/>
        </w:rPr>
      </w:pPr>
      <w:r>
        <w:rPr>
          <w:rFonts w:hint="eastAsia" w:ascii="仿宋_GB2312" w:eastAsia="仿宋_GB2312"/>
          <w:color w:val="auto"/>
          <w:sz w:val="24"/>
        </w:rPr>
        <w:t xml:space="preserve">    （一）评委构成：本招标采购项目的评委分别由依法组成的评审专家、采购人代表共五人或以上单数构成，其中专家人数不少于评标委员会成员总数的三分之二。</w:t>
      </w:r>
    </w:p>
    <w:p w14:paraId="6AEAB469">
      <w:pPr>
        <w:spacing w:line="390" w:lineRule="exact"/>
        <w:ind w:right="-168" w:rightChars="-80" w:firstLine="435"/>
        <w:rPr>
          <w:rFonts w:ascii="仿宋_GB2312" w:eastAsia="仿宋_GB2312"/>
          <w:b/>
          <w:color w:val="auto"/>
          <w:sz w:val="24"/>
        </w:rPr>
      </w:pPr>
      <w:r>
        <w:rPr>
          <w:rFonts w:hint="eastAsia" w:ascii="仿宋_GB2312" w:eastAsia="仿宋_GB2312"/>
          <w:b/>
          <w:color w:val="auto"/>
          <w:sz w:val="24"/>
        </w:rPr>
        <w:t>（二）评标依据：评委将以招投标文件为评标依据，对投标人的价格、技术、信誉、业绩等方面按百分制打分。</w:t>
      </w:r>
    </w:p>
    <w:p w14:paraId="65981518">
      <w:pPr>
        <w:spacing w:line="390" w:lineRule="exact"/>
        <w:ind w:right="-168" w:rightChars="-80" w:firstLine="435"/>
        <w:rPr>
          <w:rFonts w:ascii="仿宋_GB2312" w:eastAsia="仿宋_GB2312"/>
          <w:color w:val="auto"/>
          <w:sz w:val="24"/>
        </w:rPr>
      </w:pPr>
      <w:r>
        <w:rPr>
          <w:rFonts w:hint="eastAsia" w:ascii="仿宋_GB2312" w:eastAsia="仿宋_GB2312"/>
          <w:color w:val="auto"/>
          <w:sz w:val="24"/>
        </w:rPr>
        <w:t>（三）评标方式：以封闭方式进行。</w:t>
      </w:r>
    </w:p>
    <w:p w14:paraId="4D425C2C">
      <w:pPr>
        <w:spacing w:line="390" w:lineRule="exact"/>
        <w:ind w:right="-168" w:rightChars="-80" w:firstLine="435"/>
        <w:rPr>
          <w:rFonts w:ascii="仿宋_GB2312" w:eastAsia="仿宋_GB2312"/>
          <w:color w:val="auto"/>
          <w:sz w:val="24"/>
        </w:rPr>
      </w:pPr>
      <w:r>
        <w:rPr>
          <w:rFonts w:hint="eastAsia" w:ascii="仿宋_GB2312" w:eastAsia="仿宋_GB2312"/>
          <w:color w:val="auto"/>
          <w:sz w:val="24"/>
        </w:rPr>
        <w:t>（四）评标委员会认为投标人的报价明显低于其他通过符合性审查投标人的报价，有可能影响产品质量或者不能诚信履约的，</w:t>
      </w:r>
      <w:r>
        <w:rPr>
          <w:rFonts w:hint="eastAsia" w:ascii="仿宋_GB2312" w:eastAsia="仿宋_GB2312" w:cs="Courier New"/>
          <w:color w:val="auto"/>
          <w:sz w:val="24"/>
        </w:rPr>
        <w:t>应当通过广西政府采购云平台发起询标函，要求其在评标现场合理的时间内通过广西政府采购云平台提供书面说明</w:t>
      </w:r>
      <w:r>
        <w:rPr>
          <w:rFonts w:hint="eastAsia" w:ascii="仿宋_GB2312" w:eastAsia="仿宋_GB2312"/>
          <w:color w:val="auto"/>
          <w:sz w:val="24"/>
        </w:rPr>
        <w:t xml:space="preserve">，必要时提交相关证明材料；投标人不能证明其报价合理性的，评标委员会应当将其作为无效投标处理。     </w:t>
      </w:r>
    </w:p>
    <w:p w14:paraId="1A186B06">
      <w:pPr>
        <w:spacing w:line="390" w:lineRule="exact"/>
        <w:ind w:right="-168" w:rightChars="-80" w:firstLine="435"/>
        <w:rPr>
          <w:rFonts w:ascii="仿宋_GB2312" w:eastAsia="仿宋_GB2312"/>
          <w:b/>
          <w:bCs/>
          <w:color w:val="auto"/>
          <w:sz w:val="24"/>
        </w:rPr>
      </w:pPr>
      <w:r>
        <w:rPr>
          <w:rFonts w:hint="eastAsia" w:ascii="仿宋_GB2312" w:eastAsia="仿宋_GB2312"/>
          <w:b/>
          <w:bCs/>
          <w:color w:val="auto"/>
          <w:sz w:val="24"/>
        </w:rPr>
        <w:t>二、评标方法</w:t>
      </w:r>
      <w:r>
        <w:rPr>
          <w:rFonts w:ascii="仿宋_GB2312" w:eastAsia="仿宋_GB2312"/>
          <w:b/>
          <w:bCs/>
          <w:color w:val="auto"/>
          <w:sz w:val="24"/>
        </w:rPr>
        <w:tab/>
      </w:r>
    </w:p>
    <w:p w14:paraId="5BCD7DF8">
      <w:pPr>
        <w:spacing w:line="390" w:lineRule="exact"/>
        <w:ind w:right="-168" w:rightChars="-80" w:firstLine="435"/>
        <w:rPr>
          <w:rFonts w:ascii="仿宋_GB2312" w:eastAsia="仿宋_GB2312"/>
          <w:color w:val="auto"/>
          <w:sz w:val="24"/>
        </w:rPr>
      </w:pPr>
      <w:r>
        <w:rPr>
          <w:rFonts w:hint="eastAsia" w:ascii="仿宋_GB2312" w:eastAsia="仿宋_GB2312"/>
          <w:color w:val="auto"/>
          <w:sz w:val="24"/>
        </w:rPr>
        <w:t>（一）对进入详评的，采用百分制综合评分法。</w:t>
      </w:r>
    </w:p>
    <w:p w14:paraId="2F202D2F">
      <w:pPr>
        <w:spacing w:line="400" w:lineRule="atLeast"/>
        <w:ind w:firstLine="480" w:firstLineChars="200"/>
        <w:jc w:val="left"/>
        <w:rPr>
          <w:rFonts w:ascii="仿宋_GB2312" w:hAnsi="宋体" w:eastAsia="仿宋_GB2312"/>
          <w:color w:val="auto"/>
          <w:sz w:val="24"/>
        </w:rPr>
      </w:pPr>
      <w:r>
        <w:rPr>
          <w:rFonts w:hint="eastAsia" w:ascii="仿宋_GB2312" w:eastAsia="仿宋_GB2312"/>
          <w:color w:val="auto"/>
          <w:sz w:val="24"/>
        </w:rPr>
        <w:t>（二）计分办法（分值计算保留小数点后两位，第三位四舍五入）</w:t>
      </w:r>
      <w:r>
        <w:rPr>
          <w:rFonts w:hint="eastAsia" w:ascii="仿宋_GB2312" w:hAnsi="宋体" w:eastAsia="仿宋_GB2312"/>
          <w:color w:val="auto"/>
          <w:sz w:val="24"/>
        </w:rPr>
        <w:t>：</w:t>
      </w:r>
    </w:p>
    <w:tbl>
      <w:tblPr>
        <w:tblStyle w:val="814"/>
        <w:tblpPr w:leftFromText="180" w:rightFromText="180" w:vertAnchor="text" w:horzAnchor="page" w:tblpX="661" w:tblpY="378"/>
        <w:tblOverlap w:val="never"/>
        <w:tblW w:w="97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1035"/>
        <w:gridCol w:w="1022"/>
      </w:tblGrid>
      <w:tr w14:paraId="4E03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772" w:type="dxa"/>
            <w:gridSpan w:val="5"/>
            <w:shd w:val="clear" w:color="auto" w:fill="D7D7D7"/>
            <w:vAlign w:val="center"/>
          </w:tcPr>
          <w:p w14:paraId="53BBA76B">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客观分</w:t>
            </w:r>
          </w:p>
        </w:tc>
      </w:tr>
      <w:tr w14:paraId="1A01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6AA82A57">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评分项</w:t>
            </w:r>
          </w:p>
        </w:tc>
        <w:tc>
          <w:tcPr>
            <w:tcW w:w="1090" w:type="dxa"/>
            <w:vAlign w:val="center"/>
          </w:tcPr>
          <w:p w14:paraId="0F857A44">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评审因素</w:t>
            </w:r>
          </w:p>
        </w:tc>
        <w:tc>
          <w:tcPr>
            <w:tcW w:w="5776" w:type="dxa"/>
            <w:vAlign w:val="center"/>
          </w:tcPr>
          <w:p w14:paraId="04F4207F">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评分标准说明</w:t>
            </w:r>
          </w:p>
        </w:tc>
        <w:tc>
          <w:tcPr>
            <w:tcW w:w="1035" w:type="dxa"/>
            <w:vAlign w:val="center"/>
          </w:tcPr>
          <w:p w14:paraId="0DF885E6">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分值</w:t>
            </w:r>
          </w:p>
        </w:tc>
        <w:tc>
          <w:tcPr>
            <w:tcW w:w="1022" w:type="dxa"/>
            <w:vAlign w:val="center"/>
          </w:tcPr>
          <w:p w14:paraId="6511B912">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对应的投标文件格式</w:t>
            </w:r>
          </w:p>
        </w:tc>
      </w:tr>
      <w:tr w14:paraId="763B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9" w:hRule="atLeast"/>
        </w:trPr>
        <w:tc>
          <w:tcPr>
            <w:tcW w:w="849" w:type="dxa"/>
            <w:vAlign w:val="center"/>
          </w:tcPr>
          <w:p w14:paraId="1B3BFF62">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价格分</w:t>
            </w:r>
          </w:p>
        </w:tc>
        <w:tc>
          <w:tcPr>
            <w:tcW w:w="1090" w:type="dxa"/>
            <w:vAlign w:val="center"/>
          </w:tcPr>
          <w:p w14:paraId="292A6AEF">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价格</w:t>
            </w:r>
          </w:p>
        </w:tc>
        <w:tc>
          <w:tcPr>
            <w:tcW w:w="5776" w:type="dxa"/>
            <w:vAlign w:val="center"/>
          </w:tcPr>
          <w:p w14:paraId="4143F2C2">
            <w:pPr>
              <w:spacing w:line="440" w:lineRule="exact"/>
              <w:ind w:firstLine="420" w:firstLineChars="200"/>
              <w:jc w:val="left"/>
              <w:rPr>
                <w:rFonts w:ascii="仿宋_GB2312" w:hAnsi="仿宋_GB2312" w:eastAsia="仿宋_GB2312" w:cs="仿宋_GB2312"/>
                <w:bCs/>
                <w:color w:val="auto"/>
                <w:szCs w:val="21"/>
              </w:rPr>
            </w:pPr>
            <w:r>
              <w:rPr>
                <w:rFonts w:hint="eastAsia" w:ascii="仿宋_GB2312" w:hAnsi="仿宋_GB2312" w:eastAsia="仿宋_GB2312" w:cs="仿宋_GB2312"/>
                <w:color w:val="auto"/>
                <w:szCs w:val="21"/>
              </w:rPr>
              <w:t>1.满足招标文件要求且投标价格最低的投标报价为评标基准价，其投标人的报价分为最高分</w:t>
            </w:r>
            <w:r>
              <w:rPr>
                <w:rFonts w:hint="eastAsia" w:ascii="仿宋_GB2312" w:hAnsi="仿宋_GB2312" w:eastAsia="仿宋_GB2312" w:cs="仿宋_GB2312"/>
                <w:color w:val="auto"/>
                <w:szCs w:val="21"/>
                <w:lang w:val="en-US" w:eastAsia="zh-CN"/>
              </w:rPr>
              <w:t>30</w:t>
            </w:r>
            <w:r>
              <w:rPr>
                <w:rFonts w:hint="eastAsia" w:ascii="仿宋_GB2312" w:hAnsi="仿宋_GB2312" w:eastAsia="仿宋_GB2312" w:cs="仿宋_GB2312"/>
                <w:bCs/>
                <w:color w:val="auto"/>
                <w:szCs w:val="21"/>
              </w:rPr>
              <w:t>分；</w:t>
            </w:r>
          </w:p>
          <w:p w14:paraId="08C09E4B">
            <w:pPr>
              <w:spacing w:line="440" w:lineRule="exact"/>
              <w:ind w:firstLine="420" w:firstLineChars="200"/>
              <w:jc w:val="left"/>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2.其他投标人的报价得分按以下公式计算：</w:t>
            </w:r>
          </w:p>
          <w:p w14:paraId="7629CA0E">
            <w:pPr>
              <w:spacing w:line="440" w:lineRule="exact"/>
              <w:ind w:firstLine="420" w:firstLineChars="200"/>
              <w:jc w:val="left"/>
              <w:rPr>
                <w:rFonts w:ascii="仿宋_GB2312" w:hAnsi="仿宋_GB2312" w:eastAsia="仿宋_GB2312" w:cs="仿宋_GB2312"/>
                <w:color w:val="auto"/>
                <w:szCs w:val="21"/>
              </w:rPr>
            </w:pPr>
            <w:r>
              <w:rPr>
                <w:rFonts w:hint="eastAsia" w:ascii="仿宋_GB2312" w:hAnsi="仿宋_GB2312" w:eastAsia="仿宋_GB2312" w:cs="仿宋_GB2312"/>
                <w:bCs/>
                <w:color w:val="auto"/>
                <w:szCs w:val="21"/>
              </w:rPr>
              <w:t>报价得分=（评标基准价／某投标人投标报价）×</w:t>
            </w:r>
            <w:r>
              <w:rPr>
                <w:rFonts w:hint="eastAsia" w:ascii="仿宋_GB2312" w:hAnsi="仿宋_GB2312" w:eastAsia="仿宋_GB2312" w:cs="仿宋_GB2312"/>
                <w:bCs/>
                <w:color w:val="auto"/>
                <w:szCs w:val="21"/>
                <w:lang w:val="en-US" w:eastAsia="zh-CN"/>
              </w:rPr>
              <w:t>30</w:t>
            </w:r>
            <w:r>
              <w:rPr>
                <w:rFonts w:hint="eastAsia" w:ascii="仿宋_GB2312" w:hAnsi="仿宋_GB2312" w:eastAsia="仿宋_GB2312" w:cs="仿宋_GB2312"/>
                <w:color w:val="auto"/>
                <w:szCs w:val="21"/>
              </w:rPr>
              <w:t>分；</w:t>
            </w:r>
          </w:p>
          <w:p w14:paraId="4242FF72">
            <w:pPr>
              <w:spacing w:line="440" w:lineRule="exact"/>
              <w:ind w:firstLine="422" w:firstLineChars="200"/>
              <w:jc w:val="left"/>
              <w:rPr>
                <w:rFonts w:ascii="仿宋_GB2312" w:hAnsi="仿宋_GB2312" w:eastAsia="仿宋_GB2312" w:cs="仿宋_GB2312"/>
                <w:b/>
                <w:color w:val="auto"/>
                <w:szCs w:val="21"/>
              </w:rPr>
            </w:pPr>
            <w:r>
              <w:rPr>
                <w:rFonts w:hint="eastAsia" w:ascii="仿宋_GB2312" w:hAnsi="仿宋_GB2312" w:eastAsia="仿宋_GB2312" w:cs="仿宋_GB2312"/>
                <w:b/>
                <w:bCs/>
                <w:color w:val="auto"/>
              </w:rPr>
              <w:t>注：专门面向中小企业采购的项目或者采购包，不再执行价格评审优惠的扶持政策。</w:t>
            </w:r>
          </w:p>
        </w:tc>
        <w:tc>
          <w:tcPr>
            <w:tcW w:w="1035" w:type="dxa"/>
            <w:vAlign w:val="center"/>
          </w:tcPr>
          <w:p w14:paraId="54D66B89">
            <w:pPr>
              <w:spacing w:line="360" w:lineRule="exact"/>
              <w:jc w:val="center"/>
              <w:rPr>
                <w:rFonts w:hint="default" w:ascii="仿宋_GB2312" w:hAnsi="仿宋_GB2312" w:eastAsia="仿宋_GB2312" w:cs="仿宋_GB2312"/>
                <w:b/>
                <w:color w:val="auto"/>
                <w:szCs w:val="21"/>
                <w:lang w:val="en-US"/>
              </w:rPr>
            </w:pPr>
            <w:r>
              <w:rPr>
                <w:rFonts w:hint="eastAsia" w:ascii="仿宋_GB2312" w:hAnsi="仿宋_GB2312" w:eastAsia="仿宋_GB2312" w:cs="仿宋_GB2312"/>
                <w:b/>
                <w:color w:val="auto"/>
                <w:szCs w:val="21"/>
                <w:lang w:val="en-US" w:eastAsia="zh-CN"/>
              </w:rPr>
              <w:t>30</w:t>
            </w:r>
          </w:p>
        </w:tc>
        <w:tc>
          <w:tcPr>
            <w:tcW w:w="1022" w:type="dxa"/>
            <w:vAlign w:val="center"/>
          </w:tcPr>
          <w:p w14:paraId="184CC40C">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投标报价文件</w:t>
            </w:r>
          </w:p>
        </w:tc>
      </w:tr>
      <w:tr w14:paraId="307F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65D7A274">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信誉分</w:t>
            </w:r>
          </w:p>
        </w:tc>
        <w:tc>
          <w:tcPr>
            <w:tcW w:w="1090" w:type="dxa"/>
            <w:vAlign w:val="center"/>
          </w:tcPr>
          <w:p w14:paraId="2AC7947E">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体系认证</w:t>
            </w:r>
          </w:p>
        </w:tc>
        <w:tc>
          <w:tcPr>
            <w:tcW w:w="5776" w:type="dxa"/>
            <w:vAlign w:val="center"/>
          </w:tcPr>
          <w:p w14:paraId="7F03F130">
            <w:pPr>
              <w:numPr>
                <w:ilvl w:val="255"/>
                <w:numId w:val="0"/>
              </w:numPr>
              <w:spacing w:line="440" w:lineRule="exact"/>
              <w:ind w:firstLine="420" w:firstLineChars="200"/>
              <w:rPr>
                <w:rFonts w:ascii="仿宋_GB2312" w:hAnsi="仿宋_GB2312" w:eastAsia="仿宋_GB2312" w:cs="仿宋_GB2312"/>
                <w:color w:val="auto"/>
                <w:szCs w:val="21"/>
              </w:rPr>
            </w:pPr>
            <w:r>
              <w:rPr>
                <w:rFonts w:hint="eastAsia" w:ascii="仿宋_GB2312" w:hAnsi="仿宋_GB2312" w:eastAsia="仿宋_GB2312" w:cs="仿宋_GB2312"/>
                <w:bCs/>
                <w:color w:val="auto"/>
                <w:szCs w:val="21"/>
              </w:rPr>
              <w:t>1.投标人</w:t>
            </w:r>
            <w:r>
              <w:rPr>
                <w:rFonts w:hint="eastAsia" w:ascii="仿宋_GB2312" w:hAnsi="仿宋_GB2312" w:eastAsia="仿宋_GB2312" w:cs="仿宋_GB2312"/>
                <w:color w:val="auto"/>
                <w:szCs w:val="21"/>
              </w:rPr>
              <w:t>或投标产品生产厂家</w:t>
            </w:r>
            <w:r>
              <w:rPr>
                <w:rFonts w:hint="eastAsia" w:ascii="仿宋_GB2312" w:hAnsi="仿宋_GB2312" w:eastAsia="仿宋_GB2312" w:cs="仿宋_GB2312"/>
                <w:bCs/>
                <w:color w:val="auto"/>
                <w:szCs w:val="21"/>
              </w:rPr>
              <w:t>具备有效的质量管理体系认证证书的</w:t>
            </w:r>
            <w:r>
              <w:rPr>
                <w:rFonts w:hint="eastAsia" w:ascii="仿宋_GB2312" w:hAnsi="仿宋_GB2312" w:eastAsia="仿宋_GB2312" w:cs="仿宋_GB2312"/>
                <w:color w:val="auto"/>
                <w:szCs w:val="21"/>
              </w:rPr>
              <w:t>得3分，满分3分。</w:t>
            </w:r>
          </w:p>
          <w:p w14:paraId="569E7EAF">
            <w:pPr>
              <w:spacing w:line="44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color w:val="auto"/>
                <w:szCs w:val="21"/>
              </w:rPr>
              <w:t>注：投标人提供证书材料并加盖投标人CA电子签章，否则不予计分。</w:t>
            </w:r>
          </w:p>
        </w:tc>
        <w:tc>
          <w:tcPr>
            <w:tcW w:w="1035" w:type="dxa"/>
            <w:vAlign w:val="center"/>
          </w:tcPr>
          <w:p w14:paraId="0984194E">
            <w:pPr>
              <w:spacing w:line="360" w:lineRule="exact"/>
              <w:jc w:val="center"/>
              <w:rPr>
                <w:rFonts w:ascii="仿宋_GB2312" w:hAnsi="仿宋_GB2312" w:eastAsia="仿宋_GB2312" w:cs="仿宋_GB2312"/>
                <w:b/>
                <w:bCs/>
                <w:dstrike/>
                <w:color w:val="auto"/>
                <w:szCs w:val="21"/>
              </w:rPr>
            </w:pPr>
            <w:r>
              <w:rPr>
                <w:rFonts w:hint="eastAsia" w:ascii="仿宋_GB2312" w:hAnsi="仿宋_GB2312" w:eastAsia="仿宋_GB2312" w:cs="仿宋_GB2312"/>
                <w:b/>
                <w:bCs/>
                <w:color w:val="auto"/>
                <w:szCs w:val="21"/>
              </w:rPr>
              <w:t>3</w:t>
            </w:r>
          </w:p>
        </w:tc>
        <w:tc>
          <w:tcPr>
            <w:tcW w:w="1022" w:type="dxa"/>
            <w:vAlign w:val="center"/>
          </w:tcPr>
          <w:p w14:paraId="624B9CE8">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相关认证证书材料</w:t>
            </w:r>
          </w:p>
        </w:tc>
      </w:tr>
      <w:tr w14:paraId="3D79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49" w:type="dxa"/>
            <w:vAlign w:val="center"/>
          </w:tcPr>
          <w:p w14:paraId="71D70EA5">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知识产权分</w:t>
            </w:r>
          </w:p>
        </w:tc>
        <w:tc>
          <w:tcPr>
            <w:tcW w:w="1090" w:type="dxa"/>
            <w:vAlign w:val="center"/>
          </w:tcPr>
          <w:p w14:paraId="3C5AAFF1">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知识产权</w:t>
            </w:r>
          </w:p>
        </w:tc>
        <w:tc>
          <w:tcPr>
            <w:tcW w:w="5776" w:type="dxa"/>
            <w:vAlign w:val="center"/>
          </w:tcPr>
          <w:p w14:paraId="196DAB3D">
            <w:pPr>
              <w:numPr>
                <w:ilvl w:val="255"/>
                <w:numId w:val="0"/>
              </w:numPr>
              <w:spacing w:line="440" w:lineRule="exact"/>
              <w:ind w:firstLine="420" w:firstLineChars="200"/>
              <w:rPr>
                <w:rFonts w:ascii="仿宋_GB2312" w:hAnsi="仿宋_GB2312" w:eastAsia="仿宋_GB2312" w:cs="仿宋_GB2312"/>
                <w:color w:val="auto"/>
                <w:szCs w:val="21"/>
              </w:rPr>
            </w:pPr>
            <w:r>
              <w:rPr>
                <w:rFonts w:hint="eastAsia" w:ascii="仿宋_GB2312" w:hAnsi="仿宋_GB2312" w:eastAsia="仿宋_GB2312" w:cs="仿宋_GB2312"/>
                <w:color w:val="auto"/>
              </w:rPr>
              <w:t>1.投标人或投标产品生产厂家具有软件著作权</w:t>
            </w:r>
            <w:r>
              <w:rPr>
                <w:rFonts w:hint="eastAsia" w:ascii="仿宋_GB2312" w:hAnsi="仿宋_GB2312" w:eastAsia="仿宋_GB2312" w:cs="仿宋_GB2312"/>
                <w:color w:val="auto"/>
                <w:lang w:val="en-US" w:eastAsia="zh-CN"/>
              </w:rPr>
              <w:t>证书</w:t>
            </w:r>
            <w:r>
              <w:rPr>
                <w:rFonts w:hint="eastAsia" w:ascii="仿宋_GB2312" w:hAnsi="仿宋_GB2312" w:eastAsia="仿宋_GB2312" w:cs="仿宋_GB2312"/>
                <w:color w:val="auto"/>
              </w:rPr>
              <w:t>，每提供一项得4分，满分4分。</w:t>
            </w:r>
          </w:p>
          <w:p w14:paraId="2951D3AD">
            <w:pPr>
              <w:spacing w:line="440" w:lineRule="exact"/>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注：投标人提供证书材料并加盖投标人CA电子签章，否则不予计分。</w:t>
            </w:r>
          </w:p>
        </w:tc>
        <w:tc>
          <w:tcPr>
            <w:tcW w:w="1035" w:type="dxa"/>
            <w:vAlign w:val="center"/>
          </w:tcPr>
          <w:p w14:paraId="598D15D8">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4</w:t>
            </w:r>
          </w:p>
        </w:tc>
        <w:tc>
          <w:tcPr>
            <w:tcW w:w="1022" w:type="dxa"/>
            <w:vAlign w:val="center"/>
          </w:tcPr>
          <w:p w14:paraId="65EE4B70">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相关证明材料</w:t>
            </w:r>
          </w:p>
        </w:tc>
      </w:tr>
      <w:tr w14:paraId="2A13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4C2D8E16">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rPr>
              <w:t>业绩分</w:t>
            </w:r>
          </w:p>
        </w:tc>
        <w:tc>
          <w:tcPr>
            <w:tcW w:w="1090" w:type="dxa"/>
            <w:vAlign w:val="center"/>
          </w:tcPr>
          <w:p w14:paraId="653FF8BE">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bCs/>
                <w:color w:val="auto"/>
              </w:rPr>
              <w:t>项目经验</w:t>
            </w:r>
          </w:p>
        </w:tc>
        <w:tc>
          <w:tcPr>
            <w:tcW w:w="5776" w:type="dxa"/>
            <w:vAlign w:val="center"/>
          </w:tcPr>
          <w:p w14:paraId="6A7A14C6">
            <w:pPr>
              <w:spacing w:line="440" w:lineRule="exact"/>
              <w:ind w:firstLine="420" w:firstLineChars="200"/>
              <w:rPr>
                <w:rFonts w:ascii="仿宋_GB2312" w:hAnsi="仿宋_GB2312" w:eastAsia="仿宋_GB2312" w:cs="仿宋_GB2312"/>
                <w:color w:val="auto"/>
              </w:rPr>
            </w:pPr>
            <w:r>
              <w:rPr>
                <w:rFonts w:hint="eastAsia" w:ascii="仿宋_GB2312" w:hAnsi="仿宋_GB2312" w:eastAsia="仿宋_GB2312" w:cs="仿宋_GB2312"/>
                <w:color w:val="auto"/>
              </w:rPr>
              <w:t>投标人2022年1月1日起至今本</w:t>
            </w:r>
            <w:r>
              <w:rPr>
                <w:rFonts w:hint="eastAsia" w:ascii="仿宋_GB2312" w:hAnsi="仿宋_GB2312" w:eastAsia="仿宋_GB2312" w:cs="仿宋_GB2312"/>
                <w:color w:val="auto"/>
                <w:lang w:val="en-US" w:eastAsia="zh-CN"/>
              </w:rPr>
              <w:t>分标</w:t>
            </w:r>
            <w:r>
              <w:rPr>
                <w:rFonts w:hint="eastAsia" w:ascii="仿宋_GB2312" w:hAnsi="仿宋_GB2312" w:eastAsia="仿宋_GB2312" w:cs="仿宋_GB2312"/>
                <w:color w:val="auto"/>
              </w:rPr>
              <w:t>所投产品在项目中被安装使用，每有一项得1分，满分6分。</w:t>
            </w:r>
          </w:p>
          <w:p w14:paraId="4338D291">
            <w:pPr>
              <w:spacing w:line="440" w:lineRule="exact"/>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rPr>
              <w:t>注：</w:t>
            </w:r>
            <w:r>
              <w:rPr>
                <w:rFonts w:hint="eastAsia" w:ascii="仿宋_GB2312" w:hAnsi="仿宋_GB2312" w:eastAsia="仿宋_GB2312" w:cs="仿宋_GB2312"/>
                <w:b/>
                <w:color w:val="auto"/>
                <w:szCs w:val="21"/>
              </w:rPr>
              <w:t>1.以合同签订时间为准；</w:t>
            </w:r>
          </w:p>
          <w:p w14:paraId="1E4E16C6">
            <w:pPr>
              <w:spacing w:line="440" w:lineRule="exact"/>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2.</w:t>
            </w:r>
            <w:r>
              <w:rPr>
                <w:rFonts w:hint="eastAsia" w:ascii="仿宋_GB2312" w:hAnsi="仿宋_GB2312" w:eastAsia="仿宋_GB2312" w:cs="仿宋_GB2312"/>
                <w:b/>
                <w:bCs/>
                <w:color w:val="auto"/>
              </w:rPr>
              <w:t>投标人提供上述合同材料并加盖投标人</w:t>
            </w:r>
            <w:r>
              <w:rPr>
                <w:rFonts w:hint="eastAsia" w:ascii="仿宋_GB2312" w:hAnsi="仿宋_GB2312" w:eastAsia="仿宋_GB2312" w:cs="仿宋_GB2312"/>
                <w:b/>
                <w:color w:val="auto"/>
              </w:rPr>
              <w:t>CA电子签章</w:t>
            </w:r>
            <w:r>
              <w:rPr>
                <w:rFonts w:hint="eastAsia" w:ascii="仿宋_GB2312" w:hAnsi="仿宋_GB2312" w:eastAsia="仿宋_GB2312" w:cs="仿宋_GB2312"/>
                <w:b/>
                <w:bCs/>
                <w:color w:val="auto"/>
              </w:rPr>
              <w:t>，否则不予计分</w:t>
            </w:r>
            <w:r>
              <w:rPr>
                <w:rFonts w:hint="eastAsia" w:ascii="仿宋_GB2312" w:hAnsi="仿宋_GB2312" w:eastAsia="仿宋_GB2312" w:cs="仿宋_GB2312"/>
                <w:b/>
                <w:color w:val="auto"/>
              </w:rPr>
              <w:t>。</w:t>
            </w:r>
          </w:p>
        </w:tc>
        <w:tc>
          <w:tcPr>
            <w:tcW w:w="1035" w:type="dxa"/>
            <w:vAlign w:val="center"/>
          </w:tcPr>
          <w:p w14:paraId="34036351">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6</w:t>
            </w:r>
          </w:p>
        </w:tc>
        <w:tc>
          <w:tcPr>
            <w:tcW w:w="1022" w:type="dxa"/>
            <w:vAlign w:val="center"/>
          </w:tcPr>
          <w:p w14:paraId="384EB2F7">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rPr>
              <w:t>投标人项目经验一览表</w:t>
            </w:r>
          </w:p>
        </w:tc>
      </w:tr>
      <w:tr w14:paraId="380C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shd w:val="clear" w:color="auto" w:fill="auto"/>
            <w:vAlign w:val="center"/>
          </w:tcPr>
          <w:p w14:paraId="3F933985">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技术参数分</w:t>
            </w:r>
          </w:p>
        </w:tc>
        <w:tc>
          <w:tcPr>
            <w:tcW w:w="1090" w:type="dxa"/>
            <w:shd w:val="clear" w:color="auto" w:fill="auto"/>
            <w:vAlign w:val="center"/>
          </w:tcPr>
          <w:p w14:paraId="0F289F6D">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技术性能参数</w:t>
            </w:r>
          </w:p>
        </w:tc>
        <w:tc>
          <w:tcPr>
            <w:tcW w:w="5776" w:type="dxa"/>
            <w:shd w:val="clear" w:color="auto" w:fill="auto"/>
            <w:vAlign w:val="center"/>
          </w:tcPr>
          <w:p w14:paraId="4C925510">
            <w:pPr>
              <w:pStyle w:val="820"/>
              <w:ind w:firstLine="422" w:firstLineChars="200"/>
              <w:rPr>
                <w:color w:val="auto"/>
              </w:rPr>
            </w:pPr>
            <w:r>
              <w:rPr>
                <w:rFonts w:hint="eastAsia" w:ascii="仿宋_GB2312" w:hAnsi="仿宋_GB2312" w:eastAsia="仿宋_GB2312" w:cs="仿宋_GB2312"/>
                <w:b/>
                <w:color w:val="auto"/>
                <w:sz w:val="21"/>
                <w:szCs w:val="21"/>
                <w:lang w:val="en-US" w:eastAsia="zh-CN"/>
              </w:rPr>
              <w:t>承诺</w:t>
            </w:r>
            <w:r>
              <w:rPr>
                <w:rFonts w:hint="eastAsia" w:ascii="仿宋_GB2312" w:hAnsi="仿宋_GB2312" w:eastAsia="仿宋_GB2312" w:cs="仿宋_GB2312"/>
                <w:b/>
                <w:color w:val="auto"/>
                <w:sz w:val="21"/>
                <w:szCs w:val="21"/>
              </w:rPr>
              <w:t>所投产品没有标记“★”符号的参数</w:t>
            </w:r>
            <w:r>
              <w:rPr>
                <w:rFonts w:hint="eastAsia" w:ascii="仿宋_GB2312" w:hAnsi="仿宋_GB2312" w:eastAsia="仿宋_GB2312" w:cs="仿宋_GB2312"/>
                <w:b/>
                <w:color w:val="auto"/>
                <w:sz w:val="21"/>
                <w:szCs w:val="21"/>
                <w:lang w:val="en-US" w:eastAsia="zh-CN"/>
              </w:rPr>
              <w:t>无负偏离的得基础分6</w:t>
            </w:r>
            <w:r>
              <w:rPr>
                <w:rFonts w:hint="eastAsia" w:ascii="仿宋_GB2312" w:hAnsi="仿宋_GB2312" w:eastAsia="仿宋_GB2312" w:cs="仿宋_GB2312"/>
                <w:b/>
                <w:color w:val="auto"/>
                <w:sz w:val="21"/>
                <w:szCs w:val="21"/>
              </w:rPr>
              <w:t>分。</w:t>
            </w:r>
          </w:p>
        </w:tc>
        <w:tc>
          <w:tcPr>
            <w:tcW w:w="1035" w:type="dxa"/>
            <w:shd w:val="clear" w:color="auto" w:fill="auto"/>
            <w:vAlign w:val="center"/>
          </w:tcPr>
          <w:p w14:paraId="63F52D47">
            <w:pPr>
              <w:spacing w:line="360" w:lineRule="exact"/>
              <w:jc w:val="center"/>
              <w:rPr>
                <w:rFonts w:hint="eastAsia" w:ascii="仿宋_GB2312" w:hAnsi="仿宋_GB2312" w:eastAsia="仿宋_GB2312" w:cs="仿宋_GB2312"/>
                <w:b/>
                <w:bCs/>
                <w:color w:val="auto"/>
                <w:szCs w:val="21"/>
                <w:lang w:eastAsia="zh-CN"/>
              </w:rPr>
            </w:pPr>
            <w:r>
              <w:rPr>
                <w:rFonts w:hint="eastAsia" w:ascii="仿宋_GB2312" w:hAnsi="仿宋_GB2312" w:eastAsia="仿宋_GB2312" w:cs="仿宋_GB2312"/>
                <w:b/>
                <w:bCs/>
                <w:color w:val="auto"/>
                <w:szCs w:val="21"/>
                <w:lang w:val="en-US" w:eastAsia="zh-CN"/>
              </w:rPr>
              <w:t>6</w:t>
            </w:r>
          </w:p>
        </w:tc>
        <w:tc>
          <w:tcPr>
            <w:tcW w:w="1022" w:type="dxa"/>
            <w:shd w:val="clear" w:color="auto" w:fill="auto"/>
            <w:vAlign w:val="center"/>
          </w:tcPr>
          <w:p w14:paraId="3DF8A0B1">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color w:val="auto"/>
                <w:szCs w:val="21"/>
              </w:rPr>
              <w:t>技术响应表</w:t>
            </w:r>
          </w:p>
        </w:tc>
      </w:tr>
      <w:tr w14:paraId="18A6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vAlign w:val="center"/>
          </w:tcPr>
          <w:p w14:paraId="5A13B762">
            <w:pPr>
              <w:pStyle w:val="815"/>
              <w:tabs>
                <w:tab w:val="left" w:pos="312"/>
              </w:tabs>
              <w:spacing w:line="400" w:lineRule="exact"/>
              <w:ind w:firstLine="422" w:firstLineChars="200"/>
              <w:jc w:val="center"/>
              <w:rPr>
                <w:rFonts w:ascii="仿宋_GB2312" w:hAnsi="仿宋_GB2312" w:eastAsia="仿宋_GB2312" w:cs="仿宋_GB2312"/>
                <w:color w:val="auto"/>
              </w:rPr>
            </w:pPr>
            <w:r>
              <w:rPr>
                <w:rFonts w:hint="eastAsia" w:ascii="仿宋_GB2312" w:hAnsi="仿宋_GB2312" w:eastAsia="仿宋_GB2312" w:cs="仿宋_GB2312"/>
                <w:b/>
                <w:bCs/>
                <w:color w:val="auto"/>
              </w:rPr>
              <w:t>客观分总分</w:t>
            </w:r>
          </w:p>
        </w:tc>
        <w:tc>
          <w:tcPr>
            <w:tcW w:w="1035" w:type="dxa"/>
            <w:vAlign w:val="center"/>
          </w:tcPr>
          <w:p w14:paraId="227C0F22">
            <w:pPr>
              <w:spacing w:line="360" w:lineRule="exact"/>
              <w:jc w:val="center"/>
              <w:rPr>
                <w:rFonts w:hint="default" w:ascii="仿宋_GB2312" w:hAnsi="仿宋_GB2312" w:eastAsia="仿宋_GB2312" w:cs="仿宋_GB2312"/>
                <w:b/>
                <w:bCs/>
                <w:color w:val="auto"/>
                <w:szCs w:val="21"/>
                <w:lang w:val="en-US" w:eastAsia="zh-CN"/>
              </w:rPr>
            </w:pPr>
            <w:r>
              <w:rPr>
                <w:rFonts w:hint="eastAsia" w:ascii="仿宋_GB2312" w:hAnsi="仿宋_GB2312" w:eastAsia="仿宋_GB2312" w:cs="仿宋_GB2312"/>
                <w:b/>
                <w:bCs/>
                <w:color w:val="auto"/>
                <w:szCs w:val="21"/>
                <w:lang w:val="en-US" w:eastAsia="zh-CN"/>
              </w:rPr>
              <w:t>49</w:t>
            </w:r>
          </w:p>
        </w:tc>
        <w:tc>
          <w:tcPr>
            <w:tcW w:w="1022" w:type="dxa"/>
            <w:vAlign w:val="center"/>
          </w:tcPr>
          <w:p w14:paraId="1515BA6F">
            <w:pPr>
              <w:spacing w:line="360" w:lineRule="exact"/>
              <w:jc w:val="center"/>
              <w:rPr>
                <w:rFonts w:ascii="仿宋_GB2312" w:hAnsi="仿宋_GB2312" w:eastAsia="仿宋_GB2312" w:cs="仿宋_GB2312"/>
                <w:color w:val="auto"/>
                <w:szCs w:val="21"/>
              </w:rPr>
            </w:pPr>
          </w:p>
        </w:tc>
      </w:tr>
    </w:tbl>
    <w:p w14:paraId="2B1BBFDF">
      <w:pPr>
        <w:rPr>
          <w:color w:val="auto"/>
        </w:rPr>
      </w:pPr>
    </w:p>
    <w:p w14:paraId="4F4DB3F2">
      <w:pPr>
        <w:rPr>
          <w:color w:val="auto"/>
        </w:rPr>
      </w:pPr>
    </w:p>
    <w:p w14:paraId="52B08C19">
      <w:pPr>
        <w:rPr>
          <w:color w:val="auto"/>
        </w:rPr>
      </w:pPr>
    </w:p>
    <w:tbl>
      <w:tblPr>
        <w:tblStyle w:val="814"/>
        <w:tblpPr w:leftFromText="180" w:rightFromText="180" w:vertAnchor="text" w:horzAnchor="page" w:tblpX="661" w:tblpY="1"/>
        <w:tblOverlap w:val="never"/>
        <w:tblW w:w="9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024"/>
      </w:tblGrid>
      <w:tr w14:paraId="4444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789" w:type="dxa"/>
            <w:gridSpan w:val="5"/>
            <w:shd w:val="clear" w:color="auto" w:fill="D7D7D7"/>
            <w:vAlign w:val="center"/>
          </w:tcPr>
          <w:p w14:paraId="1CBF7E92">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color w:val="auto"/>
                <w:szCs w:val="21"/>
              </w:rPr>
              <w:t>主观分</w:t>
            </w:r>
          </w:p>
        </w:tc>
      </w:tr>
      <w:tr w14:paraId="52E0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49" w:type="dxa"/>
            <w:vAlign w:val="center"/>
          </w:tcPr>
          <w:p w14:paraId="5BA8F18F">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评分项</w:t>
            </w:r>
          </w:p>
        </w:tc>
        <w:tc>
          <w:tcPr>
            <w:tcW w:w="1090" w:type="dxa"/>
            <w:vAlign w:val="center"/>
          </w:tcPr>
          <w:p w14:paraId="521E044A">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评审因素</w:t>
            </w:r>
          </w:p>
        </w:tc>
        <w:tc>
          <w:tcPr>
            <w:tcW w:w="5859" w:type="dxa"/>
            <w:vAlign w:val="center"/>
          </w:tcPr>
          <w:p w14:paraId="6691310E">
            <w:pPr>
              <w:spacing w:line="34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评分标准说明</w:t>
            </w:r>
          </w:p>
        </w:tc>
        <w:tc>
          <w:tcPr>
            <w:tcW w:w="967" w:type="dxa"/>
            <w:vAlign w:val="center"/>
          </w:tcPr>
          <w:p w14:paraId="15C059B5">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分值</w:t>
            </w:r>
          </w:p>
        </w:tc>
        <w:tc>
          <w:tcPr>
            <w:tcW w:w="1024" w:type="dxa"/>
            <w:vAlign w:val="center"/>
          </w:tcPr>
          <w:p w14:paraId="7D37FA53">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对应的投标文件格式</w:t>
            </w:r>
          </w:p>
        </w:tc>
      </w:tr>
      <w:tr w14:paraId="612C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0" w:hRule="atLeast"/>
        </w:trPr>
        <w:tc>
          <w:tcPr>
            <w:tcW w:w="849" w:type="dxa"/>
            <w:vAlign w:val="center"/>
          </w:tcPr>
          <w:p w14:paraId="56C8248C">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项目实施方案</w:t>
            </w:r>
          </w:p>
        </w:tc>
        <w:tc>
          <w:tcPr>
            <w:tcW w:w="1090" w:type="dxa"/>
            <w:vAlign w:val="center"/>
          </w:tcPr>
          <w:p w14:paraId="23770F61">
            <w:pPr>
              <w:widowControl/>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项目实施方案</w:t>
            </w:r>
          </w:p>
        </w:tc>
        <w:tc>
          <w:tcPr>
            <w:tcW w:w="5859" w:type="dxa"/>
            <w:vAlign w:val="center"/>
          </w:tcPr>
          <w:p w14:paraId="1C8687F5">
            <w:pPr>
              <w:widowControl/>
              <w:numPr>
                <w:ilvl w:val="255"/>
                <w:numId w:val="0"/>
              </w:numPr>
              <w:spacing w:line="400" w:lineRule="exact"/>
              <w:ind w:firstLine="422" w:firstLineChars="200"/>
              <w:rPr>
                <w:rFonts w:hint="eastAsia" w:ascii="仿宋_GB2312" w:hAnsi="仿宋_GB2312" w:eastAsia="仿宋_GB2312" w:cs="仿宋_GB2312"/>
                <w:color w:val="auto"/>
              </w:rPr>
            </w:pPr>
            <w:r>
              <w:rPr>
                <w:rFonts w:hint="eastAsia" w:ascii="仿宋_GB2312" w:hAnsi="仿宋_GB2312" w:eastAsia="仿宋_GB2312" w:cs="仿宋_GB2312"/>
                <w:b/>
                <w:bCs/>
                <w:color w:val="auto"/>
              </w:rPr>
              <w:t>一档（17分）：</w:t>
            </w:r>
            <w:r>
              <w:rPr>
                <w:rFonts w:hint="eastAsia" w:ascii="仿宋_GB2312" w:hAnsi="仿宋_GB2312" w:eastAsia="仿宋_GB2312" w:cs="仿宋_GB2312"/>
                <w:color w:val="auto"/>
              </w:rPr>
              <w:t>在二档基础上，实施方案详细完整、合理、可行性高，人员职责分工明确，安装调试方案完整合理，实施计划及进度明确，结构清晰，包括完善的保障方案，保障措施考虑周全详细、操作性高；有项目执行组织，风险应对措施有效、得当。</w:t>
            </w:r>
          </w:p>
          <w:p w14:paraId="41AF3D08">
            <w:pPr>
              <w:widowControl/>
              <w:numPr>
                <w:ilvl w:val="255"/>
                <w:numId w:val="0"/>
              </w:numPr>
              <w:spacing w:line="400" w:lineRule="exact"/>
              <w:ind w:firstLine="422" w:firstLineChars="200"/>
              <w:rPr>
                <w:rFonts w:hint="eastAsia" w:ascii="仿宋_GB2312" w:hAnsi="仿宋_GB2312" w:eastAsia="仿宋_GB2312" w:cs="仿宋_GB2312"/>
                <w:color w:val="auto"/>
              </w:rPr>
            </w:pPr>
            <w:r>
              <w:rPr>
                <w:rFonts w:hint="eastAsia" w:ascii="仿宋_GB2312" w:hAnsi="仿宋_GB2312" w:eastAsia="仿宋_GB2312" w:cs="仿宋_GB2312"/>
                <w:b/>
                <w:bCs/>
                <w:color w:val="auto"/>
              </w:rPr>
              <w:t>二档（12分）：</w:t>
            </w:r>
            <w:r>
              <w:rPr>
                <w:rFonts w:hint="eastAsia" w:ascii="仿宋_GB2312" w:hAnsi="仿宋_GB2312" w:eastAsia="仿宋_GB2312" w:cs="仿宋_GB2312"/>
                <w:color w:val="auto"/>
              </w:rPr>
              <w:t>在三档基础上，实施方案详细可行：安装调试方案合理，实施计划及进度制定较简单；提及保障包含基本的技术支持但未包括风险应对措施。</w:t>
            </w:r>
          </w:p>
          <w:p w14:paraId="78475F43">
            <w:pPr>
              <w:widowControl/>
              <w:spacing w:line="40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bCs/>
                <w:color w:val="auto"/>
              </w:rPr>
              <w:t>三档（7分）：</w:t>
            </w:r>
            <w:r>
              <w:rPr>
                <w:rFonts w:hint="eastAsia" w:ascii="仿宋_GB2312" w:hAnsi="仿宋_GB2312" w:eastAsia="仿宋_GB2312" w:cs="仿宋_GB2312"/>
                <w:color w:val="auto"/>
              </w:rPr>
              <w:t>方案仅提供了框架性的实施方案，针对性一般，内容简单。</w:t>
            </w:r>
          </w:p>
          <w:p w14:paraId="6F7942BD">
            <w:pPr>
              <w:widowControl/>
              <w:numPr>
                <w:ilvl w:val="255"/>
                <w:numId w:val="0"/>
              </w:numPr>
              <w:spacing w:line="400" w:lineRule="exact"/>
              <w:ind w:firstLine="422" w:firstLineChars="200"/>
              <w:rPr>
                <w:rFonts w:hint="eastAsia" w:ascii="仿宋_GB2312" w:hAnsi="仿宋_GB2312" w:eastAsia="仿宋_GB2312" w:cs="仿宋_GB2312"/>
                <w:color w:val="auto"/>
              </w:rPr>
            </w:pPr>
            <w:r>
              <w:rPr>
                <w:rFonts w:hint="eastAsia" w:ascii="仿宋_GB2312" w:hAnsi="仿宋_GB2312" w:eastAsia="仿宋_GB2312" w:cs="仿宋_GB2312"/>
                <w:b/>
                <w:bCs/>
                <w:color w:val="auto"/>
              </w:rPr>
              <w:t>四档（</w:t>
            </w:r>
            <w:r>
              <w:rPr>
                <w:rFonts w:hint="eastAsia" w:ascii="仿宋_GB2312" w:hAnsi="仿宋_GB2312" w:eastAsia="仿宋_GB2312" w:cs="仿宋_GB2312"/>
                <w:b/>
                <w:bCs/>
                <w:color w:val="auto"/>
                <w:lang w:val="en-US" w:eastAsia="zh-CN"/>
              </w:rPr>
              <w:t>2</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方案满足采购需求，内容简单。</w:t>
            </w:r>
          </w:p>
          <w:p w14:paraId="454082A8">
            <w:pPr>
              <w:widowControl/>
              <w:numPr>
                <w:ilvl w:val="255"/>
                <w:numId w:val="0"/>
              </w:numPr>
              <w:spacing w:line="400" w:lineRule="exact"/>
              <w:ind w:firstLine="422" w:firstLineChars="200"/>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注：1.该方案内容可以包括：(1)人员配置;(2)实施方案职责分工</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rPr>
              <w:t>(3)实施计划及进度；（4）安装调试方案</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5</w:t>
            </w:r>
            <w:r>
              <w:rPr>
                <w:rFonts w:hint="eastAsia" w:ascii="仿宋_GB2312" w:hAnsi="仿宋_GB2312" w:eastAsia="仿宋_GB2312" w:cs="仿宋_GB2312"/>
                <w:b/>
                <w:bCs/>
                <w:color w:val="auto"/>
                <w:lang w:eastAsia="zh-CN"/>
              </w:rPr>
              <w:t>）风险应对措施</w:t>
            </w:r>
            <w:r>
              <w:rPr>
                <w:rFonts w:hint="eastAsia" w:ascii="仿宋_GB2312" w:hAnsi="仿宋_GB2312" w:eastAsia="仿宋_GB2312" w:cs="仿宋_GB2312"/>
                <w:b/>
                <w:bCs/>
                <w:color w:val="auto"/>
              </w:rPr>
              <w:t>。</w:t>
            </w:r>
          </w:p>
          <w:p w14:paraId="296041B4">
            <w:pPr>
              <w:widowControl/>
              <w:numPr>
                <w:ilvl w:val="255"/>
                <w:numId w:val="0"/>
              </w:numPr>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2.未提供以上方案或提供的内容与本项目无关的得0分。</w:t>
            </w:r>
          </w:p>
        </w:tc>
        <w:tc>
          <w:tcPr>
            <w:tcW w:w="967" w:type="dxa"/>
            <w:vAlign w:val="center"/>
          </w:tcPr>
          <w:p w14:paraId="616F1753">
            <w:pPr>
              <w:spacing w:line="360" w:lineRule="exact"/>
              <w:jc w:val="center"/>
              <w:rPr>
                <w:rFonts w:hint="default" w:ascii="仿宋_GB2312" w:hAnsi="仿宋_GB2312" w:eastAsia="仿宋_GB2312" w:cs="仿宋_GB2312"/>
                <w:b/>
                <w:bCs/>
                <w:color w:val="auto"/>
                <w:szCs w:val="21"/>
                <w:lang w:val="en-US"/>
              </w:rPr>
            </w:pPr>
            <w:r>
              <w:rPr>
                <w:rFonts w:hint="eastAsia" w:ascii="仿宋_GB2312" w:hAnsi="仿宋_GB2312" w:eastAsia="仿宋_GB2312" w:cs="仿宋_GB2312"/>
                <w:b/>
                <w:bCs/>
                <w:color w:val="auto"/>
                <w:szCs w:val="21"/>
                <w:lang w:val="en-US" w:eastAsia="zh-CN"/>
              </w:rPr>
              <w:t>17</w:t>
            </w:r>
          </w:p>
        </w:tc>
        <w:tc>
          <w:tcPr>
            <w:tcW w:w="1024" w:type="dxa"/>
            <w:vAlign w:val="center"/>
          </w:tcPr>
          <w:p w14:paraId="405E391B">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实施方案</w:t>
            </w:r>
          </w:p>
        </w:tc>
      </w:tr>
      <w:tr w14:paraId="74AA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49" w:type="dxa"/>
            <w:vMerge w:val="restart"/>
            <w:vAlign w:val="center"/>
          </w:tcPr>
          <w:p w14:paraId="23A54290">
            <w:pPr>
              <w:spacing w:line="360" w:lineRule="exact"/>
              <w:jc w:val="left"/>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售后服务方案</w:t>
            </w:r>
          </w:p>
        </w:tc>
        <w:tc>
          <w:tcPr>
            <w:tcW w:w="1090" w:type="dxa"/>
            <w:vAlign w:val="center"/>
          </w:tcPr>
          <w:p w14:paraId="4C4C613B">
            <w:pPr>
              <w:widowControl/>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技术培训方案</w:t>
            </w:r>
          </w:p>
        </w:tc>
        <w:tc>
          <w:tcPr>
            <w:tcW w:w="5859" w:type="dxa"/>
            <w:vAlign w:val="center"/>
          </w:tcPr>
          <w:p w14:paraId="5F2259AA">
            <w:pPr>
              <w:widowControl/>
              <w:spacing w:line="400" w:lineRule="exact"/>
              <w:ind w:firstLine="422" w:firstLineChars="200"/>
              <w:rPr>
                <w:rFonts w:ascii="仿宋_GB2312" w:hAnsi="仿宋_GB2312" w:eastAsia="仿宋_GB2312" w:cs="仿宋_GB2312"/>
                <w:b/>
                <w:bCs/>
                <w:color w:val="auto"/>
                <w:kern w:val="21"/>
                <w:szCs w:val="21"/>
              </w:rPr>
            </w:pPr>
            <w:r>
              <w:rPr>
                <w:rFonts w:hint="eastAsia" w:ascii="仿宋_GB2312" w:hAnsi="仿宋_GB2312" w:eastAsia="仿宋_GB2312" w:cs="仿宋_GB2312"/>
                <w:b/>
                <w:bCs/>
                <w:color w:val="auto"/>
                <w:kern w:val="21"/>
                <w:szCs w:val="21"/>
              </w:rPr>
              <w:t>一档（</w:t>
            </w:r>
            <w:r>
              <w:rPr>
                <w:rFonts w:hint="eastAsia" w:ascii="仿宋_GB2312" w:hAnsi="仿宋_GB2312" w:eastAsia="仿宋_GB2312" w:cs="仿宋_GB2312"/>
                <w:b/>
                <w:bCs/>
                <w:color w:val="auto"/>
                <w:kern w:val="21"/>
                <w:szCs w:val="21"/>
                <w:lang w:val="en-US" w:eastAsia="zh-CN"/>
              </w:rPr>
              <w:t>17</w:t>
            </w:r>
            <w:r>
              <w:rPr>
                <w:rFonts w:hint="eastAsia" w:ascii="仿宋_GB2312" w:hAnsi="仿宋_GB2312" w:eastAsia="仿宋_GB2312" w:cs="仿宋_GB2312"/>
                <w:b/>
                <w:bCs/>
                <w:color w:val="auto"/>
                <w:kern w:val="21"/>
                <w:szCs w:val="21"/>
              </w:rPr>
              <w:t>分）：</w:t>
            </w:r>
            <w:r>
              <w:rPr>
                <w:rFonts w:hint="eastAsia" w:ascii="仿宋_GB2312" w:hAnsi="仿宋_GB2312" w:eastAsia="仿宋_GB2312" w:cs="仿宋_GB2312"/>
                <w:b w:val="0"/>
                <w:bCs w:val="0"/>
                <w:color w:val="auto"/>
                <w:kern w:val="21"/>
                <w:szCs w:val="21"/>
              </w:rPr>
              <w:t>在满足二档的基础上，</w:t>
            </w:r>
            <w:r>
              <w:rPr>
                <w:rFonts w:hint="eastAsia" w:ascii="仿宋_GB2312" w:hAnsi="仿宋_GB2312" w:eastAsia="仿宋_GB2312" w:cs="仿宋_GB2312"/>
                <w:color w:val="auto"/>
                <w:kern w:val="21"/>
                <w:szCs w:val="21"/>
              </w:rPr>
              <w:t>培训方案详细且合理，培训人员经验丰富；培训方式灵活多样：含线上（直播、录播）、线下等；培训内容全面：覆盖软件操作、常见问题解决、日常维护及进阶功能；计划详细，提供时间安排、课程大纲及配套学习材料，课时充足。</w:t>
            </w:r>
          </w:p>
          <w:p w14:paraId="306ED043">
            <w:pPr>
              <w:widowControl/>
              <w:spacing w:line="400" w:lineRule="exact"/>
              <w:ind w:firstLine="422" w:firstLineChars="200"/>
              <w:rPr>
                <w:rFonts w:ascii="仿宋_GB2312" w:hAnsi="仿宋_GB2312" w:eastAsia="仿宋_GB2312" w:cs="仿宋_GB2312"/>
                <w:color w:val="auto"/>
                <w:kern w:val="21"/>
                <w:szCs w:val="21"/>
              </w:rPr>
            </w:pPr>
            <w:r>
              <w:rPr>
                <w:rFonts w:hint="eastAsia" w:ascii="仿宋_GB2312" w:hAnsi="仿宋_GB2312" w:eastAsia="仿宋_GB2312" w:cs="仿宋_GB2312"/>
                <w:b/>
                <w:bCs/>
                <w:color w:val="auto"/>
                <w:kern w:val="21"/>
                <w:szCs w:val="21"/>
              </w:rPr>
              <w:t>二档（1</w:t>
            </w:r>
            <w:r>
              <w:rPr>
                <w:rFonts w:hint="eastAsia" w:ascii="仿宋_GB2312" w:hAnsi="仿宋_GB2312" w:eastAsia="仿宋_GB2312" w:cs="仿宋_GB2312"/>
                <w:b/>
                <w:bCs/>
                <w:color w:val="auto"/>
                <w:kern w:val="21"/>
                <w:szCs w:val="21"/>
                <w:lang w:val="en-US" w:eastAsia="zh-CN"/>
              </w:rPr>
              <w:t>2</w:t>
            </w:r>
            <w:r>
              <w:rPr>
                <w:rFonts w:hint="eastAsia" w:ascii="仿宋_GB2312" w:hAnsi="仿宋_GB2312" w:eastAsia="仿宋_GB2312" w:cs="仿宋_GB2312"/>
                <w:b/>
                <w:bCs/>
                <w:color w:val="auto"/>
                <w:kern w:val="21"/>
                <w:szCs w:val="21"/>
              </w:rPr>
              <w:t>分）：</w:t>
            </w:r>
            <w:r>
              <w:rPr>
                <w:rFonts w:hint="eastAsia" w:ascii="仿宋_GB2312" w:hAnsi="仿宋_GB2312" w:eastAsia="仿宋_GB2312" w:cs="仿宋_GB2312"/>
                <w:b w:val="0"/>
                <w:bCs w:val="0"/>
                <w:color w:val="auto"/>
                <w:kern w:val="21"/>
                <w:szCs w:val="21"/>
              </w:rPr>
              <w:t>在满足三档的基础上，</w:t>
            </w:r>
            <w:r>
              <w:rPr>
                <w:rFonts w:hint="eastAsia" w:ascii="仿宋_GB2312" w:hAnsi="仿宋_GB2312" w:eastAsia="仿宋_GB2312" w:cs="仿宋_GB2312"/>
                <w:color w:val="auto"/>
                <w:kern w:val="21"/>
                <w:szCs w:val="21"/>
              </w:rPr>
              <w:t>培训方案详细，较好满足采购需求；覆盖软件主要功能操作；提供基础培训资料。</w:t>
            </w:r>
          </w:p>
          <w:p w14:paraId="7DEDE9C1">
            <w:pPr>
              <w:widowControl/>
              <w:spacing w:line="40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bCs/>
                <w:color w:val="auto"/>
                <w:kern w:val="21"/>
                <w:szCs w:val="21"/>
              </w:rPr>
              <w:t>三档（</w:t>
            </w:r>
            <w:r>
              <w:rPr>
                <w:rFonts w:hint="eastAsia" w:ascii="仿宋_GB2312" w:hAnsi="仿宋_GB2312" w:eastAsia="仿宋_GB2312" w:cs="仿宋_GB2312"/>
                <w:b/>
                <w:bCs/>
                <w:color w:val="auto"/>
                <w:kern w:val="21"/>
                <w:szCs w:val="21"/>
                <w:lang w:val="en-US" w:eastAsia="zh-CN"/>
              </w:rPr>
              <w:t>7</w:t>
            </w:r>
            <w:r>
              <w:rPr>
                <w:rFonts w:hint="eastAsia" w:ascii="仿宋_GB2312" w:hAnsi="仿宋_GB2312" w:eastAsia="仿宋_GB2312" w:cs="仿宋_GB2312"/>
                <w:b/>
                <w:bCs/>
                <w:color w:val="auto"/>
                <w:kern w:val="21"/>
                <w:szCs w:val="21"/>
              </w:rPr>
              <w:t>分）：</w:t>
            </w:r>
            <w:r>
              <w:rPr>
                <w:rFonts w:hint="eastAsia" w:ascii="仿宋_GB2312" w:hAnsi="仿宋_GB2312" w:eastAsia="仿宋_GB2312" w:cs="仿宋_GB2312"/>
                <w:color w:val="auto"/>
                <w:kern w:val="21"/>
                <w:szCs w:val="21"/>
              </w:rPr>
              <w:t>培训方案较详细，能确保用户掌握软件基础使用。</w:t>
            </w:r>
          </w:p>
          <w:p w14:paraId="1BE04261">
            <w:pPr>
              <w:widowControl/>
              <w:spacing w:line="400" w:lineRule="exact"/>
              <w:ind w:firstLine="422" w:firstLineChars="200"/>
              <w:rPr>
                <w:rFonts w:ascii="仿宋_GB2312" w:hAnsi="仿宋_GB2312" w:eastAsia="仿宋_GB2312" w:cs="仿宋_GB2312"/>
                <w:color w:val="auto"/>
                <w:kern w:val="21"/>
                <w:szCs w:val="21"/>
              </w:rPr>
            </w:pPr>
            <w:r>
              <w:rPr>
                <w:rFonts w:hint="eastAsia" w:ascii="仿宋_GB2312" w:hAnsi="仿宋_GB2312" w:eastAsia="仿宋_GB2312" w:cs="仿宋_GB2312"/>
                <w:b/>
                <w:bCs/>
                <w:color w:val="auto"/>
              </w:rPr>
              <w:t>四档（</w:t>
            </w:r>
            <w:r>
              <w:rPr>
                <w:rFonts w:hint="eastAsia" w:ascii="仿宋_GB2312" w:hAnsi="仿宋_GB2312" w:eastAsia="仿宋_GB2312" w:cs="仿宋_GB2312"/>
                <w:b/>
                <w:bCs/>
                <w:color w:val="auto"/>
                <w:lang w:val="en-US" w:eastAsia="zh-CN"/>
              </w:rPr>
              <w:t>2</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方案满足采购需求，内容简单。</w:t>
            </w:r>
          </w:p>
          <w:p w14:paraId="76A95DE2">
            <w:pPr>
              <w:widowControl/>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szCs w:val="21"/>
              </w:rPr>
              <w:t>注：1.该方案内容可以包括：(1)培训方式及时间安排；(2)培训内容概述及材料清单；</w:t>
            </w:r>
          </w:p>
          <w:p w14:paraId="4A7F652C">
            <w:pPr>
              <w:widowControl/>
              <w:numPr>
                <w:ilvl w:val="255"/>
                <w:numId w:val="0"/>
              </w:numPr>
              <w:spacing w:line="400" w:lineRule="exact"/>
              <w:ind w:firstLine="422" w:firstLineChars="200"/>
              <w:rPr>
                <w:rFonts w:ascii="仿宋_GB2312" w:hAnsi="仿宋_GB2312" w:eastAsia="仿宋_GB2312" w:cs="仿宋_GB2312"/>
                <w:b/>
                <w:bCs/>
                <w:color w:val="auto"/>
                <w:szCs w:val="21"/>
              </w:rPr>
            </w:pPr>
            <w:r>
              <w:rPr>
                <w:rFonts w:hint="eastAsia" w:ascii="仿宋_GB2312" w:hAnsi="仿宋_GB2312" w:eastAsia="仿宋_GB2312" w:cs="仿宋_GB2312"/>
                <w:b/>
                <w:color w:val="auto"/>
              </w:rPr>
              <w:t>2.未提供以上方案或提供的内容与本项目无关的得0分。</w:t>
            </w:r>
          </w:p>
        </w:tc>
        <w:tc>
          <w:tcPr>
            <w:tcW w:w="967" w:type="dxa"/>
            <w:vAlign w:val="center"/>
          </w:tcPr>
          <w:p w14:paraId="0D70EC79">
            <w:pPr>
              <w:spacing w:line="360" w:lineRule="exact"/>
              <w:jc w:val="center"/>
              <w:rPr>
                <w:rFonts w:hint="default" w:ascii="仿宋_GB2312" w:hAnsi="仿宋_GB2312" w:eastAsia="仿宋_GB2312" w:cs="仿宋_GB2312"/>
                <w:b/>
                <w:bCs/>
                <w:color w:val="auto"/>
                <w:szCs w:val="21"/>
                <w:lang w:val="en-US" w:eastAsia="zh-CN"/>
              </w:rPr>
            </w:pPr>
            <w:r>
              <w:rPr>
                <w:rFonts w:hint="eastAsia" w:ascii="仿宋_GB2312" w:hAnsi="仿宋_GB2312" w:eastAsia="仿宋_GB2312" w:cs="仿宋_GB2312"/>
                <w:b/>
                <w:bCs/>
                <w:color w:val="auto"/>
                <w:szCs w:val="21"/>
                <w:lang w:val="en-US" w:eastAsia="zh-CN"/>
              </w:rPr>
              <w:t>17</w:t>
            </w:r>
          </w:p>
        </w:tc>
        <w:tc>
          <w:tcPr>
            <w:tcW w:w="1024" w:type="dxa"/>
            <w:vAlign w:val="center"/>
          </w:tcPr>
          <w:p w14:paraId="5640C8A7">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技术培训方案</w:t>
            </w:r>
          </w:p>
        </w:tc>
      </w:tr>
      <w:tr w14:paraId="2671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continue"/>
            <w:vAlign w:val="center"/>
          </w:tcPr>
          <w:p w14:paraId="388C48FF">
            <w:pPr>
              <w:spacing w:line="360" w:lineRule="exact"/>
              <w:jc w:val="left"/>
              <w:rPr>
                <w:rFonts w:ascii="仿宋_GB2312" w:hAnsi="仿宋_GB2312" w:eastAsia="仿宋_GB2312" w:cs="仿宋_GB2312"/>
                <w:color w:val="auto"/>
                <w:szCs w:val="21"/>
              </w:rPr>
            </w:pPr>
          </w:p>
        </w:tc>
        <w:tc>
          <w:tcPr>
            <w:tcW w:w="1090" w:type="dxa"/>
            <w:vAlign w:val="center"/>
          </w:tcPr>
          <w:p w14:paraId="2FA93AB0">
            <w:pPr>
              <w:widowControl/>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售后服务方案</w:t>
            </w:r>
          </w:p>
        </w:tc>
        <w:tc>
          <w:tcPr>
            <w:tcW w:w="5859" w:type="dxa"/>
            <w:vAlign w:val="center"/>
          </w:tcPr>
          <w:p w14:paraId="4C2E8DD7">
            <w:pPr>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一档（</w:t>
            </w:r>
            <w:r>
              <w:rPr>
                <w:rFonts w:hint="eastAsia" w:ascii="仿宋_GB2312" w:hAnsi="仿宋_GB2312" w:eastAsia="仿宋_GB2312" w:cs="仿宋_GB2312"/>
                <w:b/>
                <w:color w:val="auto"/>
                <w:szCs w:val="21"/>
                <w:lang w:val="en-US" w:eastAsia="zh-CN"/>
              </w:rPr>
              <w:t>17</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在满足二档的基础上，售后服务方案详细、全面、针对性强；配备专职售后技术支持人员，职责明确，响应高效；技术支持方式多样，包括电话支持、在线支持、远程协助和现场支持等，故障解决流程清晰且易于操作；有良好的定期回访制度；</w:t>
            </w:r>
          </w:p>
          <w:p w14:paraId="6FAA5793">
            <w:pPr>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二档（</w:t>
            </w:r>
            <w:r>
              <w:rPr>
                <w:rFonts w:hint="eastAsia" w:ascii="仿宋_GB2312" w:hAnsi="仿宋_GB2312" w:eastAsia="仿宋_GB2312" w:cs="仿宋_GB2312"/>
                <w:b/>
                <w:color w:val="auto"/>
                <w:szCs w:val="21"/>
                <w:lang w:val="en-US" w:eastAsia="zh-CN"/>
              </w:rPr>
              <w:t>12</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在满足三档的基础上，方案能较好满足采购需求，符合实际，有一定的针对性、可行性；售后服务有承诺，保障响应措施较有力，并有定期回访制度；</w:t>
            </w:r>
          </w:p>
          <w:p w14:paraId="3EC204B4">
            <w:pPr>
              <w:widowControl/>
              <w:spacing w:line="40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三档（</w:t>
            </w:r>
            <w:r>
              <w:rPr>
                <w:rFonts w:hint="eastAsia" w:ascii="仿宋_GB2312" w:hAnsi="仿宋_GB2312" w:eastAsia="仿宋_GB2312" w:cs="仿宋_GB2312"/>
                <w:b/>
                <w:bCs/>
                <w:color w:val="auto"/>
                <w:szCs w:val="21"/>
                <w:lang w:val="en-US" w:eastAsia="zh-CN"/>
              </w:rPr>
              <w:t>7</w:t>
            </w:r>
            <w:r>
              <w:rPr>
                <w:rFonts w:hint="eastAsia" w:ascii="仿宋_GB2312" w:hAnsi="仿宋_GB2312" w:eastAsia="仿宋_GB2312" w:cs="仿宋_GB2312"/>
                <w:b/>
                <w:bCs/>
                <w:color w:val="auto"/>
                <w:szCs w:val="21"/>
              </w:rPr>
              <w:t>分）</w:t>
            </w:r>
            <w:r>
              <w:rPr>
                <w:rFonts w:hint="eastAsia" w:ascii="仿宋_GB2312" w:hAnsi="仿宋_GB2312" w:eastAsia="仿宋_GB2312" w:cs="仿宋_GB2312"/>
                <w:color w:val="auto"/>
                <w:szCs w:val="21"/>
              </w:rPr>
              <w:t>：方案</w:t>
            </w:r>
            <w:r>
              <w:rPr>
                <w:rFonts w:hint="eastAsia" w:ascii="仿宋_GB2312" w:hAnsi="仿宋_GB2312" w:eastAsia="仿宋_GB2312" w:cs="仿宋_GB2312"/>
                <w:color w:val="auto"/>
                <w:szCs w:val="21"/>
                <w:lang w:val="en-US" w:eastAsia="zh-CN"/>
              </w:rPr>
              <w:t>较</w:t>
            </w:r>
            <w:r>
              <w:rPr>
                <w:rFonts w:hint="eastAsia" w:ascii="仿宋_GB2312" w:hAnsi="仿宋_GB2312" w:eastAsia="仿宋_GB2312" w:cs="仿宋_GB2312"/>
                <w:color w:val="auto"/>
                <w:szCs w:val="21"/>
              </w:rPr>
              <w:t>详细，满足采购需求，有售后服务保障内容，符合实际，方案针对性、可行性一般；</w:t>
            </w:r>
          </w:p>
          <w:p w14:paraId="7D18262E">
            <w:pPr>
              <w:widowControl/>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四档（</w:t>
            </w:r>
            <w:r>
              <w:rPr>
                <w:rFonts w:hint="eastAsia" w:ascii="仿宋_GB2312" w:hAnsi="仿宋_GB2312" w:eastAsia="仿宋_GB2312" w:cs="仿宋_GB2312"/>
                <w:b/>
                <w:bCs/>
                <w:color w:val="auto"/>
                <w:lang w:val="en-US" w:eastAsia="zh-CN"/>
              </w:rPr>
              <w:t>2</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方案满足采购需求，内容简单。</w:t>
            </w:r>
          </w:p>
          <w:p w14:paraId="13E3CD06">
            <w:pPr>
              <w:widowControl/>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szCs w:val="21"/>
              </w:rPr>
              <w:t>注：1.该方案内容可以包括：（1）售后服务技术支持方案；（2）故障应急预案；（3）定期回访维护方案。</w:t>
            </w:r>
          </w:p>
          <w:p w14:paraId="73CA5D44">
            <w:pPr>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color w:val="auto"/>
              </w:rPr>
              <w:t>2.未提供以上方案或提供的内容与本项目无关的得0分。</w:t>
            </w:r>
          </w:p>
        </w:tc>
        <w:tc>
          <w:tcPr>
            <w:tcW w:w="967" w:type="dxa"/>
            <w:vAlign w:val="center"/>
          </w:tcPr>
          <w:p w14:paraId="41B976B4">
            <w:pPr>
              <w:spacing w:line="360" w:lineRule="exact"/>
              <w:jc w:val="center"/>
              <w:rPr>
                <w:rFonts w:hint="default" w:ascii="仿宋_GB2312" w:hAnsi="仿宋_GB2312" w:eastAsia="仿宋_GB2312" w:cs="仿宋_GB2312"/>
                <w:b/>
                <w:bCs/>
                <w:color w:val="auto"/>
                <w:szCs w:val="21"/>
                <w:lang w:val="en-US" w:eastAsia="zh-CN"/>
              </w:rPr>
            </w:pPr>
            <w:r>
              <w:rPr>
                <w:rFonts w:hint="eastAsia" w:ascii="仿宋_GB2312" w:hAnsi="仿宋_GB2312" w:eastAsia="仿宋_GB2312" w:cs="仿宋_GB2312"/>
                <w:b/>
                <w:bCs/>
                <w:color w:val="auto"/>
                <w:szCs w:val="21"/>
                <w:lang w:val="en-US" w:eastAsia="zh-CN"/>
              </w:rPr>
              <w:t>17</w:t>
            </w:r>
          </w:p>
        </w:tc>
        <w:tc>
          <w:tcPr>
            <w:tcW w:w="1024" w:type="dxa"/>
            <w:vAlign w:val="center"/>
          </w:tcPr>
          <w:p w14:paraId="3F6DF479">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售后服务方案</w:t>
            </w:r>
          </w:p>
        </w:tc>
      </w:tr>
      <w:tr w14:paraId="5AF1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vAlign w:val="center"/>
          </w:tcPr>
          <w:p w14:paraId="274E60FB">
            <w:pPr>
              <w:pStyle w:val="815"/>
              <w:spacing w:line="400" w:lineRule="exact"/>
              <w:ind w:firstLine="422" w:firstLineChars="200"/>
              <w:jc w:val="center"/>
              <w:rPr>
                <w:rFonts w:ascii="仿宋_GB2312" w:hAnsi="仿宋_GB2312" w:eastAsia="仿宋_GB2312" w:cs="仿宋_GB2312"/>
                <w:b/>
                <w:bCs/>
                <w:color w:val="auto"/>
              </w:rPr>
            </w:pPr>
            <w:r>
              <w:rPr>
                <w:rFonts w:hint="eastAsia" w:ascii="仿宋_GB2312" w:hAnsi="仿宋_GB2312" w:eastAsia="仿宋_GB2312" w:cs="仿宋_GB2312"/>
                <w:b/>
                <w:bCs/>
                <w:color w:val="auto"/>
              </w:rPr>
              <w:t>主观分总分</w:t>
            </w:r>
          </w:p>
        </w:tc>
        <w:tc>
          <w:tcPr>
            <w:tcW w:w="967" w:type="dxa"/>
            <w:vAlign w:val="center"/>
          </w:tcPr>
          <w:p w14:paraId="071AF086">
            <w:pPr>
              <w:spacing w:line="360" w:lineRule="exact"/>
              <w:jc w:val="center"/>
              <w:rPr>
                <w:rFonts w:hint="default" w:ascii="仿宋_GB2312" w:hAnsi="仿宋_GB2312" w:eastAsia="仿宋_GB2312" w:cs="仿宋_GB2312"/>
                <w:b/>
                <w:bCs/>
                <w:color w:val="auto"/>
                <w:szCs w:val="21"/>
                <w:lang w:val="en-US" w:eastAsia="zh-CN"/>
              </w:rPr>
            </w:pPr>
            <w:r>
              <w:rPr>
                <w:rFonts w:hint="eastAsia" w:ascii="仿宋_GB2312" w:hAnsi="仿宋_GB2312" w:eastAsia="仿宋_GB2312" w:cs="仿宋_GB2312"/>
                <w:b/>
                <w:bCs/>
                <w:color w:val="auto"/>
                <w:szCs w:val="21"/>
                <w:lang w:val="en-US" w:eastAsia="zh-CN"/>
              </w:rPr>
              <w:t>51</w:t>
            </w:r>
          </w:p>
        </w:tc>
        <w:tc>
          <w:tcPr>
            <w:tcW w:w="1024" w:type="dxa"/>
            <w:vAlign w:val="center"/>
          </w:tcPr>
          <w:p w14:paraId="1240DBF0">
            <w:pPr>
              <w:spacing w:line="360" w:lineRule="exact"/>
              <w:jc w:val="center"/>
              <w:rPr>
                <w:rFonts w:ascii="仿宋_GB2312" w:hAnsi="仿宋_GB2312" w:eastAsia="仿宋_GB2312" w:cs="仿宋_GB2312"/>
                <w:color w:val="auto"/>
                <w:szCs w:val="21"/>
              </w:rPr>
            </w:pPr>
          </w:p>
        </w:tc>
      </w:tr>
    </w:tbl>
    <w:p w14:paraId="6D8BF2E8">
      <w:pPr>
        <w:pStyle w:val="30"/>
        <w:rPr>
          <w:color w:val="auto"/>
        </w:rPr>
      </w:pPr>
    </w:p>
    <w:p w14:paraId="48312F72">
      <w:pPr>
        <w:pStyle w:val="30"/>
        <w:rPr>
          <w:color w:val="auto"/>
        </w:rPr>
      </w:pPr>
    </w:p>
    <w:p w14:paraId="39BFCFEB">
      <w:pPr>
        <w:spacing w:line="390" w:lineRule="exact"/>
        <w:ind w:right="-168" w:rightChars="-80" w:firstLine="236" w:firstLineChars="98"/>
        <w:rPr>
          <w:rFonts w:ascii="仿宋_GB2312" w:eastAsia="仿宋_GB2312"/>
          <w:b/>
          <w:color w:val="auto"/>
          <w:sz w:val="24"/>
        </w:rPr>
      </w:pPr>
      <w:r>
        <w:rPr>
          <w:rFonts w:hint="eastAsia" w:ascii="仿宋_GB2312" w:eastAsia="仿宋_GB2312"/>
          <w:b/>
          <w:color w:val="auto"/>
          <w:sz w:val="24"/>
        </w:rPr>
        <w:t>（三）总得分=客观分+主观分</w:t>
      </w:r>
    </w:p>
    <w:p w14:paraId="7E1AEEA6">
      <w:pPr>
        <w:adjustRightInd w:val="0"/>
        <w:spacing w:line="400" w:lineRule="exact"/>
        <w:ind w:firstLine="482" w:firstLineChars="200"/>
        <w:jc w:val="left"/>
        <w:textAlignment w:val="baseline"/>
        <w:rPr>
          <w:rFonts w:ascii="仿宋_GB2312" w:hAnsi="宋体" w:eastAsia="仿宋_GB2312"/>
          <w:b/>
          <w:color w:val="auto"/>
          <w:kern w:val="0"/>
          <w:sz w:val="24"/>
        </w:rPr>
      </w:pPr>
      <w:r>
        <w:rPr>
          <w:rFonts w:hint="eastAsia" w:ascii="仿宋_GB2312" w:hAnsi="宋体" w:eastAsia="仿宋_GB2312"/>
          <w:b/>
          <w:color w:val="auto"/>
          <w:kern w:val="0"/>
          <w:sz w:val="24"/>
        </w:rPr>
        <w:t>三、中标标准及中标候选人推荐原则</w:t>
      </w:r>
    </w:p>
    <w:p w14:paraId="73D6BCCE">
      <w:pPr>
        <w:adjustRightInd w:val="0"/>
        <w:spacing w:line="400" w:lineRule="exact"/>
        <w:ind w:firstLine="482" w:firstLineChars="200"/>
        <w:jc w:val="left"/>
        <w:textAlignment w:val="baseline"/>
        <w:rPr>
          <w:rFonts w:ascii="仿宋_GB2312" w:hAnsi="宋体" w:eastAsia="仿宋_GB2312"/>
          <w:b/>
          <w:color w:val="auto"/>
          <w:kern w:val="0"/>
          <w:sz w:val="24"/>
        </w:rPr>
      </w:pPr>
      <w:r>
        <w:rPr>
          <w:rFonts w:hint="eastAsia" w:ascii="仿宋_GB2312" w:hAnsi="宋体" w:eastAsia="仿宋_GB2312"/>
          <w:b/>
          <w:color w:val="auto"/>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采购人或采购代理机构应将该情况报政府采购监督管理部门，从合格的中标候选人中另行确定中标人或重新开展政府采购活动。</w:t>
      </w:r>
    </w:p>
    <w:p w14:paraId="20E17658">
      <w:pPr>
        <w:adjustRightInd w:val="0"/>
        <w:spacing w:line="400" w:lineRule="exact"/>
        <w:ind w:firstLine="482" w:firstLineChars="200"/>
        <w:jc w:val="left"/>
        <w:textAlignment w:val="baseline"/>
        <w:rPr>
          <w:rFonts w:ascii="仿宋_GB2312" w:hAnsi="宋体" w:eastAsia="仿宋_GB2312"/>
          <w:b/>
          <w:bCs/>
          <w:color w:val="auto"/>
          <w:sz w:val="24"/>
        </w:rPr>
      </w:pPr>
      <w:r>
        <w:rPr>
          <w:rFonts w:hint="eastAsia" w:ascii="仿宋_GB2312" w:hAnsi="宋体" w:eastAsia="仿宋_GB2312"/>
          <w:b/>
          <w:color w:val="auto"/>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color w:val="auto"/>
          <w:sz w:val="24"/>
        </w:rPr>
        <w:t>。</w:t>
      </w:r>
    </w:p>
    <w:p w14:paraId="11B03AE5">
      <w:pPr>
        <w:rPr>
          <w:b/>
          <w:color w:val="auto"/>
          <w:sz w:val="24"/>
        </w:rPr>
      </w:pPr>
    </w:p>
    <w:p w14:paraId="501A6FA5">
      <w:pPr>
        <w:rPr>
          <w:b/>
          <w:color w:val="auto"/>
          <w:sz w:val="24"/>
        </w:rPr>
      </w:pPr>
    </w:p>
    <w:p w14:paraId="17DC5F80">
      <w:pPr>
        <w:rPr>
          <w:b/>
          <w:color w:val="auto"/>
          <w:sz w:val="24"/>
        </w:rPr>
      </w:pPr>
    </w:p>
    <w:p w14:paraId="2332722F">
      <w:pPr>
        <w:rPr>
          <w:b/>
          <w:color w:val="auto"/>
          <w:sz w:val="24"/>
        </w:rPr>
      </w:pPr>
    </w:p>
    <w:p w14:paraId="4EE50DAB">
      <w:pPr>
        <w:rPr>
          <w:b/>
          <w:color w:val="auto"/>
          <w:sz w:val="24"/>
        </w:rPr>
      </w:pPr>
    </w:p>
    <w:p w14:paraId="35B238EC">
      <w:pPr>
        <w:rPr>
          <w:b/>
          <w:color w:val="auto"/>
          <w:sz w:val="24"/>
        </w:rPr>
      </w:pPr>
    </w:p>
    <w:p w14:paraId="0A1E738D">
      <w:pPr>
        <w:rPr>
          <w:b/>
          <w:color w:val="auto"/>
          <w:sz w:val="24"/>
        </w:rPr>
      </w:pPr>
    </w:p>
    <w:p w14:paraId="1D4D7B1B">
      <w:pPr>
        <w:rPr>
          <w:b/>
          <w:color w:val="auto"/>
          <w:sz w:val="24"/>
        </w:rPr>
      </w:pPr>
    </w:p>
    <w:p w14:paraId="079047AD">
      <w:pPr>
        <w:rPr>
          <w:b/>
          <w:color w:val="auto"/>
          <w:sz w:val="24"/>
        </w:rPr>
      </w:pPr>
    </w:p>
    <w:p w14:paraId="2B5F875C">
      <w:pPr>
        <w:rPr>
          <w:b/>
          <w:color w:val="auto"/>
          <w:sz w:val="24"/>
        </w:rPr>
      </w:pPr>
    </w:p>
    <w:p w14:paraId="5323DB48">
      <w:pPr>
        <w:rPr>
          <w:b/>
          <w:color w:val="auto"/>
          <w:sz w:val="24"/>
        </w:rPr>
      </w:pPr>
    </w:p>
    <w:p w14:paraId="3AD1B6BB">
      <w:pPr>
        <w:rPr>
          <w:b/>
          <w:color w:val="auto"/>
          <w:sz w:val="24"/>
        </w:rPr>
      </w:pPr>
    </w:p>
    <w:p w14:paraId="05D1A905">
      <w:pPr>
        <w:rPr>
          <w:b/>
          <w:color w:val="auto"/>
          <w:sz w:val="24"/>
        </w:rPr>
      </w:pPr>
    </w:p>
    <w:p w14:paraId="35947373">
      <w:pPr>
        <w:rPr>
          <w:b/>
          <w:color w:val="auto"/>
          <w:sz w:val="24"/>
        </w:rPr>
      </w:pPr>
    </w:p>
    <w:p w14:paraId="258FB965">
      <w:pPr>
        <w:rPr>
          <w:b/>
          <w:color w:val="auto"/>
          <w:sz w:val="24"/>
        </w:rPr>
      </w:pPr>
    </w:p>
    <w:p w14:paraId="1EB5FF79">
      <w:pPr>
        <w:rPr>
          <w:b/>
          <w:color w:val="auto"/>
          <w:sz w:val="24"/>
        </w:rPr>
      </w:pPr>
    </w:p>
    <w:p w14:paraId="20DE7DBC">
      <w:pPr>
        <w:rPr>
          <w:b/>
          <w:color w:val="auto"/>
          <w:sz w:val="24"/>
        </w:rPr>
      </w:pPr>
    </w:p>
    <w:p w14:paraId="5825E8BB">
      <w:pPr>
        <w:rPr>
          <w:b/>
          <w:color w:val="auto"/>
          <w:sz w:val="24"/>
        </w:rPr>
      </w:pPr>
    </w:p>
    <w:p w14:paraId="5704ACA5">
      <w:pPr>
        <w:rPr>
          <w:b/>
          <w:color w:val="auto"/>
          <w:sz w:val="24"/>
        </w:rPr>
      </w:pPr>
    </w:p>
    <w:p w14:paraId="2BAC5D9D">
      <w:pPr>
        <w:rPr>
          <w:b/>
          <w:color w:val="auto"/>
          <w:sz w:val="24"/>
        </w:rPr>
      </w:pPr>
    </w:p>
    <w:p w14:paraId="0C0611AC">
      <w:pPr>
        <w:rPr>
          <w:b/>
          <w:color w:val="auto"/>
          <w:sz w:val="24"/>
        </w:rPr>
      </w:pPr>
    </w:p>
    <w:p w14:paraId="356EB934">
      <w:pPr>
        <w:rPr>
          <w:b/>
          <w:color w:val="auto"/>
          <w:sz w:val="24"/>
        </w:rPr>
      </w:pPr>
    </w:p>
    <w:p w14:paraId="4AE84B69">
      <w:pPr>
        <w:rPr>
          <w:b/>
          <w:color w:val="auto"/>
          <w:sz w:val="24"/>
        </w:rPr>
      </w:pPr>
    </w:p>
    <w:p w14:paraId="14F762BD">
      <w:pPr>
        <w:rPr>
          <w:b/>
          <w:color w:val="auto"/>
          <w:sz w:val="24"/>
        </w:rPr>
      </w:pPr>
    </w:p>
    <w:p w14:paraId="6891A2B7">
      <w:pPr>
        <w:rPr>
          <w:b/>
          <w:color w:val="auto"/>
          <w:sz w:val="24"/>
        </w:rPr>
      </w:pPr>
    </w:p>
    <w:p w14:paraId="4FC08164">
      <w:pPr>
        <w:rPr>
          <w:b/>
          <w:color w:val="auto"/>
          <w:sz w:val="24"/>
        </w:rPr>
      </w:pPr>
    </w:p>
    <w:p w14:paraId="223A7211">
      <w:pPr>
        <w:rPr>
          <w:b/>
          <w:color w:val="auto"/>
          <w:sz w:val="24"/>
        </w:rPr>
      </w:pPr>
    </w:p>
    <w:p w14:paraId="2CDC82C0">
      <w:pPr>
        <w:rPr>
          <w:b/>
          <w:color w:val="auto"/>
          <w:sz w:val="24"/>
        </w:rPr>
      </w:pPr>
    </w:p>
    <w:p w14:paraId="41746340">
      <w:pPr>
        <w:rPr>
          <w:b/>
          <w:color w:val="auto"/>
          <w:sz w:val="24"/>
        </w:rPr>
      </w:pPr>
    </w:p>
    <w:p w14:paraId="317B80ED">
      <w:pPr>
        <w:rPr>
          <w:b/>
          <w:color w:val="auto"/>
          <w:sz w:val="24"/>
        </w:rPr>
      </w:pPr>
    </w:p>
    <w:p w14:paraId="212A9341">
      <w:pPr>
        <w:rPr>
          <w:b/>
          <w:color w:val="auto"/>
          <w:sz w:val="24"/>
        </w:rPr>
      </w:pPr>
    </w:p>
    <w:p w14:paraId="5E4C8336">
      <w:pPr>
        <w:rPr>
          <w:b/>
          <w:color w:val="auto"/>
          <w:sz w:val="24"/>
        </w:rPr>
      </w:pPr>
    </w:p>
    <w:p w14:paraId="71A2383C">
      <w:pPr>
        <w:rPr>
          <w:b/>
          <w:color w:val="auto"/>
          <w:sz w:val="24"/>
        </w:rPr>
      </w:pPr>
    </w:p>
    <w:p w14:paraId="45048365">
      <w:pPr>
        <w:rPr>
          <w:b/>
          <w:color w:val="auto"/>
          <w:sz w:val="24"/>
        </w:rPr>
      </w:pPr>
    </w:p>
    <w:p w14:paraId="37669AA4">
      <w:pPr>
        <w:rPr>
          <w:b/>
          <w:color w:val="auto"/>
          <w:sz w:val="24"/>
        </w:rPr>
      </w:pPr>
    </w:p>
    <w:p w14:paraId="00A3C485">
      <w:pPr>
        <w:rPr>
          <w:b/>
          <w:color w:val="auto"/>
          <w:sz w:val="24"/>
        </w:rPr>
      </w:pPr>
    </w:p>
    <w:p w14:paraId="635352CA">
      <w:pPr>
        <w:rPr>
          <w:b/>
          <w:color w:val="auto"/>
          <w:sz w:val="24"/>
        </w:rPr>
      </w:pPr>
    </w:p>
    <w:p w14:paraId="17DFD2CB">
      <w:pPr>
        <w:pStyle w:val="26"/>
        <w:rPr>
          <w:b/>
          <w:color w:val="auto"/>
          <w:sz w:val="24"/>
        </w:rPr>
      </w:pPr>
    </w:p>
    <w:p w14:paraId="01B71996">
      <w:pPr>
        <w:rPr>
          <w:b/>
          <w:color w:val="auto"/>
          <w:sz w:val="24"/>
        </w:rPr>
      </w:pPr>
    </w:p>
    <w:p w14:paraId="6389491B">
      <w:pPr>
        <w:pStyle w:val="26"/>
        <w:rPr>
          <w:color w:val="auto"/>
        </w:rPr>
      </w:pPr>
    </w:p>
    <w:p w14:paraId="13397B3D">
      <w:pPr>
        <w:rPr>
          <w:b/>
          <w:color w:val="auto"/>
          <w:sz w:val="24"/>
        </w:rPr>
      </w:pPr>
    </w:p>
    <w:p w14:paraId="0562C1F4">
      <w:pPr>
        <w:rPr>
          <w:b/>
          <w:color w:val="auto"/>
          <w:sz w:val="24"/>
        </w:rPr>
      </w:pPr>
    </w:p>
    <w:p w14:paraId="4271914C">
      <w:pPr>
        <w:rPr>
          <w:b/>
          <w:color w:val="auto"/>
          <w:sz w:val="24"/>
        </w:rPr>
      </w:pPr>
    </w:p>
    <w:p w14:paraId="2A741B51">
      <w:pPr>
        <w:rPr>
          <w:b/>
          <w:color w:val="auto"/>
          <w:sz w:val="24"/>
        </w:rPr>
      </w:pPr>
    </w:p>
    <w:p w14:paraId="7B654E44">
      <w:pPr>
        <w:tabs>
          <w:tab w:val="left" w:pos="3055"/>
        </w:tabs>
        <w:jc w:val="center"/>
        <w:rPr>
          <w:b/>
          <w:color w:val="auto"/>
          <w:sz w:val="30"/>
          <w:szCs w:val="30"/>
        </w:rPr>
      </w:pPr>
      <w:r>
        <w:rPr>
          <w:rFonts w:hint="eastAsia" w:ascii="宋体" w:hAnsi="宋体" w:cs="Courier New"/>
          <w:b/>
          <w:bCs/>
          <w:color w:val="auto"/>
          <w:sz w:val="32"/>
          <w:szCs w:val="32"/>
        </w:rPr>
        <w:t>评标方法及评标标准（</w:t>
      </w:r>
      <w:r>
        <w:rPr>
          <w:rFonts w:hint="eastAsia" w:ascii="宋体" w:hAnsi="宋体" w:cs="Courier New"/>
          <w:b/>
          <w:bCs/>
          <w:color w:val="auto"/>
          <w:sz w:val="32"/>
          <w:szCs w:val="32"/>
          <w:lang w:val="en-US" w:eastAsia="zh-CN"/>
        </w:rPr>
        <w:t>分标3</w:t>
      </w:r>
      <w:r>
        <w:rPr>
          <w:rFonts w:hint="eastAsia" w:ascii="宋体" w:hAnsi="宋体" w:cs="Courier New"/>
          <w:b/>
          <w:bCs/>
          <w:color w:val="auto"/>
          <w:sz w:val="32"/>
          <w:szCs w:val="32"/>
        </w:rPr>
        <w:t>）</w:t>
      </w:r>
    </w:p>
    <w:p w14:paraId="06B380A7">
      <w:pPr>
        <w:spacing w:line="390" w:lineRule="exact"/>
        <w:ind w:right="-168" w:rightChars="-80" w:firstLine="482" w:firstLineChars="200"/>
        <w:rPr>
          <w:rFonts w:ascii="仿宋_GB2312" w:eastAsia="仿宋_GB2312"/>
          <w:b/>
          <w:bCs/>
          <w:color w:val="auto"/>
          <w:sz w:val="24"/>
        </w:rPr>
      </w:pPr>
      <w:r>
        <w:rPr>
          <w:rFonts w:hint="eastAsia" w:ascii="仿宋_GB2312" w:eastAsia="仿宋_GB2312"/>
          <w:b/>
          <w:bCs/>
          <w:color w:val="auto"/>
          <w:sz w:val="24"/>
        </w:rPr>
        <w:t>一、评标原则</w:t>
      </w:r>
    </w:p>
    <w:p w14:paraId="67F42284">
      <w:pPr>
        <w:spacing w:line="390" w:lineRule="exact"/>
        <w:ind w:right="-168" w:rightChars="-80"/>
        <w:rPr>
          <w:rFonts w:ascii="仿宋_GB2312" w:eastAsia="仿宋_GB2312"/>
          <w:color w:val="auto"/>
          <w:sz w:val="24"/>
        </w:rPr>
      </w:pPr>
      <w:r>
        <w:rPr>
          <w:rFonts w:hint="eastAsia" w:ascii="仿宋_GB2312" w:eastAsia="仿宋_GB2312"/>
          <w:color w:val="auto"/>
          <w:sz w:val="24"/>
        </w:rPr>
        <w:t xml:space="preserve">    （一）评委构成：本招标采购项目的评委分别由依法组成的评审专家、采购人代表共五人或以上单数构成，其中专家人数不少于评标委员会成员总数的三分之二。</w:t>
      </w:r>
    </w:p>
    <w:p w14:paraId="5A66A20E">
      <w:pPr>
        <w:spacing w:line="390" w:lineRule="exact"/>
        <w:ind w:right="-168" w:rightChars="-80" w:firstLine="435"/>
        <w:rPr>
          <w:rFonts w:ascii="仿宋_GB2312" w:eastAsia="仿宋_GB2312"/>
          <w:b/>
          <w:color w:val="auto"/>
          <w:sz w:val="24"/>
        </w:rPr>
      </w:pPr>
      <w:r>
        <w:rPr>
          <w:rFonts w:hint="eastAsia" w:ascii="仿宋_GB2312" w:eastAsia="仿宋_GB2312"/>
          <w:b/>
          <w:color w:val="auto"/>
          <w:sz w:val="24"/>
        </w:rPr>
        <w:t>（二）评标依据：评委将以招投标文件为评标依据，对投标人的价格、技术、信誉、业绩等方面按百分制打分。</w:t>
      </w:r>
    </w:p>
    <w:p w14:paraId="3B4B74FC">
      <w:pPr>
        <w:spacing w:line="390" w:lineRule="exact"/>
        <w:ind w:right="-168" w:rightChars="-80" w:firstLine="435"/>
        <w:rPr>
          <w:rFonts w:ascii="仿宋_GB2312" w:eastAsia="仿宋_GB2312"/>
          <w:color w:val="auto"/>
          <w:sz w:val="24"/>
        </w:rPr>
      </w:pPr>
      <w:r>
        <w:rPr>
          <w:rFonts w:hint="eastAsia" w:ascii="仿宋_GB2312" w:eastAsia="仿宋_GB2312"/>
          <w:color w:val="auto"/>
          <w:sz w:val="24"/>
        </w:rPr>
        <w:t>（三）评标方式：以封闭方式进行。</w:t>
      </w:r>
    </w:p>
    <w:p w14:paraId="18CB885F">
      <w:pPr>
        <w:spacing w:line="390" w:lineRule="exact"/>
        <w:ind w:right="-168" w:rightChars="-80" w:firstLine="435"/>
        <w:rPr>
          <w:rFonts w:ascii="仿宋_GB2312" w:eastAsia="仿宋_GB2312"/>
          <w:color w:val="auto"/>
          <w:sz w:val="24"/>
        </w:rPr>
      </w:pPr>
      <w:r>
        <w:rPr>
          <w:rFonts w:hint="eastAsia" w:ascii="仿宋_GB2312" w:eastAsia="仿宋_GB2312"/>
          <w:color w:val="auto"/>
          <w:sz w:val="24"/>
        </w:rPr>
        <w:t>（四）评标委员会认为投标人的报价明显低于其他通过符合性审查投标人的报价，有可能影响产品质量或者不能诚信履约的，</w:t>
      </w:r>
      <w:r>
        <w:rPr>
          <w:rFonts w:hint="eastAsia" w:ascii="仿宋_GB2312" w:eastAsia="仿宋_GB2312" w:cs="Courier New"/>
          <w:color w:val="auto"/>
          <w:sz w:val="24"/>
        </w:rPr>
        <w:t>应当通过广西政府采购云平台发起询标函，要求其在评标现场合理的时间内通过广西政府采购云平台提供书面说明</w:t>
      </w:r>
      <w:r>
        <w:rPr>
          <w:rFonts w:hint="eastAsia" w:ascii="仿宋_GB2312" w:eastAsia="仿宋_GB2312"/>
          <w:color w:val="auto"/>
          <w:sz w:val="24"/>
        </w:rPr>
        <w:t xml:space="preserve">，必要时提交相关证明材料；投标人不能证明其报价合理性的，评标委员会应当将其作为无效投标处理。     </w:t>
      </w:r>
    </w:p>
    <w:p w14:paraId="43645326">
      <w:pPr>
        <w:spacing w:line="390" w:lineRule="exact"/>
        <w:ind w:right="-168" w:rightChars="-80" w:firstLine="435"/>
        <w:rPr>
          <w:rFonts w:ascii="仿宋_GB2312" w:eastAsia="仿宋_GB2312"/>
          <w:b/>
          <w:bCs/>
          <w:color w:val="auto"/>
          <w:sz w:val="24"/>
        </w:rPr>
      </w:pPr>
      <w:r>
        <w:rPr>
          <w:rFonts w:hint="eastAsia" w:ascii="仿宋_GB2312" w:eastAsia="仿宋_GB2312"/>
          <w:b/>
          <w:bCs/>
          <w:color w:val="auto"/>
          <w:sz w:val="24"/>
        </w:rPr>
        <w:t>二、评标方法</w:t>
      </w:r>
      <w:r>
        <w:rPr>
          <w:rFonts w:ascii="仿宋_GB2312" w:eastAsia="仿宋_GB2312"/>
          <w:b/>
          <w:bCs/>
          <w:color w:val="auto"/>
          <w:sz w:val="24"/>
        </w:rPr>
        <w:tab/>
      </w:r>
    </w:p>
    <w:p w14:paraId="7D02319A">
      <w:pPr>
        <w:spacing w:line="390" w:lineRule="exact"/>
        <w:ind w:right="-168" w:rightChars="-80" w:firstLine="435"/>
        <w:rPr>
          <w:rFonts w:ascii="仿宋_GB2312" w:eastAsia="仿宋_GB2312"/>
          <w:color w:val="auto"/>
          <w:sz w:val="24"/>
        </w:rPr>
      </w:pPr>
      <w:r>
        <w:rPr>
          <w:rFonts w:hint="eastAsia" w:ascii="仿宋_GB2312" w:eastAsia="仿宋_GB2312"/>
          <w:color w:val="auto"/>
          <w:sz w:val="24"/>
        </w:rPr>
        <w:t>（一）对进入详评的，采用百分制综合评分法。</w:t>
      </w:r>
    </w:p>
    <w:p w14:paraId="7BFA7EA1">
      <w:pPr>
        <w:spacing w:line="400" w:lineRule="atLeast"/>
        <w:ind w:firstLine="480" w:firstLineChars="200"/>
        <w:jc w:val="left"/>
        <w:rPr>
          <w:rFonts w:ascii="仿宋_GB2312" w:hAnsi="宋体" w:eastAsia="仿宋_GB2312"/>
          <w:color w:val="auto"/>
          <w:sz w:val="24"/>
        </w:rPr>
      </w:pPr>
      <w:r>
        <w:rPr>
          <w:rFonts w:hint="eastAsia" w:ascii="仿宋_GB2312" w:eastAsia="仿宋_GB2312"/>
          <w:color w:val="auto"/>
          <w:sz w:val="24"/>
        </w:rPr>
        <w:t>（二）计分办法（分值计算保留小数点后两位，第三位四舍五入）</w:t>
      </w:r>
      <w:r>
        <w:rPr>
          <w:rFonts w:hint="eastAsia" w:ascii="仿宋_GB2312" w:hAnsi="宋体" w:eastAsia="仿宋_GB2312"/>
          <w:color w:val="auto"/>
          <w:sz w:val="24"/>
        </w:rPr>
        <w:t>：</w:t>
      </w:r>
    </w:p>
    <w:tbl>
      <w:tblPr>
        <w:tblStyle w:val="814"/>
        <w:tblpPr w:leftFromText="180" w:rightFromText="180" w:vertAnchor="text" w:horzAnchor="page" w:tblpX="661" w:tblpY="378"/>
        <w:tblOverlap w:val="never"/>
        <w:tblW w:w="97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1035"/>
        <w:gridCol w:w="1022"/>
      </w:tblGrid>
      <w:tr w14:paraId="7314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772" w:type="dxa"/>
            <w:gridSpan w:val="5"/>
            <w:shd w:val="clear" w:color="auto" w:fill="D7D7D7"/>
            <w:vAlign w:val="center"/>
          </w:tcPr>
          <w:p w14:paraId="36768711">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客观分</w:t>
            </w:r>
          </w:p>
        </w:tc>
      </w:tr>
      <w:tr w14:paraId="143E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52C93F88">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评分项</w:t>
            </w:r>
          </w:p>
        </w:tc>
        <w:tc>
          <w:tcPr>
            <w:tcW w:w="1090" w:type="dxa"/>
            <w:vAlign w:val="center"/>
          </w:tcPr>
          <w:p w14:paraId="0FD69150">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评审因素</w:t>
            </w:r>
          </w:p>
        </w:tc>
        <w:tc>
          <w:tcPr>
            <w:tcW w:w="5776" w:type="dxa"/>
            <w:vAlign w:val="center"/>
          </w:tcPr>
          <w:p w14:paraId="54DFB4A3">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评分标准说明</w:t>
            </w:r>
          </w:p>
        </w:tc>
        <w:tc>
          <w:tcPr>
            <w:tcW w:w="1035" w:type="dxa"/>
            <w:vAlign w:val="center"/>
          </w:tcPr>
          <w:p w14:paraId="7C2FAE03">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分值</w:t>
            </w:r>
          </w:p>
        </w:tc>
        <w:tc>
          <w:tcPr>
            <w:tcW w:w="1022" w:type="dxa"/>
            <w:vAlign w:val="center"/>
          </w:tcPr>
          <w:p w14:paraId="7180B373">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对应的投标文件格式</w:t>
            </w:r>
          </w:p>
        </w:tc>
      </w:tr>
      <w:tr w14:paraId="450B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9" w:hRule="atLeast"/>
        </w:trPr>
        <w:tc>
          <w:tcPr>
            <w:tcW w:w="849" w:type="dxa"/>
            <w:vAlign w:val="center"/>
          </w:tcPr>
          <w:p w14:paraId="0341E48C">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价格分</w:t>
            </w:r>
          </w:p>
        </w:tc>
        <w:tc>
          <w:tcPr>
            <w:tcW w:w="1090" w:type="dxa"/>
            <w:vAlign w:val="center"/>
          </w:tcPr>
          <w:p w14:paraId="1ED2F3A3">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价格</w:t>
            </w:r>
          </w:p>
        </w:tc>
        <w:tc>
          <w:tcPr>
            <w:tcW w:w="5776" w:type="dxa"/>
            <w:vAlign w:val="center"/>
          </w:tcPr>
          <w:p w14:paraId="3A772DE7">
            <w:pPr>
              <w:spacing w:line="400" w:lineRule="exact"/>
              <w:ind w:firstLine="420" w:firstLineChars="200"/>
              <w:jc w:val="left"/>
              <w:rPr>
                <w:rFonts w:ascii="仿宋_GB2312" w:hAnsi="仿宋_GB2312" w:eastAsia="仿宋_GB2312" w:cs="仿宋_GB2312"/>
                <w:bCs/>
                <w:color w:val="auto"/>
                <w:szCs w:val="21"/>
              </w:rPr>
            </w:pPr>
            <w:r>
              <w:rPr>
                <w:rFonts w:hint="eastAsia" w:ascii="仿宋_GB2312" w:hAnsi="仿宋_GB2312" w:eastAsia="仿宋_GB2312" w:cs="仿宋_GB2312"/>
                <w:color w:val="auto"/>
                <w:szCs w:val="21"/>
              </w:rPr>
              <w:t>1.满足招标文件要求且投标价格最低的投标报价为评标基准价，其投标人的报价分为最高分30</w:t>
            </w:r>
            <w:r>
              <w:rPr>
                <w:rFonts w:hint="eastAsia" w:ascii="仿宋_GB2312" w:hAnsi="仿宋_GB2312" w:eastAsia="仿宋_GB2312" w:cs="仿宋_GB2312"/>
                <w:bCs/>
                <w:color w:val="auto"/>
                <w:szCs w:val="21"/>
              </w:rPr>
              <w:t>分；</w:t>
            </w:r>
          </w:p>
          <w:p w14:paraId="2DC6CB61">
            <w:pPr>
              <w:spacing w:line="400" w:lineRule="exact"/>
              <w:ind w:firstLine="420" w:firstLineChars="200"/>
              <w:jc w:val="left"/>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2.其他投标人的报价得分按以下公式计算：</w:t>
            </w:r>
          </w:p>
          <w:p w14:paraId="11D01D99">
            <w:pPr>
              <w:spacing w:line="400" w:lineRule="exact"/>
              <w:ind w:firstLine="420" w:firstLineChars="200"/>
              <w:jc w:val="left"/>
              <w:rPr>
                <w:rFonts w:ascii="仿宋_GB2312" w:hAnsi="仿宋_GB2312" w:eastAsia="仿宋_GB2312" w:cs="仿宋_GB2312"/>
                <w:color w:val="auto"/>
                <w:szCs w:val="21"/>
              </w:rPr>
            </w:pPr>
            <w:r>
              <w:rPr>
                <w:rFonts w:hint="eastAsia" w:ascii="仿宋_GB2312" w:hAnsi="仿宋_GB2312" w:eastAsia="仿宋_GB2312" w:cs="仿宋_GB2312"/>
                <w:bCs/>
                <w:color w:val="auto"/>
                <w:szCs w:val="21"/>
              </w:rPr>
              <w:t>报价得分=（评标基准价／某投标人投标报价）×30</w:t>
            </w:r>
            <w:r>
              <w:rPr>
                <w:rFonts w:hint="eastAsia" w:ascii="仿宋_GB2312" w:hAnsi="仿宋_GB2312" w:eastAsia="仿宋_GB2312" w:cs="仿宋_GB2312"/>
                <w:color w:val="auto"/>
                <w:szCs w:val="21"/>
              </w:rPr>
              <w:t>分；</w:t>
            </w:r>
          </w:p>
          <w:p w14:paraId="3CB429B7">
            <w:pPr>
              <w:spacing w:line="400" w:lineRule="exact"/>
              <w:ind w:firstLine="422" w:firstLineChars="200"/>
              <w:jc w:val="left"/>
              <w:rPr>
                <w:rFonts w:ascii="仿宋_GB2312" w:hAnsi="仿宋_GB2312" w:eastAsia="仿宋_GB2312" w:cs="仿宋_GB2312"/>
                <w:b/>
                <w:color w:val="auto"/>
                <w:szCs w:val="21"/>
              </w:rPr>
            </w:pPr>
            <w:r>
              <w:rPr>
                <w:rFonts w:hint="eastAsia" w:ascii="仿宋_GB2312" w:hAnsi="仿宋_GB2312" w:eastAsia="仿宋_GB2312" w:cs="仿宋_GB2312"/>
                <w:b/>
                <w:bCs/>
                <w:color w:val="auto"/>
                <w:szCs w:val="21"/>
              </w:rPr>
              <w:t>注：专门面向中小企业采购的项目或者采购包，不再执行价格评审优惠的扶持政策。</w:t>
            </w:r>
          </w:p>
        </w:tc>
        <w:tc>
          <w:tcPr>
            <w:tcW w:w="1035" w:type="dxa"/>
            <w:vAlign w:val="center"/>
          </w:tcPr>
          <w:p w14:paraId="6A93C4CE">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30</w:t>
            </w:r>
          </w:p>
        </w:tc>
        <w:tc>
          <w:tcPr>
            <w:tcW w:w="1022" w:type="dxa"/>
            <w:vAlign w:val="center"/>
          </w:tcPr>
          <w:p w14:paraId="35CECE51">
            <w:pPr>
              <w:spacing w:line="360" w:lineRule="exact"/>
              <w:jc w:val="center"/>
              <w:rPr>
                <w:rFonts w:ascii="仿宋_GB2312" w:hAnsi="仿宋_GB2312" w:eastAsia="仿宋_GB2312" w:cs="仿宋_GB2312"/>
                <w:b/>
                <w:bCs/>
                <w:color w:val="auto"/>
                <w:szCs w:val="21"/>
              </w:rPr>
            </w:pPr>
          </w:p>
        </w:tc>
      </w:tr>
      <w:tr w14:paraId="5ADF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shd w:val="clear" w:color="auto" w:fill="auto"/>
            <w:vAlign w:val="center"/>
          </w:tcPr>
          <w:p w14:paraId="330CE8A8">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信誉分</w:t>
            </w:r>
          </w:p>
        </w:tc>
        <w:tc>
          <w:tcPr>
            <w:tcW w:w="1090" w:type="dxa"/>
            <w:shd w:val="clear" w:color="auto" w:fill="auto"/>
            <w:vAlign w:val="center"/>
          </w:tcPr>
          <w:p w14:paraId="68095D87">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体系认证</w:t>
            </w:r>
          </w:p>
        </w:tc>
        <w:tc>
          <w:tcPr>
            <w:tcW w:w="5776" w:type="dxa"/>
            <w:shd w:val="clear" w:color="auto" w:fill="auto"/>
            <w:vAlign w:val="center"/>
          </w:tcPr>
          <w:p w14:paraId="5004204A">
            <w:pPr>
              <w:numPr>
                <w:ilvl w:val="255"/>
                <w:numId w:val="0"/>
              </w:numPr>
              <w:spacing w:line="400" w:lineRule="exact"/>
              <w:ind w:firstLine="420" w:firstLineChars="200"/>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1.投标人或投标产品生产厂家具备有效的质量管理体系认证证书的得2分，满分2分。</w:t>
            </w:r>
          </w:p>
          <w:p w14:paraId="55C12764">
            <w:pPr>
              <w:spacing w:line="400" w:lineRule="exact"/>
              <w:ind w:firstLine="422" w:firstLineChars="200"/>
              <w:jc w:val="left"/>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注：投标人提供证书材料并加盖投标人CA电子签章，否则不予计分。</w:t>
            </w:r>
          </w:p>
        </w:tc>
        <w:tc>
          <w:tcPr>
            <w:tcW w:w="1035" w:type="dxa"/>
            <w:shd w:val="clear" w:color="auto" w:fill="auto"/>
            <w:vAlign w:val="center"/>
          </w:tcPr>
          <w:p w14:paraId="2BD075B2">
            <w:pPr>
              <w:spacing w:line="360" w:lineRule="exact"/>
              <w:jc w:val="center"/>
              <w:rPr>
                <w:rFonts w:ascii="仿宋_GB2312" w:hAnsi="仿宋_GB2312" w:eastAsia="仿宋_GB2312" w:cs="仿宋_GB2312"/>
                <w:b/>
                <w:bCs/>
                <w:dstrike/>
                <w:color w:val="auto"/>
                <w:szCs w:val="21"/>
              </w:rPr>
            </w:pPr>
            <w:r>
              <w:rPr>
                <w:rFonts w:hint="eastAsia" w:ascii="仿宋_GB2312" w:hAnsi="仿宋_GB2312" w:eastAsia="仿宋_GB2312" w:cs="仿宋_GB2312"/>
                <w:b/>
                <w:bCs/>
                <w:color w:val="auto"/>
                <w:szCs w:val="21"/>
              </w:rPr>
              <w:t>2</w:t>
            </w:r>
          </w:p>
        </w:tc>
        <w:tc>
          <w:tcPr>
            <w:tcW w:w="1022" w:type="dxa"/>
            <w:shd w:val="clear" w:color="auto" w:fill="auto"/>
            <w:vAlign w:val="center"/>
          </w:tcPr>
          <w:p w14:paraId="42E8EF26">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相关认证证书材料</w:t>
            </w:r>
          </w:p>
        </w:tc>
      </w:tr>
      <w:tr w14:paraId="36D8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3FAF95EA">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rPr>
              <w:t>业绩分</w:t>
            </w:r>
          </w:p>
        </w:tc>
        <w:tc>
          <w:tcPr>
            <w:tcW w:w="1090" w:type="dxa"/>
            <w:vAlign w:val="center"/>
          </w:tcPr>
          <w:p w14:paraId="20AAC3D4">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bCs/>
                <w:color w:val="auto"/>
              </w:rPr>
              <w:t>项目经验</w:t>
            </w:r>
          </w:p>
        </w:tc>
        <w:tc>
          <w:tcPr>
            <w:tcW w:w="5776" w:type="dxa"/>
            <w:vAlign w:val="center"/>
          </w:tcPr>
          <w:p w14:paraId="4AFFE2F0">
            <w:pPr>
              <w:spacing w:line="400" w:lineRule="exact"/>
              <w:ind w:firstLine="420" w:firstLineChars="200"/>
              <w:rPr>
                <w:rFonts w:ascii="仿宋_GB2312" w:hAnsi="仿宋_GB2312" w:eastAsia="仿宋_GB2312" w:cs="仿宋_GB2312"/>
                <w:color w:val="auto"/>
                <w:szCs w:val="21"/>
              </w:rPr>
            </w:pPr>
            <w:r>
              <w:rPr>
                <w:rFonts w:hint="eastAsia" w:ascii="仿宋_GB2312" w:hAnsi="仿宋_GB2312" w:eastAsia="仿宋_GB2312" w:cs="仿宋_GB2312"/>
                <w:color w:val="auto"/>
                <w:szCs w:val="21"/>
              </w:rPr>
              <w:t>投标人2022年1月1日起至今本</w:t>
            </w:r>
            <w:r>
              <w:rPr>
                <w:rFonts w:hint="eastAsia" w:ascii="仿宋_GB2312" w:hAnsi="仿宋_GB2312" w:eastAsia="仿宋_GB2312" w:cs="仿宋_GB2312"/>
                <w:color w:val="auto"/>
                <w:szCs w:val="21"/>
                <w:lang w:val="en-US" w:eastAsia="zh-CN"/>
              </w:rPr>
              <w:t>分标</w:t>
            </w:r>
            <w:r>
              <w:rPr>
                <w:rFonts w:hint="eastAsia" w:ascii="仿宋_GB2312" w:hAnsi="仿宋_GB2312" w:eastAsia="仿宋_GB2312" w:cs="仿宋_GB2312"/>
                <w:color w:val="auto"/>
                <w:szCs w:val="21"/>
              </w:rPr>
              <w:t>所投产品在项目中被安装使用，每有一项得1分，满分</w:t>
            </w:r>
            <w:r>
              <w:rPr>
                <w:rFonts w:hint="eastAsia" w:ascii="仿宋_GB2312" w:hAnsi="仿宋_GB2312" w:eastAsia="仿宋_GB2312" w:cs="仿宋_GB2312"/>
                <w:color w:val="auto"/>
                <w:szCs w:val="21"/>
                <w:lang w:val="en-US" w:eastAsia="zh-CN"/>
              </w:rPr>
              <w:t>6</w:t>
            </w:r>
            <w:r>
              <w:rPr>
                <w:rFonts w:hint="eastAsia" w:ascii="仿宋_GB2312" w:hAnsi="仿宋_GB2312" w:eastAsia="仿宋_GB2312" w:cs="仿宋_GB2312"/>
                <w:color w:val="auto"/>
                <w:szCs w:val="21"/>
              </w:rPr>
              <w:t>分。</w:t>
            </w:r>
          </w:p>
          <w:p w14:paraId="1E2CD241">
            <w:pPr>
              <w:spacing w:line="400" w:lineRule="exact"/>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注：1.以合同签订时间为准；</w:t>
            </w:r>
          </w:p>
          <w:p w14:paraId="2FE593C7">
            <w:pPr>
              <w:spacing w:line="400" w:lineRule="exact"/>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2.</w:t>
            </w:r>
            <w:r>
              <w:rPr>
                <w:rFonts w:hint="eastAsia" w:ascii="仿宋_GB2312" w:hAnsi="仿宋_GB2312" w:eastAsia="仿宋_GB2312" w:cs="仿宋_GB2312"/>
                <w:b/>
                <w:bCs/>
                <w:color w:val="auto"/>
                <w:szCs w:val="21"/>
              </w:rPr>
              <w:t>投标人提供上述合同材料并加盖投标人</w:t>
            </w:r>
            <w:r>
              <w:rPr>
                <w:rFonts w:hint="eastAsia" w:ascii="仿宋_GB2312" w:hAnsi="仿宋_GB2312" w:eastAsia="仿宋_GB2312" w:cs="仿宋_GB2312"/>
                <w:b/>
                <w:color w:val="auto"/>
                <w:szCs w:val="21"/>
              </w:rPr>
              <w:t>CA电子签章</w:t>
            </w:r>
            <w:r>
              <w:rPr>
                <w:rFonts w:hint="eastAsia" w:ascii="仿宋_GB2312" w:hAnsi="仿宋_GB2312" w:eastAsia="仿宋_GB2312" w:cs="仿宋_GB2312"/>
                <w:b/>
                <w:bCs/>
                <w:color w:val="auto"/>
                <w:szCs w:val="21"/>
              </w:rPr>
              <w:t>，否则不予计分</w:t>
            </w:r>
            <w:r>
              <w:rPr>
                <w:rFonts w:hint="eastAsia" w:ascii="仿宋_GB2312" w:hAnsi="仿宋_GB2312" w:eastAsia="仿宋_GB2312" w:cs="仿宋_GB2312"/>
                <w:b/>
                <w:color w:val="auto"/>
                <w:szCs w:val="21"/>
              </w:rPr>
              <w:t>。</w:t>
            </w:r>
          </w:p>
        </w:tc>
        <w:tc>
          <w:tcPr>
            <w:tcW w:w="1035" w:type="dxa"/>
            <w:vAlign w:val="center"/>
          </w:tcPr>
          <w:p w14:paraId="211E5861">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lang w:val="en-US" w:eastAsia="zh-CN"/>
              </w:rPr>
              <w:t>6</w:t>
            </w:r>
          </w:p>
        </w:tc>
        <w:tc>
          <w:tcPr>
            <w:tcW w:w="1022" w:type="dxa"/>
            <w:vAlign w:val="center"/>
          </w:tcPr>
          <w:p w14:paraId="06F22CA8">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投标人项目经验一览表</w:t>
            </w:r>
          </w:p>
        </w:tc>
      </w:tr>
      <w:tr w14:paraId="2598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Align w:val="center"/>
          </w:tcPr>
          <w:p w14:paraId="4C336F78">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rPr>
              <w:t>系统性能演示分</w:t>
            </w:r>
          </w:p>
        </w:tc>
        <w:tc>
          <w:tcPr>
            <w:tcW w:w="1090" w:type="dxa"/>
            <w:vAlign w:val="center"/>
          </w:tcPr>
          <w:p w14:paraId="3A8F88D6">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rPr>
              <w:t>系统性能演示</w:t>
            </w:r>
          </w:p>
        </w:tc>
        <w:tc>
          <w:tcPr>
            <w:tcW w:w="5776" w:type="dxa"/>
            <w:vAlign w:val="center"/>
          </w:tcPr>
          <w:p w14:paraId="23E64CB1">
            <w:pPr>
              <w:spacing w:line="400" w:lineRule="exact"/>
              <w:ind w:firstLine="420" w:firstLineChars="200"/>
              <w:rPr>
                <w:rFonts w:ascii="仿宋_GB2312" w:hAnsi="仿宋_GB2312" w:eastAsia="仿宋_GB2312" w:cs="仿宋_GB2312"/>
                <w:color w:val="auto"/>
                <w:szCs w:val="21"/>
              </w:rPr>
            </w:pPr>
            <w:r>
              <w:rPr>
                <w:rFonts w:hint="eastAsia" w:ascii="仿宋_GB2312" w:hAnsi="仿宋_GB2312" w:eastAsia="仿宋_GB2312" w:cs="仿宋_GB2312"/>
                <w:color w:val="auto"/>
                <w:szCs w:val="21"/>
              </w:rPr>
              <w:t>针对本</w:t>
            </w:r>
            <w:r>
              <w:rPr>
                <w:rFonts w:hint="eastAsia" w:ascii="仿宋_GB2312" w:hAnsi="仿宋_GB2312" w:eastAsia="仿宋_GB2312" w:cs="仿宋_GB2312"/>
                <w:color w:val="auto"/>
                <w:szCs w:val="21"/>
                <w:lang w:val="en-US" w:eastAsia="zh-CN"/>
              </w:rPr>
              <w:t>分标</w:t>
            </w:r>
            <w:r>
              <w:rPr>
                <w:rFonts w:hint="eastAsia" w:ascii="仿宋_GB2312" w:hAnsi="仿宋_GB2312" w:eastAsia="仿宋_GB2312" w:cs="仿宋_GB2312"/>
                <w:color w:val="auto"/>
                <w:szCs w:val="21"/>
              </w:rPr>
              <w:t>，投标人自行准备演示设备进行系统演示，由投标人对技术参数中“★</w:t>
            </w:r>
            <w:r>
              <w:rPr>
                <w:rFonts w:hint="eastAsia" w:ascii="仿宋_GB2312" w:hAnsi="仿宋_GB2312" w:eastAsia="仿宋_GB2312" w:cs="仿宋_GB2312"/>
                <w:color w:val="auto"/>
                <w:szCs w:val="21"/>
                <w:u w:val="none"/>
              </w:rPr>
              <w:t>加下划线</w:t>
            </w:r>
            <w:r>
              <w:rPr>
                <w:rFonts w:hint="eastAsia" w:ascii="仿宋_GB2312" w:hAnsi="仿宋_GB2312" w:eastAsia="仿宋_GB2312" w:cs="仿宋_GB2312"/>
                <w:color w:val="auto"/>
                <w:szCs w:val="21"/>
                <w:u w:val="single"/>
                <w:lang w:val="en-US" w:eastAsia="zh-CN"/>
              </w:rPr>
              <w:t xml:space="preserve">      </w:t>
            </w:r>
            <w:r>
              <w:rPr>
                <w:rFonts w:hint="eastAsia" w:ascii="仿宋_GB2312" w:hAnsi="仿宋_GB2312" w:eastAsia="仿宋_GB2312" w:cs="仿宋_GB2312"/>
                <w:color w:val="auto"/>
                <w:szCs w:val="21"/>
              </w:rPr>
              <w:t>”技术参数（5个）自行选择并进行演示，每满足一项得</w:t>
            </w:r>
            <w:r>
              <w:rPr>
                <w:rFonts w:hint="eastAsia" w:ascii="仿宋_GB2312" w:hAnsi="仿宋_GB2312" w:eastAsia="仿宋_GB2312" w:cs="仿宋_GB2312"/>
                <w:color w:val="auto"/>
                <w:szCs w:val="21"/>
                <w:lang w:val="en-US" w:eastAsia="zh-CN"/>
              </w:rPr>
              <w:t>3</w:t>
            </w:r>
            <w:r>
              <w:rPr>
                <w:rFonts w:hint="eastAsia" w:ascii="仿宋_GB2312" w:hAnsi="仿宋_GB2312" w:eastAsia="仿宋_GB2312" w:cs="仿宋_GB2312"/>
                <w:color w:val="auto"/>
                <w:szCs w:val="21"/>
              </w:rPr>
              <w:t>分，满分1</w:t>
            </w:r>
            <w:r>
              <w:rPr>
                <w:rFonts w:hint="eastAsia" w:ascii="仿宋_GB2312" w:hAnsi="仿宋_GB2312" w:eastAsia="仿宋_GB2312" w:cs="仿宋_GB2312"/>
                <w:color w:val="auto"/>
                <w:szCs w:val="21"/>
                <w:lang w:val="en-US" w:eastAsia="zh-CN"/>
              </w:rPr>
              <w:t>5</w:t>
            </w:r>
            <w:r>
              <w:rPr>
                <w:rFonts w:hint="eastAsia" w:ascii="仿宋_GB2312" w:hAnsi="仿宋_GB2312" w:eastAsia="仿宋_GB2312" w:cs="仿宋_GB2312"/>
                <w:color w:val="auto"/>
                <w:szCs w:val="21"/>
              </w:rPr>
              <w:t>分，不演示不得分。</w:t>
            </w:r>
          </w:p>
          <w:p w14:paraId="75E16A83">
            <w:pPr>
              <w:spacing w:line="400" w:lineRule="exact"/>
              <w:ind w:firstLine="422" w:firstLineChars="200"/>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演示要求：1.必须按照参数对照投标产品逐条予以演示，演示视频以图片或提前录制视频方式呈现的演示无效，不予计分；</w:t>
            </w:r>
            <w:r>
              <w:rPr>
                <w:rFonts w:hint="eastAsia" w:ascii="仿宋_GB2312" w:hAnsi="仿宋_GB2312" w:eastAsia="仿宋_GB2312" w:cs="仿宋_GB2312"/>
                <w:b/>
                <w:bCs/>
                <w:color w:val="auto"/>
                <w:szCs w:val="21"/>
              </w:rPr>
              <w:br w:type="textWrapping"/>
            </w:r>
            <w:r>
              <w:rPr>
                <w:rFonts w:hint="eastAsia" w:ascii="仿宋_GB2312" w:hAnsi="仿宋_GB2312" w:eastAsia="仿宋_GB2312" w:cs="仿宋_GB2312"/>
                <w:b/>
                <w:bCs/>
                <w:color w:val="auto"/>
                <w:szCs w:val="21"/>
              </w:rPr>
              <w:t xml:space="preserve">    2.演示时间：不超过10分钟，超时演示部分不予计分；  </w:t>
            </w:r>
            <w:r>
              <w:rPr>
                <w:rFonts w:hint="eastAsia" w:ascii="仿宋_GB2312" w:hAnsi="仿宋_GB2312" w:eastAsia="仿宋_GB2312" w:cs="仿宋_GB2312"/>
                <w:b/>
                <w:bCs/>
                <w:color w:val="auto"/>
                <w:szCs w:val="21"/>
              </w:rPr>
              <w:br w:type="textWrapping"/>
            </w:r>
            <w:r>
              <w:rPr>
                <w:rFonts w:hint="eastAsia" w:ascii="仿宋_GB2312" w:hAnsi="仿宋_GB2312" w:eastAsia="仿宋_GB2312" w:cs="仿宋_GB2312"/>
                <w:b/>
                <w:bCs/>
                <w:color w:val="auto"/>
                <w:szCs w:val="21"/>
              </w:rPr>
              <w:t xml:space="preserve">    3.投标人通过广西政府采购云平台进行远程演示，具体演示开始时间以评标委员会向投标人发出邀请为准。</w:t>
            </w:r>
          </w:p>
          <w:p w14:paraId="6BABCB38">
            <w:pPr>
              <w:spacing w:line="400" w:lineRule="exact"/>
              <w:ind w:firstLine="422" w:firstLineChars="200"/>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4.投标人及时熟悉掌握远程演示操作指南：https://helpcenter.zcygov.cn/document#/document/detail?siteCode=gx&amp;manualId=4535&amp;topicId=156</w:t>
            </w:r>
          </w:p>
        </w:tc>
        <w:tc>
          <w:tcPr>
            <w:tcW w:w="1035" w:type="dxa"/>
            <w:vAlign w:val="center"/>
          </w:tcPr>
          <w:p w14:paraId="30DF73AD">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1</w:t>
            </w:r>
            <w:r>
              <w:rPr>
                <w:rFonts w:hint="eastAsia" w:ascii="仿宋_GB2312" w:hAnsi="仿宋_GB2312" w:eastAsia="仿宋_GB2312" w:cs="仿宋_GB2312"/>
                <w:b/>
                <w:bCs/>
                <w:color w:val="auto"/>
                <w:szCs w:val="21"/>
                <w:lang w:val="en-US" w:eastAsia="zh-CN"/>
              </w:rPr>
              <w:t>5</w:t>
            </w:r>
          </w:p>
        </w:tc>
        <w:tc>
          <w:tcPr>
            <w:tcW w:w="1022" w:type="dxa"/>
            <w:vAlign w:val="center"/>
          </w:tcPr>
          <w:p w14:paraId="5DFFEBE8">
            <w:pPr>
              <w:spacing w:line="360" w:lineRule="exact"/>
              <w:jc w:val="center"/>
              <w:rPr>
                <w:rFonts w:hint="default" w:ascii="仿宋_GB2312" w:hAnsi="仿宋_GB2312" w:eastAsia="仿宋_GB2312" w:cs="仿宋_GB2312"/>
                <w:b/>
                <w:bCs/>
                <w:color w:val="auto"/>
                <w:szCs w:val="21"/>
                <w:lang w:val="en-US" w:eastAsia="zh-CN"/>
              </w:rPr>
            </w:pPr>
            <w:r>
              <w:rPr>
                <w:rFonts w:hint="eastAsia" w:ascii="仿宋_GB2312" w:hAnsi="仿宋_GB2312" w:eastAsia="仿宋_GB2312" w:cs="仿宋_GB2312"/>
                <w:color w:val="auto"/>
                <w:szCs w:val="21"/>
                <w:lang w:val="en-US" w:eastAsia="zh-CN"/>
              </w:rPr>
              <w:t>系统演示</w:t>
            </w:r>
          </w:p>
        </w:tc>
      </w:tr>
      <w:tr w14:paraId="48BF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shd w:val="clear" w:color="auto" w:fill="auto"/>
            <w:vAlign w:val="center"/>
          </w:tcPr>
          <w:p w14:paraId="69B8D14A">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岗位管理方案分</w:t>
            </w:r>
          </w:p>
        </w:tc>
        <w:tc>
          <w:tcPr>
            <w:tcW w:w="1090" w:type="dxa"/>
            <w:shd w:val="clear" w:color="auto" w:fill="auto"/>
            <w:vAlign w:val="center"/>
          </w:tcPr>
          <w:p w14:paraId="5DC94073">
            <w:pPr>
              <w:widowControl/>
              <w:spacing w:line="360" w:lineRule="exact"/>
              <w:jc w:val="center"/>
              <w:rPr>
                <w:rFonts w:ascii="仿宋_GB2312" w:hAnsi="仿宋_GB2312" w:cs="仿宋_GB2312"/>
                <w:b/>
                <w:bCs/>
                <w:color w:val="auto"/>
                <w:szCs w:val="21"/>
              </w:rPr>
            </w:pPr>
            <w:r>
              <w:rPr>
                <w:rFonts w:hint="eastAsia" w:ascii="仿宋_GB2312" w:hAnsi="仿宋_GB2312" w:eastAsia="仿宋_GB2312" w:cs="仿宋_GB2312"/>
                <w:b/>
                <w:bCs/>
                <w:color w:val="auto"/>
              </w:rPr>
              <w:t>人员配备方案</w:t>
            </w:r>
          </w:p>
        </w:tc>
        <w:tc>
          <w:tcPr>
            <w:tcW w:w="5776" w:type="dxa"/>
            <w:shd w:val="clear" w:color="auto" w:fill="auto"/>
            <w:vAlign w:val="center"/>
          </w:tcPr>
          <w:p w14:paraId="35812201">
            <w:pPr>
              <w:pStyle w:val="815"/>
              <w:numPr>
                <w:ilvl w:val="255"/>
                <w:numId w:val="0"/>
              </w:numPr>
              <w:spacing w:line="400" w:lineRule="exact"/>
              <w:ind w:firstLine="420" w:firstLineChars="200"/>
              <w:rPr>
                <w:rFonts w:ascii="仿宋_GB2312" w:hAnsi="仿宋_GB2312" w:eastAsia="仿宋_GB2312" w:cs="仿宋_GB2312"/>
                <w:color w:val="auto"/>
              </w:rPr>
            </w:pPr>
            <w:r>
              <w:rPr>
                <w:rFonts w:hint="eastAsia" w:ascii="仿宋_GB2312" w:hAnsi="仿宋_GB2312" w:eastAsia="仿宋_GB2312" w:cs="仿宋_GB2312"/>
                <w:color w:val="auto"/>
              </w:rPr>
              <w:t>1.拟投入本项目人员具备二级（含以上）电子商务师职业技能等级证书的</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每</w:t>
            </w:r>
            <w:r>
              <w:rPr>
                <w:rFonts w:hint="eastAsia" w:ascii="仿宋_GB2312" w:hAnsi="仿宋_GB2312" w:eastAsia="仿宋_GB2312" w:cs="仿宋_GB2312"/>
                <w:color w:val="auto"/>
                <w:lang w:val="en-US" w:eastAsia="zh-CN"/>
              </w:rPr>
              <w:t>有一人</w:t>
            </w:r>
            <w:r>
              <w:rPr>
                <w:rFonts w:hint="eastAsia" w:ascii="仿宋_GB2312" w:hAnsi="仿宋_GB2312" w:eastAsia="仿宋_GB2312" w:cs="仿宋_GB2312"/>
                <w:color w:val="auto"/>
              </w:rPr>
              <w:t>得3分，满分9分。</w:t>
            </w:r>
          </w:p>
          <w:p w14:paraId="7BB79BE0">
            <w:pPr>
              <w:pStyle w:val="815"/>
              <w:numPr>
                <w:ilvl w:val="255"/>
                <w:numId w:val="0"/>
              </w:numPr>
              <w:spacing w:line="400" w:lineRule="exact"/>
              <w:ind w:firstLine="420" w:firstLineChars="200"/>
              <w:rPr>
                <w:rFonts w:ascii="仿宋_GB2312" w:hAnsi="仿宋_GB2312" w:eastAsia="仿宋_GB2312" w:cs="仿宋_GB2312"/>
                <w:color w:val="auto"/>
              </w:rPr>
            </w:pPr>
            <w:r>
              <w:rPr>
                <w:rFonts w:hint="eastAsia" w:ascii="仿宋_GB2312" w:hAnsi="仿宋_GB2312" w:eastAsia="仿宋_GB2312" w:cs="仿宋_GB2312"/>
                <w:color w:val="auto"/>
              </w:rPr>
              <w:t>2.拟投入本项目人员具备二级（含以上）互联网营销师职业技能等级证书的</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每</w:t>
            </w:r>
            <w:r>
              <w:rPr>
                <w:rFonts w:hint="eastAsia" w:ascii="仿宋_GB2312" w:hAnsi="仿宋_GB2312" w:eastAsia="仿宋_GB2312" w:cs="仿宋_GB2312"/>
                <w:color w:val="auto"/>
                <w:lang w:val="en-US" w:eastAsia="zh-CN"/>
              </w:rPr>
              <w:t>有一人</w:t>
            </w:r>
            <w:r>
              <w:rPr>
                <w:rFonts w:hint="eastAsia" w:ascii="仿宋_GB2312" w:hAnsi="仿宋_GB2312" w:eastAsia="仿宋_GB2312" w:cs="仿宋_GB2312"/>
                <w:color w:val="auto"/>
              </w:rPr>
              <w:t>得3分，满分6分。</w:t>
            </w:r>
          </w:p>
          <w:p w14:paraId="71716056">
            <w:pPr>
              <w:pStyle w:val="815"/>
              <w:numPr>
                <w:ilvl w:val="255"/>
                <w:numId w:val="0"/>
              </w:numPr>
              <w:spacing w:line="400" w:lineRule="exact"/>
              <w:ind w:firstLine="422" w:firstLineChars="200"/>
              <w:rPr>
                <w:rFonts w:ascii="仿宋_GB2312" w:hAnsi="仿宋_GB2312" w:eastAsia="仿宋_GB2312" w:cs="仿宋_GB2312"/>
                <w:b/>
                <w:color w:val="auto"/>
              </w:rPr>
            </w:pPr>
            <w:r>
              <w:rPr>
                <w:rFonts w:hint="eastAsia" w:ascii="仿宋_GB2312" w:hAnsi="仿宋_GB2312" w:eastAsia="仿宋_GB2312" w:cs="仿宋_GB2312"/>
                <w:b/>
                <w:bCs/>
                <w:color w:val="auto"/>
              </w:rPr>
              <w:t>注：</w:t>
            </w:r>
            <w:r>
              <w:rPr>
                <w:rFonts w:hint="eastAsia" w:ascii="仿宋_GB2312" w:hAnsi="仿宋_GB2312" w:eastAsia="仿宋_GB2312" w:cs="仿宋_GB2312"/>
                <w:b/>
                <w:bCs/>
                <w:color w:val="auto"/>
                <w:lang w:val="en-US" w:eastAsia="zh-CN"/>
              </w:rPr>
              <w:t>投标</w:t>
            </w:r>
            <w:r>
              <w:rPr>
                <w:rFonts w:hint="eastAsia" w:ascii="仿宋_GB2312" w:hAnsi="仿宋_GB2312" w:eastAsia="仿宋_GB2312" w:cs="仿宋_GB2312"/>
                <w:b/>
                <w:bCs/>
                <w:color w:val="auto"/>
              </w:rPr>
              <w:t>文件中必须提供上述人员相应证书，并且提供供应商与上述人员签订的劳动（劳务）合同扫描件，否则</w:t>
            </w:r>
            <w:r>
              <w:rPr>
                <w:rFonts w:hint="eastAsia" w:ascii="仿宋_GB2312" w:hAnsi="仿宋_GB2312" w:eastAsia="仿宋_GB2312" w:cs="仿宋_GB2312"/>
                <w:b/>
                <w:bCs/>
                <w:color w:val="auto"/>
                <w:lang w:val="en-US" w:eastAsia="zh-CN"/>
              </w:rPr>
              <w:t>该人员</w:t>
            </w:r>
            <w:r>
              <w:rPr>
                <w:rFonts w:hint="eastAsia" w:ascii="仿宋_GB2312" w:hAnsi="仿宋_GB2312" w:eastAsia="仿宋_GB2312" w:cs="仿宋_GB2312"/>
                <w:b/>
                <w:bCs/>
                <w:color w:val="auto"/>
              </w:rPr>
              <w:t>不予计分。</w:t>
            </w:r>
          </w:p>
        </w:tc>
        <w:tc>
          <w:tcPr>
            <w:tcW w:w="1035" w:type="dxa"/>
            <w:shd w:val="clear" w:color="auto" w:fill="auto"/>
            <w:vAlign w:val="center"/>
          </w:tcPr>
          <w:p w14:paraId="5A088CCD">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15</w:t>
            </w:r>
          </w:p>
        </w:tc>
        <w:tc>
          <w:tcPr>
            <w:tcW w:w="1022" w:type="dxa"/>
            <w:vAlign w:val="center"/>
          </w:tcPr>
          <w:p w14:paraId="6E92D975">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人员配备相关证明材料</w:t>
            </w:r>
          </w:p>
        </w:tc>
      </w:tr>
      <w:tr w14:paraId="2CF1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vAlign w:val="center"/>
          </w:tcPr>
          <w:p w14:paraId="1613F726">
            <w:pPr>
              <w:pStyle w:val="815"/>
              <w:tabs>
                <w:tab w:val="left" w:pos="312"/>
              </w:tabs>
              <w:spacing w:line="400" w:lineRule="exact"/>
              <w:ind w:firstLine="422" w:firstLineChars="200"/>
              <w:jc w:val="center"/>
              <w:rPr>
                <w:rFonts w:ascii="仿宋_GB2312" w:hAnsi="仿宋_GB2312" w:eastAsia="仿宋_GB2312" w:cs="仿宋_GB2312"/>
                <w:color w:val="auto"/>
              </w:rPr>
            </w:pPr>
            <w:r>
              <w:rPr>
                <w:rFonts w:hint="eastAsia" w:ascii="仿宋_GB2312" w:hAnsi="仿宋_GB2312" w:eastAsia="仿宋_GB2312" w:cs="仿宋_GB2312"/>
                <w:b/>
                <w:bCs/>
                <w:color w:val="auto"/>
              </w:rPr>
              <w:t>客观分总分</w:t>
            </w:r>
          </w:p>
        </w:tc>
        <w:tc>
          <w:tcPr>
            <w:tcW w:w="1035" w:type="dxa"/>
            <w:vAlign w:val="center"/>
          </w:tcPr>
          <w:p w14:paraId="57FD6F2B">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lang w:val="en-US" w:eastAsia="zh-CN"/>
              </w:rPr>
              <w:t>68</w:t>
            </w:r>
          </w:p>
        </w:tc>
        <w:tc>
          <w:tcPr>
            <w:tcW w:w="1022" w:type="dxa"/>
            <w:vAlign w:val="center"/>
          </w:tcPr>
          <w:p w14:paraId="21A7D45C">
            <w:pPr>
              <w:spacing w:line="360" w:lineRule="exact"/>
              <w:jc w:val="center"/>
              <w:rPr>
                <w:rFonts w:ascii="仿宋_GB2312" w:hAnsi="仿宋_GB2312" w:eastAsia="仿宋_GB2312" w:cs="仿宋_GB2312"/>
                <w:color w:val="auto"/>
                <w:szCs w:val="21"/>
              </w:rPr>
            </w:pPr>
          </w:p>
        </w:tc>
      </w:tr>
    </w:tbl>
    <w:p w14:paraId="79093DC0">
      <w:pPr>
        <w:rPr>
          <w:color w:val="auto"/>
        </w:rPr>
      </w:pPr>
    </w:p>
    <w:p w14:paraId="51A95306">
      <w:pPr>
        <w:rPr>
          <w:color w:val="auto"/>
        </w:rPr>
      </w:pPr>
    </w:p>
    <w:tbl>
      <w:tblPr>
        <w:tblStyle w:val="814"/>
        <w:tblpPr w:leftFromText="180" w:rightFromText="180" w:vertAnchor="text" w:horzAnchor="page" w:tblpX="661" w:tblpY="1"/>
        <w:tblOverlap w:val="never"/>
        <w:tblW w:w="9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024"/>
      </w:tblGrid>
      <w:tr w14:paraId="48B2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789" w:type="dxa"/>
            <w:gridSpan w:val="5"/>
            <w:shd w:val="clear" w:color="auto" w:fill="D7D7D7"/>
            <w:vAlign w:val="center"/>
          </w:tcPr>
          <w:p w14:paraId="0F7A0050">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color w:val="auto"/>
                <w:szCs w:val="21"/>
              </w:rPr>
              <w:t>主观分</w:t>
            </w:r>
          </w:p>
        </w:tc>
      </w:tr>
      <w:tr w14:paraId="1BF2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49" w:type="dxa"/>
            <w:vAlign w:val="center"/>
          </w:tcPr>
          <w:p w14:paraId="06F6D6AE">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评分项</w:t>
            </w:r>
          </w:p>
        </w:tc>
        <w:tc>
          <w:tcPr>
            <w:tcW w:w="1090" w:type="dxa"/>
            <w:vAlign w:val="center"/>
          </w:tcPr>
          <w:p w14:paraId="439505E9">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评审因素</w:t>
            </w:r>
          </w:p>
        </w:tc>
        <w:tc>
          <w:tcPr>
            <w:tcW w:w="5859" w:type="dxa"/>
            <w:vAlign w:val="center"/>
          </w:tcPr>
          <w:p w14:paraId="3AD9A9E4">
            <w:pPr>
              <w:spacing w:line="34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评分标准说明</w:t>
            </w:r>
          </w:p>
        </w:tc>
        <w:tc>
          <w:tcPr>
            <w:tcW w:w="967" w:type="dxa"/>
            <w:vAlign w:val="center"/>
          </w:tcPr>
          <w:p w14:paraId="0168B4C4">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分值</w:t>
            </w:r>
          </w:p>
        </w:tc>
        <w:tc>
          <w:tcPr>
            <w:tcW w:w="1024" w:type="dxa"/>
            <w:vAlign w:val="center"/>
          </w:tcPr>
          <w:p w14:paraId="7313E3C6">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对应的投标文件格式</w:t>
            </w:r>
          </w:p>
        </w:tc>
      </w:tr>
      <w:tr w14:paraId="2145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49" w:type="dxa"/>
            <w:vMerge w:val="restart"/>
            <w:vAlign w:val="center"/>
          </w:tcPr>
          <w:p w14:paraId="3BE07526">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售后服务方案分</w:t>
            </w:r>
          </w:p>
        </w:tc>
        <w:tc>
          <w:tcPr>
            <w:tcW w:w="1090" w:type="dxa"/>
            <w:vAlign w:val="center"/>
          </w:tcPr>
          <w:p w14:paraId="40E75103">
            <w:pPr>
              <w:widowControl/>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技术培训方案</w:t>
            </w:r>
          </w:p>
        </w:tc>
        <w:tc>
          <w:tcPr>
            <w:tcW w:w="5859" w:type="dxa"/>
            <w:vAlign w:val="center"/>
          </w:tcPr>
          <w:p w14:paraId="068D0AEA">
            <w:pPr>
              <w:pStyle w:val="815"/>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一档（</w:t>
            </w:r>
            <w:r>
              <w:rPr>
                <w:rFonts w:hint="eastAsia" w:ascii="仿宋_GB2312" w:hAnsi="仿宋_GB2312" w:eastAsia="仿宋_GB2312" w:cs="仿宋_GB2312"/>
                <w:b/>
                <w:color w:val="auto"/>
              </w:rPr>
              <w:t>10</w:t>
            </w:r>
            <w:r>
              <w:rPr>
                <w:rFonts w:hint="eastAsia" w:ascii="仿宋_GB2312" w:hAnsi="仿宋_GB2312" w:eastAsia="仿宋_GB2312" w:cs="仿宋_GB2312"/>
                <w:b/>
                <w:bCs/>
                <w:color w:val="auto"/>
              </w:rPr>
              <w:t>分）：在满足二档的基础上，</w:t>
            </w:r>
            <w:r>
              <w:rPr>
                <w:rFonts w:hint="eastAsia" w:ascii="仿宋_GB2312" w:hAnsi="仿宋_GB2312" w:eastAsia="仿宋_GB2312" w:cs="仿宋_GB2312"/>
                <w:color w:val="auto"/>
              </w:rPr>
              <w:t>培训方案详细且合理，培训人员经验丰富；培训方式灵活，包括线上（如直播、录播）、线下等多种形式，安排得当；培训内容全面，涵盖软件基本操作、常见问题解决、日常维护及进阶功能等，课时充足；提供详细的培训计划，包括时间安排、课程大纲及配套学习材料；</w:t>
            </w:r>
          </w:p>
          <w:p w14:paraId="5A5F4506">
            <w:pPr>
              <w:pStyle w:val="815"/>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二档（7分）：在满足三档的基础上，</w:t>
            </w:r>
            <w:r>
              <w:rPr>
                <w:rFonts w:hint="eastAsia" w:ascii="仿宋_GB2312" w:hAnsi="仿宋_GB2312" w:eastAsia="仿宋_GB2312" w:cs="仿宋_GB2312"/>
                <w:color w:val="auto"/>
              </w:rPr>
              <w:t xml:space="preserve">培训方案相对详细，培训方式及内容满足采购需求；能覆盖软件的主要功能操作，提供基本的培训资料； </w:t>
            </w:r>
          </w:p>
          <w:p w14:paraId="06C38C1B">
            <w:pPr>
              <w:pStyle w:val="815"/>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三档（4分）：</w:t>
            </w:r>
            <w:r>
              <w:rPr>
                <w:rFonts w:hint="eastAsia" w:ascii="仿宋_GB2312" w:hAnsi="仿宋_GB2312" w:eastAsia="仿宋_GB2312" w:cs="仿宋_GB2312"/>
                <w:color w:val="auto"/>
              </w:rPr>
              <w:t>方案满足采购需求，内容简单，能确保用户掌握软件基本使用。</w:t>
            </w:r>
          </w:p>
          <w:p w14:paraId="25DA3680">
            <w:pPr>
              <w:widowControl/>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rPr>
              <w:t>注：1.该方案内容可以包括：（1）培训方式及时间安排；（2）培训内容概述及材料清单；</w:t>
            </w:r>
          </w:p>
          <w:p w14:paraId="3C5254BD">
            <w:pPr>
              <w:pStyle w:val="815"/>
              <w:spacing w:line="400" w:lineRule="exact"/>
              <w:ind w:firstLine="422" w:firstLineChars="200"/>
              <w:rPr>
                <w:color w:val="auto"/>
              </w:rPr>
            </w:pPr>
            <w:r>
              <w:rPr>
                <w:rFonts w:hint="eastAsia" w:ascii="仿宋_GB2312" w:hAnsi="仿宋_GB2312" w:eastAsia="仿宋_GB2312" w:cs="仿宋_GB2312"/>
                <w:b/>
                <w:color w:val="auto"/>
              </w:rPr>
              <w:t>2.未提供以上方案或提供的内容与本项目无关的得0分。</w:t>
            </w:r>
          </w:p>
        </w:tc>
        <w:tc>
          <w:tcPr>
            <w:tcW w:w="967" w:type="dxa"/>
            <w:vAlign w:val="center"/>
          </w:tcPr>
          <w:p w14:paraId="7D0DE2BE">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10</w:t>
            </w:r>
          </w:p>
        </w:tc>
        <w:tc>
          <w:tcPr>
            <w:tcW w:w="1024" w:type="dxa"/>
            <w:vAlign w:val="center"/>
          </w:tcPr>
          <w:p w14:paraId="4AAA2F75">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培训方案</w:t>
            </w:r>
          </w:p>
        </w:tc>
      </w:tr>
      <w:tr w14:paraId="248D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continue"/>
            <w:vAlign w:val="center"/>
          </w:tcPr>
          <w:p w14:paraId="1C554ACD">
            <w:pPr>
              <w:spacing w:line="360" w:lineRule="exact"/>
              <w:jc w:val="center"/>
              <w:rPr>
                <w:rFonts w:ascii="仿宋_GB2312" w:hAnsi="仿宋_GB2312" w:eastAsia="仿宋_GB2312" w:cs="仿宋_GB2312"/>
                <w:color w:val="auto"/>
                <w:szCs w:val="21"/>
              </w:rPr>
            </w:pPr>
          </w:p>
        </w:tc>
        <w:tc>
          <w:tcPr>
            <w:tcW w:w="1090" w:type="dxa"/>
            <w:vAlign w:val="center"/>
          </w:tcPr>
          <w:p w14:paraId="17C8E771">
            <w:pPr>
              <w:widowControl/>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售后服务方案</w:t>
            </w:r>
          </w:p>
        </w:tc>
        <w:tc>
          <w:tcPr>
            <w:tcW w:w="5859" w:type="dxa"/>
            <w:vAlign w:val="center"/>
          </w:tcPr>
          <w:p w14:paraId="43CDD62D">
            <w:pPr>
              <w:pStyle w:val="815"/>
              <w:widowControl/>
              <w:numPr>
                <w:ilvl w:val="255"/>
                <w:numId w:val="0"/>
              </w:numPr>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一档（</w:t>
            </w:r>
            <w:r>
              <w:rPr>
                <w:rFonts w:hint="eastAsia" w:ascii="仿宋_GB2312" w:hAnsi="仿宋_GB2312" w:eastAsia="仿宋_GB2312" w:cs="仿宋_GB2312"/>
                <w:b/>
                <w:bCs/>
                <w:color w:val="auto"/>
                <w:lang w:val="en-US" w:eastAsia="zh-CN"/>
              </w:rPr>
              <w:t>8</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在满足二档的基础上，售后服务方案详细、全面、针对性强；配备专职售后技术支持人员，职责明确，响应高效；技术支持方式多样，包括电话支持、在线支持、远程协助和现场支持等，故障解决流程清晰且易于操作；有良好的定期回访制度；</w:t>
            </w:r>
          </w:p>
          <w:p w14:paraId="73EA3C83">
            <w:pPr>
              <w:pStyle w:val="815"/>
              <w:widowControl/>
              <w:numPr>
                <w:ilvl w:val="255"/>
                <w:numId w:val="0"/>
              </w:numPr>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二档（</w:t>
            </w:r>
            <w:r>
              <w:rPr>
                <w:rFonts w:hint="eastAsia" w:ascii="仿宋_GB2312" w:hAnsi="仿宋_GB2312" w:eastAsia="仿宋_GB2312" w:cs="仿宋_GB2312"/>
                <w:b/>
                <w:bCs/>
                <w:color w:val="auto"/>
                <w:lang w:val="en-US" w:eastAsia="zh-CN"/>
              </w:rPr>
              <w:t>5</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在满足三档的基础上，方案能较好满足采购需求，符合实际，有一定的针对性、可行性；售后服务有承诺，保障响应措施较有力，并有定期回访制度；</w:t>
            </w:r>
          </w:p>
          <w:p w14:paraId="2BDCB7C8">
            <w:pPr>
              <w:pStyle w:val="815"/>
              <w:widowControl/>
              <w:numPr>
                <w:ilvl w:val="255"/>
                <w:numId w:val="0"/>
              </w:numPr>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三档（</w:t>
            </w:r>
            <w:r>
              <w:rPr>
                <w:rFonts w:hint="eastAsia" w:ascii="仿宋_GB2312" w:hAnsi="仿宋_GB2312" w:eastAsia="仿宋_GB2312" w:cs="仿宋_GB2312"/>
                <w:b/>
                <w:bCs/>
                <w:color w:val="auto"/>
                <w:lang w:val="en-US" w:eastAsia="zh-CN"/>
              </w:rPr>
              <w:t>2</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：方案</w:t>
            </w:r>
            <w:r>
              <w:rPr>
                <w:rFonts w:hint="eastAsia" w:ascii="仿宋_GB2312" w:hAnsi="仿宋_GB2312" w:eastAsia="仿宋_GB2312" w:cs="仿宋_GB2312"/>
                <w:color w:val="auto"/>
                <w:lang w:val="en-US" w:eastAsia="zh-CN"/>
              </w:rPr>
              <w:t>较</w:t>
            </w:r>
            <w:r>
              <w:rPr>
                <w:rFonts w:hint="eastAsia" w:ascii="仿宋_GB2312" w:hAnsi="仿宋_GB2312" w:eastAsia="仿宋_GB2312" w:cs="仿宋_GB2312"/>
                <w:color w:val="auto"/>
              </w:rPr>
              <w:t>详细，满足采购需求，有售后服务保障内容，符合实际，方案针对性、可行性一般；</w:t>
            </w:r>
          </w:p>
          <w:p w14:paraId="7491CA0C">
            <w:pPr>
              <w:widowControl/>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szCs w:val="21"/>
              </w:rPr>
              <w:t>注：1.该方案内容可以包括：（1）售后服务技术支持方案；（2）故障应急预案；（3）定期回访维护方案。</w:t>
            </w:r>
          </w:p>
          <w:p w14:paraId="261B0123">
            <w:pPr>
              <w:pStyle w:val="815"/>
              <w:widowControl/>
              <w:numPr>
                <w:ilvl w:val="255"/>
                <w:numId w:val="0"/>
              </w:numPr>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color w:val="auto"/>
              </w:rPr>
              <w:t>2.未提供以上方案或提供的内容与本项目无关的得0分。</w:t>
            </w:r>
          </w:p>
        </w:tc>
        <w:tc>
          <w:tcPr>
            <w:tcW w:w="967" w:type="dxa"/>
            <w:vAlign w:val="center"/>
          </w:tcPr>
          <w:p w14:paraId="06D16A86">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lang w:val="en-US" w:eastAsia="zh-CN"/>
              </w:rPr>
              <w:t>8</w:t>
            </w:r>
          </w:p>
        </w:tc>
        <w:tc>
          <w:tcPr>
            <w:tcW w:w="1024" w:type="dxa"/>
            <w:vAlign w:val="center"/>
          </w:tcPr>
          <w:p w14:paraId="73158CC2">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color w:val="auto"/>
                <w:szCs w:val="21"/>
              </w:rPr>
              <w:t>售后服务方案</w:t>
            </w:r>
          </w:p>
        </w:tc>
      </w:tr>
      <w:tr w14:paraId="4168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Align w:val="center"/>
          </w:tcPr>
          <w:p w14:paraId="744D648B">
            <w:pPr>
              <w:adjustRightInd w:val="0"/>
              <w:spacing w:line="360" w:lineRule="auto"/>
              <w:jc w:val="center"/>
              <w:textAlignment w:val="baseline"/>
              <w:rPr>
                <w:rFonts w:ascii="仿宋_GB2312" w:hAnsi="仿宋_GB2312" w:cs="仿宋_GB2312"/>
                <w:color w:val="auto"/>
                <w:szCs w:val="21"/>
              </w:rPr>
            </w:pPr>
            <w:r>
              <w:rPr>
                <w:rFonts w:hint="eastAsia" w:ascii="仿宋_GB2312" w:hAnsi="仿宋_GB2312" w:eastAsia="仿宋_GB2312" w:cs="仿宋_GB2312"/>
                <w:b/>
                <w:bCs/>
                <w:color w:val="auto"/>
                <w:szCs w:val="21"/>
              </w:rPr>
              <w:t>项目执行分</w:t>
            </w:r>
          </w:p>
        </w:tc>
        <w:tc>
          <w:tcPr>
            <w:tcW w:w="1090" w:type="dxa"/>
            <w:vAlign w:val="center"/>
          </w:tcPr>
          <w:p w14:paraId="3A7BE393">
            <w:pPr>
              <w:widowControl/>
              <w:spacing w:line="360" w:lineRule="exact"/>
              <w:jc w:val="center"/>
              <w:rPr>
                <w:rFonts w:ascii="宋体" w:hAnsi="宋体" w:cs="宋体"/>
                <w:color w:val="auto"/>
                <w:szCs w:val="21"/>
              </w:rPr>
            </w:pPr>
            <w:r>
              <w:rPr>
                <w:rFonts w:hint="eastAsia" w:ascii="仿宋_GB2312" w:hAnsi="仿宋_GB2312" w:eastAsia="仿宋_GB2312" w:cs="仿宋_GB2312"/>
                <w:b/>
                <w:bCs/>
                <w:color w:val="auto"/>
                <w:szCs w:val="21"/>
              </w:rPr>
              <w:t>项目实施方案</w:t>
            </w:r>
          </w:p>
        </w:tc>
        <w:tc>
          <w:tcPr>
            <w:tcW w:w="5859" w:type="dxa"/>
            <w:vAlign w:val="center"/>
          </w:tcPr>
          <w:p w14:paraId="781D3E60">
            <w:pPr>
              <w:widowControl/>
              <w:tabs>
                <w:tab w:val="left" w:pos="312"/>
              </w:tabs>
              <w:spacing w:line="400" w:lineRule="exact"/>
              <w:ind w:firstLine="420" w:firstLineChars="200"/>
              <w:rPr>
                <w:rFonts w:ascii="仿宋_GB2312" w:hAnsi="仿宋_GB2312" w:eastAsia="仿宋_GB2312" w:cs="仿宋_GB2312"/>
                <w:color w:val="auto"/>
              </w:rPr>
            </w:pPr>
            <w:r>
              <w:rPr>
                <w:rFonts w:hint="eastAsia" w:ascii="仿宋_GB2312" w:hAnsi="仿宋_GB2312" w:eastAsia="仿宋_GB2312" w:cs="仿宋_GB2312"/>
                <w:color w:val="auto"/>
              </w:rPr>
              <w:t>一档（1</w:t>
            </w:r>
            <w:r>
              <w:rPr>
                <w:rFonts w:hint="eastAsia" w:ascii="仿宋_GB2312" w:hAnsi="仿宋_GB2312" w:eastAsia="仿宋_GB2312" w:cs="仿宋_GB2312"/>
                <w:color w:val="auto"/>
                <w:lang w:val="en-US" w:eastAsia="zh-CN"/>
              </w:rPr>
              <w:t>4</w:t>
            </w:r>
            <w:r>
              <w:rPr>
                <w:rFonts w:hint="eastAsia" w:ascii="仿宋_GB2312" w:hAnsi="仿宋_GB2312" w:eastAsia="仿宋_GB2312" w:cs="仿宋_GB2312"/>
                <w:color w:val="auto"/>
              </w:rPr>
              <w:t>分）：在二档基础上，实施方案详细完整、合理、有效、成熟，职责分工明确，人员配置合理，方案可行性高，对项目总体有深刻认识，实施计划及进度明确，结构清晰、观点及主题明确有针对性，包括完善的保障方案，保障措施考虑周全详细、可行操作性高，内容有针对性，有项目执行组织措施。</w:t>
            </w:r>
          </w:p>
          <w:p w14:paraId="47C47D75">
            <w:pPr>
              <w:widowControl/>
              <w:tabs>
                <w:tab w:val="left" w:pos="312"/>
              </w:tabs>
              <w:spacing w:line="400" w:lineRule="exact"/>
              <w:ind w:firstLine="420" w:firstLineChars="200"/>
              <w:rPr>
                <w:rFonts w:ascii="仿宋_GB2312" w:hAnsi="仿宋_GB2312" w:eastAsia="仿宋_GB2312" w:cs="仿宋_GB2312"/>
                <w:color w:val="auto"/>
              </w:rPr>
            </w:pPr>
            <w:r>
              <w:rPr>
                <w:rFonts w:hint="eastAsia" w:ascii="仿宋_GB2312" w:hAnsi="仿宋_GB2312" w:eastAsia="仿宋_GB2312" w:cs="仿宋_GB2312"/>
                <w:color w:val="auto"/>
              </w:rPr>
              <w:t>二档（</w:t>
            </w:r>
            <w:r>
              <w:rPr>
                <w:rFonts w:hint="eastAsia" w:ascii="仿宋_GB2312" w:hAnsi="仿宋_GB2312" w:eastAsia="仿宋_GB2312" w:cs="仿宋_GB2312"/>
                <w:color w:val="auto"/>
                <w:lang w:val="en-US" w:eastAsia="zh-CN"/>
              </w:rPr>
              <w:t>9</w:t>
            </w:r>
            <w:r>
              <w:rPr>
                <w:rFonts w:hint="eastAsia" w:ascii="仿宋_GB2312" w:hAnsi="仿宋_GB2312" w:eastAsia="仿宋_GB2312" w:cs="仿宋_GB2312"/>
                <w:color w:val="auto"/>
              </w:rPr>
              <w:t>分）：在三档基础上，实施方案详细可行，项目安装调试方案合理；</w:t>
            </w:r>
          </w:p>
          <w:p w14:paraId="26378E86">
            <w:pPr>
              <w:widowControl/>
              <w:tabs>
                <w:tab w:val="left" w:pos="312"/>
              </w:tabs>
              <w:spacing w:line="400" w:lineRule="exact"/>
              <w:ind w:firstLine="420" w:firstLineChars="200"/>
              <w:rPr>
                <w:rFonts w:ascii="仿宋_GB2312" w:hAnsi="仿宋_GB2312" w:eastAsia="仿宋_GB2312" w:cs="仿宋_GB2312"/>
                <w:color w:val="auto"/>
              </w:rPr>
            </w:pPr>
            <w:r>
              <w:rPr>
                <w:rFonts w:hint="eastAsia" w:ascii="仿宋_GB2312" w:hAnsi="仿宋_GB2312" w:eastAsia="仿宋_GB2312" w:cs="仿宋_GB2312"/>
                <w:color w:val="auto"/>
              </w:rPr>
              <w:t>三档（4分）：仅提供了框架性的实施方案，针对性一般，内容简单。</w:t>
            </w:r>
          </w:p>
          <w:p w14:paraId="136105A7">
            <w:pPr>
              <w:widowControl/>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rPr>
              <w:t>注：1.该方案内容可以包括：(1)人员配置;(2)实施方案职责分工;(3)实施计划及进度</w:t>
            </w:r>
            <w:r>
              <w:rPr>
                <w:rFonts w:hint="eastAsia"/>
                <w:b/>
                <w:bCs/>
                <w:color w:val="auto"/>
              </w:rPr>
              <w:t>；（4）</w:t>
            </w:r>
            <w:r>
              <w:rPr>
                <w:rFonts w:hint="eastAsia" w:ascii="仿宋_GB2312" w:hAnsi="仿宋_GB2312" w:eastAsia="仿宋_GB2312" w:cs="仿宋_GB2312"/>
                <w:b/>
                <w:bCs/>
                <w:color w:val="auto"/>
              </w:rPr>
              <w:t>安装调试方案。</w:t>
            </w:r>
          </w:p>
          <w:p w14:paraId="5336F34E">
            <w:pPr>
              <w:widowControl/>
              <w:tabs>
                <w:tab w:val="left" w:pos="312"/>
              </w:tabs>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2.未提供以上方案或提供的内容与本项目无关的得0分。</w:t>
            </w:r>
          </w:p>
        </w:tc>
        <w:tc>
          <w:tcPr>
            <w:tcW w:w="967" w:type="dxa"/>
            <w:vAlign w:val="center"/>
          </w:tcPr>
          <w:p w14:paraId="25545496">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lang w:val="en-US" w:eastAsia="zh-CN"/>
              </w:rPr>
              <w:t>14</w:t>
            </w:r>
          </w:p>
        </w:tc>
        <w:tc>
          <w:tcPr>
            <w:tcW w:w="1024" w:type="dxa"/>
            <w:vAlign w:val="center"/>
          </w:tcPr>
          <w:p w14:paraId="22B3A255">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项目实施方案</w:t>
            </w:r>
          </w:p>
        </w:tc>
      </w:tr>
      <w:tr w14:paraId="539F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vAlign w:val="center"/>
          </w:tcPr>
          <w:p w14:paraId="3D3C4F47">
            <w:pPr>
              <w:pStyle w:val="815"/>
              <w:spacing w:line="400" w:lineRule="exact"/>
              <w:ind w:firstLine="422" w:firstLineChars="200"/>
              <w:jc w:val="center"/>
              <w:rPr>
                <w:rFonts w:ascii="仿宋_GB2312" w:hAnsi="仿宋_GB2312" w:eastAsia="仿宋_GB2312" w:cs="仿宋_GB2312"/>
                <w:b/>
                <w:bCs/>
                <w:color w:val="auto"/>
              </w:rPr>
            </w:pPr>
            <w:r>
              <w:rPr>
                <w:rFonts w:hint="eastAsia" w:ascii="仿宋_GB2312" w:hAnsi="仿宋_GB2312" w:eastAsia="仿宋_GB2312" w:cs="仿宋_GB2312"/>
                <w:b/>
                <w:bCs/>
                <w:color w:val="auto"/>
              </w:rPr>
              <w:t>主观分总分</w:t>
            </w:r>
          </w:p>
        </w:tc>
        <w:tc>
          <w:tcPr>
            <w:tcW w:w="967" w:type="dxa"/>
            <w:vAlign w:val="center"/>
          </w:tcPr>
          <w:p w14:paraId="204CF905">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lang w:val="en-US" w:eastAsia="zh-CN"/>
              </w:rPr>
              <w:t>32</w:t>
            </w:r>
          </w:p>
        </w:tc>
        <w:tc>
          <w:tcPr>
            <w:tcW w:w="1024" w:type="dxa"/>
            <w:vAlign w:val="center"/>
          </w:tcPr>
          <w:p w14:paraId="40C65AD0">
            <w:pPr>
              <w:spacing w:line="360" w:lineRule="exact"/>
              <w:jc w:val="center"/>
              <w:rPr>
                <w:rFonts w:ascii="仿宋_GB2312" w:hAnsi="仿宋_GB2312" w:eastAsia="仿宋_GB2312" w:cs="仿宋_GB2312"/>
                <w:color w:val="auto"/>
                <w:szCs w:val="21"/>
              </w:rPr>
            </w:pPr>
          </w:p>
        </w:tc>
      </w:tr>
    </w:tbl>
    <w:p w14:paraId="44EA706E">
      <w:pPr>
        <w:widowControl/>
        <w:adjustRightInd w:val="0"/>
        <w:spacing w:line="440" w:lineRule="exact"/>
        <w:ind w:right="-1" w:firstLine="141" w:firstLineChars="59"/>
        <w:textAlignment w:val="baseline"/>
        <w:rPr>
          <w:rFonts w:ascii="仿宋_GB2312" w:eastAsia="仿宋_GB2312"/>
          <w:bCs/>
          <w:color w:val="auto"/>
          <w:sz w:val="24"/>
        </w:rPr>
      </w:pPr>
    </w:p>
    <w:p w14:paraId="58F18FA4">
      <w:pPr>
        <w:spacing w:line="390" w:lineRule="exact"/>
        <w:ind w:right="-168" w:rightChars="-80" w:firstLine="236" w:firstLineChars="98"/>
        <w:rPr>
          <w:rFonts w:ascii="仿宋_GB2312" w:eastAsia="仿宋_GB2312"/>
          <w:b/>
          <w:color w:val="auto"/>
          <w:sz w:val="24"/>
        </w:rPr>
      </w:pPr>
      <w:r>
        <w:rPr>
          <w:rFonts w:hint="eastAsia" w:ascii="仿宋_GB2312" w:eastAsia="仿宋_GB2312"/>
          <w:b/>
          <w:color w:val="auto"/>
          <w:sz w:val="24"/>
        </w:rPr>
        <w:t>（三）总得分=客观分+主观分</w:t>
      </w:r>
    </w:p>
    <w:p w14:paraId="61A1496E">
      <w:pPr>
        <w:adjustRightInd w:val="0"/>
        <w:spacing w:line="400" w:lineRule="exact"/>
        <w:ind w:firstLine="482" w:firstLineChars="200"/>
        <w:jc w:val="left"/>
        <w:textAlignment w:val="baseline"/>
        <w:rPr>
          <w:rFonts w:ascii="仿宋_GB2312" w:hAnsi="宋体" w:eastAsia="仿宋_GB2312"/>
          <w:b/>
          <w:color w:val="auto"/>
          <w:kern w:val="0"/>
          <w:sz w:val="24"/>
        </w:rPr>
      </w:pPr>
      <w:r>
        <w:rPr>
          <w:rFonts w:hint="eastAsia" w:ascii="仿宋_GB2312" w:hAnsi="宋体" w:eastAsia="仿宋_GB2312"/>
          <w:b/>
          <w:color w:val="auto"/>
          <w:kern w:val="0"/>
          <w:sz w:val="24"/>
        </w:rPr>
        <w:t>三、中标标准及中标候选人推荐原则</w:t>
      </w:r>
    </w:p>
    <w:p w14:paraId="16062022">
      <w:pPr>
        <w:adjustRightInd w:val="0"/>
        <w:spacing w:line="400" w:lineRule="exact"/>
        <w:ind w:firstLine="482" w:firstLineChars="200"/>
        <w:jc w:val="left"/>
        <w:textAlignment w:val="baseline"/>
        <w:rPr>
          <w:rFonts w:ascii="仿宋_GB2312" w:hAnsi="宋体" w:eastAsia="仿宋_GB2312"/>
          <w:b/>
          <w:color w:val="auto"/>
          <w:kern w:val="0"/>
          <w:sz w:val="24"/>
        </w:rPr>
      </w:pPr>
      <w:r>
        <w:rPr>
          <w:rFonts w:hint="eastAsia" w:ascii="仿宋_GB2312" w:hAnsi="宋体" w:eastAsia="仿宋_GB2312"/>
          <w:b/>
          <w:color w:val="auto"/>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采购人或采购代理机构应将该情况报政府采购监督管理部门，从合格的中标候选人中另行确定中标人或重新开展政府采购活动。</w:t>
      </w:r>
    </w:p>
    <w:p w14:paraId="201520EA">
      <w:pPr>
        <w:adjustRightInd w:val="0"/>
        <w:spacing w:line="400" w:lineRule="exact"/>
        <w:ind w:firstLine="482" w:firstLineChars="200"/>
        <w:jc w:val="left"/>
        <w:textAlignment w:val="baseline"/>
        <w:rPr>
          <w:rFonts w:ascii="仿宋_GB2312" w:hAnsi="宋体" w:eastAsia="仿宋_GB2312"/>
          <w:b/>
          <w:bCs/>
          <w:color w:val="auto"/>
          <w:sz w:val="24"/>
        </w:rPr>
      </w:pPr>
      <w:r>
        <w:rPr>
          <w:rFonts w:hint="eastAsia" w:ascii="仿宋_GB2312" w:hAnsi="宋体" w:eastAsia="仿宋_GB2312"/>
          <w:b/>
          <w:color w:val="auto"/>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color w:val="auto"/>
          <w:sz w:val="24"/>
        </w:rPr>
        <w:t>。</w:t>
      </w:r>
    </w:p>
    <w:p w14:paraId="0050C5E3">
      <w:pPr>
        <w:adjustRightInd w:val="0"/>
        <w:spacing w:line="400" w:lineRule="exact"/>
        <w:ind w:firstLine="482" w:firstLineChars="200"/>
        <w:jc w:val="left"/>
        <w:textAlignment w:val="baseline"/>
        <w:rPr>
          <w:rFonts w:ascii="仿宋_GB2312" w:hAnsi="宋体" w:eastAsia="仿宋_GB2312"/>
          <w:b/>
          <w:bCs/>
          <w:color w:val="auto"/>
          <w:sz w:val="24"/>
        </w:rPr>
      </w:pPr>
    </w:p>
    <w:p w14:paraId="4C12691F">
      <w:pPr>
        <w:rPr>
          <w:b/>
          <w:color w:val="auto"/>
          <w:sz w:val="24"/>
        </w:rPr>
      </w:pPr>
    </w:p>
    <w:p w14:paraId="347813C3">
      <w:pPr>
        <w:rPr>
          <w:color w:val="auto"/>
        </w:rPr>
      </w:pPr>
    </w:p>
    <w:p w14:paraId="0059A424">
      <w:pPr>
        <w:rPr>
          <w:b/>
          <w:color w:val="auto"/>
          <w:sz w:val="24"/>
        </w:rPr>
      </w:pPr>
    </w:p>
    <w:p w14:paraId="470D95F3">
      <w:pPr>
        <w:rPr>
          <w:b/>
          <w:color w:val="auto"/>
          <w:sz w:val="24"/>
        </w:rPr>
      </w:pPr>
    </w:p>
    <w:p w14:paraId="77404BE0">
      <w:pPr>
        <w:rPr>
          <w:b/>
          <w:color w:val="auto"/>
          <w:sz w:val="24"/>
        </w:rPr>
      </w:pPr>
    </w:p>
    <w:p w14:paraId="5C9946E2">
      <w:pPr>
        <w:rPr>
          <w:b/>
          <w:color w:val="auto"/>
          <w:sz w:val="24"/>
        </w:rPr>
      </w:pPr>
    </w:p>
    <w:p w14:paraId="254DE958">
      <w:pPr>
        <w:rPr>
          <w:b/>
          <w:color w:val="auto"/>
          <w:sz w:val="24"/>
        </w:rPr>
      </w:pPr>
    </w:p>
    <w:p w14:paraId="7A97A122">
      <w:pPr>
        <w:rPr>
          <w:b/>
          <w:color w:val="auto"/>
          <w:sz w:val="24"/>
        </w:rPr>
      </w:pPr>
    </w:p>
    <w:p w14:paraId="3EC0F061">
      <w:pPr>
        <w:rPr>
          <w:b/>
          <w:color w:val="auto"/>
          <w:sz w:val="24"/>
        </w:rPr>
      </w:pPr>
    </w:p>
    <w:p w14:paraId="4E8C5177">
      <w:pPr>
        <w:rPr>
          <w:b/>
          <w:color w:val="auto"/>
          <w:sz w:val="24"/>
        </w:rPr>
      </w:pPr>
    </w:p>
    <w:p w14:paraId="3A231300">
      <w:pPr>
        <w:rPr>
          <w:b/>
          <w:color w:val="auto"/>
          <w:sz w:val="24"/>
        </w:rPr>
      </w:pPr>
    </w:p>
    <w:p w14:paraId="71068844">
      <w:pPr>
        <w:rPr>
          <w:b/>
          <w:color w:val="auto"/>
          <w:sz w:val="24"/>
        </w:rPr>
      </w:pPr>
    </w:p>
    <w:p w14:paraId="49E8CA31">
      <w:pPr>
        <w:rPr>
          <w:b/>
          <w:color w:val="auto"/>
          <w:sz w:val="24"/>
        </w:rPr>
      </w:pPr>
    </w:p>
    <w:p w14:paraId="6D79BE04">
      <w:pPr>
        <w:rPr>
          <w:b/>
          <w:color w:val="auto"/>
          <w:sz w:val="24"/>
        </w:rPr>
      </w:pPr>
    </w:p>
    <w:p w14:paraId="62A73E83">
      <w:pPr>
        <w:rPr>
          <w:b/>
          <w:color w:val="auto"/>
          <w:sz w:val="24"/>
        </w:rPr>
      </w:pPr>
    </w:p>
    <w:p w14:paraId="34AE722A">
      <w:pPr>
        <w:rPr>
          <w:b/>
          <w:color w:val="auto"/>
          <w:sz w:val="24"/>
        </w:rPr>
      </w:pPr>
    </w:p>
    <w:p w14:paraId="7179804A">
      <w:pPr>
        <w:rPr>
          <w:b/>
          <w:color w:val="auto"/>
          <w:sz w:val="24"/>
        </w:rPr>
      </w:pPr>
    </w:p>
    <w:p w14:paraId="5B7C78DB">
      <w:pPr>
        <w:rPr>
          <w:b/>
          <w:color w:val="auto"/>
          <w:sz w:val="24"/>
        </w:rPr>
      </w:pPr>
    </w:p>
    <w:p w14:paraId="52CD9EFB">
      <w:pPr>
        <w:rPr>
          <w:b/>
          <w:color w:val="auto"/>
          <w:sz w:val="24"/>
        </w:rPr>
      </w:pPr>
    </w:p>
    <w:p w14:paraId="63BCF6F8">
      <w:pPr>
        <w:rPr>
          <w:b/>
          <w:color w:val="auto"/>
          <w:sz w:val="24"/>
        </w:rPr>
      </w:pPr>
    </w:p>
    <w:p w14:paraId="7A260F8D">
      <w:pPr>
        <w:rPr>
          <w:b/>
          <w:color w:val="auto"/>
          <w:sz w:val="24"/>
        </w:rPr>
      </w:pPr>
    </w:p>
    <w:p w14:paraId="21671909">
      <w:pPr>
        <w:rPr>
          <w:b/>
          <w:color w:val="auto"/>
          <w:sz w:val="24"/>
        </w:rPr>
      </w:pPr>
    </w:p>
    <w:p w14:paraId="2F2B53BC">
      <w:pPr>
        <w:rPr>
          <w:b/>
          <w:color w:val="auto"/>
          <w:sz w:val="24"/>
        </w:rPr>
      </w:pPr>
    </w:p>
    <w:p w14:paraId="7425C3BE">
      <w:pPr>
        <w:rPr>
          <w:b/>
          <w:color w:val="auto"/>
          <w:sz w:val="24"/>
        </w:rPr>
      </w:pPr>
    </w:p>
    <w:p w14:paraId="6C4D141D">
      <w:pPr>
        <w:rPr>
          <w:b/>
          <w:color w:val="auto"/>
          <w:sz w:val="24"/>
        </w:rPr>
      </w:pPr>
    </w:p>
    <w:p w14:paraId="21A415E7">
      <w:pPr>
        <w:rPr>
          <w:b/>
          <w:color w:val="auto"/>
          <w:sz w:val="24"/>
        </w:rPr>
      </w:pPr>
    </w:p>
    <w:p w14:paraId="75D149D1">
      <w:pPr>
        <w:rPr>
          <w:b/>
          <w:color w:val="auto"/>
          <w:sz w:val="24"/>
        </w:rPr>
      </w:pPr>
    </w:p>
    <w:p w14:paraId="27285093">
      <w:pPr>
        <w:rPr>
          <w:b/>
          <w:color w:val="auto"/>
          <w:sz w:val="24"/>
        </w:rPr>
      </w:pPr>
    </w:p>
    <w:p w14:paraId="2B5B6F7C">
      <w:pPr>
        <w:tabs>
          <w:tab w:val="left" w:pos="3055"/>
        </w:tabs>
        <w:jc w:val="center"/>
        <w:rPr>
          <w:b/>
          <w:color w:val="auto"/>
          <w:sz w:val="30"/>
          <w:szCs w:val="30"/>
        </w:rPr>
      </w:pPr>
      <w:r>
        <w:rPr>
          <w:rFonts w:hint="eastAsia" w:ascii="宋体" w:hAnsi="宋体" w:cs="Courier New"/>
          <w:b/>
          <w:bCs/>
          <w:color w:val="auto"/>
          <w:sz w:val="32"/>
          <w:szCs w:val="32"/>
        </w:rPr>
        <w:t>评标方法及评标标准（</w:t>
      </w:r>
      <w:r>
        <w:rPr>
          <w:rFonts w:hint="eastAsia" w:ascii="宋体" w:hAnsi="宋体" w:cs="Courier New"/>
          <w:b/>
          <w:bCs/>
          <w:color w:val="auto"/>
          <w:sz w:val="32"/>
          <w:szCs w:val="32"/>
          <w:lang w:val="en-US" w:eastAsia="zh-CN"/>
        </w:rPr>
        <w:t>分标4</w:t>
      </w:r>
      <w:r>
        <w:rPr>
          <w:rFonts w:hint="eastAsia" w:ascii="宋体" w:hAnsi="宋体" w:cs="Courier New"/>
          <w:b/>
          <w:bCs/>
          <w:color w:val="auto"/>
          <w:sz w:val="32"/>
          <w:szCs w:val="32"/>
        </w:rPr>
        <w:t>）</w:t>
      </w:r>
    </w:p>
    <w:p w14:paraId="39AD925D">
      <w:pPr>
        <w:spacing w:line="390" w:lineRule="exact"/>
        <w:ind w:right="-168" w:rightChars="-80" w:firstLine="482" w:firstLineChars="200"/>
        <w:rPr>
          <w:rFonts w:ascii="仿宋_GB2312" w:eastAsia="仿宋_GB2312"/>
          <w:b/>
          <w:bCs/>
          <w:color w:val="auto"/>
          <w:sz w:val="24"/>
        </w:rPr>
      </w:pPr>
      <w:r>
        <w:rPr>
          <w:rFonts w:hint="eastAsia" w:ascii="仿宋_GB2312" w:eastAsia="仿宋_GB2312"/>
          <w:b/>
          <w:bCs/>
          <w:color w:val="auto"/>
          <w:sz w:val="24"/>
        </w:rPr>
        <w:t>一、评标原则</w:t>
      </w:r>
    </w:p>
    <w:p w14:paraId="3F378111">
      <w:pPr>
        <w:spacing w:line="390" w:lineRule="exact"/>
        <w:ind w:right="-168" w:rightChars="-80"/>
        <w:rPr>
          <w:rFonts w:ascii="仿宋_GB2312" w:eastAsia="仿宋_GB2312"/>
          <w:color w:val="auto"/>
          <w:sz w:val="24"/>
        </w:rPr>
      </w:pPr>
      <w:r>
        <w:rPr>
          <w:rFonts w:hint="eastAsia" w:ascii="仿宋_GB2312" w:eastAsia="仿宋_GB2312"/>
          <w:color w:val="auto"/>
          <w:sz w:val="24"/>
        </w:rPr>
        <w:t xml:space="preserve">    （一）评委构成：本招标采购项目的评委分别由依法组成的评审专家、采购人代表共五人或以上单数构成，其中专家人数不少于评标委员会成员总数的三分之二。</w:t>
      </w:r>
    </w:p>
    <w:p w14:paraId="24AA49F9">
      <w:pPr>
        <w:spacing w:line="390" w:lineRule="exact"/>
        <w:ind w:right="-168" w:rightChars="-80" w:firstLine="435"/>
        <w:rPr>
          <w:rFonts w:ascii="仿宋_GB2312" w:eastAsia="仿宋_GB2312"/>
          <w:b/>
          <w:color w:val="auto"/>
          <w:sz w:val="24"/>
        </w:rPr>
      </w:pPr>
      <w:r>
        <w:rPr>
          <w:rFonts w:hint="eastAsia" w:ascii="仿宋_GB2312" w:eastAsia="仿宋_GB2312"/>
          <w:b/>
          <w:color w:val="auto"/>
          <w:sz w:val="24"/>
        </w:rPr>
        <w:t>（二）评标依据：评委将以招投标文件为评标依据，对投标人的价格、技术、信誉、业绩等方面按百分制打分。</w:t>
      </w:r>
    </w:p>
    <w:p w14:paraId="2FC8908F">
      <w:pPr>
        <w:spacing w:line="390" w:lineRule="exact"/>
        <w:ind w:right="-168" w:rightChars="-80" w:firstLine="435"/>
        <w:rPr>
          <w:rFonts w:ascii="仿宋_GB2312" w:eastAsia="仿宋_GB2312"/>
          <w:color w:val="auto"/>
          <w:sz w:val="24"/>
        </w:rPr>
      </w:pPr>
      <w:r>
        <w:rPr>
          <w:rFonts w:hint="eastAsia" w:ascii="仿宋_GB2312" w:eastAsia="仿宋_GB2312"/>
          <w:color w:val="auto"/>
          <w:sz w:val="24"/>
        </w:rPr>
        <w:t>（三）评标方式：以封闭方式进行。</w:t>
      </w:r>
    </w:p>
    <w:p w14:paraId="5FE4628C">
      <w:pPr>
        <w:spacing w:line="390" w:lineRule="exact"/>
        <w:ind w:right="-168" w:rightChars="-80" w:firstLine="435"/>
        <w:rPr>
          <w:rFonts w:ascii="仿宋_GB2312" w:eastAsia="仿宋_GB2312"/>
          <w:color w:val="auto"/>
          <w:sz w:val="24"/>
        </w:rPr>
      </w:pPr>
      <w:r>
        <w:rPr>
          <w:rFonts w:hint="eastAsia" w:ascii="仿宋_GB2312" w:eastAsia="仿宋_GB2312"/>
          <w:color w:val="auto"/>
          <w:sz w:val="24"/>
        </w:rPr>
        <w:t>（四）评标委员会认为投标人的报价明显低于其他通过符合性审查投标人的报价，有可能影响产品质量或者不能诚信履约的，</w:t>
      </w:r>
      <w:r>
        <w:rPr>
          <w:rFonts w:hint="eastAsia" w:ascii="仿宋_GB2312" w:eastAsia="仿宋_GB2312" w:cs="Courier New"/>
          <w:color w:val="auto"/>
          <w:sz w:val="24"/>
        </w:rPr>
        <w:t>应当通过广西政府采购云平台发起询标函，要求其在评标现场合理的时间内通过广西政府采购云平台提供书面说明</w:t>
      </w:r>
      <w:r>
        <w:rPr>
          <w:rFonts w:hint="eastAsia" w:ascii="仿宋_GB2312" w:eastAsia="仿宋_GB2312"/>
          <w:color w:val="auto"/>
          <w:sz w:val="24"/>
        </w:rPr>
        <w:t xml:space="preserve">，必要时提交相关证明材料；投标人不能证明其报价合理性的，评标委员会应当将其作为无效投标处理。     </w:t>
      </w:r>
    </w:p>
    <w:p w14:paraId="0565B86D">
      <w:pPr>
        <w:spacing w:line="390" w:lineRule="exact"/>
        <w:ind w:right="-168" w:rightChars="-80" w:firstLine="435"/>
        <w:rPr>
          <w:rFonts w:ascii="仿宋_GB2312" w:eastAsia="仿宋_GB2312"/>
          <w:b/>
          <w:bCs/>
          <w:color w:val="auto"/>
          <w:sz w:val="24"/>
        </w:rPr>
      </w:pPr>
      <w:r>
        <w:rPr>
          <w:rFonts w:hint="eastAsia" w:ascii="仿宋_GB2312" w:eastAsia="仿宋_GB2312"/>
          <w:b/>
          <w:bCs/>
          <w:color w:val="auto"/>
          <w:sz w:val="24"/>
        </w:rPr>
        <w:t>二、评标方法</w:t>
      </w:r>
      <w:r>
        <w:rPr>
          <w:rFonts w:ascii="仿宋_GB2312" w:eastAsia="仿宋_GB2312"/>
          <w:b/>
          <w:bCs/>
          <w:color w:val="auto"/>
          <w:sz w:val="24"/>
        </w:rPr>
        <w:tab/>
      </w:r>
    </w:p>
    <w:p w14:paraId="33EBBBEA">
      <w:pPr>
        <w:spacing w:line="390" w:lineRule="exact"/>
        <w:ind w:right="-168" w:rightChars="-80" w:firstLine="435"/>
        <w:rPr>
          <w:rFonts w:ascii="仿宋_GB2312" w:eastAsia="仿宋_GB2312"/>
          <w:color w:val="auto"/>
          <w:sz w:val="24"/>
        </w:rPr>
      </w:pPr>
      <w:r>
        <w:rPr>
          <w:rFonts w:hint="eastAsia" w:ascii="仿宋_GB2312" w:eastAsia="仿宋_GB2312"/>
          <w:color w:val="auto"/>
          <w:sz w:val="24"/>
        </w:rPr>
        <w:t>（一）对进入详评的，采用百分制综合评分法。</w:t>
      </w:r>
    </w:p>
    <w:p w14:paraId="5E97C50F">
      <w:pPr>
        <w:spacing w:line="400" w:lineRule="atLeast"/>
        <w:ind w:firstLine="480" w:firstLineChars="200"/>
        <w:jc w:val="left"/>
        <w:rPr>
          <w:rFonts w:ascii="仿宋_GB2312" w:hAnsi="宋体" w:eastAsia="仿宋_GB2312"/>
          <w:color w:val="auto"/>
          <w:sz w:val="24"/>
        </w:rPr>
      </w:pPr>
      <w:r>
        <w:rPr>
          <w:rFonts w:hint="eastAsia" w:ascii="仿宋_GB2312" w:eastAsia="仿宋_GB2312"/>
          <w:color w:val="auto"/>
          <w:sz w:val="24"/>
        </w:rPr>
        <w:t>（二）计分办法（分值计算保留小数点后两位，第三位四舍五入）</w:t>
      </w:r>
      <w:r>
        <w:rPr>
          <w:rFonts w:hint="eastAsia" w:ascii="仿宋_GB2312" w:hAnsi="宋体" w:eastAsia="仿宋_GB2312"/>
          <w:color w:val="auto"/>
          <w:sz w:val="24"/>
        </w:rPr>
        <w:t>：</w:t>
      </w:r>
    </w:p>
    <w:tbl>
      <w:tblPr>
        <w:tblStyle w:val="814"/>
        <w:tblpPr w:leftFromText="180" w:rightFromText="180" w:vertAnchor="text" w:horzAnchor="page" w:tblpX="661" w:tblpY="378"/>
        <w:tblOverlap w:val="never"/>
        <w:tblW w:w="97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1035"/>
        <w:gridCol w:w="1022"/>
      </w:tblGrid>
      <w:tr w14:paraId="3DEF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772" w:type="dxa"/>
            <w:gridSpan w:val="5"/>
            <w:shd w:val="clear" w:color="auto" w:fill="D7D7D7"/>
            <w:vAlign w:val="center"/>
          </w:tcPr>
          <w:p w14:paraId="56F5B7B1">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客观分</w:t>
            </w:r>
          </w:p>
        </w:tc>
      </w:tr>
      <w:tr w14:paraId="08AE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589AB12F">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评分项</w:t>
            </w:r>
          </w:p>
        </w:tc>
        <w:tc>
          <w:tcPr>
            <w:tcW w:w="1090" w:type="dxa"/>
            <w:vAlign w:val="center"/>
          </w:tcPr>
          <w:p w14:paraId="353C372B">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评审因素</w:t>
            </w:r>
          </w:p>
        </w:tc>
        <w:tc>
          <w:tcPr>
            <w:tcW w:w="5776" w:type="dxa"/>
            <w:vAlign w:val="center"/>
          </w:tcPr>
          <w:p w14:paraId="3884EBCC">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评分标准说明</w:t>
            </w:r>
          </w:p>
        </w:tc>
        <w:tc>
          <w:tcPr>
            <w:tcW w:w="1035" w:type="dxa"/>
            <w:vAlign w:val="center"/>
          </w:tcPr>
          <w:p w14:paraId="2B6755D5">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分值</w:t>
            </w:r>
          </w:p>
        </w:tc>
        <w:tc>
          <w:tcPr>
            <w:tcW w:w="1022" w:type="dxa"/>
            <w:vAlign w:val="center"/>
          </w:tcPr>
          <w:p w14:paraId="4CDD44E4">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对应的投标文件格式</w:t>
            </w:r>
          </w:p>
        </w:tc>
      </w:tr>
      <w:tr w14:paraId="35D4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Align w:val="center"/>
          </w:tcPr>
          <w:p w14:paraId="49F20CE7">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价格分</w:t>
            </w:r>
          </w:p>
        </w:tc>
        <w:tc>
          <w:tcPr>
            <w:tcW w:w="1090" w:type="dxa"/>
            <w:vAlign w:val="center"/>
          </w:tcPr>
          <w:p w14:paraId="56788B47">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价格</w:t>
            </w:r>
          </w:p>
        </w:tc>
        <w:tc>
          <w:tcPr>
            <w:tcW w:w="5776" w:type="dxa"/>
            <w:vAlign w:val="center"/>
          </w:tcPr>
          <w:p w14:paraId="37AB1B0B">
            <w:pPr>
              <w:spacing w:line="400" w:lineRule="exact"/>
              <w:ind w:firstLine="420" w:firstLineChars="200"/>
              <w:jc w:val="left"/>
              <w:rPr>
                <w:rFonts w:ascii="仿宋_GB2312" w:hAnsi="仿宋_GB2312" w:eastAsia="仿宋_GB2312" w:cs="仿宋_GB2312"/>
                <w:bCs/>
                <w:color w:val="auto"/>
                <w:szCs w:val="21"/>
              </w:rPr>
            </w:pPr>
            <w:r>
              <w:rPr>
                <w:rFonts w:hint="eastAsia" w:ascii="仿宋_GB2312" w:hAnsi="仿宋_GB2312" w:eastAsia="仿宋_GB2312" w:cs="仿宋_GB2312"/>
                <w:color w:val="auto"/>
                <w:szCs w:val="21"/>
              </w:rPr>
              <w:t>1.满足招标文件要求且投标价格最低的投标报价为评标基准价，其投标人的报价分为最高分30</w:t>
            </w:r>
            <w:r>
              <w:rPr>
                <w:rFonts w:hint="eastAsia" w:ascii="仿宋_GB2312" w:hAnsi="仿宋_GB2312" w:eastAsia="仿宋_GB2312" w:cs="仿宋_GB2312"/>
                <w:bCs/>
                <w:color w:val="auto"/>
                <w:szCs w:val="21"/>
              </w:rPr>
              <w:t>分；</w:t>
            </w:r>
          </w:p>
          <w:p w14:paraId="5F82244D">
            <w:pPr>
              <w:spacing w:line="400" w:lineRule="exact"/>
              <w:ind w:firstLine="420" w:firstLineChars="200"/>
              <w:jc w:val="left"/>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2.其他投标人的报价得分按以下公式计算：</w:t>
            </w:r>
          </w:p>
          <w:p w14:paraId="633652EE">
            <w:pPr>
              <w:spacing w:line="400" w:lineRule="exact"/>
              <w:ind w:firstLine="420" w:firstLineChars="200"/>
              <w:jc w:val="left"/>
              <w:rPr>
                <w:rFonts w:ascii="仿宋_GB2312" w:hAnsi="仿宋_GB2312" w:eastAsia="仿宋_GB2312" w:cs="仿宋_GB2312"/>
                <w:color w:val="auto"/>
                <w:szCs w:val="21"/>
              </w:rPr>
            </w:pPr>
            <w:r>
              <w:rPr>
                <w:rFonts w:hint="eastAsia" w:ascii="仿宋_GB2312" w:hAnsi="仿宋_GB2312" w:eastAsia="仿宋_GB2312" w:cs="仿宋_GB2312"/>
                <w:bCs/>
                <w:color w:val="auto"/>
                <w:szCs w:val="21"/>
              </w:rPr>
              <w:t>报价得分=（评标基准价／某投标人投标报价）×</w:t>
            </w:r>
            <w:r>
              <w:rPr>
                <w:rFonts w:hint="eastAsia" w:ascii="仿宋_GB2312" w:hAnsi="仿宋_GB2312" w:eastAsia="仿宋_GB2312" w:cs="仿宋_GB2312"/>
                <w:color w:val="auto"/>
                <w:szCs w:val="21"/>
                <w:lang w:bidi="ar"/>
              </w:rPr>
              <w:t>30</w:t>
            </w:r>
            <w:r>
              <w:rPr>
                <w:rFonts w:hint="eastAsia" w:ascii="仿宋_GB2312" w:hAnsi="仿宋_GB2312" w:eastAsia="仿宋_GB2312" w:cs="仿宋_GB2312"/>
                <w:color w:val="auto"/>
                <w:szCs w:val="21"/>
              </w:rPr>
              <w:t>；</w:t>
            </w:r>
          </w:p>
          <w:p w14:paraId="283497AB">
            <w:pPr>
              <w:spacing w:line="400" w:lineRule="exact"/>
              <w:ind w:firstLine="422" w:firstLineChars="200"/>
              <w:jc w:val="left"/>
              <w:rPr>
                <w:rFonts w:ascii="仿宋_GB2312" w:hAnsi="仿宋_GB2312" w:eastAsia="仿宋_GB2312" w:cs="仿宋_GB2312"/>
                <w:b/>
                <w:color w:val="auto"/>
                <w:szCs w:val="21"/>
              </w:rPr>
            </w:pPr>
            <w:r>
              <w:rPr>
                <w:rFonts w:hint="eastAsia" w:ascii="仿宋_GB2312" w:hAnsi="仿宋_GB2312" w:eastAsia="仿宋_GB2312" w:cs="仿宋_GB2312"/>
                <w:b/>
                <w:bCs/>
                <w:color w:val="auto"/>
              </w:rPr>
              <w:t>注：专门面向中小企业采购的项目或者采购包，不再执行价格评审优惠的扶持政策。</w:t>
            </w:r>
          </w:p>
        </w:tc>
        <w:tc>
          <w:tcPr>
            <w:tcW w:w="1035" w:type="dxa"/>
            <w:vAlign w:val="center"/>
          </w:tcPr>
          <w:p w14:paraId="564F92EA">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30</w:t>
            </w:r>
          </w:p>
        </w:tc>
        <w:tc>
          <w:tcPr>
            <w:tcW w:w="1022" w:type="dxa"/>
            <w:vAlign w:val="center"/>
          </w:tcPr>
          <w:p w14:paraId="739EC41C">
            <w:pPr>
              <w:jc w:val="center"/>
              <w:rPr>
                <w:rFonts w:ascii="仿宋_GB2312" w:hAnsi="仿宋_GB2312" w:eastAsia="仿宋_GB2312" w:cs="仿宋_GB2312"/>
                <w:b/>
                <w:bCs/>
                <w:color w:val="auto"/>
                <w:szCs w:val="21"/>
              </w:rPr>
            </w:pPr>
          </w:p>
        </w:tc>
      </w:tr>
      <w:tr w14:paraId="6195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5EA8EEB5">
            <w:pPr>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知识产权分</w:t>
            </w:r>
          </w:p>
        </w:tc>
        <w:tc>
          <w:tcPr>
            <w:tcW w:w="1090" w:type="dxa"/>
            <w:vAlign w:val="center"/>
          </w:tcPr>
          <w:p w14:paraId="05D9B43D">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知识产权</w:t>
            </w:r>
          </w:p>
        </w:tc>
        <w:tc>
          <w:tcPr>
            <w:tcW w:w="5776" w:type="dxa"/>
            <w:vAlign w:val="center"/>
          </w:tcPr>
          <w:p w14:paraId="4843186A">
            <w:pPr>
              <w:numPr>
                <w:ilvl w:val="-1"/>
                <w:numId w:val="0"/>
              </w:numPr>
              <w:spacing w:line="400" w:lineRule="exact"/>
              <w:ind w:firstLine="420" w:firstLineChars="200"/>
              <w:rPr>
                <w:color w:val="auto"/>
              </w:rPr>
            </w:pPr>
            <w:r>
              <w:rPr>
                <w:rFonts w:hint="eastAsia" w:ascii="仿宋_GB2312" w:hAnsi="仿宋_GB2312" w:eastAsia="仿宋_GB2312" w:cs="仿宋_GB2312"/>
                <w:color w:val="auto"/>
                <w:szCs w:val="21"/>
              </w:rPr>
              <w:t>1.投标人提供所投产品的软件评测报告</w:t>
            </w:r>
            <w:r>
              <w:rPr>
                <w:rFonts w:hint="eastAsia" w:ascii="仿宋_GB2312" w:hAnsi="仿宋_GB2312" w:eastAsia="仿宋_GB2312" w:cs="仿宋_GB2312"/>
                <w:color w:val="auto"/>
                <w:szCs w:val="21"/>
                <w:lang w:val="en-US" w:eastAsia="zh-CN"/>
              </w:rPr>
              <w:t>或</w:t>
            </w:r>
            <w:r>
              <w:rPr>
                <w:rFonts w:hint="eastAsia" w:ascii="仿宋_GB2312" w:hAnsi="仿宋_GB2312" w:eastAsia="仿宋_GB2312" w:cs="仿宋_GB2312"/>
                <w:color w:val="auto"/>
                <w:szCs w:val="21"/>
              </w:rPr>
              <w:t>软件著作权证书，提供</w:t>
            </w:r>
            <w:r>
              <w:rPr>
                <w:rFonts w:hint="eastAsia" w:ascii="仿宋_GB2312" w:hAnsi="仿宋_GB2312" w:eastAsia="仿宋_GB2312" w:cs="仿宋_GB2312"/>
                <w:color w:val="auto"/>
                <w:szCs w:val="21"/>
                <w:lang w:val="en-US" w:eastAsia="zh-CN"/>
              </w:rPr>
              <w:t>1项得1.5分，满分3分</w:t>
            </w:r>
            <w:r>
              <w:rPr>
                <w:rFonts w:hint="eastAsia" w:ascii="仿宋_GB2312" w:hAnsi="仿宋_GB2312" w:eastAsia="仿宋_GB2312" w:cs="仿宋_GB2312"/>
                <w:color w:val="auto"/>
                <w:szCs w:val="21"/>
              </w:rPr>
              <w:t>。</w:t>
            </w:r>
          </w:p>
          <w:p w14:paraId="5956E26A">
            <w:pPr>
              <w:spacing w:line="40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color w:val="auto"/>
                <w:szCs w:val="21"/>
              </w:rPr>
              <w:t>注：1.投标人提供证</w:t>
            </w:r>
            <w:r>
              <w:rPr>
                <w:rFonts w:hint="eastAsia" w:ascii="仿宋_GB2312" w:hAnsi="仿宋_GB2312" w:eastAsia="仿宋_GB2312" w:cs="仿宋_GB2312"/>
                <w:b/>
                <w:color w:val="auto"/>
                <w:szCs w:val="21"/>
                <w:lang w:val="en-US" w:eastAsia="zh-CN"/>
              </w:rPr>
              <w:t>明</w:t>
            </w:r>
            <w:r>
              <w:rPr>
                <w:rFonts w:hint="eastAsia" w:ascii="仿宋_GB2312" w:hAnsi="仿宋_GB2312" w:eastAsia="仿宋_GB2312" w:cs="仿宋_GB2312"/>
                <w:b/>
                <w:color w:val="auto"/>
                <w:szCs w:val="21"/>
              </w:rPr>
              <w:t>材料并加盖投标人CA电子签章，否则不予计分。</w:t>
            </w:r>
          </w:p>
        </w:tc>
        <w:tc>
          <w:tcPr>
            <w:tcW w:w="1035" w:type="dxa"/>
            <w:vAlign w:val="center"/>
          </w:tcPr>
          <w:p w14:paraId="5B5BEC92">
            <w:pPr>
              <w:jc w:val="center"/>
              <w:rPr>
                <w:rFonts w:ascii="仿宋_GB2312" w:hAnsi="仿宋_GB2312" w:cs="仿宋_GB2312"/>
                <w:b/>
                <w:bCs/>
                <w:dstrike/>
                <w:color w:val="auto"/>
                <w:szCs w:val="21"/>
              </w:rPr>
            </w:pPr>
            <w:r>
              <w:rPr>
                <w:rFonts w:hint="eastAsia" w:ascii="仿宋_GB2312" w:hAnsi="仿宋_GB2312" w:eastAsia="仿宋_GB2312" w:cs="仿宋_GB2312"/>
                <w:b/>
                <w:bCs/>
                <w:color w:val="auto"/>
                <w:szCs w:val="21"/>
                <w:lang w:val="en-US" w:eastAsia="zh-CN"/>
              </w:rPr>
              <w:t>3</w:t>
            </w:r>
          </w:p>
        </w:tc>
        <w:tc>
          <w:tcPr>
            <w:tcW w:w="1022" w:type="dxa"/>
            <w:vAlign w:val="center"/>
          </w:tcPr>
          <w:p w14:paraId="216C51A7">
            <w:pPr>
              <w:jc w:val="center"/>
              <w:rPr>
                <w:rFonts w:ascii="仿宋_GB2312" w:hAnsi="仿宋_GB2312" w:eastAsia="仿宋_GB2312" w:cs="仿宋_GB2312"/>
                <w:b/>
                <w:bCs/>
                <w:color w:val="auto"/>
                <w:szCs w:val="21"/>
              </w:rPr>
            </w:pPr>
            <w:r>
              <w:rPr>
                <w:rFonts w:hint="eastAsia" w:ascii="仿宋_GB2312" w:hAnsi="仿宋_GB2312" w:eastAsia="仿宋_GB2312" w:cs="仿宋_GB2312"/>
                <w:color w:val="auto"/>
                <w:szCs w:val="21"/>
              </w:rPr>
              <w:t>知识产权相关证明材料</w:t>
            </w:r>
          </w:p>
        </w:tc>
      </w:tr>
      <w:tr w14:paraId="031C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849" w:type="dxa"/>
            <w:shd w:val="clear" w:color="auto" w:fill="auto"/>
            <w:vAlign w:val="center"/>
          </w:tcPr>
          <w:p w14:paraId="6F49692A">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信誉分</w:t>
            </w:r>
          </w:p>
        </w:tc>
        <w:tc>
          <w:tcPr>
            <w:tcW w:w="1090" w:type="dxa"/>
            <w:shd w:val="clear" w:color="auto" w:fill="auto"/>
            <w:vAlign w:val="center"/>
          </w:tcPr>
          <w:p w14:paraId="6F60C8BA">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体系认证</w:t>
            </w:r>
          </w:p>
        </w:tc>
        <w:tc>
          <w:tcPr>
            <w:tcW w:w="5776" w:type="dxa"/>
            <w:shd w:val="clear" w:color="auto" w:fill="auto"/>
            <w:vAlign w:val="center"/>
          </w:tcPr>
          <w:p w14:paraId="5622603E">
            <w:pPr>
              <w:numPr>
                <w:ilvl w:val="255"/>
                <w:numId w:val="0"/>
              </w:numPr>
              <w:spacing w:line="400" w:lineRule="exact"/>
              <w:ind w:firstLine="420" w:firstLineChars="200"/>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1.投标人或投标产品生产厂家具备有效的质量管理体系认证证书的得</w:t>
            </w:r>
            <w:r>
              <w:rPr>
                <w:rFonts w:hint="eastAsia" w:ascii="仿宋_GB2312" w:hAnsi="仿宋_GB2312" w:eastAsia="仿宋_GB2312" w:cs="仿宋_GB2312"/>
                <w:color w:val="auto"/>
                <w:szCs w:val="21"/>
                <w:lang w:val="en-US" w:eastAsia="zh-CN"/>
              </w:rPr>
              <w:t>1</w:t>
            </w:r>
            <w:r>
              <w:rPr>
                <w:rFonts w:hint="eastAsia" w:ascii="仿宋_GB2312" w:hAnsi="仿宋_GB2312" w:eastAsia="仿宋_GB2312" w:cs="仿宋_GB2312"/>
                <w:color w:val="auto"/>
                <w:szCs w:val="21"/>
              </w:rPr>
              <w:t>分，满分</w:t>
            </w:r>
            <w:r>
              <w:rPr>
                <w:rFonts w:hint="eastAsia" w:ascii="仿宋_GB2312" w:hAnsi="仿宋_GB2312" w:eastAsia="仿宋_GB2312" w:cs="仿宋_GB2312"/>
                <w:color w:val="auto"/>
                <w:szCs w:val="21"/>
                <w:lang w:val="en-US" w:eastAsia="zh-CN"/>
              </w:rPr>
              <w:t>1</w:t>
            </w:r>
            <w:r>
              <w:rPr>
                <w:rFonts w:hint="eastAsia" w:ascii="仿宋_GB2312" w:hAnsi="仿宋_GB2312" w:eastAsia="仿宋_GB2312" w:cs="仿宋_GB2312"/>
                <w:color w:val="auto"/>
                <w:szCs w:val="21"/>
              </w:rPr>
              <w:t>分。</w:t>
            </w:r>
          </w:p>
          <w:p w14:paraId="549B05A8">
            <w:pPr>
              <w:spacing w:line="400" w:lineRule="exact"/>
              <w:ind w:firstLine="420" w:firstLineChars="200"/>
              <w:jc w:val="left"/>
              <w:rPr>
                <w:rFonts w:ascii="仿宋_GB2312" w:hAnsi="仿宋_GB2312" w:eastAsia="仿宋_GB2312" w:cs="仿宋_GB2312"/>
                <w:color w:val="auto"/>
                <w:szCs w:val="21"/>
              </w:rPr>
            </w:pPr>
            <w:r>
              <w:rPr>
                <w:rFonts w:hint="eastAsia" w:ascii="仿宋_GB2312" w:hAnsi="仿宋_GB2312" w:eastAsia="仿宋_GB2312" w:cs="仿宋_GB2312"/>
                <w:color w:val="auto"/>
                <w:szCs w:val="21"/>
              </w:rPr>
              <w:t>注：投标人提供证书材料并加盖投标人CA电子签章，否则不予计分。</w:t>
            </w:r>
          </w:p>
        </w:tc>
        <w:tc>
          <w:tcPr>
            <w:tcW w:w="1035" w:type="dxa"/>
            <w:shd w:val="clear" w:color="auto" w:fill="auto"/>
            <w:vAlign w:val="center"/>
          </w:tcPr>
          <w:p w14:paraId="0DC98CD3">
            <w:pPr>
              <w:spacing w:line="360" w:lineRule="exact"/>
              <w:jc w:val="center"/>
              <w:rPr>
                <w:rFonts w:ascii="仿宋_GB2312" w:hAnsi="仿宋_GB2312" w:eastAsia="仿宋_GB2312" w:cs="仿宋_GB2312"/>
                <w:b/>
                <w:bCs/>
                <w:dstrike/>
                <w:color w:val="auto"/>
                <w:szCs w:val="21"/>
              </w:rPr>
            </w:pPr>
            <w:r>
              <w:rPr>
                <w:rFonts w:hint="eastAsia" w:ascii="仿宋_GB2312" w:hAnsi="仿宋_GB2312" w:eastAsia="仿宋_GB2312" w:cs="仿宋_GB2312"/>
                <w:b/>
                <w:bCs/>
                <w:color w:val="auto"/>
                <w:szCs w:val="21"/>
                <w:lang w:val="en-US" w:eastAsia="zh-CN"/>
              </w:rPr>
              <w:t>1</w:t>
            </w:r>
          </w:p>
        </w:tc>
        <w:tc>
          <w:tcPr>
            <w:tcW w:w="1022" w:type="dxa"/>
            <w:shd w:val="clear" w:color="auto" w:fill="auto"/>
            <w:vAlign w:val="center"/>
          </w:tcPr>
          <w:p w14:paraId="2B833120">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相关认证证书材料</w:t>
            </w:r>
          </w:p>
        </w:tc>
      </w:tr>
      <w:tr w14:paraId="1A1C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trPr>
        <w:tc>
          <w:tcPr>
            <w:tcW w:w="849" w:type="dxa"/>
            <w:vAlign w:val="center"/>
          </w:tcPr>
          <w:p w14:paraId="2B7E086D">
            <w:pPr>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rPr>
              <w:t>业绩分</w:t>
            </w:r>
          </w:p>
        </w:tc>
        <w:tc>
          <w:tcPr>
            <w:tcW w:w="1090" w:type="dxa"/>
            <w:vAlign w:val="center"/>
          </w:tcPr>
          <w:p w14:paraId="2C99325F">
            <w:pPr>
              <w:jc w:val="center"/>
              <w:rPr>
                <w:rFonts w:ascii="仿宋_GB2312" w:hAnsi="仿宋_GB2312" w:eastAsia="仿宋_GB2312" w:cs="仿宋_GB2312"/>
                <w:b/>
                <w:color w:val="auto"/>
                <w:szCs w:val="21"/>
              </w:rPr>
            </w:pPr>
            <w:r>
              <w:rPr>
                <w:rFonts w:hint="eastAsia" w:ascii="仿宋_GB2312" w:hAnsi="仿宋_GB2312" w:eastAsia="仿宋_GB2312" w:cs="仿宋_GB2312"/>
                <w:b/>
                <w:bCs/>
                <w:color w:val="auto"/>
              </w:rPr>
              <w:t>项目经验</w:t>
            </w:r>
          </w:p>
        </w:tc>
        <w:tc>
          <w:tcPr>
            <w:tcW w:w="5776" w:type="dxa"/>
            <w:vAlign w:val="center"/>
          </w:tcPr>
          <w:p w14:paraId="00BA3BB4">
            <w:pPr>
              <w:spacing w:line="400" w:lineRule="exact"/>
              <w:ind w:firstLine="420" w:firstLineChars="200"/>
              <w:rPr>
                <w:rFonts w:ascii="仿宋_GB2312" w:hAnsi="仿宋_GB2312" w:eastAsia="仿宋_GB2312" w:cs="仿宋_GB2312"/>
                <w:color w:val="auto"/>
              </w:rPr>
            </w:pPr>
            <w:r>
              <w:rPr>
                <w:rFonts w:hint="eastAsia" w:ascii="仿宋_GB2312" w:hAnsi="仿宋_GB2312" w:eastAsia="仿宋_GB2312" w:cs="仿宋_GB2312"/>
                <w:color w:val="auto"/>
              </w:rPr>
              <w:t>投标人2022年1月1日起至今本</w:t>
            </w:r>
            <w:r>
              <w:rPr>
                <w:rFonts w:hint="eastAsia" w:ascii="仿宋_GB2312" w:hAnsi="仿宋_GB2312" w:eastAsia="仿宋_GB2312" w:cs="仿宋_GB2312"/>
                <w:color w:val="auto"/>
                <w:lang w:val="en-US" w:eastAsia="zh-CN"/>
              </w:rPr>
              <w:t>分标</w:t>
            </w:r>
            <w:r>
              <w:rPr>
                <w:rFonts w:hint="eastAsia" w:ascii="仿宋_GB2312" w:hAnsi="仿宋_GB2312" w:eastAsia="仿宋_GB2312" w:cs="仿宋_GB2312"/>
                <w:color w:val="auto"/>
              </w:rPr>
              <w:t>所投产品在项目中被安装使用，每有一项得1分，满分</w:t>
            </w:r>
            <w:r>
              <w:rPr>
                <w:rFonts w:ascii="仿宋_GB2312" w:hAnsi="仿宋_GB2312" w:eastAsia="仿宋_GB2312" w:cs="仿宋_GB2312"/>
                <w:color w:val="auto"/>
              </w:rPr>
              <w:t>8</w:t>
            </w:r>
            <w:r>
              <w:rPr>
                <w:rFonts w:hint="eastAsia" w:ascii="仿宋_GB2312" w:hAnsi="仿宋_GB2312" w:eastAsia="仿宋_GB2312" w:cs="仿宋_GB2312"/>
                <w:color w:val="auto"/>
              </w:rPr>
              <w:t>分。</w:t>
            </w:r>
          </w:p>
          <w:p w14:paraId="7EDF9059">
            <w:pPr>
              <w:spacing w:line="400" w:lineRule="exact"/>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rPr>
              <w:t>注：</w:t>
            </w:r>
            <w:r>
              <w:rPr>
                <w:rFonts w:hint="eastAsia" w:ascii="仿宋_GB2312" w:hAnsi="仿宋_GB2312" w:eastAsia="仿宋_GB2312" w:cs="仿宋_GB2312"/>
                <w:b/>
                <w:color w:val="auto"/>
                <w:szCs w:val="21"/>
              </w:rPr>
              <w:t>1.以合同签订时间为准；</w:t>
            </w:r>
          </w:p>
          <w:p w14:paraId="2D2C866D">
            <w:pPr>
              <w:spacing w:line="400" w:lineRule="exact"/>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2.</w:t>
            </w:r>
            <w:r>
              <w:rPr>
                <w:rFonts w:hint="eastAsia" w:ascii="仿宋_GB2312" w:hAnsi="仿宋_GB2312" w:eastAsia="仿宋_GB2312" w:cs="仿宋_GB2312"/>
                <w:b/>
                <w:bCs/>
                <w:color w:val="auto"/>
              </w:rPr>
              <w:t>投标人提供上述合同材料并加盖投标人</w:t>
            </w:r>
            <w:r>
              <w:rPr>
                <w:rFonts w:hint="eastAsia" w:ascii="仿宋_GB2312" w:hAnsi="仿宋_GB2312" w:eastAsia="仿宋_GB2312" w:cs="仿宋_GB2312"/>
                <w:b/>
                <w:color w:val="auto"/>
              </w:rPr>
              <w:t>CA电子签章</w:t>
            </w:r>
            <w:r>
              <w:rPr>
                <w:rFonts w:hint="eastAsia" w:ascii="仿宋_GB2312" w:hAnsi="仿宋_GB2312" w:eastAsia="仿宋_GB2312" w:cs="仿宋_GB2312"/>
                <w:b/>
                <w:bCs/>
                <w:color w:val="auto"/>
              </w:rPr>
              <w:t>，否则不予计分</w:t>
            </w:r>
            <w:r>
              <w:rPr>
                <w:rFonts w:hint="eastAsia" w:ascii="仿宋_GB2312" w:hAnsi="仿宋_GB2312" w:eastAsia="仿宋_GB2312" w:cs="仿宋_GB2312"/>
                <w:b/>
                <w:color w:val="auto"/>
              </w:rPr>
              <w:t>。</w:t>
            </w:r>
          </w:p>
        </w:tc>
        <w:tc>
          <w:tcPr>
            <w:tcW w:w="1035" w:type="dxa"/>
            <w:vAlign w:val="center"/>
          </w:tcPr>
          <w:p w14:paraId="46BC7397">
            <w:pPr>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8</w:t>
            </w:r>
          </w:p>
        </w:tc>
        <w:tc>
          <w:tcPr>
            <w:tcW w:w="1022" w:type="dxa"/>
            <w:vAlign w:val="center"/>
          </w:tcPr>
          <w:p w14:paraId="5EC8FFE0">
            <w:pPr>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投标人项目经验一览表</w:t>
            </w:r>
          </w:p>
        </w:tc>
      </w:tr>
      <w:tr w14:paraId="5C7B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Align w:val="center"/>
          </w:tcPr>
          <w:p w14:paraId="54067C87">
            <w:pPr>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技术参数分</w:t>
            </w:r>
          </w:p>
        </w:tc>
        <w:tc>
          <w:tcPr>
            <w:tcW w:w="1090" w:type="dxa"/>
            <w:vAlign w:val="center"/>
          </w:tcPr>
          <w:p w14:paraId="7DBA7D7C">
            <w:pPr>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技术性能参数</w:t>
            </w:r>
          </w:p>
        </w:tc>
        <w:tc>
          <w:tcPr>
            <w:tcW w:w="5776" w:type="dxa"/>
            <w:vAlign w:val="center"/>
          </w:tcPr>
          <w:p w14:paraId="7E078729">
            <w:pPr>
              <w:widowControl/>
              <w:spacing w:line="400" w:lineRule="exact"/>
              <w:ind w:firstLine="420" w:firstLineChars="200"/>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w:t>
            </w:r>
            <w:r>
              <w:rPr>
                <w:rFonts w:hint="eastAsia" w:ascii="仿宋_GB2312" w:hAnsi="仿宋_GB2312" w:eastAsia="仿宋_GB2312" w:cs="仿宋_GB2312"/>
                <w:b/>
                <w:color w:val="auto"/>
                <w:sz w:val="21"/>
                <w:szCs w:val="21"/>
                <w:lang w:val="en-US" w:eastAsia="zh-CN"/>
              </w:rPr>
              <w:t>承诺</w:t>
            </w:r>
            <w:r>
              <w:rPr>
                <w:rFonts w:hint="eastAsia" w:ascii="仿宋_GB2312" w:hAnsi="仿宋_GB2312" w:eastAsia="仿宋_GB2312" w:cs="仿宋_GB2312"/>
                <w:b/>
                <w:color w:val="auto"/>
                <w:sz w:val="21"/>
                <w:szCs w:val="21"/>
              </w:rPr>
              <w:t>所投产品没有标记“★”符号的参数</w:t>
            </w:r>
            <w:r>
              <w:rPr>
                <w:rFonts w:hint="eastAsia" w:ascii="仿宋_GB2312" w:hAnsi="仿宋_GB2312" w:eastAsia="仿宋_GB2312" w:cs="仿宋_GB2312"/>
                <w:b/>
                <w:color w:val="auto"/>
                <w:sz w:val="21"/>
                <w:szCs w:val="21"/>
                <w:lang w:val="en-US" w:eastAsia="zh-CN"/>
              </w:rPr>
              <w:t>无负偏离的得基础分6</w:t>
            </w:r>
            <w:r>
              <w:rPr>
                <w:rFonts w:hint="eastAsia" w:ascii="仿宋_GB2312" w:hAnsi="仿宋_GB2312" w:eastAsia="仿宋_GB2312" w:cs="仿宋_GB2312"/>
                <w:b/>
                <w:color w:val="auto"/>
                <w:sz w:val="21"/>
                <w:szCs w:val="21"/>
              </w:rPr>
              <w:t>分</w:t>
            </w:r>
            <w:r>
              <w:rPr>
                <w:rFonts w:hint="eastAsia" w:ascii="仿宋_GB2312" w:hAnsi="仿宋_GB2312" w:eastAsia="仿宋_GB2312" w:cs="仿宋_GB2312"/>
                <w:color w:val="auto"/>
                <w:szCs w:val="21"/>
              </w:rPr>
              <w:t>。</w:t>
            </w:r>
          </w:p>
          <w:p w14:paraId="0AD7AAA5">
            <w:pPr>
              <w:widowControl/>
              <w:spacing w:line="400" w:lineRule="exact"/>
              <w:ind w:firstLine="420" w:firstLineChars="200"/>
              <w:rPr>
                <w:rFonts w:eastAsia="仿宋_GB2312"/>
                <w:color w:val="auto"/>
              </w:rPr>
            </w:pPr>
            <w:r>
              <w:rPr>
                <w:rFonts w:hint="eastAsia" w:ascii="仿宋_GB2312" w:hAnsi="仿宋_GB2312" w:eastAsia="仿宋_GB2312" w:cs="仿宋_GB2312"/>
                <w:color w:val="auto"/>
                <w:szCs w:val="21"/>
              </w:rPr>
              <w:t>2.提供所投产品的中英双语界面截图，满分4分。（评审依据：须提供平台中英双语实训截图，包含教学实训前台、实训界面，提供不全不得分。）</w:t>
            </w:r>
          </w:p>
        </w:tc>
        <w:tc>
          <w:tcPr>
            <w:tcW w:w="1035" w:type="dxa"/>
            <w:vAlign w:val="center"/>
          </w:tcPr>
          <w:p w14:paraId="3B414D7B">
            <w:pPr>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10</w:t>
            </w:r>
          </w:p>
        </w:tc>
        <w:tc>
          <w:tcPr>
            <w:tcW w:w="1022" w:type="dxa"/>
            <w:vAlign w:val="center"/>
          </w:tcPr>
          <w:p w14:paraId="5BFBFA95">
            <w:pPr>
              <w:jc w:val="center"/>
              <w:rPr>
                <w:rFonts w:ascii="仿宋_GB2312" w:hAnsi="仿宋_GB2312" w:eastAsia="仿宋_GB2312" w:cs="仿宋_GB2312"/>
                <w:b/>
                <w:bCs/>
                <w:color w:val="auto"/>
                <w:szCs w:val="21"/>
              </w:rPr>
            </w:pPr>
            <w:r>
              <w:rPr>
                <w:rFonts w:hint="eastAsia" w:ascii="仿宋_GB2312" w:hAnsi="仿宋_GB2312" w:eastAsia="仿宋_GB2312" w:cs="仿宋_GB2312"/>
                <w:color w:val="auto"/>
                <w:szCs w:val="21"/>
              </w:rPr>
              <w:t>技术响应表及相关证明材料</w:t>
            </w:r>
          </w:p>
        </w:tc>
      </w:tr>
      <w:tr w14:paraId="4E59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49" w:type="dxa"/>
            <w:shd w:val="clear" w:color="auto" w:fill="auto"/>
            <w:vAlign w:val="center"/>
          </w:tcPr>
          <w:p w14:paraId="499B1981">
            <w:pPr>
              <w:spacing w:line="360" w:lineRule="exact"/>
              <w:jc w:val="center"/>
              <w:rPr>
                <w:rFonts w:ascii="仿宋_GB2312" w:hAnsi="仿宋_GB2312" w:eastAsia="仿宋_GB2312" w:cs="仿宋_GB2312"/>
                <w:b/>
                <w:bCs/>
                <w:color w:val="auto"/>
              </w:rPr>
            </w:pPr>
            <w:r>
              <w:rPr>
                <w:rFonts w:hint="eastAsia" w:ascii="仿宋_GB2312" w:hAnsi="仿宋_GB2312" w:eastAsia="仿宋_GB2312" w:cs="仿宋_GB2312"/>
                <w:b/>
                <w:bCs/>
                <w:color w:val="auto"/>
              </w:rPr>
              <w:t>系统性能演示分</w:t>
            </w:r>
          </w:p>
        </w:tc>
        <w:tc>
          <w:tcPr>
            <w:tcW w:w="1090" w:type="dxa"/>
            <w:shd w:val="clear" w:color="auto" w:fill="auto"/>
            <w:vAlign w:val="center"/>
          </w:tcPr>
          <w:p w14:paraId="0E8C71FA">
            <w:pPr>
              <w:spacing w:line="360" w:lineRule="exact"/>
              <w:jc w:val="center"/>
              <w:rPr>
                <w:rFonts w:ascii="仿宋_GB2312" w:hAnsi="仿宋_GB2312" w:eastAsia="仿宋_GB2312" w:cs="仿宋_GB2312"/>
                <w:b/>
                <w:bCs/>
                <w:color w:val="auto"/>
              </w:rPr>
            </w:pPr>
            <w:r>
              <w:rPr>
                <w:rFonts w:hint="eastAsia" w:ascii="仿宋_GB2312" w:hAnsi="仿宋_GB2312" w:eastAsia="仿宋_GB2312" w:cs="仿宋_GB2312"/>
                <w:b/>
                <w:bCs/>
                <w:color w:val="auto"/>
              </w:rPr>
              <w:t>系统性能演示</w:t>
            </w:r>
          </w:p>
        </w:tc>
        <w:tc>
          <w:tcPr>
            <w:tcW w:w="5776" w:type="dxa"/>
            <w:vAlign w:val="center"/>
          </w:tcPr>
          <w:p w14:paraId="5B9B1CDE">
            <w:pPr>
              <w:spacing w:line="400" w:lineRule="exact"/>
              <w:ind w:firstLine="420" w:firstLineChars="200"/>
              <w:rPr>
                <w:rFonts w:ascii="仿宋_GB2312" w:hAnsi="仿宋_GB2312" w:eastAsia="仿宋_GB2312" w:cs="仿宋_GB2312"/>
                <w:color w:val="auto"/>
                <w:szCs w:val="21"/>
              </w:rPr>
            </w:pPr>
            <w:r>
              <w:rPr>
                <w:rFonts w:hint="eastAsia" w:ascii="仿宋_GB2312" w:hAnsi="仿宋_GB2312" w:eastAsia="仿宋_GB2312" w:cs="仿宋_GB2312"/>
                <w:color w:val="auto"/>
                <w:szCs w:val="21"/>
              </w:rPr>
              <w:t>针对本</w:t>
            </w:r>
            <w:r>
              <w:rPr>
                <w:rFonts w:hint="eastAsia" w:ascii="仿宋_GB2312" w:hAnsi="仿宋_GB2312" w:eastAsia="仿宋_GB2312" w:cs="仿宋_GB2312"/>
                <w:color w:val="auto"/>
                <w:szCs w:val="21"/>
                <w:lang w:val="en-US" w:eastAsia="zh-CN"/>
              </w:rPr>
              <w:t>分标</w:t>
            </w:r>
            <w:r>
              <w:rPr>
                <w:rFonts w:hint="eastAsia" w:ascii="仿宋_GB2312" w:hAnsi="仿宋_GB2312" w:eastAsia="仿宋_GB2312" w:cs="仿宋_GB2312"/>
                <w:color w:val="auto"/>
                <w:szCs w:val="21"/>
              </w:rPr>
              <w:t>，投标人自行准备演示设备进行系统演示，由投标人对技术参数中加下划线“</w:t>
            </w:r>
            <w:r>
              <w:rPr>
                <w:rFonts w:hint="eastAsia" w:ascii="仿宋_GB2312" w:hAnsi="仿宋_GB2312" w:eastAsia="仿宋_GB2312" w:cs="仿宋_GB2312"/>
                <w:color w:val="auto"/>
                <w:szCs w:val="21"/>
                <w:u w:val="single"/>
              </w:rPr>
              <w:t xml:space="preserve">  </w:t>
            </w:r>
            <w:r>
              <w:rPr>
                <w:rFonts w:hint="eastAsia" w:ascii="仿宋_GB2312" w:hAnsi="仿宋_GB2312" w:eastAsia="仿宋_GB2312" w:cs="仿宋_GB2312"/>
                <w:color w:val="auto"/>
                <w:szCs w:val="21"/>
              </w:rPr>
              <w:t>”的技术参数（</w:t>
            </w:r>
            <w:r>
              <w:rPr>
                <w:rFonts w:hint="eastAsia" w:ascii="仿宋_GB2312" w:hAnsi="仿宋_GB2312" w:eastAsia="仿宋_GB2312" w:cs="仿宋_GB2312"/>
                <w:color w:val="auto"/>
                <w:szCs w:val="21"/>
                <w:lang w:val="en-US" w:eastAsia="zh-CN"/>
              </w:rPr>
              <w:t>4</w:t>
            </w:r>
            <w:r>
              <w:rPr>
                <w:rFonts w:hint="eastAsia" w:ascii="仿宋_GB2312" w:hAnsi="仿宋_GB2312" w:eastAsia="仿宋_GB2312" w:cs="仿宋_GB2312"/>
                <w:color w:val="auto"/>
                <w:szCs w:val="21"/>
              </w:rPr>
              <w:t>项）自行选择并进行演示，每满足1项得</w:t>
            </w:r>
            <w:r>
              <w:rPr>
                <w:rFonts w:hint="eastAsia" w:ascii="仿宋_GB2312" w:hAnsi="仿宋_GB2312" w:eastAsia="仿宋_GB2312" w:cs="仿宋_GB2312"/>
                <w:color w:val="auto"/>
                <w:szCs w:val="21"/>
                <w:lang w:val="en-US" w:eastAsia="zh-CN"/>
              </w:rPr>
              <w:t>7</w:t>
            </w:r>
            <w:r>
              <w:rPr>
                <w:rFonts w:hint="eastAsia" w:ascii="仿宋_GB2312" w:hAnsi="仿宋_GB2312" w:eastAsia="仿宋_GB2312" w:cs="仿宋_GB2312"/>
                <w:color w:val="auto"/>
                <w:szCs w:val="21"/>
              </w:rPr>
              <w:t>分，满分2</w:t>
            </w:r>
            <w:r>
              <w:rPr>
                <w:rFonts w:hint="eastAsia" w:ascii="仿宋_GB2312" w:hAnsi="仿宋_GB2312" w:eastAsia="仿宋_GB2312" w:cs="仿宋_GB2312"/>
                <w:color w:val="auto"/>
                <w:szCs w:val="21"/>
                <w:lang w:val="en-US" w:eastAsia="zh-CN"/>
              </w:rPr>
              <w:t>8</w:t>
            </w:r>
            <w:r>
              <w:rPr>
                <w:rFonts w:hint="eastAsia" w:ascii="仿宋_GB2312" w:hAnsi="仿宋_GB2312" w:eastAsia="仿宋_GB2312" w:cs="仿宋_GB2312"/>
                <w:color w:val="auto"/>
                <w:szCs w:val="21"/>
              </w:rPr>
              <w:t>分。</w:t>
            </w:r>
          </w:p>
          <w:p w14:paraId="57F7EE57">
            <w:pPr>
              <w:spacing w:line="400" w:lineRule="exact"/>
              <w:ind w:firstLine="422" w:firstLineChars="200"/>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演示要求:1.必须按照参数对照投标产品逐条予以演示，演示视频以图片或提前录制视频方式呈现的，演示无效，不予计分；</w:t>
            </w:r>
          </w:p>
          <w:p w14:paraId="3B9090D6">
            <w:pPr>
              <w:spacing w:line="400" w:lineRule="exact"/>
              <w:ind w:firstLine="422" w:firstLineChars="200"/>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2.演示时间:不超过10分钟，超时演示部分不予计分;</w:t>
            </w:r>
          </w:p>
          <w:p w14:paraId="36730351">
            <w:pPr>
              <w:spacing w:line="400" w:lineRule="exact"/>
              <w:ind w:firstLine="422" w:firstLineChars="200"/>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3.投标人通过广西政府采购云平台进行远程演示，具体演示开始时间以评标委员会向投标人发出邀请为准。</w:t>
            </w:r>
          </w:p>
          <w:p w14:paraId="3DF66D83">
            <w:pPr>
              <w:spacing w:line="40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4.投标人及时熟悉掌握远程演示操作指南</w:t>
            </w:r>
            <w:r>
              <w:rPr>
                <w:rFonts w:hint="eastAsia" w:ascii="仿宋_GB2312" w:hAnsi="仿宋_GB2312" w:eastAsia="仿宋_GB2312" w:cs="仿宋_GB2312"/>
                <w:b/>
                <w:bCs/>
                <w:color w:val="auto"/>
              </w:rPr>
              <w:t>：https://helpcenter.zcygov.cn/document#/document/detail?siteCode=gx&amp;manualId=4535&amp;topicId=1565</w:t>
            </w:r>
          </w:p>
        </w:tc>
        <w:tc>
          <w:tcPr>
            <w:tcW w:w="1035" w:type="dxa"/>
            <w:vAlign w:val="center"/>
          </w:tcPr>
          <w:p w14:paraId="4578B910">
            <w:pPr>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2</w:t>
            </w:r>
            <w:r>
              <w:rPr>
                <w:rFonts w:hint="eastAsia" w:ascii="仿宋_GB2312" w:hAnsi="仿宋_GB2312" w:eastAsia="仿宋_GB2312" w:cs="仿宋_GB2312"/>
                <w:b/>
                <w:bCs/>
                <w:color w:val="auto"/>
                <w:szCs w:val="21"/>
                <w:lang w:val="en-US" w:eastAsia="zh-CN"/>
              </w:rPr>
              <w:t>8</w:t>
            </w:r>
          </w:p>
        </w:tc>
        <w:tc>
          <w:tcPr>
            <w:tcW w:w="1022" w:type="dxa"/>
            <w:vAlign w:val="center"/>
          </w:tcPr>
          <w:p w14:paraId="2D1984B4">
            <w:pPr>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系统演示</w:t>
            </w:r>
          </w:p>
        </w:tc>
      </w:tr>
      <w:tr w14:paraId="1F72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vAlign w:val="center"/>
          </w:tcPr>
          <w:p w14:paraId="659FAFAB">
            <w:pPr>
              <w:pStyle w:val="815"/>
              <w:tabs>
                <w:tab w:val="left" w:pos="312"/>
              </w:tabs>
              <w:ind w:firstLine="422" w:firstLineChars="200"/>
              <w:jc w:val="center"/>
              <w:rPr>
                <w:rFonts w:ascii="仿宋_GB2312" w:hAnsi="仿宋_GB2312" w:eastAsia="仿宋_GB2312" w:cs="仿宋_GB2312"/>
                <w:color w:val="auto"/>
              </w:rPr>
            </w:pPr>
            <w:r>
              <w:rPr>
                <w:rFonts w:hint="eastAsia" w:ascii="仿宋_GB2312" w:hAnsi="仿宋_GB2312" w:eastAsia="仿宋_GB2312" w:cs="仿宋_GB2312"/>
                <w:b/>
                <w:bCs/>
                <w:color w:val="auto"/>
              </w:rPr>
              <w:t>客观分总分</w:t>
            </w:r>
          </w:p>
        </w:tc>
        <w:tc>
          <w:tcPr>
            <w:tcW w:w="1035" w:type="dxa"/>
            <w:vAlign w:val="center"/>
          </w:tcPr>
          <w:p w14:paraId="12FE1AB4">
            <w:pPr>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8</w:t>
            </w:r>
            <w:r>
              <w:rPr>
                <w:rFonts w:hint="eastAsia" w:ascii="仿宋_GB2312" w:hAnsi="仿宋_GB2312" w:eastAsia="仿宋_GB2312" w:cs="仿宋_GB2312"/>
                <w:b/>
                <w:bCs/>
                <w:color w:val="auto"/>
                <w:szCs w:val="21"/>
                <w:lang w:val="en-US" w:eastAsia="zh-CN"/>
              </w:rPr>
              <w:t>0</w:t>
            </w:r>
          </w:p>
        </w:tc>
        <w:tc>
          <w:tcPr>
            <w:tcW w:w="1022" w:type="dxa"/>
            <w:vAlign w:val="center"/>
          </w:tcPr>
          <w:p w14:paraId="6663311A">
            <w:pPr>
              <w:jc w:val="center"/>
              <w:rPr>
                <w:rFonts w:ascii="仿宋_GB2312" w:hAnsi="仿宋_GB2312" w:eastAsia="仿宋_GB2312" w:cs="仿宋_GB2312"/>
                <w:color w:val="auto"/>
                <w:szCs w:val="21"/>
              </w:rPr>
            </w:pPr>
          </w:p>
        </w:tc>
      </w:tr>
    </w:tbl>
    <w:p w14:paraId="372CA54A">
      <w:pPr>
        <w:rPr>
          <w:color w:val="auto"/>
        </w:rPr>
      </w:pPr>
    </w:p>
    <w:p w14:paraId="6E1A90F5">
      <w:pPr>
        <w:rPr>
          <w:color w:val="auto"/>
        </w:rPr>
      </w:pPr>
    </w:p>
    <w:tbl>
      <w:tblPr>
        <w:tblStyle w:val="814"/>
        <w:tblpPr w:leftFromText="180" w:rightFromText="180" w:vertAnchor="text" w:horzAnchor="page" w:tblpX="661" w:tblpY="1"/>
        <w:tblOverlap w:val="never"/>
        <w:tblW w:w="9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024"/>
      </w:tblGrid>
      <w:tr w14:paraId="2A75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789" w:type="dxa"/>
            <w:gridSpan w:val="5"/>
            <w:shd w:val="clear" w:color="auto" w:fill="D7D7D7"/>
            <w:vAlign w:val="center"/>
          </w:tcPr>
          <w:p w14:paraId="6FF08185">
            <w:pPr>
              <w:jc w:val="center"/>
              <w:rPr>
                <w:rFonts w:ascii="仿宋_GB2312" w:hAnsi="仿宋_GB2312" w:eastAsia="仿宋_GB2312" w:cs="仿宋_GB2312"/>
                <w:color w:val="auto"/>
                <w:szCs w:val="21"/>
              </w:rPr>
            </w:pPr>
            <w:r>
              <w:rPr>
                <w:rFonts w:hint="eastAsia" w:ascii="仿宋_GB2312" w:hAnsi="仿宋_GB2312" w:eastAsia="仿宋_GB2312" w:cs="仿宋_GB2312"/>
                <w:b/>
                <w:color w:val="auto"/>
                <w:szCs w:val="21"/>
              </w:rPr>
              <w:t>主观分</w:t>
            </w:r>
          </w:p>
        </w:tc>
      </w:tr>
      <w:tr w14:paraId="169A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49" w:type="dxa"/>
            <w:vAlign w:val="center"/>
          </w:tcPr>
          <w:p w14:paraId="6094532E">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评分项</w:t>
            </w:r>
          </w:p>
        </w:tc>
        <w:tc>
          <w:tcPr>
            <w:tcW w:w="1090" w:type="dxa"/>
            <w:vAlign w:val="center"/>
          </w:tcPr>
          <w:p w14:paraId="38D18FED">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评审因素</w:t>
            </w:r>
          </w:p>
        </w:tc>
        <w:tc>
          <w:tcPr>
            <w:tcW w:w="5859" w:type="dxa"/>
            <w:vAlign w:val="center"/>
          </w:tcPr>
          <w:p w14:paraId="16837AE0">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评分标准说明</w:t>
            </w:r>
          </w:p>
        </w:tc>
        <w:tc>
          <w:tcPr>
            <w:tcW w:w="967" w:type="dxa"/>
            <w:vAlign w:val="center"/>
          </w:tcPr>
          <w:p w14:paraId="73BA316E">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分值</w:t>
            </w:r>
          </w:p>
        </w:tc>
        <w:tc>
          <w:tcPr>
            <w:tcW w:w="1024" w:type="dxa"/>
            <w:vAlign w:val="center"/>
          </w:tcPr>
          <w:p w14:paraId="1B183E44">
            <w:pPr>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对应的投标文件格式</w:t>
            </w:r>
          </w:p>
        </w:tc>
      </w:tr>
      <w:tr w14:paraId="713E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49" w:type="dxa"/>
            <w:vMerge w:val="restart"/>
            <w:vAlign w:val="center"/>
          </w:tcPr>
          <w:p w14:paraId="132FD85D">
            <w:pPr>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售后服务方案分</w:t>
            </w:r>
          </w:p>
        </w:tc>
        <w:tc>
          <w:tcPr>
            <w:tcW w:w="1090" w:type="dxa"/>
            <w:vAlign w:val="center"/>
          </w:tcPr>
          <w:p w14:paraId="7D35DCC2">
            <w:pPr>
              <w:widowControl/>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技术培训方案</w:t>
            </w:r>
          </w:p>
        </w:tc>
        <w:tc>
          <w:tcPr>
            <w:tcW w:w="5859" w:type="dxa"/>
            <w:vAlign w:val="center"/>
          </w:tcPr>
          <w:p w14:paraId="0653C317">
            <w:pPr>
              <w:widowControl/>
              <w:spacing w:line="43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一档（</w:t>
            </w:r>
            <w:r>
              <w:rPr>
                <w:rFonts w:hint="eastAsia" w:ascii="仿宋_GB2312" w:hAnsi="仿宋_GB2312" w:eastAsia="仿宋_GB2312" w:cs="仿宋_GB2312"/>
                <w:b/>
                <w:bCs/>
                <w:color w:val="auto"/>
                <w:szCs w:val="21"/>
                <w:lang w:val="en-US" w:eastAsia="zh-CN"/>
              </w:rPr>
              <w:t>10</w:t>
            </w:r>
            <w:r>
              <w:rPr>
                <w:rFonts w:hint="eastAsia" w:ascii="仿宋_GB2312" w:hAnsi="仿宋_GB2312" w:eastAsia="仿宋_GB2312" w:cs="仿宋_GB2312"/>
                <w:b/>
                <w:bCs/>
                <w:color w:val="auto"/>
                <w:szCs w:val="21"/>
              </w:rPr>
              <w:t>分）：在满足二档的基础上，</w:t>
            </w:r>
            <w:r>
              <w:rPr>
                <w:rFonts w:hint="eastAsia" w:ascii="仿宋_GB2312" w:hAnsi="仿宋_GB2312" w:eastAsia="仿宋_GB2312" w:cs="仿宋_GB2312"/>
                <w:color w:val="auto"/>
                <w:szCs w:val="21"/>
              </w:rPr>
              <w:t>培训方案详细且合理，培训人员经验丰富，项目组成员至少有一人具有</w:t>
            </w:r>
            <w:r>
              <w:rPr>
                <w:rFonts w:hint="eastAsia" w:ascii="仿宋_GB2312" w:hAnsi="仿宋_GB2312" w:eastAsia="仿宋_GB2312" w:cs="仿宋_GB2312"/>
                <w:color w:val="auto"/>
                <w:szCs w:val="21"/>
                <w:lang w:val="en-US" w:eastAsia="zh-CN"/>
              </w:rPr>
              <w:t>高等学校</w:t>
            </w:r>
            <w:r>
              <w:rPr>
                <w:rFonts w:hint="eastAsia" w:ascii="仿宋_GB2312" w:hAnsi="仿宋_GB2312" w:eastAsia="仿宋_GB2312" w:cs="仿宋_GB2312"/>
                <w:color w:val="auto"/>
                <w:szCs w:val="21"/>
                <w:lang w:eastAsia="zh-Hans"/>
              </w:rPr>
              <w:t>教师资格证</w:t>
            </w:r>
            <w:r>
              <w:rPr>
                <w:rFonts w:hint="eastAsia" w:ascii="仿宋_GB2312" w:hAnsi="仿宋_GB2312" w:eastAsia="仿宋_GB2312" w:cs="仿宋_GB2312"/>
                <w:color w:val="auto"/>
                <w:szCs w:val="21"/>
              </w:rPr>
              <w:t>或具有正高级职称；培训方式灵活，包括线上（如直播、录播）、线下等多种形式，安排得当；培训内容全面，涵盖软件基本操作、常见问题解决、日常维护及进阶功能等，课时充足；提供详细的培训计划，包括时间安排、课程大纲及配套学习材料；</w:t>
            </w:r>
          </w:p>
          <w:p w14:paraId="74A5D356">
            <w:pPr>
              <w:widowControl/>
              <w:spacing w:line="43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二档（</w:t>
            </w:r>
            <w:r>
              <w:rPr>
                <w:rFonts w:hint="eastAsia" w:ascii="仿宋_GB2312" w:hAnsi="仿宋_GB2312" w:eastAsia="仿宋_GB2312" w:cs="仿宋_GB2312"/>
                <w:b/>
                <w:bCs/>
                <w:color w:val="auto"/>
                <w:szCs w:val="21"/>
                <w:lang w:val="en-US" w:eastAsia="zh-CN"/>
              </w:rPr>
              <w:t>6</w:t>
            </w:r>
            <w:r>
              <w:rPr>
                <w:rFonts w:hint="eastAsia" w:ascii="仿宋_GB2312" w:hAnsi="仿宋_GB2312" w:eastAsia="仿宋_GB2312" w:cs="仿宋_GB2312"/>
                <w:b/>
                <w:bCs/>
                <w:color w:val="auto"/>
                <w:szCs w:val="21"/>
              </w:rPr>
              <w:t>分）：在满足三档的基础上，</w:t>
            </w:r>
            <w:r>
              <w:rPr>
                <w:rFonts w:hint="eastAsia" w:ascii="仿宋_GB2312" w:hAnsi="仿宋_GB2312" w:eastAsia="仿宋_GB2312" w:cs="仿宋_GB2312"/>
                <w:color w:val="auto"/>
                <w:szCs w:val="21"/>
              </w:rPr>
              <w:t xml:space="preserve">培训方案相对详细，培训方式及内容满足采购需求，且项目组成员至少有一人具有高等学校教师资格证或具有副高级职称；能覆盖软件的主要功能操作，提供基本的培训资料； </w:t>
            </w:r>
          </w:p>
          <w:p w14:paraId="58B16288">
            <w:pPr>
              <w:widowControl/>
              <w:spacing w:line="43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三档（</w:t>
            </w:r>
            <w:r>
              <w:rPr>
                <w:rFonts w:hint="eastAsia" w:ascii="仿宋_GB2312" w:hAnsi="仿宋_GB2312" w:eastAsia="仿宋_GB2312" w:cs="仿宋_GB2312"/>
                <w:b/>
                <w:bCs/>
                <w:color w:val="auto"/>
                <w:szCs w:val="21"/>
                <w:lang w:val="en-US" w:eastAsia="zh-CN"/>
              </w:rPr>
              <w:t>2</w:t>
            </w:r>
            <w:r>
              <w:rPr>
                <w:rFonts w:hint="eastAsia" w:ascii="仿宋_GB2312" w:hAnsi="仿宋_GB2312" w:eastAsia="仿宋_GB2312" w:cs="仿宋_GB2312"/>
                <w:b/>
                <w:bCs/>
                <w:color w:val="auto"/>
                <w:szCs w:val="21"/>
              </w:rPr>
              <w:t>分）：</w:t>
            </w:r>
            <w:r>
              <w:rPr>
                <w:rFonts w:hint="eastAsia" w:ascii="仿宋_GB2312" w:hAnsi="仿宋_GB2312" w:eastAsia="仿宋_GB2312" w:cs="仿宋_GB2312"/>
                <w:color w:val="auto"/>
                <w:szCs w:val="21"/>
              </w:rPr>
              <w:t>方案满足采购需求，内容简单，能确保用户掌握软件基本使用。</w:t>
            </w:r>
          </w:p>
          <w:p w14:paraId="6E1A5B26">
            <w:pPr>
              <w:widowControl/>
              <w:spacing w:line="430" w:lineRule="exact"/>
              <w:ind w:firstLine="422" w:firstLineChars="200"/>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注：1.该方案内容可以包括：（1）培训方式及时间安排；（2）培训内容概述及材料清单；</w:t>
            </w:r>
          </w:p>
          <w:p w14:paraId="091FA648">
            <w:pPr>
              <w:widowControl/>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szCs w:val="21"/>
              </w:rPr>
              <w:t>2.提供有效期内人员</w:t>
            </w:r>
            <w:r>
              <w:rPr>
                <w:rFonts w:hint="eastAsia" w:ascii="仿宋_GB2312" w:hAnsi="仿宋_GB2312" w:eastAsia="仿宋_GB2312" w:cs="仿宋_GB2312"/>
                <w:b/>
                <w:bCs/>
                <w:color w:val="auto"/>
                <w:szCs w:val="21"/>
                <w:lang w:val="en-US" w:eastAsia="zh-CN"/>
              </w:rPr>
              <w:t>聘任</w:t>
            </w:r>
            <w:r>
              <w:rPr>
                <w:rFonts w:hint="eastAsia" w:ascii="仿宋_GB2312" w:hAnsi="仿宋_GB2312" w:eastAsia="仿宋_GB2312" w:cs="仿宋_GB2312"/>
                <w:b/>
                <w:bCs/>
                <w:color w:val="auto"/>
                <w:szCs w:val="21"/>
              </w:rPr>
              <w:t>证书或职称证书扫描件及投标人与证书持有者签订的劳动（劳务）合同扫描件，否则不予计一档分。如果证书或职称持有者为投标人法人代表的，提供有效期内人员</w:t>
            </w:r>
            <w:r>
              <w:rPr>
                <w:rFonts w:hint="eastAsia" w:ascii="仿宋_GB2312" w:hAnsi="仿宋_GB2312" w:eastAsia="仿宋_GB2312" w:cs="仿宋_GB2312"/>
                <w:b/>
                <w:bCs/>
                <w:color w:val="auto"/>
                <w:szCs w:val="21"/>
                <w:lang w:val="en-US" w:eastAsia="zh-CN"/>
              </w:rPr>
              <w:t>聘任</w:t>
            </w:r>
            <w:r>
              <w:rPr>
                <w:rFonts w:hint="eastAsia" w:ascii="仿宋_GB2312" w:hAnsi="仿宋_GB2312" w:eastAsia="仿宋_GB2312" w:cs="仿宋_GB2312"/>
                <w:b/>
                <w:bCs/>
                <w:color w:val="auto"/>
                <w:szCs w:val="21"/>
              </w:rPr>
              <w:t>证书或职称证书扫描件</w:t>
            </w:r>
            <w:r>
              <w:rPr>
                <w:rFonts w:hint="eastAsia" w:ascii="仿宋_GB2312" w:hAnsi="仿宋_GB2312" w:eastAsia="仿宋_GB2312" w:cs="仿宋_GB2312"/>
                <w:b/>
                <w:bCs/>
                <w:color w:val="auto"/>
                <w:szCs w:val="21"/>
                <w:lang w:val="en-US" w:eastAsia="zh-CN"/>
              </w:rPr>
              <w:t>及</w:t>
            </w:r>
            <w:r>
              <w:rPr>
                <w:rFonts w:hint="eastAsia" w:ascii="仿宋_GB2312" w:hAnsi="仿宋_GB2312" w:eastAsia="仿宋_GB2312" w:cs="仿宋_GB2312"/>
                <w:b/>
                <w:bCs/>
                <w:color w:val="auto"/>
                <w:szCs w:val="21"/>
              </w:rPr>
              <w:t>营业执照副本扫描件</w:t>
            </w:r>
            <w:r>
              <w:rPr>
                <w:rFonts w:hint="eastAsia" w:ascii="仿宋_GB2312" w:hAnsi="仿宋_GB2312" w:eastAsia="仿宋_GB2312" w:cs="仿宋_GB2312"/>
                <w:b/>
                <w:bCs/>
                <w:color w:val="auto"/>
                <w:szCs w:val="21"/>
                <w:lang w:val="en-US" w:eastAsia="zh-CN"/>
              </w:rPr>
              <w:t>即可</w:t>
            </w:r>
            <w:r>
              <w:rPr>
                <w:rFonts w:hint="eastAsia" w:ascii="仿宋_GB2312" w:hAnsi="仿宋_GB2312" w:eastAsia="仿宋_GB2312" w:cs="仿宋_GB2312"/>
                <w:b/>
                <w:bCs/>
                <w:color w:val="auto"/>
                <w:szCs w:val="21"/>
              </w:rPr>
              <w:t>。</w:t>
            </w:r>
          </w:p>
          <w:p w14:paraId="02588ACF">
            <w:pPr>
              <w:widowControl/>
              <w:spacing w:line="43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color w:val="auto"/>
              </w:rPr>
              <w:t>3.未提供以上方案或提供的内容与本项目无关的得0分。</w:t>
            </w:r>
          </w:p>
        </w:tc>
        <w:tc>
          <w:tcPr>
            <w:tcW w:w="967" w:type="dxa"/>
            <w:vAlign w:val="center"/>
          </w:tcPr>
          <w:p w14:paraId="7915368F">
            <w:pPr>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lang w:val="en-US" w:eastAsia="zh-CN"/>
              </w:rPr>
              <w:t>10</w:t>
            </w:r>
          </w:p>
        </w:tc>
        <w:tc>
          <w:tcPr>
            <w:tcW w:w="1024" w:type="dxa"/>
            <w:vAlign w:val="center"/>
          </w:tcPr>
          <w:p w14:paraId="2067F78E">
            <w:pPr>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培训方案</w:t>
            </w:r>
          </w:p>
        </w:tc>
      </w:tr>
      <w:tr w14:paraId="7000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continue"/>
            <w:vAlign w:val="center"/>
          </w:tcPr>
          <w:p w14:paraId="78E7B861">
            <w:pPr>
              <w:jc w:val="center"/>
              <w:rPr>
                <w:rFonts w:ascii="仿宋_GB2312" w:hAnsi="仿宋_GB2312" w:eastAsia="仿宋_GB2312" w:cs="仿宋_GB2312"/>
                <w:color w:val="auto"/>
                <w:szCs w:val="21"/>
              </w:rPr>
            </w:pPr>
          </w:p>
        </w:tc>
        <w:tc>
          <w:tcPr>
            <w:tcW w:w="1090" w:type="dxa"/>
            <w:vAlign w:val="center"/>
          </w:tcPr>
          <w:p w14:paraId="643FD6C4">
            <w:pPr>
              <w:widowControl/>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售后服务方案</w:t>
            </w:r>
          </w:p>
        </w:tc>
        <w:tc>
          <w:tcPr>
            <w:tcW w:w="5859" w:type="dxa"/>
            <w:vAlign w:val="center"/>
          </w:tcPr>
          <w:p w14:paraId="4010408D">
            <w:pPr>
              <w:widowControl/>
              <w:spacing w:line="43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一档（</w:t>
            </w:r>
            <w:r>
              <w:rPr>
                <w:rFonts w:hint="eastAsia" w:ascii="仿宋_GB2312" w:hAnsi="仿宋_GB2312" w:eastAsia="仿宋_GB2312" w:cs="仿宋_GB2312"/>
                <w:b/>
                <w:bCs/>
                <w:color w:val="auto"/>
                <w:szCs w:val="21"/>
                <w:lang w:val="en-US" w:eastAsia="zh-CN"/>
              </w:rPr>
              <w:t>10</w:t>
            </w:r>
            <w:r>
              <w:rPr>
                <w:rFonts w:hint="eastAsia" w:ascii="仿宋_GB2312" w:hAnsi="仿宋_GB2312" w:eastAsia="仿宋_GB2312" w:cs="仿宋_GB2312"/>
                <w:b/>
                <w:bCs/>
                <w:color w:val="auto"/>
                <w:szCs w:val="21"/>
              </w:rPr>
              <w:t>分）：</w:t>
            </w:r>
            <w:r>
              <w:rPr>
                <w:rFonts w:hint="eastAsia" w:ascii="仿宋_GB2312" w:hAnsi="仿宋_GB2312" w:eastAsia="仿宋_GB2312" w:cs="仿宋_GB2312"/>
                <w:color w:val="auto"/>
                <w:szCs w:val="21"/>
              </w:rPr>
              <w:t>在满足二档的基础上，售后服务方案详细、全面、针对性强；配备专职售后技术支持人员，职责明确，响应高效；技术支持方式多样，包括电话支持、在线支持、远程协助和现场支持等，故障解决流程清晰且易于操作；有良好的定期回访制度；</w:t>
            </w:r>
          </w:p>
          <w:p w14:paraId="0E5A12DF">
            <w:pPr>
              <w:widowControl/>
              <w:spacing w:line="43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二档（</w:t>
            </w:r>
            <w:r>
              <w:rPr>
                <w:rFonts w:hint="eastAsia" w:ascii="仿宋_GB2312" w:hAnsi="仿宋_GB2312" w:eastAsia="仿宋_GB2312" w:cs="仿宋_GB2312"/>
                <w:b/>
                <w:bCs/>
                <w:color w:val="auto"/>
                <w:szCs w:val="21"/>
                <w:lang w:val="en-US" w:eastAsia="zh-CN"/>
              </w:rPr>
              <w:t>6</w:t>
            </w:r>
            <w:r>
              <w:rPr>
                <w:rFonts w:hint="eastAsia" w:ascii="仿宋_GB2312" w:hAnsi="仿宋_GB2312" w:eastAsia="仿宋_GB2312" w:cs="仿宋_GB2312"/>
                <w:b/>
                <w:bCs/>
                <w:color w:val="auto"/>
                <w:szCs w:val="21"/>
              </w:rPr>
              <w:t>分）：</w:t>
            </w:r>
            <w:r>
              <w:rPr>
                <w:rFonts w:hint="eastAsia" w:ascii="仿宋_GB2312" w:hAnsi="仿宋_GB2312" w:eastAsia="仿宋_GB2312" w:cs="仿宋_GB2312"/>
                <w:color w:val="auto"/>
                <w:szCs w:val="21"/>
              </w:rPr>
              <w:t>在满足三档的基础上，方案能较好满足采购需求，符合实际，有一定的针对性、可行性；保障响应措施较有力，并有定期回访制度；</w:t>
            </w:r>
          </w:p>
          <w:p w14:paraId="051CA2A5">
            <w:pPr>
              <w:widowControl/>
              <w:spacing w:line="43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三档（</w:t>
            </w:r>
            <w:r>
              <w:rPr>
                <w:rFonts w:hint="eastAsia" w:ascii="仿宋_GB2312" w:hAnsi="仿宋_GB2312" w:eastAsia="仿宋_GB2312" w:cs="仿宋_GB2312"/>
                <w:b/>
                <w:bCs/>
                <w:color w:val="auto"/>
                <w:szCs w:val="21"/>
                <w:lang w:val="en-US" w:eastAsia="zh-CN"/>
              </w:rPr>
              <w:t>2</w:t>
            </w:r>
            <w:r>
              <w:rPr>
                <w:rFonts w:hint="eastAsia" w:ascii="仿宋_GB2312" w:hAnsi="仿宋_GB2312" w:eastAsia="仿宋_GB2312" w:cs="仿宋_GB2312"/>
                <w:b/>
                <w:bCs/>
                <w:color w:val="auto"/>
                <w:szCs w:val="21"/>
              </w:rPr>
              <w:t>分）</w:t>
            </w:r>
            <w:r>
              <w:rPr>
                <w:rFonts w:hint="eastAsia" w:ascii="仿宋_GB2312" w:hAnsi="仿宋_GB2312" w:eastAsia="仿宋_GB2312" w:cs="仿宋_GB2312"/>
                <w:color w:val="auto"/>
                <w:szCs w:val="21"/>
              </w:rPr>
              <w:t>：方案相对详细，满足采购需求，有售后服务保障内容，符合实际，方案针对性、可行性一般；</w:t>
            </w:r>
          </w:p>
          <w:p w14:paraId="52CB115C">
            <w:pPr>
              <w:widowControl/>
              <w:spacing w:line="430" w:lineRule="exact"/>
              <w:ind w:firstLine="422" w:firstLineChars="200"/>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注：1.该方案内容可以包括：（1）售后服务技术支持方案；（2）故障应急预案；（3）定期回访维护方案。</w:t>
            </w:r>
          </w:p>
          <w:p w14:paraId="1C12DD99">
            <w:pPr>
              <w:widowControl/>
              <w:spacing w:line="430" w:lineRule="exact"/>
              <w:ind w:firstLine="422" w:firstLineChars="200"/>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2.</w:t>
            </w:r>
            <w:r>
              <w:rPr>
                <w:rFonts w:hint="eastAsia" w:ascii="仿宋_GB2312" w:hAnsi="仿宋_GB2312" w:eastAsia="仿宋_GB2312" w:cs="仿宋_GB2312"/>
                <w:b/>
                <w:color w:val="auto"/>
              </w:rPr>
              <w:t>未提供以上方案或提供的内容与本项目无关的得0分。</w:t>
            </w:r>
          </w:p>
        </w:tc>
        <w:tc>
          <w:tcPr>
            <w:tcW w:w="967" w:type="dxa"/>
            <w:vAlign w:val="center"/>
          </w:tcPr>
          <w:p w14:paraId="4C48574C">
            <w:pPr>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lang w:val="en-US" w:eastAsia="zh-CN"/>
              </w:rPr>
              <w:t>10</w:t>
            </w:r>
          </w:p>
        </w:tc>
        <w:tc>
          <w:tcPr>
            <w:tcW w:w="1024" w:type="dxa"/>
            <w:vAlign w:val="center"/>
          </w:tcPr>
          <w:p w14:paraId="7501BA49">
            <w:pPr>
              <w:jc w:val="center"/>
              <w:rPr>
                <w:rFonts w:ascii="仿宋_GB2312" w:hAnsi="仿宋_GB2312" w:eastAsia="仿宋_GB2312" w:cs="仿宋_GB2312"/>
                <w:b/>
                <w:bCs/>
                <w:color w:val="auto"/>
                <w:szCs w:val="21"/>
              </w:rPr>
            </w:pPr>
            <w:r>
              <w:rPr>
                <w:rFonts w:hint="eastAsia" w:ascii="仿宋_GB2312" w:hAnsi="仿宋_GB2312" w:eastAsia="仿宋_GB2312" w:cs="仿宋_GB2312"/>
                <w:color w:val="auto"/>
                <w:szCs w:val="21"/>
              </w:rPr>
              <w:t>售后服务方案</w:t>
            </w:r>
          </w:p>
        </w:tc>
      </w:tr>
      <w:tr w14:paraId="3654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798" w:type="dxa"/>
            <w:gridSpan w:val="3"/>
            <w:vAlign w:val="center"/>
          </w:tcPr>
          <w:p w14:paraId="7E334364">
            <w:pPr>
              <w:pStyle w:val="815"/>
              <w:jc w:val="center"/>
              <w:rPr>
                <w:rFonts w:ascii="仿宋_GB2312" w:hAnsi="仿宋_GB2312" w:eastAsia="仿宋_GB2312" w:cs="仿宋_GB2312"/>
                <w:b/>
                <w:bCs/>
                <w:color w:val="auto"/>
              </w:rPr>
            </w:pPr>
            <w:r>
              <w:rPr>
                <w:rFonts w:hint="eastAsia" w:ascii="仿宋_GB2312" w:hAnsi="仿宋_GB2312" w:eastAsia="仿宋_GB2312" w:cs="仿宋_GB2312"/>
                <w:b/>
                <w:bCs/>
                <w:color w:val="auto"/>
              </w:rPr>
              <w:t>主观分总分</w:t>
            </w:r>
          </w:p>
        </w:tc>
        <w:tc>
          <w:tcPr>
            <w:tcW w:w="967" w:type="dxa"/>
            <w:vAlign w:val="center"/>
          </w:tcPr>
          <w:p w14:paraId="75F88247">
            <w:pPr>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lang w:val="en-US" w:eastAsia="zh-CN"/>
              </w:rPr>
              <w:t>20</w:t>
            </w:r>
          </w:p>
        </w:tc>
        <w:tc>
          <w:tcPr>
            <w:tcW w:w="1024" w:type="dxa"/>
            <w:vAlign w:val="center"/>
          </w:tcPr>
          <w:p w14:paraId="41960619">
            <w:pPr>
              <w:jc w:val="center"/>
              <w:rPr>
                <w:rFonts w:ascii="仿宋_GB2312" w:hAnsi="仿宋_GB2312" w:eastAsia="仿宋_GB2312" w:cs="仿宋_GB2312"/>
                <w:color w:val="auto"/>
                <w:szCs w:val="21"/>
              </w:rPr>
            </w:pPr>
          </w:p>
        </w:tc>
      </w:tr>
    </w:tbl>
    <w:p w14:paraId="737F32DC">
      <w:pPr>
        <w:spacing w:line="390" w:lineRule="exact"/>
        <w:ind w:right="-168" w:rightChars="-80" w:firstLine="236" w:firstLineChars="98"/>
        <w:rPr>
          <w:rFonts w:ascii="仿宋_GB2312" w:eastAsia="仿宋_GB2312"/>
          <w:b/>
          <w:color w:val="auto"/>
          <w:sz w:val="24"/>
        </w:rPr>
      </w:pPr>
      <w:r>
        <w:rPr>
          <w:rFonts w:hint="eastAsia" w:ascii="仿宋_GB2312" w:eastAsia="仿宋_GB2312"/>
          <w:b/>
          <w:color w:val="auto"/>
          <w:sz w:val="24"/>
        </w:rPr>
        <w:t>（三）总得分=客观分+主观分</w:t>
      </w:r>
    </w:p>
    <w:p w14:paraId="5CC2C8C2">
      <w:pPr>
        <w:adjustRightInd w:val="0"/>
        <w:spacing w:line="400" w:lineRule="exact"/>
        <w:ind w:firstLine="482" w:firstLineChars="200"/>
        <w:jc w:val="left"/>
        <w:textAlignment w:val="baseline"/>
        <w:rPr>
          <w:rFonts w:ascii="仿宋_GB2312" w:hAnsi="宋体" w:eastAsia="仿宋_GB2312"/>
          <w:b/>
          <w:color w:val="auto"/>
          <w:kern w:val="0"/>
          <w:sz w:val="24"/>
        </w:rPr>
      </w:pPr>
      <w:r>
        <w:rPr>
          <w:rFonts w:hint="eastAsia" w:ascii="仿宋_GB2312" w:hAnsi="宋体" w:eastAsia="仿宋_GB2312"/>
          <w:b/>
          <w:color w:val="auto"/>
          <w:kern w:val="0"/>
          <w:sz w:val="24"/>
        </w:rPr>
        <w:t>三、中标标准及中标候选人推荐原则</w:t>
      </w:r>
    </w:p>
    <w:p w14:paraId="0A021E9E">
      <w:pPr>
        <w:adjustRightInd w:val="0"/>
        <w:spacing w:line="400" w:lineRule="exact"/>
        <w:ind w:firstLine="482" w:firstLineChars="200"/>
        <w:jc w:val="left"/>
        <w:textAlignment w:val="baseline"/>
        <w:rPr>
          <w:rFonts w:ascii="仿宋_GB2312" w:hAnsi="宋体" w:eastAsia="仿宋_GB2312"/>
          <w:b/>
          <w:color w:val="auto"/>
          <w:kern w:val="0"/>
          <w:sz w:val="24"/>
        </w:rPr>
      </w:pPr>
      <w:r>
        <w:rPr>
          <w:rFonts w:hint="eastAsia" w:ascii="仿宋_GB2312" w:hAnsi="宋体" w:eastAsia="仿宋_GB2312"/>
          <w:b/>
          <w:color w:val="auto"/>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采购人或采购代理机构应将该情况报政府采购监督管理部门，从合格的中标候选人中另行确定中标人或重新开展政府采购活动。</w:t>
      </w:r>
    </w:p>
    <w:p w14:paraId="12932FAB">
      <w:pPr>
        <w:adjustRightInd w:val="0"/>
        <w:spacing w:line="400" w:lineRule="exact"/>
        <w:ind w:firstLine="482" w:firstLineChars="200"/>
        <w:jc w:val="left"/>
        <w:textAlignment w:val="baseline"/>
        <w:rPr>
          <w:rFonts w:hint="eastAsia" w:ascii="仿宋_GB2312" w:hAnsi="宋体" w:eastAsia="仿宋_GB2312"/>
          <w:b/>
          <w:bCs/>
          <w:color w:val="auto"/>
          <w:sz w:val="24"/>
        </w:rPr>
      </w:pPr>
      <w:r>
        <w:rPr>
          <w:rFonts w:hint="eastAsia" w:ascii="仿宋_GB2312" w:hAnsi="宋体" w:eastAsia="仿宋_GB2312"/>
          <w:b/>
          <w:color w:val="auto"/>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color w:val="auto"/>
          <w:sz w:val="24"/>
        </w:rPr>
        <w:t>。</w:t>
      </w:r>
    </w:p>
    <w:p w14:paraId="5B9E64C7">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18B554D9">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2DEEBC4A">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30E8E81A">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4708AAED">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1B35F19A">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1B0862A1">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6F1F9195">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6FE3F401">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361E3E4F">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747BB398">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23E4E404">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55AC9884">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1C1D3A6D">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4E6446D1">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49EF38C8">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42E45A32">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05BBEE27">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67DFF9E8">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732DE8DD">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46671345">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7A4429F9">
      <w:pPr>
        <w:adjustRightInd w:val="0"/>
        <w:spacing w:line="400" w:lineRule="exact"/>
        <w:jc w:val="left"/>
        <w:textAlignment w:val="baseline"/>
        <w:rPr>
          <w:rFonts w:hint="eastAsia" w:ascii="仿宋_GB2312" w:hAnsi="宋体" w:eastAsia="仿宋_GB2312"/>
          <w:b/>
          <w:bCs/>
          <w:color w:val="auto"/>
          <w:sz w:val="24"/>
        </w:rPr>
      </w:pPr>
    </w:p>
    <w:p w14:paraId="32B3D95C">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4D7AC9F6">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5072AD9B">
      <w:pPr>
        <w:adjustRightInd w:val="0"/>
        <w:spacing w:line="400" w:lineRule="exact"/>
        <w:ind w:firstLine="482" w:firstLineChars="200"/>
        <w:jc w:val="left"/>
        <w:textAlignment w:val="baseline"/>
        <w:rPr>
          <w:rFonts w:hint="eastAsia" w:ascii="仿宋_GB2312" w:hAnsi="宋体" w:eastAsia="仿宋_GB2312"/>
          <w:b/>
          <w:bCs/>
          <w:color w:val="auto"/>
          <w:sz w:val="24"/>
        </w:rPr>
      </w:pPr>
    </w:p>
    <w:p w14:paraId="0C498CBA">
      <w:pPr>
        <w:tabs>
          <w:tab w:val="left" w:pos="3055"/>
        </w:tabs>
        <w:jc w:val="center"/>
        <w:rPr>
          <w:b/>
          <w:color w:val="auto"/>
          <w:sz w:val="30"/>
          <w:szCs w:val="30"/>
        </w:rPr>
      </w:pPr>
      <w:r>
        <w:rPr>
          <w:rFonts w:hint="eastAsia" w:ascii="宋体" w:hAnsi="宋体" w:cs="Courier New"/>
          <w:b/>
          <w:bCs/>
          <w:color w:val="auto"/>
          <w:sz w:val="32"/>
          <w:szCs w:val="32"/>
        </w:rPr>
        <w:t>评标方法及评标标准（</w:t>
      </w:r>
      <w:r>
        <w:rPr>
          <w:rFonts w:hint="eastAsia" w:ascii="宋体" w:hAnsi="宋体" w:cs="Courier New"/>
          <w:b/>
          <w:bCs/>
          <w:color w:val="auto"/>
          <w:sz w:val="32"/>
          <w:szCs w:val="32"/>
          <w:lang w:val="en-US" w:eastAsia="zh-CN"/>
        </w:rPr>
        <w:t>分标5</w:t>
      </w:r>
      <w:r>
        <w:rPr>
          <w:rFonts w:hint="eastAsia" w:ascii="宋体" w:hAnsi="宋体" w:cs="Courier New"/>
          <w:b/>
          <w:bCs/>
          <w:color w:val="auto"/>
          <w:sz w:val="32"/>
          <w:szCs w:val="32"/>
        </w:rPr>
        <w:t>）</w:t>
      </w:r>
    </w:p>
    <w:p w14:paraId="5FBED4EE">
      <w:pPr>
        <w:spacing w:line="390" w:lineRule="exact"/>
        <w:ind w:right="-168" w:rightChars="-80" w:firstLine="482" w:firstLineChars="200"/>
        <w:rPr>
          <w:rFonts w:ascii="仿宋_GB2312" w:eastAsia="仿宋_GB2312"/>
          <w:b/>
          <w:bCs/>
          <w:color w:val="auto"/>
          <w:sz w:val="24"/>
        </w:rPr>
      </w:pPr>
      <w:r>
        <w:rPr>
          <w:rFonts w:hint="eastAsia" w:ascii="仿宋_GB2312" w:eastAsia="仿宋_GB2312"/>
          <w:b/>
          <w:bCs/>
          <w:color w:val="auto"/>
          <w:sz w:val="24"/>
        </w:rPr>
        <w:t>一、评标原则</w:t>
      </w:r>
    </w:p>
    <w:p w14:paraId="015E5D15">
      <w:pPr>
        <w:spacing w:line="390" w:lineRule="exact"/>
        <w:ind w:right="-168" w:rightChars="-80"/>
        <w:rPr>
          <w:rFonts w:ascii="仿宋_GB2312" w:eastAsia="仿宋_GB2312"/>
          <w:color w:val="auto"/>
          <w:sz w:val="24"/>
        </w:rPr>
      </w:pPr>
      <w:r>
        <w:rPr>
          <w:rFonts w:hint="eastAsia" w:ascii="仿宋_GB2312" w:eastAsia="仿宋_GB2312"/>
          <w:color w:val="auto"/>
          <w:sz w:val="24"/>
        </w:rPr>
        <w:t xml:space="preserve">    （一）评委构成：本招标采购项目的评委分别由依法组成的评审专家、采购人代表共五人或以上单数构成，其中专家人数不少于评标委员会成员总数的三分之二。</w:t>
      </w:r>
    </w:p>
    <w:p w14:paraId="543822C2">
      <w:pPr>
        <w:spacing w:line="390" w:lineRule="exact"/>
        <w:ind w:right="-168" w:rightChars="-80" w:firstLine="435"/>
        <w:rPr>
          <w:rFonts w:ascii="仿宋_GB2312" w:eastAsia="仿宋_GB2312"/>
          <w:b/>
          <w:color w:val="auto"/>
          <w:sz w:val="24"/>
        </w:rPr>
      </w:pPr>
      <w:r>
        <w:rPr>
          <w:rFonts w:hint="eastAsia" w:ascii="仿宋_GB2312" w:eastAsia="仿宋_GB2312"/>
          <w:b/>
          <w:color w:val="auto"/>
          <w:sz w:val="24"/>
        </w:rPr>
        <w:t>（二）评标依据：评委将以招投标文件为评标依据，对投标人的价格、技术、信誉、业绩等方面按百分制打分。</w:t>
      </w:r>
    </w:p>
    <w:p w14:paraId="35B8378A">
      <w:pPr>
        <w:spacing w:line="390" w:lineRule="exact"/>
        <w:ind w:right="-168" w:rightChars="-80" w:firstLine="435"/>
        <w:rPr>
          <w:rFonts w:ascii="仿宋_GB2312" w:eastAsia="仿宋_GB2312"/>
          <w:color w:val="auto"/>
          <w:sz w:val="24"/>
        </w:rPr>
      </w:pPr>
      <w:r>
        <w:rPr>
          <w:rFonts w:hint="eastAsia" w:ascii="仿宋_GB2312" w:eastAsia="仿宋_GB2312"/>
          <w:color w:val="auto"/>
          <w:sz w:val="24"/>
        </w:rPr>
        <w:t>（三）评标方式：以封闭方式进行。</w:t>
      </w:r>
    </w:p>
    <w:p w14:paraId="5B854985">
      <w:pPr>
        <w:spacing w:line="390" w:lineRule="exact"/>
        <w:ind w:right="-168" w:rightChars="-80" w:firstLine="435"/>
        <w:rPr>
          <w:rFonts w:ascii="仿宋_GB2312" w:eastAsia="仿宋_GB2312"/>
          <w:color w:val="auto"/>
          <w:sz w:val="24"/>
        </w:rPr>
      </w:pPr>
      <w:r>
        <w:rPr>
          <w:rFonts w:hint="eastAsia" w:ascii="仿宋_GB2312" w:eastAsia="仿宋_GB2312"/>
          <w:color w:val="auto"/>
          <w:sz w:val="24"/>
        </w:rPr>
        <w:t>（四）评标委员会认为投标人的报价明显低于其他通过符合性审查投标人的报价，有可能影响产品质量或者不能诚信履约的，</w:t>
      </w:r>
      <w:r>
        <w:rPr>
          <w:rFonts w:hint="eastAsia" w:ascii="仿宋_GB2312" w:eastAsia="仿宋_GB2312" w:cs="Courier New"/>
          <w:color w:val="auto"/>
          <w:sz w:val="24"/>
        </w:rPr>
        <w:t>应当通过广西政府采购云平台发起询标函，要求其在评标现场合理的时间内通过广西政府采购云平台提供书面说明</w:t>
      </w:r>
      <w:r>
        <w:rPr>
          <w:rFonts w:hint="eastAsia" w:ascii="仿宋_GB2312" w:eastAsia="仿宋_GB2312"/>
          <w:color w:val="auto"/>
          <w:sz w:val="24"/>
        </w:rPr>
        <w:t xml:space="preserve">，必要时提交相关证明材料；投标人不能证明其报价合理性的，评标委员会应当将其作为无效投标处理。     </w:t>
      </w:r>
    </w:p>
    <w:p w14:paraId="20C1BD6E">
      <w:pPr>
        <w:spacing w:line="390" w:lineRule="exact"/>
        <w:ind w:right="-168" w:rightChars="-80" w:firstLine="435"/>
        <w:rPr>
          <w:rFonts w:ascii="仿宋_GB2312" w:eastAsia="仿宋_GB2312"/>
          <w:b/>
          <w:bCs/>
          <w:color w:val="auto"/>
          <w:sz w:val="24"/>
        </w:rPr>
      </w:pPr>
      <w:r>
        <w:rPr>
          <w:rFonts w:hint="eastAsia" w:ascii="仿宋_GB2312" w:eastAsia="仿宋_GB2312"/>
          <w:b/>
          <w:bCs/>
          <w:color w:val="auto"/>
          <w:sz w:val="24"/>
        </w:rPr>
        <w:t>二、评标方法</w:t>
      </w:r>
      <w:r>
        <w:rPr>
          <w:rFonts w:ascii="仿宋_GB2312" w:eastAsia="仿宋_GB2312"/>
          <w:b/>
          <w:bCs/>
          <w:color w:val="auto"/>
          <w:sz w:val="24"/>
        </w:rPr>
        <w:tab/>
      </w:r>
    </w:p>
    <w:p w14:paraId="775A705D">
      <w:pPr>
        <w:spacing w:line="390" w:lineRule="exact"/>
        <w:ind w:right="-168" w:rightChars="-80" w:firstLine="435"/>
        <w:rPr>
          <w:rFonts w:hint="eastAsia" w:ascii="仿宋_GB2312" w:eastAsia="仿宋_GB2312"/>
          <w:color w:val="auto"/>
          <w:sz w:val="24"/>
        </w:rPr>
      </w:pPr>
      <w:r>
        <w:rPr>
          <w:rFonts w:hint="eastAsia" w:ascii="仿宋_GB2312" w:eastAsia="仿宋_GB2312"/>
          <w:color w:val="auto"/>
          <w:sz w:val="24"/>
        </w:rPr>
        <w:t>（一）对进入详评的，采用百分制综合评分法。</w:t>
      </w:r>
    </w:p>
    <w:p w14:paraId="336C51C8">
      <w:pPr>
        <w:spacing w:line="390" w:lineRule="exact"/>
        <w:ind w:right="-168" w:rightChars="-80" w:firstLine="435"/>
        <w:rPr>
          <w:rFonts w:ascii="仿宋_GB2312" w:hAnsi="宋体" w:eastAsia="仿宋_GB2312"/>
          <w:color w:val="auto"/>
          <w:sz w:val="24"/>
        </w:rPr>
      </w:pPr>
      <w:r>
        <w:rPr>
          <w:rFonts w:hint="eastAsia" w:ascii="仿宋_GB2312" w:eastAsia="仿宋_GB2312"/>
          <w:color w:val="auto"/>
          <w:sz w:val="24"/>
        </w:rPr>
        <w:t>（二）计分办法（分值计算保留小数点后两位，第三位四舍五入）</w:t>
      </w:r>
      <w:r>
        <w:rPr>
          <w:rFonts w:hint="eastAsia" w:ascii="仿宋_GB2312" w:hAnsi="宋体" w:eastAsia="仿宋_GB2312"/>
          <w:color w:val="auto"/>
          <w:sz w:val="24"/>
        </w:rPr>
        <w:t>：</w:t>
      </w:r>
    </w:p>
    <w:tbl>
      <w:tblPr>
        <w:tblStyle w:val="814"/>
        <w:tblpPr w:leftFromText="180" w:rightFromText="180" w:vertAnchor="text" w:horzAnchor="page" w:tblpX="661" w:tblpY="378"/>
        <w:tblOverlap w:val="never"/>
        <w:tblW w:w="97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1035"/>
        <w:gridCol w:w="1022"/>
      </w:tblGrid>
      <w:tr w14:paraId="584E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772" w:type="dxa"/>
            <w:gridSpan w:val="5"/>
            <w:shd w:val="clear" w:color="auto" w:fill="D7D7D7"/>
            <w:vAlign w:val="center"/>
          </w:tcPr>
          <w:p w14:paraId="5BFC7EAF">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客观分</w:t>
            </w:r>
          </w:p>
        </w:tc>
      </w:tr>
      <w:tr w14:paraId="05DF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6632B762">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评分项</w:t>
            </w:r>
          </w:p>
        </w:tc>
        <w:tc>
          <w:tcPr>
            <w:tcW w:w="1090" w:type="dxa"/>
            <w:vAlign w:val="center"/>
          </w:tcPr>
          <w:p w14:paraId="6F38E8CB">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评审因素</w:t>
            </w:r>
          </w:p>
        </w:tc>
        <w:tc>
          <w:tcPr>
            <w:tcW w:w="5776" w:type="dxa"/>
            <w:vAlign w:val="center"/>
          </w:tcPr>
          <w:p w14:paraId="4A645676">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评分标准说明</w:t>
            </w:r>
          </w:p>
        </w:tc>
        <w:tc>
          <w:tcPr>
            <w:tcW w:w="1035" w:type="dxa"/>
            <w:vAlign w:val="center"/>
          </w:tcPr>
          <w:p w14:paraId="4FD4CBE4">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分值</w:t>
            </w:r>
          </w:p>
        </w:tc>
        <w:tc>
          <w:tcPr>
            <w:tcW w:w="1022" w:type="dxa"/>
            <w:vAlign w:val="center"/>
          </w:tcPr>
          <w:p w14:paraId="62083732">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对应的投标文件格式</w:t>
            </w:r>
          </w:p>
        </w:tc>
      </w:tr>
      <w:tr w14:paraId="6F460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849" w:type="dxa"/>
            <w:vAlign w:val="center"/>
          </w:tcPr>
          <w:p w14:paraId="174CA402">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价格分</w:t>
            </w:r>
          </w:p>
        </w:tc>
        <w:tc>
          <w:tcPr>
            <w:tcW w:w="1090" w:type="dxa"/>
            <w:vAlign w:val="center"/>
          </w:tcPr>
          <w:p w14:paraId="2696F9D9">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价格</w:t>
            </w:r>
          </w:p>
        </w:tc>
        <w:tc>
          <w:tcPr>
            <w:tcW w:w="5776" w:type="dxa"/>
            <w:vAlign w:val="center"/>
          </w:tcPr>
          <w:p w14:paraId="30451193">
            <w:pPr>
              <w:spacing w:line="400" w:lineRule="exact"/>
              <w:ind w:firstLine="420" w:firstLineChars="200"/>
              <w:jc w:val="left"/>
              <w:rPr>
                <w:rFonts w:ascii="仿宋_GB2312" w:hAnsi="仿宋_GB2312" w:eastAsia="仿宋_GB2312" w:cs="仿宋_GB2312"/>
                <w:bCs/>
                <w:color w:val="auto"/>
                <w:szCs w:val="21"/>
              </w:rPr>
            </w:pPr>
            <w:r>
              <w:rPr>
                <w:rFonts w:hint="eastAsia" w:ascii="仿宋_GB2312" w:hAnsi="仿宋_GB2312" w:eastAsia="仿宋_GB2312" w:cs="仿宋_GB2312"/>
                <w:color w:val="auto"/>
                <w:szCs w:val="21"/>
              </w:rPr>
              <w:t>1.满足招标文件要求且投标价格最低的投标报价为评标基准价，其投标人的报价分为最高分30</w:t>
            </w:r>
            <w:r>
              <w:rPr>
                <w:rFonts w:hint="eastAsia" w:ascii="仿宋_GB2312" w:hAnsi="仿宋_GB2312" w:eastAsia="仿宋_GB2312" w:cs="仿宋_GB2312"/>
                <w:bCs/>
                <w:color w:val="auto"/>
                <w:szCs w:val="21"/>
              </w:rPr>
              <w:t>分；</w:t>
            </w:r>
          </w:p>
          <w:p w14:paraId="28D6269A">
            <w:pPr>
              <w:spacing w:line="400" w:lineRule="exact"/>
              <w:ind w:firstLine="420" w:firstLineChars="200"/>
              <w:jc w:val="left"/>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2.其他投标人的报价得分按以下公式计算：</w:t>
            </w:r>
          </w:p>
          <w:p w14:paraId="34D66CB3">
            <w:pPr>
              <w:spacing w:line="400" w:lineRule="exact"/>
              <w:ind w:firstLine="420" w:firstLineChars="200"/>
              <w:jc w:val="left"/>
              <w:rPr>
                <w:rFonts w:ascii="仿宋_GB2312" w:hAnsi="仿宋_GB2312" w:eastAsia="仿宋_GB2312" w:cs="仿宋_GB2312"/>
                <w:color w:val="auto"/>
                <w:szCs w:val="21"/>
              </w:rPr>
            </w:pPr>
            <w:r>
              <w:rPr>
                <w:rFonts w:hint="eastAsia" w:ascii="仿宋_GB2312" w:hAnsi="仿宋_GB2312" w:eastAsia="仿宋_GB2312" w:cs="仿宋_GB2312"/>
                <w:bCs/>
                <w:color w:val="auto"/>
                <w:szCs w:val="21"/>
              </w:rPr>
              <w:t>报价得分=（评标基准价／某投标人投标报价）×30</w:t>
            </w:r>
            <w:r>
              <w:rPr>
                <w:rFonts w:hint="eastAsia" w:ascii="仿宋_GB2312" w:hAnsi="仿宋_GB2312" w:eastAsia="仿宋_GB2312" w:cs="仿宋_GB2312"/>
                <w:color w:val="auto"/>
                <w:szCs w:val="21"/>
              </w:rPr>
              <w:t>分；</w:t>
            </w:r>
          </w:p>
          <w:p w14:paraId="510C4B48">
            <w:pPr>
              <w:spacing w:line="400" w:lineRule="exact"/>
              <w:ind w:firstLine="422" w:firstLineChars="200"/>
              <w:jc w:val="left"/>
              <w:rPr>
                <w:rFonts w:ascii="仿宋_GB2312" w:hAnsi="仿宋_GB2312" w:eastAsia="仿宋_GB2312" w:cs="仿宋_GB2312"/>
                <w:b/>
                <w:color w:val="auto"/>
                <w:szCs w:val="21"/>
              </w:rPr>
            </w:pPr>
            <w:r>
              <w:rPr>
                <w:rFonts w:hint="eastAsia" w:ascii="仿宋_GB2312" w:hAnsi="仿宋_GB2312" w:eastAsia="仿宋_GB2312" w:cs="仿宋_GB2312"/>
                <w:b/>
                <w:bCs/>
                <w:color w:val="auto"/>
              </w:rPr>
              <w:t>注：专门面向中小企业采购的项目或者采购包，不再执行价格评审优惠的扶持政策。</w:t>
            </w:r>
          </w:p>
        </w:tc>
        <w:tc>
          <w:tcPr>
            <w:tcW w:w="1035" w:type="dxa"/>
            <w:vAlign w:val="center"/>
          </w:tcPr>
          <w:p w14:paraId="3678C240">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30</w:t>
            </w:r>
          </w:p>
        </w:tc>
        <w:tc>
          <w:tcPr>
            <w:tcW w:w="1022" w:type="dxa"/>
            <w:vAlign w:val="center"/>
          </w:tcPr>
          <w:p w14:paraId="503137BC">
            <w:pPr>
              <w:spacing w:line="360" w:lineRule="exact"/>
              <w:jc w:val="center"/>
              <w:rPr>
                <w:rFonts w:ascii="仿宋_GB2312" w:hAnsi="仿宋_GB2312" w:eastAsia="仿宋_GB2312" w:cs="仿宋_GB2312"/>
                <w:b/>
                <w:bCs/>
                <w:color w:val="auto"/>
                <w:szCs w:val="21"/>
              </w:rPr>
            </w:pPr>
          </w:p>
        </w:tc>
      </w:tr>
      <w:tr w14:paraId="03E3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43F51347">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信誉分</w:t>
            </w:r>
          </w:p>
        </w:tc>
        <w:tc>
          <w:tcPr>
            <w:tcW w:w="1090" w:type="dxa"/>
            <w:vAlign w:val="center"/>
          </w:tcPr>
          <w:p w14:paraId="47D59192">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体系认证</w:t>
            </w:r>
          </w:p>
        </w:tc>
        <w:tc>
          <w:tcPr>
            <w:tcW w:w="5776" w:type="dxa"/>
            <w:vAlign w:val="center"/>
          </w:tcPr>
          <w:p w14:paraId="2A42C7A7">
            <w:pPr>
              <w:numPr>
                <w:ilvl w:val="255"/>
                <w:numId w:val="0"/>
              </w:numPr>
              <w:spacing w:line="400" w:lineRule="exact"/>
              <w:ind w:firstLine="420" w:firstLineChars="200"/>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1.投标人或投标产品生产厂家具备有效的质量管理体系认证证书得2分，满分2分。</w:t>
            </w:r>
          </w:p>
          <w:p w14:paraId="2EFB6913">
            <w:pPr>
              <w:spacing w:line="40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color w:val="auto"/>
                <w:szCs w:val="21"/>
              </w:rPr>
              <w:t>注：投标人提供证书材料并加盖投标人CA电子签章，否则不予计分。</w:t>
            </w:r>
          </w:p>
        </w:tc>
        <w:tc>
          <w:tcPr>
            <w:tcW w:w="1035" w:type="dxa"/>
            <w:vAlign w:val="center"/>
          </w:tcPr>
          <w:p w14:paraId="3B7F5A3A">
            <w:pPr>
              <w:spacing w:line="360" w:lineRule="exact"/>
              <w:jc w:val="center"/>
              <w:rPr>
                <w:rFonts w:hint="eastAsia" w:ascii="仿宋_GB2312" w:hAnsi="仿宋_GB2312" w:eastAsia="宋体" w:cs="仿宋_GB2312"/>
                <w:b/>
                <w:bCs/>
                <w:dstrike/>
                <w:color w:val="auto"/>
                <w:szCs w:val="21"/>
                <w:lang w:eastAsia="zh-CN"/>
              </w:rPr>
            </w:pPr>
            <w:r>
              <w:rPr>
                <w:rFonts w:hint="eastAsia" w:ascii="仿宋_GB2312" w:hAnsi="仿宋_GB2312" w:eastAsia="仿宋_GB2312" w:cs="仿宋_GB2312"/>
                <w:b/>
                <w:bCs/>
                <w:color w:val="auto"/>
                <w:szCs w:val="21"/>
                <w:lang w:val="en-US" w:eastAsia="zh-CN"/>
              </w:rPr>
              <w:t>2</w:t>
            </w:r>
          </w:p>
        </w:tc>
        <w:tc>
          <w:tcPr>
            <w:tcW w:w="1022" w:type="dxa"/>
            <w:vAlign w:val="center"/>
          </w:tcPr>
          <w:p w14:paraId="66CE4B44">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color w:val="auto"/>
                <w:szCs w:val="21"/>
              </w:rPr>
              <w:t>相关认证证书材料</w:t>
            </w:r>
          </w:p>
        </w:tc>
      </w:tr>
      <w:tr w14:paraId="076B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849" w:type="dxa"/>
            <w:vAlign w:val="center"/>
          </w:tcPr>
          <w:p w14:paraId="46E9C705">
            <w:pPr>
              <w:spacing w:line="360" w:lineRule="exact"/>
              <w:jc w:val="center"/>
              <w:rPr>
                <w:rFonts w:ascii="仿宋_GB2312" w:hAnsi="仿宋_GB2312" w:eastAsia="仿宋_GB2312" w:cs="仿宋_GB2312"/>
                <w:b/>
                <w:bCs/>
                <w:color w:val="auto"/>
              </w:rPr>
            </w:pPr>
            <w:r>
              <w:rPr>
                <w:rFonts w:hint="eastAsia" w:ascii="仿宋_GB2312" w:hAnsi="仿宋_GB2312" w:eastAsia="仿宋_GB2312" w:cs="仿宋_GB2312"/>
                <w:b/>
                <w:bCs/>
                <w:color w:val="auto"/>
              </w:rPr>
              <w:t>知识产权分</w:t>
            </w:r>
          </w:p>
        </w:tc>
        <w:tc>
          <w:tcPr>
            <w:tcW w:w="1090" w:type="dxa"/>
            <w:vAlign w:val="center"/>
          </w:tcPr>
          <w:p w14:paraId="32D7811B">
            <w:pPr>
              <w:spacing w:line="360" w:lineRule="exact"/>
              <w:jc w:val="center"/>
              <w:rPr>
                <w:rFonts w:ascii="仿宋_GB2312" w:hAnsi="仿宋_GB2312" w:eastAsia="仿宋_GB2312" w:cs="仿宋_GB2312"/>
                <w:b/>
                <w:bCs/>
                <w:color w:val="auto"/>
              </w:rPr>
            </w:pPr>
            <w:r>
              <w:rPr>
                <w:rFonts w:hint="eastAsia" w:ascii="仿宋_GB2312" w:hAnsi="仿宋_GB2312" w:eastAsia="仿宋_GB2312" w:cs="仿宋_GB2312"/>
                <w:b/>
                <w:bCs/>
                <w:color w:val="auto"/>
              </w:rPr>
              <w:t>知识产权</w:t>
            </w:r>
          </w:p>
        </w:tc>
        <w:tc>
          <w:tcPr>
            <w:tcW w:w="5776" w:type="dxa"/>
            <w:vAlign w:val="center"/>
          </w:tcPr>
          <w:p w14:paraId="21DA2315">
            <w:pPr>
              <w:numPr>
                <w:ilvl w:val="255"/>
                <w:numId w:val="0"/>
              </w:numPr>
              <w:spacing w:line="400" w:lineRule="exact"/>
              <w:ind w:firstLine="420" w:firstLineChars="200"/>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1.投标人或投标产品生产厂家具有软件著作权</w:t>
            </w:r>
            <w:r>
              <w:rPr>
                <w:rFonts w:hint="eastAsia" w:ascii="仿宋_GB2312" w:hAnsi="仿宋_GB2312" w:eastAsia="仿宋_GB2312" w:cs="仿宋_GB2312"/>
                <w:color w:val="auto"/>
                <w:szCs w:val="21"/>
                <w:lang w:val="en-US" w:eastAsia="zh-CN"/>
              </w:rPr>
              <w:t>证书</w:t>
            </w:r>
            <w:r>
              <w:rPr>
                <w:rFonts w:hint="eastAsia" w:ascii="仿宋_GB2312" w:hAnsi="仿宋_GB2312" w:eastAsia="仿宋_GB2312" w:cs="仿宋_GB2312"/>
                <w:color w:val="auto"/>
                <w:szCs w:val="21"/>
              </w:rPr>
              <w:t>，每提供1个得3分，满分6分。</w:t>
            </w:r>
          </w:p>
          <w:p w14:paraId="23A96DC3">
            <w:pPr>
              <w:spacing w:line="400" w:lineRule="exact"/>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注：投标人提供证书材料并加盖投标人CA电子签章，否则不予计分。</w:t>
            </w:r>
          </w:p>
        </w:tc>
        <w:tc>
          <w:tcPr>
            <w:tcW w:w="1035" w:type="dxa"/>
            <w:vAlign w:val="center"/>
          </w:tcPr>
          <w:p w14:paraId="4A0C1DC5">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6</w:t>
            </w:r>
          </w:p>
        </w:tc>
        <w:tc>
          <w:tcPr>
            <w:tcW w:w="1022" w:type="dxa"/>
            <w:vAlign w:val="center"/>
          </w:tcPr>
          <w:p w14:paraId="6BA1D272">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相关证明材料</w:t>
            </w:r>
          </w:p>
        </w:tc>
      </w:tr>
      <w:tr w14:paraId="4F9C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0FC33572">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rPr>
              <w:t>业绩分</w:t>
            </w:r>
          </w:p>
        </w:tc>
        <w:tc>
          <w:tcPr>
            <w:tcW w:w="1090" w:type="dxa"/>
            <w:vAlign w:val="center"/>
          </w:tcPr>
          <w:p w14:paraId="179080A6">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bCs/>
                <w:color w:val="auto"/>
              </w:rPr>
              <w:t>项目经验</w:t>
            </w:r>
          </w:p>
        </w:tc>
        <w:tc>
          <w:tcPr>
            <w:tcW w:w="5776" w:type="dxa"/>
            <w:vAlign w:val="center"/>
          </w:tcPr>
          <w:p w14:paraId="5AD50D44">
            <w:pPr>
              <w:numPr>
                <w:ilvl w:val="255"/>
                <w:numId w:val="0"/>
              </w:numPr>
              <w:spacing w:line="400" w:lineRule="exact"/>
              <w:ind w:firstLine="420" w:firstLineChars="200"/>
              <w:rPr>
                <w:rFonts w:ascii="仿宋_GB2312" w:hAnsi="仿宋_GB2312" w:eastAsia="仿宋_GB2312" w:cs="仿宋_GB2312"/>
                <w:color w:val="auto"/>
              </w:rPr>
            </w:pPr>
            <w:r>
              <w:rPr>
                <w:rFonts w:hint="eastAsia" w:ascii="仿宋_GB2312" w:hAnsi="仿宋_GB2312" w:eastAsia="仿宋_GB2312" w:cs="仿宋_GB2312"/>
                <w:color w:val="auto"/>
              </w:rPr>
              <w:t>1.投标人2022年1月1日起至今本</w:t>
            </w:r>
            <w:r>
              <w:rPr>
                <w:rFonts w:hint="eastAsia" w:ascii="仿宋_GB2312" w:hAnsi="仿宋_GB2312" w:eastAsia="仿宋_GB2312" w:cs="仿宋_GB2312"/>
                <w:color w:val="auto"/>
                <w:lang w:val="en-US" w:eastAsia="zh-CN"/>
              </w:rPr>
              <w:t>分标</w:t>
            </w:r>
            <w:r>
              <w:rPr>
                <w:rFonts w:hint="eastAsia" w:ascii="仿宋_GB2312" w:hAnsi="仿宋_GB2312" w:eastAsia="仿宋_GB2312" w:cs="仿宋_GB2312"/>
                <w:color w:val="auto"/>
              </w:rPr>
              <w:t>所投产品在项目中被安装使用，每有一项得1分，满分</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color w:val="auto"/>
              </w:rPr>
              <w:t>分。</w:t>
            </w:r>
          </w:p>
          <w:p w14:paraId="12BB1C73">
            <w:pPr>
              <w:spacing w:line="400" w:lineRule="exact"/>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rPr>
              <w:t>注：</w:t>
            </w:r>
            <w:r>
              <w:rPr>
                <w:rFonts w:hint="eastAsia" w:ascii="仿宋_GB2312" w:hAnsi="仿宋_GB2312" w:eastAsia="仿宋_GB2312" w:cs="仿宋_GB2312"/>
                <w:b/>
                <w:color w:val="auto"/>
                <w:szCs w:val="21"/>
              </w:rPr>
              <w:t>1.以合同签订时间为准；</w:t>
            </w:r>
          </w:p>
          <w:p w14:paraId="2BB5A4C8">
            <w:pPr>
              <w:spacing w:line="400" w:lineRule="exact"/>
              <w:ind w:firstLine="422" w:firstLineChars="200"/>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2.</w:t>
            </w:r>
            <w:r>
              <w:rPr>
                <w:rFonts w:hint="eastAsia" w:ascii="仿宋_GB2312" w:hAnsi="仿宋_GB2312" w:eastAsia="仿宋_GB2312" w:cs="仿宋_GB2312"/>
                <w:b/>
                <w:bCs/>
                <w:color w:val="auto"/>
              </w:rPr>
              <w:t>投标人提供上述合同材料并加盖投标人</w:t>
            </w:r>
            <w:r>
              <w:rPr>
                <w:rFonts w:hint="eastAsia" w:ascii="仿宋_GB2312" w:hAnsi="仿宋_GB2312" w:eastAsia="仿宋_GB2312" w:cs="仿宋_GB2312"/>
                <w:b/>
                <w:color w:val="auto"/>
              </w:rPr>
              <w:t>CA电子签章</w:t>
            </w:r>
            <w:r>
              <w:rPr>
                <w:rFonts w:hint="eastAsia" w:ascii="仿宋_GB2312" w:hAnsi="仿宋_GB2312" w:eastAsia="仿宋_GB2312" w:cs="仿宋_GB2312"/>
                <w:b/>
                <w:bCs/>
                <w:color w:val="auto"/>
              </w:rPr>
              <w:t>，否则不予计分</w:t>
            </w:r>
            <w:r>
              <w:rPr>
                <w:rFonts w:hint="eastAsia" w:ascii="仿宋_GB2312" w:hAnsi="仿宋_GB2312" w:eastAsia="仿宋_GB2312" w:cs="仿宋_GB2312"/>
                <w:b/>
                <w:color w:val="auto"/>
              </w:rPr>
              <w:t>。</w:t>
            </w:r>
          </w:p>
        </w:tc>
        <w:tc>
          <w:tcPr>
            <w:tcW w:w="1035" w:type="dxa"/>
            <w:vAlign w:val="center"/>
          </w:tcPr>
          <w:p w14:paraId="3E4F5BFA">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7</w:t>
            </w:r>
          </w:p>
        </w:tc>
        <w:tc>
          <w:tcPr>
            <w:tcW w:w="1022" w:type="dxa"/>
            <w:vAlign w:val="center"/>
          </w:tcPr>
          <w:p w14:paraId="2EDC02F4">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投标人项目经验一览表及相关证明材料</w:t>
            </w:r>
          </w:p>
        </w:tc>
      </w:tr>
      <w:tr w14:paraId="2CDB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Align w:val="center"/>
          </w:tcPr>
          <w:p w14:paraId="606C1D57">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技术参数分</w:t>
            </w:r>
          </w:p>
        </w:tc>
        <w:tc>
          <w:tcPr>
            <w:tcW w:w="1090" w:type="dxa"/>
            <w:vAlign w:val="center"/>
          </w:tcPr>
          <w:p w14:paraId="6880D13C">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技术性能参数</w:t>
            </w:r>
          </w:p>
        </w:tc>
        <w:tc>
          <w:tcPr>
            <w:tcW w:w="5776" w:type="dxa"/>
            <w:vAlign w:val="center"/>
          </w:tcPr>
          <w:p w14:paraId="15F1AED6">
            <w:pPr>
              <w:spacing w:line="400" w:lineRule="exact"/>
              <w:ind w:firstLine="422" w:firstLineChars="200"/>
              <w:rPr>
                <w:rFonts w:ascii="仿宋_GB2312" w:hAnsi="仿宋_GB2312" w:eastAsia="仿宋_GB2312" w:cs="仿宋_GB2312"/>
                <w:color w:val="auto"/>
                <w:szCs w:val="21"/>
              </w:rPr>
            </w:pPr>
            <w:r>
              <w:rPr>
                <w:rFonts w:hint="eastAsia" w:ascii="仿宋_GB2312" w:hAnsi="仿宋_GB2312" w:eastAsia="仿宋_GB2312" w:cs="仿宋_GB2312"/>
                <w:b/>
                <w:color w:val="auto"/>
                <w:sz w:val="21"/>
                <w:szCs w:val="21"/>
                <w:lang w:val="en-US" w:eastAsia="zh-CN"/>
              </w:rPr>
              <w:t>承诺</w:t>
            </w:r>
            <w:r>
              <w:rPr>
                <w:rFonts w:hint="eastAsia" w:ascii="仿宋_GB2312" w:hAnsi="仿宋_GB2312" w:eastAsia="仿宋_GB2312" w:cs="仿宋_GB2312"/>
                <w:b/>
                <w:color w:val="auto"/>
                <w:sz w:val="21"/>
                <w:szCs w:val="21"/>
              </w:rPr>
              <w:t>所投产品没有标记“★”符号的参数</w:t>
            </w:r>
            <w:r>
              <w:rPr>
                <w:rFonts w:hint="eastAsia" w:ascii="仿宋_GB2312" w:hAnsi="仿宋_GB2312" w:eastAsia="仿宋_GB2312" w:cs="仿宋_GB2312"/>
                <w:b/>
                <w:color w:val="auto"/>
                <w:sz w:val="21"/>
                <w:szCs w:val="21"/>
                <w:lang w:val="en-US" w:eastAsia="zh-CN"/>
              </w:rPr>
              <w:t>无负偏离的得基础分6</w:t>
            </w:r>
            <w:r>
              <w:rPr>
                <w:rFonts w:hint="eastAsia" w:ascii="仿宋_GB2312" w:hAnsi="仿宋_GB2312" w:eastAsia="仿宋_GB2312" w:cs="仿宋_GB2312"/>
                <w:b/>
                <w:color w:val="auto"/>
                <w:sz w:val="21"/>
                <w:szCs w:val="21"/>
              </w:rPr>
              <w:t>分</w:t>
            </w:r>
            <w:r>
              <w:rPr>
                <w:rFonts w:hint="eastAsia" w:ascii="仿宋_GB2312" w:hAnsi="仿宋_GB2312" w:eastAsia="仿宋_GB2312" w:cs="仿宋_GB2312"/>
                <w:color w:val="auto"/>
              </w:rPr>
              <w:t>。</w:t>
            </w:r>
          </w:p>
        </w:tc>
        <w:tc>
          <w:tcPr>
            <w:tcW w:w="1035" w:type="dxa"/>
            <w:vAlign w:val="center"/>
          </w:tcPr>
          <w:p w14:paraId="7B68C644">
            <w:pPr>
              <w:spacing w:line="360" w:lineRule="exact"/>
              <w:jc w:val="center"/>
              <w:rPr>
                <w:rFonts w:hint="eastAsia" w:ascii="仿宋_GB2312" w:hAnsi="仿宋_GB2312" w:eastAsia="宋体" w:cs="仿宋_GB2312"/>
                <w:b/>
                <w:bCs/>
                <w:color w:val="auto"/>
                <w:szCs w:val="21"/>
                <w:lang w:eastAsia="zh-CN"/>
              </w:rPr>
            </w:pPr>
            <w:r>
              <w:rPr>
                <w:rFonts w:hint="eastAsia" w:ascii="仿宋_GB2312" w:hAnsi="仿宋_GB2312" w:eastAsia="仿宋_GB2312" w:cs="仿宋_GB2312"/>
                <w:b/>
                <w:bCs/>
                <w:color w:val="auto"/>
                <w:szCs w:val="21"/>
                <w:lang w:val="en-US" w:eastAsia="zh-CN"/>
              </w:rPr>
              <w:t>6</w:t>
            </w:r>
          </w:p>
        </w:tc>
        <w:tc>
          <w:tcPr>
            <w:tcW w:w="1022" w:type="dxa"/>
            <w:vAlign w:val="center"/>
          </w:tcPr>
          <w:p w14:paraId="3403F590">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color w:val="auto"/>
                <w:szCs w:val="21"/>
              </w:rPr>
              <w:t>技术响应表</w:t>
            </w:r>
          </w:p>
        </w:tc>
      </w:tr>
      <w:tr w14:paraId="57BB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6" w:hRule="atLeast"/>
        </w:trPr>
        <w:tc>
          <w:tcPr>
            <w:tcW w:w="849" w:type="dxa"/>
            <w:shd w:val="clear" w:color="auto" w:fill="auto"/>
            <w:vAlign w:val="center"/>
          </w:tcPr>
          <w:p w14:paraId="7E909463">
            <w:pPr>
              <w:spacing w:line="360" w:lineRule="exact"/>
              <w:jc w:val="center"/>
              <w:rPr>
                <w:rFonts w:ascii="仿宋_GB2312" w:hAnsi="仿宋_GB2312" w:eastAsia="仿宋_GB2312" w:cs="仿宋_GB2312"/>
                <w:b/>
                <w:bCs/>
                <w:color w:val="auto"/>
              </w:rPr>
            </w:pPr>
            <w:r>
              <w:rPr>
                <w:rFonts w:hint="eastAsia" w:ascii="仿宋_GB2312" w:hAnsi="仿宋_GB2312" w:eastAsia="仿宋_GB2312" w:cs="仿宋_GB2312"/>
                <w:b/>
                <w:bCs/>
                <w:color w:val="auto"/>
              </w:rPr>
              <w:t>系统性能演示分</w:t>
            </w:r>
          </w:p>
        </w:tc>
        <w:tc>
          <w:tcPr>
            <w:tcW w:w="1090" w:type="dxa"/>
            <w:shd w:val="clear" w:color="auto" w:fill="auto"/>
            <w:vAlign w:val="center"/>
          </w:tcPr>
          <w:p w14:paraId="3D45080E">
            <w:pPr>
              <w:spacing w:line="360" w:lineRule="exact"/>
              <w:jc w:val="center"/>
              <w:rPr>
                <w:rFonts w:ascii="仿宋_GB2312" w:hAnsi="仿宋_GB2312" w:eastAsia="仿宋_GB2312" w:cs="仿宋_GB2312"/>
                <w:b/>
                <w:bCs/>
                <w:color w:val="auto"/>
              </w:rPr>
            </w:pPr>
            <w:r>
              <w:rPr>
                <w:rFonts w:hint="eastAsia" w:ascii="仿宋_GB2312" w:hAnsi="仿宋_GB2312" w:eastAsia="仿宋_GB2312" w:cs="仿宋_GB2312"/>
                <w:b/>
                <w:bCs/>
                <w:color w:val="auto"/>
              </w:rPr>
              <w:t>系统性能演示</w:t>
            </w:r>
          </w:p>
        </w:tc>
        <w:tc>
          <w:tcPr>
            <w:tcW w:w="5776" w:type="dxa"/>
            <w:vAlign w:val="center"/>
          </w:tcPr>
          <w:p w14:paraId="779E8F95">
            <w:pPr>
              <w:pStyle w:val="45"/>
              <w:numPr>
                <w:ilvl w:val="255"/>
                <w:numId w:val="0"/>
              </w:numPr>
              <w:spacing w:before="0" w:beforeAutospacing="0" w:after="0" w:afterAutospacing="0" w:line="400" w:lineRule="exact"/>
              <w:ind w:firstLine="420" w:firstLineChars="200"/>
              <w:jc w:val="both"/>
              <w:rPr>
                <w:rFonts w:hint="default" w:ascii="仿宋_GB2312" w:hAnsi="仿宋_GB2312" w:eastAsia="仿宋_GB2312" w:cs="仿宋_GB2312"/>
                <w:color w:val="auto"/>
                <w:sz w:val="21"/>
                <w:szCs w:val="21"/>
              </w:rPr>
            </w:pPr>
            <w:r>
              <w:rPr>
                <w:rFonts w:ascii="仿宋_GB2312" w:hAnsi="仿宋_GB2312" w:eastAsia="仿宋_GB2312" w:cs="仿宋_GB2312"/>
                <w:color w:val="auto"/>
                <w:sz w:val="21"/>
                <w:szCs w:val="21"/>
              </w:rPr>
              <w:t>针对本</w:t>
            </w:r>
            <w:r>
              <w:rPr>
                <w:rFonts w:hint="eastAsia" w:ascii="仿宋_GB2312" w:hAnsi="仿宋_GB2312" w:eastAsia="仿宋_GB2312" w:cs="仿宋_GB2312"/>
                <w:color w:val="auto"/>
                <w:sz w:val="21"/>
                <w:szCs w:val="21"/>
              </w:rPr>
              <w:t>分标</w:t>
            </w:r>
            <w:r>
              <w:rPr>
                <w:rFonts w:ascii="仿宋_GB2312" w:hAnsi="仿宋_GB2312" w:eastAsia="仿宋_GB2312" w:cs="仿宋_GB2312"/>
                <w:color w:val="auto"/>
                <w:sz w:val="21"/>
                <w:szCs w:val="21"/>
              </w:rPr>
              <w:t>，投标人自行准备演示设备进行系统演示，由投标人对技术参数中“★加下划线”技术参数（4个）自行选择并进行演示，每满足一项得</w:t>
            </w:r>
            <w:r>
              <w:rPr>
                <w:rFonts w:hint="eastAsia" w:ascii="仿宋_GB2312" w:hAnsi="仿宋_GB2312" w:eastAsia="仿宋_GB2312" w:cs="仿宋_GB2312"/>
                <w:color w:val="auto"/>
                <w:sz w:val="21"/>
                <w:szCs w:val="21"/>
                <w:lang w:val="en-US" w:eastAsia="zh-CN"/>
              </w:rPr>
              <w:t>6</w:t>
            </w:r>
            <w:r>
              <w:rPr>
                <w:rFonts w:ascii="仿宋_GB2312" w:hAnsi="仿宋_GB2312" w:eastAsia="仿宋_GB2312" w:cs="仿宋_GB2312"/>
                <w:color w:val="auto"/>
                <w:sz w:val="21"/>
                <w:szCs w:val="21"/>
              </w:rPr>
              <w:t>分，满分2</w:t>
            </w:r>
            <w:r>
              <w:rPr>
                <w:rFonts w:hint="eastAsia" w:ascii="仿宋_GB2312" w:hAnsi="仿宋_GB2312" w:eastAsia="仿宋_GB2312" w:cs="仿宋_GB2312"/>
                <w:color w:val="auto"/>
                <w:sz w:val="21"/>
                <w:szCs w:val="21"/>
                <w:lang w:val="en-US" w:eastAsia="zh-CN"/>
              </w:rPr>
              <w:t>4</w:t>
            </w:r>
            <w:r>
              <w:rPr>
                <w:rFonts w:ascii="仿宋_GB2312" w:hAnsi="仿宋_GB2312" w:eastAsia="仿宋_GB2312" w:cs="仿宋_GB2312"/>
                <w:color w:val="auto"/>
                <w:sz w:val="21"/>
                <w:szCs w:val="21"/>
              </w:rPr>
              <w:t>分，不演示不得分。</w:t>
            </w:r>
          </w:p>
          <w:p w14:paraId="0701DE03">
            <w:pPr>
              <w:spacing w:line="400" w:lineRule="exact"/>
              <w:ind w:firstLine="420" w:firstLineChars="200"/>
              <w:rPr>
                <w:rFonts w:ascii="仿宋_GB2312" w:hAnsi="仿宋_GB2312" w:eastAsia="仿宋_GB2312" w:cs="仿宋_GB2312"/>
                <w:color w:val="auto"/>
                <w:szCs w:val="21"/>
              </w:rPr>
            </w:pPr>
            <w:r>
              <w:rPr>
                <w:rFonts w:hint="eastAsia" w:ascii="仿宋_GB2312" w:hAnsi="仿宋_GB2312" w:eastAsia="仿宋_GB2312" w:cs="仿宋_GB2312"/>
                <w:color w:val="auto"/>
                <w:szCs w:val="21"/>
              </w:rPr>
              <w:t>演示要求:1.必须按照参数对照投标产品逐条予以演示，演示视频以图片或提前录制视频方式呈现的演示无效，不予计分；</w:t>
            </w:r>
          </w:p>
          <w:p w14:paraId="46547EFC">
            <w:pPr>
              <w:spacing w:line="400" w:lineRule="exact"/>
              <w:ind w:firstLine="420" w:firstLineChars="200"/>
              <w:rPr>
                <w:rFonts w:ascii="仿宋_GB2312" w:hAnsi="仿宋_GB2312" w:eastAsia="仿宋_GB2312" w:cs="仿宋_GB2312"/>
                <w:color w:val="auto"/>
                <w:szCs w:val="21"/>
              </w:rPr>
            </w:pPr>
            <w:r>
              <w:rPr>
                <w:rFonts w:hint="eastAsia" w:ascii="仿宋_GB2312" w:hAnsi="仿宋_GB2312" w:eastAsia="仿宋_GB2312" w:cs="仿宋_GB2312"/>
                <w:color w:val="auto"/>
                <w:szCs w:val="21"/>
              </w:rPr>
              <w:t>2.演示时间:不超过10分钟，超时演示部分不予计分。</w:t>
            </w:r>
          </w:p>
          <w:p w14:paraId="7A8323C9">
            <w:pPr>
              <w:spacing w:line="400" w:lineRule="exact"/>
              <w:ind w:firstLine="420" w:firstLineChars="200"/>
              <w:rPr>
                <w:rFonts w:ascii="仿宋_GB2312" w:hAnsi="仿宋_GB2312" w:eastAsia="仿宋_GB2312" w:cs="仿宋_GB2312"/>
                <w:color w:val="auto"/>
                <w:szCs w:val="21"/>
              </w:rPr>
            </w:pPr>
            <w:r>
              <w:rPr>
                <w:rFonts w:hint="eastAsia" w:ascii="仿宋_GB2312" w:hAnsi="仿宋_GB2312" w:eastAsia="仿宋_GB2312" w:cs="仿宋_GB2312"/>
                <w:color w:val="auto"/>
                <w:szCs w:val="21"/>
              </w:rPr>
              <w:t>3.投标人通过广西政府采购云平台进行远程演示，具体演示开始时间以评标委员会向投标人发出邀请为准。</w:t>
            </w:r>
          </w:p>
          <w:p w14:paraId="1FB4C34A">
            <w:pPr>
              <w:spacing w:line="400" w:lineRule="exact"/>
              <w:ind w:firstLine="420" w:firstLineChars="200"/>
              <w:rPr>
                <w:rFonts w:ascii="仿宋_GB2312" w:hAnsi="仿宋_GB2312" w:eastAsia="仿宋_GB2312" w:cs="仿宋_GB2312"/>
                <w:color w:val="auto"/>
              </w:rPr>
            </w:pPr>
            <w:r>
              <w:rPr>
                <w:rFonts w:hint="eastAsia" w:ascii="仿宋_GB2312" w:hAnsi="仿宋_GB2312" w:eastAsia="仿宋_GB2312" w:cs="仿宋_GB2312"/>
                <w:color w:val="auto"/>
                <w:szCs w:val="21"/>
              </w:rPr>
              <w:t>4.投标人及时熟悉掌握远程演示操作指南：https://helpcenter.zcygov.cn/document#/document/detail?siteCode=gx&amp;manualId=4535&amp;topicId=1565</w:t>
            </w:r>
          </w:p>
        </w:tc>
        <w:tc>
          <w:tcPr>
            <w:tcW w:w="1035" w:type="dxa"/>
            <w:vAlign w:val="center"/>
          </w:tcPr>
          <w:p w14:paraId="7C7B27D8">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2</w:t>
            </w:r>
            <w:r>
              <w:rPr>
                <w:rFonts w:hint="eastAsia" w:ascii="仿宋_GB2312" w:hAnsi="仿宋_GB2312" w:eastAsia="仿宋_GB2312" w:cs="仿宋_GB2312"/>
                <w:b/>
                <w:bCs/>
                <w:color w:val="auto"/>
                <w:szCs w:val="21"/>
                <w:lang w:val="en-US" w:eastAsia="zh-CN"/>
              </w:rPr>
              <w:t>4</w:t>
            </w:r>
          </w:p>
        </w:tc>
        <w:tc>
          <w:tcPr>
            <w:tcW w:w="1022" w:type="dxa"/>
            <w:vAlign w:val="center"/>
          </w:tcPr>
          <w:p w14:paraId="53A3D6C2">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系统演示</w:t>
            </w:r>
          </w:p>
        </w:tc>
      </w:tr>
      <w:tr w14:paraId="43E7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vAlign w:val="center"/>
          </w:tcPr>
          <w:p w14:paraId="57A9118D">
            <w:pPr>
              <w:pStyle w:val="815"/>
              <w:tabs>
                <w:tab w:val="left" w:pos="312"/>
              </w:tabs>
              <w:spacing w:line="400" w:lineRule="exact"/>
              <w:ind w:firstLine="422" w:firstLineChars="200"/>
              <w:jc w:val="center"/>
              <w:rPr>
                <w:rFonts w:ascii="仿宋_GB2312" w:hAnsi="仿宋_GB2312" w:eastAsia="仿宋_GB2312" w:cs="仿宋_GB2312"/>
                <w:color w:val="auto"/>
              </w:rPr>
            </w:pPr>
            <w:r>
              <w:rPr>
                <w:rFonts w:hint="eastAsia" w:ascii="仿宋_GB2312" w:hAnsi="仿宋_GB2312" w:eastAsia="仿宋_GB2312" w:cs="仿宋_GB2312"/>
                <w:b/>
                <w:bCs/>
                <w:color w:val="auto"/>
              </w:rPr>
              <w:t>客观分总分</w:t>
            </w:r>
          </w:p>
        </w:tc>
        <w:tc>
          <w:tcPr>
            <w:tcW w:w="1035" w:type="dxa"/>
            <w:vAlign w:val="center"/>
          </w:tcPr>
          <w:p w14:paraId="74A8E8E9">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lang w:val="en-US" w:eastAsia="zh-CN"/>
              </w:rPr>
              <w:t>75</w:t>
            </w:r>
          </w:p>
        </w:tc>
        <w:tc>
          <w:tcPr>
            <w:tcW w:w="1022" w:type="dxa"/>
            <w:vAlign w:val="center"/>
          </w:tcPr>
          <w:p w14:paraId="330AE7C4">
            <w:pPr>
              <w:spacing w:line="360" w:lineRule="exact"/>
              <w:jc w:val="center"/>
              <w:rPr>
                <w:rFonts w:ascii="仿宋_GB2312" w:hAnsi="仿宋_GB2312" w:eastAsia="仿宋_GB2312" w:cs="仿宋_GB2312"/>
                <w:color w:val="auto"/>
                <w:szCs w:val="21"/>
              </w:rPr>
            </w:pPr>
          </w:p>
        </w:tc>
      </w:tr>
    </w:tbl>
    <w:p w14:paraId="18AA045C">
      <w:pPr>
        <w:rPr>
          <w:color w:val="auto"/>
        </w:rPr>
      </w:pPr>
    </w:p>
    <w:p w14:paraId="74C56403">
      <w:pPr>
        <w:rPr>
          <w:color w:val="auto"/>
        </w:rPr>
      </w:pPr>
    </w:p>
    <w:tbl>
      <w:tblPr>
        <w:tblStyle w:val="814"/>
        <w:tblpPr w:leftFromText="180" w:rightFromText="180" w:vertAnchor="text" w:horzAnchor="page" w:tblpX="661" w:tblpY="1"/>
        <w:tblOverlap w:val="never"/>
        <w:tblW w:w="9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024"/>
      </w:tblGrid>
      <w:tr w14:paraId="3C25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789" w:type="dxa"/>
            <w:gridSpan w:val="5"/>
            <w:shd w:val="clear" w:color="auto" w:fill="D7D7D7"/>
            <w:vAlign w:val="center"/>
          </w:tcPr>
          <w:p w14:paraId="01798CB6">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color w:val="auto"/>
                <w:szCs w:val="21"/>
              </w:rPr>
              <w:t>主观分</w:t>
            </w:r>
          </w:p>
        </w:tc>
      </w:tr>
      <w:tr w14:paraId="3E57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49" w:type="dxa"/>
            <w:vAlign w:val="center"/>
          </w:tcPr>
          <w:p w14:paraId="284D16F3">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评分项</w:t>
            </w:r>
          </w:p>
        </w:tc>
        <w:tc>
          <w:tcPr>
            <w:tcW w:w="1090" w:type="dxa"/>
            <w:vAlign w:val="center"/>
          </w:tcPr>
          <w:p w14:paraId="3599A0F6">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评审因素</w:t>
            </w:r>
          </w:p>
        </w:tc>
        <w:tc>
          <w:tcPr>
            <w:tcW w:w="5859" w:type="dxa"/>
            <w:vAlign w:val="center"/>
          </w:tcPr>
          <w:p w14:paraId="2F98CC6A">
            <w:pPr>
              <w:spacing w:line="34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评分标准说明</w:t>
            </w:r>
          </w:p>
        </w:tc>
        <w:tc>
          <w:tcPr>
            <w:tcW w:w="967" w:type="dxa"/>
            <w:vAlign w:val="center"/>
          </w:tcPr>
          <w:p w14:paraId="2D59D7A5">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分值</w:t>
            </w:r>
          </w:p>
        </w:tc>
        <w:tc>
          <w:tcPr>
            <w:tcW w:w="1024" w:type="dxa"/>
            <w:vAlign w:val="center"/>
          </w:tcPr>
          <w:p w14:paraId="59D68890">
            <w:pPr>
              <w:spacing w:line="360" w:lineRule="exact"/>
              <w:jc w:val="center"/>
              <w:rPr>
                <w:rFonts w:ascii="仿宋_GB2312" w:hAnsi="仿宋_GB2312" w:eastAsia="仿宋_GB2312" w:cs="仿宋_GB2312"/>
                <w:b/>
                <w:color w:val="auto"/>
                <w:szCs w:val="21"/>
              </w:rPr>
            </w:pPr>
            <w:r>
              <w:rPr>
                <w:rFonts w:hint="eastAsia" w:ascii="仿宋_GB2312" w:hAnsi="仿宋_GB2312" w:eastAsia="仿宋_GB2312" w:cs="仿宋_GB2312"/>
                <w:b/>
                <w:color w:val="auto"/>
                <w:szCs w:val="21"/>
              </w:rPr>
              <w:t>对应的投标文件格式</w:t>
            </w:r>
          </w:p>
        </w:tc>
      </w:tr>
      <w:tr w14:paraId="50BD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49" w:type="dxa"/>
            <w:vAlign w:val="center"/>
          </w:tcPr>
          <w:p w14:paraId="29E88B2D">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项目实施方案分</w:t>
            </w:r>
          </w:p>
        </w:tc>
        <w:tc>
          <w:tcPr>
            <w:tcW w:w="1090" w:type="dxa"/>
            <w:vAlign w:val="center"/>
          </w:tcPr>
          <w:p w14:paraId="6D729140">
            <w:pPr>
              <w:widowControl/>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项目实施方案</w:t>
            </w:r>
          </w:p>
        </w:tc>
        <w:tc>
          <w:tcPr>
            <w:tcW w:w="5859" w:type="dxa"/>
            <w:vAlign w:val="center"/>
          </w:tcPr>
          <w:p w14:paraId="3AAFFA9C">
            <w:pPr>
              <w:numPr>
                <w:ilvl w:val="255"/>
                <w:numId w:val="0"/>
              </w:numPr>
              <w:spacing w:line="440" w:lineRule="exact"/>
              <w:rPr>
                <w:rFonts w:ascii="仿宋_GB2312" w:hAnsi="仿宋_GB2312" w:eastAsia="仿宋_GB2312" w:cs="仿宋_GB2312"/>
                <w:b w:val="0"/>
                <w:bCs w:val="0"/>
                <w:color w:val="auto"/>
              </w:rPr>
            </w:pPr>
            <w:r>
              <w:rPr>
                <w:rFonts w:hint="eastAsia"/>
                <w:color w:val="auto"/>
              </w:rPr>
              <w:t xml:space="preserve">    </w:t>
            </w:r>
            <w:r>
              <w:rPr>
                <w:rFonts w:hint="eastAsia" w:ascii="仿宋_GB2312" w:hAnsi="仿宋_GB2312" w:eastAsia="仿宋_GB2312" w:cs="仿宋_GB2312"/>
                <w:b/>
                <w:bCs/>
                <w:color w:val="auto"/>
              </w:rPr>
              <w:t>一档（15分）：</w:t>
            </w:r>
            <w:r>
              <w:rPr>
                <w:rFonts w:hint="eastAsia" w:ascii="仿宋_GB2312" w:hAnsi="仿宋_GB2312" w:eastAsia="仿宋_GB2312" w:cs="仿宋_GB2312"/>
                <w:b w:val="0"/>
                <w:bCs w:val="0"/>
                <w:color w:val="auto"/>
              </w:rPr>
              <w:t>在满足二档的基础上，具备</w:t>
            </w:r>
            <w:r>
              <w:rPr>
                <w:rFonts w:ascii="仿宋_GB2312" w:hAnsi="仿宋_GB2312" w:eastAsia="仿宋_GB2312" w:cs="仿宋_GB2312"/>
                <w:b w:val="0"/>
                <w:bCs w:val="0"/>
                <w:color w:val="auto"/>
              </w:rPr>
              <w:t>具体、合理、可行的全流程实施逻辑；</w:t>
            </w:r>
            <w:r>
              <w:rPr>
                <w:rFonts w:hint="eastAsia" w:ascii="仿宋_GB2312" w:hAnsi="仿宋_GB2312" w:eastAsia="仿宋_GB2312" w:cs="仿宋_GB2312"/>
                <w:b w:val="0"/>
                <w:bCs w:val="0"/>
                <w:color w:val="auto"/>
              </w:rPr>
              <w:t>实施服务原则和方法清晰、可执行度高，项目安装测试运行方案详细、可落地，项目实施工期计划科学、严谨，成果交付计划明确、完整，项目验收方案系统、全面，</w:t>
            </w:r>
            <w:r>
              <w:rPr>
                <w:rFonts w:ascii="仿宋_GB2312" w:hAnsi="仿宋_GB2312" w:eastAsia="仿宋_GB2312" w:cs="仿宋_GB2312"/>
                <w:b w:val="0"/>
                <w:bCs w:val="0"/>
                <w:color w:val="auto"/>
              </w:rPr>
              <w:t>项目团队</w:t>
            </w:r>
            <w:r>
              <w:rPr>
                <w:rFonts w:hint="eastAsia" w:ascii="仿宋_GB2312" w:hAnsi="仿宋_GB2312" w:eastAsia="仿宋_GB2312" w:cs="仿宋_GB2312"/>
                <w:b w:val="0"/>
                <w:bCs w:val="0"/>
                <w:color w:val="auto"/>
              </w:rPr>
              <w:t>成员至少一人</w:t>
            </w:r>
            <w:r>
              <w:rPr>
                <w:rFonts w:ascii="仿宋_GB2312" w:hAnsi="仿宋_GB2312" w:eastAsia="仿宋_GB2312" w:cs="仿宋_GB2312"/>
                <w:b w:val="0"/>
                <w:bCs w:val="0"/>
                <w:color w:val="auto"/>
              </w:rPr>
              <w:t>持有计算机技术与软件专业技术资格高级工程师证书</w:t>
            </w:r>
            <w:r>
              <w:rPr>
                <w:rFonts w:hint="eastAsia" w:ascii="仿宋_GB2312" w:hAnsi="仿宋_GB2312" w:eastAsia="仿宋_GB2312" w:cs="仿宋_GB2312"/>
                <w:b w:val="0"/>
                <w:bCs w:val="0"/>
                <w:color w:val="auto"/>
              </w:rPr>
              <w:t>或</w:t>
            </w:r>
            <w:r>
              <w:rPr>
                <w:rFonts w:ascii="仿宋_GB2312" w:hAnsi="仿宋_GB2312" w:eastAsia="仿宋_GB2312" w:cs="仿宋_GB2312"/>
                <w:b w:val="0"/>
                <w:bCs w:val="0"/>
                <w:color w:val="auto"/>
              </w:rPr>
              <w:t>电子信息工程专业技术资格高级工程师证书</w:t>
            </w:r>
            <w:r>
              <w:rPr>
                <w:rFonts w:hint="eastAsia" w:eastAsia="仿宋_GB2312"/>
                <w:color w:val="auto"/>
              </w:rPr>
              <w:t>；</w:t>
            </w:r>
          </w:p>
          <w:p w14:paraId="7A18419F">
            <w:pPr>
              <w:numPr>
                <w:ilvl w:val="255"/>
                <w:numId w:val="0"/>
              </w:numPr>
              <w:spacing w:line="440" w:lineRule="exact"/>
              <w:ind w:firstLine="422" w:firstLineChars="200"/>
              <w:rPr>
                <w:rFonts w:ascii="仿宋_GB2312" w:hAnsi="仿宋_GB2312" w:eastAsia="仿宋_GB2312" w:cs="仿宋_GB2312"/>
                <w:b w:val="0"/>
                <w:bCs w:val="0"/>
                <w:color w:val="auto"/>
              </w:rPr>
            </w:pPr>
            <w:r>
              <w:rPr>
                <w:rFonts w:hint="eastAsia" w:ascii="仿宋_GB2312" w:hAnsi="仿宋_GB2312" w:eastAsia="仿宋_GB2312" w:cs="仿宋_GB2312"/>
                <w:b/>
                <w:bCs/>
                <w:color w:val="auto"/>
              </w:rPr>
              <w:t>二档（10 分）</w:t>
            </w:r>
            <w:r>
              <w:rPr>
                <w:rFonts w:ascii="仿宋_GB2312" w:hAnsi="仿宋_GB2312" w:eastAsia="仿宋_GB2312" w:cs="仿宋_GB2312"/>
                <w:b/>
                <w:bCs/>
                <w:color w:val="auto"/>
              </w:rPr>
              <w:t>：</w:t>
            </w:r>
            <w:r>
              <w:rPr>
                <w:rFonts w:hint="eastAsia" w:ascii="仿宋_GB2312" w:hAnsi="仿宋_GB2312" w:eastAsia="仿宋_GB2312" w:cs="仿宋_GB2312"/>
                <w:b w:val="0"/>
                <w:bCs w:val="0"/>
                <w:color w:val="auto"/>
              </w:rPr>
              <w:t>在满足三档的基础上，</w:t>
            </w:r>
            <w:r>
              <w:rPr>
                <w:rFonts w:ascii="仿宋_GB2312" w:hAnsi="仿宋_GB2312" w:eastAsia="仿宋_GB2312" w:cs="仿宋_GB2312"/>
                <w:b w:val="0"/>
                <w:bCs w:val="0"/>
                <w:color w:val="auto"/>
              </w:rPr>
              <w:t>方案内容较合理、可行，覆盖采购</w:t>
            </w:r>
            <w:r>
              <w:rPr>
                <w:rFonts w:hint="eastAsia" w:ascii="仿宋_GB2312" w:hAnsi="仿宋_GB2312" w:eastAsia="仿宋_GB2312" w:cs="仿宋_GB2312"/>
                <w:b w:val="0"/>
                <w:bCs w:val="0"/>
                <w:color w:val="auto"/>
                <w:lang w:val="en-US" w:eastAsia="zh-CN"/>
              </w:rPr>
              <w:t>需求</w:t>
            </w:r>
            <w:r>
              <w:rPr>
                <w:rFonts w:ascii="仿宋_GB2312" w:hAnsi="仿宋_GB2312" w:eastAsia="仿宋_GB2312" w:cs="仿宋_GB2312"/>
                <w:b w:val="0"/>
                <w:bCs w:val="0"/>
                <w:color w:val="auto"/>
              </w:rPr>
              <w:t>核心要求；项目安装测试运行方案可行</w:t>
            </w:r>
            <w:r>
              <w:rPr>
                <w:rFonts w:hint="eastAsia" w:ascii="仿宋_GB2312" w:hAnsi="仿宋_GB2312" w:eastAsia="仿宋_GB2312" w:cs="仿宋_GB2312"/>
                <w:b w:val="0"/>
                <w:bCs w:val="0"/>
                <w:color w:val="auto"/>
              </w:rPr>
              <w:t>，</w:t>
            </w:r>
            <w:r>
              <w:rPr>
                <w:rFonts w:ascii="仿宋_GB2312" w:hAnsi="仿宋_GB2312" w:eastAsia="仿宋_GB2312" w:cs="仿宋_GB2312"/>
                <w:b w:val="0"/>
                <w:bCs w:val="0"/>
                <w:color w:val="auto"/>
              </w:rPr>
              <w:t>项目实施工期计划</w:t>
            </w:r>
            <w:r>
              <w:rPr>
                <w:rFonts w:hint="eastAsia" w:ascii="仿宋_GB2312" w:hAnsi="仿宋_GB2312" w:eastAsia="仿宋_GB2312" w:cs="仿宋_GB2312"/>
                <w:b w:val="0"/>
                <w:bCs w:val="0"/>
                <w:color w:val="auto"/>
              </w:rPr>
              <w:t>较为</w:t>
            </w:r>
            <w:r>
              <w:rPr>
                <w:rFonts w:ascii="仿宋_GB2312" w:hAnsi="仿宋_GB2312" w:eastAsia="仿宋_GB2312" w:cs="仿宋_GB2312"/>
                <w:b w:val="0"/>
                <w:bCs w:val="0"/>
                <w:color w:val="auto"/>
              </w:rPr>
              <w:t>合理</w:t>
            </w:r>
            <w:r>
              <w:rPr>
                <w:rFonts w:hint="eastAsia" w:ascii="仿宋_GB2312" w:hAnsi="仿宋_GB2312" w:eastAsia="仿宋_GB2312" w:cs="仿宋_GB2312"/>
                <w:b w:val="0"/>
                <w:bCs w:val="0"/>
                <w:color w:val="auto"/>
              </w:rPr>
              <w:t>，成果交付计划完整，项目验收方案规范，</w:t>
            </w:r>
            <w:r>
              <w:rPr>
                <w:rFonts w:ascii="仿宋_GB2312" w:hAnsi="仿宋_GB2312" w:eastAsia="仿宋_GB2312" w:cs="仿宋_GB2312"/>
                <w:b w:val="0"/>
                <w:bCs w:val="0"/>
                <w:color w:val="auto"/>
              </w:rPr>
              <w:t>项目团队成员</w:t>
            </w:r>
            <w:r>
              <w:rPr>
                <w:rFonts w:hint="eastAsia" w:ascii="仿宋_GB2312" w:hAnsi="仿宋_GB2312" w:eastAsia="仿宋_GB2312" w:cs="仿宋_GB2312"/>
                <w:b w:val="0"/>
                <w:bCs w:val="0"/>
                <w:color w:val="auto"/>
              </w:rPr>
              <w:t>至少一人</w:t>
            </w:r>
            <w:r>
              <w:rPr>
                <w:rFonts w:ascii="仿宋_GB2312" w:hAnsi="仿宋_GB2312" w:eastAsia="仿宋_GB2312" w:cs="仿宋_GB2312"/>
                <w:b w:val="0"/>
                <w:bCs w:val="0"/>
                <w:color w:val="auto"/>
              </w:rPr>
              <w:t>持有电商相关职业技能等级证书</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b w:val="0"/>
                <w:bCs w:val="0"/>
                <w:color w:val="auto"/>
                <w:lang w:val="en-US" w:eastAsia="zh-CN"/>
              </w:rPr>
              <w:t>证书包括但不限于直播电商职业技能等级证书、营销员职业技能等级证书、新媒体技术职业技能等级证书等</w:t>
            </w:r>
            <w:r>
              <w:rPr>
                <w:rFonts w:hint="eastAsia" w:ascii="仿宋_GB2312" w:hAnsi="仿宋_GB2312" w:eastAsia="仿宋_GB2312" w:cs="仿宋_GB2312"/>
                <w:b w:val="0"/>
                <w:bCs w:val="0"/>
                <w:color w:val="auto"/>
              </w:rPr>
              <w:t>；</w:t>
            </w:r>
          </w:p>
          <w:p w14:paraId="77B06938">
            <w:pPr>
              <w:numPr>
                <w:ilvl w:val="255"/>
                <w:numId w:val="0"/>
              </w:numPr>
              <w:spacing w:line="44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三档（5 分）</w:t>
            </w:r>
            <w:r>
              <w:rPr>
                <w:rFonts w:ascii="仿宋_GB2312" w:hAnsi="仿宋_GB2312" w:eastAsia="仿宋_GB2312" w:cs="仿宋_GB2312"/>
                <w:b/>
                <w:bCs/>
                <w:color w:val="auto"/>
              </w:rPr>
              <w:t>：</w:t>
            </w:r>
            <w:r>
              <w:rPr>
                <w:rFonts w:ascii="仿宋_GB2312" w:hAnsi="仿宋_GB2312" w:eastAsia="仿宋_GB2312" w:cs="仿宋_GB2312"/>
                <w:b w:val="0"/>
                <w:bCs w:val="0"/>
                <w:color w:val="auto"/>
              </w:rPr>
              <w:t>方案内容基本合理，可支撑项目实施。</w:t>
            </w:r>
          </w:p>
          <w:p w14:paraId="1000E0BF">
            <w:pPr>
              <w:widowControl/>
              <w:spacing w:line="400" w:lineRule="exact"/>
              <w:ind w:firstLine="422" w:firstLineChars="200"/>
              <w:rPr>
                <w:rFonts w:ascii="仿宋_GB2312" w:hAnsi="仿宋_GB2312" w:eastAsia="仿宋_GB2312" w:cs="仿宋_GB2312"/>
                <w:b/>
                <w:bCs/>
                <w:color w:val="auto"/>
              </w:rPr>
            </w:pPr>
            <w:r>
              <w:rPr>
                <w:rFonts w:hint="eastAsia" w:eastAsia="仿宋_GB2312"/>
                <w:b/>
                <w:bCs/>
                <w:color w:val="auto"/>
              </w:rPr>
              <w:t>注：1.</w:t>
            </w:r>
            <w:r>
              <w:rPr>
                <w:rFonts w:hint="eastAsia" w:ascii="仿宋_GB2312" w:hAnsi="仿宋_GB2312" w:eastAsia="仿宋_GB2312" w:cs="仿宋_GB2312"/>
                <w:b/>
                <w:bCs/>
                <w:color w:val="auto"/>
              </w:rPr>
              <w:t>该方案内容可以包括：（1）实施服务原则和方法；（2）项目安装测试运行方案；（3）项目实施</w:t>
            </w:r>
            <w:r>
              <w:rPr>
                <w:rFonts w:hint="eastAsia" w:ascii="仿宋_GB2312" w:hAnsi="仿宋_GB2312" w:eastAsia="仿宋_GB2312" w:cs="仿宋_GB2312"/>
                <w:b/>
                <w:bCs/>
                <w:color w:val="auto"/>
                <w:lang w:val="en-US" w:eastAsia="zh-CN"/>
              </w:rPr>
              <w:t>-</w:t>
            </w:r>
            <w:r>
              <w:rPr>
                <w:rFonts w:hint="eastAsia" w:ascii="仿宋_GB2312" w:hAnsi="仿宋_GB2312" w:eastAsia="仿宋_GB2312" w:cs="仿宋_GB2312"/>
                <w:b/>
                <w:bCs/>
                <w:color w:val="auto"/>
              </w:rPr>
              <w:t>工期计划；（4）成果交付计划；（5）技术实施团队；（6）项目验收方案。</w:t>
            </w:r>
          </w:p>
          <w:p w14:paraId="4440F285">
            <w:pPr>
              <w:numPr>
                <w:ilvl w:val="255"/>
                <w:numId w:val="0"/>
              </w:numPr>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rPr>
              <w:t>2.提供项目团队成员至少一人持有计算机技术与软件专业技术资格高级工程师证书或电子信息工程专业技术资格高级工程师证书的扫描件并加盖</w:t>
            </w:r>
            <w:r>
              <w:rPr>
                <w:rFonts w:hint="eastAsia" w:ascii="仿宋_GB2312" w:hAnsi="仿宋_GB2312" w:eastAsia="仿宋_GB2312" w:cs="仿宋_GB2312"/>
                <w:b/>
                <w:bCs/>
                <w:color w:val="auto"/>
                <w:lang w:val="en-US" w:eastAsia="zh-CN"/>
              </w:rPr>
              <w:t>投标人</w:t>
            </w:r>
            <w:r>
              <w:rPr>
                <w:rFonts w:hint="eastAsia" w:ascii="仿宋_GB2312" w:hAnsi="仿宋_GB2312" w:eastAsia="仿宋_GB2312" w:cs="仿宋_GB2312"/>
                <w:b/>
                <w:bCs/>
                <w:color w:val="auto"/>
              </w:rPr>
              <w:t>CA电子签章，否则不计一档分。</w:t>
            </w:r>
          </w:p>
          <w:p w14:paraId="28D7693E">
            <w:pPr>
              <w:numPr>
                <w:ilvl w:val="255"/>
                <w:numId w:val="0"/>
              </w:numPr>
              <w:spacing w:line="400" w:lineRule="exact"/>
              <w:ind w:firstLine="422" w:firstLineChars="200"/>
              <w:rPr>
                <w:b/>
                <w:bCs/>
                <w:color w:val="auto"/>
              </w:rPr>
            </w:pPr>
            <w:r>
              <w:rPr>
                <w:rFonts w:hint="eastAsia" w:ascii="仿宋_GB2312" w:hAnsi="仿宋_GB2312" w:eastAsia="仿宋_GB2312" w:cs="仿宋_GB2312"/>
                <w:b/>
                <w:bCs/>
                <w:color w:val="auto"/>
              </w:rPr>
              <w:t>3.提供项目团队成员至少一人持有电商相关职业技能等级证书的扫描件并加盖</w:t>
            </w:r>
            <w:r>
              <w:rPr>
                <w:rFonts w:hint="eastAsia" w:ascii="仿宋_GB2312" w:hAnsi="仿宋_GB2312" w:eastAsia="仿宋_GB2312" w:cs="仿宋_GB2312"/>
                <w:b/>
                <w:bCs/>
                <w:color w:val="auto"/>
                <w:lang w:val="en-US" w:eastAsia="zh-CN"/>
              </w:rPr>
              <w:t>投标人</w:t>
            </w:r>
            <w:r>
              <w:rPr>
                <w:rFonts w:hint="eastAsia" w:ascii="仿宋_GB2312" w:hAnsi="仿宋_GB2312" w:eastAsia="仿宋_GB2312" w:cs="仿宋_GB2312"/>
                <w:b/>
                <w:bCs/>
                <w:color w:val="auto"/>
              </w:rPr>
              <w:t>CA电子签章，否则不计一、二档分。</w:t>
            </w:r>
          </w:p>
          <w:p w14:paraId="41A52ADC">
            <w:pPr>
              <w:numPr>
                <w:ilvl w:val="255"/>
                <w:numId w:val="0"/>
              </w:numPr>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4.未提供以上方案或提供的内容与本项目无关的得0分。</w:t>
            </w:r>
          </w:p>
        </w:tc>
        <w:tc>
          <w:tcPr>
            <w:tcW w:w="967" w:type="dxa"/>
            <w:vAlign w:val="center"/>
          </w:tcPr>
          <w:p w14:paraId="10574BB7">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15</w:t>
            </w:r>
          </w:p>
        </w:tc>
        <w:tc>
          <w:tcPr>
            <w:tcW w:w="1024" w:type="dxa"/>
            <w:vAlign w:val="center"/>
          </w:tcPr>
          <w:p w14:paraId="5D06BF04">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实施方案</w:t>
            </w:r>
          </w:p>
        </w:tc>
      </w:tr>
      <w:tr w14:paraId="7860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Align w:val="center"/>
          </w:tcPr>
          <w:p w14:paraId="0D21D502">
            <w:pPr>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售后服务方案分</w:t>
            </w:r>
          </w:p>
        </w:tc>
        <w:tc>
          <w:tcPr>
            <w:tcW w:w="1090" w:type="dxa"/>
            <w:vAlign w:val="center"/>
          </w:tcPr>
          <w:p w14:paraId="7BBFC504">
            <w:pPr>
              <w:widowControl/>
              <w:spacing w:line="360" w:lineRule="exact"/>
              <w:jc w:val="center"/>
              <w:rPr>
                <w:rFonts w:ascii="仿宋_GB2312" w:hAnsi="仿宋_GB2312" w:eastAsia="仿宋_GB2312" w:cs="仿宋_GB2312"/>
                <w:color w:val="auto"/>
                <w:szCs w:val="21"/>
              </w:rPr>
            </w:pPr>
            <w:r>
              <w:rPr>
                <w:rFonts w:hint="eastAsia" w:ascii="仿宋_GB2312" w:hAnsi="仿宋_GB2312" w:eastAsia="仿宋_GB2312" w:cs="仿宋_GB2312"/>
                <w:b/>
                <w:bCs/>
                <w:color w:val="auto"/>
                <w:szCs w:val="21"/>
              </w:rPr>
              <w:t>售后服务方案</w:t>
            </w:r>
          </w:p>
        </w:tc>
        <w:tc>
          <w:tcPr>
            <w:tcW w:w="5859" w:type="dxa"/>
            <w:vAlign w:val="center"/>
          </w:tcPr>
          <w:p w14:paraId="35E9A5E0">
            <w:pPr>
              <w:widowControl/>
              <w:numPr>
                <w:ilvl w:val="255"/>
                <w:numId w:val="0"/>
              </w:numPr>
              <w:spacing w:line="400" w:lineRule="exact"/>
              <w:ind w:firstLine="422" w:firstLineChars="200"/>
              <w:rPr>
                <w:rFonts w:ascii="仿宋_GB2312" w:hAnsi="仿宋_GB2312" w:eastAsia="仿宋_GB2312" w:cs="仿宋_GB2312"/>
                <w:b/>
                <w:bCs/>
                <w:color w:val="auto"/>
              </w:rPr>
            </w:pPr>
            <w:r>
              <w:rPr>
                <w:rFonts w:ascii="仿宋_GB2312" w:hAnsi="仿宋_GB2312" w:eastAsia="仿宋_GB2312" w:cs="仿宋_GB2312"/>
                <w:b/>
                <w:bCs/>
                <w:color w:val="auto"/>
              </w:rPr>
              <w:t>一档（</w:t>
            </w:r>
            <w:r>
              <w:rPr>
                <w:rFonts w:hint="eastAsia" w:ascii="仿宋_GB2312" w:hAnsi="仿宋_GB2312" w:eastAsia="仿宋_GB2312" w:cs="仿宋_GB2312"/>
                <w:b/>
                <w:bCs/>
                <w:color w:val="auto"/>
                <w:lang w:val="en-US" w:eastAsia="zh-CN"/>
              </w:rPr>
              <w:t>10</w:t>
            </w:r>
            <w:r>
              <w:rPr>
                <w:rFonts w:ascii="仿宋_GB2312" w:hAnsi="仿宋_GB2312" w:eastAsia="仿宋_GB2312" w:cs="仿宋_GB2312"/>
                <w:b/>
                <w:bCs/>
                <w:color w:val="auto"/>
              </w:rPr>
              <w:t xml:space="preserve"> 分）：</w:t>
            </w:r>
            <w:r>
              <w:rPr>
                <w:rFonts w:hint="eastAsia" w:ascii="仿宋_GB2312" w:hAnsi="仿宋_GB2312" w:eastAsia="仿宋_GB2312" w:cs="仿宋_GB2312"/>
                <w:color w:val="auto"/>
              </w:rPr>
              <w:t>在满足二档的基础上，售后服务保障措施全面、有效，技术支持承诺切实可行，售后服务人员配置专业、充足，培训计划系统、实用，可拓展售后服务技术支持方案前瞻、可靠，故障应急预案科学、完备，定期回访维护方案细致、周到。方案详细、全面、</w:t>
            </w:r>
            <w:r>
              <w:rPr>
                <w:rFonts w:ascii="仿宋_GB2312" w:hAnsi="仿宋_GB2312" w:eastAsia="仿宋_GB2312" w:cs="仿宋_GB2312"/>
                <w:color w:val="auto"/>
              </w:rPr>
              <w:t>完善</w:t>
            </w:r>
            <w:r>
              <w:rPr>
                <w:rFonts w:hint="eastAsia" w:ascii="仿宋_GB2312" w:hAnsi="仿宋_GB2312" w:eastAsia="仿宋_GB2312" w:cs="仿宋_GB2312"/>
                <w:color w:val="auto"/>
              </w:rPr>
              <w:t>，各项内容编制思路合理、完整</w:t>
            </w:r>
            <w:r>
              <w:rPr>
                <w:rFonts w:ascii="仿宋_GB2312" w:hAnsi="仿宋_GB2312" w:eastAsia="仿宋_GB2312" w:cs="仿宋_GB2312"/>
                <w:color w:val="auto"/>
              </w:rPr>
              <w:t>；</w:t>
            </w:r>
            <w:r>
              <w:rPr>
                <w:rFonts w:ascii="仿宋_GB2312" w:hAnsi="仿宋_GB2312" w:eastAsia="仿宋_GB2312" w:cs="仿宋_GB2312"/>
                <w:color w:val="auto"/>
              </w:rPr>
              <w:br w:type="textWrapping"/>
            </w:r>
            <w:r>
              <w:rPr>
                <w:rFonts w:hint="eastAsia" w:ascii="仿宋_GB2312" w:hAnsi="仿宋_GB2312" w:eastAsia="仿宋_GB2312" w:cs="仿宋_GB2312"/>
                <w:color w:val="auto"/>
              </w:rPr>
              <w:t xml:space="preserve">    </w:t>
            </w:r>
            <w:r>
              <w:rPr>
                <w:rFonts w:ascii="仿宋_GB2312" w:hAnsi="仿宋_GB2312" w:eastAsia="仿宋_GB2312" w:cs="仿宋_GB2312"/>
                <w:b/>
                <w:bCs/>
                <w:color w:val="auto"/>
              </w:rPr>
              <w:t>二档（</w:t>
            </w:r>
            <w:r>
              <w:rPr>
                <w:rFonts w:hint="eastAsia" w:ascii="仿宋_GB2312" w:hAnsi="仿宋_GB2312" w:eastAsia="仿宋_GB2312" w:cs="仿宋_GB2312"/>
                <w:b/>
                <w:bCs/>
                <w:color w:val="auto"/>
                <w:lang w:val="en-US" w:eastAsia="zh-CN"/>
              </w:rPr>
              <w:t>6</w:t>
            </w:r>
            <w:r>
              <w:rPr>
                <w:rFonts w:ascii="仿宋_GB2312" w:hAnsi="仿宋_GB2312" w:eastAsia="仿宋_GB2312" w:cs="仿宋_GB2312"/>
                <w:b/>
                <w:bCs/>
                <w:color w:val="auto"/>
              </w:rPr>
              <w:t xml:space="preserve"> 分）：</w:t>
            </w:r>
            <w:r>
              <w:rPr>
                <w:rFonts w:hint="eastAsia" w:ascii="仿宋_GB2312" w:hAnsi="仿宋_GB2312" w:eastAsia="仿宋_GB2312" w:cs="仿宋_GB2312"/>
                <w:color w:val="auto"/>
              </w:rPr>
              <w:t>在满足三档的基础上，</w:t>
            </w:r>
            <w:r>
              <w:rPr>
                <w:rFonts w:ascii="仿宋_GB2312" w:hAnsi="仿宋_GB2312" w:eastAsia="仿宋_GB2312" w:cs="仿宋_GB2312"/>
                <w:color w:val="auto"/>
              </w:rPr>
              <w:t>方案框架完整，售后服务保障措施</w:t>
            </w:r>
            <w:r>
              <w:rPr>
                <w:rFonts w:hint="eastAsia" w:ascii="仿宋_GB2312" w:hAnsi="仿宋_GB2312" w:eastAsia="仿宋_GB2312" w:cs="仿宋_GB2312"/>
                <w:color w:val="auto"/>
              </w:rPr>
              <w:t>较完善，</w:t>
            </w:r>
            <w:r>
              <w:rPr>
                <w:rFonts w:ascii="仿宋_GB2312" w:hAnsi="仿宋_GB2312" w:eastAsia="仿宋_GB2312" w:cs="仿宋_GB2312"/>
                <w:color w:val="auto"/>
              </w:rPr>
              <w:t>售后服务人员配置合理、培训计划完整，故障应急预案清晰</w:t>
            </w:r>
            <w:r>
              <w:rPr>
                <w:rFonts w:hint="eastAsia" w:ascii="仿宋_GB2312" w:hAnsi="仿宋_GB2312" w:eastAsia="仿宋_GB2312" w:cs="仿宋_GB2312"/>
                <w:color w:val="auto"/>
              </w:rPr>
              <w:t>，有</w:t>
            </w:r>
            <w:r>
              <w:rPr>
                <w:rFonts w:ascii="仿宋_GB2312" w:hAnsi="仿宋_GB2312" w:eastAsia="仿宋_GB2312" w:cs="仿宋_GB2312"/>
                <w:color w:val="auto"/>
              </w:rPr>
              <w:t>定期回访维护方案</w:t>
            </w:r>
            <w:r>
              <w:rPr>
                <w:rFonts w:hint="eastAsia" w:ascii="仿宋_GB2312" w:hAnsi="仿宋_GB2312" w:eastAsia="仿宋_GB2312" w:cs="仿宋_GB2312"/>
                <w:color w:val="auto"/>
              </w:rPr>
              <w:t>，</w:t>
            </w:r>
            <w:r>
              <w:rPr>
                <w:rFonts w:ascii="仿宋_GB2312" w:hAnsi="仿宋_GB2312" w:eastAsia="仿宋_GB2312" w:cs="仿宋_GB2312"/>
                <w:color w:val="auto"/>
              </w:rPr>
              <w:t>能</w:t>
            </w:r>
            <w:r>
              <w:rPr>
                <w:rFonts w:hint="eastAsia" w:ascii="仿宋_GB2312" w:hAnsi="仿宋_GB2312" w:eastAsia="仿宋_GB2312" w:cs="仿宋_GB2312"/>
                <w:color w:val="auto"/>
              </w:rPr>
              <w:t>较好</w:t>
            </w:r>
            <w:r>
              <w:rPr>
                <w:rFonts w:ascii="仿宋_GB2312" w:hAnsi="仿宋_GB2312" w:eastAsia="仿宋_GB2312" w:cs="仿宋_GB2312"/>
                <w:color w:val="auto"/>
              </w:rPr>
              <w:t>满足本项目基本售后需求；</w:t>
            </w:r>
            <w:r>
              <w:rPr>
                <w:rFonts w:ascii="仿宋_GB2312" w:hAnsi="仿宋_GB2312" w:eastAsia="仿宋_GB2312" w:cs="仿宋_GB2312"/>
                <w:color w:val="auto"/>
              </w:rPr>
              <w:br w:type="textWrapping"/>
            </w:r>
            <w:r>
              <w:rPr>
                <w:rFonts w:hint="eastAsia" w:ascii="仿宋_GB2312" w:hAnsi="仿宋_GB2312" w:eastAsia="仿宋_GB2312" w:cs="仿宋_GB2312"/>
                <w:color w:val="auto"/>
              </w:rPr>
              <w:t xml:space="preserve">   </w:t>
            </w:r>
            <w:r>
              <w:rPr>
                <w:rFonts w:hint="eastAsia" w:ascii="仿宋_GB2312" w:hAnsi="仿宋_GB2312" w:eastAsia="仿宋_GB2312" w:cs="仿宋_GB2312"/>
                <w:b/>
                <w:bCs/>
                <w:color w:val="auto"/>
              </w:rPr>
              <w:t xml:space="preserve"> </w:t>
            </w:r>
            <w:r>
              <w:rPr>
                <w:rFonts w:ascii="仿宋_GB2312" w:hAnsi="仿宋_GB2312" w:eastAsia="仿宋_GB2312" w:cs="仿宋_GB2312"/>
                <w:b/>
                <w:bCs/>
                <w:color w:val="auto"/>
              </w:rPr>
              <w:t>三档（</w:t>
            </w:r>
            <w:r>
              <w:rPr>
                <w:rFonts w:hint="eastAsia" w:ascii="仿宋_GB2312" w:hAnsi="仿宋_GB2312" w:eastAsia="仿宋_GB2312" w:cs="仿宋_GB2312"/>
                <w:b/>
                <w:bCs/>
                <w:color w:val="auto"/>
                <w:lang w:val="en-US" w:eastAsia="zh-CN"/>
              </w:rPr>
              <w:t>2</w:t>
            </w:r>
            <w:r>
              <w:rPr>
                <w:rFonts w:ascii="仿宋_GB2312" w:hAnsi="仿宋_GB2312" w:eastAsia="仿宋_GB2312" w:cs="仿宋_GB2312"/>
                <w:b/>
                <w:bCs/>
                <w:color w:val="auto"/>
              </w:rPr>
              <w:t xml:space="preserve"> 分）：</w:t>
            </w:r>
            <w:r>
              <w:rPr>
                <w:rFonts w:ascii="仿宋_GB2312" w:hAnsi="仿宋_GB2312" w:eastAsia="仿宋_GB2312" w:cs="仿宋_GB2312"/>
                <w:color w:val="auto"/>
              </w:rPr>
              <w:t>方案</w:t>
            </w:r>
            <w:r>
              <w:rPr>
                <w:rFonts w:hint="eastAsia" w:ascii="仿宋_GB2312" w:hAnsi="仿宋_GB2312" w:eastAsia="仿宋_GB2312" w:cs="仿宋_GB2312"/>
                <w:color w:val="auto"/>
              </w:rPr>
              <w:t>满足售后需求</w:t>
            </w:r>
            <w:r>
              <w:rPr>
                <w:rFonts w:ascii="仿宋_GB2312" w:hAnsi="仿宋_GB2312" w:eastAsia="仿宋_GB2312" w:cs="仿宋_GB2312"/>
                <w:color w:val="auto"/>
              </w:rPr>
              <w:t>，</w:t>
            </w:r>
            <w:r>
              <w:rPr>
                <w:rFonts w:hint="eastAsia" w:ascii="仿宋_GB2312" w:hAnsi="仿宋_GB2312" w:eastAsia="仿宋_GB2312" w:cs="仿宋_GB2312"/>
                <w:color w:val="auto"/>
              </w:rPr>
              <w:t>内容简单</w:t>
            </w:r>
            <w:r>
              <w:rPr>
                <w:rFonts w:ascii="仿宋_GB2312" w:hAnsi="仿宋_GB2312" w:eastAsia="仿宋_GB2312" w:cs="仿宋_GB2312"/>
                <w:color w:val="auto"/>
              </w:rPr>
              <w:t>；</w:t>
            </w:r>
            <w:r>
              <w:rPr>
                <w:rFonts w:ascii="仿宋_GB2312" w:hAnsi="仿宋_GB2312" w:eastAsia="仿宋_GB2312" w:cs="仿宋_GB2312"/>
                <w:color w:val="auto"/>
              </w:rPr>
              <w:br w:type="textWrapping"/>
            </w:r>
            <w:r>
              <w:rPr>
                <w:rFonts w:hint="eastAsia" w:ascii="仿宋_GB2312" w:hAnsi="仿宋_GB2312" w:eastAsia="仿宋_GB2312" w:cs="仿宋_GB2312"/>
                <w:b/>
                <w:bCs/>
                <w:color w:val="auto"/>
              </w:rPr>
              <w:t xml:space="preserve">    </w:t>
            </w:r>
            <w:r>
              <w:rPr>
                <w:rFonts w:hint="eastAsia" w:ascii="仿宋_GB2312" w:hAnsi="仿宋_GB2312" w:eastAsia="仿宋_GB2312" w:cs="仿宋_GB2312"/>
                <w:b/>
                <w:bCs/>
                <w:color w:val="auto"/>
                <w:szCs w:val="21"/>
              </w:rPr>
              <w:t>注：1.该方案内容可以包括：</w:t>
            </w:r>
            <w:r>
              <w:rPr>
                <w:rFonts w:hint="eastAsia" w:ascii="仿宋_GB2312" w:hAnsi="仿宋_GB2312" w:eastAsia="仿宋_GB2312" w:cs="仿宋_GB2312"/>
                <w:b/>
                <w:bCs/>
                <w:color w:val="auto"/>
              </w:rPr>
              <w:t>（1）售后服务保障措施；（2）技术支持承诺；（3）售后服务人员配置；（4）培训计划；（5）可拓展售后服务技术支持方案；（6）故障应急预案；（7）定期回访维护方案等；</w:t>
            </w:r>
          </w:p>
          <w:p w14:paraId="505995AD">
            <w:pPr>
              <w:widowControl/>
              <w:numPr>
                <w:ilvl w:val="255"/>
                <w:numId w:val="0"/>
              </w:numPr>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rPr>
              <w:t xml:space="preserve"> 2.未提供以上方案或提供的内容与本项目无关的得0分。</w:t>
            </w:r>
          </w:p>
        </w:tc>
        <w:tc>
          <w:tcPr>
            <w:tcW w:w="967" w:type="dxa"/>
            <w:vAlign w:val="center"/>
          </w:tcPr>
          <w:p w14:paraId="48A58752">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lang w:val="en-US" w:eastAsia="zh-CN"/>
              </w:rPr>
              <w:t>10</w:t>
            </w:r>
          </w:p>
        </w:tc>
        <w:tc>
          <w:tcPr>
            <w:tcW w:w="1024" w:type="dxa"/>
            <w:vAlign w:val="center"/>
          </w:tcPr>
          <w:p w14:paraId="5AC07350">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color w:val="auto"/>
                <w:szCs w:val="21"/>
              </w:rPr>
              <w:t>售后服务方案</w:t>
            </w:r>
          </w:p>
        </w:tc>
      </w:tr>
      <w:tr w14:paraId="3F49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vAlign w:val="center"/>
          </w:tcPr>
          <w:p w14:paraId="4DC9A31D">
            <w:pPr>
              <w:pStyle w:val="815"/>
              <w:spacing w:line="400" w:lineRule="exact"/>
              <w:ind w:firstLine="422" w:firstLineChars="200"/>
              <w:jc w:val="center"/>
              <w:rPr>
                <w:rFonts w:ascii="仿宋_GB2312" w:hAnsi="仿宋_GB2312" w:eastAsia="仿宋_GB2312" w:cs="仿宋_GB2312"/>
                <w:b/>
                <w:bCs/>
                <w:color w:val="auto"/>
              </w:rPr>
            </w:pPr>
            <w:r>
              <w:rPr>
                <w:rFonts w:hint="eastAsia" w:ascii="仿宋_GB2312" w:hAnsi="仿宋_GB2312" w:eastAsia="仿宋_GB2312" w:cs="仿宋_GB2312"/>
                <w:b/>
                <w:bCs/>
                <w:color w:val="auto"/>
              </w:rPr>
              <w:t>主观分总分</w:t>
            </w:r>
          </w:p>
        </w:tc>
        <w:tc>
          <w:tcPr>
            <w:tcW w:w="967" w:type="dxa"/>
            <w:vAlign w:val="center"/>
          </w:tcPr>
          <w:p w14:paraId="603094F4">
            <w:pPr>
              <w:spacing w:line="360" w:lineRule="exact"/>
              <w:jc w:val="center"/>
              <w:rPr>
                <w:rFonts w:ascii="仿宋_GB2312" w:hAnsi="仿宋_GB2312" w:eastAsia="仿宋_GB2312" w:cs="仿宋_GB2312"/>
                <w:b/>
                <w:bCs/>
                <w:color w:val="auto"/>
                <w:szCs w:val="21"/>
              </w:rPr>
            </w:pPr>
            <w:r>
              <w:rPr>
                <w:rFonts w:hint="eastAsia" w:ascii="仿宋_GB2312" w:hAnsi="仿宋_GB2312" w:eastAsia="仿宋_GB2312" w:cs="仿宋_GB2312"/>
                <w:b/>
                <w:bCs/>
                <w:color w:val="auto"/>
                <w:szCs w:val="21"/>
              </w:rPr>
              <w:t>2</w:t>
            </w:r>
            <w:r>
              <w:rPr>
                <w:rFonts w:hint="eastAsia" w:ascii="仿宋_GB2312" w:hAnsi="仿宋_GB2312" w:eastAsia="仿宋_GB2312" w:cs="仿宋_GB2312"/>
                <w:b/>
                <w:bCs/>
                <w:color w:val="auto"/>
                <w:szCs w:val="21"/>
                <w:lang w:val="en-US" w:eastAsia="zh-CN"/>
              </w:rPr>
              <w:t>5</w:t>
            </w:r>
          </w:p>
        </w:tc>
        <w:tc>
          <w:tcPr>
            <w:tcW w:w="1024" w:type="dxa"/>
            <w:vAlign w:val="center"/>
          </w:tcPr>
          <w:p w14:paraId="1F556136">
            <w:pPr>
              <w:spacing w:line="360" w:lineRule="exact"/>
              <w:jc w:val="center"/>
              <w:rPr>
                <w:rFonts w:ascii="仿宋_GB2312" w:hAnsi="仿宋_GB2312" w:eastAsia="仿宋_GB2312" w:cs="仿宋_GB2312"/>
                <w:color w:val="auto"/>
                <w:szCs w:val="21"/>
              </w:rPr>
            </w:pPr>
          </w:p>
        </w:tc>
      </w:tr>
    </w:tbl>
    <w:p w14:paraId="053E96AF">
      <w:pPr>
        <w:widowControl/>
        <w:adjustRightInd w:val="0"/>
        <w:spacing w:line="440" w:lineRule="exact"/>
        <w:ind w:right="-1" w:firstLine="141" w:firstLineChars="59"/>
        <w:textAlignment w:val="baseline"/>
        <w:rPr>
          <w:rFonts w:ascii="仿宋_GB2312" w:eastAsia="仿宋_GB2312"/>
          <w:bCs/>
          <w:color w:val="auto"/>
          <w:sz w:val="24"/>
        </w:rPr>
      </w:pPr>
    </w:p>
    <w:p w14:paraId="0ADBCF65">
      <w:pPr>
        <w:spacing w:line="390" w:lineRule="exact"/>
        <w:ind w:right="-168" w:rightChars="-80" w:firstLine="236" w:firstLineChars="98"/>
        <w:rPr>
          <w:rFonts w:ascii="仿宋_GB2312" w:eastAsia="仿宋_GB2312"/>
          <w:b/>
          <w:color w:val="auto"/>
          <w:sz w:val="24"/>
        </w:rPr>
      </w:pPr>
      <w:r>
        <w:rPr>
          <w:rFonts w:hint="eastAsia" w:ascii="仿宋_GB2312" w:eastAsia="仿宋_GB2312"/>
          <w:b/>
          <w:color w:val="auto"/>
          <w:sz w:val="24"/>
        </w:rPr>
        <w:t>（三）总得分=客观分+主观分</w:t>
      </w:r>
    </w:p>
    <w:p w14:paraId="624F3D07">
      <w:pPr>
        <w:adjustRightInd w:val="0"/>
        <w:spacing w:line="400" w:lineRule="exact"/>
        <w:ind w:firstLine="482" w:firstLineChars="200"/>
        <w:jc w:val="left"/>
        <w:textAlignment w:val="baseline"/>
        <w:rPr>
          <w:rFonts w:ascii="仿宋_GB2312" w:hAnsi="宋体" w:eastAsia="仿宋_GB2312"/>
          <w:b/>
          <w:color w:val="auto"/>
          <w:kern w:val="0"/>
          <w:sz w:val="24"/>
        </w:rPr>
      </w:pPr>
      <w:r>
        <w:rPr>
          <w:rFonts w:hint="eastAsia" w:ascii="仿宋_GB2312" w:hAnsi="宋体" w:eastAsia="仿宋_GB2312"/>
          <w:b/>
          <w:color w:val="auto"/>
          <w:kern w:val="0"/>
          <w:sz w:val="24"/>
        </w:rPr>
        <w:t>三、中标标准及中标候选人推荐原则</w:t>
      </w:r>
    </w:p>
    <w:p w14:paraId="0E7A8D02">
      <w:pPr>
        <w:adjustRightInd w:val="0"/>
        <w:spacing w:line="400" w:lineRule="exact"/>
        <w:ind w:firstLine="482" w:firstLineChars="200"/>
        <w:jc w:val="left"/>
        <w:textAlignment w:val="baseline"/>
        <w:rPr>
          <w:rFonts w:ascii="仿宋_GB2312" w:hAnsi="宋体" w:eastAsia="仿宋_GB2312"/>
          <w:b/>
          <w:color w:val="auto"/>
          <w:kern w:val="0"/>
          <w:sz w:val="24"/>
        </w:rPr>
      </w:pPr>
      <w:r>
        <w:rPr>
          <w:rFonts w:hint="eastAsia" w:ascii="仿宋_GB2312" w:hAnsi="宋体" w:eastAsia="仿宋_GB2312"/>
          <w:b/>
          <w:color w:val="auto"/>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采购人或采购代理机构应将该情况报政府采购监督管理部门，从合格的中标候选人中另行确定中标人或重新开展政府采购活动。</w:t>
      </w:r>
    </w:p>
    <w:p w14:paraId="6A96C960">
      <w:pPr>
        <w:adjustRightInd w:val="0"/>
        <w:spacing w:line="400" w:lineRule="exact"/>
        <w:ind w:firstLine="482" w:firstLineChars="200"/>
        <w:jc w:val="left"/>
        <w:textAlignment w:val="baseline"/>
        <w:rPr>
          <w:rFonts w:ascii="仿宋_GB2312" w:hAnsi="宋体" w:eastAsia="仿宋_GB2312"/>
          <w:b/>
          <w:bCs/>
          <w:color w:val="auto"/>
          <w:sz w:val="24"/>
        </w:rPr>
      </w:pPr>
      <w:r>
        <w:rPr>
          <w:rFonts w:hint="eastAsia" w:ascii="仿宋_GB2312" w:hAnsi="宋体" w:eastAsia="仿宋_GB2312"/>
          <w:b/>
          <w:color w:val="auto"/>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color w:val="auto"/>
          <w:sz w:val="24"/>
        </w:rPr>
        <w:t>。</w:t>
      </w:r>
    </w:p>
    <w:p w14:paraId="0FB4234A">
      <w:pPr>
        <w:adjustRightInd w:val="0"/>
        <w:spacing w:line="400" w:lineRule="exact"/>
        <w:ind w:firstLine="482" w:firstLineChars="200"/>
        <w:jc w:val="left"/>
        <w:textAlignment w:val="baseline"/>
        <w:rPr>
          <w:rFonts w:ascii="仿宋_GB2312" w:hAnsi="宋体" w:eastAsia="仿宋_GB2312"/>
          <w:b/>
          <w:bCs/>
          <w:color w:val="auto"/>
          <w:sz w:val="24"/>
        </w:rPr>
      </w:pPr>
    </w:p>
    <w:p w14:paraId="633FBA1B">
      <w:pPr>
        <w:rPr>
          <w:b/>
          <w:color w:val="auto"/>
          <w:sz w:val="24"/>
        </w:rPr>
      </w:pPr>
    </w:p>
    <w:p w14:paraId="7C4BC68B">
      <w:pPr>
        <w:rPr>
          <w:color w:val="auto"/>
        </w:rPr>
      </w:pPr>
    </w:p>
    <w:p w14:paraId="4015E420">
      <w:pPr>
        <w:rPr>
          <w:b/>
          <w:color w:val="auto"/>
          <w:sz w:val="24"/>
        </w:rPr>
      </w:pPr>
    </w:p>
    <w:p w14:paraId="3096B648">
      <w:pPr>
        <w:rPr>
          <w:b/>
          <w:color w:val="auto"/>
          <w:sz w:val="24"/>
        </w:rPr>
      </w:pPr>
    </w:p>
    <w:p w14:paraId="5AF86FBA">
      <w:pPr>
        <w:rPr>
          <w:b/>
          <w:color w:val="auto"/>
          <w:sz w:val="24"/>
        </w:rPr>
      </w:pPr>
    </w:p>
    <w:p w14:paraId="2430E2B9">
      <w:pPr>
        <w:rPr>
          <w:b/>
          <w:color w:val="auto"/>
          <w:sz w:val="24"/>
        </w:rPr>
      </w:pPr>
    </w:p>
    <w:p w14:paraId="23873DD2">
      <w:pPr>
        <w:rPr>
          <w:b/>
          <w:color w:val="auto"/>
          <w:sz w:val="24"/>
        </w:rPr>
      </w:pPr>
    </w:p>
    <w:p w14:paraId="14CC4ACA">
      <w:pPr>
        <w:rPr>
          <w:b/>
          <w:color w:val="auto"/>
          <w:sz w:val="24"/>
        </w:rPr>
      </w:pPr>
    </w:p>
    <w:p w14:paraId="6B35A18E">
      <w:pPr>
        <w:pStyle w:val="32"/>
        <w:rPr>
          <w:b/>
          <w:color w:val="auto"/>
          <w:sz w:val="24"/>
        </w:rPr>
      </w:pPr>
    </w:p>
    <w:p w14:paraId="25947D24">
      <w:pPr>
        <w:pStyle w:val="32"/>
        <w:rPr>
          <w:b/>
          <w:color w:val="auto"/>
          <w:sz w:val="24"/>
        </w:rPr>
      </w:pPr>
    </w:p>
    <w:p w14:paraId="197A6751">
      <w:pPr>
        <w:pStyle w:val="32"/>
        <w:rPr>
          <w:b/>
          <w:color w:val="auto"/>
          <w:sz w:val="24"/>
        </w:rPr>
      </w:pPr>
    </w:p>
    <w:p w14:paraId="0CF46BF3">
      <w:pPr>
        <w:pStyle w:val="32"/>
        <w:rPr>
          <w:b/>
          <w:color w:val="auto"/>
          <w:sz w:val="24"/>
        </w:rPr>
      </w:pPr>
    </w:p>
    <w:p w14:paraId="51242CA1">
      <w:pPr>
        <w:pStyle w:val="32"/>
        <w:rPr>
          <w:b/>
          <w:color w:val="auto"/>
          <w:sz w:val="24"/>
        </w:rPr>
      </w:pPr>
    </w:p>
    <w:p w14:paraId="7410F5D3">
      <w:pPr>
        <w:pStyle w:val="32"/>
        <w:rPr>
          <w:b/>
          <w:color w:val="auto"/>
          <w:sz w:val="24"/>
        </w:rPr>
      </w:pPr>
    </w:p>
    <w:p w14:paraId="68DC0B5A">
      <w:pPr>
        <w:pStyle w:val="32"/>
        <w:rPr>
          <w:b/>
          <w:color w:val="auto"/>
          <w:sz w:val="24"/>
        </w:rPr>
      </w:pPr>
    </w:p>
    <w:p w14:paraId="585A9124">
      <w:pPr>
        <w:pStyle w:val="32"/>
        <w:rPr>
          <w:b/>
          <w:color w:val="auto"/>
          <w:sz w:val="24"/>
        </w:rPr>
      </w:pPr>
    </w:p>
    <w:p w14:paraId="46CFF690">
      <w:pPr>
        <w:pStyle w:val="32"/>
        <w:rPr>
          <w:b/>
          <w:color w:val="auto"/>
          <w:sz w:val="24"/>
        </w:rPr>
      </w:pPr>
    </w:p>
    <w:p w14:paraId="660AB1CE">
      <w:pPr>
        <w:pStyle w:val="32"/>
        <w:rPr>
          <w:b/>
          <w:color w:val="auto"/>
          <w:sz w:val="24"/>
        </w:rPr>
      </w:pPr>
    </w:p>
    <w:p w14:paraId="1B05CF58">
      <w:pPr>
        <w:pStyle w:val="32"/>
        <w:rPr>
          <w:b/>
          <w:color w:val="auto"/>
          <w:sz w:val="24"/>
        </w:rPr>
      </w:pPr>
    </w:p>
    <w:p w14:paraId="01842319">
      <w:pPr>
        <w:pStyle w:val="32"/>
        <w:rPr>
          <w:b/>
          <w:color w:val="auto"/>
          <w:sz w:val="24"/>
        </w:rPr>
      </w:pPr>
    </w:p>
    <w:p w14:paraId="74481329">
      <w:pPr>
        <w:pStyle w:val="32"/>
        <w:rPr>
          <w:b/>
          <w:color w:val="auto"/>
          <w:sz w:val="24"/>
        </w:rPr>
      </w:pPr>
    </w:p>
    <w:p w14:paraId="13B1F2A4">
      <w:pPr>
        <w:pStyle w:val="32"/>
        <w:rPr>
          <w:b/>
          <w:color w:val="auto"/>
          <w:sz w:val="24"/>
        </w:rPr>
      </w:pPr>
    </w:p>
    <w:p w14:paraId="5134B20D">
      <w:pPr>
        <w:pStyle w:val="32"/>
        <w:rPr>
          <w:b/>
          <w:color w:val="auto"/>
          <w:sz w:val="24"/>
        </w:rPr>
      </w:pPr>
    </w:p>
    <w:p w14:paraId="51543198">
      <w:pPr>
        <w:pStyle w:val="32"/>
        <w:rPr>
          <w:b/>
          <w:color w:val="auto"/>
          <w:sz w:val="24"/>
        </w:rPr>
      </w:pPr>
    </w:p>
    <w:p w14:paraId="5D88A96C">
      <w:pPr>
        <w:pStyle w:val="32"/>
        <w:rPr>
          <w:b/>
          <w:color w:val="auto"/>
          <w:sz w:val="24"/>
        </w:rPr>
      </w:pPr>
    </w:p>
    <w:p w14:paraId="3958E7B7">
      <w:pPr>
        <w:pStyle w:val="32"/>
        <w:rPr>
          <w:b/>
          <w:color w:val="auto"/>
          <w:sz w:val="24"/>
        </w:rPr>
      </w:pPr>
    </w:p>
    <w:p w14:paraId="4E4C4DDD">
      <w:pPr>
        <w:pStyle w:val="32"/>
        <w:rPr>
          <w:b/>
          <w:color w:val="auto"/>
          <w:sz w:val="24"/>
        </w:rPr>
      </w:pPr>
    </w:p>
    <w:p w14:paraId="052B7275">
      <w:pPr>
        <w:pStyle w:val="32"/>
        <w:rPr>
          <w:b/>
          <w:color w:val="auto"/>
          <w:sz w:val="24"/>
        </w:rPr>
      </w:pPr>
    </w:p>
    <w:p w14:paraId="23B41602">
      <w:pPr>
        <w:pStyle w:val="32"/>
        <w:rPr>
          <w:b/>
          <w:color w:val="auto"/>
          <w:sz w:val="24"/>
        </w:rPr>
      </w:pPr>
    </w:p>
    <w:p w14:paraId="54449CAE">
      <w:pPr>
        <w:pStyle w:val="32"/>
        <w:rPr>
          <w:b/>
          <w:color w:val="auto"/>
          <w:sz w:val="24"/>
        </w:rPr>
      </w:pPr>
    </w:p>
    <w:p w14:paraId="2A6926C5">
      <w:pPr>
        <w:pStyle w:val="32"/>
        <w:rPr>
          <w:b/>
          <w:color w:val="auto"/>
          <w:sz w:val="24"/>
        </w:rPr>
      </w:pPr>
    </w:p>
    <w:p w14:paraId="6D1F798B">
      <w:pPr>
        <w:pStyle w:val="32"/>
        <w:rPr>
          <w:b/>
          <w:color w:val="auto"/>
          <w:sz w:val="24"/>
        </w:rPr>
      </w:pPr>
    </w:p>
    <w:p w14:paraId="6C0B9B57">
      <w:pPr>
        <w:pStyle w:val="32"/>
        <w:rPr>
          <w:b/>
          <w:color w:val="auto"/>
          <w:sz w:val="24"/>
        </w:rPr>
      </w:pPr>
    </w:p>
    <w:p w14:paraId="65F8D5A9">
      <w:pPr>
        <w:pStyle w:val="32"/>
        <w:rPr>
          <w:b/>
          <w:color w:val="auto"/>
          <w:sz w:val="24"/>
        </w:rPr>
      </w:pPr>
    </w:p>
    <w:p w14:paraId="49B69565">
      <w:pPr>
        <w:pStyle w:val="32"/>
        <w:rPr>
          <w:b/>
          <w:color w:val="auto"/>
          <w:sz w:val="24"/>
        </w:rPr>
      </w:pPr>
    </w:p>
    <w:p w14:paraId="137BC299">
      <w:pPr>
        <w:pStyle w:val="32"/>
        <w:rPr>
          <w:b/>
          <w:color w:val="auto"/>
          <w:sz w:val="24"/>
        </w:rPr>
      </w:pPr>
    </w:p>
    <w:p w14:paraId="4EF023E4">
      <w:pPr>
        <w:pStyle w:val="32"/>
        <w:rPr>
          <w:b/>
          <w:color w:val="auto"/>
          <w:sz w:val="24"/>
        </w:rPr>
      </w:pPr>
    </w:p>
    <w:p w14:paraId="2AB84479">
      <w:pPr>
        <w:pStyle w:val="32"/>
        <w:rPr>
          <w:b/>
          <w:color w:val="auto"/>
          <w:sz w:val="24"/>
        </w:rPr>
      </w:pPr>
    </w:p>
    <w:p w14:paraId="066581D9">
      <w:pPr>
        <w:pStyle w:val="32"/>
        <w:rPr>
          <w:b/>
          <w:color w:val="auto"/>
          <w:sz w:val="24"/>
        </w:rPr>
      </w:pPr>
    </w:p>
    <w:p w14:paraId="207A150E">
      <w:pPr>
        <w:pStyle w:val="32"/>
        <w:rPr>
          <w:b/>
          <w:color w:val="auto"/>
          <w:sz w:val="24"/>
        </w:rPr>
      </w:pPr>
    </w:p>
    <w:p w14:paraId="44DA524B">
      <w:pPr>
        <w:pStyle w:val="32"/>
        <w:rPr>
          <w:b/>
          <w:color w:val="auto"/>
          <w:sz w:val="24"/>
        </w:rPr>
      </w:pPr>
    </w:p>
    <w:p w14:paraId="66579495">
      <w:pPr>
        <w:pStyle w:val="32"/>
        <w:rPr>
          <w:b/>
          <w:color w:val="auto"/>
          <w:sz w:val="24"/>
        </w:rPr>
      </w:pPr>
    </w:p>
    <w:p w14:paraId="5D9C731B">
      <w:pPr>
        <w:pStyle w:val="32"/>
        <w:rPr>
          <w:b/>
          <w:color w:val="auto"/>
          <w:sz w:val="24"/>
        </w:rPr>
      </w:pPr>
    </w:p>
    <w:p w14:paraId="6B0FC91B">
      <w:pPr>
        <w:pStyle w:val="32"/>
        <w:rPr>
          <w:b/>
          <w:color w:val="auto"/>
          <w:sz w:val="24"/>
        </w:rPr>
      </w:pPr>
    </w:p>
    <w:p w14:paraId="606DF322">
      <w:pPr>
        <w:pStyle w:val="32"/>
        <w:rPr>
          <w:b/>
          <w:color w:val="auto"/>
          <w:sz w:val="24"/>
        </w:rPr>
      </w:pPr>
    </w:p>
    <w:p w14:paraId="01F2C57A">
      <w:pPr>
        <w:pStyle w:val="32"/>
        <w:rPr>
          <w:b/>
          <w:color w:val="auto"/>
          <w:sz w:val="24"/>
        </w:rPr>
      </w:pPr>
    </w:p>
    <w:p w14:paraId="0F53C673">
      <w:pPr>
        <w:pStyle w:val="32"/>
        <w:rPr>
          <w:b/>
          <w:color w:val="auto"/>
          <w:sz w:val="24"/>
        </w:rPr>
      </w:pPr>
    </w:p>
    <w:p w14:paraId="395C6330">
      <w:pPr>
        <w:rPr>
          <w:b/>
          <w:color w:val="auto"/>
          <w:sz w:val="24"/>
        </w:rPr>
      </w:pPr>
    </w:p>
    <w:p w14:paraId="244D701E">
      <w:pPr>
        <w:pStyle w:val="3"/>
        <w:jc w:val="center"/>
        <w:rPr>
          <w:rFonts w:ascii="仿宋_GB2312" w:eastAsia="仿宋_GB2312"/>
          <w:b w:val="0"/>
          <w:bCs w:val="0"/>
          <w:color w:val="auto"/>
          <w:sz w:val="32"/>
          <w:szCs w:val="32"/>
        </w:rPr>
      </w:pPr>
      <w:bookmarkStart w:id="225" w:name="_Toc21458"/>
      <w:bookmarkStart w:id="226" w:name="_Toc497578453"/>
      <w:r>
        <w:rPr>
          <w:rFonts w:hint="eastAsia"/>
          <w:color w:val="auto"/>
          <w:sz w:val="30"/>
          <w:szCs w:val="30"/>
        </w:rPr>
        <w:t>第五章 合同主要条款格式及广西壮族自治区政府采购项目合同验收书格式</w:t>
      </w:r>
      <w:bookmarkEnd w:id="225"/>
      <w:bookmarkEnd w:id="226"/>
    </w:p>
    <w:p w14:paraId="6F0A0FB7">
      <w:pPr>
        <w:snapToGrid w:val="0"/>
        <w:jc w:val="center"/>
        <w:rPr>
          <w:rFonts w:ascii="仿宋_GB2312" w:hAnsi="华文中宋" w:eastAsia="仿宋_GB2312"/>
          <w:bCs/>
          <w:color w:val="auto"/>
          <w:sz w:val="32"/>
          <w:szCs w:val="32"/>
        </w:rPr>
      </w:pPr>
    </w:p>
    <w:p w14:paraId="5E194DBF">
      <w:pPr>
        <w:snapToGrid w:val="0"/>
        <w:jc w:val="center"/>
        <w:rPr>
          <w:rFonts w:ascii="仿宋_GB2312" w:hAnsi="华文中宋" w:eastAsia="仿宋_GB2312"/>
          <w:bCs/>
          <w:color w:val="auto"/>
          <w:sz w:val="32"/>
          <w:szCs w:val="32"/>
        </w:rPr>
      </w:pPr>
    </w:p>
    <w:p w14:paraId="47946AFD">
      <w:pPr>
        <w:snapToGrid w:val="0"/>
        <w:jc w:val="center"/>
        <w:rPr>
          <w:rFonts w:ascii="仿宋_GB2312" w:hAnsi="华文中宋" w:eastAsia="仿宋_GB2312"/>
          <w:bCs/>
          <w:color w:val="auto"/>
          <w:sz w:val="32"/>
          <w:szCs w:val="32"/>
        </w:rPr>
      </w:pPr>
    </w:p>
    <w:p w14:paraId="45F0366C">
      <w:pPr>
        <w:snapToGrid w:val="0"/>
        <w:jc w:val="center"/>
        <w:rPr>
          <w:rFonts w:ascii="仿宋_GB2312" w:hAnsi="华文中宋" w:eastAsia="仿宋_GB2312"/>
          <w:bCs/>
          <w:color w:val="auto"/>
          <w:sz w:val="32"/>
          <w:szCs w:val="32"/>
        </w:rPr>
      </w:pPr>
    </w:p>
    <w:p w14:paraId="21F33B2C">
      <w:pPr>
        <w:snapToGrid w:val="0"/>
        <w:jc w:val="center"/>
        <w:rPr>
          <w:rFonts w:ascii="仿宋_GB2312" w:hAnsi="华文中宋" w:eastAsia="仿宋_GB2312"/>
          <w:bCs/>
          <w:color w:val="auto"/>
          <w:sz w:val="32"/>
          <w:szCs w:val="32"/>
        </w:rPr>
      </w:pPr>
    </w:p>
    <w:p w14:paraId="1381E642">
      <w:pPr>
        <w:snapToGrid w:val="0"/>
        <w:jc w:val="center"/>
        <w:rPr>
          <w:rFonts w:ascii="仿宋_GB2312" w:hAnsi="华文中宋" w:eastAsia="仿宋_GB2312"/>
          <w:bCs/>
          <w:color w:val="auto"/>
          <w:sz w:val="32"/>
          <w:szCs w:val="32"/>
        </w:rPr>
      </w:pPr>
    </w:p>
    <w:p w14:paraId="4CFA99C0">
      <w:pPr>
        <w:snapToGrid w:val="0"/>
        <w:jc w:val="center"/>
        <w:rPr>
          <w:rFonts w:ascii="仿宋_GB2312" w:hAnsi="华文中宋" w:eastAsia="仿宋_GB2312"/>
          <w:bCs/>
          <w:color w:val="auto"/>
          <w:sz w:val="32"/>
          <w:szCs w:val="32"/>
        </w:rPr>
      </w:pPr>
    </w:p>
    <w:p w14:paraId="7AB5002B">
      <w:pPr>
        <w:snapToGrid w:val="0"/>
        <w:rPr>
          <w:rFonts w:ascii="仿宋_GB2312" w:hAnsi="华文中宋" w:eastAsia="仿宋_GB2312"/>
          <w:bCs/>
          <w:color w:val="auto"/>
          <w:sz w:val="32"/>
          <w:szCs w:val="32"/>
        </w:rPr>
      </w:pPr>
    </w:p>
    <w:p w14:paraId="64D938A4">
      <w:pPr>
        <w:snapToGrid w:val="0"/>
        <w:rPr>
          <w:rFonts w:ascii="仿宋_GB2312" w:hAnsi="华文中宋" w:eastAsia="仿宋_GB2312"/>
          <w:bCs/>
          <w:color w:val="auto"/>
          <w:sz w:val="32"/>
          <w:szCs w:val="32"/>
        </w:rPr>
      </w:pPr>
    </w:p>
    <w:p w14:paraId="3428B908">
      <w:pPr>
        <w:snapToGrid w:val="0"/>
        <w:jc w:val="left"/>
        <w:rPr>
          <w:rFonts w:ascii="仿宋_GB2312" w:eastAsia="仿宋_GB2312"/>
          <w:b/>
          <w:color w:val="auto"/>
          <w:sz w:val="24"/>
        </w:rPr>
      </w:pPr>
      <w:r>
        <w:rPr>
          <w:rFonts w:hint="eastAsia" w:ascii="仿宋_GB2312" w:eastAsia="仿宋_GB2312"/>
          <w:b/>
          <w:color w:val="auto"/>
          <w:sz w:val="24"/>
        </w:rPr>
        <w:br w:type="page"/>
      </w:r>
      <w:bookmarkStart w:id="227" w:name="_Hlk93681333"/>
      <w:bookmarkStart w:id="228" w:name="_Hlk93681122"/>
    </w:p>
    <w:p w14:paraId="5993F58C">
      <w:pPr>
        <w:snapToGrid w:val="0"/>
        <w:ind w:firstLine="482" w:firstLineChars="200"/>
        <w:jc w:val="left"/>
        <w:rPr>
          <w:rFonts w:ascii="仿宋_GB2312" w:eastAsia="仿宋_GB2312"/>
          <w:b/>
          <w:color w:val="auto"/>
          <w:sz w:val="24"/>
        </w:rPr>
      </w:pPr>
      <w:r>
        <w:rPr>
          <w:rFonts w:hint="eastAsia" w:ascii="仿宋_GB2312" w:eastAsia="仿宋_GB2312"/>
          <w:b/>
          <w:color w:val="auto"/>
          <w:sz w:val="24"/>
        </w:rPr>
        <w:t>合同使用说明：本合同</w:t>
      </w:r>
      <w:bookmarkStart w:id="229" w:name="_Hlk102729543"/>
      <w:r>
        <w:rPr>
          <w:rFonts w:ascii="仿宋_GB2312" w:eastAsia="仿宋_GB2312"/>
          <w:b/>
          <w:color w:val="auto"/>
          <w:sz w:val="24"/>
        </w:rPr>
        <w:t>为中小企业</w:t>
      </w:r>
      <w:bookmarkEnd w:id="229"/>
      <w:r>
        <w:rPr>
          <w:rFonts w:hint="eastAsia" w:ascii="仿宋_GB2312" w:eastAsia="仿宋_GB2312"/>
          <w:b/>
          <w:color w:val="auto"/>
          <w:sz w:val="24"/>
        </w:rPr>
        <w:t>预留合同。</w:t>
      </w:r>
    </w:p>
    <w:p w14:paraId="3C158094">
      <w:pPr>
        <w:pStyle w:val="27"/>
        <w:spacing w:line="400" w:lineRule="exact"/>
        <w:jc w:val="left"/>
        <w:rPr>
          <w:b/>
          <w:color w:val="auto"/>
          <w:sz w:val="32"/>
        </w:rPr>
      </w:pPr>
    </w:p>
    <w:p w14:paraId="0151DEEE">
      <w:pPr>
        <w:snapToGrid w:val="0"/>
        <w:jc w:val="center"/>
        <w:rPr>
          <w:rFonts w:ascii="仿宋_GB2312" w:hAnsi="宋体" w:eastAsia="仿宋_GB2312"/>
          <w:b/>
          <w:bCs/>
          <w:color w:val="auto"/>
          <w:sz w:val="44"/>
          <w:szCs w:val="44"/>
        </w:rPr>
      </w:pPr>
      <w:r>
        <w:rPr>
          <w:rFonts w:hint="eastAsia" w:ascii="仿宋_GB2312" w:hAnsi="宋体" w:eastAsia="仿宋_GB2312"/>
          <w:b/>
          <w:bCs/>
          <w:color w:val="auto"/>
          <w:sz w:val="44"/>
          <w:szCs w:val="44"/>
        </w:rPr>
        <w:t>政府采购合同</w:t>
      </w:r>
    </w:p>
    <w:p w14:paraId="510A1A73">
      <w:pPr>
        <w:snapToGrid w:val="0"/>
        <w:jc w:val="center"/>
        <w:rPr>
          <w:rFonts w:ascii="仿宋_GB2312" w:hAnsi="宋体" w:eastAsia="仿宋_GB2312"/>
          <w:b/>
          <w:bCs/>
          <w:color w:val="auto"/>
          <w:sz w:val="36"/>
          <w:szCs w:val="36"/>
        </w:rPr>
      </w:pPr>
      <w:r>
        <w:rPr>
          <w:rFonts w:hint="eastAsia" w:ascii="仿宋_GB2312" w:hAnsi="宋体" w:eastAsia="仿宋_GB2312"/>
          <w:b/>
          <w:bCs/>
          <w:color w:val="auto"/>
          <w:sz w:val="36"/>
          <w:szCs w:val="36"/>
        </w:rPr>
        <w:t>（一般货物类）</w:t>
      </w:r>
    </w:p>
    <w:p w14:paraId="20B73082">
      <w:pPr>
        <w:wordWrap w:val="0"/>
        <w:snapToGrid w:val="0"/>
        <w:jc w:val="right"/>
        <w:rPr>
          <w:rFonts w:ascii="仿宋_GB2312" w:hAnsi="宋体" w:eastAsia="仿宋_GB2312"/>
          <w:bCs/>
          <w:color w:val="auto"/>
          <w:sz w:val="24"/>
          <w:u w:val="single"/>
        </w:rPr>
      </w:pPr>
      <w:r>
        <w:rPr>
          <w:rFonts w:hint="eastAsia" w:ascii="仿宋_GB2312" w:hAnsi="宋体" w:eastAsia="仿宋_GB2312"/>
          <w:bCs/>
          <w:color w:val="auto"/>
          <w:sz w:val="24"/>
        </w:rPr>
        <w:t xml:space="preserve">合同编号：            </w:t>
      </w:r>
    </w:p>
    <w:p w14:paraId="669892B6">
      <w:pPr>
        <w:snapToGrid w:val="0"/>
        <w:rPr>
          <w:rFonts w:ascii="仿宋_GB2312" w:hAnsi="宋体" w:eastAsia="仿宋_GB2312"/>
          <w:color w:val="auto"/>
          <w:sz w:val="24"/>
        </w:rPr>
      </w:pPr>
    </w:p>
    <w:p w14:paraId="31F488C1">
      <w:pPr>
        <w:snapToGrid w:val="0"/>
        <w:spacing w:line="320" w:lineRule="exact"/>
        <w:ind w:right="-470" w:rightChars="-224"/>
        <w:rPr>
          <w:rFonts w:ascii="仿宋_GB2312" w:hAnsi="仿宋_GB2312" w:eastAsia="仿宋_GB2312" w:cs="仿宋_GB2312"/>
          <w:color w:val="auto"/>
          <w:sz w:val="24"/>
          <w:u w:val="single"/>
        </w:rPr>
      </w:pPr>
      <w:r>
        <w:rPr>
          <w:rFonts w:hint="eastAsia" w:ascii="仿宋_GB2312" w:hAnsi="仿宋_GB2312" w:eastAsia="仿宋_GB2312" w:cs="仿宋_GB2312"/>
          <w:color w:val="auto"/>
          <w:sz w:val="24"/>
        </w:rPr>
        <w:t>采购单位（甲方）：</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采购计划表编号：</w:t>
      </w:r>
      <w:r>
        <w:rPr>
          <w:rFonts w:hint="eastAsia" w:ascii="仿宋_GB2312" w:hAnsi="仿宋_GB2312" w:eastAsia="仿宋_GB2312" w:cs="仿宋_GB2312"/>
          <w:color w:val="auto"/>
          <w:sz w:val="24"/>
          <w:u w:val="single"/>
        </w:rPr>
        <w:t xml:space="preserve">               </w:t>
      </w:r>
    </w:p>
    <w:p w14:paraId="14DF4845">
      <w:pPr>
        <w:snapToGrid w:val="0"/>
        <w:spacing w:line="320" w:lineRule="exact"/>
        <w:ind w:right="-470" w:rightChars="-224"/>
        <w:rPr>
          <w:rFonts w:ascii="仿宋_GB2312" w:hAnsi="仿宋_GB2312" w:eastAsia="仿宋_GB2312" w:cs="仿宋_GB2312"/>
          <w:color w:val="auto"/>
          <w:sz w:val="24"/>
          <w:u w:val="single"/>
        </w:rPr>
      </w:pPr>
      <w:r>
        <w:rPr>
          <w:rFonts w:hint="eastAsia" w:ascii="仿宋_GB2312" w:hAnsi="仿宋_GB2312" w:eastAsia="仿宋_GB2312" w:cs="仿宋_GB2312"/>
          <w:color w:val="auto"/>
          <w:sz w:val="24"/>
        </w:rPr>
        <w:t>供 应 商（乙方）：</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项目名称及编号</w:t>
      </w:r>
      <w:r>
        <w:rPr>
          <w:rFonts w:hint="eastAsia" w:ascii="仿宋_GB2312" w:hAnsi="仿宋_GB2312" w:eastAsia="仿宋_GB2312" w:cs="仿宋_GB2312"/>
          <w:color w:val="auto"/>
          <w:spacing w:val="-20"/>
          <w:sz w:val="24"/>
        </w:rPr>
        <w:t>：</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 xml:space="preserve">     </w:t>
      </w:r>
    </w:p>
    <w:p w14:paraId="320EEEC8">
      <w:pPr>
        <w:snapToGrid w:val="0"/>
        <w:spacing w:line="320" w:lineRule="exact"/>
        <w:ind w:right="-470" w:rightChars="-224"/>
        <w:rPr>
          <w:rFonts w:ascii="仿宋_GB2312" w:hAnsi="仿宋_GB2312" w:eastAsia="仿宋_GB2312" w:cs="仿宋_GB2312"/>
          <w:color w:val="auto"/>
          <w:sz w:val="24"/>
          <w:u w:val="single"/>
        </w:rPr>
      </w:pPr>
      <w:r>
        <w:rPr>
          <w:rFonts w:hint="eastAsia" w:ascii="仿宋_GB2312" w:hAnsi="仿宋_GB2312" w:eastAsia="仿宋_GB2312" w:cs="仿宋_GB2312"/>
          <w:color w:val="auto"/>
          <w:sz w:val="24"/>
        </w:rPr>
        <w:t>签  订  地  点 ：</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pacing w:val="38"/>
          <w:sz w:val="24"/>
        </w:rPr>
        <w:t>签订时间：</w:t>
      </w:r>
      <w:r>
        <w:rPr>
          <w:rFonts w:hint="eastAsia" w:ascii="仿宋_GB2312" w:hAnsi="仿宋_GB2312" w:eastAsia="仿宋_GB2312" w:cs="仿宋_GB2312"/>
          <w:color w:val="auto"/>
          <w:sz w:val="24"/>
          <w:u w:val="single"/>
        </w:rPr>
        <w:t xml:space="preserve">     年   月   日   </w:t>
      </w:r>
    </w:p>
    <w:p w14:paraId="4C1BFCB0">
      <w:pPr>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根据《中华人民共和国政府采购法》、《中华人民共和国民法典》等法律、法规规定，按照招标文件规定条款和乙方投标文件及其承诺，甲乙双方签订本合同。</w:t>
      </w:r>
    </w:p>
    <w:p w14:paraId="462FBAFA">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第一条　合同标的</w:t>
      </w:r>
    </w:p>
    <w:p w14:paraId="20FF750C">
      <w:pPr>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1、供货一览表</w:t>
      </w:r>
    </w:p>
    <w:tbl>
      <w:tblPr>
        <w:tblStyle w:val="51"/>
        <w:tblW w:w="95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171"/>
        <w:gridCol w:w="1100"/>
        <w:gridCol w:w="1006"/>
        <w:gridCol w:w="1126"/>
        <w:gridCol w:w="876"/>
        <w:gridCol w:w="865"/>
        <w:gridCol w:w="1379"/>
        <w:gridCol w:w="1376"/>
      </w:tblGrid>
      <w:tr w14:paraId="0C51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rPr>
        <w:tc>
          <w:tcPr>
            <w:tcW w:w="617" w:type="dxa"/>
            <w:vAlign w:val="center"/>
          </w:tcPr>
          <w:p w14:paraId="76C17213">
            <w:pPr>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1171" w:type="dxa"/>
            <w:vAlign w:val="center"/>
          </w:tcPr>
          <w:p w14:paraId="54A78B49">
            <w:pPr>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产品名称</w:t>
            </w:r>
          </w:p>
        </w:tc>
        <w:tc>
          <w:tcPr>
            <w:tcW w:w="1100" w:type="dxa"/>
            <w:vAlign w:val="center"/>
          </w:tcPr>
          <w:p w14:paraId="20141233">
            <w:pPr>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商标品牌</w:t>
            </w:r>
          </w:p>
        </w:tc>
        <w:tc>
          <w:tcPr>
            <w:tcW w:w="1006" w:type="dxa"/>
            <w:vAlign w:val="center"/>
          </w:tcPr>
          <w:p w14:paraId="104C7CDB">
            <w:pPr>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规格型号</w:t>
            </w:r>
          </w:p>
        </w:tc>
        <w:tc>
          <w:tcPr>
            <w:tcW w:w="1126" w:type="dxa"/>
            <w:vAlign w:val="center"/>
          </w:tcPr>
          <w:p w14:paraId="2C608011">
            <w:pPr>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生产厂家</w:t>
            </w:r>
          </w:p>
        </w:tc>
        <w:tc>
          <w:tcPr>
            <w:tcW w:w="876" w:type="dxa"/>
            <w:vAlign w:val="center"/>
          </w:tcPr>
          <w:p w14:paraId="28127E05">
            <w:pPr>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数量</w:t>
            </w:r>
          </w:p>
        </w:tc>
        <w:tc>
          <w:tcPr>
            <w:tcW w:w="865" w:type="dxa"/>
            <w:vAlign w:val="center"/>
          </w:tcPr>
          <w:p w14:paraId="6F118B26">
            <w:pPr>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单位</w:t>
            </w:r>
          </w:p>
        </w:tc>
        <w:tc>
          <w:tcPr>
            <w:tcW w:w="1379" w:type="dxa"/>
            <w:vAlign w:val="center"/>
          </w:tcPr>
          <w:p w14:paraId="76DE3B6A">
            <w:pPr>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单价（元）</w:t>
            </w:r>
          </w:p>
        </w:tc>
        <w:tc>
          <w:tcPr>
            <w:tcW w:w="1376" w:type="dxa"/>
            <w:vAlign w:val="center"/>
          </w:tcPr>
          <w:p w14:paraId="63968C83">
            <w:pPr>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金额（元）</w:t>
            </w:r>
          </w:p>
        </w:tc>
      </w:tr>
      <w:tr w14:paraId="6ADD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617" w:type="dxa"/>
            <w:vAlign w:val="center"/>
          </w:tcPr>
          <w:p w14:paraId="35541DD1">
            <w:pPr>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171" w:type="dxa"/>
            <w:vAlign w:val="center"/>
          </w:tcPr>
          <w:p w14:paraId="5C0F4F4A">
            <w:pPr>
              <w:snapToGrid w:val="0"/>
              <w:spacing w:line="320" w:lineRule="exact"/>
              <w:jc w:val="center"/>
              <w:rPr>
                <w:rFonts w:ascii="仿宋_GB2312" w:hAnsi="仿宋_GB2312" w:eastAsia="仿宋_GB2312" w:cs="仿宋_GB2312"/>
                <w:color w:val="auto"/>
                <w:sz w:val="24"/>
              </w:rPr>
            </w:pPr>
          </w:p>
        </w:tc>
        <w:tc>
          <w:tcPr>
            <w:tcW w:w="1100" w:type="dxa"/>
            <w:vAlign w:val="center"/>
          </w:tcPr>
          <w:p w14:paraId="7AE0FEB0">
            <w:pPr>
              <w:snapToGrid w:val="0"/>
              <w:spacing w:line="320" w:lineRule="exact"/>
              <w:jc w:val="center"/>
              <w:rPr>
                <w:rFonts w:ascii="仿宋_GB2312" w:hAnsi="仿宋_GB2312" w:eastAsia="仿宋_GB2312" w:cs="仿宋_GB2312"/>
                <w:color w:val="auto"/>
                <w:sz w:val="24"/>
              </w:rPr>
            </w:pPr>
          </w:p>
        </w:tc>
        <w:tc>
          <w:tcPr>
            <w:tcW w:w="1006" w:type="dxa"/>
            <w:vAlign w:val="center"/>
          </w:tcPr>
          <w:p w14:paraId="756EB00C">
            <w:pPr>
              <w:snapToGrid w:val="0"/>
              <w:spacing w:line="320" w:lineRule="exact"/>
              <w:jc w:val="center"/>
              <w:rPr>
                <w:rFonts w:ascii="仿宋_GB2312" w:hAnsi="仿宋_GB2312" w:eastAsia="仿宋_GB2312" w:cs="仿宋_GB2312"/>
                <w:color w:val="auto"/>
                <w:sz w:val="24"/>
              </w:rPr>
            </w:pPr>
          </w:p>
        </w:tc>
        <w:tc>
          <w:tcPr>
            <w:tcW w:w="1126" w:type="dxa"/>
            <w:vAlign w:val="center"/>
          </w:tcPr>
          <w:p w14:paraId="33C382D9">
            <w:pPr>
              <w:snapToGrid w:val="0"/>
              <w:spacing w:line="320" w:lineRule="exact"/>
              <w:jc w:val="center"/>
              <w:rPr>
                <w:rFonts w:ascii="仿宋_GB2312" w:hAnsi="仿宋_GB2312" w:eastAsia="仿宋_GB2312" w:cs="仿宋_GB2312"/>
                <w:color w:val="auto"/>
                <w:sz w:val="24"/>
              </w:rPr>
            </w:pPr>
          </w:p>
        </w:tc>
        <w:tc>
          <w:tcPr>
            <w:tcW w:w="876" w:type="dxa"/>
            <w:vAlign w:val="center"/>
          </w:tcPr>
          <w:p w14:paraId="656129C1">
            <w:pPr>
              <w:snapToGrid w:val="0"/>
              <w:spacing w:line="320" w:lineRule="exact"/>
              <w:jc w:val="center"/>
              <w:rPr>
                <w:rFonts w:ascii="仿宋_GB2312" w:hAnsi="仿宋_GB2312" w:eastAsia="仿宋_GB2312" w:cs="仿宋_GB2312"/>
                <w:color w:val="auto"/>
                <w:sz w:val="24"/>
              </w:rPr>
            </w:pPr>
          </w:p>
        </w:tc>
        <w:tc>
          <w:tcPr>
            <w:tcW w:w="865" w:type="dxa"/>
            <w:vAlign w:val="center"/>
          </w:tcPr>
          <w:p w14:paraId="2ABE534F">
            <w:pPr>
              <w:snapToGrid w:val="0"/>
              <w:spacing w:line="320" w:lineRule="exact"/>
              <w:jc w:val="center"/>
              <w:rPr>
                <w:rFonts w:ascii="仿宋_GB2312" w:hAnsi="仿宋_GB2312" w:eastAsia="仿宋_GB2312" w:cs="仿宋_GB2312"/>
                <w:color w:val="auto"/>
                <w:sz w:val="24"/>
              </w:rPr>
            </w:pPr>
          </w:p>
        </w:tc>
        <w:tc>
          <w:tcPr>
            <w:tcW w:w="1379" w:type="dxa"/>
            <w:vAlign w:val="center"/>
          </w:tcPr>
          <w:p w14:paraId="43B53944">
            <w:pPr>
              <w:snapToGrid w:val="0"/>
              <w:spacing w:line="320" w:lineRule="exact"/>
              <w:jc w:val="center"/>
              <w:rPr>
                <w:rFonts w:ascii="仿宋_GB2312" w:hAnsi="仿宋_GB2312" w:eastAsia="仿宋_GB2312" w:cs="仿宋_GB2312"/>
                <w:color w:val="auto"/>
                <w:sz w:val="24"/>
              </w:rPr>
            </w:pPr>
          </w:p>
        </w:tc>
        <w:tc>
          <w:tcPr>
            <w:tcW w:w="1376" w:type="dxa"/>
            <w:vAlign w:val="center"/>
          </w:tcPr>
          <w:p w14:paraId="3DCB5334">
            <w:pPr>
              <w:snapToGrid w:val="0"/>
              <w:spacing w:line="320" w:lineRule="exact"/>
              <w:jc w:val="center"/>
              <w:rPr>
                <w:rFonts w:ascii="仿宋_GB2312" w:hAnsi="仿宋_GB2312" w:eastAsia="仿宋_GB2312" w:cs="仿宋_GB2312"/>
                <w:color w:val="auto"/>
                <w:sz w:val="24"/>
              </w:rPr>
            </w:pPr>
          </w:p>
        </w:tc>
      </w:tr>
      <w:tr w14:paraId="5403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617" w:type="dxa"/>
            <w:vAlign w:val="center"/>
          </w:tcPr>
          <w:p w14:paraId="65AFCB78">
            <w:pPr>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171" w:type="dxa"/>
            <w:vAlign w:val="center"/>
          </w:tcPr>
          <w:p w14:paraId="566D6F4C">
            <w:pPr>
              <w:snapToGrid w:val="0"/>
              <w:spacing w:line="320" w:lineRule="exact"/>
              <w:jc w:val="center"/>
              <w:rPr>
                <w:rFonts w:ascii="仿宋_GB2312" w:hAnsi="仿宋_GB2312" w:eastAsia="仿宋_GB2312" w:cs="仿宋_GB2312"/>
                <w:color w:val="auto"/>
                <w:sz w:val="24"/>
              </w:rPr>
            </w:pPr>
          </w:p>
        </w:tc>
        <w:tc>
          <w:tcPr>
            <w:tcW w:w="1100" w:type="dxa"/>
            <w:vAlign w:val="center"/>
          </w:tcPr>
          <w:p w14:paraId="0303E839">
            <w:pPr>
              <w:snapToGrid w:val="0"/>
              <w:spacing w:line="320" w:lineRule="exact"/>
              <w:jc w:val="center"/>
              <w:rPr>
                <w:rFonts w:ascii="仿宋_GB2312" w:hAnsi="仿宋_GB2312" w:eastAsia="仿宋_GB2312" w:cs="仿宋_GB2312"/>
                <w:color w:val="auto"/>
                <w:sz w:val="24"/>
              </w:rPr>
            </w:pPr>
          </w:p>
        </w:tc>
        <w:tc>
          <w:tcPr>
            <w:tcW w:w="1006" w:type="dxa"/>
            <w:vAlign w:val="center"/>
          </w:tcPr>
          <w:p w14:paraId="03B563EB">
            <w:pPr>
              <w:snapToGrid w:val="0"/>
              <w:spacing w:line="320" w:lineRule="exact"/>
              <w:jc w:val="center"/>
              <w:rPr>
                <w:rFonts w:ascii="仿宋_GB2312" w:hAnsi="仿宋_GB2312" w:eastAsia="仿宋_GB2312" w:cs="仿宋_GB2312"/>
                <w:color w:val="auto"/>
                <w:sz w:val="24"/>
              </w:rPr>
            </w:pPr>
          </w:p>
        </w:tc>
        <w:tc>
          <w:tcPr>
            <w:tcW w:w="1126" w:type="dxa"/>
            <w:vAlign w:val="center"/>
          </w:tcPr>
          <w:p w14:paraId="1C7EF9DF">
            <w:pPr>
              <w:snapToGrid w:val="0"/>
              <w:spacing w:line="320" w:lineRule="exact"/>
              <w:jc w:val="center"/>
              <w:rPr>
                <w:rFonts w:ascii="仿宋_GB2312" w:hAnsi="仿宋_GB2312" w:eastAsia="仿宋_GB2312" w:cs="仿宋_GB2312"/>
                <w:color w:val="auto"/>
                <w:sz w:val="24"/>
              </w:rPr>
            </w:pPr>
          </w:p>
        </w:tc>
        <w:tc>
          <w:tcPr>
            <w:tcW w:w="876" w:type="dxa"/>
            <w:vAlign w:val="center"/>
          </w:tcPr>
          <w:p w14:paraId="5EC380B1">
            <w:pPr>
              <w:snapToGrid w:val="0"/>
              <w:spacing w:line="320" w:lineRule="exact"/>
              <w:jc w:val="center"/>
              <w:rPr>
                <w:rFonts w:ascii="仿宋_GB2312" w:hAnsi="仿宋_GB2312" w:eastAsia="仿宋_GB2312" w:cs="仿宋_GB2312"/>
                <w:color w:val="auto"/>
                <w:sz w:val="24"/>
              </w:rPr>
            </w:pPr>
          </w:p>
        </w:tc>
        <w:tc>
          <w:tcPr>
            <w:tcW w:w="865" w:type="dxa"/>
            <w:vAlign w:val="center"/>
          </w:tcPr>
          <w:p w14:paraId="68134938">
            <w:pPr>
              <w:snapToGrid w:val="0"/>
              <w:spacing w:line="320" w:lineRule="exact"/>
              <w:jc w:val="center"/>
              <w:rPr>
                <w:rFonts w:ascii="仿宋_GB2312" w:hAnsi="仿宋_GB2312" w:eastAsia="仿宋_GB2312" w:cs="仿宋_GB2312"/>
                <w:color w:val="auto"/>
                <w:sz w:val="24"/>
              </w:rPr>
            </w:pPr>
          </w:p>
        </w:tc>
        <w:tc>
          <w:tcPr>
            <w:tcW w:w="1379" w:type="dxa"/>
            <w:vAlign w:val="center"/>
          </w:tcPr>
          <w:p w14:paraId="3DE4C06B">
            <w:pPr>
              <w:snapToGrid w:val="0"/>
              <w:spacing w:line="320" w:lineRule="exact"/>
              <w:jc w:val="center"/>
              <w:rPr>
                <w:rFonts w:ascii="仿宋_GB2312" w:hAnsi="仿宋_GB2312" w:eastAsia="仿宋_GB2312" w:cs="仿宋_GB2312"/>
                <w:color w:val="auto"/>
                <w:sz w:val="24"/>
              </w:rPr>
            </w:pPr>
          </w:p>
        </w:tc>
        <w:tc>
          <w:tcPr>
            <w:tcW w:w="1376" w:type="dxa"/>
            <w:vAlign w:val="center"/>
          </w:tcPr>
          <w:p w14:paraId="6360D142">
            <w:pPr>
              <w:snapToGrid w:val="0"/>
              <w:spacing w:line="320" w:lineRule="exact"/>
              <w:jc w:val="center"/>
              <w:rPr>
                <w:rFonts w:ascii="仿宋_GB2312" w:hAnsi="仿宋_GB2312" w:eastAsia="仿宋_GB2312" w:cs="仿宋_GB2312"/>
                <w:color w:val="auto"/>
                <w:sz w:val="24"/>
              </w:rPr>
            </w:pPr>
          </w:p>
        </w:tc>
      </w:tr>
      <w:tr w14:paraId="5E42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trPr>
        <w:tc>
          <w:tcPr>
            <w:tcW w:w="617" w:type="dxa"/>
            <w:vAlign w:val="center"/>
          </w:tcPr>
          <w:p w14:paraId="3B71ECFC">
            <w:pPr>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c>
          <w:tcPr>
            <w:tcW w:w="1171" w:type="dxa"/>
            <w:vAlign w:val="center"/>
          </w:tcPr>
          <w:p w14:paraId="62E48773">
            <w:pPr>
              <w:snapToGrid w:val="0"/>
              <w:spacing w:line="320" w:lineRule="exact"/>
              <w:jc w:val="center"/>
              <w:rPr>
                <w:rFonts w:ascii="仿宋_GB2312" w:hAnsi="仿宋_GB2312" w:eastAsia="仿宋_GB2312" w:cs="仿宋_GB2312"/>
                <w:color w:val="auto"/>
                <w:sz w:val="24"/>
              </w:rPr>
            </w:pPr>
          </w:p>
        </w:tc>
        <w:tc>
          <w:tcPr>
            <w:tcW w:w="1100" w:type="dxa"/>
            <w:vAlign w:val="center"/>
          </w:tcPr>
          <w:p w14:paraId="68CE72BD">
            <w:pPr>
              <w:snapToGrid w:val="0"/>
              <w:spacing w:line="320" w:lineRule="exact"/>
              <w:jc w:val="center"/>
              <w:rPr>
                <w:rFonts w:ascii="仿宋_GB2312" w:hAnsi="仿宋_GB2312" w:eastAsia="仿宋_GB2312" w:cs="仿宋_GB2312"/>
                <w:color w:val="auto"/>
                <w:sz w:val="24"/>
              </w:rPr>
            </w:pPr>
          </w:p>
        </w:tc>
        <w:tc>
          <w:tcPr>
            <w:tcW w:w="1006" w:type="dxa"/>
            <w:vAlign w:val="center"/>
          </w:tcPr>
          <w:p w14:paraId="6CDB848C">
            <w:pPr>
              <w:snapToGrid w:val="0"/>
              <w:spacing w:line="320" w:lineRule="exact"/>
              <w:jc w:val="center"/>
              <w:rPr>
                <w:rFonts w:ascii="仿宋_GB2312" w:hAnsi="仿宋_GB2312" w:eastAsia="仿宋_GB2312" w:cs="仿宋_GB2312"/>
                <w:color w:val="auto"/>
                <w:sz w:val="24"/>
              </w:rPr>
            </w:pPr>
          </w:p>
        </w:tc>
        <w:tc>
          <w:tcPr>
            <w:tcW w:w="1126" w:type="dxa"/>
            <w:vAlign w:val="center"/>
          </w:tcPr>
          <w:p w14:paraId="04410450">
            <w:pPr>
              <w:snapToGrid w:val="0"/>
              <w:spacing w:line="320" w:lineRule="exact"/>
              <w:jc w:val="center"/>
              <w:rPr>
                <w:rFonts w:ascii="仿宋_GB2312" w:hAnsi="仿宋_GB2312" w:eastAsia="仿宋_GB2312" w:cs="仿宋_GB2312"/>
                <w:color w:val="auto"/>
                <w:sz w:val="24"/>
              </w:rPr>
            </w:pPr>
          </w:p>
        </w:tc>
        <w:tc>
          <w:tcPr>
            <w:tcW w:w="876" w:type="dxa"/>
            <w:vAlign w:val="center"/>
          </w:tcPr>
          <w:p w14:paraId="33DAB917">
            <w:pPr>
              <w:snapToGrid w:val="0"/>
              <w:spacing w:line="320" w:lineRule="exact"/>
              <w:jc w:val="center"/>
              <w:rPr>
                <w:rFonts w:ascii="仿宋_GB2312" w:hAnsi="仿宋_GB2312" w:eastAsia="仿宋_GB2312" w:cs="仿宋_GB2312"/>
                <w:color w:val="auto"/>
                <w:sz w:val="24"/>
              </w:rPr>
            </w:pPr>
          </w:p>
        </w:tc>
        <w:tc>
          <w:tcPr>
            <w:tcW w:w="865" w:type="dxa"/>
            <w:vAlign w:val="center"/>
          </w:tcPr>
          <w:p w14:paraId="04FADEAC">
            <w:pPr>
              <w:snapToGrid w:val="0"/>
              <w:spacing w:line="320" w:lineRule="exact"/>
              <w:jc w:val="center"/>
              <w:rPr>
                <w:rFonts w:ascii="仿宋_GB2312" w:hAnsi="仿宋_GB2312" w:eastAsia="仿宋_GB2312" w:cs="仿宋_GB2312"/>
                <w:color w:val="auto"/>
                <w:sz w:val="24"/>
              </w:rPr>
            </w:pPr>
          </w:p>
        </w:tc>
        <w:tc>
          <w:tcPr>
            <w:tcW w:w="1379" w:type="dxa"/>
            <w:vAlign w:val="center"/>
          </w:tcPr>
          <w:p w14:paraId="10F1F35F">
            <w:pPr>
              <w:snapToGrid w:val="0"/>
              <w:spacing w:line="320" w:lineRule="exact"/>
              <w:jc w:val="center"/>
              <w:rPr>
                <w:rFonts w:ascii="仿宋_GB2312" w:hAnsi="仿宋_GB2312" w:eastAsia="仿宋_GB2312" w:cs="仿宋_GB2312"/>
                <w:color w:val="auto"/>
                <w:sz w:val="24"/>
              </w:rPr>
            </w:pPr>
          </w:p>
        </w:tc>
        <w:tc>
          <w:tcPr>
            <w:tcW w:w="1376" w:type="dxa"/>
            <w:vAlign w:val="center"/>
          </w:tcPr>
          <w:p w14:paraId="2B0056ED">
            <w:pPr>
              <w:snapToGrid w:val="0"/>
              <w:spacing w:line="320" w:lineRule="exact"/>
              <w:jc w:val="center"/>
              <w:rPr>
                <w:rFonts w:ascii="仿宋_GB2312" w:hAnsi="仿宋_GB2312" w:eastAsia="仿宋_GB2312" w:cs="仿宋_GB2312"/>
                <w:color w:val="auto"/>
                <w:sz w:val="24"/>
              </w:rPr>
            </w:pPr>
          </w:p>
        </w:tc>
      </w:tr>
      <w:tr w14:paraId="7DBB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617" w:type="dxa"/>
            <w:vAlign w:val="center"/>
          </w:tcPr>
          <w:p w14:paraId="2CAF94CC">
            <w:pPr>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N</w:t>
            </w:r>
          </w:p>
        </w:tc>
        <w:tc>
          <w:tcPr>
            <w:tcW w:w="1171" w:type="dxa"/>
            <w:vAlign w:val="center"/>
          </w:tcPr>
          <w:p w14:paraId="187ADB05">
            <w:pPr>
              <w:snapToGrid w:val="0"/>
              <w:spacing w:line="320" w:lineRule="exact"/>
              <w:jc w:val="center"/>
              <w:rPr>
                <w:rFonts w:ascii="仿宋_GB2312" w:hAnsi="仿宋_GB2312" w:eastAsia="仿宋_GB2312" w:cs="仿宋_GB2312"/>
                <w:color w:val="auto"/>
                <w:sz w:val="24"/>
              </w:rPr>
            </w:pPr>
          </w:p>
        </w:tc>
        <w:tc>
          <w:tcPr>
            <w:tcW w:w="1100" w:type="dxa"/>
            <w:vAlign w:val="center"/>
          </w:tcPr>
          <w:p w14:paraId="062E3608">
            <w:pPr>
              <w:snapToGrid w:val="0"/>
              <w:spacing w:line="320" w:lineRule="exact"/>
              <w:jc w:val="center"/>
              <w:rPr>
                <w:rFonts w:ascii="仿宋_GB2312" w:hAnsi="仿宋_GB2312" w:eastAsia="仿宋_GB2312" w:cs="仿宋_GB2312"/>
                <w:color w:val="auto"/>
                <w:sz w:val="24"/>
              </w:rPr>
            </w:pPr>
          </w:p>
        </w:tc>
        <w:tc>
          <w:tcPr>
            <w:tcW w:w="1006" w:type="dxa"/>
            <w:vAlign w:val="center"/>
          </w:tcPr>
          <w:p w14:paraId="3388ED2F">
            <w:pPr>
              <w:snapToGrid w:val="0"/>
              <w:spacing w:line="320" w:lineRule="exact"/>
              <w:jc w:val="center"/>
              <w:rPr>
                <w:rFonts w:ascii="仿宋_GB2312" w:hAnsi="仿宋_GB2312" w:eastAsia="仿宋_GB2312" w:cs="仿宋_GB2312"/>
                <w:color w:val="auto"/>
                <w:sz w:val="24"/>
              </w:rPr>
            </w:pPr>
          </w:p>
        </w:tc>
        <w:tc>
          <w:tcPr>
            <w:tcW w:w="1126" w:type="dxa"/>
            <w:vAlign w:val="center"/>
          </w:tcPr>
          <w:p w14:paraId="61273BA7">
            <w:pPr>
              <w:snapToGrid w:val="0"/>
              <w:spacing w:line="320" w:lineRule="exact"/>
              <w:jc w:val="center"/>
              <w:rPr>
                <w:rFonts w:ascii="仿宋_GB2312" w:hAnsi="仿宋_GB2312" w:eastAsia="仿宋_GB2312" w:cs="仿宋_GB2312"/>
                <w:color w:val="auto"/>
                <w:sz w:val="24"/>
              </w:rPr>
            </w:pPr>
          </w:p>
        </w:tc>
        <w:tc>
          <w:tcPr>
            <w:tcW w:w="876" w:type="dxa"/>
            <w:vAlign w:val="center"/>
          </w:tcPr>
          <w:p w14:paraId="7B8F33CB">
            <w:pPr>
              <w:snapToGrid w:val="0"/>
              <w:spacing w:line="320" w:lineRule="exact"/>
              <w:jc w:val="center"/>
              <w:rPr>
                <w:rFonts w:ascii="仿宋_GB2312" w:hAnsi="仿宋_GB2312" w:eastAsia="仿宋_GB2312" w:cs="仿宋_GB2312"/>
                <w:color w:val="auto"/>
                <w:sz w:val="24"/>
              </w:rPr>
            </w:pPr>
          </w:p>
        </w:tc>
        <w:tc>
          <w:tcPr>
            <w:tcW w:w="865" w:type="dxa"/>
            <w:vAlign w:val="center"/>
          </w:tcPr>
          <w:p w14:paraId="38ED1909">
            <w:pPr>
              <w:snapToGrid w:val="0"/>
              <w:spacing w:line="320" w:lineRule="exact"/>
              <w:jc w:val="center"/>
              <w:rPr>
                <w:rFonts w:ascii="仿宋_GB2312" w:hAnsi="仿宋_GB2312" w:eastAsia="仿宋_GB2312" w:cs="仿宋_GB2312"/>
                <w:color w:val="auto"/>
                <w:sz w:val="24"/>
              </w:rPr>
            </w:pPr>
          </w:p>
        </w:tc>
        <w:tc>
          <w:tcPr>
            <w:tcW w:w="1379" w:type="dxa"/>
            <w:vAlign w:val="center"/>
          </w:tcPr>
          <w:p w14:paraId="6F179550">
            <w:pPr>
              <w:snapToGrid w:val="0"/>
              <w:spacing w:line="320" w:lineRule="exact"/>
              <w:jc w:val="center"/>
              <w:rPr>
                <w:rFonts w:ascii="仿宋_GB2312" w:hAnsi="仿宋_GB2312" w:eastAsia="仿宋_GB2312" w:cs="仿宋_GB2312"/>
                <w:color w:val="auto"/>
                <w:sz w:val="24"/>
              </w:rPr>
            </w:pPr>
          </w:p>
        </w:tc>
        <w:tc>
          <w:tcPr>
            <w:tcW w:w="1376" w:type="dxa"/>
            <w:vAlign w:val="center"/>
          </w:tcPr>
          <w:p w14:paraId="7E3C21F7">
            <w:pPr>
              <w:snapToGrid w:val="0"/>
              <w:spacing w:line="320" w:lineRule="exact"/>
              <w:jc w:val="center"/>
              <w:rPr>
                <w:rFonts w:ascii="仿宋_GB2312" w:hAnsi="仿宋_GB2312" w:eastAsia="仿宋_GB2312" w:cs="仿宋_GB2312"/>
                <w:color w:val="auto"/>
                <w:sz w:val="24"/>
              </w:rPr>
            </w:pPr>
          </w:p>
        </w:tc>
      </w:tr>
      <w:tr w14:paraId="2046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9516" w:type="dxa"/>
            <w:gridSpan w:val="9"/>
            <w:vAlign w:val="center"/>
          </w:tcPr>
          <w:p w14:paraId="662C365C">
            <w:pPr>
              <w:snapToGrid w:val="0"/>
              <w:spacing w:line="32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人民币合计金额（大写） ：                         （小写）：¥</w:t>
            </w:r>
            <w:r>
              <w:rPr>
                <w:rFonts w:hint="eastAsia" w:ascii="仿宋_GB2312" w:hAnsi="仿宋_GB2312" w:eastAsia="仿宋_GB2312" w:cs="仿宋_GB2312"/>
                <w:color w:val="auto"/>
                <w:sz w:val="24"/>
                <w:u w:val="single"/>
              </w:rPr>
              <w:t xml:space="preserve">               </w:t>
            </w:r>
          </w:p>
        </w:tc>
      </w:tr>
    </w:tbl>
    <w:p w14:paraId="43CB85E3">
      <w:pPr>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合同金额包含本项目所有服务费用、所有系统部分、随配附件、备品备件、包装、运输、装卸、安装 （含提供必要的辅材）、售后服务、培训、管理、利润、税金、保险、差旅、人工、版权使用费（如有）、 履约验收相关费用、协调以及所有的不定因素的风险等其他所有成本费用的总和，甲方不再支付其他任何费用。</w:t>
      </w:r>
    </w:p>
    <w:p w14:paraId="150856DA">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第二条　质量保证</w:t>
      </w:r>
    </w:p>
    <w:p w14:paraId="00EB94EA">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1、乙方提供货物/服务符合国家标准。</w:t>
      </w:r>
    </w:p>
    <w:p w14:paraId="627A8962">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2、保证甲方所采购的货物及服务质量。</w:t>
      </w:r>
    </w:p>
    <w:p w14:paraId="3BE07711">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甲方可以提出兼容性测试要求，乙方须积极响应，并完成安装调试后7天内完成相关兼容性测试，达到无功能缺失的程度。如测试结果与“技术参数配置要求”中的相关要求不符、有功能缺失，则可以认为乙方有虚假应标行为，并依据相关法律规定追究乙方的责任，按照相关国家要求严肃处理，造成的损失由乙方承担。</w:t>
      </w:r>
    </w:p>
    <w:p w14:paraId="22A3A390">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3、甲方有权按照合同约定或有关法律法规，对乙方服务进行监督和检查，有权要求乙方按照监督检查情况制定相应措施并加以整改。</w:t>
      </w:r>
    </w:p>
    <w:p w14:paraId="75B4894E">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 xml:space="preserve">4、乙方须为甲方提供服务期内的项目整体质保。软件质保内容主要包括：软件性能缺陷改正，即在软件使用过程中纠正软件错误及调整优化软件配置等。 </w:t>
      </w:r>
    </w:p>
    <w:p w14:paraId="47FEF0D8">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 xml:space="preserve">5、软件系统免费维护到期后的服务，年度维护服务费收取费用为合同额的 5%以内。（另行商定除外） </w:t>
      </w:r>
    </w:p>
    <w:p w14:paraId="696CD834">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6、乙方以他人名义投标或者以其他方式弄虚作假，骗取中标的，中标无效，给甲方造成损失的，依法承担赔偿责任，甲方有权追究其相应的法律责任；构成犯罪的，依法追究刑事责任。</w:t>
      </w:r>
    </w:p>
    <w:p w14:paraId="72F8BB40">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第三条　交付期和质保期</w:t>
      </w:r>
    </w:p>
    <w:p w14:paraId="0AF26FA2">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1、交付期：</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，服务时间和地点：</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w:t>
      </w:r>
    </w:p>
    <w:p w14:paraId="76D81AC5">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2、质保期：以项目整体验收合格签订的“验收报告”之日起算，乙方对该验收的项目提供质保期3年。</w:t>
      </w:r>
    </w:p>
    <w:p w14:paraId="51B0493C">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3.质保期内服务要求：</w:t>
      </w:r>
    </w:p>
    <w:p w14:paraId="12261CC3">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乙方负责维护服务工作。在质保期内为本项目软硬件的业务功能正常运行提供技术保障，在接到甲方系统故障报修通知后，及时为采购人提出解决问题的建议。接到报修通知后，一般问题8小时内通过远程方式解决；无法远程解决的大故障，应在接到报修通知后的24小时内派技术人员到达现场处理；到达现场后故障处理时限不超过48小时，如果超过故障处理时限，应免费提供同等质量的产品作为备用品供采购人使用，直至故障系统修复。</w:t>
      </w:r>
    </w:p>
    <w:p w14:paraId="43A0B015">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第四条　货物及服务的验收</w:t>
      </w:r>
    </w:p>
    <w:p w14:paraId="0AE85511">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1、履约验收标准 </w:t>
      </w:r>
    </w:p>
    <w:p w14:paraId="45DDE20F">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甲乙双方应根据《广西壮族自治区政府采购项目履约验收管理办法》，按照采购合同、招标文件、投标文件规定的要求以及国家、行业有关技术标准进行验收，乙方按投标文件的承诺向甲方提供相应的服务及技术资料。</w:t>
      </w:r>
    </w:p>
    <w:p w14:paraId="30091B5D">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2、履约验收内容 </w:t>
      </w:r>
    </w:p>
    <w:p w14:paraId="7C7D0D5E">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货物和服务质量、内容符合采购合同、招标文件、投标文件规定的要求。 </w:t>
      </w:r>
    </w:p>
    <w:p w14:paraId="1E929375">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3、履约验收方式 </w:t>
      </w:r>
    </w:p>
    <w:p w14:paraId="1274FD14">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本项目验收由本项目验收小组按照采购合同约定对技术和商务要求的履约情况进行确认。甲方委托第三方专业机构及专家参加项目验收的，验收费用由乙方负责。</w:t>
      </w:r>
    </w:p>
    <w:p w14:paraId="3AFCBA74">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4、履约验收结果</w:t>
      </w:r>
    </w:p>
    <w:p w14:paraId="1B68BD3E">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验收结束后，验收小组出具采购验收书，验收书应当包括技术和商务要求的履约情况，并列明项目总体评价，由验收小组、甲方和乙方共同签署。其验收结果以出具验收书结论为准，甲方和乙方共同签署确认。</w:t>
      </w:r>
    </w:p>
    <w:p w14:paraId="4C6C6017">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5、其他事项</w:t>
      </w:r>
    </w:p>
    <w:p w14:paraId="7CB6340B">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验收过程中如发现乙方提供的服务、服务质量或服务内容不满足采购合同、投标文件规定，甲方应以书面形式提出异议，乙方应自收到甲方书面异议后 15 日内给予回复并及时完善相关内容，提交相应的服务成果，经甲方验收合格后，方可付款。</w:t>
      </w:r>
    </w:p>
    <w:p w14:paraId="70C1C74F">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第五条　付款方式</w:t>
      </w:r>
    </w:p>
    <w:p w14:paraId="179F09C5">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财政性资金按财政国库集中支付规定程序办理。</w:t>
      </w:r>
    </w:p>
    <w:p w14:paraId="036D0C90">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货物安装调试完毕并验收合格交付使用后，采购人在收到中标人开具的合同总价款增值税专用发票之日起10个工作日内向中标人指定账户付清合同价款(不计利息)。</w:t>
      </w:r>
    </w:p>
    <w:p w14:paraId="7F5E915D">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注：资金支付等事项按照《保障中小企业款项支付条例》（国务院令第802号）、《广西壮族自治区财政厅关于持续优化政府采购营商环境推动高质量发展的通知》等要求执行。</w:t>
      </w:r>
    </w:p>
    <w:p w14:paraId="7D7AB1B9">
      <w:pPr>
        <w:numPr>
          <w:ilvl w:val="0"/>
          <w:numId w:val="5"/>
        </w:num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履约保证金</w:t>
      </w:r>
    </w:p>
    <w:p w14:paraId="55BB3D70">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1、履约保证金金额：</w:t>
      </w:r>
    </w:p>
    <w:p w14:paraId="474C72B8">
      <w:pPr>
        <w:ind w:firstLine="0" w:firstLineChars="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w:t>
      </w:r>
      <w:r>
        <w:rPr>
          <w:rFonts w:hint="eastAsia" w:ascii="仿宋_GB2312" w:hAnsi="仿宋_GB2312" w:eastAsia="仿宋_GB2312" w:cs="仿宋_GB2312"/>
          <w:bCs/>
          <w:color w:val="auto"/>
          <w:sz w:val="24"/>
          <w:lang w:val="en-US" w:eastAsia="zh-CN"/>
        </w:rPr>
        <w:t>大</w:t>
      </w:r>
      <w:r>
        <w:rPr>
          <w:rFonts w:hint="eastAsia" w:ascii="仿宋_GB2312" w:hAnsi="仿宋_GB2312" w:eastAsia="仿宋_GB2312" w:cs="仿宋_GB2312"/>
          <w:bCs/>
          <w:color w:val="auto"/>
          <w:sz w:val="24"/>
        </w:rPr>
        <w:t>型企业须缴纳履约保证金金额：合同金额的</w:t>
      </w:r>
      <w:r>
        <w:rPr>
          <w:rFonts w:hint="eastAsia" w:ascii="仿宋_GB2312" w:hAnsi="仿宋_GB2312" w:eastAsia="仿宋_GB2312" w:cs="仿宋_GB2312"/>
          <w:bCs/>
          <w:color w:val="auto"/>
          <w:sz w:val="24"/>
          <w:lang w:val="en-US" w:eastAsia="zh-CN"/>
        </w:rPr>
        <w:t>5</w:t>
      </w:r>
      <w:r>
        <w:rPr>
          <w:rFonts w:hint="eastAsia" w:ascii="仿宋_GB2312" w:hAnsi="仿宋_GB2312" w:eastAsia="仿宋_GB2312" w:cs="仿宋_GB2312"/>
          <w:bCs/>
          <w:color w:val="auto"/>
          <w:sz w:val="24"/>
        </w:rPr>
        <w:t>%</w:t>
      </w:r>
    </w:p>
    <w:p w14:paraId="301A207B">
      <w:pP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□中型企业须缴纳履约保证金金额：合同金额的2%</w:t>
      </w:r>
    </w:p>
    <w:p w14:paraId="355823AE">
      <w:pPr>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□小微企业或监狱企业或残疾人福利性单位：无须缴纳履约保证金</w:t>
      </w:r>
    </w:p>
    <w:p w14:paraId="6153260D">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2、履约保证金提交及退付方式、时间及条件：</w:t>
      </w:r>
    </w:p>
    <w:p w14:paraId="1FFE8843">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合同签订前2日内，乙方必须以银行转账、支票、汇票、本票或者银行、保险机构出具的保函、保险等非现金方式提交履约保证金。履约保证金在验收合格交付之日后，且在收到乙方退回履约保证金函件后5个工作日内，由甲方办理履约保证金退还手续（不计息）。</w:t>
      </w:r>
    </w:p>
    <w:p w14:paraId="2F41B849">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履约保证金账户：</w:t>
      </w:r>
    </w:p>
    <w:p w14:paraId="218839CD">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名  称：柳州职业技术大学</w:t>
      </w:r>
    </w:p>
    <w:p w14:paraId="0CB59EC4">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开户行：交通银行西江支行</w:t>
      </w:r>
    </w:p>
    <w:p w14:paraId="530A9C29">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账  号：452060600018120020185</w:t>
      </w:r>
    </w:p>
    <w:p w14:paraId="2A2EC711">
      <w:pPr>
        <w:ind w:firstLine="480" w:firstLineChars="200"/>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rPr>
        <w:t>转账时注明：柳州职业技术大学“新能源汽车数字商贸产教融合基地”软件部分采购项目，采购编号</w:t>
      </w:r>
      <w:r>
        <w:rPr>
          <w:rFonts w:hint="eastAsia" w:ascii="仿宋_GB2312" w:hAnsi="仿宋_GB2312" w:eastAsia="仿宋_GB2312" w:cs="仿宋_GB2312"/>
          <w:color w:val="auto"/>
          <w:sz w:val="24"/>
        </w:rPr>
        <w:t>LZZC2025-G1-990359-LZSZ（分标</w:t>
      </w:r>
      <w:r>
        <w:rPr>
          <w:rFonts w:hint="eastAsia" w:ascii="仿宋_GB2312" w:hAnsi="仿宋_GB2312" w:eastAsia="仿宋_GB2312" w:cs="仿宋_GB2312"/>
          <w:color w:val="auto"/>
          <w:sz w:val="24"/>
          <w:lang w:val="en-US" w:eastAsia="zh-CN"/>
        </w:rPr>
        <w:t>xx</w:t>
      </w:r>
      <w:r>
        <w:rPr>
          <w:rFonts w:hint="eastAsia" w:ascii="仿宋_GB2312" w:hAnsi="仿宋_GB2312" w:eastAsia="仿宋_GB2312" w:cs="仿宋_GB2312"/>
          <w:color w:val="auto"/>
          <w:sz w:val="24"/>
        </w:rPr>
        <w:t>）</w:t>
      </w:r>
      <w:r>
        <w:rPr>
          <w:rFonts w:hint="eastAsia" w:ascii="仿宋_GB2312" w:hAnsi="仿宋_GB2312" w:eastAsia="仿宋_GB2312" w:cs="仿宋_GB2312"/>
          <w:bCs/>
          <w:color w:val="auto"/>
          <w:sz w:val="24"/>
        </w:rPr>
        <w:t>履约保证金</w:t>
      </w:r>
      <w:r>
        <w:rPr>
          <w:rFonts w:hint="eastAsia" w:ascii="仿宋_GB2312" w:hAnsi="仿宋_GB2312" w:eastAsia="仿宋_GB2312" w:cs="仿宋_GB2312"/>
          <w:bCs/>
          <w:color w:val="auto"/>
          <w:sz w:val="24"/>
          <w:lang w:eastAsia="zh-CN"/>
        </w:rPr>
        <w:t>。</w:t>
      </w:r>
    </w:p>
    <w:p w14:paraId="3F916214">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3、乙方有下列情况之一的，甲方向乙方出具书面通知，乙方未能及时解决的，甲方可没收其全部履约保证金，并视具体情况按合同第九条处理：</w:t>
      </w:r>
    </w:p>
    <w:p w14:paraId="0FD0776D">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⑴乙方提供的货物规格、技术标准、材料未达到其响应文件所承诺的，导致无法通过验收交付使用的；</w:t>
      </w:r>
    </w:p>
    <w:p w14:paraId="4E9E57BE">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⑵乙方提供的货物经查证无法得到生产厂家正规售后服务的；</w:t>
      </w:r>
    </w:p>
    <w:p w14:paraId="500C2C90">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⑶乙方提供的货物未经正规合法经销渠道的；</w:t>
      </w:r>
    </w:p>
    <w:p w14:paraId="65F62DDF">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⑷乙方提供的货物侵犯了第三方合法权益而引发了纠纷或诉讼，导致无法按期交付使用的；</w:t>
      </w:r>
    </w:p>
    <w:p w14:paraId="409B2A28">
      <w:pPr>
        <w:ind w:firstLine="480" w:firstLineChars="200"/>
        <w:rPr>
          <w:rFonts w:ascii="仿宋_GB2312" w:hAnsi="仿宋_GB2312" w:eastAsia="仿宋_GB2312" w:cs="仿宋_GB2312"/>
          <w:bCs/>
          <w:color w:val="auto"/>
          <w:sz w:val="24"/>
        </w:rPr>
      </w:pPr>
      <w:r>
        <w:rPr>
          <w:rFonts w:hint="eastAsia" w:ascii="仿宋_GB2312" w:hAnsi="仿宋_GB2312" w:eastAsia="仿宋_GB2312" w:cs="仿宋_GB2312"/>
          <w:bCs/>
          <w:color w:val="auto"/>
          <w:sz w:val="24"/>
        </w:rPr>
        <w:t>⑸在货物试运行期间，故障率在10%及以上的。</w:t>
      </w:r>
    </w:p>
    <w:p w14:paraId="2D5CE9A9">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第七条  税费</w:t>
      </w:r>
    </w:p>
    <w:p w14:paraId="2F165CB3">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本合同执行中相关的一切税费均由乙方负担，合同另有约定的除外。</w:t>
      </w:r>
    </w:p>
    <w:p w14:paraId="5CA7CA3B">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第八条 售后服务</w:t>
      </w:r>
    </w:p>
    <w:p w14:paraId="4E33A74C">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乙方应按照国家有关法律法规和本合同所附的《售后服务承诺》要求为甲方提供相应的售后服务。</w:t>
      </w:r>
    </w:p>
    <w:p w14:paraId="65874C65">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1.系统培训：系统管理员及业务用户的分层次培训。应提供详细的培训计划，培训计划以双方协商为准，提供有关系统功能、安装、操作、维护和应用软件使用的文档和培训。对于所有培训，需派出具有相应专业资格或实际工作经验的技术人员进行培训，在此期间甲方不再向乙方支付培训产生的相关费用。 </w:t>
      </w:r>
    </w:p>
    <w:p w14:paraId="57AD082B">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2.系统开发：各子系统指定专人负责系统相关接口的开发和调试，及时维护数据接口，确保接口的安全，如接口升级须及时向甲方提交升级后的新接口，确保数据顺利对接。 </w:t>
      </w:r>
    </w:p>
    <w:p w14:paraId="3E792DD0">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3.实施阶段：乙方需要在项目实施启动前给出整体项目的整体实施计划书以及涉及的应急响应措施方案，须获得甲方认可和确认后，方能供货与实施。从项目开始进场及实施服务阶段起，乙方须派出专业团队实时对甲方，依据合同约定，对整体项目实施进行管理，实行周报、月报制度，有序推进项目建设。 </w:t>
      </w:r>
    </w:p>
    <w:p w14:paraId="2CC158AD">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4.适配性售后服务须符合采购合同、招标文件、投标文件规定的要求。</w:t>
      </w:r>
    </w:p>
    <w:p w14:paraId="227A22EB">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5.乙方需配齐满足本项目需要的基础网络互联辅材及安装和调试等。 </w:t>
      </w:r>
    </w:p>
    <w:p w14:paraId="08BD2B72">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6.质保期内，甲方新增的第三方业务系统及设备通过本项目所有系统进行对接时，乙方不收取任何接口费用</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rPr>
        <w:t xml:space="preserve"> </w:t>
      </w:r>
    </w:p>
    <w:p w14:paraId="05428FFB">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7.乙方向甲方提供的软件不涉及知识产权的变更和转让。</w:t>
      </w:r>
    </w:p>
    <w:p w14:paraId="248A209F">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第九条　违约责任</w:t>
      </w:r>
    </w:p>
    <w:p w14:paraId="50D54A58">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1、除不可抗力原因外，乙方未按照合同规定的时间交付/提供</w:t>
      </w:r>
      <w:r>
        <w:rPr>
          <w:rFonts w:hint="eastAsia" w:ascii="仿宋_GB2312" w:hAnsi="仿宋_GB2312" w:eastAsia="仿宋_GB2312" w:cs="仿宋_GB2312"/>
          <w:color w:val="auto"/>
          <w:sz w:val="24"/>
          <w:lang w:val="en-US" w:eastAsia="zh-CN"/>
        </w:rPr>
        <w:t>软件或</w:t>
      </w:r>
      <w:r>
        <w:rPr>
          <w:rFonts w:hint="eastAsia" w:ascii="仿宋_GB2312" w:hAnsi="仿宋_GB2312" w:eastAsia="仿宋_GB2312" w:cs="仿宋_GB2312"/>
          <w:color w:val="auto"/>
          <w:sz w:val="24"/>
        </w:rPr>
        <w:t>服务的（如乙方交付/提供的</w:t>
      </w:r>
      <w:r>
        <w:rPr>
          <w:rFonts w:hint="eastAsia" w:ascii="仿宋_GB2312" w:hAnsi="仿宋_GB2312" w:eastAsia="仿宋_GB2312" w:cs="仿宋_GB2312"/>
          <w:color w:val="auto"/>
          <w:sz w:val="24"/>
          <w:lang w:val="en-US" w:eastAsia="zh-CN"/>
        </w:rPr>
        <w:t>软件或</w:t>
      </w:r>
      <w:r>
        <w:rPr>
          <w:rFonts w:hint="eastAsia" w:ascii="仿宋_GB2312" w:hAnsi="仿宋_GB2312" w:eastAsia="仿宋_GB2312" w:cs="仿宋_GB2312"/>
          <w:color w:val="auto"/>
          <w:sz w:val="24"/>
        </w:rPr>
        <w:t>服务不合格，导致甲方未签署验收单或确认单，仍视为乙方未按</w:t>
      </w:r>
      <w:r>
        <w:rPr>
          <w:rFonts w:hint="eastAsia" w:ascii="仿宋_GB2312" w:hAnsi="仿宋_GB2312" w:eastAsia="仿宋_GB2312" w:cs="仿宋_GB2312"/>
          <w:color w:val="auto"/>
          <w:sz w:val="24"/>
          <w:lang w:val="en-US" w:eastAsia="zh-CN"/>
        </w:rPr>
        <w:t>合同</w:t>
      </w:r>
      <w:r>
        <w:rPr>
          <w:rFonts w:hint="eastAsia" w:ascii="仿宋_GB2312" w:hAnsi="仿宋_GB2312" w:eastAsia="仿宋_GB2312" w:cs="仿宋_GB2312"/>
          <w:color w:val="auto"/>
          <w:sz w:val="24"/>
        </w:rPr>
        <w:t>规定的时间交付/提供</w:t>
      </w:r>
      <w:r>
        <w:rPr>
          <w:rFonts w:hint="eastAsia" w:ascii="仿宋_GB2312" w:hAnsi="仿宋_GB2312" w:eastAsia="仿宋_GB2312" w:cs="仿宋_GB2312"/>
          <w:color w:val="auto"/>
          <w:sz w:val="24"/>
          <w:lang w:val="en-US" w:eastAsia="zh-CN"/>
        </w:rPr>
        <w:t>软件或</w:t>
      </w:r>
      <w:r>
        <w:rPr>
          <w:rFonts w:hint="eastAsia" w:ascii="仿宋_GB2312" w:hAnsi="仿宋_GB2312" w:eastAsia="仿宋_GB2312" w:cs="仿宋_GB2312"/>
          <w:color w:val="auto"/>
          <w:sz w:val="24"/>
        </w:rPr>
        <w:t>服务），甲方可要求乙方支付违约金。每推迟一天按合同金额的0.3‰支付违约金，该违约金累计不超过合同金额的10%。逾期交付超过30日的，甲方有权单方解除合同，乙方除支付前述违约金外，还应赔偿因此给甲方造成的全部损失（包括但不限于甲方另寻供应商所产生的额外费用等）。</w:t>
      </w:r>
    </w:p>
    <w:p w14:paraId="6A83513A">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2、甲方延期付款的，每逾期一天应按合同总金额的0.3‰向乙方支付逾期付款违约金，逾期超过30日的，该违约金累计不超过合同金额的5%。</w:t>
      </w:r>
    </w:p>
    <w:p w14:paraId="370F8803">
      <w:pPr>
        <w:snapToGrid w:val="0"/>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3、任意一方违约造成守约方损失的，守约方有权向违约方主张损失赔偿，赔偿包括但不限于守约方因此产生的直接损失，还包括因此产生的诉讼费、仲裁费、律师费、保全费、财产保全保险保函费、差旅费、公证费、评估费、鉴定费等。</w:t>
      </w:r>
    </w:p>
    <w:p w14:paraId="2FA8E179">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第十条  不可抗力事件处理</w:t>
      </w:r>
    </w:p>
    <w:p w14:paraId="2764AD46">
      <w:pPr>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双方的任何一方由于不可抗力的原因不能履行合同时，应以书面形式及时向对方通报不能履行或不能完全履行的理由，并应在15日内提供有关证明。在发生不可抗力的情况下，应允许延期履行、部分履行或者不履行合同，并可以免除责任。本合同中，不可抗力是指不能预见、不能避免并不能克服的客观情况。</w:t>
      </w:r>
    </w:p>
    <w:p w14:paraId="571A5236">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第十一条  合同争议解决</w:t>
      </w:r>
    </w:p>
    <w:p w14:paraId="033680E0">
      <w:pPr>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因履行本合同引起的或者与本合同有关的争议，甲乙双方应首先通过友好协商解决，如果协商不能解决，可向甲方社湾校区所在地</w:t>
      </w:r>
      <w:r>
        <w:rPr>
          <w:rFonts w:hint="eastAsia" w:ascii="仿宋_GB2312" w:hAnsi="仿宋_GB2312" w:eastAsia="仿宋_GB2312" w:cs="仿宋_GB2312"/>
          <w:color w:val="auto"/>
          <w:sz w:val="24"/>
          <w:lang w:eastAsia="zh-CN"/>
        </w:rPr>
        <w:t>的</w:t>
      </w:r>
      <w:r>
        <w:rPr>
          <w:rFonts w:hint="eastAsia" w:ascii="仿宋_GB2312" w:hAnsi="仿宋_GB2312" w:eastAsia="仿宋_GB2312" w:cs="仿宋_GB2312"/>
          <w:color w:val="auto"/>
          <w:sz w:val="24"/>
        </w:rPr>
        <w:t>人民法院提起诉讼。</w:t>
      </w:r>
    </w:p>
    <w:p w14:paraId="0C638271">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第十二条  合同生效及其它</w:t>
      </w:r>
    </w:p>
    <w:p w14:paraId="109285B9">
      <w:pPr>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1、合同经双方法定代表人或者授权代表签字并加盖单位公章后生效。</w:t>
      </w:r>
    </w:p>
    <w:p w14:paraId="2C4C84A6">
      <w:pPr>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2、本合同未尽事宜，遵照《中华人民共和国民法典》有关条文执行。</w:t>
      </w:r>
    </w:p>
    <w:p w14:paraId="1397E38A">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第十三条　合同的变更</w:t>
      </w:r>
    </w:p>
    <w:p w14:paraId="2704DB36">
      <w:pPr>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除《中华人民共和国政府采购法》第五十条规定的情形外，本合同一经签订，甲乙双方不得擅自变更、中止或者终止。本合同履行期间，双方均不得单方变更或解除合同；本合同如有未尽事宜，双方经协商可签订补充协议，补充协议与本合同具有相同的效力。</w:t>
      </w:r>
    </w:p>
    <w:p w14:paraId="22FB2323">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第十四条　签订本合同依据</w:t>
      </w:r>
    </w:p>
    <w:p w14:paraId="59A1290D">
      <w:pPr>
        <w:snapToGrid w:val="0"/>
        <w:spacing w:line="360" w:lineRule="exact"/>
        <w:ind w:firstLine="480" w:firstLineChars="200"/>
        <w:rPr>
          <w:rFonts w:ascii="仿宋_GB2312" w:hAnsi="宋体" w:eastAsia="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lang w:val="en-US" w:eastAsia="zh-CN"/>
        </w:rPr>
        <w:t>.</w:t>
      </w:r>
      <w:r>
        <w:rPr>
          <w:rFonts w:hint="eastAsia" w:ascii="仿宋_GB2312" w:hAnsi="宋体" w:eastAsia="仿宋_GB2312"/>
          <w:color w:val="auto"/>
          <w:sz w:val="24"/>
        </w:rPr>
        <w:t>政府采购招标文件；</w:t>
      </w:r>
    </w:p>
    <w:p w14:paraId="5207D807">
      <w:pPr>
        <w:snapToGrid w:val="0"/>
        <w:spacing w:line="3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2.乙方提供的采购投标（或应答）文件；</w:t>
      </w:r>
    </w:p>
    <w:p w14:paraId="7660853A">
      <w:pPr>
        <w:snapToGrid w:val="0"/>
        <w:spacing w:line="3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3.投标承诺书；</w:t>
      </w:r>
    </w:p>
    <w:p w14:paraId="70704C4B">
      <w:pPr>
        <w:snapToGrid w:val="0"/>
        <w:spacing w:line="360" w:lineRule="exact"/>
        <w:ind w:firstLine="480" w:firstLineChars="200"/>
        <w:rPr>
          <w:rFonts w:ascii="仿宋_GB2312" w:hAnsi="仿宋_GB2312" w:eastAsia="仿宋_GB2312" w:cs="仿宋_GB2312"/>
          <w:color w:val="auto"/>
          <w:sz w:val="24"/>
        </w:rPr>
      </w:pPr>
      <w:r>
        <w:rPr>
          <w:rFonts w:hint="eastAsia" w:ascii="仿宋_GB2312" w:hAnsi="宋体" w:eastAsia="仿宋_GB2312"/>
          <w:color w:val="auto"/>
          <w:sz w:val="24"/>
        </w:rPr>
        <w:t>4.中标或成交通知书。</w:t>
      </w:r>
    </w:p>
    <w:p w14:paraId="498BC1F5">
      <w:pPr>
        <w:rPr>
          <w:rFonts w:ascii="仿宋_GB2312" w:hAnsi="仿宋_GB2312" w:eastAsia="仿宋_GB2312" w:cs="仿宋_GB2312"/>
          <w:color w:val="auto"/>
          <w:sz w:val="24"/>
        </w:rPr>
      </w:pPr>
      <w:r>
        <w:rPr>
          <w:rFonts w:hint="eastAsia" w:ascii="仿宋_GB2312" w:hAnsi="仿宋_GB2312" w:eastAsia="仿宋_GB2312" w:cs="仿宋_GB2312"/>
          <w:b/>
          <w:color w:val="auto"/>
          <w:sz w:val="24"/>
        </w:rPr>
        <w:t>第十五条　</w:t>
      </w:r>
      <w:r>
        <w:rPr>
          <w:rFonts w:hint="eastAsia" w:ascii="仿宋_GB2312" w:hAnsi="宋体" w:eastAsia="仿宋_GB2312"/>
          <w:color w:val="auto"/>
          <w:sz w:val="24"/>
        </w:rPr>
        <w:t>本合同一式</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份，具有同等法律效力，采购代理机构</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份，甲方</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份，乙方</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份（可根据需要另增加）</w:t>
      </w:r>
      <w:r>
        <w:rPr>
          <w:rFonts w:hint="eastAsia" w:ascii="仿宋_GB2312" w:hAnsi="仿宋_GB2312" w:eastAsia="仿宋_GB2312" w:cs="仿宋_GB2312"/>
          <w:color w:val="auto"/>
          <w:sz w:val="24"/>
        </w:rPr>
        <w:t>。</w:t>
      </w:r>
    </w:p>
    <w:tbl>
      <w:tblPr>
        <w:tblStyle w:val="51"/>
        <w:tblpPr w:leftFromText="180" w:rightFromText="180" w:vertAnchor="text" w:horzAnchor="margin" w:tblpXSpec="center" w:tblpY="214"/>
        <w:tblW w:w="9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2"/>
        <w:gridCol w:w="4583"/>
      </w:tblGrid>
      <w:tr w14:paraId="7B05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0" w:hRule="atLeast"/>
        </w:trPr>
        <w:tc>
          <w:tcPr>
            <w:tcW w:w="4582" w:type="dxa"/>
            <w:tcBorders>
              <w:top w:val="single" w:color="auto" w:sz="4" w:space="0"/>
              <w:left w:val="single" w:color="auto" w:sz="4" w:space="0"/>
              <w:bottom w:val="single" w:color="auto" w:sz="4" w:space="0"/>
              <w:right w:val="single" w:color="auto" w:sz="4" w:space="0"/>
            </w:tcBorders>
            <w:vAlign w:val="center"/>
          </w:tcPr>
          <w:p w14:paraId="20E4A164">
            <w:pPr>
              <w:snapToGrid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甲方：（章）</w:t>
            </w:r>
          </w:p>
          <w:p w14:paraId="7E076A1F">
            <w:pPr>
              <w:snapToGrid w:val="0"/>
              <w:rPr>
                <w:rFonts w:ascii="仿宋_GB2312" w:hAnsi="仿宋_GB2312" w:eastAsia="仿宋_GB2312" w:cs="仿宋_GB2312"/>
                <w:color w:val="auto"/>
                <w:sz w:val="24"/>
              </w:rPr>
            </w:pPr>
          </w:p>
          <w:p w14:paraId="42BA9D8C">
            <w:pPr>
              <w:snapToGrid w:val="0"/>
              <w:rPr>
                <w:rFonts w:ascii="仿宋_GB2312" w:hAnsi="仿宋_GB2312" w:eastAsia="仿宋_GB2312" w:cs="仿宋_GB2312"/>
                <w:color w:val="auto"/>
                <w:sz w:val="24"/>
              </w:rPr>
            </w:pPr>
          </w:p>
          <w:p w14:paraId="5836E83A">
            <w:pPr>
              <w:snapToGrid w:val="0"/>
              <w:ind w:firstLine="1080" w:firstLineChars="450"/>
              <w:jc w:val="right"/>
              <w:rPr>
                <w:rFonts w:ascii="仿宋_GB2312" w:hAnsi="仿宋_GB2312" w:eastAsia="仿宋_GB2312" w:cs="仿宋_GB2312"/>
                <w:color w:val="auto"/>
                <w:sz w:val="24"/>
              </w:rPr>
            </w:pPr>
          </w:p>
          <w:p w14:paraId="2E186361">
            <w:pPr>
              <w:snapToGrid w:val="0"/>
              <w:ind w:firstLine="1080" w:firstLineChars="450"/>
              <w:jc w:val="right"/>
              <w:rPr>
                <w:rFonts w:ascii="仿宋_GB2312" w:hAnsi="仿宋_GB2312" w:eastAsia="仿宋_GB2312" w:cs="仿宋_GB2312"/>
                <w:color w:val="auto"/>
                <w:sz w:val="24"/>
              </w:rPr>
            </w:pPr>
            <w:r>
              <w:rPr>
                <w:rFonts w:hint="eastAsia" w:ascii="仿宋_GB2312" w:hAnsi="仿宋_GB2312" w:eastAsia="仿宋_GB2312" w:cs="仿宋_GB2312"/>
                <w:color w:val="auto"/>
                <w:sz w:val="24"/>
              </w:rPr>
              <w:t>年   月   日</w:t>
            </w:r>
          </w:p>
        </w:tc>
        <w:tc>
          <w:tcPr>
            <w:tcW w:w="4583" w:type="dxa"/>
            <w:tcBorders>
              <w:top w:val="single" w:color="auto" w:sz="4" w:space="0"/>
              <w:left w:val="single" w:color="auto" w:sz="4" w:space="0"/>
              <w:bottom w:val="single" w:color="auto" w:sz="4" w:space="0"/>
              <w:right w:val="single" w:color="auto" w:sz="4" w:space="0"/>
            </w:tcBorders>
            <w:vAlign w:val="center"/>
          </w:tcPr>
          <w:p w14:paraId="5B681B85">
            <w:pPr>
              <w:snapToGrid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乙方：（章）       </w:t>
            </w:r>
          </w:p>
          <w:p w14:paraId="3DB01242">
            <w:pPr>
              <w:snapToGrid w:val="0"/>
              <w:rPr>
                <w:rFonts w:ascii="仿宋_GB2312" w:hAnsi="仿宋_GB2312" w:eastAsia="仿宋_GB2312" w:cs="仿宋_GB2312"/>
                <w:color w:val="auto"/>
                <w:sz w:val="24"/>
              </w:rPr>
            </w:pPr>
          </w:p>
          <w:p w14:paraId="766C030C">
            <w:pPr>
              <w:snapToGrid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w:t>
            </w:r>
          </w:p>
          <w:p w14:paraId="110C104F">
            <w:pPr>
              <w:snapToGrid w:val="0"/>
              <w:jc w:val="right"/>
              <w:rPr>
                <w:rFonts w:ascii="仿宋_GB2312" w:hAnsi="仿宋_GB2312" w:eastAsia="仿宋_GB2312" w:cs="仿宋_GB2312"/>
                <w:color w:val="auto"/>
                <w:sz w:val="24"/>
              </w:rPr>
            </w:pPr>
          </w:p>
          <w:p w14:paraId="31AD5B07">
            <w:pPr>
              <w:snapToGrid w:val="0"/>
              <w:jc w:val="right"/>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年   月   日</w:t>
            </w:r>
          </w:p>
        </w:tc>
      </w:tr>
      <w:tr w14:paraId="2CB5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00BAAF3A">
            <w:pPr>
              <w:snapToGrid w:val="0"/>
              <w:spacing w:line="48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单位地址：</w:t>
            </w:r>
          </w:p>
        </w:tc>
        <w:tc>
          <w:tcPr>
            <w:tcW w:w="4583" w:type="dxa"/>
            <w:tcBorders>
              <w:top w:val="single" w:color="auto" w:sz="4" w:space="0"/>
              <w:left w:val="single" w:color="auto" w:sz="4" w:space="0"/>
              <w:bottom w:val="single" w:color="auto" w:sz="4" w:space="0"/>
              <w:right w:val="single" w:color="auto" w:sz="4" w:space="0"/>
            </w:tcBorders>
            <w:vAlign w:val="center"/>
          </w:tcPr>
          <w:p w14:paraId="6715D965">
            <w:pPr>
              <w:snapToGrid w:val="0"/>
              <w:spacing w:line="48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单位地址：</w:t>
            </w:r>
          </w:p>
        </w:tc>
      </w:tr>
      <w:tr w14:paraId="7A88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62EE92F9">
            <w:pPr>
              <w:snapToGrid w:val="0"/>
              <w:spacing w:line="48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法定代表人：</w:t>
            </w:r>
          </w:p>
        </w:tc>
        <w:tc>
          <w:tcPr>
            <w:tcW w:w="4583" w:type="dxa"/>
            <w:tcBorders>
              <w:top w:val="single" w:color="auto" w:sz="4" w:space="0"/>
              <w:left w:val="single" w:color="auto" w:sz="4" w:space="0"/>
              <w:bottom w:val="single" w:color="auto" w:sz="4" w:space="0"/>
              <w:right w:val="single" w:color="auto" w:sz="4" w:space="0"/>
            </w:tcBorders>
            <w:vAlign w:val="center"/>
          </w:tcPr>
          <w:p w14:paraId="28AA110D">
            <w:pPr>
              <w:snapToGrid w:val="0"/>
              <w:spacing w:line="48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法定代表人：</w:t>
            </w:r>
          </w:p>
        </w:tc>
      </w:tr>
      <w:tr w14:paraId="487A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4BC48E50">
            <w:pPr>
              <w:snapToGrid w:val="0"/>
              <w:spacing w:line="48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委托代理人：</w:t>
            </w:r>
          </w:p>
        </w:tc>
        <w:tc>
          <w:tcPr>
            <w:tcW w:w="4583" w:type="dxa"/>
            <w:tcBorders>
              <w:top w:val="single" w:color="auto" w:sz="4" w:space="0"/>
              <w:left w:val="single" w:color="auto" w:sz="4" w:space="0"/>
              <w:bottom w:val="single" w:color="auto" w:sz="4" w:space="0"/>
              <w:right w:val="single" w:color="auto" w:sz="4" w:space="0"/>
            </w:tcBorders>
            <w:vAlign w:val="center"/>
          </w:tcPr>
          <w:p w14:paraId="346AFAFB">
            <w:pPr>
              <w:snapToGrid w:val="0"/>
              <w:spacing w:line="48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委托代理人：</w:t>
            </w:r>
          </w:p>
        </w:tc>
      </w:tr>
      <w:tr w14:paraId="0F46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045808AF">
            <w:pPr>
              <w:snapToGrid w:val="0"/>
              <w:spacing w:line="48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电话：</w:t>
            </w:r>
          </w:p>
        </w:tc>
        <w:tc>
          <w:tcPr>
            <w:tcW w:w="4583" w:type="dxa"/>
            <w:tcBorders>
              <w:top w:val="single" w:color="auto" w:sz="4" w:space="0"/>
              <w:left w:val="single" w:color="auto" w:sz="4" w:space="0"/>
              <w:bottom w:val="single" w:color="auto" w:sz="4" w:space="0"/>
              <w:right w:val="single" w:color="auto" w:sz="4" w:space="0"/>
            </w:tcBorders>
            <w:vAlign w:val="center"/>
          </w:tcPr>
          <w:p w14:paraId="375C910A">
            <w:pPr>
              <w:snapToGrid w:val="0"/>
              <w:spacing w:line="48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电话：</w:t>
            </w:r>
          </w:p>
        </w:tc>
      </w:tr>
      <w:tr w14:paraId="393C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32D19217">
            <w:pPr>
              <w:snapToGrid w:val="0"/>
              <w:spacing w:line="48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开户银行：</w:t>
            </w:r>
          </w:p>
        </w:tc>
        <w:tc>
          <w:tcPr>
            <w:tcW w:w="4583" w:type="dxa"/>
            <w:tcBorders>
              <w:top w:val="single" w:color="auto" w:sz="4" w:space="0"/>
              <w:left w:val="single" w:color="auto" w:sz="4" w:space="0"/>
              <w:bottom w:val="single" w:color="auto" w:sz="4" w:space="0"/>
              <w:right w:val="single" w:color="auto" w:sz="4" w:space="0"/>
            </w:tcBorders>
            <w:vAlign w:val="center"/>
          </w:tcPr>
          <w:p w14:paraId="0AC054B8">
            <w:pPr>
              <w:snapToGrid w:val="0"/>
              <w:spacing w:line="48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开户银行：</w:t>
            </w:r>
          </w:p>
        </w:tc>
      </w:tr>
      <w:tr w14:paraId="6831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56EA09E2">
            <w:pPr>
              <w:snapToGrid w:val="0"/>
              <w:spacing w:line="48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账号：</w:t>
            </w:r>
          </w:p>
        </w:tc>
        <w:tc>
          <w:tcPr>
            <w:tcW w:w="4583" w:type="dxa"/>
            <w:tcBorders>
              <w:top w:val="single" w:color="auto" w:sz="4" w:space="0"/>
              <w:left w:val="single" w:color="auto" w:sz="4" w:space="0"/>
              <w:bottom w:val="single" w:color="auto" w:sz="4" w:space="0"/>
              <w:right w:val="single" w:color="auto" w:sz="4" w:space="0"/>
            </w:tcBorders>
            <w:vAlign w:val="center"/>
          </w:tcPr>
          <w:p w14:paraId="68901AC2">
            <w:pPr>
              <w:snapToGrid w:val="0"/>
              <w:spacing w:line="48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账号：</w:t>
            </w:r>
          </w:p>
        </w:tc>
      </w:tr>
      <w:tr w14:paraId="1D60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4582" w:type="dxa"/>
            <w:tcBorders>
              <w:top w:val="single" w:color="auto" w:sz="4" w:space="0"/>
              <w:left w:val="single" w:color="auto" w:sz="4" w:space="0"/>
              <w:bottom w:val="single" w:color="auto" w:sz="4" w:space="0"/>
              <w:right w:val="single" w:color="auto" w:sz="4" w:space="0"/>
            </w:tcBorders>
            <w:vAlign w:val="center"/>
          </w:tcPr>
          <w:p w14:paraId="5C57C35C">
            <w:pPr>
              <w:snapToGrid w:val="0"/>
              <w:spacing w:line="48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邮政编码：</w:t>
            </w:r>
          </w:p>
        </w:tc>
        <w:tc>
          <w:tcPr>
            <w:tcW w:w="4583" w:type="dxa"/>
            <w:tcBorders>
              <w:top w:val="single" w:color="auto" w:sz="4" w:space="0"/>
              <w:left w:val="single" w:color="auto" w:sz="4" w:space="0"/>
              <w:bottom w:val="single" w:color="auto" w:sz="4" w:space="0"/>
              <w:right w:val="single" w:color="auto" w:sz="4" w:space="0"/>
            </w:tcBorders>
            <w:vAlign w:val="center"/>
          </w:tcPr>
          <w:p w14:paraId="3D3DD138">
            <w:pPr>
              <w:snapToGrid w:val="0"/>
              <w:spacing w:line="48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邮政编码：</w:t>
            </w:r>
          </w:p>
        </w:tc>
      </w:tr>
    </w:tbl>
    <w:p w14:paraId="37C0DC93">
      <w:pPr>
        <w:rPr>
          <w:rFonts w:ascii="仿宋" w:hAnsi="仿宋" w:eastAsia="仿宋"/>
          <w:color w:val="auto"/>
          <w:sz w:val="28"/>
          <w:szCs w:val="28"/>
        </w:rPr>
      </w:pPr>
    </w:p>
    <w:p w14:paraId="50720BEF">
      <w:pPr>
        <w:spacing w:line="360" w:lineRule="exact"/>
        <w:ind w:left="420" w:leftChars="200" w:firstLine="360" w:firstLineChars="150"/>
        <w:jc w:val="left"/>
        <w:rPr>
          <w:rFonts w:ascii="仿宋_GB2312" w:eastAsia="仿宋_GB2312"/>
          <w:color w:val="auto"/>
          <w:sz w:val="24"/>
        </w:rPr>
      </w:pPr>
    </w:p>
    <w:p w14:paraId="70AF7F1D">
      <w:pPr>
        <w:snapToGrid w:val="0"/>
        <w:rPr>
          <w:rFonts w:ascii="仿宋_GB2312" w:eastAsia="仿宋_GB2312"/>
          <w:b/>
          <w:color w:val="auto"/>
          <w:sz w:val="28"/>
          <w:szCs w:val="28"/>
        </w:rPr>
      </w:pPr>
    </w:p>
    <w:p w14:paraId="68EA043B">
      <w:pPr>
        <w:snapToGrid w:val="0"/>
        <w:jc w:val="center"/>
        <w:rPr>
          <w:rFonts w:ascii="仿宋_GB2312" w:eastAsia="仿宋_GB2312"/>
          <w:b/>
          <w:color w:val="auto"/>
          <w:sz w:val="28"/>
          <w:szCs w:val="28"/>
        </w:rPr>
      </w:pPr>
    </w:p>
    <w:p w14:paraId="6F268799">
      <w:pPr>
        <w:snapToGrid w:val="0"/>
        <w:jc w:val="center"/>
        <w:rPr>
          <w:rFonts w:ascii="仿宋_GB2312" w:eastAsia="仿宋_GB2312"/>
          <w:b/>
          <w:color w:val="auto"/>
          <w:sz w:val="28"/>
          <w:szCs w:val="28"/>
        </w:rPr>
      </w:pPr>
    </w:p>
    <w:p w14:paraId="07D75C36">
      <w:pPr>
        <w:snapToGrid w:val="0"/>
        <w:jc w:val="center"/>
        <w:rPr>
          <w:rFonts w:ascii="仿宋_GB2312" w:eastAsia="仿宋_GB2312"/>
          <w:b/>
          <w:color w:val="auto"/>
          <w:sz w:val="28"/>
          <w:szCs w:val="28"/>
        </w:rPr>
      </w:pPr>
    </w:p>
    <w:p w14:paraId="136D17F7">
      <w:pPr>
        <w:snapToGrid w:val="0"/>
        <w:jc w:val="center"/>
        <w:rPr>
          <w:rFonts w:ascii="仿宋_GB2312" w:eastAsia="仿宋_GB2312"/>
          <w:b/>
          <w:color w:val="auto"/>
          <w:sz w:val="28"/>
          <w:szCs w:val="28"/>
        </w:rPr>
      </w:pPr>
    </w:p>
    <w:p w14:paraId="29B549C4">
      <w:pPr>
        <w:snapToGrid w:val="0"/>
        <w:jc w:val="center"/>
        <w:rPr>
          <w:rFonts w:ascii="仿宋_GB2312" w:eastAsia="仿宋_GB2312"/>
          <w:b/>
          <w:color w:val="auto"/>
          <w:sz w:val="28"/>
          <w:szCs w:val="28"/>
        </w:rPr>
      </w:pPr>
    </w:p>
    <w:p w14:paraId="656377FC">
      <w:pPr>
        <w:snapToGrid w:val="0"/>
        <w:jc w:val="center"/>
        <w:rPr>
          <w:rFonts w:ascii="仿宋_GB2312" w:eastAsia="仿宋_GB2312"/>
          <w:b/>
          <w:color w:val="auto"/>
          <w:sz w:val="28"/>
          <w:szCs w:val="28"/>
        </w:rPr>
      </w:pPr>
    </w:p>
    <w:p w14:paraId="5F96DD42">
      <w:pPr>
        <w:snapToGrid w:val="0"/>
        <w:jc w:val="center"/>
        <w:rPr>
          <w:rFonts w:ascii="仿宋_GB2312" w:eastAsia="仿宋_GB2312"/>
          <w:b/>
          <w:color w:val="auto"/>
          <w:sz w:val="28"/>
          <w:szCs w:val="28"/>
        </w:rPr>
      </w:pPr>
    </w:p>
    <w:p w14:paraId="2C168006">
      <w:pPr>
        <w:snapToGrid w:val="0"/>
        <w:jc w:val="center"/>
        <w:rPr>
          <w:rFonts w:ascii="仿宋_GB2312" w:eastAsia="仿宋_GB2312"/>
          <w:b/>
          <w:color w:val="auto"/>
          <w:sz w:val="28"/>
          <w:szCs w:val="28"/>
        </w:rPr>
      </w:pPr>
    </w:p>
    <w:p w14:paraId="6CFD562A">
      <w:pPr>
        <w:snapToGrid w:val="0"/>
        <w:jc w:val="center"/>
        <w:rPr>
          <w:rFonts w:ascii="仿宋_GB2312" w:eastAsia="仿宋_GB2312"/>
          <w:b/>
          <w:color w:val="auto"/>
          <w:sz w:val="28"/>
          <w:szCs w:val="28"/>
        </w:rPr>
      </w:pPr>
    </w:p>
    <w:p w14:paraId="42C72A4E">
      <w:pPr>
        <w:snapToGrid w:val="0"/>
        <w:jc w:val="center"/>
        <w:rPr>
          <w:rFonts w:ascii="仿宋_GB2312" w:eastAsia="仿宋_GB2312"/>
          <w:b/>
          <w:color w:val="auto"/>
          <w:sz w:val="28"/>
          <w:szCs w:val="28"/>
        </w:rPr>
      </w:pPr>
    </w:p>
    <w:p w14:paraId="107B4A4F">
      <w:pPr>
        <w:snapToGrid w:val="0"/>
        <w:jc w:val="center"/>
        <w:rPr>
          <w:rFonts w:ascii="仿宋_GB2312" w:eastAsia="仿宋_GB2312"/>
          <w:b/>
          <w:color w:val="auto"/>
          <w:sz w:val="28"/>
          <w:szCs w:val="28"/>
        </w:rPr>
      </w:pPr>
    </w:p>
    <w:p w14:paraId="62A251DB">
      <w:pPr>
        <w:pStyle w:val="40"/>
        <w:rPr>
          <w:color w:val="auto"/>
        </w:rPr>
      </w:pPr>
    </w:p>
    <w:p w14:paraId="334940FA">
      <w:pPr>
        <w:snapToGrid w:val="0"/>
        <w:jc w:val="center"/>
        <w:rPr>
          <w:rFonts w:ascii="仿宋_GB2312" w:eastAsia="仿宋_GB2312"/>
          <w:b/>
          <w:color w:val="auto"/>
          <w:sz w:val="28"/>
          <w:szCs w:val="28"/>
        </w:rPr>
      </w:pPr>
    </w:p>
    <w:p w14:paraId="6A65B859">
      <w:pPr>
        <w:snapToGrid w:val="0"/>
        <w:jc w:val="center"/>
        <w:rPr>
          <w:rFonts w:ascii="仿宋_GB2312" w:eastAsia="仿宋_GB2312"/>
          <w:b/>
          <w:color w:val="auto"/>
          <w:sz w:val="28"/>
          <w:szCs w:val="28"/>
        </w:rPr>
      </w:pPr>
    </w:p>
    <w:p w14:paraId="424F6573">
      <w:pPr>
        <w:snapToGrid w:val="0"/>
        <w:jc w:val="center"/>
        <w:rPr>
          <w:rFonts w:ascii="仿宋_GB2312" w:eastAsia="仿宋_GB2312"/>
          <w:b/>
          <w:color w:val="auto"/>
          <w:sz w:val="28"/>
          <w:szCs w:val="28"/>
        </w:rPr>
      </w:pPr>
    </w:p>
    <w:p w14:paraId="1E3B6257">
      <w:pPr>
        <w:pStyle w:val="40"/>
        <w:rPr>
          <w:rFonts w:ascii="仿宋_GB2312" w:eastAsia="仿宋_GB2312"/>
          <w:b/>
          <w:color w:val="auto"/>
          <w:sz w:val="28"/>
          <w:szCs w:val="28"/>
        </w:rPr>
      </w:pPr>
    </w:p>
    <w:p w14:paraId="5281A850">
      <w:pPr>
        <w:pStyle w:val="40"/>
        <w:rPr>
          <w:rFonts w:ascii="仿宋_GB2312" w:eastAsia="仿宋_GB2312"/>
          <w:b/>
          <w:color w:val="auto"/>
          <w:sz w:val="28"/>
          <w:szCs w:val="28"/>
        </w:rPr>
      </w:pPr>
    </w:p>
    <w:p w14:paraId="400D6E70">
      <w:pPr>
        <w:snapToGrid w:val="0"/>
        <w:jc w:val="center"/>
        <w:rPr>
          <w:rFonts w:ascii="仿宋_GB2312" w:eastAsia="仿宋_GB2312"/>
          <w:b/>
          <w:color w:val="auto"/>
          <w:sz w:val="28"/>
          <w:szCs w:val="28"/>
        </w:rPr>
      </w:pPr>
    </w:p>
    <w:p w14:paraId="2AE3546A">
      <w:pPr>
        <w:snapToGrid w:val="0"/>
        <w:rPr>
          <w:rFonts w:ascii="仿宋_GB2312" w:eastAsia="仿宋_GB2312"/>
          <w:b/>
          <w:color w:val="auto"/>
          <w:sz w:val="28"/>
          <w:szCs w:val="28"/>
        </w:rPr>
      </w:pPr>
    </w:p>
    <w:p w14:paraId="6452161A">
      <w:pPr>
        <w:snapToGrid w:val="0"/>
        <w:jc w:val="center"/>
        <w:rPr>
          <w:rFonts w:ascii="仿宋_GB2312" w:eastAsia="仿宋_GB2312"/>
          <w:b/>
          <w:color w:val="auto"/>
          <w:sz w:val="28"/>
          <w:szCs w:val="28"/>
        </w:rPr>
      </w:pPr>
    </w:p>
    <w:p w14:paraId="6CB54C06">
      <w:pPr>
        <w:snapToGrid w:val="0"/>
        <w:jc w:val="center"/>
        <w:rPr>
          <w:rFonts w:ascii="仿宋_GB2312" w:eastAsia="仿宋_GB2312"/>
          <w:b/>
          <w:color w:val="auto"/>
          <w:sz w:val="28"/>
          <w:szCs w:val="28"/>
        </w:rPr>
      </w:pPr>
    </w:p>
    <w:p w14:paraId="244892B2">
      <w:pPr>
        <w:snapToGrid w:val="0"/>
        <w:jc w:val="center"/>
        <w:rPr>
          <w:rFonts w:ascii="仿宋_GB2312" w:eastAsia="仿宋_GB2312"/>
          <w:b/>
          <w:color w:val="auto"/>
          <w:sz w:val="28"/>
          <w:szCs w:val="28"/>
        </w:rPr>
      </w:pPr>
    </w:p>
    <w:p w14:paraId="50EF224E">
      <w:pPr>
        <w:snapToGrid w:val="0"/>
        <w:jc w:val="center"/>
        <w:rPr>
          <w:rFonts w:ascii="仿宋_GB2312" w:eastAsia="仿宋_GB2312"/>
          <w:b/>
          <w:color w:val="auto"/>
          <w:sz w:val="28"/>
          <w:szCs w:val="28"/>
        </w:rPr>
      </w:pPr>
    </w:p>
    <w:p w14:paraId="4AB04999">
      <w:pPr>
        <w:snapToGrid w:val="0"/>
        <w:jc w:val="center"/>
        <w:rPr>
          <w:rFonts w:ascii="仿宋_GB2312" w:eastAsia="仿宋_GB2312"/>
          <w:b/>
          <w:color w:val="auto"/>
          <w:sz w:val="28"/>
          <w:szCs w:val="28"/>
        </w:rPr>
      </w:pPr>
    </w:p>
    <w:p w14:paraId="6B9316ED">
      <w:pPr>
        <w:snapToGrid w:val="0"/>
        <w:jc w:val="center"/>
        <w:rPr>
          <w:rFonts w:ascii="仿宋_GB2312" w:eastAsia="仿宋_GB2312"/>
          <w:b/>
          <w:color w:val="auto"/>
          <w:sz w:val="28"/>
          <w:szCs w:val="28"/>
        </w:rPr>
      </w:pPr>
    </w:p>
    <w:p w14:paraId="342B30AA">
      <w:pPr>
        <w:snapToGrid w:val="0"/>
        <w:jc w:val="center"/>
        <w:rPr>
          <w:rFonts w:ascii="仿宋_GB2312" w:eastAsia="仿宋_GB2312"/>
          <w:b/>
          <w:color w:val="auto"/>
          <w:sz w:val="28"/>
          <w:szCs w:val="28"/>
        </w:rPr>
      </w:pPr>
    </w:p>
    <w:p w14:paraId="3970C563">
      <w:pPr>
        <w:snapToGrid w:val="0"/>
        <w:jc w:val="center"/>
        <w:rPr>
          <w:rFonts w:ascii="仿宋_GB2312" w:eastAsia="仿宋_GB2312"/>
          <w:b/>
          <w:color w:val="auto"/>
          <w:sz w:val="28"/>
          <w:szCs w:val="28"/>
        </w:rPr>
      </w:pPr>
    </w:p>
    <w:p w14:paraId="47908B14">
      <w:pPr>
        <w:snapToGrid w:val="0"/>
        <w:jc w:val="center"/>
        <w:rPr>
          <w:rFonts w:ascii="仿宋_GB2312" w:eastAsia="仿宋_GB2312"/>
          <w:b/>
          <w:color w:val="auto"/>
          <w:sz w:val="28"/>
          <w:szCs w:val="28"/>
        </w:rPr>
      </w:pPr>
      <w:r>
        <w:rPr>
          <w:rFonts w:hint="eastAsia" w:ascii="仿宋_GB2312" w:eastAsia="仿宋_GB2312"/>
          <w:b/>
          <w:color w:val="auto"/>
          <w:sz w:val="28"/>
          <w:szCs w:val="28"/>
        </w:rPr>
        <w:t>合 同 附 件</w:t>
      </w:r>
    </w:p>
    <w:p w14:paraId="216FE905">
      <w:pPr>
        <w:snapToGrid w:val="0"/>
        <w:ind w:firstLine="240" w:firstLineChars="100"/>
        <w:rPr>
          <w:rFonts w:ascii="仿宋_GB2312" w:eastAsia="仿宋_GB2312"/>
          <w:b/>
          <w:color w:val="auto"/>
          <w:sz w:val="24"/>
        </w:rPr>
      </w:pPr>
      <w:r>
        <w:rPr>
          <w:rFonts w:hint="eastAsia" w:ascii="仿宋_GB2312" w:eastAsia="仿宋_GB2312"/>
          <w:color w:val="auto"/>
          <w:sz w:val="24"/>
        </w:rPr>
        <w:t>一般货物类</w:t>
      </w:r>
    </w:p>
    <w:tbl>
      <w:tblPr>
        <w:tblStyle w:val="51"/>
        <w:tblW w:w="9072" w:type="dxa"/>
        <w:tblInd w:w="108" w:type="dxa"/>
        <w:tblLayout w:type="fixed"/>
        <w:tblCellMar>
          <w:top w:w="0" w:type="dxa"/>
          <w:left w:w="108" w:type="dxa"/>
          <w:bottom w:w="0" w:type="dxa"/>
          <w:right w:w="108" w:type="dxa"/>
        </w:tblCellMar>
      </w:tblPr>
      <w:tblGrid>
        <w:gridCol w:w="4678"/>
        <w:gridCol w:w="4394"/>
      </w:tblGrid>
      <w:tr w14:paraId="4301F875">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2588A758">
            <w:pPr>
              <w:snapToGrid w:val="0"/>
              <w:rPr>
                <w:rFonts w:ascii="仿宋_GB2312" w:eastAsia="仿宋_GB2312"/>
                <w:color w:val="auto"/>
                <w:sz w:val="24"/>
              </w:rPr>
            </w:pPr>
            <w:r>
              <w:rPr>
                <w:rFonts w:hint="eastAsia" w:ascii="仿宋_GB2312" w:eastAsia="仿宋_GB2312"/>
                <w:color w:val="auto"/>
                <w:sz w:val="24"/>
              </w:rPr>
              <w:t>1</w:t>
            </w:r>
            <w:r>
              <w:rPr>
                <w:rFonts w:hint="eastAsia" w:ascii="仿宋_GB2312" w:hAnsi="宋体" w:eastAsia="仿宋_GB2312"/>
                <w:color w:val="auto"/>
                <w:sz w:val="24"/>
              </w:rPr>
              <w:t>.</w:t>
            </w:r>
            <w:r>
              <w:rPr>
                <w:rFonts w:hint="eastAsia" w:ascii="仿宋_GB2312" w:eastAsia="仿宋_GB2312"/>
                <w:color w:val="auto"/>
                <w:sz w:val="24"/>
              </w:rPr>
              <w:t>供应商承诺具体事项：</w:t>
            </w:r>
          </w:p>
          <w:p w14:paraId="349A317F">
            <w:pPr>
              <w:snapToGrid w:val="0"/>
              <w:spacing w:line="276" w:lineRule="auto"/>
              <w:rPr>
                <w:rFonts w:ascii="仿宋_GB2312" w:eastAsia="仿宋_GB2312"/>
                <w:color w:val="auto"/>
                <w:sz w:val="24"/>
              </w:rPr>
            </w:pPr>
            <w:r>
              <w:rPr>
                <w:rFonts w:hint="eastAsia" w:ascii="仿宋_GB2312" w:eastAsia="仿宋_GB2312"/>
                <w:color w:val="auto"/>
                <w:sz w:val="24"/>
              </w:rPr>
              <w:t xml:space="preserve">    </w:t>
            </w:r>
          </w:p>
        </w:tc>
      </w:tr>
      <w:tr w14:paraId="2EF3DF25">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7C389153">
            <w:pPr>
              <w:snapToGrid w:val="0"/>
              <w:rPr>
                <w:rFonts w:ascii="仿宋_GB2312" w:eastAsia="仿宋_GB2312"/>
                <w:color w:val="auto"/>
                <w:sz w:val="24"/>
              </w:rPr>
            </w:pPr>
            <w:r>
              <w:rPr>
                <w:rFonts w:hint="eastAsia" w:ascii="仿宋_GB2312" w:eastAsia="仿宋_GB2312"/>
                <w:color w:val="auto"/>
                <w:sz w:val="24"/>
              </w:rPr>
              <w:t>2</w:t>
            </w:r>
            <w:r>
              <w:rPr>
                <w:rFonts w:hint="eastAsia" w:ascii="仿宋_GB2312" w:hAnsi="宋体" w:eastAsia="仿宋_GB2312"/>
                <w:color w:val="auto"/>
                <w:sz w:val="24"/>
              </w:rPr>
              <w:t>.</w:t>
            </w:r>
            <w:r>
              <w:rPr>
                <w:rFonts w:hint="eastAsia" w:ascii="仿宋_GB2312" w:eastAsia="仿宋_GB2312"/>
                <w:color w:val="auto"/>
                <w:sz w:val="24"/>
              </w:rPr>
              <w:t>售后服务具体事项：</w:t>
            </w:r>
          </w:p>
          <w:p w14:paraId="42BCCED8">
            <w:pPr>
              <w:snapToGrid w:val="0"/>
              <w:spacing w:line="276" w:lineRule="auto"/>
              <w:rPr>
                <w:rFonts w:ascii="仿宋_GB2312" w:eastAsia="仿宋_GB2312"/>
                <w:color w:val="auto"/>
                <w:sz w:val="24"/>
              </w:rPr>
            </w:pPr>
            <w:r>
              <w:rPr>
                <w:rFonts w:hint="eastAsia" w:ascii="仿宋_GB2312" w:eastAsia="仿宋_GB2312"/>
                <w:color w:val="auto"/>
                <w:sz w:val="24"/>
              </w:rPr>
              <w:t xml:space="preserve">    </w:t>
            </w:r>
          </w:p>
        </w:tc>
      </w:tr>
      <w:tr w14:paraId="5CA6608E">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4866A4F0">
            <w:pPr>
              <w:snapToGrid w:val="0"/>
              <w:rPr>
                <w:rFonts w:ascii="仿宋_GB2312" w:eastAsia="仿宋_GB2312"/>
                <w:color w:val="auto"/>
                <w:sz w:val="24"/>
              </w:rPr>
            </w:pPr>
            <w:r>
              <w:rPr>
                <w:rFonts w:hint="eastAsia" w:ascii="仿宋_GB2312" w:eastAsia="仿宋_GB2312"/>
                <w:color w:val="auto"/>
                <w:sz w:val="24"/>
              </w:rPr>
              <w:t>3</w:t>
            </w:r>
            <w:r>
              <w:rPr>
                <w:rFonts w:hint="eastAsia" w:ascii="仿宋_GB2312" w:hAnsi="宋体" w:eastAsia="仿宋_GB2312"/>
                <w:color w:val="auto"/>
                <w:sz w:val="24"/>
              </w:rPr>
              <w:t>.</w:t>
            </w:r>
            <w:r>
              <w:rPr>
                <w:rFonts w:hint="eastAsia" w:ascii="仿宋_GB2312" w:eastAsia="仿宋_GB2312"/>
                <w:color w:val="auto"/>
                <w:sz w:val="24"/>
              </w:rPr>
              <w:t>保修期责任：</w:t>
            </w:r>
          </w:p>
          <w:p w14:paraId="67ABB19A">
            <w:pPr>
              <w:snapToGrid w:val="0"/>
              <w:spacing w:line="276" w:lineRule="auto"/>
              <w:rPr>
                <w:rFonts w:ascii="仿宋_GB2312" w:eastAsia="仿宋_GB2312"/>
                <w:color w:val="auto"/>
                <w:sz w:val="24"/>
              </w:rPr>
            </w:pPr>
            <w:r>
              <w:rPr>
                <w:rFonts w:hint="eastAsia" w:ascii="仿宋_GB2312" w:eastAsia="仿宋_GB2312"/>
                <w:color w:val="auto"/>
                <w:sz w:val="24"/>
              </w:rPr>
              <w:t xml:space="preserve">    </w:t>
            </w:r>
          </w:p>
        </w:tc>
      </w:tr>
      <w:tr w14:paraId="1EC94B50">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4F6E0582">
            <w:pPr>
              <w:snapToGrid w:val="0"/>
              <w:rPr>
                <w:rFonts w:ascii="仿宋_GB2312" w:eastAsia="仿宋_GB2312"/>
                <w:color w:val="auto"/>
                <w:sz w:val="24"/>
              </w:rPr>
            </w:pPr>
            <w:r>
              <w:rPr>
                <w:rFonts w:hint="eastAsia" w:ascii="仿宋_GB2312" w:eastAsia="仿宋_GB2312"/>
                <w:color w:val="auto"/>
                <w:sz w:val="24"/>
              </w:rPr>
              <w:t>4</w:t>
            </w:r>
            <w:r>
              <w:rPr>
                <w:rFonts w:hint="eastAsia" w:ascii="仿宋_GB2312" w:hAnsi="宋体" w:eastAsia="仿宋_GB2312"/>
                <w:color w:val="auto"/>
                <w:sz w:val="24"/>
              </w:rPr>
              <w:t>.</w:t>
            </w:r>
            <w:r>
              <w:rPr>
                <w:rFonts w:hint="eastAsia" w:ascii="仿宋_GB2312" w:eastAsia="仿宋_GB2312"/>
                <w:color w:val="auto"/>
                <w:sz w:val="24"/>
              </w:rPr>
              <w:t>其他具体事项：</w:t>
            </w:r>
          </w:p>
          <w:p w14:paraId="2FE548FB">
            <w:pPr>
              <w:snapToGrid w:val="0"/>
              <w:rPr>
                <w:rFonts w:ascii="仿宋_GB2312" w:eastAsia="仿宋_GB2312"/>
                <w:color w:val="auto"/>
                <w:sz w:val="24"/>
              </w:rPr>
            </w:pPr>
          </w:p>
        </w:tc>
      </w:tr>
      <w:tr w14:paraId="07537FBD">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4D8CE865">
            <w:pPr>
              <w:snapToGrid w:val="0"/>
              <w:spacing w:line="276" w:lineRule="auto"/>
              <w:rPr>
                <w:rFonts w:ascii="仿宋_GB2312" w:eastAsia="仿宋_GB2312"/>
                <w:color w:val="auto"/>
                <w:sz w:val="24"/>
              </w:rPr>
            </w:pPr>
            <w:r>
              <w:rPr>
                <w:rFonts w:hint="eastAsia" w:ascii="仿宋_GB2312" w:eastAsia="仿宋_GB2312"/>
                <w:color w:val="auto"/>
                <w:sz w:val="24"/>
              </w:rPr>
              <w:t>甲方（章）</w:t>
            </w:r>
          </w:p>
          <w:p w14:paraId="40D096F9">
            <w:pPr>
              <w:snapToGrid w:val="0"/>
              <w:spacing w:line="276" w:lineRule="auto"/>
              <w:ind w:firstLine="480" w:firstLineChars="200"/>
              <w:rPr>
                <w:rFonts w:ascii="仿宋_GB2312" w:eastAsia="仿宋_GB2312"/>
                <w:color w:val="auto"/>
                <w:sz w:val="24"/>
              </w:rPr>
            </w:pPr>
          </w:p>
          <w:p w14:paraId="67787BB5">
            <w:pPr>
              <w:snapToGrid w:val="0"/>
              <w:spacing w:line="276" w:lineRule="auto"/>
              <w:ind w:firstLine="480" w:firstLineChars="200"/>
              <w:rPr>
                <w:rFonts w:ascii="仿宋_GB2312" w:eastAsia="仿宋_GB2312"/>
                <w:color w:val="auto"/>
                <w:sz w:val="24"/>
              </w:rPr>
            </w:pPr>
          </w:p>
          <w:p w14:paraId="18C9F1CF">
            <w:pPr>
              <w:snapToGrid w:val="0"/>
              <w:spacing w:line="276" w:lineRule="auto"/>
              <w:ind w:firstLine="480" w:firstLineChars="200"/>
              <w:rPr>
                <w:rFonts w:ascii="仿宋_GB2312" w:eastAsia="仿宋_GB2312"/>
                <w:color w:val="auto"/>
                <w:sz w:val="24"/>
              </w:rPr>
            </w:pPr>
          </w:p>
          <w:p w14:paraId="0BF75D36">
            <w:pPr>
              <w:snapToGrid w:val="0"/>
              <w:spacing w:line="276" w:lineRule="auto"/>
              <w:ind w:firstLine="480" w:firstLineChars="200"/>
              <w:rPr>
                <w:rFonts w:ascii="仿宋_GB2312" w:eastAsia="仿宋_GB2312"/>
                <w:color w:val="auto"/>
                <w:sz w:val="24"/>
              </w:rPr>
            </w:pPr>
          </w:p>
          <w:p w14:paraId="17474006">
            <w:pPr>
              <w:snapToGrid w:val="0"/>
              <w:spacing w:line="276" w:lineRule="auto"/>
              <w:ind w:firstLine="480" w:firstLineChars="200"/>
              <w:rPr>
                <w:rFonts w:ascii="仿宋_GB2312" w:eastAsia="仿宋_GB2312"/>
                <w:color w:val="auto"/>
                <w:sz w:val="24"/>
              </w:rPr>
            </w:pPr>
          </w:p>
          <w:p w14:paraId="2DFF5FEA">
            <w:pPr>
              <w:snapToGrid w:val="0"/>
              <w:spacing w:line="276" w:lineRule="auto"/>
              <w:ind w:firstLine="480" w:firstLineChars="200"/>
              <w:rPr>
                <w:rFonts w:ascii="仿宋_GB2312" w:eastAsia="仿宋_GB2312"/>
                <w:color w:val="auto"/>
                <w:sz w:val="24"/>
              </w:rPr>
            </w:pPr>
          </w:p>
          <w:p w14:paraId="192C05CD">
            <w:pPr>
              <w:snapToGrid w:val="0"/>
              <w:spacing w:line="276" w:lineRule="auto"/>
              <w:ind w:firstLine="480" w:firstLineChars="200"/>
              <w:rPr>
                <w:rFonts w:ascii="仿宋_GB2312" w:eastAsia="仿宋_GB2312"/>
                <w:color w:val="auto"/>
                <w:sz w:val="24"/>
              </w:rPr>
            </w:pPr>
            <w:r>
              <w:rPr>
                <w:rFonts w:hint="eastAsia" w:ascii="仿宋_GB2312" w:eastAsia="仿宋_GB2312"/>
                <w:color w:val="auto"/>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610C3325">
            <w:pPr>
              <w:snapToGrid w:val="0"/>
              <w:spacing w:line="276" w:lineRule="auto"/>
              <w:rPr>
                <w:rFonts w:ascii="仿宋_GB2312" w:eastAsia="仿宋_GB2312"/>
                <w:color w:val="auto"/>
                <w:sz w:val="24"/>
              </w:rPr>
            </w:pPr>
            <w:r>
              <w:rPr>
                <w:rFonts w:hint="eastAsia" w:ascii="仿宋_GB2312" w:eastAsia="仿宋_GB2312"/>
                <w:color w:val="auto"/>
                <w:sz w:val="24"/>
              </w:rPr>
              <w:t>乙方（章）</w:t>
            </w:r>
          </w:p>
          <w:p w14:paraId="673AC284">
            <w:pPr>
              <w:snapToGrid w:val="0"/>
              <w:spacing w:line="276" w:lineRule="auto"/>
              <w:ind w:firstLine="480" w:firstLineChars="200"/>
              <w:rPr>
                <w:rFonts w:ascii="仿宋_GB2312" w:eastAsia="仿宋_GB2312"/>
                <w:color w:val="auto"/>
                <w:sz w:val="24"/>
              </w:rPr>
            </w:pPr>
          </w:p>
          <w:p w14:paraId="1008123C">
            <w:pPr>
              <w:snapToGrid w:val="0"/>
              <w:spacing w:line="276" w:lineRule="auto"/>
              <w:ind w:firstLine="480" w:firstLineChars="200"/>
              <w:rPr>
                <w:rFonts w:ascii="仿宋_GB2312" w:eastAsia="仿宋_GB2312"/>
                <w:color w:val="auto"/>
                <w:sz w:val="24"/>
              </w:rPr>
            </w:pPr>
          </w:p>
          <w:p w14:paraId="5037BFBD">
            <w:pPr>
              <w:snapToGrid w:val="0"/>
              <w:spacing w:line="276" w:lineRule="auto"/>
              <w:ind w:firstLine="480" w:firstLineChars="200"/>
              <w:rPr>
                <w:rFonts w:ascii="仿宋_GB2312" w:eastAsia="仿宋_GB2312"/>
                <w:color w:val="auto"/>
                <w:sz w:val="24"/>
              </w:rPr>
            </w:pPr>
          </w:p>
          <w:p w14:paraId="69244F60">
            <w:pPr>
              <w:snapToGrid w:val="0"/>
              <w:spacing w:line="276" w:lineRule="auto"/>
              <w:ind w:firstLine="480" w:firstLineChars="200"/>
              <w:rPr>
                <w:rFonts w:ascii="仿宋_GB2312" w:eastAsia="仿宋_GB2312"/>
                <w:color w:val="auto"/>
                <w:sz w:val="24"/>
              </w:rPr>
            </w:pPr>
          </w:p>
          <w:p w14:paraId="672E05A1">
            <w:pPr>
              <w:snapToGrid w:val="0"/>
              <w:spacing w:line="276" w:lineRule="auto"/>
              <w:ind w:firstLine="480" w:firstLineChars="200"/>
              <w:rPr>
                <w:rFonts w:ascii="仿宋_GB2312" w:eastAsia="仿宋_GB2312"/>
                <w:color w:val="auto"/>
                <w:sz w:val="24"/>
              </w:rPr>
            </w:pPr>
          </w:p>
          <w:p w14:paraId="3A4F9214">
            <w:pPr>
              <w:snapToGrid w:val="0"/>
              <w:spacing w:line="276" w:lineRule="auto"/>
              <w:ind w:firstLine="480" w:firstLineChars="200"/>
              <w:rPr>
                <w:rFonts w:ascii="仿宋_GB2312" w:eastAsia="仿宋_GB2312"/>
                <w:color w:val="auto"/>
                <w:sz w:val="24"/>
              </w:rPr>
            </w:pPr>
          </w:p>
          <w:p w14:paraId="79B45C89">
            <w:pPr>
              <w:snapToGrid w:val="0"/>
              <w:spacing w:line="276" w:lineRule="auto"/>
              <w:ind w:firstLine="480" w:firstLineChars="200"/>
              <w:rPr>
                <w:rFonts w:ascii="仿宋_GB2312" w:eastAsia="仿宋_GB2312"/>
                <w:color w:val="auto"/>
                <w:sz w:val="24"/>
              </w:rPr>
            </w:pPr>
            <w:r>
              <w:rPr>
                <w:rFonts w:hint="eastAsia" w:ascii="仿宋_GB2312" w:eastAsia="仿宋_GB2312"/>
                <w:color w:val="auto"/>
                <w:sz w:val="24"/>
              </w:rPr>
              <w:t xml:space="preserve">                年   月   日</w:t>
            </w:r>
          </w:p>
        </w:tc>
      </w:tr>
    </w:tbl>
    <w:p w14:paraId="41A00F93">
      <w:pPr>
        <w:snapToGrid w:val="0"/>
        <w:ind w:firstLine="480" w:firstLineChars="200"/>
        <w:rPr>
          <w:rFonts w:ascii="仿宋_GB2312" w:eastAsia="仿宋_GB2312"/>
          <w:color w:val="auto"/>
          <w:sz w:val="24"/>
        </w:rPr>
      </w:pPr>
      <w:r>
        <w:rPr>
          <w:rFonts w:hint="eastAsia" w:ascii="仿宋_GB2312" w:eastAsia="仿宋_GB2312"/>
          <w:color w:val="auto"/>
          <w:sz w:val="24"/>
        </w:rPr>
        <w:t>注：售后服务事项填不下时可另加附页</w:t>
      </w:r>
    </w:p>
    <w:p w14:paraId="5F0B3A09">
      <w:pPr>
        <w:snapToGrid w:val="0"/>
        <w:ind w:firstLine="480" w:firstLineChars="200"/>
        <w:rPr>
          <w:rFonts w:ascii="仿宋_GB2312" w:eastAsia="仿宋_GB2312"/>
          <w:color w:val="auto"/>
          <w:sz w:val="24"/>
        </w:rPr>
        <w:sectPr>
          <w:pgSz w:w="11906" w:h="16838"/>
          <w:pgMar w:top="1440" w:right="1440" w:bottom="1440" w:left="1440" w:header="851" w:footer="992" w:gutter="0"/>
          <w:cols w:space="720" w:num="1"/>
          <w:docGrid w:linePitch="312" w:charSpace="0"/>
        </w:sectPr>
      </w:pPr>
    </w:p>
    <w:p w14:paraId="1364790B">
      <w:pPr>
        <w:spacing w:before="120" w:beforeLines="50" w:after="480" w:afterLines="200" w:line="340" w:lineRule="exact"/>
        <w:jc w:val="center"/>
        <w:rPr>
          <w:b/>
          <w:color w:val="auto"/>
          <w:kern w:val="0"/>
          <w:sz w:val="32"/>
          <w:szCs w:val="32"/>
        </w:rPr>
      </w:pPr>
      <w:r>
        <w:rPr>
          <w:rFonts w:hint="eastAsia"/>
          <w:b/>
          <w:bCs/>
          <w:color w:val="auto"/>
          <w:kern w:val="0"/>
          <w:sz w:val="32"/>
          <w:szCs w:val="32"/>
        </w:rPr>
        <w:t>广西壮族自治区政府采购项目</w:t>
      </w:r>
      <w:r>
        <w:rPr>
          <w:rFonts w:hint="eastAsia"/>
          <w:b/>
          <w:color w:val="auto"/>
          <w:kern w:val="0"/>
          <w:sz w:val="32"/>
          <w:szCs w:val="32"/>
        </w:rPr>
        <w:t>合同验收书（格式）</w:t>
      </w:r>
    </w:p>
    <w:p w14:paraId="3974FF23">
      <w:pPr>
        <w:spacing w:line="340" w:lineRule="exact"/>
        <w:ind w:firstLine="420" w:firstLineChars="200"/>
        <w:rPr>
          <w:rFonts w:ascii="仿宋_GB2312" w:eastAsia="仿宋_GB2312"/>
          <w:color w:val="auto"/>
          <w:kern w:val="0"/>
          <w:szCs w:val="21"/>
        </w:rPr>
      </w:pPr>
      <w:r>
        <w:rPr>
          <w:rFonts w:hint="eastAsia" w:ascii="仿宋_GB2312" w:eastAsia="仿宋_GB2312"/>
          <w:color w:val="auto"/>
          <w:kern w:val="0"/>
          <w:szCs w:val="21"/>
        </w:rPr>
        <w:t>根据政府采购项目（采购合同编号：</w:t>
      </w:r>
      <w:r>
        <w:rPr>
          <w:rFonts w:hint="eastAsia" w:ascii="仿宋_GB2312" w:eastAsia="仿宋_GB2312"/>
          <w:color w:val="auto"/>
          <w:kern w:val="0"/>
          <w:szCs w:val="21"/>
        </w:rPr>
        <w:softHyphen/>
      </w:r>
      <w:r>
        <w:rPr>
          <w:rFonts w:hint="eastAsia" w:eastAsia="仿宋_GB2312"/>
          <w:color w:val="auto"/>
          <w:kern w:val="0"/>
          <w:szCs w:val="21"/>
        </w:rPr>
        <w:t>   </w:t>
      </w:r>
      <w:r>
        <w:rPr>
          <w:rFonts w:hint="eastAsia" w:ascii="仿宋_GB2312" w:eastAsia="仿宋_GB2312"/>
          <w:color w:val="auto"/>
          <w:kern w:val="0"/>
          <w:szCs w:val="21"/>
        </w:rPr>
        <w:t>）的约定，我单位对</w:t>
      </w:r>
      <w:r>
        <w:rPr>
          <w:rFonts w:hint="eastAsia" w:ascii="仿宋_GB2312" w:eastAsia="仿宋_GB2312"/>
          <w:color w:val="auto"/>
          <w:kern w:val="0"/>
          <w:szCs w:val="21"/>
          <w:u w:val="single"/>
        </w:rPr>
        <w:t>（ 项目名称 ）</w:t>
      </w:r>
      <w:r>
        <w:rPr>
          <w:rFonts w:hint="eastAsia" w:ascii="仿宋_GB2312" w:eastAsia="仿宋_GB2312"/>
          <w:color w:val="auto"/>
          <w:kern w:val="0"/>
          <w:szCs w:val="21"/>
        </w:rPr>
        <w:t>政府采购项目中标人</w:t>
      </w:r>
      <w:r>
        <w:rPr>
          <w:rFonts w:hint="eastAsia" w:ascii="仿宋_GB2312" w:eastAsia="仿宋_GB2312"/>
          <w:color w:val="auto"/>
          <w:kern w:val="0"/>
          <w:szCs w:val="21"/>
          <w:u w:val="single"/>
        </w:rPr>
        <w:t>（ 公司名称 ）</w:t>
      </w:r>
      <w:r>
        <w:rPr>
          <w:rFonts w:hint="eastAsia" w:ascii="仿宋_GB2312" w:eastAsia="仿宋_GB2312"/>
          <w:color w:val="auto"/>
          <w:kern w:val="0"/>
          <w:szCs w:val="21"/>
        </w:rPr>
        <w:t>提供的货物进行了验收，验收情况如下：</w:t>
      </w:r>
    </w:p>
    <w:tbl>
      <w:tblPr>
        <w:tblStyle w:val="51"/>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22AF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313AC02E">
            <w:pPr>
              <w:spacing w:line="340" w:lineRule="exact"/>
              <w:jc w:val="center"/>
              <w:rPr>
                <w:rFonts w:ascii="仿宋_GB2312" w:eastAsia="仿宋_GB2312"/>
                <w:b/>
                <w:color w:val="auto"/>
                <w:szCs w:val="21"/>
              </w:rPr>
            </w:pPr>
            <w:r>
              <w:rPr>
                <w:rFonts w:hint="eastAsia" w:ascii="仿宋_GB2312" w:eastAsia="仿宋_GB2312"/>
                <w:color w:val="auto"/>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2C7DF01E">
            <w:pPr>
              <w:spacing w:line="340" w:lineRule="exact"/>
              <w:jc w:val="center"/>
              <w:rPr>
                <w:rFonts w:ascii="仿宋_GB2312" w:eastAsia="仿宋_GB2312"/>
                <w:b/>
                <w:color w:val="auto"/>
                <w:szCs w:val="21"/>
              </w:rPr>
            </w:pPr>
            <w:r>
              <w:rPr>
                <w:rFonts w:hint="eastAsia" w:ascii="仿宋_GB2312" w:eastAsia="仿宋_GB2312"/>
                <w:color w:val="auto"/>
                <w:kern w:val="0"/>
                <w:szCs w:val="21"/>
              </w:rPr>
              <w:t>□自行验收</w:t>
            </w:r>
            <w:r>
              <w:rPr>
                <w:rFonts w:eastAsia="仿宋_GB2312"/>
                <w:color w:val="auto"/>
                <w:kern w:val="0"/>
                <w:szCs w:val="21"/>
              </w:rPr>
              <w:t>    </w:t>
            </w:r>
            <w:r>
              <w:rPr>
                <w:rFonts w:hint="eastAsia" w:ascii="仿宋_GB2312" w:eastAsia="仿宋_GB2312"/>
                <w:color w:val="auto"/>
                <w:kern w:val="0"/>
                <w:szCs w:val="21"/>
              </w:rPr>
              <w:t>□委托验收</w:t>
            </w:r>
          </w:p>
        </w:tc>
      </w:tr>
      <w:tr w14:paraId="43DB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00D26F15">
            <w:pPr>
              <w:widowControl/>
              <w:snapToGrid w:val="0"/>
              <w:spacing w:before="100" w:beforeAutospacing="1" w:after="100" w:afterAutospacing="1" w:line="320" w:lineRule="atLeast"/>
              <w:ind w:firstLine="2"/>
              <w:jc w:val="center"/>
              <w:rPr>
                <w:rFonts w:ascii="仿宋_GB2312" w:eastAsia="仿宋_GB2312"/>
                <w:color w:val="auto"/>
                <w:kern w:val="0"/>
                <w:szCs w:val="21"/>
              </w:rPr>
            </w:pPr>
            <w:r>
              <w:rPr>
                <w:rFonts w:hint="eastAsia" w:ascii="仿宋_GB2312" w:eastAsia="仿宋_GB2312"/>
                <w:color w:val="auto"/>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0B731F18">
            <w:pPr>
              <w:widowControl/>
              <w:snapToGrid w:val="0"/>
              <w:spacing w:before="100" w:beforeAutospacing="1" w:after="100" w:afterAutospacing="1" w:line="320" w:lineRule="atLeast"/>
              <w:ind w:firstLine="2"/>
              <w:jc w:val="center"/>
              <w:rPr>
                <w:rFonts w:ascii="仿宋_GB2312" w:eastAsia="仿宋_GB2312"/>
                <w:color w:val="auto"/>
                <w:kern w:val="0"/>
                <w:szCs w:val="21"/>
              </w:rPr>
            </w:pPr>
            <w:r>
              <w:rPr>
                <w:rFonts w:hint="eastAsia" w:ascii="仿宋_GB2312" w:eastAsia="仿宋_GB2312"/>
                <w:color w:val="auto"/>
                <w:kern w:val="0"/>
                <w:szCs w:val="21"/>
              </w:rPr>
              <w:t>名</w:t>
            </w:r>
            <w:r>
              <w:rPr>
                <w:rFonts w:eastAsia="仿宋_GB2312"/>
                <w:color w:val="auto"/>
                <w:kern w:val="0"/>
                <w:szCs w:val="21"/>
              </w:rPr>
              <w:t> </w:t>
            </w:r>
            <w:r>
              <w:rPr>
                <w:rFonts w:hint="eastAsia" w:ascii="仿宋_GB2312" w:eastAsia="仿宋_GB2312"/>
                <w:color w:val="auto"/>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3D02593F">
            <w:pPr>
              <w:widowControl/>
              <w:snapToGrid w:val="0"/>
              <w:spacing w:before="100" w:beforeAutospacing="1" w:after="100" w:afterAutospacing="1" w:line="320" w:lineRule="atLeast"/>
              <w:ind w:firstLine="2"/>
              <w:jc w:val="center"/>
              <w:rPr>
                <w:rFonts w:ascii="仿宋_GB2312" w:eastAsia="仿宋_GB2312"/>
                <w:color w:val="auto"/>
                <w:kern w:val="0"/>
                <w:szCs w:val="21"/>
              </w:rPr>
            </w:pPr>
            <w:r>
              <w:rPr>
                <w:rFonts w:hint="eastAsia" w:ascii="仿宋_GB2312" w:eastAsia="仿宋_GB2312"/>
                <w:color w:val="auto"/>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21216265">
            <w:pPr>
              <w:widowControl/>
              <w:snapToGrid w:val="0"/>
              <w:spacing w:before="100" w:beforeAutospacing="1" w:after="100" w:afterAutospacing="1" w:line="320" w:lineRule="atLeast"/>
              <w:jc w:val="center"/>
              <w:rPr>
                <w:rFonts w:ascii="仿宋_GB2312" w:eastAsia="仿宋_GB2312"/>
                <w:color w:val="auto"/>
                <w:kern w:val="0"/>
                <w:szCs w:val="21"/>
              </w:rPr>
            </w:pPr>
            <w:r>
              <w:rPr>
                <w:rFonts w:hint="eastAsia" w:ascii="仿宋_GB2312" w:eastAsia="仿宋_GB2312"/>
                <w:color w:val="auto"/>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391E8E9E">
            <w:pPr>
              <w:widowControl/>
              <w:snapToGrid w:val="0"/>
              <w:spacing w:before="100" w:beforeAutospacing="1" w:after="100" w:afterAutospacing="1" w:line="320" w:lineRule="atLeast"/>
              <w:ind w:firstLine="2"/>
              <w:jc w:val="center"/>
              <w:rPr>
                <w:rFonts w:ascii="仿宋_GB2312" w:eastAsia="仿宋_GB2312"/>
                <w:color w:val="auto"/>
                <w:kern w:val="0"/>
                <w:szCs w:val="21"/>
              </w:rPr>
            </w:pPr>
            <w:r>
              <w:rPr>
                <w:rFonts w:hint="eastAsia" w:ascii="仿宋_GB2312" w:eastAsia="仿宋_GB2312"/>
                <w:color w:val="auto"/>
                <w:kern w:val="0"/>
                <w:szCs w:val="21"/>
              </w:rPr>
              <w:t>金</w:t>
            </w:r>
            <w:r>
              <w:rPr>
                <w:rFonts w:eastAsia="仿宋_GB2312"/>
                <w:color w:val="auto"/>
                <w:kern w:val="0"/>
                <w:szCs w:val="21"/>
              </w:rPr>
              <w:t> </w:t>
            </w:r>
            <w:r>
              <w:rPr>
                <w:rFonts w:hint="eastAsia" w:ascii="仿宋_GB2312" w:eastAsia="仿宋_GB2312"/>
                <w:color w:val="auto"/>
                <w:kern w:val="0"/>
                <w:szCs w:val="21"/>
              </w:rPr>
              <w:t>额</w:t>
            </w:r>
          </w:p>
        </w:tc>
      </w:tr>
      <w:tr w14:paraId="2B99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7F1E539E">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0AFA9E58">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B22D226">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1BF98028">
            <w:pPr>
              <w:widowControl/>
              <w:snapToGrid w:val="0"/>
              <w:spacing w:before="100" w:beforeAutospacing="1" w:after="100" w:afterAutospacing="1" w:line="320" w:lineRule="atLeast"/>
              <w:jc w:val="center"/>
              <w:rPr>
                <w:rFonts w:ascii="仿宋_GB2312" w:eastAsia="仿宋_GB2312"/>
                <w:color w:val="auto"/>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D21241A">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r>
      <w:tr w14:paraId="4FF6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36BD5D76">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4073A433">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10D4D597">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1D428E64">
            <w:pPr>
              <w:widowControl/>
              <w:snapToGrid w:val="0"/>
              <w:spacing w:before="100" w:beforeAutospacing="1" w:after="100" w:afterAutospacing="1" w:line="320" w:lineRule="atLeast"/>
              <w:jc w:val="center"/>
              <w:rPr>
                <w:rFonts w:ascii="仿宋_GB2312" w:eastAsia="仿宋_GB2312"/>
                <w:color w:val="auto"/>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10BBBD71">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r>
      <w:tr w14:paraId="62DB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290AFC7E">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7A334BC9">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11D7EC04">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19DCA29E">
            <w:pPr>
              <w:widowControl/>
              <w:snapToGrid w:val="0"/>
              <w:spacing w:before="100" w:beforeAutospacing="1" w:after="100" w:afterAutospacing="1" w:line="320" w:lineRule="atLeast"/>
              <w:jc w:val="center"/>
              <w:rPr>
                <w:rFonts w:ascii="仿宋_GB2312" w:eastAsia="仿宋_GB2312"/>
                <w:color w:val="auto"/>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358E9EB6">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r>
      <w:tr w14:paraId="4D69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114E3E79">
            <w:pPr>
              <w:widowControl/>
              <w:snapToGrid w:val="0"/>
              <w:spacing w:before="100" w:beforeAutospacing="1" w:after="100" w:afterAutospacing="1" w:line="320" w:lineRule="atLeast"/>
              <w:ind w:firstLine="2"/>
              <w:jc w:val="left"/>
              <w:rPr>
                <w:rFonts w:ascii="仿宋_GB2312" w:eastAsia="仿宋_GB2312"/>
                <w:color w:val="auto"/>
                <w:kern w:val="0"/>
                <w:szCs w:val="21"/>
              </w:rPr>
            </w:pPr>
            <w:r>
              <w:rPr>
                <w:rFonts w:hint="eastAsia" w:ascii="仿宋_GB2312" w:eastAsia="仿宋_GB2312"/>
                <w:color w:val="auto"/>
                <w:kern w:val="0"/>
                <w:szCs w:val="21"/>
              </w:rPr>
              <w:t>合</w:t>
            </w:r>
            <w:r>
              <w:rPr>
                <w:rFonts w:eastAsia="仿宋_GB2312"/>
                <w:color w:val="auto"/>
                <w:kern w:val="0"/>
                <w:szCs w:val="21"/>
              </w:rPr>
              <w:t>  </w:t>
            </w:r>
            <w:r>
              <w:rPr>
                <w:rFonts w:hint="eastAsia" w:ascii="仿宋_GB2312" w:eastAsia="仿宋_GB2312"/>
                <w:color w:val="auto"/>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2FA9263D">
            <w:pPr>
              <w:widowControl/>
              <w:snapToGrid w:val="0"/>
              <w:spacing w:before="100" w:beforeAutospacing="1" w:after="100" w:afterAutospacing="1" w:line="320" w:lineRule="atLeast"/>
              <w:jc w:val="center"/>
              <w:rPr>
                <w:rFonts w:ascii="仿宋_GB2312" w:eastAsia="仿宋_GB2312"/>
                <w:color w:val="auto"/>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28032948">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r>
      <w:tr w14:paraId="077A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2E92CF25">
            <w:pPr>
              <w:widowControl/>
              <w:snapToGrid w:val="0"/>
              <w:spacing w:before="100" w:beforeAutospacing="1" w:after="100" w:afterAutospacing="1" w:line="320" w:lineRule="atLeast"/>
              <w:ind w:firstLine="2"/>
              <w:jc w:val="left"/>
              <w:rPr>
                <w:rFonts w:ascii="仿宋_GB2312" w:eastAsia="仿宋_GB2312"/>
                <w:color w:val="auto"/>
                <w:kern w:val="0"/>
                <w:szCs w:val="21"/>
              </w:rPr>
            </w:pPr>
            <w:r>
              <w:rPr>
                <w:rFonts w:hint="eastAsia" w:ascii="仿宋_GB2312" w:eastAsia="仿宋_GB2312"/>
                <w:color w:val="auto"/>
                <w:kern w:val="0"/>
                <w:szCs w:val="21"/>
              </w:rPr>
              <w:t>合计大写金额：</w:t>
            </w:r>
            <w:r>
              <w:rPr>
                <w:rFonts w:eastAsia="仿宋_GB2312"/>
                <w:color w:val="auto"/>
                <w:kern w:val="0"/>
                <w:szCs w:val="21"/>
              </w:rPr>
              <w:t> </w:t>
            </w:r>
            <w:r>
              <w:rPr>
                <w:rFonts w:hint="eastAsia" w:ascii="仿宋_GB2312" w:eastAsia="仿宋_GB2312"/>
                <w:color w:val="auto"/>
                <w:kern w:val="0"/>
                <w:szCs w:val="21"/>
              </w:rPr>
              <w:t xml:space="preserve"> </w:t>
            </w:r>
          </w:p>
        </w:tc>
      </w:tr>
      <w:tr w14:paraId="7450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3F4CEC9F">
            <w:pPr>
              <w:widowControl/>
              <w:snapToGrid w:val="0"/>
              <w:spacing w:before="100" w:beforeAutospacing="1" w:after="100" w:afterAutospacing="1" w:line="320" w:lineRule="atLeast"/>
              <w:ind w:firstLine="2"/>
              <w:jc w:val="center"/>
              <w:rPr>
                <w:rFonts w:ascii="仿宋_GB2312" w:eastAsia="仿宋_GB2312"/>
                <w:color w:val="auto"/>
                <w:kern w:val="0"/>
                <w:szCs w:val="21"/>
              </w:rPr>
            </w:pPr>
            <w:r>
              <w:rPr>
                <w:rFonts w:hint="eastAsia" w:ascii="仿宋_GB2312" w:eastAsia="仿宋_GB2312"/>
                <w:color w:val="auto"/>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210AD60F">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1FED3CF2">
            <w:pPr>
              <w:widowControl/>
              <w:snapToGrid w:val="0"/>
              <w:spacing w:before="100" w:beforeAutospacing="1" w:after="100" w:afterAutospacing="1" w:line="320" w:lineRule="atLeast"/>
              <w:ind w:firstLine="2"/>
              <w:jc w:val="center"/>
              <w:rPr>
                <w:rFonts w:ascii="仿宋_GB2312" w:eastAsia="仿宋_GB2312"/>
                <w:color w:val="auto"/>
                <w:kern w:val="0"/>
                <w:szCs w:val="21"/>
              </w:rPr>
            </w:pPr>
            <w:r>
              <w:rPr>
                <w:rFonts w:hint="eastAsia" w:ascii="仿宋_GB2312" w:eastAsia="仿宋_GB2312"/>
                <w:color w:val="auto"/>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25D6AE14">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r>
      <w:tr w14:paraId="05C3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07127D8A">
            <w:pPr>
              <w:widowControl/>
              <w:snapToGrid w:val="0"/>
              <w:spacing w:before="100" w:beforeAutospacing="1" w:after="100" w:afterAutospacing="1" w:line="320" w:lineRule="atLeast"/>
              <w:ind w:firstLine="2"/>
              <w:jc w:val="left"/>
              <w:rPr>
                <w:rFonts w:ascii="仿宋_GB2312" w:eastAsia="仿宋_GB2312"/>
                <w:color w:val="auto"/>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376A5F71">
            <w:pPr>
              <w:widowControl/>
              <w:snapToGrid w:val="0"/>
              <w:spacing w:before="100" w:beforeAutospacing="1" w:after="100" w:afterAutospacing="1" w:line="320" w:lineRule="atLeast"/>
              <w:ind w:firstLine="2"/>
              <w:jc w:val="left"/>
              <w:rPr>
                <w:rFonts w:ascii="仿宋_GB2312" w:eastAsia="仿宋_GB2312"/>
                <w:color w:val="auto"/>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768BC48F">
            <w:pPr>
              <w:widowControl/>
              <w:snapToGrid w:val="0"/>
              <w:spacing w:before="100" w:beforeAutospacing="1" w:after="100" w:afterAutospacing="1" w:line="320" w:lineRule="atLeast"/>
              <w:ind w:firstLine="2"/>
              <w:jc w:val="left"/>
              <w:rPr>
                <w:rFonts w:ascii="仿宋_GB2312" w:eastAsia="仿宋_GB2312"/>
                <w:color w:val="auto"/>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28A97A0E">
            <w:pPr>
              <w:widowControl/>
              <w:snapToGrid w:val="0"/>
              <w:spacing w:before="100" w:beforeAutospacing="1" w:after="100" w:afterAutospacing="1" w:line="320" w:lineRule="atLeast"/>
              <w:ind w:firstLine="2"/>
              <w:jc w:val="left"/>
              <w:rPr>
                <w:rFonts w:ascii="仿宋_GB2312" w:eastAsia="仿宋_GB2312"/>
                <w:color w:val="auto"/>
                <w:kern w:val="0"/>
                <w:szCs w:val="21"/>
              </w:rPr>
            </w:pPr>
          </w:p>
        </w:tc>
      </w:tr>
      <w:tr w14:paraId="15B5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10FF0746">
            <w:pPr>
              <w:widowControl/>
              <w:snapToGrid w:val="0"/>
              <w:spacing w:before="100" w:beforeAutospacing="1" w:after="100" w:afterAutospacing="1" w:line="320" w:lineRule="atLeast"/>
              <w:ind w:firstLine="2"/>
              <w:jc w:val="left"/>
              <w:rPr>
                <w:rFonts w:ascii="仿宋_GB2312" w:eastAsia="仿宋_GB2312"/>
                <w:color w:val="auto"/>
                <w:kern w:val="0"/>
                <w:szCs w:val="21"/>
              </w:rPr>
            </w:pPr>
            <w:r>
              <w:rPr>
                <w:rFonts w:hint="eastAsia" w:ascii="仿宋_GB2312" w:eastAsia="仿宋_GB2312"/>
                <w:color w:val="auto"/>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310EFB15">
            <w:pPr>
              <w:widowControl/>
              <w:snapToGrid w:val="0"/>
              <w:spacing w:before="100" w:beforeAutospacing="1" w:after="100" w:afterAutospacing="1" w:line="320" w:lineRule="atLeast"/>
              <w:jc w:val="left"/>
              <w:rPr>
                <w:rFonts w:ascii="仿宋_GB2312" w:eastAsia="仿宋_GB2312"/>
                <w:color w:val="auto"/>
                <w:kern w:val="0"/>
                <w:szCs w:val="21"/>
              </w:rPr>
            </w:pPr>
            <w:r>
              <w:rPr>
                <w:rFonts w:hint="eastAsia" w:ascii="仿宋_GB2312" w:hAnsi="宋体" w:eastAsia="仿宋_GB2312" w:cs="宋体"/>
                <w:color w:val="auto"/>
                <w:kern w:val="0"/>
                <w:szCs w:val="21"/>
              </w:rPr>
              <w:t>（应按采购合同、采购文件、投标文件及验收方案等进行验收；并核对中标人在安装调试等方面是否违反合同约定或服务规范要求、提供的质量保证证明材料是否齐全、应有的配件及附件是否达到合同约定等。可附件)</w:t>
            </w:r>
          </w:p>
        </w:tc>
      </w:tr>
      <w:tr w14:paraId="0451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7F4777CB">
            <w:pPr>
              <w:widowControl/>
              <w:snapToGrid w:val="0"/>
              <w:spacing w:before="100" w:beforeAutospacing="1" w:after="100" w:afterAutospacing="1" w:line="320" w:lineRule="atLeast"/>
              <w:ind w:firstLine="2"/>
              <w:jc w:val="left"/>
              <w:rPr>
                <w:rFonts w:ascii="仿宋_GB2312" w:eastAsia="仿宋_GB2312"/>
                <w:color w:val="auto"/>
                <w:kern w:val="0"/>
                <w:szCs w:val="21"/>
              </w:rPr>
            </w:pPr>
            <w:r>
              <w:rPr>
                <w:rFonts w:hint="eastAsia" w:ascii="仿宋_GB2312" w:eastAsia="仿宋_GB2312"/>
                <w:color w:val="auto"/>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3F9E3F82">
            <w:pPr>
              <w:widowControl/>
              <w:snapToGrid w:val="0"/>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验收结论性意见：</w:t>
            </w:r>
          </w:p>
          <w:p w14:paraId="08E2D7F8">
            <w:pPr>
              <w:widowControl/>
              <w:snapToGrid w:val="0"/>
              <w:spacing w:before="100" w:beforeAutospacing="1" w:after="100" w:afterAutospacing="1" w:line="320" w:lineRule="atLeast"/>
              <w:jc w:val="left"/>
              <w:rPr>
                <w:rFonts w:ascii="仿宋_GB2312" w:eastAsia="仿宋_GB2312"/>
                <w:color w:val="auto"/>
                <w:kern w:val="0"/>
                <w:szCs w:val="21"/>
              </w:rPr>
            </w:pPr>
          </w:p>
        </w:tc>
      </w:tr>
      <w:tr w14:paraId="3200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7DD66CCD">
            <w:pPr>
              <w:widowControl/>
              <w:jc w:val="left"/>
              <w:rPr>
                <w:rFonts w:ascii="仿宋_GB2312" w:eastAsia="仿宋_GB2312"/>
                <w:color w:val="auto"/>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3A34EDCE">
            <w:pPr>
              <w:widowControl/>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有异议的意见和说明理由：</w:t>
            </w:r>
          </w:p>
          <w:p w14:paraId="35731B55">
            <w:pPr>
              <w:widowControl/>
              <w:snapToGrid w:val="0"/>
              <w:spacing w:before="100" w:beforeAutospacing="1" w:after="100" w:afterAutospacing="1" w:line="320" w:lineRule="atLeast"/>
              <w:jc w:val="center"/>
              <w:rPr>
                <w:rFonts w:ascii="仿宋_GB2312" w:eastAsia="仿宋_GB2312"/>
                <w:color w:val="auto"/>
                <w:kern w:val="0"/>
                <w:szCs w:val="21"/>
              </w:rPr>
            </w:pPr>
            <w:r>
              <w:rPr>
                <w:rFonts w:hint="eastAsia" w:ascii="仿宋_GB2312" w:eastAsia="仿宋_GB2312"/>
                <w:color w:val="auto"/>
                <w:kern w:val="0"/>
                <w:szCs w:val="21"/>
              </w:rPr>
              <w:t xml:space="preserve">            签字：</w:t>
            </w:r>
          </w:p>
        </w:tc>
      </w:tr>
      <w:tr w14:paraId="2FD2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5BE6EEA6">
            <w:pPr>
              <w:widowControl/>
              <w:snapToGrid w:val="0"/>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验收小组成员签字：</w:t>
            </w:r>
          </w:p>
        </w:tc>
      </w:tr>
      <w:tr w14:paraId="2354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51B73CA8">
            <w:pPr>
              <w:widowControl/>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监督人员或其他相关人员签字：</w:t>
            </w:r>
          </w:p>
          <w:p w14:paraId="66BC3CB7">
            <w:pPr>
              <w:widowControl/>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或受邀机构的意见（盖章）：</w:t>
            </w:r>
          </w:p>
        </w:tc>
      </w:tr>
      <w:tr w14:paraId="0FB8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2660139A">
            <w:pPr>
              <w:widowControl/>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 xml:space="preserve">中标人负责人签字或者盖章：               </w:t>
            </w:r>
            <w:r>
              <w:rPr>
                <w:rFonts w:eastAsia="仿宋_GB2312"/>
                <w:color w:val="auto"/>
                <w:kern w:val="0"/>
                <w:szCs w:val="21"/>
              </w:rPr>
              <w:t> </w:t>
            </w:r>
            <w:r>
              <w:rPr>
                <w:rFonts w:hint="eastAsia" w:ascii="仿宋_GB2312" w:eastAsia="仿宋_GB2312"/>
                <w:color w:val="auto"/>
                <w:kern w:val="0"/>
                <w:szCs w:val="21"/>
              </w:rPr>
              <w:t>采购人或受托机构的意见（盖章）：</w:t>
            </w:r>
          </w:p>
          <w:p w14:paraId="41074126">
            <w:pPr>
              <w:widowControl/>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 xml:space="preserve">联系电话： </w:t>
            </w:r>
            <w:r>
              <w:rPr>
                <w:rFonts w:eastAsia="仿宋_GB2312"/>
                <w:color w:val="auto"/>
                <w:kern w:val="0"/>
                <w:szCs w:val="21"/>
              </w:rPr>
              <w:t>  </w:t>
            </w:r>
            <w:r>
              <w:rPr>
                <w:rFonts w:hint="eastAsia" w:ascii="仿宋_GB2312" w:eastAsia="仿宋_GB2312"/>
                <w:color w:val="auto"/>
                <w:kern w:val="0"/>
                <w:szCs w:val="21"/>
              </w:rPr>
              <w:t xml:space="preserve">  </w:t>
            </w:r>
            <w:r>
              <w:rPr>
                <w:rFonts w:eastAsia="仿宋_GB2312"/>
                <w:color w:val="auto"/>
                <w:kern w:val="0"/>
                <w:szCs w:val="21"/>
              </w:rPr>
              <w:t>  </w:t>
            </w:r>
            <w:r>
              <w:rPr>
                <w:rFonts w:hint="eastAsia" w:ascii="仿宋_GB2312" w:eastAsia="仿宋_GB2312"/>
                <w:color w:val="auto"/>
                <w:kern w:val="0"/>
                <w:szCs w:val="21"/>
              </w:rPr>
              <w:t xml:space="preserve"> 年</w:t>
            </w:r>
            <w:r>
              <w:rPr>
                <w:rFonts w:eastAsia="仿宋_GB2312"/>
                <w:color w:val="auto"/>
                <w:kern w:val="0"/>
                <w:szCs w:val="21"/>
              </w:rPr>
              <w:t>  </w:t>
            </w:r>
            <w:r>
              <w:rPr>
                <w:rFonts w:hint="eastAsia" w:ascii="仿宋_GB2312" w:eastAsia="仿宋_GB2312"/>
                <w:color w:val="auto"/>
                <w:kern w:val="0"/>
                <w:szCs w:val="21"/>
              </w:rPr>
              <w:t xml:space="preserve"> 月</w:t>
            </w:r>
            <w:r>
              <w:rPr>
                <w:rFonts w:eastAsia="仿宋_GB2312"/>
                <w:color w:val="auto"/>
                <w:kern w:val="0"/>
                <w:szCs w:val="21"/>
              </w:rPr>
              <w:t>  </w:t>
            </w:r>
            <w:r>
              <w:rPr>
                <w:rFonts w:hint="eastAsia" w:ascii="仿宋_GB2312" w:eastAsia="仿宋_GB2312"/>
                <w:color w:val="auto"/>
                <w:kern w:val="0"/>
                <w:szCs w:val="21"/>
              </w:rPr>
              <w:t xml:space="preserve"> 日                     联系电话： </w:t>
            </w:r>
            <w:r>
              <w:rPr>
                <w:rFonts w:eastAsia="仿宋_GB2312"/>
                <w:color w:val="auto"/>
                <w:kern w:val="0"/>
                <w:szCs w:val="21"/>
              </w:rPr>
              <w:t>       </w:t>
            </w:r>
            <w:r>
              <w:rPr>
                <w:rFonts w:hint="eastAsia" w:ascii="仿宋_GB2312" w:eastAsia="仿宋_GB2312"/>
                <w:color w:val="auto"/>
                <w:kern w:val="0"/>
                <w:szCs w:val="21"/>
              </w:rPr>
              <w:t xml:space="preserve"> 年</w:t>
            </w:r>
            <w:r>
              <w:rPr>
                <w:rFonts w:eastAsia="仿宋_GB2312"/>
                <w:color w:val="auto"/>
                <w:kern w:val="0"/>
                <w:szCs w:val="21"/>
              </w:rPr>
              <w:t>  </w:t>
            </w:r>
            <w:r>
              <w:rPr>
                <w:rFonts w:hint="eastAsia" w:ascii="仿宋_GB2312" w:eastAsia="仿宋_GB2312"/>
                <w:color w:val="auto"/>
                <w:kern w:val="0"/>
                <w:szCs w:val="21"/>
              </w:rPr>
              <w:t xml:space="preserve"> 月</w:t>
            </w:r>
            <w:r>
              <w:rPr>
                <w:rFonts w:eastAsia="仿宋_GB2312"/>
                <w:color w:val="auto"/>
                <w:kern w:val="0"/>
                <w:szCs w:val="21"/>
              </w:rPr>
              <w:t>  </w:t>
            </w:r>
            <w:r>
              <w:rPr>
                <w:rFonts w:hint="eastAsia" w:ascii="仿宋_GB2312" w:eastAsia="仿宋_GB2312"/>
                <w:color w:val="auto"/>
                <w:kern w:val="0"/>
                <w:szCs w:val="21"/>
              </w:rPr>
              <w:t xml:space="preserve"> 日</w:t>
            </w:r>
          </w:p>
        </w:tc>
      </w:tr>
    </w:tbl>
    <w:p w14:paraId="78F6034E">
      <w:pPr>
        <w:spacing w:line="276" w:lineRule="auto"/>
        <w:jc w:val="left"/>
        <w:rPr>
          <w:rFonts w:ascii="仿宋_GB2312" w:hAnsi="华文中宋" w:eastAsia="仿宋_GB2312"/>
          <w:bCs/>
          <w:color w:val="auto"/>
          <w:szCs w:val="21"/>
        </w:rPr>
      </w:pPr>
    </w:p>
    <w:p w14:paraId="457F733F">
      <w:pPr>
        <w:ind w:firstLine="422" w:firstLineChars="200"/>
        <w:jc w:val="left"/>
        <w:rPr>
          <w:rFonts w:ascii="仿宋_GB2312" w:eastAsia="仿宋_GB2312"/>
          <w:b/>
          <w:bCs/>
          <w:color w:val="auto"/>
          <w:sz w:val="32"/>
          <w:szCs w:val="32"/>
        </w:rPr>
      </w:pPr>
      <w:r>
        <w:rPr>
          <w:rFonts w:hint="eastAsia" w:ascii="仿宋_GB2312" w:hAnsi="华文中宋" w:eastAsia="仿宋_GB2312"/>
          <w:b/>
          <w:bCs/>
          <w:color w:val="auto"/>
          <w:szCs w:val="21"/>
        </w:rPr>
        <w:t>备注：本验收书一式三份（采购人一份、中标人一份、采购代理机构一份）</w:t>
      </w:r>
      <w:bookmarkEnd w:id="227"/>
      <w:bookmarkEnd w:id="228"/>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7C3421F-0716-4AC2-B5EE-8D7C4E152CE1}"/>
  </w:font>
  <w:font w:name="Courier New">
    <w:panose1 w:val="02070309020205020404"/>
    <w:charset w:val="01"/>
    <w:family w:val="modern"/>
    <w:pitch w:val="default"/>
    <w:sig w:usb0="E0002EFF" w:usb1="C0007843" w:usb2="00000009" w:usb3="00000000" w:csb0="400001FF" w:csb1="FFFF0000"/>
    <w:embedRegular r:id="rId2" w:fontKey="{A22495EE-DFC7-4DFB-B06E-8E91D9E2034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8262378-8AE6-4252-BF4C-D9C70DAD93D0}"/>
  </w:font>
  <w:font w:name="隶书">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4" w:fontKey="{4D724FFB-5943-4B0C-8966-9F22E4F04F54}"/>
  </w:font>
  <w:font w:name="方正大黑简体2.">
    <w:altName w:val="宋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5" w:fontKey="{D806B48F-E72B-4194-A38C-8537303ED0F2}"/>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Frutiger LT Com 45 Light">
    <w:altName w:val="Arial"/>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embedRegular r:id="rId6" w:fontKey="{E2B04E33-9B2D-41F5-99BF-0B68C77D006E}"/>
  </w:font>
  <w:font w:name="华文新魏">
    <w:panose1 w:val="02010800040101010101"/>
    <w:charset w:val="86"/>
    <w:family w:val="auto"/>
    <w:pitch w:val="default"/>
    <w:sig w:usb0="00000001" w:usb1="080F0000" w:usb2="00000000" w:usb3="00000000" w:csb0="00040000" w:csb1="00000000"/>
    <w:embedRegular r:id="rId7" w:fontKey="{CBB3EB9A-8295-4B75-AEDB-835B9C93A96C}"/>
  </w:font>
  <w:font w:name="华文中宋">
    <w:panose1 w:val="02010600040101010101"/>
    <w:charset w:val="86"/>
    <w:family w:val="auto"/>
    <w:pitch w:val="default"/>
    <w:sig w:usb0="00000287" w:usb1="080F0000" w:usb2="00000000" w:usb3="00000000" w:csb0="0004009F" w:csb1="DFD70000"/>
    <w:embedRegular r:id="rId8" w:fontKey="{B9777554-41C1-448A-A739-659CAF5CF75D}"/>
  </w:font>
  <w:font w:name="仿宋">
    <w:panose1 w:val="02010609060101010101"/>
    <w:charset w:val="86"/>
    <w:family w:val="modern"/>
    <w:pitch w:val="default"/>
    <w:sig w:usb0="800002BF" w:usb1="38CF7CFA" w:usb2="00000016" w:usb3="00000000" w:csb0="00040001" w:csb1="00000000"/>
    <w:embedRegular r:id="rId9" w:fontKey="{5DFF56D3-DF56-4E98-9CA8-7DB7005A41C9}"/>
  </w:font>
  <w:font w:name="方正小标宋简体">
    <w:panose1 w:val="03000509000000000000"/>
    <w:charset w:val="86"/>
    <w:family w:val="auto"/>
    <w:pitch w:val="default"/>
    <w:sig w:usb0="00000001" w:usb1="080E0000" w:usb2="00000000" w:usb3="00000000" w:csb0="00040000" w:csb1="00000000"/>
    <w:embedRegular r:id="rId10" w:fontKey="{C28B3ECC-B814-42B3-8597-56EEDAC5A02C}"/>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2E26D">
    <w:pPr>
      <w:pStyle w:val="32"/>
      <w:framePr w:wrap="around" w:vAnchor="text" w:hAnchor="margin" w:xAlign="center" w:y="1"/>
      <w:rPr>
        <w:rStyle w:val="55"/>
      </w:rPr>
    </w:pPr>
    <w:r>
      <w:fldChar w:fldCharType="begin"/>
    </w:r>
    <w:r>
      <w:rPr>
        <w:rStyle w:val="55"/>
      </w:rPr>
      <w:instrText xml:space="preserve">PAGE  </w:instrText>
    </w:r>
    <w:r>
      <w:fldChar w:fldCharType="separate"/>
    </w:r>
    <w:r>
      <w:rPr>
        <w:rStyle w:val="55"/>
      </w:rPr>
      <w:t>1</w:t>
    </w:r>
    <w:r>
      <w:fldChar w:fldCharType="end"/>
    </w:r>
  </w:p>
  <w:p w14:paraId="53CD4F7A">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ADD88">
    <w:pPr>
      <w:pStyle w:val="32"/>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FED72">
    <w:pPr>
      <w:pStyle w:val="32"/>
      <w:tabs>
        <w:tab w:val="left" w:pos="6787"/>
        <w:tab w:val="center" w:pos="6979"/>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4E047E">
                          <w:pPr>
                            <w:pStyle w:val="3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E4E047E">
                    <w:pPr>
                      <w:pStyle w:val="3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p w14:paraId="7EE24879"/>
  <w:p w14:paraId="56C80E6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9CC9C">
    <w:pPr>
      <w:pStyle w:val="3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235E2">
                          <w:pPr>
                            <w:pStyle w:val="32"/>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405235E2">
                    <w:pPr>
                      <w:pStyle w:val="32"/>
                    </w:pPr>
                    <w:r>
                      <w:fldChar w:fldCharType="begin"/>
                    </w:r>
                    <w:r>
                      <w:instrText xml:space="preserve"> PAGE  \* MERGEFORMAT </w:instrText>
                    </w:r>
                    <w:r>
                      <w:fldChar w:fldCharType="separate"/>
                    </w:r>
                    <w:r>
                      <w:t>155</w:t>
                    </w:r>
                    <w:r>
                      <w:fldChar w:fldCharType="end"/>
                    </w:r>
                  </w:p>
                </w:txbxContent>
              </v:textbox>
            </v:shape>
          </w:pict>
        </mc:Fallback>
      </mc:AlternateContent>
    </w:r>
  </w:p>
  <w:p w14:paraId="306E8F7B">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5B08F">
    <w:pPr>
      <w:pStyle w:val="3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B7A13">
                          <w:pPr>
                            <w:pStyle w:val="32"/>
                            <w:jc w:val="center"/>
                          </w:pPr>
                          <w:r>
                            <w:rPr>
                              <w:rFonts w:hint="eastAsia"/>
                            </w:rPr>
                            <w:fldChar w:fldCharType="begin"/>
                          </w:r>
                          <w:r>
                            <w:rPr>
                              <w:rFonts w:hint="eastAsia"/>
                            </w:rPr>
                            <w:instrText xml:space="preserve"> PAGE  \* MERGEFORMAT </w:instrText>
                          </w:r>
                          <w:r>
                            <w:rPr>
                              <w:rFonts w:hint="eastAsia"/>
                            </w:rPr>
                            <w:fldChar w:fldCharType="separate"/>
                          </w:r>
                          <w:r>
                            <w:t>215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1D8B7A13">
                    <w:pPr>
                      <w:pStyle w:val="32"/>
                      <w:jc w:val="center"/>
                    </w:pPr>
                    <w:r>
                      <w:rPr>
                        <w:rFonts w:hint="eastAsia"/>
                      </w:rPr>
                      <w:fldChar w:fldCharType="begin"/>
                    </w:r>
                    <w:r>
                      <w:rPr>
                        <w:rFonts w:hint="eastAsia"/>
                      </w:rPr>
                      <w:instrText xml:space="preserve"> PAGE  \* MERGEFORMAT </w:instrText>
                    </w:r>
                    <w:r>
                      <w:rPr>
                        <w:rFonts w:hint="eastAsia"/>
                      </w:rPr>
                      <w:fldChar w:fldCharType="separate"/>
                    </w:r>
                    <w:r>
                      <w:t>215</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D74CE">
    <w:pPr>
      <w:pStyle w:val="33"/>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262E9">
    <w:pPr>
      <w:pStyle w:val="33"/>
      <w:jc w:val="right"/>
      <w:rPr>
        <w:b/>
        <w:color w:val="000000"/>
      </w:rPr>
    </w:pPr>
    <w:r>
      <w:rPr>
        <w:b/>
      </w:rPr>
      <w:t>柳州职业技术大学“新能源汽车数字商贸产教融合基地”软件部分采购</w:t>
    </w:r>
    <w:r>
      <w:rPr>
        <w:rFonts w:hint="eastAsia"/>
        <w:b/>
      </w:rPr>
      <w:t xml:space="preserve">（LZZC2025-G1-990359-LZSZ）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FA2284"/>
    <w:multiLevelType w:val="singleLevel"/>
    <w:tmpl w:val="B3FA2284"/>
    <w:lvl w:ilvl="0" w:tentative="0">
      <w:start w:val="8"/>
      <w:numFmt w:val="decimal"/>
      <w:suff w:val="nothing"/>
      <w:lvlText w:val="（%1）"/>
      <w:lvlJc w:val="left"/>
    </w:lvl>
  </w:abstractNum>
  <w:abstractNum w:abstractNumId="1">
    <w:nsid w:val="BF2AA72B"/>
    <w:multiLevelType w:val="singleLevel"/>
    <w:tmpl w:val="BF2AA72B"/>
    <w:lvl w:ilvl="0" w:tentative="0">
      <w:start w:val="6"/>
      <w:numFmt w:val="chineseCounting"/>
      <w:suff w:val="nothing"/>
      <w:lvlText w:val="第%1条　"/>
      <w:lvlJc w:val="left"/>
      <w:rPr>
        <w:rFonts w:hint="eastAsia"/>
      </w:rPr>
    </w:lvl>
  </w:abstractNum>
  <w:abstractNum w:abstractNumId="2">
    <w:nsid w:val="00000001"/>
    <w:multiLevelType w:val="multilevel"/>
    <w:tmpl w:val="00000001"/>
    <w:lvl w:ilvl="0" w:tentative="0">
      <w:start w:val="4"/>
      <w:numFmt w:val="japaneseCounting"/>
      <w:pStyle w:val="819"/>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4">
    <w:nsid w:val="09256FDA"/>
    <w:multiLevelType w:val="multilevel"/>
    <w:tmpl w:val="09256FDA"/>
    <w:lvl w:ilvl="0" w:tentative="0">
      <w:start w:val="1"/>
      <w:numFmt w:val="chineseCountingThousand"/>
      <w:pStyle w:val="103"/>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98"/>
    <w:rsid w:val="00000235"/>
    <w:rsid w:val="00000BE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568"/>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582"/>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2D8"/>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6995"/>
    <w:rsid w:val="000F0043"/>
    <w:rsid w:val="000F1028"/>
    <w:rsid w:val="000F11A7"/>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86F"/>
    <w:rsid w:val="0010717F"/>
    <w:rsid w:val="00107881"/>
    <w:rsid w:val="001106E1"/>
    <w:rsid w:val="0011175F"/>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535"/>
    <w:rsid w:val="00126A2C"/>
    <w:rsid w:val="001276BD"/>
    <w:rsid w:val="00127D60"/>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74C"/>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F"/>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671"/>
    <w:rsid w:val="00223947"/>
    <w:rsid w:val="00223CC6"/>
    <w:rsid w:val="00223DF4"/>
    <w:rsid w:val="002246F4"/>
    <w:rsid w:val="00225378"/>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AD7"/>
    <w:rsid w:val="002A7E3E"/>
    <w:rsid w:val="002B1420"/>
    <w:rsid w:val="002B171E"/>
    <w:rsid w:val="002B2986"/>
    <w:rsid w:val="002B2C59"/>
    <w:rsid w:val="002B2F84"/>
    <w:rsid w:val="002B3A2B"/>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413"/>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829"/>
    <w:rsid w:val="00336F8D"/>
    <w:rsid w:val="003371DE"/>
    <w:rsid w:val="00337571"/>
    <w:rsid w:val="003407A5"/>
    <w:rsid w:val="00340972"/>
    <w:rsid w:val="003409E6"/>
    <w:rsid w:val="00341250"/>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0AC"/>
    <w:rsid w:val="00355668"/>
    <w:rsid w:val="003559F7"/>
    <w:rsid w:val="00355B0A"/>
    <w:rsid w:val="00356D6E"/>
    <w:rsid w:val="0035760F"/>
    <w:rsid w:val="003578FC"/>
    <w:rsid w:val="00357A5C"/>
    <w:rsid w:val="00360F24"/>
    <w:rsid w:val="00361340"/>
    <w:rsid w:val="00362003"/>
    <w:rsid w:val="00362619"/>
    <w:rsid w:val="003629EA"/>
    <w:rsid w:val="00362A11"/>
    <w:rsid w:val="00363365"/>
    <w:rsid w:val="003654D9"/>
    <w:rsid w:val="00366044"/>
    <w:rsid w:val="00366B82"/>
    <w:rsid w:val="003707BD"/>
    <w:rsid w:val="0037262E"/>
    <w:rsid w:val="00373D22"/>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4E3"/>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21B2"/>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9A3"/>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61B5"/>
    <w:rsid w:val="004566E8"/>
    <w:rsid w:val="00456DD4"/>
    <w:rsid w:val="004570C1"/>
    <w:rsid w:val="0045740A"/>
    <w:rsid w:val="00457495"/>
    <w:rsid w:val="004574D2"/>
    <w:rsid w:val="00457893"/>
    <w:rsid w:val="00457B3C"/>
    <w:rsid w:val="00462797"/>
    <w:rsid w:val="00462BC4"/>
    <w:rsid w:val="00462CA7"/>
    <w:rsid w:val="004636B3"/>
    <w:rsid w:val="004638AE"/>
    <w:rsid w:val="004639D3"/>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87689"/>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D797C"/>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15F"/>
    <w:rsid w:val="004F6C1D"/>
    <w:rsid w:val="004F6D33"/>
    <w:rsid w:val="004F6E42"/>
    <w:rsid w:val="004F7447"/>
    <w:rsid w:val="004F76F6"/>
    <w:rsid w:val="004F79D7"/>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F15"/>
    <w:rsid w:val="0053289B"/>
    <w:rsid w:val="00532FB3"/>
    <w:rsid w:val="0053333D"/>
    <w:rsid w:val="005336C2"/>
    <w:rsid w:val="00533922"/>
    <w:rsid w:val="00533B2C"/>
    <w:rsid w:val="00533B37"/>
    <w:rsid w:val="0053425C"/>
    <w:rsid w:val="00534B93"/>
    <w:rsid w:val="00534CE1"/>
    <w:rsid w:val="005354AF"/>
    <w:rsid w:val="0053590F"/>
    <w:rsid w:val="005368B4"/>
    <w:rsid w:val="00536D93"/>
    <w:rsid w:val="00537721"/>
    <w:rsid w:val="00540AC4"/>
    <w:rsid w:val="00541613"/>
    <w:rsid w:val="0054231D"/>
    <w:rsid w:val="0054235F"/>
    <w:rsid w:val="00543BED"/>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1EB4"/>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1226"/>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A4"/>
    <w:rsid w:val="005B1492"/>
    <w:rsid w:val="005B1C3D"/>
    <w:rsid w:val="005B29B2"/>
    <w:rsid w:val="005B34A2"/>
    <w:rsid w:val="005B35CC"/>
    <w:rsid w:val="005B36AA"/>
    <w:rsid w:val="005B4019"/>
    <w:rsid w:val="005B5681"/>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B1"/>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611C"/>
    <w:rsid w:val="00646459"/>
    <w:rsid w:val="00646CC8"/>
    <w:rsid w:val="00646D32"/>
    <w:rsid w:val="00647AAF"/>
    <w:rsid w:val="00647BAE"/>
    <w:rsid w:val="00647D60"/>
    <w:rsid w:val="006500D3"/>
    <w:rsid w:val="006515AD"/>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0D8C"/>
    <w:rsid w:val="006820D0"/>
    <w:rsid w:val="006828C5"/>
    <w:rsid w:val="0068330D"/>
    <w:rsid w:val="006847A2"/>
    <w:rsid w:val="00684B17"/>
    <w:rsid w:val="00684C14"/>
    <w:rsid w:val="00684D1E"/>
    <w:rsid w:val="0068566E"/>
    <w:rsid w:val="00685753"/>
    <w:rsid w:val="00685852"/>
    <w:rsid w:val="006858BF"/>
    <w:rsid w:val="00685E71"/>
    <w:rsid w:val="0069098B"/>
    <w:rsid w:val="0069118D"/>
    <w:rsid w:val="006915F6"/>
    <w:rsid w:val="006915FA"/>
    <w:rsid w:val="00691BFC"/>
    <w:rsid w:val="00691C3F"/>
    <w:rsid w:val="00691DEE"/>
    <w:rsid w:val="00691DF9"/>
    <w:rsid w:val="0069218D"/>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5A4"/>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00"/>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4508"/>
    <w:rsid w:val="0074556C"/>
    <w:rsid w:val="007456C7"/>
    <w:rsid w:val="00745A71"/>
    <w:rsid w:val="00745C00"/>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0FF9"/>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237"/>
    <w:rsid w:val="007E358B"/>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0F"/>
    <w:rsid w:val="0087141D"/>
    <w:rsid w:val="0087195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77BE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8D4"/>
    <w:rsid w:val="00897E31"/>
    <w:rsid w:val="00897F3C"/>
    <w:rsid w:val="008A01AC"/>
    <w:rsid w:val="008A032B"/>
    <w:rsid w:val="008A0588"/>
    <w:rsid w:val="008A0675"/>
    <w:rsid w:val="008A1C13"/>
    <w:rsid w:val="008A1C6B"/>
    <w:rsid w:val="008A2FEE"/>
    <w:rsid w:val="008A3860"/>
    <w:rsid w:val="008A4550"/>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3665"/>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2E97"/>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44C8"/>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13B3"/>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25D4"/>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240"/>
    <w:rsid w:val="00A114CE"/>
    <w:rsid w:val="00A11F2D"/>
    <w:rsid w:val="00A122F2"/>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3332"/>
    <w:rsid w:val="00A24042"/>
    <w:rsid w:val="00A2642A"/>
    <w:rsid w:val="00A27897"/>
    <w:rsid w:val="00A278BB"/>
    <w:rsid w:val="00A30669"/>
    <w:rsid w:val="00A30D7A"/>
    <w:rsid w:val="00A30DC3"/>
    <w:rsid w:val="00A31204"/>
    <w:rsid w:val="00A31FA7"/>
    <w:rsid w:val="00A327D6"/>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03F"/>
    <w:rsid w:val="00A81166"/>
    <w:rsid w:val="00A8166D"/>
    <w:rsid w:val="00A82B66"/>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4512"/>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5C0"/>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D7BF0"/>
    <w:rsid w:val="00AE0487"/>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7A"/>
    <w:rsid w:val="00B050CB"/>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8"/>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40CB"/>
    <w:rsid w:val="00B9453B"/>
    <w:rsid w:val="00B9544C"/>
    <w:rsid w:val="00B95F19"/>
    <w:rsid w:val="00B96F2A"/>
    <w:rsid w:val="00B975A7"/>
    <w:rsid w:val="00B97FE1"/>
    <w:rsid w:val="00BA02A3"/>
    <w:rsid w:val="00BA0F23"/>
    <w:rsid w:val="00BA0FC9"/>
    <w:rsid w:val="00BA163C"/>
    <w:rsid w:val="00BA1D29"/>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58D"/>
    <w:rsid w:val="00C2196F"/>
    <w:rsid w:val="00C21F0C"/>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40F"/>
    <w:rsid w:val="00CD27F5"/>
    <w:rsid w:val="00CD3056"/>
    <w:rsid w:val="00CD31CA"/>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D9F"/>
    <w:rsid w:val="00D26E92"/>
    <w:rsid w:val="00D27963"/>
    <w:rsid w:val="00D27D21"/>
    <w:rsid w:val="00D30FA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0FBF"/>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8CE"/>
    <w:rsid w:val="00E70B65"/>
    <w:rsid w:val="00E716F4"/>
    <w:rsid w:val="00E71A1F"/>
    <w:rsid w:val="00E71D82"/>
    <w:rsid w:val="00E724FD"/>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2F9D"/>
    <w:rsid w:val="00F2315D"/>
    <w:rsid w:val="00F2356C"/>
    <w:rsid w:val="00F23BBF"/>
    <w:rsid w:val="00F2415B"/>
    <w:rsid w:val="00F250F1"/>
    <w:rsid w:val="00F254E7"/>
    <w:rsid w:val="00F25FD1"/>
    <w:rsid w:val="00F2619F"/>
    <w:rsid w:val="00F261DB"/>
    <w:rsid w:val="00F2693C"/>
    <w:rsid w:val="00F2721E"/>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600"/>
    <w:rsid w:val="00FA0DA4"/>
    <w:rsid w:val="00FA0FC8"/>
    <w:rsid w:val="00FA1D2B"/>
    <w:rsid w:val="00FA2A35"/>
    <w:rsid w:val="00FA355E"/>
    <w:rsid w:val="00FA467C"/>
    <w:rsid w:val="00FA5436"/>
    <w:rsid w:val="00FA54AB"/>
    <w:rsid w:val="00FA583E"/>
    <w:rsid w:val="00FA6818"/>
    <w:rsid w:val="00FA73E9"/>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1CF"/>
    <w:rsid w:val="00FD472E"/>
    <w:rsid w:val="00FD4CE1"/>
    <w:rsid w:val="00FD5D35"/>
    <w:rsid w:val="00FD6183"/>
    <w:rsid w:val="00FE19EC"/>
    <w:rsid w:val="00FE1C43"/>
    <w:rsid w:val="00FE26F3"/>
    <w:rsid w:val="00FE2A42"/>
    <w:rsid w:val="00FE3D8C"/>
    <w:rsid w:val="00FE4037"/>
    <w:rsid w:val="00FE4054"/>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0A6538"/>
    <w:rsid w:val="010C0502"/>
    <w:rsid w:val="01154EDD"/>
    <w:rsid w:val="01230692"/>
    <w:rsid w:val="01272083"/>
    <w:rsid w:val="012B444D"/>
    <w:rsid w:val="012D69DA"/>
    <w:rsid w:val="01437C9C"/>
    <w:rsid w:val="014A2DD9"/>
    <w:rsid w:val="014B08FF"/>
    <w:rsid w:val="014C6B51"/>
    <w:rsid w:val="015C2B0C"/>
    <w:rsid w:val="015E0632"/>
    <w:rsid w:val="016247FA"/>
    <w:rsid w:val="016D6AC7"/>
    <w:rsid w:val="01745EE6"/>
    <w:rsid w:val="017E6677"/>
    <w:rsid w:val="018326A3"/>
    <w:rsid w:val="018E0D25"/>
    <w:rsid w:val="0194674A"/>
    <w:rsid w:val="01A06A8F"/>
    <w:rsid w:val="01AA7D1B"/>
    <w:rsid w:val="01C6622B"/>
    <w:rsid w:val="01CC1A40"/>
    <w:rsid w:val="01D32DCE"/>
    <w:rsid w:val="01D54D98"/>
    <w:rsid w:val="01DF067F"/>
    <w:rsid w:val="01E07CD8"/>
    <w:rsid w:val="01E943A0"/>
    <w:rsid w:val="01EA671C"/>
    <w:rsid w:val="01FA47FF"/>
    <w:rsid w:val="021673DB"/>
    <w:rsid w:val="022353B4"/>
    <w:rsid w:val="022A16E3"/>
    <w:rsid w:val="022A3557"/>
    <w:rsid w:val="02337D11"/>
    <w:rsid w:val="0235490B"/>
    <w:rsid w:val="02385327"/>
    <w:rsid w:val="023870D5"/>
    <w:rsid w:val="023C50F0"/>
    <w:rsid w:val="02497534"/>
    <w:rsid w:val="024A56F5"/>
    <w:rsid w:val="02511F45"/>
    <w:rsid w:val="026E0F2B"/>
    <w:rsid w:val="027125E7"/>
    <w:rsid w:val="02783976"/>
    <w:rsid w:val="027A2F04"/>
    <w:rsid w:val="028247F4"/>
    <w:rsid w:val="02845B9C"/>
    <w:rsid w:val="029A1B3E"/>
    <w:rsid w:val="02B1196D"/>
    <w:rsid w:val="02BD75DA"/>
    <w:rsid w:val="02C60B85"/>
    <w:rsid w:val="02DD55DA"/>
    <w:rsid w:val="02F254D6"/>
    <w:rsid w:val="030F3530"/>
    <w:rsid w:val="0317318F"/>
    <w:rsid w:val="032A676A"/>
    <w:rsid w:val="032D7D27"/>
    <w:rsid w:val="0331105F"/>
    <w:rsid w:val="03343D40"/>
    <w:rsid w:val="03415224"/>
    <w:rsid w:val="03433F84"/>
    <w:rsid w:val="03563CB7"/>
    <w:rsid w:val="035C474C"/>
    <w:rsid w:val="036D2DAF"/>
    <w:rsid w:val="038A1BB2"/>
    <w:rsid w:val="038D3758"/>
    <w:rsid w:val="038E6852"/>
    <w:rsid w:val="039919D0"/>
    <w:rsid w:val="03AA4003"/>
    <w:rsid w:val="03C70711"/>
    <w:rsid w:val="03D270B5"/>
    <w:rsid w:val="03E00BE2"/>
    <w:rsid w:val="03E228FF"/>
    <w:rsid w:val="03E32C2B"/>
    <w:rsid w:val="03E45FEA"/>
    <w:rsid w:val="03F375BC"/>
    <w:rsid w:val="04025BED"/>
    <w:rsid w:val="04090D29"/>
    <w:rsid w:val="04117BDE"/>
    <w:rsid w:val="04131BA8"/>
    <w:rsid w:val="04194CE4"/>
    <w:rsid w:val="04247911"/>
    <w:rsid w:val="04363AE8"/>
    <w:rsid w:val="044C3505"/>
    <w:rsid w:val="04531FA4"/>
    <w:rsid w:val="04551879"/>
    <w:rsid w:val="046C12B8"/>
    <w:rsid w:val="04704D33"/>
    <w:rsid w:val="047713FB"/>
    <w:rsid w:val="049251C3"/>
    <w:rsid w:val="04BE5FB8"/>
    <w:rsid w:val="04C65B16"/>
    <w:rsid w:val="04E80C82"/>
    <w:rsid w:val="04EB48D3"/>
    <w:rsid w:val="04F33787"/>
    <w:rsid w:val="04FE4606"/>
    <w:rsid w:val="05092FAB"/>
    <w:rsid w:val="05102FC5"/>
    <w:rsid w:val="05184748"/>
    <w:rsid w:val="051E6A56"/>
    <w:rsid w:val="052120A3"/>
    <w:rsid w:val="05373674"/>
    <w:rsid w:val="053A77BB"/>
    <w:rsid w:val="053D4C14"/>
    <w:rsid w:val="05412745"/>
    <w:rsid w:val="05544226"/>
    <w:rsid w:val="05551D4C"/>
    <w:rsid w:val="055661F0"/>
    <w:rsid w:val="055B55D2"/>
    <w:rsid w:val="05616943"/>
    <w:rsid w:val="05665D07"/>
    <w:rsid w:val="05740424"/>
    <w:rsid w:val="05790131"/>
    <w:rsid w:val="057F6DC9"/>
    <w:rsid w:val="059D3E1F"/>
    <w:rsid w:val="05BB6053"/>
    <w:rsid w:val="05DD7507"/>
    <w:rsid w:val="05EC26B0"/>
    <w:rsid w:val="05F17CC7"/>
    <w:rsid w:val="05FE680E"/>
    <w:rsid w:val="060317A8"/>
    <w:rsid w:val="060824FF"/>
    <w:rsid w:val="06110369"/>
    <w:rsid w:val="06112117"/>
    <w:rsid w:val="06253E14"/>
    <w:rsid w:val="06257970"/>
    <w:rsid w:val="063F11B9"/>
    <w:rsid w:val="064A387B"/>
    <w:rsid w:val="0661367A"/>
    <w:rsid w:val="06744454"/>
    <w:rsid w:val="069468A4"/>
    <w:rsid w:val="069A088E"/>
    <w:rsid w:val="069D1BFD"/>
    <w:rsid w:val="06B12657"/>
    <w:rsid w:val="06C4212E"/>
    <w:rsid w:val="06C947A0"/>
    <w:rsid w:val="06D51397"/>
    <w:rsid w:val="06FA675D"/>
    <w:rsid w:val="070C0CAE"/>
    <w:rsid w:val="072C420B"/>
    <w:rsid w:val="0736735E"/>
    <w:rsid w:val="07412455"/>
    <w:rsid w:val="07416A2C"/>
    <w:rsid w:val="07725961"/>
    <w:rsid w:val="07726BE5"/>
    <w:rsid w:val="07A56FBB"/>
    <w:rsid w:val="07A64AE1"/>
    <w:rsid w:val="07AA45D1"/>
    <w:rsid w:val="07AB0349"/>
    <w:rsid w:val="07B54D24"/>
    <w:rsid w:val="07E04069"/>
    <w:rsid w:val="07E15B19"/>
    <w:rsid w:val="08081840"/>
    <w:rsid w:val="080C703A"/>
    <w:rsid w:val="080D2DB2"/>
    <w:rsid w:val="08101121"/>
    <w:rsid w:val="081C4DA3"/>
    <w:rsid w:val="081E6D6D"/>
    <w:rsid w:val="082D0D5E"/>
    <w:rsid w:val="08391DD9"/>
    <w:rsid w:val="083945D9"/>
    <w:rsid w:val="08471E20"/>
    <w:rsid w:val="084A1910"/>
    <w:rsid w:val="08652BE4"/>
    <w:rsid w:val="087F5A5E"/>
    <w:rsid w:val="088F1A65"/>
    <w:rsid w:val="08A14F57"/>
    <w:rsid w:val="08B466DC"/>
    <w:rsid w:val="08C72115"/>
    <w:rsid w:val="08C94F2B"/>
    <w:rsid w:val="08DA3F17"/>
    <w:rsid w:val="08EE742E"/>
    <w:rsid w:val="08F5187C"/>
    <w:rsid w:val="090137FA"/>
    <w:rsid w:val="09137F54"/>
    <w:rsid w:val="09275B42"/>
    <w:rsid w:val="09306D58"/>
    <w:rsid w:val="093D1475"/>
    <w:rsid w:val="09423355"/>
    <w:rsid w:val="09547520"/>
    <w:rsid w:val="095742E5"/>
    <w:rsid w:val="095A6680"/>
    <w:rsid w:val="09697C1D"/>
    <w:rsid w:val="09713231"/>
    <w:rsid w:val="09797263"/>
    <w:rsid w:val="098A290C"/>
    <w:rsid w:val="098B7FF2"/>
    <w:rsid w:val="099B68C7"/>
    <w:rsid w:val="099F7A3A"/>
    <w:rsid w:val="09A50C43"/>
    <w:rsid w:val="09BE1D5B"/>
    <w:rsid w:val="09CA6EA6"/>
    <w:rsid w:val="09CF68B7"/>
    <w:rsid w:val="09D73678"/>
    <w:rsid w:val="09DB5391"/>
    <w:rsid w:val="0A0B50CF"/>
    <w:rsid w:val="0A264B9C"/>
    <w:rsid w:val="0A2B7D2A"/>
    <w:rsid w:val="0A3927A2"/>
    <w:rsid w:val="0A3C5E6F"/>
    <w:rsid w:val="0A472BA5"/>
    <w:rsid w:val="0A4F6E7D"/>
    <w:rsid w:val="0A57260B"/>
    <w:rsid w:val="0A824026"/>
    <w:rsid w:val="0AB13802"/>
    <w:rsid w:val="0ABB6AF5"/>
    <w:rsid w:val="0AC0235E"/>
    <w:rsid w:val="0ACA19B9"/>
    <w:rsid w:val="0ACC1410"/>
    <w:rsid w:val="0ACC1C7E"/>
    <w:rsid w:val="0AD16319"/>
    <w:rsid w:val="0AF659E5"/>
    <w:rsid w:val="0B083D6B"/>
    <w:rsid w:val="0B0E30C9"/>
    <w:rsid w:val="0B141F1A"/>
    <w:rsid w:val="0B362DA6"/>
    <w:rsid w:val="0B495EAF"/>
    <w:rsid w:val="0B4E28FE"/>
    <w:rsid w:val="0B516DE7"/>
    <w:rsid w:val="0B6573F2"/>
    <w:rsid w:val="0B696551"/>
    <w:rsid w:val="0B761C94"/>
    <w:rsid w:val="0B8213C1"/>
    <w:rsid w:val="0B8B471A"/>
    <w:rsid w:val="0B8D01CD"/>
    <w:rsid w:val="0B955598"/>
    <w:rsid w:val="0B9744C6"/>
    <w:rsid w:val="0BB7550F"/>
    <w:rsid w:val="0BB772BD"/>
    <w:rsid w:val="0BB83A54"/>
    <w:rsid w:val="0BB958B8"/>
    <w:rsid w:val="0BC1638D"/>
    <w:rsid w:val="0BC376EA"/>
    <w:rsid w:val="0BC663BC"/>
    <w:rsid w:val="0BC67D70"/>
    <w:rsid w:val="0BCB720C"/>
    <w:rsid w:val="0BD40DA4"/>
    <w:rsid w:val="0BD537C3"/>
    <w:rsid w:val="0BD92474"/>
    <w:rsid w:val="0BE34556"/>
    <w:rsid w:val="0BF40511"/>
    <w:rsid w:val="0C1069CD"/>
    <w:rsid w:val="0C142961"/>
    <w:rsid w:val="0C1464BD"/>
    <w:rsid w:val="0C3152C1"/>
    <w:rsid w:val="0C452B1A"/>
    <w:rsid w:val="0C4843B9"/>
    <w:rsid w:val="0C4A0131"/>
    <w:rsid w:val="0C547201"/>
    <w:rsid w:val="0C564D28"/>
    <w:rsid w:val="0C583BDF"/>
    <w:rsid w:val="0C600AAB"/>
    <w:rsid w:val="0C650670"/>
    <w:rsid w:val="0C681B81"/>
    <w:rsid w:val="0C7156BE"/>
    <w:rsid w:val="0C7553F2"/>
    <w:rsid w:val="0C8E44C1"/>
    <w:rsid w:val="0CA710DF"/>
    <w:rsid w:val="0CAB771F"/>
    <w:rsid w:val="0CAF0888"/>
    <w:rsid w:val="0CBF0B1F"/>
    <w:rsid w:val="0CDE3A47"/>
    <w:rsid w:val="0CF307C8"/>
    <w:rsid w:val="0CFB58CF"/>
    <w:rsid w:val="0D0C53E6"/>
    <w:rsid w:val="0D1349C7"/>
    <w:rsid w:val="0D136775"/>
    <w:rsid w:val="0D1D22E7"/>
    <w:rsid w:val="0D2E1801"/>
    <w:rsid w:val="0D336E17"/>
    <w:rsid w:val="0D49488C"/>
    <w:rsid w:val="0D5A60C0"/>
    <w:rsid w:val="0D5B011C"/>
    <w:rsid w:val="0D643474"/>
    <w:rsid w:val="0D6E7E4F"/>
    <w:rsid w:val="0D865199"/>
    <w:rsid w:val="0D8B27AF"/>
    <w:rsid w:val="0D8F281E"/>
    <w:rsid w:val="0DCA115E"/>
    <w:rsid w:val="0DFA16E3"/>
    <w:rsid w:val="0DFF6ED9"/>
    <w:rsid w:val="0E115C8A"/>
    <w:rsid w:val="0E1704E7"/>
    <w:rsid w:val="0E2C218E"/>
    <w:rsid w:val="0E4D215A"/>
    <w:rsid w:val="0E653000"/>
    <w:rsid w:val="0E8F4521"/>
    <w:rsid w:val="0EA224A6"/>
    <w:rsid w:val="0EA30700"/>
    <w:rsid w:val="0EB31142"/>
    <w:rsid w:val="0EBC43EC"/>
    <w:rsid w:val="0EBC50E6"/>
    <w:rsid w:val="0ECA5069"/>
    <w:rsid w:val="0ECE329B"/>
    <w:rsid w:val="0EEC54CF"/>
    <w:rsid w:val="0F095504"/>
    <w:rsid w:val="0F0D5446"/>
    <w:rsid w:val="0F12129A"/>
    <w:rsid w:val="0F1F485D"/>
    <w:rsid w:val="0F256C33"/>
    <w:rsid w:val="0F3B2473"/>
    <w:rsid w:val="0F5616AC"/>
    <w:rsid w:val="0F59002D"/>
    <w:rsid w:val="0F680ED4"/>
    <w:rsid w:val="0F706100"/>
    <w:rsid w:val="0F8266D9"/>
    <w:rsid w:val="0F8B6172"/>
    <w:rsid w:val="0F8B6811"/>
    <w:rsid w:val="0FA00B1D"/>
    <w:rsid w:val="0FB51D65"/>
    <w:rsid w:val="0FBA74F6"/>
    <w:rsid w:val="0FC3085C"/>
    <w:rsid w:val="0FCE2E27"/>
    <w:rsid w:val="0FD3043D"/>
    <w:rsid w:val="0FDD306A"/>
    <w:rsid w:val="0FE20946"/>
    <w:rsid w:val="0FF56606"/>
    <w:rsid w:val="0FF7412C"/>
    <w:rsid w:val="100B7BD7"/>
    <w:rsid w:val="10111F7C"/>
    <w:rsid w:val="101A62D4"/>
    <w:rsid w:val="1023263D"/>
    <w:rsid w:val="10240C99"/>
    <w:rsid w:val="10303AE2"/>
    <w:rsid w:val="10341ED8"/>
    <w:rsid w:val="10374E70"/>
    <w:rsid w:val="104F1744"/>
    <w:rsid w:val="10563548"/>
    <w:rsid w:val="106016F3"/>
    <w:rsid w:val="10771710"/>
    <w:rsid w:val="107B4D5D"/>
    <w:rsid w:val="10822D43"/>
    <w:rsid w:val="10861BA8"/>
    <w:rsid w:val="10863711"/>
    <w:rsid w:val="108D4A26"/>
    <w:rsid w:val="108D4A90"/>
    <w:rsid w:val="1094132B"/>
    <w:rsid w:val="10953945"/>
    <w:rsid w:val="10A52D12"/>
    <w:rsid w:val="10A56E7C"/>
    <w:rsid w:val="10B85FB1"/>
    <w:rsid w:val="10BE4C49"/>
    <w:rsid w:val="10F13271"/>
    <w:rsid w:val="10F16DCD"/>
    <w:rsid w:val="10F81858"/>
    <w:rsid w:val="11203590"/>
    <w:rsid w:val="112A22DF"/>
    <w:rsid w:val="1133483D"/>
    <w:rsid w:val="11357601"/>
    <w:rsid w:val="11402F73"/>
    <w:rsid w:val="11454713"/>
    <w:rsid w:val="11496C09"/>
    <w:rsid w:val="114F5A4E"/>
    <w:rsid w:val="115F3B1D"/>
    <w:rsid w:val="11612A9E"/>
    <w:rsid w:val="1173012A"/>
    <w:rsid w:val="1178129C"/>
    <w:rsid w:val="117A5C39"/>
    <w:rsid w:val="119A3B84"/>
    <w:rsid w:val="11B12A00"/>
    <w:rsid w:val="11B147AE"/>
    <w:rsid w:val="11C52008"/>
    <w:rsid w:val="11C97BBB"/>
    <w:rsid w:val="11D0732A"/>
    <w:rsid w:val="11D81D3B"/>
    <w:rsid w:val="11F12DFD"/>
    <w:rsid w:val="11F8062F"/>
    <w:rsid w:val="1212349F"/>
    <w:rsid w:val="123478B9"/>
    <w:rsid w:val="12437AFC"/>
    <w:rsid w:val="12463148"/>
    <w:rsid w:val="124A3273"/>
    <w:rsid w:val="1261278F"/>
    <w:rsid w:val="12671F77"/>
    <w:rsid w:val="12743AFA"/>
    <w:rsid w:val="127A0FCA"/>
    <w:rsid w:val="127E4ECB"/>
    <w:rsid w:val="128A1139"/>
    <w:rsid w:val="12BD152A"/>
    <w:rsid w:val="12C64289"/>
    <w:rsid w:val="12E25944"/>
    <w:rsid w:val="12EE0019"/>
    <w:rsid w:val="12EF1953"/>
    <w:rsid w:val="12F471D6"/>
    <w:rsid w:val="12F67447"/>
    <w:rsid w:val="130C473B"/>
    <w:rsid w:val="13177D05"/>
    <w:rsid w:val="131A0221"/>
    <w:rsid w:val="131F10B9"/>
    <w:rsid w:val="13223BB5"/>
    <w:rsid w:val="1335429C"/>
    <w:rsid w:val="133715A8"/>
    <w:rsid w:val="133A3566"/>
    <w:rsid w:val="133E2072"/>
    <w:rsid w:val="134E49AB"/>
    <w:rsid w:val="13540009"/>
    <w:rsid w:val="135B2C24"/>
    <w:rsid w:val="13623155"/>
    <w:rsid w:val="136715C8"/>
    <w:rsid w:val="136F698A"/>
    <w:rsid w:val="137D2B9A"/>
    <w:rsid w:val="13806B2E"/>
    <w:rsid w:val="13897791"/>
    <w:rsid w:val="139323BD"/>
    <w:rsid w:val="139C2C55"/>
    <w:rsid w:val="13A97E33"/>
    <w:rsid w:val="13AF4D1D"/>
    <w:rsid w:val="13B20CAA"/>
    <w:rsid w:val="13BA2040"/>
    <w:rsid w:val="13BA3984"/>
    <w:rsid w:val="140E413A"/>
    <w:rsid w:val="141D2C0B"/>
    <w:rsid w:val="141F1EA3"/>
    <w:rsid w:val="14226E0F"/>
    <w:rsid w:val="143F38A8"/>
    <w:rsid w:val="1444190A"/>
    <w:rsid w:val="148443FC"/>
    <w:rsid w:val="148D1503"/>
    <w:rsid w:val="148D32B1"/>
    <w:rsid w:val="149208C7"/>
    <w:rsid w:val="14957781"/>
    <w:rsid w:val="14A34882"/>
    <w:rsid w:val="14A867BA"/>
    <w:rsid w:val="14F670A8"/>
    <w:rsid w:val="150A4124"/>
    <w:rsid w:val="150D43F1"/>
    <w:rsid w:val="15187343"/>
    <w:rsid w:val="151A266A"/>
    <w:rsid w:val="151E65FF"/>
    <w:rsid w:val="15284D87"/>
    <w:rsid w:val="152F67C0"/>
    <w:rsid w:val="153674A4"/>
    <w:rsid w:val="15451DDD"/>
    <w:rsid w:val="156D6384"/>
    <w:rsid w:val="15704DEE"/>
    <w:rsid w:val="157B5F02"/>
    <w:rsid w:val="1593631A"/>
    <w:rsid w:val="159A54E8"/>
    <w:rsid w:val="15DC29EE"/>
    <w:rsid w:val="15F1161D"/>
    <w:rsid w:val="15FA525B"/>
    <w:rsid w:val="16096967"/>
    <w:rsid w:val="160A26DF"/>
    <w:rsid w:val="16103820"/>
    <w:rsid w:val="161517B0"/>
    <w:rsid w:val="161B6B1A"/>
    <w:rsid w:val="16263110"/>
    <w:rsid w:val="164C6ADD"/>
    <w:rsid w:val="16526560"/>
    <w:rsid w:val="166B13D0"/>
    <w:rsid w:val="166B462C"/>
    <w:rsid w:val="167D1103"/>
    <w:rsid w:val="167F2A48"/>
    <w:rsid w:val="16821794"/>
    <w:rsid w:val="1695469E"/>
    <w:rsid w:val="16B761A1"/>
    <w:rsid w:val="16B8213B"/>
    <w:rsid w:val="16BC3405"/>
    <w:rsid w:val="16CB00C0"/>
    <w:rsid w:val="16D43419"/>
    <w:rsid w:val="16DE4297"/>
    <w:rsid w:val="16FB6BF7"/>
    <w:rsid w:val="17004BB1"/>
    <w:rsid w:val="170A0BE8"/>
    <w:rsid w:val="1711684A"/>
    <w:rsid w:val="171B2DF6"/>
    <w:rsid w:val="172C1899"/>
    <w:rsid w:val="173516EA"/>
    <w:rsid w:val="173D7D0F"/>
    <w:rsid w:val="17485051"/>
    <w:rsid w:val="174F6F43"/>
    <w:rsid w:val="17530660"/>
    <w:rsid w:val="175400B6"/>
    <w:rsid w:val="17887D5F"/>
    <w:rsid w:val="17965F21"/>
    <w:rsid w:val="17B44FF8"/>
    <w:rsid w:val="17D2722C"/>
    <w:rsid w:val="17D404BB"/>
    <w:rsid w:val="17EC4251"/>
    <w:rsid w:val="17F13463"/>
    <w:rsid w:val="17FB2C27"/>
    <w:rsid w:val="17FF6273"/>
    <w:rsid w:val="18055854"/>
    <w:rsid w:val="18291542"/>
    <w:rsid w:val="18297794"/>
    <w:rsid w:val="182E4DAB"/>
    <w:rsid w:val="183028D1"/>
    <w:rsid w:val="18447328"/>
    <w:rsid w:val="184C6FDF"/>
    <w:rsid w:val="186B56B7"/>
    <w:rsid w:val="187C3D68"/>
    <w:rsid w:val="187E553C"/>
    <w:rsid w:val="188D7D23"/>
    <w:rsid w:val="188E5849"/>
    <w:rsid w:val="18B171C0"/>
    <w:rsid w:val="18CB43A7"/>
    <w:rsid w:val="18DE232D"/>
    <w:rsid w:val="18E427C8"/>
    <w:rsid w:val="18E436BB"/>
    <w:rsid w:val="18E52B69"/>
    <w:rsid w:val="18FA2EDF"/>
    <w:rsid w:val="19212219"/>
    <w:rsid w:val="192223EF"/>
    <w:rsid w:val="19322678"/>
    <w:rsid w:val="193B4612"/>
    <w:rsid w:val="19404D95"/>
    <w:rsid w:val="19523A78"/>
    <w:rsid w:val="19691EDC"/>
    <w:rsid w:val="196F2052"/>
    <w:rsid w:val="197449B0"/>
    <w:rsid w:val="198509FA"/>
    <w:rsid w:val="19940C3D"/>
    <w:rsid w:val="19AE7F28"/>
    <w:rsid w:val="19AF4AF0"/>
    <w:rsid w:val="19B6113F"/>
    <w:rsid w:val="19C257AA"/>
    <w:rsid w:val="19CA0989"/>
    <w:rsid w:val="19E46EDA"/>
    <w:rsid w:val="19F3005A"/>
    <w:rsid w:val="19F40797"/>
    <w:rsid w:val="1A0C4C78"/>
    <w:rsid w:val="1A1678A4"/>
    <w:rsid w:val="1A183A4F"/>
    <w:rsid w:val="1A197DF8"/>
    <w:rsid w:val="1A213ABD"/>
    <w:rsid w:val="1A246465"/>
    <w:rsid w:val="1A380C99"/>
    <w:rsid w:val="1A3D3083"/>
    <w:rsid w:val="1A617FFD"/>
    <w:rsid w:val="1A670100"/>
    <w:rsid w:val="1A6C1BBA"/>
    <w:rsid w:val="1A7A6085"/>
    <w:rsid w:val="1A864A2A"/>
    <w:rsid w:val="1A8E78C8"/>
    <w:rsid w:val="1A9D1D74"/>
    <w:rsid w:val="1AA43102"/>
    <w:rsid w:val="1AA86A2D"/>
    <w:rsid w:val="1AB84DFF"/>
    <w:rsid w:val="1ABD41C4"/>
    <w:rsid w:val="1ABE298D"/>
    <w:rsid w:val="1ABE3CB6"/>
    <w:rsid w:val="1AC8208F"/>
    <w:rsid w:val="1ACB68E1"/>
    <w:rsid w:val="1AD02149"/>
    <w:rsid w:val="1AD427C8"/>
    <w:rsid w:val="1AE300CE"/>
    <w:rsid w:val="1AEB6F83"/>
    <w:rsid w:val="1AF71523"/>
    <w:rsid w:val="1B027E29"/>
    <w:rsid w:val="1B1A4A1C"/>
    <w:rsid w:val="1B2F50C2"/>
    <w:rsid w:val="1B38030C"/>
    <w:rsid w:val="1B3C1C8E"/>
    <w:rsid w:val="1B416BA3"/>
    <w:rsid w:val="1B4B7A22"/>
    <w:rsid w:val="1B674AC7"/>
    <w:rsid w:val="1B695F6C"/>
    <w:rsid w:val="1B746B39"/>
    <w:rsid w:val="1B75572A"/>
    <w:rsid w:val="1B80541E"/>
    <w:rsid w:val="1B862808"/>
    <w:rsid w:val="1BC12C68"/>
    <w:rsid w:val="1BC50187"/>
    <w:rsid w:val="1BCA7842"/>
    <w:rsid w:val="1BD74C6B"/>
    <w:rsid w:val="1BE7599C"/>
    <w:rsid w:val="1BF70CD1"/>
    <w:rsid w:val="1C1563ED"/>
    <w:rsid w:val="1C161DDD"/>
    <w:rsid w:val="1C42696B"/>
    <w:rsid w:val="1C427144"/>
    <w:rsid w:val="1C4409AC"/>
    <w:rsid w:val="1C4C57FF"/>
    <w:rsid w:val="1C4E77C9"/>
    <w:rsid w:val="1C530BD0"/>
    <w:rsid w:val="1C56667E"/>
    <w:rsid w:val="1C5F56D3"/>
    <w:rsid w:val="1C6C5EA1"/>
    <w:rsid w:val="1C715266"/>
    <w:rsid w:val="1C7A0F4E"/>
    <w:rsid w:val="1C821D29"/>
    <w:rsid w:val="1C8F133C"/>
    <w:rsid w:val="1C915908"/>
    <w:rsid w:val="1C9C6787"/>
    <w:rsid w:val="1C9D605B"/>
    <w:rsid w:val="1CC54D7D"/>
    <w:rsid w:val="1CC63804"/>
    <w:rsid w:val="1CC90CBC"/>
    <w:rsid w:val="1CE27F12"/>
    <w:rsid w:val="1CE617B0"/>
    <w:rsid w:val="1CFB6047"/>
    <w:rsid w:val="1D092B8C"/>
    <w:rsid w:val="1D094F9C"/>
    <w:rsid w:val="1D0E23E7"/>
    <w:rsid w:val="1D13631D"/>
    <w:rsid w:val="1D24677C"/>
    <w:rsid w:val="1D26355D"/>
    <w:rsid w:val="1D295B40"/>
    <w:rsid w:val="1D2B3667"/>
    <w:rsid w:val="1D320E99"/>
    <w:rsid w:val="1D374689"/>
    <w:rsid w:val="1D3E15EC"/>
    <w:rsid w:val="1D491EF1"/>
    <w:rsid w:val="1D5A219E"/>
    <w:rsid w:val="1D5C3C88"/>
    <w:rsid w:val="1D6A30DC"/>
    <w:rsid w:val="1D6D0123"/>
    <w:rsid w:val="1D70551D"/>
    <w:rsid w:val="1D7B2840"/>
    <w:rsid w:val="1D81336E"/>
    <w:rsid w:val="1D8C2345"/>
    <w:rsid w:val="1D8D7A52"/>
    <w:rsid w:val="1D943902"/>
    <w:rsid w:val="1DAE65F0"/>
    <w:rsid w:val="1DB0562C"/>
    <w:rsid w:val="1DBA2C3C"/>
    <w:rsid w:val="1DC85359"/>
    <w:rsid w:val="1DD72943"/>
    <w:rsid w:val="1DEF5D9F"/>
    <w:rsid w:val="1DFB572F"/>
    <w:rsid w:val="1E005185"/>
    <w:rsid w:val="1E0740D4"/>
    <w:rsid w:val="1E111767"/>
    <w:rsid w:val="1E117A37"/>
    <w:rsid w:val="1E3B5B2B"/>
    <w:rsid w:val="1E4946EC"/>
    <w:rsid w:val="1E4A3FC0"/>
    <w:rsid w:val="1E54462B"/>
    <w:rsid w:val="1E720322"/>
    <w:rsid w:val="1E731769"/>
    <w:rsid w:val="1E7E1EBC"/>
    <w:rsid w:val="1E890F8D"/>
    <w:rsid w:val="1E8B4AEE"/>
    <w:rsid w:val="1E9811D0"/>
    <w:rsid w:val="1E982F7E"/>
    <w:rsid w:val="1EA71413"/>
    <w:rsid w:val="1EB142DF"/>
    <w:rsid w:val="1EBF49AE"/>
    <w:rsid w:val="1EF1119A"/>
    <w:rsid w:val="1EF70D44"/>
    <w:rsid w:val="1EFD2558"/>
    <w:rsid w:val="1EFE1C91"/>
    <w:rsid w:val="1EFF3AD1"/>
    <w:rsid w:val="1F035E51"/>
    <w:rsid w:val="1F0B19A2"/>
    <w:rsid w:val="1F114ADE"/>
    <w:rsid w:val="1F132604"/>
    <w:rsid w:val="1F1B7B2E"/>
    <w:rsid w:val="1F1F71FB"/>
    <w:rsid w:val="1F38650F"/>
    <w:rsid w:val="1F390E64"/>
    <w:rsid w:val="1F3E1D77"/>
    <w:rsid w:val="1F615A66"/>
    <w:rsid w:val="1F656BFD"/>
    <w:rsid w:val="1F66307C"/>
    <w:rsid w:val="1F666BD8"/>
    <w:rsid w:val="1F72557D"/>
    <w:rsid w:val="1F7C63FB"/>
    <w:rsid w:val="1F8E5386"/>
    <w:rsid w:val="1F9A4AD4"/>
    <w:rsid w:val="1F9C084C"/>
    <w:rsid w:val="1F9E565E"/>
    <w:rsid w:val="1F9F06F3"/>
    <w:rsid w:val="1FA2333B"/>
    <w:rsid w:val="1FA450A3"/>
    <w:rsid w:val="1FA6791C"/>
    <w:rsid w:val="1FD04999"/>
    <w:rsid w:val="1FEA7809"/>
    <w:rsid w:val="1FEF3071"/>
    <w:rsid w:val="1FFB1A16"/>
    <w:rsid w:val="2005549A"/>
    <w:rsid w:val="2020322B"/>
    <w:rsid w:val="202251F5"/>
    <w:rsid w:val="2023550C"/>
    <w:rsid w:val="203B4DB3"/>
    <w:rsid w:val="20417F77"/>
    <w:rsid w:val="20427645"/>
    <w:rsid w:val="204A474C"/>
    <w:rsid w:val="20511636"/>
    <w:rsid w:val="20605D1D"/>
    <w:rsid w:val="208714FC"/>
    <w:rsid w:val="208E77B9"/>
    <w:rsid w:val="20BC4845"/>
    <w:rsid w:val="20E424AA"/>
    <w:rsid w:val="20F64BEA"/>
    <w:rsid w:val="20F75FD5"/>
    <w:rsid w:val="20FB6AEC"/>
    <w:rsid w:val="2105481C"/>
    <w:rsid w:val="210943BA"/>
    <w:rsid w:val="210E4642"/>
    <w:rsid w:val="2110133D"/>
    <w:rsid w:val="211B39F2"/>
    <w:rsid w:val="212705E9"/>
    <w:rsid w:val="213011D5"/>
    <w:rsid w:val="213552DD"/>
    <w:rsid w:val="21532217"/>
    <w:rsid w:val="2156780D"/>
    <w:rsid w:val="21645399"/>
    <w:rsid w:val="216B6728"/>
    <w:rsid w:val="217F2DFF"/>
    <w:rsid w:val="218D48F0"/>
    <w:rsid w:val="21B225A8"/>
    <w:rsid w:val="21B45DF5"/>
    <w:rsid w:val="21CA729C"/>
    <w:rsid w:val="21CB18BC"/>
    <w:rsid w:val="21CC6C28"/>
    <w:rsid w:val="21D173FB"/>
    <w:rsid w:val="21E15853"/>
    <w:rsid w:val="21EE2C07"/>
    <w:rsid w:val="21FA5CFD"/>
    <w:rsid w:val="22056B7C"/>
    <w:rsid w:val="22192627"/>
    <w:rsid w:val="221A4CD6"/>
    <w:rsid w:val="222039B6"/>
    <w:rsid w:val="22211C9D"/>
    <w:rsid w:val="222B5EB7"/>
    <w:rsid w:val="224332AE"/>
    <w:rsid w:val="2246271F"/>
    <w:rsid w:val="22467D55"/>
    <w:rsid w:val="224D0523"/>
    <w:rsid w:val="224F7BFF"/>
    <w:rsid w:val="22581B32"/>
    <w:rsid w:val="225C42C2"/>
    <w:rsid w:val="225E003A"/>
    <w:rsid w:val="22605689"/>
    <w:rsid w:val="2265761B"/>
    <w:rsid w:val="226F0499"/>
    <w:rsid w:val="226F3FF6"/>
    <w:rsid w:val="228377FC"/>
    <w:rsid w:val="22925F36"/>
    <w:rsid w:val="229E2B2D"/>
    <w:rsid w:val="22A6752B"/>
    <w:rsid w:val="22AD589A"/>
    <w:rsid w:val="22C34341"/>
    <w:rsid w:val="22C80C7C"/>
    <w:rsid w:val="22CE76CE"/>
    <w:rsid w:val="22DD3655"/>
    <w:rsid w:val="22E04EF3"/>
    <w:rsid w:val="22F4099F"/>
    <w:rsid w:val="22FB72D8"/>
    <w:rsid w:val="230948A7"/>
    <w:rsid w:val="23201794"/>
    <w:rsid w:val="23245B22"/>
    <w:rsid w:val="232703F4"/>
    <w:rsid w:val="23273161"/>
    <w:rsid w:val="23314333"/>
    <w:rsid w:val="23360FD0"/>
    <w:rsid w:val="233A4959"/>
    <w:rsid w:val="234A19CA"/>
    <w:rsid w:val="23541FE2"/>
    <w:rsid w:val="23566F63"/>
    <w:rsid w:val="235A6A54"/>
    <w:rsid w:val="235C0A1E"/>
    <w:rsid w:val="235D1C04"/>
    <w:rsid w:val="23862524"/>
    <w:rsid w:val="238C6E29"/>
    <w:rsid w:val="23AE15F1"/>
    <w:rsid w:val="23C2673F"/>
    <w:rsid w:val="23CC6C6C"/>
    <w:rsid w:val="23D04F68"/>
    <w:rsid w:val="23D06D16"/>
    <w:rsid w:val="23E32EED"/>
    <w:rsid w:val="23EB1DA2"/>
    <w:rsid w:val="23ED4B71"/>
    <w:rsid w:val="23F76998"/>
    <w:rsid w:val="23F8626D"/>
    <w:rsid w:val="23FE2C82"/>
    <w:rsid w:val="23FE3883"/>
    <w:rsid w:val="24105B34"/>
    <w:rsid w:val="243674C1"/>
    <w:rsid w:val="2455546D"/>
    <w:rsid w:val="24594F5D"/>
    <w:rsid w:val="24777F0B"/>
    <w:rsid w:val="24855D52"/>
    <w:rsid w:val="24975E97"/>
    <w:rsid w:val="249A0144"/>
    <w:rsid w:val="24AD7057"/>
    <w:rsid w:val="24B959FC"/>
    <w:rsid w:val="24C3687B"/>
    <w:rsid w:val="24C935DB"/>
    <w:rsid w:val="24CA7C09"/>
    <w:rsid w:val="24D17B32"/>
    <w:rsid w:val="24D665AE"/>
    <w:rsid w:val="24E12477"/>
    <w:rsid w:val="24EC7B7F"/>
    <w:rsid w:val="24F46A34"/>
    <w:rsid w:val="24FD13D3"/>
    <w:rsid w:val="253C2765"/>
    <w:rsid w:val="2540611D"/>
    <w:rsid w:val="25466824"/>
    <w:rsid w:val="255F65A3"/>
    <w:rsid w:val="256652B4"/>
    <w:rsid w:val="256911D0"/>
    <w:rsid w:val="256D377B"/>
    <w:rsid w:val="256F5ACC"/>
    <w:rsid w:val="257B0F03"/>
    <w:rsid w:val="257B7155"/>
    <w:rsid w:val="2581184D"/>
    <w:rsid w:val="258129BE"/>
    <w:rsid w:val="25965F7C"/>
    <w:rsid w:val="25A517EF"/>
    <w:rsid w:val="25AE084C"/>
    <w:rsid w:val="25B209DF"/>
    <w:rsid w:val="25C40AFC"/>
    <w:rsid w:val="25D23219"/>
    <w:rsid w:val="25D9690F"/>
    <w:rsid w:val="25DD571A"/>
    <w:rsid w:val="25E90563"/>
    <w:rsid w:val="260809E9"/>
    <w:rsid w:val="261455E0"/>
    <w:rsid w:val="262275D1"/>
    <w:rsid w:val="26404627"/>
    <w:rsid w:val="266377A8"/>
    <w:rsid w:val="266D6A9E"/>
    <w:rsid w:val="26705B30"/>
    <w:rsid w:val="26713644"/>
    <w:rsid w:val="2674362D"/>
    <w:rsid w:val="267B565F"/>
    <w:rsid w:val="267E6EFD"/>
    <w:rsid w:val="26812D1C"/>
    <w:rsid w:val="268C786C"/>
    <w:rsid w:val="268F20C6"/>
    <w:rsid w:val="26971D6D"/>
    <w:rsid w:val="26AD333E"/>
    <w:rsid w:val="26B40B71"/>
    <w:rsid w:val="26B7240F"/>
    <w:rsid w:val="26C72B6F"/>
    <w:rsid w:val="26CF1507"/>
    <w:rsid w:val="26D20FF7"/>
    <w:rsid w:val="26D62895"/>
    <w:rsid w:val="26D703BB"/>
    <w:rsid w:val="26D905D7"/>
    <w:rsid w:val="26DA605D"/>
    <w:rsid w:val="26E50D2A"/>
    <w:rsid w:val="26E66850"/>
    <w:rsid w:val="26EC6985"/>
    <w:rsid w:val="26ED0B30"/>
    <w:rsid w:val="26F96584"/>
    <w:rsid w:val="26FD42C6"/>
    <w:rsid w:val="27035654"/>
    <w:rsid w:val="27284ECD"/>
    <w:rsid w:val="2728743A"/>
    <w:rsid w:val="27364458"/>
    <w:rsid w:val="273A63A3"/>
    <w:rsid w:val="273D46C2"/>
    <w:rsid w:val="27436AA7"/>
    <w:rsid w:val="2749444C"/>
    <w:rsid w:val="277072C8"/>
    <w:rsid w:val="277A7810"/>
    <w:rsid w:val="27854157"/>
    <w:rsid w:val="278D7AAA"/>
    <w:rsid w:val="279063A2"/>
    <w:rsid w:val="279D1605"/>
    <w:rsid w:val="27AC5B20"/>
    <w:rsid w:val="28171F7C"/>
    <w:rsid w:val="28197154"/>
    <w:rsid w:val="28335AC5"/>
    <w:rsid w:val="28373807"/>
    <w:rsid w:val="285B3DDD"/>
    <w:rsid w:val="28760B56"/>
    <w:rsid w:val="2885366D"/>
    <w:rsid w:val="288E0F4E"/>
    <w:rsid w:val="28B46C06"/>
    <w:rsid w:val="28B65382"/>
    <w:rsid w:val="28CF1C92"/>
    <w:rsid w:val="28D50537"/>
    <w:rsid w:val="28DE02D2"/>
    <w:rsid w:val="28EB63A0"/>
    <w:rsid w:val="28F84B93"/>
    <w:rsid w:val="290556B4"/>
    <w:rsid w:val="29077D29"/>
    <w:rsid w:val="291678C1"/>
    <w:rsid w:val="2918419C"/>
    <w:rsid w:val="29192F0D"/>
    <w:rsid w:val="292024ED"/>
    <w:rsid w:val="29223270"/>
    <w:rsid w:val="292D0766"/>
    <w:rsid w:val="29332221"/>
    <w:rsid w:val="29361D11"/>
    <w:rsid w:val="293D4E4D"/>
    <w:rsid w:val="294616FD"/>
    <w:rsid w:val="29567CBD"/>
    <w:rsid w:val="29606D8E"/>
    <w:rsid w:val="296323DA"/>
    <w:rsid w:val="2976210D"/>
    <w:rsid w:val="29820AB2"/>
    <w:rsid w:val="298F4F7D"/>
    <w:rsid w:val="299802D6"/>
    <w:rsid w:val="29A058F9"/>
    <w:rsid w:val="29A7676B"/>
    <w:rsid w:val="29A80A63"/>
    <w:rsid w:val="29AB330F"/>
    <w:rsid w:val="29AC5FBF"/>
    <w:rsid w:val="29B13146"/>
    <w:rsid w:val="29B175E9"/>
    <w:rsid w:val="29B42C36"/>
    <w:rsid w:val="29C42E79"/>
    <w:rsid w:val="29C56184"/>
    <w:rsid w:val="29D357B2"/>
    <w:rsid w:val="29E51041"/>
    <w:rsid w:val="29EE3E25"/>
    <w:rsid w:val="29F37C02"/>
    <w:rsid w:val="29F8157A"/>
    <w:rsid w:val="2A162C68"/>
    <w:rsid w:val="2A1C21DF"/>
    <w:rsid w:val="2A1E335D"/>
    <w:rsid w:val="2A297180"/>
    <w:rsid w:val="2A2E0C3A"/>
    <w:rsid w:val="2A3F7CDA"/>
    <w:rsid w:val="2A524FDF"/>
    <w:rsid w:val="2A753158"/>
    <w:rsid w:val="2A88659C"/>
    <w:rsid w:val="2A944F41"/>
    <w:rsid w:val="2A965B0A"/>
    <w:rsid w:val="2AA075F4"/>
    <w:rsid w:val="2AAB228B"/>
    <w:rsid w:val="2AAC37FB"/>
    <w:rsid w:val="2AAD7DB1"/>
    <w:rsid w:val="2ACD3FAF"/>
    <w:rsid w:val="2ADB2BD5"/>
    <w:rsid w:val="2AE5579D"/>
    <w:rsid w:val="2AF91248"/>
    <w:rsid w:val="2AFA28CA"/>
    <w:rsid w:val="2AFA4548"/>
    <w:rsid w:val="2B057BED"/>
    <w:rsid w:val="2B0D0850"/>
    <w:rsid w:val="2B177920"/>
    <w:rsid w:val="2B255B99"/>
    <w:rsid w:val="2B373B1E"/>
    <w:rsid w:val="2B481888"/>
    <w:rsid w:val="2B516D70"/>
    <w:rsid w:val="2B5C0E2F"/>
    <w:rsid w:val="2B696BA9"/>
    <w:rsid w:val="2B794137"/>
    <w:rsid w:val="2B836D64"/>
    <w:rsid w:val="2B8E7BE2"/>
    <w:rsid w:val="2B9B22FF"/>
    <w:rsid w:val="2BA03472"/>
    <w:rsid w:val="2BA519D8"/>
    <w:rsid w:val="2BA80578"/>
    <w:rsid w:val="2BB84C5F"/>
    <w:rsid w:val="2BBE1B4A"/>
    <w:rsid w:val="2BD55811"/>
    <w:rsid w:val="2C091B5B"/>
    <w:rsid w:val="2C1E34F1"/>
    <w:rsid w:val="2C250B14"/>
    <w:rsid w:val="2C3167C0"/>
    <w:rsid w:val="2C3B5405"/>
    <w:rsid w:val="2C467992"/>
    <w:rsid w:val="2C475FE3"/>
    <w:rsid w:val="2C4B2FA5"/>
    <w:rsid w:val="2C59031C"/>
    <w:rsid w:val="2C5907E9"/>
    <w:rsid w:val="2C5F50DB"/>
    <w:rsid w:val="2C650E64"/>
    <w:rsid w:val="2C6579B8"/>
    <w:rsid w:val="2C892158"/>
    <w:rsid w:val="2C8D1C48"/>
    <w:rsid w:val="2C915F53"/>
    <w:rsid w:val="2CA06D47"/>
    <w:rsid w:val="2CA84CD4"/>
    <w:rsid w:val="2CD56F5D"/>
    <w:rsid w:val="2CDA6711"/>
    <w:rsid w:val="2CE455E0"/>
    <w:rsid w:val="2CE761A9"/>
    <w:rsid w:val="2CF00EAC"/>
    <w:rsid w:val="2CFA3055"/>
    <w:rsid w:val="2D0637A8"/>
    <w:rsid w:val="2D0B0DBF"/>
    <w:rsid w:val="2D0F6B01"/>
    <w:rsid w:val="2D157E8F"/>
    <w:rsid w:val="2D20628D"/>
    <w:rsid w:val="2D256324"/>
    <w:rsid w:val="2D38268D"/>
    <w:rsid w:val="2D524C40"/>
    <w:rsid w:val="2D6C14C5"/>
    <w:rsid w:val="2D782C20"/>
    <w:rsid w:val="2D796F17"/>
    <w:rsid w:val="2DA82AB1"/>
    <w:rsid w:val="2DAC19F5"/>
    <w:rsid w:val="2DAF2092"/>
    <w:rsid w:val="2DE03CE6"/>
    <w:rsid w:val="2DE97352"/>
    <w:rsid w:val="2DFB52D7"/>
    <w:rsid w:val="2DFE0923"/>
    <w:rsid w:val="2E0028ED"/>
    <w:rsid w:val="2E0470F3"/>
    <w:rsid w:val="2E067740"/>
    <w:rsid w:val="2E094D02"/>
    <w:rsid w:val="2E0D253C"/>
    <w:rsid w:val="2E13617D"/>
    <w:rsid w:val="2E144D73"/>
    <w:rsid w:val="2E314855"/>
    <w:rsid w:val="2E385BE3"/>
    <w:rsid w:val="2E3F51C4"/>
    <w:rsid w:val="2E486DD2"/>
    <w:rsid w:val="2E4E5407"/>
    <w:rsid w:val="2E56250D"/>
    <w:rsid w:val="2E57306B"/>
    <w:rsid w:val="2E5C5D76"/>
    <w:rsid w:val="2E8157DC"/>
    <w:rsid w:val="2E821554"/>
    <w:rsid w:val="2E920B6E"/>
    <w:rsid w:val="2E9335DF"/>
    <w:rsid w:val="2E9F2106"/>
    <w:rsid w:val="2EAC037F"/>
    <w:rsid w:val="2EB07B17"/>
    <w:rsid w:val="2EC27BA3"/>
    <w:rsid w:val="2ED81174"/>
    <w:rsid w:val="2ED973C6"/>
    <w:rsid w:val="2EE67D35"/>
    <w:rsid w:val="2EF8764D"/>
    <w:rsid w:val="2F0106CB"/>
    <w:rsid w:val="2F141827"/>
    <w:rsid w:val="2F1523C9"/>
    <w:rsid w:val="2F1B7500"/>
    <w:rsid w:val="2F1E302B"/>
    <w:rsid w:val="2F2257D4"/>
    <w:rsid w:val="2F2D326E"/>
    <w:rsid w:val="2F326AD7"/>
    <w:rsid w:val="2F3740ED"/>
    <w:rsid w:val="2F3C5BA7"/>
    <w:rsid w:val="2F4607D4"/>
    <w:rsid w:val="2F4C544D"/>
    <w:rsid w:val="2F662C24"/>
    <w:rsid w:val="2F6B1FE9"/>
    <w:rsid w:val="2F6B3D97"/>
    <w:rsid w:val="2F6F3887"/>
    <w:rsid w:val="2F7067E6"/>
    <w:rsid w:val="2F757199"/>
    <w:rsid w:val="2F885A73"/>
    <w:rsid w:val="2F8922A1"/>
    <w:rsid w:val="2F976C21"/>
    <w:rsid w:val="2F9C6646"/>
    <w:rsid w:val="2FB120F1"/>
    <w:rsid w:val="2FB50143"/>
    <w:rsid w:val="2FBC2844"/>
    <w:rsid w:val="2FDF791C"/>
    <w:rsid w:val="2FE34720"/>
    <w:rsid w:val="2FE51D9B"/>
    <w:rsid w:val="2FE9521D"/>
    <w:rsid w:val="2FEA60CD"/>
    <w:rsid w:val="301B3A0F"/>
    <w:rsid w:val="30341FA2"/>
    <w:rsid w:val="30363749"/>
    <w:rsid w:val="30395C43"/>
    <w:rsid w:val="303E25B2"/>
    <w:rsid w:val="30416F06"/>
    <w:rsid w:val="30442F65"/>
    <w:rsid w:val="304545E8"/>
    <w:rsid w:val="30543D1D"/>
    <w:rsid w:val="305B7FDF"/>
    <w:rsid w:val="306B7B89"/>
    <w:rsid w:val="30707EB1"/>
    <w:rsid w:val="307E7C38"/>
    <w:rsid w:val="30872912"/>
    <w:rsid w:val="309D61D2"/>
    <w:rsid w:val="30BF25EC"/>
    <w:rsid w:val="30C5215E"/>
    <w:rsid w:val="30C61B6F"/>
    <w:rsid w:val="30C65ADA"/>
    <w:rsid w:val="30D50061"/>
    <w:rsid w:val="30DC4F4C"/>
    <w:rsid w:val="30E3277E"/>
    <w:rsid w:val="3106378E"/>
    <w:rsid w:val="310B75DF"/>
    <w:rsid w:val="31210BB1"/>
    <w:rsid w:val="312E2219"/>
    <w:rsid w:val="3148438F"/>
    <w:rsid w:val="316D3DF6"/>
    <w:rsid w:val="317433D6"/>
    <w:rsid w:val="31794E91"/>
    <w:rsid w:val="317B410A"/>
    <w:rsid w:val="31AE7037"/>
    <w:rsid w:val="31B9703B"/>
    <w:rsid w:val="31EF1640"/>
    <w:rsid w:val="31F34794"/>
    <w:rsid w:val="320A5AE9"/>
    <w:rsid w:val="321C5403"/>
    <w:rsid w:val="321F5EE6"/>
    <w:rsid w:val="322070BA"/>
    <w:rsid w:val="322A1CE7"/>
    <w:rsid w:val="323D5EBE"/>
    <w:rsid w:val="32476D3D"/>
    <w:rsid w:val="325154C6"/>
    <w:rsid w:val="32786EF6"/>
    <w:rsid w:val="327B3E8F"/>
    <w:rsid w:val="328E2276"/>
    <w:rsid w:val="329A50BF"/>
    <w:rsid w:val="32A970B0"/>
    <w:rsid w:val="32AF043E"/>
    <w:rsid w:val="32B75C71"/>
    <w:rsid w:val="32D81743"/>
    <w:rsid w:val="32E22E40"/>
    <w:rsid w:val="330971C6"/>
    <w:rsid w:val="33280090"/>
    <w:rsid w:val="33337C2B"/>
    <w:rsid w:val="333F7A14"/>
    <w:rsid w:val="334249CD"/>
    <w:rsid w:val="334C0B5A"/>
    <w:rsid w:val="3353526D"/>
    <w:rsid w:val="335C6818"/>
    <w:rsid w:val="336747D4"/>
    <w:rsid w:val="338B4A07"/>
    <w:rsid w:val="33982369"/>
    <w:rsid w:val="33A201DA"/>
    <w:rsid w:val="33A32A64"/>
    <w:rsid w:val="33B82BEC"/>
    <w:rsid w:val="33B91574"/>
    <w:rsid w:val="33D1015A"/>
    <w:rsid w:val="33D25DFC"/>
    <w:rsid w:val="33D93F7F"/>
    <w:rsid w:val="341449FD"/>
    <w:rsid w:val="34205722"/>
    <w:rsid w:val="34256C0A"/>
    <w:rsid w:val="3428494C"/>
    <w:rsid w:val="342B3CB6"/>
    <w:rsid w:val="34327F5F"/>
    <w:rsid w:val="34580D8D"/>
    <w:rsid w:val="34675474"/>
    <w:rsid w:val="346B5F4A"/>
    <w:rsid w:val="346C4839"/>
    <w:rsid w:val="346D28AC"/>
    <w:rsid w:val="34784F8C"/>
    <w:rsid w:val="347E22C7"/>
    <w:rsid w:val="34871673"/>
    <w:rsid w:val="3488437D"/>
    <w:rsid w:val="349124F1"/>
    <w:rsid w:val="34986757"/>
    <w:rsid w:val="34A55F9D"/>
    <w:rsid w:val="34B65AB4"/>
    <w:rsid w:val="34C53F49"/>
    <w:rsid w:val="34C834CB"/>
    <w:rsid w:val="34DF211F"/>
    <w:rsid w:val="34E40873"/>
    <w:rsid w:val="34F30AB6"/>
    <w:rsid w:val="35154E98"/>
    <w:rsid w:val="35186016"/>
    <w:rsid w:val="351B1DBB"/>
    <w:rsid w:val="352275ED"/>
    <w:rsid w:val="35245E9E"/>
    <w:rsid w:val="353A0143"/>
    <w:rsid w:val="353C06AF"/>
    <w:rsid w:val="353F3CFB"/>
    <w:rsid w:val="35453666"/>
    <w:rsid w:val="3546508A"/>
    <w:rsid w:val="35496928"/>
    <w:rsid w:val="355A71BE"/>
    <w:rsid w:val="355C49B1"/>
    <w:rsid w:val="3572062E"/>
    <w:rsid w:val="3579545F"/>
    <w:rsid w:val="35906305"/>
    <w:rsid w:val="35B01E4A"/>
    <w:rsid w:val="35B35442"/>
    <w:rsid w:val="35B93AAE"/>
    <w:rsid w:val="35CB1A33"/>
    <w:rsid w:val="35CF1523"/>
    <w:rsid w:val="35D501BC"/>
    <w:rsid w:val="35DE3514"/>
    <w:rsid w:val="35E93C67"/>
    <w:rsid w:val="36140CE4"/>
    <w:rsid w:val="36145188"/>
    <w:rsid w:val="36154A5C"/>
    <w:rsid w:val="361E2AC3"/>
    <w:rsid w:val="36257395"/>
    <w:rsid w:val="36356EAC"/>
    <w:rsid w:val="36414C8A"/>
    <w:rsid w:val="36496066"/>
    <w:rsid w:val="365657A0"/>
    <w:rsid w:val="3670504C"/>
    <w:rsid w:val="367107D6"/>
    <w:rsid w:val="367E2601"/>
    <w:rsid w:val="36826596"/>
    <w:rsid w:val="36853990"/>
    <w:rsid w:val="36857E34"/>
    <w:rsid w:val="3688061E"/>
    <w:rsid w:val="368C2F70"/>
    <w:rsid w:val="36925682"/>
    <w:rsid w:val="3699568D"/>
    <w:rsid w:val="36B304C0"/>
    <w:rsid w:val="36B338FF"/>
    <w:rsid w:val="36C2714B"/>
    <w:rsid w:val="36C928DA"/>
    <w:rsid w:val="36EA2872"/>
    <w:rsid w:val="36F6488E"/>
    <w:rsid w:val="36F6663C"/>
    <w:rsid w:val="36F823B4"/>
    <w:rsid w:val="36FF7BE6"/>
    <w:rsid w:val="37021DBA"/>
    <w:rsid w:val="37161EDE"/>
    <w:rsid w:val="37237790"/>
    <w:rsid w:val="37286786"/>
    <w:rsid w:val="372B6B10"/>
    <w:rsid w:val="374E6478"/>
    <w:rsid w:val="37543CF6"/>
    <w:rsid w:val="375F2433"/>
    <w:rsid w:val="37614B2E"/>
    <w:rsid w:val="376D2DA2"/>
    <w:rsid w:val="37737C8C"/>
    <w:rsid w:val="377A54BF"/>
    <w:rsid w:val="377F0D27"/>
    <w:rsid w:val="378620B5"/>
    <w:rsid w:val="37905BEB"/>
    <w:rsid w:val="37AC319E"/>
    <w:rsid w:val="37AF33BA"/>
    <w:rsid w:val="37B55A13"/>
    <w:rsid w:val="37D156F9"/>
    <w:rsid w:val="37D44F73"/>
    <w:rsid w:val="37D526F5"/>
    <w:rsid w:val="37DA7D0B"/>
    <w:rsid w:val="37E172EC"/>
    <w:rsid w:val="37EC4CAD"/>
    <w:rsid w:val="380B25BB"/>
    <w:rsid w:val="381B0A50"/>
    <w:rsid w:val="381E22EE"/>
    <w:rsid w:val="383511CC"/>
    <w:rsid w:val="384A73D1"/>
    <w:rsid w:val="38556DEE"/>
    <w:rsid w:val="38575800"/>
    <w:rsid w:val="38653A79"/>
    <w:rsid w:val="386D0B7F"/>
    <w:rsid w:val="386E3C6A"/>
    <w:rsid w:val="387C0DC3"/>
    <w:rsid w:val="387D5266"/>
    <w:rsid w:val="388163D9"/>
    <w:rsid w:val="388E70B3"/>
    <w:rsid w:val="38AE3672"/>
    <w:rsid w:val="38AF73EA"/>
    <w:rsid w:val="38CD161E"/>
    <w:rsid w:val="38CF5396"/>
    <w:rsid w:val="38CF612C"/>
    <w:rsid w:val="38E5008F"/>
    <w:rsid w:val="38FE5C7B"/>
    <w:rsid w:val="39050DB8"/>
    <w:rsid w:val="390C0398"/>
    <w:rsid w:val="390E5EBF"/>
    <w:rsid w:val="3914549F"/>
    <w:rsid w:val="39335925"/>
    <w:rsid w:val="393A3157"/>
    <w:rsid w:val="394C2E8B"/>
    <w:rsid w:val="39504729"/>
    <w:rsid w:val="395D6E46"/>
    <w:rsid w:val="39673821"/>
    <w:rsid w:val="396D0A5D"/>
    <w:rsid w:val="39A23B63"/>
    <w:rsid w:val="39B5458C"/>
    <w:rsid w:val="39E66E3B"/>
    <w:rsid w:val="39E906DA"/>
    <w:rsid w:val="39F41558"/>
    <w:rsid w:val="39FF3A59"/>
    <w:rsid w:val="3A002A5F"/>
    <w:rsid w:val="3A2B2AA0"/>
    <w:rsid w:val="3A2D21AE"/>
    <w:rsid w:val="3A41153E"/>
    <w:rsid w:val="3A4570F3"/>
    <w:rsid w:val="3A476958"/>
    <w:rsid w:val="3A4818A4"/>
    <w:rsid w:val="3A4D142D"/>
    <w:rsid w:val="3A537871"/>
    <w:rsid w:val="3A5D7130"/>
    <w:rsid w:val="3A5E004A"/>
    <w:rsid w:val="3A606BEE"/>
    <w:rsid w:val="3A6409FF"/>
    <w:rsid w:val="3A663AD8"/>
    <w:rsid w:val="3A7B3A28"/>
    <w:rsid w:val="3A7F1762"/>
    <w:rsid w:val="3A7F3B19"/>
    <w:rsid w:val="3A9D283C"/>
    <w:rsid w:val="3AA24F6A"/>
    <w:rsid w:val="3AA76149"/>
    <w:rsid w:val="3AAC1E33"/>
    <w:rsid w:val="3AB64A60"/>
    <w:rsid w:val="3AB807D8"/>
    <w:rsid w:val="3ACA050B"/>
    <w:rsid w:val="3ADD023E"/>
    <w:rsid w:val="3AE9658B"/>
    <w:rsid w:val="3AED0349"/>
    <w:rsid w:val="3B027B15"/>
    <w:rsid w:val="3B072377"/>
    <w:rsid w:val="3B136982"/>
    <w:rsid w:val="3B146EA0"/>
    <w:rsid w:val="3B1C7208"/>
    <w:rsid w:val="3B26064F"/>
    <w:rsid w:val="3B6F4C0F"/>
    <w:rsid w:val="3B7641EF"/>
    <w:rsid w:val="3B7D557D"/>
    <w:rsid w:val="3BB47D76"/>
    <w:rsid w:val="3BC21543"/>
    <w:rsid w:val="3BC66F24"/>
    <w:rsid w:val="3BCA3D2B"/>
    <w:rsid w:val="3BDD3D31"/>
    <w:rsid w:val="3BF22035"/>
    <w:rsid w:val="3BF35840"/>
    <w:rsid w:val="3C081952"/>
    <w:rsid w:val="3C0C24D0"/>
    <w:rsid w:val="3C1557B6"/>
    <w:rsid w:val="3C1E28BD"/>
    <w:rsid w:val="3C2329DE"/>
    <w:rsid w:val="3C387C13"/>
    <w:rsid w:val="3C3C148C"/>
    <w:rsid w:val="3C447E49"/>
    <w:rsid w:val="3C504A40"/>
    <w:rsid w:val="3C566D4D"/>
    <w:rsid w:val="3C5938F5"/>
    <w:rsid w:val="3C5E715D"/>
    <w:rsid w:val="3C61318A"/>
    <w:rsid w:val="3C687FDC"/>
    <w:rsid w:val="3C9E463E"/>
    <w:rsid w:val="3CCD6091"/>
    <w:rsid w:val="3CED228F"/>
    <w:rsid w:val="3CF51FB8"/>
    <w:rsid w:val="3D0C4E0B"/>
    <w:rsid w:val="3D1F45F0"/>
    <w:rsid w:val="3D2832C7"/>
    <w:rsid w:val="3D5D5666"/>
    <w:rsid w:val="3D624A2B"/>
    <w:rsid w:val="3D6407A3"/>
    <w:rsid w:val="3D676C4F"/>
    <w:rsid w:val="3D6D42D8"/>
    <w:rsid w:val="3D726302"/>
    <w:rsid w:val="3D7309E6"/>
    <w:rsid w:val="3D7A7FC6"/>
    <w:rsid w:val="3D82706F"/>
    <w:rsid w:val="3D89645B"/>
    <w:rsid w:val="3D9764AF"/>
    <w:rsid w:val="3DA768E2"/>
    <w:rsid w:val="3DAA0180"/>
    <w:rsid w:val="3DB42DAD"/>
    <w:rsid w:val="3DC076EC"/>
    <w:rsid w:val="3DC47494"/>
    <w:rsid w:val="3DCD5673"/>
    <w:rsid w:val="3DDA2813"/>
    <w:rsid w:val="3DDC6D05"/>
    <w:rsid w:val="3DDD2303"/>
    <w:rsid w:val="3DEB3817"/>
    <w:rsid w:val="3E01510C"/>
    <w:rsid w:val="3E171CB9"/>
    <w:rsid w:val="3E1C5014"/>
    <w:rsid w:val="3E261EFC"/>
    <w:rsid w:val="3E2F2B9B"/>
    <w:rsid w:val="3E3D47D1"/>
    <w:rsid w:val="3E4740C3"/>
    <w:rsid w:val="3E524A9F"/>
    <w:rsid w:val="3E6E6B8D"/>
    <w:rsid w:val="3E9027CA"/>
    <w:rsid w:val="3EA80B63"/>
    <w:rsid w:val="3EAB41B0"/>
    <w:rsid w:val="3EAC3D2A"/>
    <w:rsid w:val="3EAF1EF2"/>
    <w:rsid w:val="3EB2553E"/>
    <w:rsid w:val="3EC05EAD"/>
    <w:rsid w:val="3EC3693C"/>
    <w:rsid w:val="3ECD1262"/>
    <w:rsid w:val="3ED92ACB"/>
    <w:rsid w:val="3EDC6A5F"/>
    <w:rsid w:val="3EE651E8"/>
    <w:rsid w:val="3EE871B2"/>
    <w:rsid w:val="3EFD0EAF"/>
    <w:rsid w:val="3F216D3E"/>
    <w:rsid w:val="3F2A1578"/>
    <w:rsid w:val="3F3B3068"/>
    <w:rsid w:val="3F69603F"/>
    <w:rsid w:val="3F9D1D4A"/>
    <w:rsid w:val="3FCA68B7"/>
    <w:rsid w:val="3FD95300"/>
    <w:rsid w:val="3FE8458F"/>
    <w:rsid w:val="3FE93DFA"/>
    <w:rsid w:val="40344CDC"/>
    <w:rsid w:val="404F79F3"/>
    <w:rsid w:val="405C355E"/>
    <w:rsid w:val="406A7E41"/>
    <w:rsid w:val="406D0BA0"/>
    <w:rsid w:val="407767B1"/>
    <w:rsid w:val="407E1861"/>
    <w:rsid w:val="407F0314"/>
    <w:rsid w:val="40970E8F"/>
    <w:rsid w:val="40972E6D"/>
    <w:rsid w:val="40981F48"/>
    <w:rsid w:val="40B30F05"/>
    <w:rsid w:val="40C17CBA"/>
    <w:rsid w:val="40DC1DD0"/>
    <w:rsid w:val="40EB305C"/>
    <w:rsid w:val="40F462E2"/>
    <w:rsid w:val="40FA2DBD"/>
    <w:rsid w:val="41076015"/>
    <w:rsid w:val="41232723"/>
    <w:rsid w:val="412D2B6A"/>
    <w:rsid w:val="413466DE"/>
    <w:rsid w:val="4137798B"/>
    <w:rsid w:val="413C07FF"/>
    <w:rsid w:val="413E57AF"/>
    <w:rsid w:val="414423C4"/>
    <w:rsid w:val="415D3E87"/>
    <w:rsid w:val="4162149D"/>
    <w:rsid w:val="41755597"/>
    <w:rsid w:val="418878EA"/>
    <w:rsid w:val="418F1B67"/>
    <w:rsid w:val="419249C6"/>
    <w:rsid w:val="41984EBF"/>
    <w:rsid w:val="41A30C6B"/>
    <w:rsid w:val="41AD023F"/>
    <w:rsid w:val="41B415CD"/>
    <w:rsid w:val="41BF5814"/>
    <w:rsid w:val="41DB1250"/>
    <w:rsid w:val="41EC6FB9"/>
    <w:rsid w:val="421D3616"/>
    <w:rsid w:val="42247208"/>
    <w:rsid w:val="423C1CEE"/>
    <w:rsid w:val="42440BA3"/>
    <w:rsid w:val="4255123F"/>
    <w:rsid w:val="425B616B"/>
    <w:rsid w:val="425F1532"/>
    <w:rsid w:val="42674891"/>
    <w:rsid w:val="42750D5C"/>
    <w:rsid w:val="427C7EBF"/>
    <w:rsid w:val="427E2307"/>
    <w:rsid w:val="42815EC9"/>
    <w:rsid w:val="42957651"/>
    <w:rsid w:val="42AC04F6"/>
    <w:rsid w:val="42B34FB0"/>
    <w:rsid w:val="42D737C5"/>
    <w:rsid w:val="42E3216A"/>
    <w:rsid w:val="42F47F65"/>
    <w:rsid w:val="42FB6DBC"/>
    <w:rsid w:val="43256988"/>
    <w:rsid w:val="43301127"/>
    <w:rsid w:val="433444B4"/>
    <w:rsid w:val="43364990"/>
    <w:rsid w:val="43370708"/>
    <w:rsid w:val="433E181F"/>
    <w:rsid w:val="434F194C"/>
    <w:rsid w:val="434F77FF"/>
    <w:rsid w:val="435117C9"/>
    <w:rsid w:val="436D4129"/>
    <w:rsid w:val="4373550D"/>
    <w:rsid w:val="437D5F38"/>
    <w:rsid w:val="43B81849"/>
    <w:rsid w:val="43CE2E1A"/>
    <w:rsid w:val="43E80C28"/>
    <w:rsid w:val="43EF3C79"/>
    <w:rsid w:val="43F63A9A"/>
    <w:rsid w:val="44093E52"/>
    <w:rsid w:val="440A1978"/>
    <w:rsid w:val="440D168C"/>
    <w:rsid w:val="441A5719"/>
    <w:rsid w:val="44226CC2"/>
    <w:rsid w:val="44454911"/>
    <w:rsid w:val="444570D7"/>
    <w:rsid w:val="445B21D4"/>
    <w:rsid w:val="44687A88"/>
    <w:rsid w:val="44693328"/>
    <w:rsid w:val="447F4114"/>
    <w:rsid w:val="44823C05"/>
    <w:rsid w:val="4492209A"/>
    <w:rsid w:val="449D27EC"/>
    <w:rsid w:val="44A973E3"/>
    <w:rsid w:val="44B741BA"/>
    <w:rsid w:val="44C91833"/>
    <w:rsid w:val="44D60A60"/>
    <w:rsid w:val="44E16B7D"/>
    <w:rsid w:val="44E421C9"/>
    <w:rsid w:val="44E81CBA"/>
    <w:rsid w:val="44F76DA7"/>
    <w:rsid w:val="451106FD"/>
    <w:rsid w:val="45356EC9"/>
    <w:rsid w:val="453A003B"/>
    <w:rsid w:val="454F554E"/>
    <w:rsid w:val="4550785F"/>
    <w:rsid w:val="45533BC2"/>
    <w:rsid w:val="459040FF"/>
    <w:rsid w:val="45966907"/>
    <w:rsid w:val="4597548E"/>
    <w:rsid w:val="459906E4"/>
    <w:rsid w:val="459E59D6"/>
    <w:rsid w:val="45A1630C"/>
    <w:rsid w:val="45A76D4B"/>
    <w:rsid w:val="45AA4AF0"/>
    <w:rsid w:val="45BA501A"/>
    <w:rsid w:val="45BC4EF4"/>
    <w:rsid w:val="45C049E4"/>
    <w:rsid w:val="45C9535A"/>
    <w:rsid w:val="45F21028"/>
    <w:rsid w:val="45F22775"/>
    <w:rsid w:val="45F60406"/>
    <w:rsid w:val="460F188E"/>
    <w:rsid w:val="46110B49"/>
    <w:rsid w:val="462A00B0"/>
    <w:rsid w:val="462D194E"/>
    <w:rsid w:val="462D281F"/>
    <w:rsid w:val="46386346"/>
    <w:rsid w:val="4642189D"/>
    <w:rsid w:val="46431172"/>
    <w:rsid w:val="4646138E"/>
    <w:rsid w:val="464A3A20"/>
    <w:rsid w:val="465313B5"/>
    <w:rsid w:val="465B3C96"/>
    <w:rsid w:val="465E3DFD"/>
    <w:rsid w:val="465E3FE1"/>
    <w:rsid w:val="467C0CD9"/>
    <w:rsid w:val="46857774"/>
    <w:rsid w:val="46BA58D8"/>
    <w:rsid w:val="46C45A77"/>
    <w:rsid w:val="46C81C06"/>
    <w:rsid w:val="46CE1383"/>
    <w:rsid w:val="46DB13AA"/>
    <w:rsid w:val="46E20A9A"/>
    <w:rsid w:val="46EE65B3"/>
    <w:rsid w:val="46EE732F"/>
    <w:rsid w:val="46EF5082"/>
    <w:rsid w:val="46F32B98"/>
    <w:rsid w:val="47044DA5"/>
    <w:rsid w:val="470E1780"/>
    <w:rsid w:val="473016F6"/>
    <w:rsid w:val="473258A5"/>
    <w:rsid w:val="47490A0A"/>
    <w:rsid w:val="4765510B"/>
    <w:rsid w:val="4766336A"/>
    <w:rsid w:val="476870E2"/>
    <w:rsid w:val="476A10AC"/>
    <w:rsid w:val="4783216D"/>
    <w:rsid w:val="478B2DD0"/>
    <w:rsid w:val="47993A99"/>
    <w:rsid w:val="479D58DB"/>
    <w:rsid w:val="47A130F5"/>
    <w:rsid w:val="47A42777"/>
    <w:rsid w:val="47A67C0A"/>
    <w:rsid w:val="47AA6410"/>
    <w:rsid w:val="47B70069"/>
    <w:rsid w:val="47B916EB"/>
    <w:rsid w:val="47B972D2"/>
    <w:rsid w:val="47BC742D"/>
    <w:rsid w:val="47D209FF"/>
    <w:rsid w:val="47D52A80"/>
    <w:rsid w:val="47E23BB5"/>
    <w:rsid w:val="47E8192D"/>
    <w:rsid w:val="47E8700A"/>
    <w:rsid w:val="47EB386F"/>
    <w:rsid w:val="47F05DD2"/>
    <w:rsid w:val="47F72214"/>
    <w:rsid w:val="47FA1031"/>
    <w:rsid w:val="48054931"/>
    <w:rsid w:val="48074B4D"/>
    <w:rsid w:val="48081E89"/>
    <w:rsid w:val="481E0C0D"/>
    <w:rsid w:val="482E20D9"/>
    <w:rsid w:val="48360F8E"/>
    <w:rsid w:val="48382F58"/>
    <w:rsid w:val="483B0352"/>
    <w:rsid w:val="48403B96"/>
    <w:rsid w:val="485754EA"/>
    <w:rsid w:val="4861761A"/>
    <w:rsid w:val="487C3FC9"/>
    <w:rsid w:val="487F367A"/>
    <w:rsid w:val="488760C8"/>
    <w:rsid w:val="488E4926"/>
    <w:rsid w:val="489A1243"/>
    <w:rsid w:val="48A04659"/>
    <w:rsid w:val="48A30061"/>
    <w:rsid w:val="48BB4C17"/>
    <w:rsid w:val="48BE3EB0"/>
    <w:rsid w:val="48CE566A"/>
    <w:rsid w:val="48CE7418"/>
    <w:rsid w:val="48D662CD"/>
    <w:rsid w:val="48DB1376"/>
    <w:rsid w:val="48DC1F90"/>
    <w:rsid w:val="48DD7E3B"/>
    <w:rsid w:val="490E5A67"/>
    <w:rsid w:val="49184D74"/>
    <w:rsid w:val="492C319F"/>
    <w:rsid w:val="49380D36"/>
    <w:rsid w:val="494B6CBB"/>
    <w:rsid w:val="4953791E"/>
    <w:rsid w:val="49543DC1"/>
    <w:rsid w:val="496F4763"/>
    <w:rsid w:val="49753D38"/>
    <w:rsid w:val="498F4DFA"/>
    <w:rsid w:val="49921A69"/>
    <w:rsid w:val="49932038"/>
    <w:rsid w:val="49957F36"/>
    <w:rsid w:val="49963007"/>
    <w:rsid w:val="49B10DCB"/>
    <w:rsid w:val="49B44860"/>
    <w:rsid w:val="49CF51F6"/>
    <w:rsid w:val="49D2118A"/>
    <w:rsid w:val="49F112D9"/>
    <w:rsid w:val="4A070E34"/>
    <w:rsid w:val="4A09155C"/>
    <w:rsid w:val="4A0F7E50"/>
    <w:rsid w:val="4A1A60FD"/>
    <w:rsid w:val="4A271513"/>
    <w:rsid w:val="4A3B288C"/>
    <w:rsid w:val="4A5E2A1E"/>
    <w:rsid w:val="4A6D04CB"/>
    <w:rsid w:val="4A6F4C2B"/>
    <w:rsid w:val="4A834233"/>
    <w:rsid w:val="4A912E5E"/>
    <w:rsid w:val="4A930919"/>
    <w:rsid w:val="4A9401EE"/>
    <w:rsid w:val="4AA85A47"/>
    <w:rsid w:val="4AAD305D"/>
    <w:rsid w:val="4AB2261C"/>
    <w:rsid w:val="4ACA1E61"/>
    <w:rsid w:val="4ACC7988"/>
    <w:rsid w:val="4ADA6548"/>
    <w:rsid w:val="4AE43E3C"/>
    <w:rsid w:val="4AF92706"/>
    <w:rsid w:val="4B0B04B0"/>
    <w:rsid w:val="4B221C9D"/>
    <w:rsid w:val="4B2A405F"/>
    <w:rsid w:val="4B2D7D1E"/>
    <w:rsid w:val="4B2E419E"/>
    <w:rsid w:val="4B323E0F"/>
    <w:rsid w:val="4B3D2633"/>
    <w:rsid w:val="4B4614E8"/>
    <w:rsid w:val="4B5008A3"/>
    <w:rsid w:val="4B553060"/>
    <w:rsid w:val="4B5E0F27"/>
    <w:rsid w:val="4B64236F"/>
    <w:rsid w:val="4B656196"/>
    <w:rsid w:val="4B79343E"/>
    <w:rsid w:val="4B9425A7"/>
    <w:rsid w:val="4B9506C1"/>
    <w:rsid w:val="4B977869"/>
    <w:rsid w:val="4B991F60"/>
    <w:rsid w:val="4BA44460"/>
    <w:rsid w:val="4BA86EA2"/>
    <w:rsid w:val="4BB369F5"/>
    <w:rsid w:val="4BBC79FC"/>
    <w:rsid w:val="4BC00C26"/>
    <w:rsid w:val="4BC87E09"/>
    <w:rsid w:val="4BCF3BD3"/>
    <w:rsid w:val="4BD52321"/>
    <w:rsid w:val="4BE156B5"/>
    <w:rsid w:val="4BED7415"/>
    <w:rsid w:val="4C1B5024"/>
    <w:rsid w:val="4C28492A"/>
    <w:rsid w:val="4C2F6420"/>
    <w:rsid w:val="4C3C28EB"/>
    <w:rsid w:val="4C56200A"/>
    <w:rsid w:val="4C5B60CB"/>
    <w:rsid w:val="4C60482B"/>
    <w:rsid w:val="4C746529"/>
    <w:rsid w:val="4C8D360A"/>
    <w:rsid w:val="4CA14229"/>
    <w:rsid w:val="4CB22BAD"/>
    <w:rsid w:val="4CB46925"/>
    <w:rsid w:val="4CBD3A2C"/>
    <w:rsid w:val="4CC35913"/>
    <w:rsid w:val="4CD16286"/>
    <w:rsid w:val="4CEA78A8"/>
    <w:rsid w:val="4CFB5D57"/>
    <w:rsid w:val="4D085A60"/>
    <w:rsid w:val="4D0C3224"/>
    <w:rsid w:val="4D1F30E2"/>
    <w:rsid w:val="4D221CD7"/>
    <w:rsid w:val="4D422183"/>
    <w:rsid w:val="4D4B7289"/>
    <w:rsid w:val="4D583754"/>
    <w:rsid w:val="4D6C41D0"/>
    <w:rsid w:val="4D6F32C7"/>
    <w:rsid w:val="4D812CAB"/>
    <w:rsid w:val="4D8656DA"/>
    <w:rsid w:val="4D9C1893"/>
    <w:rsid w:val="4D9C4C77"/>
    <w:rsid w:val="4D9F1383"/>
    <w:rsid w:val="4DA16EA9"/>
    <w:rsid w:val="4DA40E96"/>
    <w:rsid w:val="4DAB4F9D"/>
    <w:rsid w:val="4DAE15C6"/>
    <w:rsid w:val="4DAF0F0C"/>
    <w:rsid w:val="4DC62DB4"/>
    <w:rsid w:val="4DC96B69"/>
    <w:rsid w:val="4DD76D6F"/>
    <w:rsid w:val="4DDC7AE7"/>
    <w:rsid w:val="4DED05FC"/>
    <w:rsid w:val="4DF36CCF"/>
    <w:rsid w:val="4E055E94"/>
    <w:rsid w:val="4E08517B"/>
    <w:rsid w:val="4E1A38B1"/>
    <w:rsid w:val="4E313C14"/>
    <w:rsid w:val="4E3852C6"/>
    <w:rsid w:val="4E3C4E24"/>
    <w:rsid w:val="4E45017D"/>
    <w:rsid w:val="4E4A5793"/>
    <w:rsid w:val="4E600B13"/>
    <w:rsid w:val="4E726A98"/>
    <w:rsid w:val="4E7B76FB"/>
    <w:rsid w:val="4EA50A8F"/>
    <w:rsid w:val="4EAF1A9A"/>
    <w:rsid w:val="4EB66985"/>
    <w:rsid w:val="4EBC7A0C"/>
    <w:rsid w:val="4EBC7D13"/>
    <w:rsid w:val="4EC92B5C"/>
    <w:rsid w:val="4EE67084"/>
    <w:rsid w:val="4F082F58"/>
    <w:rsid w:val="4F190F29"/>
    <w:rsid w:val="4F236AC7"/>
    <w:rsid w:val="4F28486A"/>
    <w:rsid w:val="4F2B444C"/>
    <w:rsid w:val="4F2B67A6"/>
    <w:rsid w:val="4F2D6FE8"/>
    <w:rsid w:val="4F336227"/>
    <w:rsid w:val="4F367AC5"/>
    <w:rsid w:val="4F440434"/>
    <w:rsid w:val="4F5370C0"/>
    <w:rsid w:val="4F5438DD"/>
    <w:rsid w:val="4F581010"/>
    <w:rsid w:val="4F5B3392"/>
    <w:rsid w:val="4F726AC9"/>
    <w:rsid w:val="4F8922EB"/>
    <w:rsid w:val="4F9B5B7A"/>
    <w:rsid w:val="4FA113E3"/>
    <w:rsid w:val="4FC564AC"/>
    <w:rsid w:val="4FC92795"/>
    <w:rsid w:val="4FD01CC8"/>
    <w:rsid w:val="4FD35314"/>
    <w:rsid w:val="4FD42E9E"/>
    <w:rsid w:val="4FF21C3E"/>
    <w:rsid w:val="4FF56BE8"/>
    <w:rsid w:val="4FFF6109"/>
    <w:rsid w:val="50045AC3"/>
    <w:rsid w:val="50137E07"/>
    <w:rsid w:val="50205D02"/>
    <w:rsid w:val="50244C57"/>
    <w:rsid w:val="502B49B8"/>
    <w:rsid w:val="50330BC6"/>
    <w:rsid w:val="5038161B"/>
    <w:rsid w:val="503C55AF"/>
    <w:rsid w:val="50A4078B"/>
    <w:rsid w:val="50AB3096"/>
    <w:rsid w:val="50AD2C9D"/>
    <w:rsid w:val="50CC06E1"/>
    <w:rsid w:val="50CF01D2"/>
    <w:rsid w:val="50D15CF8"/>
    <w:rsid w:val="50DF56F7"/>
    <w:rsid w:val="50F02B8B"/>
    <w:rsid w:val="50FB2D75"/>
    <w:rsid w:val="50FB4B23"/>
    <w:rsid w:val="50FD5713"/>
    <w:rsid w:val="51071719"/>
    <w:rsid w:val="511F2F07"/>
    <w:rsid w:val="511F6336"/>
    <w:rsid w:val="514F0C92"/>
    <w:rsid w:val="51556929"/>
    <w:rsid w:val="51595CED"/>
    <w:rsid w:val="517717CD"/>
    <w:rsid w:val="518C5952"/>
    <w:rsid w:val="51B318A1"/>
    <w:rsid w:val="51B51175"/>
    <w:rsid w:val="51BE0642"/>
    <w:rsid w:val="51BE6D98"/>
    <w:rsid w:val="51C25640"/>
    <w:rsid w:val="51C6120B"/>
    <w:rsid w:val="51CA3865"/>
    <w:rsid w:val="51DF2696"/>
    <w:rsid w:val="51F3621E"/>
    <w:rsid w:val="52030F03"/>
    <w:rsid w:val="52091678"/>
    <w:rsid w:val="520C2D5F"/>
    <w:rsid w:val="520F6E87"/>
    <w:rsid w:val="52120376"/>
    <w:rsid w:val="5212572E"/>
    <w:rsid w:val="521469DC"/>
    <w:rsid w:val="5217598C"/>
    <w:rsid w:val="522602C5"/>
    <w:rsid w:val="522C74B0"/>
    <w:rsid w:val="523E560F"/>
    <w:rsid w:val="523F3135"/>
    <w:rsid w:val="524E3378"/>
    <w:rsid w:val="526130AB"/>
    <w:rsid w:val="52644BB4"/>
    <w:rsid w:val="527B7A70"/>
    <w:rsid w:val="528079D5"/>
    <w:rsid w:val="528662F8"/>
    <w:rsid w:val="5288688A"/>
    <w:rsid w:val="528B637A"/>
    <w:rsid w:val="528C1575"/>
    <w:rsid w:val="52CB6777"/>
    <w:rsid w:val="52D10231"/>
    <w:rsid w:val="52E03481"/>
    <w:rsid w:val="52EC1CE1"/>
    <w:rsid w:val="52FA6F7C"/>
    <w:rsid w:val="52FC7D3C"/>
    <w:rsid w:val="53004672"/>
    <w:rsid w:val="53130BF7"/>
    <w:rsid w:val="531445C2"/>
    <w:rsid w:val="531B1423"/>
    <w:rsid w:val="531E2D4A"/>
    <w:rsid w:val="5322600D"/>
    <w:rsid w:val="53373E0C"/>
    <w:rsid w:val="533E1D0F"/>
    <w:rsid w:val="534479FE"/>
    <w:rsid w:val="534D53DE"/>
    <w:rsid w:val="53566988"/>
    <w:rsid w:val="5363180D"/>
    <w:rsid w:val="536C018C"/>
    <w:rsid w:val="536C7F5A"/>
    <w:rsid w:val="538452A3"/>
    <w:rsid w:val="53964FD7"/>
    <w:rsid w:val="53980D4F"/>
    <w:rsid w:val="539A15FA"/>
    <w:rsid w:val="539C4A9B"/>
    <w:rsid w:val="53B35F17"/>
    <w:rsid w:val="53CE651E"/>
    <w:rsid w:val="53E144A4"/>
    <w:rsid w:val="53F57F4F"/>
    <w:rsid w:val="53F87A3F"/>
    <w:rsid w:val="540D783D"/>
    <w:rsid w:val="541A79B6"/>
    <w:rsid w:val="541B65F4"/>
    <w:rsid w:val="542B1BC3"/>
    <w:rsid w:val="54387E3C"/>
    <w:rsid w:val="544113E6"/>
    <w:rsid w:val="5451061E"/>
    <w:rsid w:val="54576514"/>
    <w:rsid w:val="5458228C"/>
    <w:rsid w:val="5463135D"/>
    <w:rsid w:val="546724CF"/>
    <w:rsid w:val="54696247"/>
    <w:rsid w:val="546B6463"/>
    <w:rsid w:val="5472094E"/>
    <w:rsid w:val="5483555B"/>
    <w:rsid w:val="54843081"/>
    <w:rsid w:val="54881046"/>
    <w:rsid w:val="549D24D9"/>
    <w:rsid w:val="549D73AB"/>
    <w:rsid w:val="54A02E19"/>
    <w:rsid w:val="54A414C7"/>
    <w:rsid w:val="54A746AA"/>
    <w:rsid w:val="54AB2576"/>
    <w:rsid w:val="54AD4386"/>
    <w:rsid w:val="54C3004D"/>
    <w:rsid w:val="54D0545F"/>
    <w:rsid w:val="54EF499E"/>
    <w:rsid w:val="54F46459"/>
    <w:rsid w:val="55012924"/>
    <w:rsid w:val="55022935"/>
    <w:rsid w:val="5511700B"/>
    <w:rsid w:val="55320D2F"/>
    <w:rsid w:val="55344AA7"/>
    <w:rsid w:val="553E6CA6"/>
    <w:rsid w:val="554A7E27"/>
    <w:rsid w:val="554B1563"/>
    <w:rsid w:val="5552691D"/>
    <w:rsid w:val="55566A4B"/>
    <w:rsid w:val="55664405"/>
    <w:rsid w:val="55684751"/>
    <w:rsid w:val="55985036"/>
    <w:rsid w:val="55A256E3"/>
    <w:rsid w:val="55A44BCF"/>
    <w:rsid w:val="55A60A43"/>
    <w:rsid w:val="55B724C1"/>
    <w:rsid w:val="55B87486"/>
    <w:rsid w:val="55CF657E"/>
    <w:rsid w:val="55DA73FC"/>
    <w:rsid w:val="55E23B6E"/>
    <w:rsid w:val="55E8379E"/>
    <w:rsid w:val="55FB20AD"/>
    <w:rsid w:val="55FC278C"/>
    <w:rsid w:val="56011DF0"/>
    <w:rsid w:val="56056A1C"/>
    <w:rsid w:val="56180A5E"/>
    <w:rsid w:val="56327239"/>
    <w:rsid w:val="56462CE4"/>
    <w:rsid w:val="56592448"/>
    <w:rsid w:val="566D0271"/>
    <w:rsid w:val="56701B0F"/>
    <w:rsid w:val="56757125"/>
    <w:rsid w:val="568D0BEE"/>
    <w:rsid w:val="569357FD"/>
    <w:rsid w:val="5698397A"/>
    <w:rsid w:val="56A619D5"/>
    <w:rsid w:val="56A95021"/>
    <w:rsid w:val="56BA5480"/>
    <w:rsid w:val="56BD0B46"/>
    <w:rsid w:val="56C43C09"/>
    <w:rsid w:val="56CD0D0F"/>
    <w:rsid w:val="56CE2F10"/>
    <w:rsid w:val="56D57BC4"/>
    <w:rsid w:val="56E10008"/>
    <w:rsid w:val="56E6151A"/>
    <w:rsid w:val="56F02C50"/>
    <w:rsid w:val="56F21D1F"/>
    <w:rsid w:val="570258A8"/>
    <w:rsid w:val="57055E9A"/>
    <w:rsid w:val="570A0D4E"/>
    <w:rsid w:val="570A3D11"/>
    <w:rsid w:val="570B1838"/>
    <w:rsid w:val="570F30D6"/>
    <w:rsid w:val="571701DC"/>
    <w:rsid w:val="571B5F1F"/>
    <w:rsid w:val="573C40E7"/>
    <w:rsid w:val="573C7C43"/>
    <w:rsid w:val="57521214"/>
    <w:rsid w:val="575F25C1"/>
    <w:rsid w:val="576F0018"/>
    <w:rsid w:val="57723665"/>
    <w:rsid w:val="57736A50"/>
    <w:rsid w:val="577943F2"/>
    <w:rsid w:val="57A03881"/>
    <w:rsid w:val="57B66DF8"/>
    <w:rsid w:val="57C06AC6"/>
    <w:rsid w:val="57C14700"/>
    <w:rsid w:val="57E2605D"/>
    <w:rsid w:val="57E97DCB"/>
    <w:rsid w:val="57EE176B"/>
    <w:rsid w:val="57F347A6"/>
    <w:rsid w:val="57F86260"/>
    <w:rsid w:val="57FD1792"/>
    <w:rsid w:val="5818420C"/>
    <w:rsid w:val="58195EF2"/>
    <w:rsid w:val="5829070C"/>
    <w:rsid w:val="583B339B"/>
    <w:rsid w:val="58415193"/>
    <w:rsid w:val="58481CE4"/>
    <w:rsid w:val="587D6765"/>
    <w:rsid w:val="588040A6"/>
    <w:rsid w:val="58951D01"/>
    <w:rsid w:val="58977827"/>
    <w:rsid w:val="5898636D"/>
    <w:rsid w:val="589A7317"/>
    <w:rsid w:val="589D4592"/>
    <w:rsid w:val="58B31C4F"/>
    <w:rsid w:val="58B73B3C"/>
    <w:rsid w:val="58BA34DE"/>
    <w:rsid w:val="58BC5859"/>
    <w:rsid w:val="58C63C68"/>
    <w:rsid w:val="58C953BB"/>
    <w:rsid w:val="58D2085F"/>
    <w:rsid w:val="58DD0FB2"/>
    <w:rsid w:val="58EE4803"/>
    <w:rsid w:val="58F22CAF"/>
    <w:rsid w:val="58FD56C7"/>
    <w:rsid w:val="59050C34"/>
    <w:rsid w:val="591C7D2C"/>
    <w:rsid w:val="5926651D"/>
    <w:rsid w:val="593D497F"/>
    <w:rsid w:val="59527BF2"/>
    <w:rsid w:val="59657925"/>
    <w:rsid w:val="598157DB"/>
    <w:rsid w:val="59830BF8"/>
    <w:rsid w:val="59A815C0"/>
    <w:rsid w:val="59B2243E"/>
    <w:rsid w:val="59BD150F"/>
    <w:rsid w:val="59D10B16"/>
    <w:rsid w:val="59D5057A"/>
    <w:rsid w:val="59D52CBB"/>
    <w:rsid w:val="59FD7B5D"/>
    <w:rsid w:val="5A024091"/>
    <w:rsid w:val="5A0C7DA1"/>
    <w:rsid w:val="5A1137EC"/>
    <w:rsid w:val="5A1F7AD4"/>
    <w:rsid w:val="5A47527D"/>
    <w:rsid w:val="5A5C0D28"/>
    <w:rsid w:val="5A5F25C6"/>
    <w:rsid w:val="5A6000EC"/>
    <w:rsid w:val="5A8A6DE2"/>
    <w:rsid w:val="5A951B44"/>
    <w:rsid w:val="5AAD1584"/>
    <w:rsid w:val="5AAE70AA"/>
    <w:rsid w:val="5AC75083"/>
    <w:rsid w:val="5AE04C20"/>
    <w:rsid w:val="5AE3518B"/>
    <w:rsid w:val="5AE40D1D"/>
    <w:rsid w:val="5AE4335B"/>
    <w:rsid w:val="5AFC5479"/>
    <w:rsid w:val="5B3A4EE7"/>
    <w:rsid w:val="5B40336D"/>
    <w:rsid w:val="5B4425E4"/>
    <w:rsid w:val="5B4E4486"/>
    <w:rsid w:val="5B4E6197"/>
    <w:rsid w:val="5B5E287E"/>
    <w:rsid w:val="5B7A6F8C"/>
    <w:rsid w:val="5B8C5D73"/>
    <w:rsid w:val="5B93080E"/>
    <w:rsid w:val="5B9F1E05"/>
    <w:rsid w:val="5BBD2610"/>
    <w:rsid w:val="5BC137E9"/>
    <w:rsid w:val="5BCC48F0"/>
    <w:rsid w:val="5BE80399"/>
    <w:rsid w:val="5BEE65FC"/>
    <w:rsid w:val="5BF40AEC"/>
    <w:rsid w:val="5BFA36D3"/>
    <w:rsid w:val="5BFC7A7E"/>
    <w:rsid w:val="5BFD58A1"/>
    <w:rsid w:val="5C050F4B"/>
    <w:rsid w:val="5C084732"/>
    <w:rsid w:val="5C125816"/>
    <w:rsid w:val="5C13465C"/>
    <w:rsid w:val="5C1B42CB"/>
    <w:rsid w:val="5C1C45D6"/>
    <w:rsid w:val="5C2115FE"/>
    <w:rsid w:val="5C2A6B4C"/>
    <w:rsid w:val="5C313919"/>
    <w:rsid w:val="5C553C81"/>
    <w:rsid w:val="5C566B5C"/>
    <w:rsid w:val="5C62014C"/>
    <w:rsid w:val="5C693288"/>
    <w:rsid w:val="5C69772C"/>
    <w:rsid w:val="5C8A31FF"/>
    <w:rsid w:val="5C8E0F41"/>
    <w:rsid w:val="5C961BA3"/>
    <w:rsid w:val="5C970394"/>
    <w:rsid w:val="5CAF24ED"/>
    <w:rsid w:val="5CC11316"/>
    <w:rsid w:val="5CE16196"/>
    <w:rsid w:val="5CE5638A"/>
    <w:rsid w:val="5CF1327E"/>
    <w:rsid w:val="5D236F12"/>
    <w:rsid w:val="5D2C0760"/>
    <w:rsid w:val="5D2E002E"/>
    <w:rsid w:val="5D5850AB"/>
    <w:rsid w:val="5D720F98"/>
    <w:rsid w:val="5D823EE4"/>
    <w:rsid w:val="5D891708"/>
    <w:rsid w:val="5D924A61"/>
    <w:rsid w:val="5DA87DE0"/>
    <w:rsid w:val="5DBC388C"/>
    <w:rsid w:val="5DC664B8"/>
    <w:rsid w:val="5DCE0AA9"/>
    <w:rsid w:val="5DD07523"/>
    <w:rsid w:val="5DD967A3"/>
    <w:rsid w:val="5DDA0FE2"/>
    <w:rsid w:val="5DE73D28"/>
    <w:rsid w:val="5DF262C7"/>
    <w:rsid w:val="5DFB3FA8"/>
    <w:rsid w:val="5E055233"/>
    <w:rsid w:val="5E2F0501"/>
    <w:rsid w:val="5E460E08"/>
    <w:rsid w:val="5E525F9E"/>
    <w:rsid w:val="5E527C50"/>
    <w:rsid w:val="5E540585"/>
    <w:rsid w:val="5E5D506F"/>
    <w:rsid w:val="5E6C7060"/>
    <w:rsid w:val="5E7B72A3"/>
    <w:rsid w:val="5E7F747C"/>
    <w:rsid w:val="5E92366A"/>
    <w:rsid w:val="5EB50A07"/>
    <w:rsid w:val="5EC703E6"/>
    <w:rsid w:val="5ECB0068"/>
    <w:rsid w:val="5EDB4F20"/>
    <w:rsid w:val="5EF57055"/>
    <w:rsid w:val="5EFA0B0F"/>
    <w:rsid w:val="5F1A6ABC"/>
    <w:rsid w:val="5F284E40"/>
    <w:rsid w:val="5F446614"/>
    <w:rsid w:val="5F5641FA"/>
    <w:rsid w:val="5F5C0E82"/>
    <w:rsid w:val="5F6662FF"/>
    <w:rsid w:val="5F683CCB"/>
    <w:rsid w:val="5F754BEE"/>
    <w:rsid w:val="5F772160"/>
    <w:rsid w:val="5F7C1524"/>
    <w:rsid w:val="5F7D704B"/>
    <w:rsid w:val="5F89287F"/>
    <w:rsid w:val="5F8959EF"/>
    <w:rsid w:val="5F920278"/>
    <w:rsid w:val="5F9E593F"/>
    <w:rsid w:val="5FB567E4"/>
    <w:rsid w:val="5FE64BF0"/>
    <w:rsid w:val="5FFB4B3F"/>
    <w:rsid w:val="602148BA"/>
    <w:rsid w:val="6032665A"/>
    <w:rsid w:val="60563B24"/>
    <w:rsid w:val="606317CC"/>
    <w:rsid w:val="606326E4"/>
    <w:rsid w:val="607625F6"/>
    <w:rsid w:val="60885CA7"/>
    <w:rsid w:val="609E5846"/>
    <w:rsid w:val="60A26D69"/>
    <w:rsid w:val="60A832D2"/>
    <w:rsid w:val="60BB7E2A"/>
    <w:rsid w:val="60CE4002"/>
    <w:rsid w:val="60D1764E"/>
    <w:rsid w:val="60D206A1"/>
    <w:rsid w:val="60E170B6"/>
    <w:rsid w:val="60E43825"/>
    <w:rsid w:val="60EA14E8"/>
    <w:rsid w:val="60FF065F"/>
    <w:rsid w:val="61077514"/>
    <w:rsid w:val="61145E0F"/>
    <w:rsid w:val="611B3E90"/>
    <w:rsid w:val="61532759"/>
    <w:rsid w:val="615443B6"/>
    <w:rsid w:val="61624FEF"/>
    <w:rsid w:val="6166248C"/>
    <w:rsid w:val="617050B9"/>
    <w:rsid w:val="6175447D"/>
    <w:rsid w:val="617F52FC"/>
    <w:rsid w:val="618F4800"/>
    <w:rsid w:val="61997B21"/>
    <w:rsid w:val="61A62889"/>
    <w:rsid w:val="61BB2F63"/>
    <w:rsid w:val="61CD250B"/>
    <w:rsid w:val="61D45648"/>
    <w:rsid w:val="61DE2022"/>
    <w:rsid w:val="61E25761"/>
    <w:rsid w:val="61EF2482"/>
    <w:rsid w:val="61F07FA8"/>
    <w:rsid w:val="62030D09"/>
    <w:rsid w:val="62092E18"/>
    <w:rsid w:val="620C7E12"/>
    <w:rsid w:val="620D6DAC"/>
    <w:rsid w:val="621A0316"/>
    <w:rsid w:val="621A6DD3"/>
    <w:rsid w:val="621F0E23"/>
    <w:rsid w:val="622D4EEC"/>
    <w:rsid w:val="623D546B"/>
    <w:rsid w:val="62402CDD"/>
    <w:rsid w:val="62426A55"/>
    <w:rsid w:val="6252656D"/>
    <w:rsid w:val="625B3673"/>
    <w:rsid w:val="62602A31"/>
    <w:rsid w:val="626271F8"/>
    <w:rsid w:val="62740BD9"/>
    <w:rsid w:val="62746729"/>
    <w:rsid w:val="627961EF"/>
    <w:rsid w:val="628232F6"/>
    <w:rsid w:val="628730E4"/>
    <w:rsid w:val="629275AC"/>
    <w:rsid w:val="62A241F2"/>
    <w:rsid w:val="62B46A9A"/>
    <w:rsid w:val="62B603BE"/>
    <w:rsid w:val="62B836E7"/>
    <w:rsid w:val="62C21944"/>
    <w:rsid w:val="62CD3163"/>
    <w:rsid w:val="62E20295"/>
    <w:rsid w:val="62EC076F"/>
    <w:rsid w:val="62F55F13"/>
    <w:rsid w:val="631522A6"/>
    <w:rsid w:val="63163A3E"/>
    <w:rsid w:val="631E435E"/>
    <w:rsid w:val="632048BD"/>
    <w:rsid w:val="6320666B"/>
    <w:rsid w:val="6324615B"/>
    <w:rsid w:val="63534C92"/>
    <w:rsid w:val="63584057"/>
    <w:rsid w:val="63604CB9"/>
    <w:rsid w:val="63604E6B"/>
    <w:rsid w:val="636E3A96"/>
    <w:rsid w:val="6370314E"/>
    <w:rsid w:val="63813B0E"/>
    <w:rsid w:val="638E5CCA"/>
    <w:rsid w:val="63951267"/>
    <w:rsid w:val="63966604"/>
    <w:rsid w:val="63974B7F"/>
    <w:rsid w:val="639A466F"/>
    <w:rsid w:val="639C7A8B"/>
    <w:rsid w:val="63AC7EFE"/>
    <w:rsid w:val="63B04EC2"/>
    <w:rsid w:val="63BE1A11"/>
    <w:rsid w:val="63D57455"/>
    <w:rsid w:val="63D95197"/>
    <w:rsid w:val="63DC4C88"/>
    <w:rsid w:val="63F773CC"/>
    <w:rsid w:val="6401024A"/>
    <w:rsid w:val="640F4D03"/>
    <w:rsid w:val="64191A38"/>
    <w:rsid w:val="64224B50"/>
    <w:rsid w:val="64281C7B"/>
    <w:rsid w:val="642A77A1"/>
    <w:rsid w:val="642E62DB"/>
    <w:rsid w:val="64487C27"/>
    <w:rsid w:val="6449399F"/>
    <w:rsid w:val="6457430E"/>
    <w:rsid w:val="64586BF7"/>
    <w:rsid w:val="64601415"/>
    <w:rsid w:val="646F4906"/>
    <w:rsid w:val="64774561"/>
    <w:rsid w:val="648931B2"/>
    <w:rsid w:val="648A46E4"/>
    <w:rsid w:val="64A5151D"/>
    <w:rsid w:val="64BA0C8C"/>
    <w:rsid w:val="64C03C61"/>
    <w:rsid w:val="64C73242"/>
    <w:rsid w:val="64CF659A"/>
    <w:rsid w:val="64EE4C72"/>
    <w:rsid w:val="64EF1EE4"/>
    <w:rsid w:val="64F943AD"/>
    <w:rsid w:val="65004665"/>
    <w:rsid w:val="654A3F98"/>
    <w:rsid w:val="655167DB"/>
    <w:rsid w:val="655F16CC"/>
    <w:rsid w:val="65611DD3"/>
    <w:rsid w:val="656A1E1F"/>
    <w:rsid w:val="657131AE"/>
    <w:rsid w:val="65733E15"/>
    <w:rsid w:val="658E5B0E"/>
    <w:rsid w:val="658F1C8B"/>
    <w:rsid w:val="659A53D5"/>
    <w:rsid w:val="65A11CE5"/>
    <w:rsid w:val="65B949D9"/>
    <w:rsid w:val="65C92FEA"/>
    <w:rsid w:val="65DB77D9"/>
    <w:rsid w:val="65DF280D"/>
    <w:rsid w:val="65E16585"/>
    <w:rsid w:val="65E25E59"/>
    <w:rsid w:val="65EE0CA2"/>
    <w:rsid w:val="65F00688"/>
    <w:rsid w:val="661A06AB"/>
    <w:rsid w:val="661C031E"/>
    <w:rsid w:val="662925FC"/>
    <w:rsid w:val="662D3A2A"/>
    <w:rsid w:val="664A412A"/>
    <w:rsid w:val="665925BF"/>
    <w:rsid w:val="665D1497"/>
    <w:rsid w:val="666A0329"/>
    <w:rsid w:val="667967BE"/>
    <w:rsid w:val="6686712D"/>
    <w:rsid w:val="669265A4"/>
    <w:rsid w:val="669435F8"/>
    <w:rsid w:val="66A55805"/>
    <w:rsid w:val="66DB2FD4"/>
    <w:rsid w:val="66E300DB"/>
    <w:rsid w:val="66EA76BB"/>
    <w:rsid w:val="66EC0EE7"/>
    <w:rsid w:val="66EC609B"/>
    <w:rsid w:val="670541D2"/>
    <w:rsid w:val="67054BC5"/>
    <w:rsid w:val="6707201B"/>
    <w:rsid w:val="67072FFE"/>
    <w:rsid w:val="670D1D04"/>
    <w:rsid w:val="671477D7"/>
    <w:rsid w:val="672958C3"/>
    <w:rsid w:val="672F3320"/>
    <w:rsid w:val="673B3A73"/>
    <w:rsid w:val="674928AC"/>
    <w:rsid w:val="674E7C4A"/>
    <w:rsid w:val="676F196F"/>
    <w:rsid w:val="677D0530"/>
    <w:rsid w:val="678A0557"/>
    <w:rsid w:val="678B5B77"/>
    <w:rsid w:val="67915D89"/>
    <w:rsid w:val="67966EFB"/>
    <w:rsid w:val="67AD0100"/>
    <w:rsid w:val="67B1772D"/>
    <w:rsid w:val="67B3016B"/>
    <w:rsid w:val="67DB7004"/>
    <w:rsid w:val="67DF2416"/>
    <w:rsid w:val="67DF6AF4"/>
    <w:rsid w:val="67E9584B"/>
    <w:rsid w:val="67F1751F"/>
    <w:rsid w:val="67F61CED"/>
    <w:rsid w:val="68152516"/>
    <w:rsid w:val="681C38A5"/>
    <w:rsid w:val="683449CB"/>
    <w:rsid w:val="685C1945"/>
    <w:rsid w:val="685E210F"/>
    <w:rsid w:val="6887014C"/>
    <w:rsid w:val="688A62C1"/>
    <w:rsid w:val="689618A9"/>
    <w:rsid w:val="68A7765D"/>
    <w:rsid w:val="68B52A4A"/>
    <w:rsid w:val="68B61ACB"/>
    <w:rsid w:val="68B82E7C"/>
    <w:rsid w:val="68BE495C"/>
    <w:rsid w:val="68CF6B69"/>
    <w:rsid w:val="68D61FD5"/>
    <w:rsid w:val="68E1689C"/>
    <w:rsid w:val="690E58E3"/>
    <w:rsid w:val="690F3D82"/>
    <w:rsid w:val="69110F2F"/>
    <w:rsid w:val="69164798"/>
    <w:rsid w:val="69230C63"/>
    <w:rsid w:val="692D5055"/>
    <w:rsid w:val="693370F8"/>
    <w:rsid w:val="6938470E"/>
    <w:rsid w:val="694834FE"/>
    <w:rsid w:val="69561038"/>
    <w:rsid w:val="695745BC"/>
    <w:rsid w:val="69766FE4"/>
    <w:rsid w:val="69AB4CF2"/>
    <w:rsid w:val="69AD77A9"/>
    <w:rsid w:val="69B01856"/>
    <w:rsid w:val="69C94CCC"/>
    <w:rsid w:val="69D96939"/>
    <w:rsid w:val="69EB1780"/>
    <w:rsid w:val="69EE1271"/>
    <w:rsid w:val="69F53BBD"/>
    <w:rsid w:val="69F86402"/>
    <w:rsid w:val="6A270143"/>
    <w:rsid w:val="6A446B8F"/>
    <w:rsid w:val="6A476AE4"/>
    <w:rsid w:val="6A4C5F97"/>
    <w:rsid w:val="6A517BC2"/>
    <w:rsid w:val="6A641533"/>
    <w:rsid w:val="6A65224D"/>
    <w:rsid w:val="6A801AFD"/>
    <w:rsid w:val="6A890F99"/>
    <w:rsid w:val="6A8B2F63"/>
    <w:rsid w:val="6A8B4D12"/>
    <w:rsid w:val="6A986375"/>
    <w:rsid w:val="6AA858C3"/>
    <w:rsid w:val="6ABE0C43"/>
    <w:rsid w:val="6AC65D4A"/>
    <w:rsid w:val="6AD03CA4"/>
    <w:rsid w:val="6B015F03"/>
    <w:rsid w:val="6B0B7C00"/>
    <w:rsid w:val="6B1765A5"/>
    <w:rsid w:val="6B1A07BE"/>
    <w:rsid w:val="6B301569"/>
    <w:rsid w:val="6B4B624F"/>
    <w:rsid w:val="6B543355"/>
    <w:rsid w:val="6B655563"/>
    <w:rsid w:val="6B730D8D"/>
    <w:rsid w:val="6B7A5E67"/>
    <w:rsid w:val="6B8754D9"/>
    <w:rsid w:val="6B905DD2"/>
    <w:rsid w:val="6B9419A4"/>
    <w:rsid w:val="6B9E2823"/>
    <w:rsid w:val="6BAE6F0A"/>
    <w:rsid w:val="6BB851E6"/>
    <w:rsid w:val="6BC45011"/>
    <w:rsid w:val="6BE50451"/>
    <w:rsid w:val="6C0A7EB8"/>
    <w:rsid w:val="6C0D7880"/>
    <w:rsid w:val="6C0E5F5E"/>
    <w:rsid w:val="6C4F0A89"/>
    <w:rsid w:val="6C557385"/>
    <w:rsid w:val="6C643A6C"/>
    <w:rsid w:val="6C7C2B64"/>
    <w:rsid w:val="6C9500C9"/>
    <w:rsid w:val="6C9735EF"/>
    <w:rsid w:val="6C9B33DD"/>
    <w:rsid w:val="6CA9147F"/>
    <w:rsid w:val="6CB0280D"/>
    <w:rsid w:val="6CB319F4"/>
    <w:rsid w:val="6CC1445E"/>
    <w:rsid w:val="6CC17318"/>
    <w:rsid w:val="6CC462B9"/>
    <w:rsid w:val="6CCF631B"/>
    <w:rsid w:val="6CD81D64"/>
    <w:rsid w:val="6CDE55CC"/>
    <w:rsid w:val="6CF3094C"/>
    <w:rsid w:val="6CFB6AE7"/>
    <w:rsid w:val="6D023BA9"/>
    <w:rsid w:val="6D0668D1"/>
    <w:rsid w:val="6D082649"/>
    <w:rsid w:val="6D0D35D4"/>
    <w:rsid w:val="6D1E1E6D"/>
    <w:rsid w:val="6D203E37"/>
    <w:rsid w:val="6D2334B1"/>
    <w:rsid w:val="6D2F407A"/>
    <w:rsid w:val="6D3C62EF"/>
    <w:rsid w:val="6D3E020C"/>
    <w:rsid w:val="6D4F4126"/>
    <w:rsid w:val="6D5B7C22"/>
    <w:rsid w:val="6D635AD2"/>
    <w:rsid w:val="6D6D47E3"/>
    <w:rsid w:val="6D6E45D9"/>
    <w:rsid w:val="6D723F67"/>
    <w:rsid w:val="6D7F34AE"/>
    <w:rsid w:val="6D821240"/>
    <w:rsid w:val="6D8343C6"/>
    <w:rsid w:val="6D8A12B0"/>
    <w:rsid w:val="6D943EDD"/>
    <w:rsid w:val="6D96073B"/>
    <w:rsid w:val="6D9640F9"/>
    <w:rsid w:val="6D9F6F97"/>
    <w:rsid w:val="6DA07B3F"/>
    <w:rsid w:val="6DA94999"/>
    <w:rsid w:val="6DB34AC8"/>
    <w:rsid w:val="6DC01176"/>
    <w:rsid w:val="6DC9002B"/>
    <w:rsid w:val="6DD80196"/>
    <w:rsid w:val="6DD803C3"/>
    <w:rsid w:val="6DDB41B1"/>
    <w:rsid w:val="6DE704B1"/>
    <w:rsid w:val="6DF64B98"/>
    <w:rsid w:val="6E005A16"/>
    <w:rsid w:val="6E0E3C8F"/>
    <w:rsid w:val="6E0F7A08"/>
    <w:rsid w:val="6E2A03E1"/>
    <w:rsid w:val="6E3217E2"/>
    <w:rsid w:val="6E3B25AB"/>
    <w:rsid w:val="6E46523A"/>
    <w:rsid w:val="6E4E02CB"/>
    <w:rsid w:val="6E697118"/>
    <w:rsid w:val="6E737F96"/>
    <w:rsid w:val="6E830434"/>
    <w:rsid w:val="6E891568"/>
    <w:rsid w:val="6E900B48"/>
    <w:rsid w:val="6E934195"/>
    <w:rsid w:val="6E9C129B"/>
    <w:rsid w:val="6EA168B2"/>
    <w:rsid w:val="6EAB671E"/>
    <w:rsid w:val="6EC9405A"/>
    <w:rsid w:val="6ED924EF"/>
    <w:rsid w:val="6EE449F0"/>
    <w:rsid w:val="6F046E40"/>
    <w:rsid w:val="6F0A08FB"/>
    <w:rsid w:val="6F0F37DA"/>
    <w:rsid w:val="6F1057E5"/>
    <w:rsid w:val="6F345DED"/>
    <w:rsid w:val="6F3E67F6"/>
    <w:rsid w:val="6F4A4CF9"/>
    <w:rsid w:val="6F4E6D96"/>
    <w:rsid w:val="6F541B76"/>
    <w:rsid w:val="6F5837CB"/>
    <w:rsid w:val="6F5C4ECE"/>
    <w:rsid w:val="6F647671"/>
    <w:rsid w:val="6F6B6EC0"/>
    <w:rsid w:val="6F713328"/>
    <w:rsid w:val="6F775864"/>
    <w:rsid w:val="6FA42FFA"/>
    <w:rsid w:val="6FC30AAA"/>
    <w:rsid w:val="6FC34F4E"/>
    <w:rsid w:val="6FD20CED"/>
    <w:rsid w:val="6FD553A6"/>
    <w:rsid w:val="6FE66B0A"/>
    <w:rsid w:val="6FEE1FCA"/>
    <w:rsid w:val="6FF06426"/>
    <w:rsid w:val="6FF9271D"/>
    <w:rsid w:val="700D7F77"/>
    <w:rsid w:val="700F1F41"/>
    <w:rsid w:val="70123F1D"/>
    <w:rsid w:val="70161521"/>
    <w:rsid w:val="702173D8"/>
    <w:rsid w:val="702A1C8F"/>
    <w:rsid w:val="7036571F"/>
    <w:rsid w:val="70457711"/>
    <w:rsid w:val="704E2A69"/>
    <w:rsid w:val="70545BA6"/>
    <w:rsid w:val="705F6AE0"/>
    <w:rsid w:val="7064228D"/>
    <w:rsid w:val="707C64E2"/>
    <w:rsid w:val="707F2C23"/>
    <w:rsid w:val="708B7819"/>
    <w:rsid w:val="708C17E3"/>
    <w:rsid w:val="708E10B8"/>
    <w:rsid w:val="70950698"/>
    <w:rsid w:val="709A4F3F"/>
    <w:rsid w:val="709D12FB"/>
    <w:rsid w:val="709D579F"/>
    <w:rsid w:val="70AE175A"/>
    <w:rsid w:val="70BF3836"/>
    <w:rsid w:val="70C31947"/>
    <w:rsid w:val="70D54F38"/>
    <w:rsid w:val="70D95F92"/>
    <w:rsid w:val="70DA5CBA"/>
    <w:rsid w:val="70EC16BF"/>
    <w:rsid w:val="71186BD3"/>
    <w:rsid w:val="7130216F"/>
    <w:rsid w:val="71324139"/>
    <w:rsid w:val="71374725"/>
    <w:rsid w:val="714B6FA9"/>
    <w:rsid w:val="71514A07"/>
    <w:rsid w:val="716A38D3"/>
    <w:rsid w:val="717958C4"/>
    <w:rsid w:val="719170B1"/>
    <w:rsid w:val="719E532A"/>
    <w:rsid w:val="71B01E8B"/>
    <w:rsid w:val="71B04CB7"/>
    <w:rsid w:val="71B20DD6"/>
    <w:rsid w:val="71B50BEF"/>
    <w:rsid w:val="71B903B6"/>
    <w:rsid w:val="71E6401D"/>
    <w:rsid w:val="71E74BB5"/>
    <w:rsid w:val="71EC6C57"/>
    <w:rsid w:val="71F57420"/>
    <w:rsid w:val="71F66728"/>
    <w:rsid w:val="71FB277D"/>
    <w:rsid w:val="71FD592B"/>
    <w:rsid w:val="72084E9A"/>
    <w:rsid w:val="720A1AEC"/>
    <w:rsid w:val="720A414B"/>
    <w:rsid w:val="7229553C"/>
    <w:rsid w:val="72377A68"/>
    <w:rsid w:val="723D0FE7"/>
    <w:rsid w:val="7242215A"/>
    <w:rsid w:val="724F6160"/>
    <w:rsid w:val="727069B4"/>
    <w:rsid w:val="727367B7"/>
    <w:rsid w:val="72966949"/>
    <w:rsid w:val="729F135A"/>
    <w:rsid w:val="72AA2522"/>
    <w:rsid w:val="72BA0B6E"/>
    <w:rsid w:val="72C23555"/>
    <w:rsid w:val="72CF07C8"/>
    <w:rsid w:val="72D0311E"/>
    <w:rsid w:val="72D07765"/>
    <w:rsid w:val="72D1172F"/>
    <w:rsid w:val="72DB610A"/>
    <w:rsid w:val="72DD6632"/>
    <w:rsid w:val="72DF209E"/>
    <w:rsid w:val="72E15C27"/>
    <w:rsid w:val="72F316A6"/>
    <w:rsid w:val="733C4DFB"/>
    <w:rsid w:val="733D3771"/>
    <w:rsid w:val="73470CFE"/>
    <w:rsid w:val="734D6937"/>
    <w:rsid w:val="735F0AE9"/>
    <w:rsid w:val="73A00AF1"/>
    <w:rsid w:val="73A0182E"/>
    <w:rsid w:val="73A51BEE"/>
    <w:rsid w:val="73C13552"/>
    <w:rsid w:val="73D3670A"/>
    <w:rsid w:val="73D56FFD"/>
    <w:rsid w:val="73E334C8"/>
    <w:rsid w:val="73EC4408"/>
    <w:rsid w:val="73EC4A73"/>
    <w:rsid w:val="73F47FAE"/>
    <w:rsid w:val="74006B47"/>
    <w:rsid w:val="740706A3"/>
    <w:rsid w:val="74104710"/>
    <w:rsid w:val="741E7F6E"/>
    <w:rsid w:val="742A559B"/>
    <w:rsid w:val="742C30C1"/>
    <w:rsid w:val="74324450"/>
    <w:rsid w:val="74454183"/>
    <w:rsid w:val="744C66E2"/>
    <w:rsid w:val="745E614E"/>
    <w:rsid w:val="74604B19"/>
    <w:rsid w:val="74613231"/>
    <w:rsid w:val="7487654A"/>
    <w:rsid w:val="748A7DE8"/>
    <w:rsid w:val="748F53FE"/>
    <w:rsid w:val="74942A15"/>
    <w:rsid w:val="74B03CF2"/>
    <w:rsid w:val="74C81B3F"/>
    <w:rsid w:val="74E7523A"/>
    <w:rsid w:val="74EC3944"/>
    <w:rsid w:val="74FA27A2"/>
    <w:rsid w:val="750758DC"/>
    <w:rsid w:val="75076AED"/>
    <w:rsid w:val="752D39CB"/>
    <w:rsid w:val="753C37D8"/>
    <w:rsid w:val="754E350B"/>
    <w:rsid w:val="75660B34"/>
    <w:rsid w:val="757C5983"/>
    <w:rsid w:val="759B20C5"/>
    <w:rsid w:val="75C62F7B"/>
    <w:rsid w:val="75C630A2"/>
    <w:rsid w:val="75D92DD5"/>
    <w:rsid w:val="75E672A0"/>
    <w:rsid w:val="75EE6CF1"/>
    <w:rsid w:val="75EF084A"/>
    <w:rsid w:val="75FC4D15"/>
    <w:rsid w:val="760F67F7"/>
    <w:rsid w:val="76132D7E"/>
    <w:rsid w:val="761958C7"/>
    <w:rsid w:val="762E2F79"/>
    <w:rsid w:val="763B75EC"/>
    <w:rsid w:val="763D7808"/>
    <w:rsid w:val="763E3E72"/>
    <w:rsid w:val="76565CF8"/>
    <w:rsid w:val="765D6AD9"/>
    <w:rsid w:val="767E1BCE"/>
    <w:rsid w:val="768216BE"/>
    <w:rsid w:val="76881475"/>
    <w:rsid w:val="768C18A5"/>
    <w:rsid w:val="76966F18"/>
    <w:rsid w:val="769E7B7B"/>
    <w:rsid w:val="76A827A7"/>
    <w:rsid w:val="76B37ACA"/>
    <w:rsid w:val="76E25CB9"/>
    <w:rsid w:val="76FD0D45"/>
    <w:rsid w:val="77065E4C"/>
    <w:rsid w:val="77100A78"/>
    <w:rsid w:val="77106CCA"/>
    <w:rsid w:val="7718792D"/>
    <w:rsid w:val="771C2B72"/>
    <w:rsid w:val="77274014"/>
    <w:rsid w:val="773A78A3"/>
    <w:rsid w:val="773D399C"/>
    <w:rsid w:val="774845AD"/>
    <w:rsid w:val="7758481A"/>
    <w:rsid w:val="776E2CBE"/>
    <w:rsid w:val="778B4C48"/>
    <w:rsid w:val="778D031B"/>
    <w:rsid w:val="77972BE8"/>
    <w:rsid w:val="77AE64E8"/>
    <w:rsid w:val="77B072BC"/>
    <w:rsid w:val="77BC29AE"/>
    <w:rsid w:val="77CA50CB"/>
    <w:rsid w:val="77CB491A"/>
    <w:rsid w:val="77D00208"/>
    <w:rsid w:val="77E837A3"/>
    <w:rsid w:val="77ED2B68"/>
    <w:rsid w:val="77F80F61"/>
    <w:rsid w:val="78031D58"/>
    <w:rsid w:val="780B315F"/>
    <w:rsid w:val="78207259"/>
    <w:rsid w:val="782642CC"/>
    <w:rsid w:val="7832110C"/>
    <w:rsid w:val="78397B5B"/>
    <w:rsid w:val="783F0EE9"/>
    <w:rsid w:val="784C3D32"/>
    <w:rsid w:val="78546EFA"/>
    <w:rsid w:val="78627FD0"/>
    <w:rsid w:val="7879089F"/>
    <w:rsid w:val="787E5EB6"/>
    <w:rsid w:val="78931341"/>
    <w:rsid w:val="78954F05"/>
    <w:rsid w:val="789A566E"/>
    <w:rsid w:val="78AD7A58"/>
    <w:rsid w:val="78AE68C4"/>
    <w:rsid w:val="78C53AE4"/>
    <w:rsid w:val="78DF52FC"/>
    <w:rsid w:val="78E32DDE"/>
    <w:rsid w:val="78EF05F9"/>
    <w:rsid w:val="78EF0B61"/>
    <w:rsid w:val="78FA25D6"/>
    <w:rsid w:val="79010D75"/>
    <w:rsid w:val="79052133"/>
    <w:rsid w:val="792A77D2"/>
    <w:rsid w:val="79382508"/>
    <w:rsid w:val="793B7903"/>
    <w:rsid w:val="793F27C8"/>
    <w:rsid w:val="79645141"/>
    <w:rsid w:val="79661EFB"/>
    <w:rsid w:val="796A7017"/>
    <w:rsid w:val="796C2017"/>
    <w:rsid w:val="797125E2"/>
    <w:rsid w:val="79752E15"/>
    <w:rsid w:val="797A667D"/>
    <w:rsid w:val="797F1EE5"/>
    <w:rsid w:val="799314ED"/>
    <w:rsid w:val="79997202"/>
    <w:rsid w:val="799D2830"/>
    <w:rsid w:val="79A37060"/>
    <w:rsid w:val="79A61220"/>
    <w:rsid w:val="79B0209F"/>
    <w:rsid w:val="79DF25E2"/>
    <w:rsid w:val="79E61F64"/>
    <w:rsid w:val="79E77FA9"/>
    <w:rsid w:val="79F857F4"/>
    <w:rsid w:val="79FD0865"/>
    <w:rsid w:val="7A067F11"/>
    <w:rsid w:val="7A1E525A"/>
    <w:rsid w:val="7A591AD6"/>
    <w:rsid w:val="7A5E1396"/>
    <w:rsid w:val="7A5F6D3D"/>
    <w:rsid w:val="7A660CFF"/>
    <w:rsid w:val="7A715CD2"/>
    <w:rsid w:val="7A737E8D"/>
    <w:rsid w:val="7A747570"/>
    <w:rsid w:val="7A7E03EF"/>
    <w:rsid w:val="7A7E3EBE"/>
    <w:rsid w:val="7A8552D9"/>
    <w:rsid w:val="7A8C2B0C"/>
    <w:rsid w:val="7A9026C1"/>
    <w:rsid w:val="7AA31C03"/>
    <w:rsid w:val="7AC34054"/>
    <w:rsid w:val="7AC5601E"/>
    <w:rsid w:val="7AEB20F3"/>
    <w:rsid w:val="7AED2073"/>
    <w:rsid w:val="7B097075"/>
    <w:rsid w:val="7B097CF6"/>
    <w:rsid w:val="7B1D7B50"/>
    <w:rsid w:val="7B1E1040"/>
    <w:rsid w:val="7B212C86"/>
    <w:rsid w:val="7B276391"/>
    <w:rsid w:val="7B2A639A"/>
    <w:rsid w:val="7B5C2BD2"/>
    <w:rsid w:val="7B5F5B2A"/>
    <w:rsid w:val="7B8C38FD"/>
    <w:rsid w:val="7B8D25BC"/>
    <w:rsid w:val="7B94617F"/>
    <w:rsid w:val="7BA109FB"/>
    <w:rsid w:val="7BA75723"/>
    <w:rsid w:val="7BBB667D"/>
    <w:rsid w:val="7BBF0C53"/>
    <w:rsid w:val="7BD32074"/>
    <w:rsid w:val="7BE35CBC"/>
    <w:rsid w:val="7BE81FC4"/>
    <w:rsid w:val="7BEB1AB4"/>
    <w:rsid w:val="7BF81ADB"/>
    <w:rsid w:val="7C1F52BA"/>
    <w:rsid w:val="7C2B3C5E"/>
    <w:rsid w:val="7C344213"/>
    <w:rsid w:val="7C492337"/>
    <w:rsid w:val="7C570EF7"/>
    <w:rsid w:val="7C5A2796"/>
    <w:rsid w:val="7C6712B6"/>
    <w:rsid w:val="7C754C18"/>
    <w:rsid w:val="7C7575D0"/>
    <w:rsid w:val="7C857813"/>
    <w:rsid w:val="7CA37C99"/>
    <w:rsid w:val="7CBA3C1C"/>
    <w:rsid w:val="7CC806D1"/>
    <w:rsid w:val="7CCA791B"/>
    <w:rsid w:val="7CE3410C"/>
    <w:rsid w:val="7CE34539"/>
    <w:rsid w:val="7CE502B1"/>
    <w:rsid w:val="7CEA1D6C"/>
    <w:rsid w:val="7CFA0158"/>
    <w:rsid w:val="7CFF1633"/>
    <w:rsid w:val="7D0C265B"/>
    <w:rsid w:val="7D1066B2"/>
    <w:rsid w:val="7D1B0177"/>
    <w:rsid w:val="7D1F2AE3"/>
    <w:rsid w:val="7D20753B"/>
    <w:rsid w:val="7D2E4F75"/>
    <w:rsid w:val="7D322D1E"/>
    <w:rsid w:val="7D362C5F"/>
    <w:rsid w:val="7D4C467F"/>
    <w:rsid w:val="7D5176F5"/>
    <w:rsid w:val="7D6C452F"/>
    <w:rsid w:val="7D6D017E"/>
    <w:rsid w:val="7D731D61"/>
    <w:rsid w:val="7D7A30EF"/>
    <w:rsid w:val="7D845D1C"/>
    <w:rsid w:val="7D8A0E59"/>
    <w:rsid w:val="7D8C697F"/>
    <w:rsid w:val="7D9046C1"/>
    <w:rsid w:val="7D92791E"/>
    <w:rsid w:val="7D9D6DDE"/>
    <w:rsid w:val="7D9F66B2"/>
    <w:rsid w:val="7DA05967"/>
    <w:rsid w:val="7DAC5273"/>
    <w:rsid w:val="7DAF03F4"/>
    <w:rsid w:val="7DBB3890"/>
    <w:rsid w:val="7DCE6F97"/>
    <w:rsid w:val="7DD60F72"/>
    <w:rsid w:val="7DE44A0D"/>
    <w:rsid w:val="7DE63809"/>
    <w:rsid w:val="7DEE6AE3"/>
    <w:rsid w:val="7DF06F0E"/>
    <w:rsid w:val="7DF13B05"/>
    <w:rsid w:val="7DF436EC"/>
    <w:rsid w:val="7DF9614F"/>
    <w:rsid w:val="7DFB58B2"/>
    <w:rsid w:val="7E0E55E6"/>
    <w:rsid w:val="7E1A042F"/>
    <w:rsid w:val="7E21356B"/>
    <w:rsid w:val="7E221091"/>
    <w:rsid w:val="7E3A287F"/>
    <w:rsid w:val="7E6B4C62"/>
    <w:rsid w:val="7E723B52"/>
    <w:rsid w:val="7E7318ED"/>
    <w:rsid w:val="7E74039C"/>
    <w:rsid w:val="7E782E0A"/>
    <w:rsid w:val="7E7F0292"/>
    <w:rsid w:val="7E81225C"/>
    <w:rsid w:val="7E8A55B4"/>
    <w:rsid w:val="7EBB7B93"/>
    <w:rsid w:val="7EC30AC6"/>
    <w:rsid w:val="7EC32874"/>
    <w:rsid w:val="7ED14F91"/>
    <w:rsid w:val="7EDE13F7"/>
    <w:rsid w:val="7EE80CA9"/>
    <w:rsid w:val="7F0215EE"/>
    <w:rsid w:val="7F080287"/>
    <w:rsid w:val="7F0E15C3"/>
    <w:rsid w:val="7F10538E"/>
    <w:rsid w:val="7F191368"/>
    <w:rsid w:val="7F272E03"/>
    <w:rsid w:val="7F2B657D"/>
    <w:rsid w:val="7F393237"/>
    <w:rsid w:val="7F3B0A52"/>
    <w:rsid w:val="7F58120E"/>
    <w:rsid w:val="7F623E3B"/>
    <w:rsid w:val="7F794455"/>
    <w:rsid w:val="7F89586C"/>
    <w:rsid w:val="7F8E2E82"/>
    <w:rsid w:val="7FA04963"/>
    <w:rsid w:val="7FA06711"/>
    <w:rsid w:val="7FA95426"/>
    <w:rsid w:val="7FB44FBF"/>
    <w:rsid w:val="7FD85EAB"/>
    <w:rsid w:val="7FE51643"/>
    <w:rsid w:val="7FEE56CF"/>
    <w:rsid w:val="7FFA0518"/>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9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00"/>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801"/>
    <w:qFormat/>
    <w:uiPriority w:val="0"/>
    <w:pPr>
      <w:keepNext/>
      <w:keepLines/>
      <w:spacing w:before="260" w:after="260" w:line="416" w:lineRule="auto"/>
      <w:outlineLvl w:val="2"/>
    </w:pPr>
    <w:rPr>
      <w:b/>
      <w:bCs/>
      <w:sz w:val="32"/>
      <w:szCs w:val="32"/>
    </w:rPr>
  </w:style>
  <w:style w:type="paragraph" w:styleId="6">
    <w:name w:val="heading 4"/>
    <w:basedOn w:val="1"/>
    <w:next w:val="1"/>
    <w:link w:val="802"/>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803"/>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804"/>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90"/>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37"/>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66"/>
    <w:qFormat/>
    <w:uiPriority w:val="0"/>
    <w:pPr>
      <w:keepNext/>
      <w:keepLines/>
      <w:numPr>
        <w:ilvl w:val="8"/>
        <w:numId w:val="1"/>
      </w:numPr>
      <w:spacing w:before="240" w:after="64" w:line="320" w:lineRule="auto"/>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2">
    <w:name w:val="macro"/>
    <w:link w:val="95"/>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89"/>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67"/>
    <w:qFormat/>
    <w:uiPriority w:val="0"/>
    <w:pPr>
      <w:spacing w:before="152" w:after="160"/>
    </w:pPr>
    <w:rPr>
      <w:rFonts w:ascii="Arial" w:hAnsi="Arial" w:eastAsia="黑体"/>
      <w:sz w:val="20"/>
      <w:szCs w:val="20"/>
    </w:rPr>
  </w:style>
  <w:style w:type="paragraph" w:styleId="16">
    <w:name w:val="index 5"/>
    <w:basedOn w:val="1"/>
    <w:next w:val="1"/>
    <w:qFormat/>
    <w:uiPriority w:val="0"/>
    <w:pPr>
      <w:ind w:left="1680"/>
    </w:pPr>
    <w:rPr>
      <w:rFonts w:ascii="Calibri" w:hAnsi="Calibri"/>
    </w:rPr>
  </w:style>
  <w:style w:type="paragraph" w:styleId="17">
    <w:name w:val="Document Map"/>
    <w:basedOn w:val="1"/>
    <w:link w:val="133"/>
    <w:qFormat/>
    <w:uiPriority w:val="0"/>
    <w:pPr>
      <w:shd w:val="clear" w:color="auto" w:fill="000080"/>
    </w:pPr>
  </w:style>
  <w:style w:type="paragraph" w:styleId="18">
    <w:name w:val="annotation text"/>
    <w:basedOn w:val="1"/>
    <w:link w:val="106"/>
    <w:unhideWhenUsed/>
    <w:qFormat/>
    <w:uiPriority w:val="99"/>
    <w:pPr>
      <w:jc w:val="left"/>
    </w:pPr>
  </w:style>
  <w:style w:type="paragraph" w:styleId="19">
    <w:name w:val="Body Text 3"/>
    <w:basedOn w:val="1"/>
    <w:link w:val="87"/>
    <w:qFormat/>
    <w:uiPriority w:val="0"/>
    <w:pPr>
      <w:spacing w:line="500" w:lineRule="exact"/>
    </w:pPr>
    <w:rPr>
      <w:b/>
      <w:bCs/>
      <w:kern w:val="0"/>
      <w:sz w:val="24"/>
    </w:rPr>
  </w:style>
  <w:style w:type="paragraph" w:styleId="20">
    <w:name w:val="Body Text"/>
    <w:basedOn w:val="1"/>
    <w:link w:val="123"/>
    <w:qFormat/>
    <w:uiPriority w:val="0"/>
    <w:pPr>
      <w:spacing w:line="420" w:lineRule="exact"/>
    </w:pPr>
    <w:rPr>
      <w:sz w:val="24"/>
    </w:rPr>
  </w:style>
  <w:style w:type="paragraph" w:styleId="21">
    <w:name w:val="Body Text Indent"/>
    <w:basedOn w:val="1"/>
    <w:link w:val="73"/>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link w:val="134"/>
    <w:qFormat/>
    <w:uiPriority w:val="0"/>
    <w:rPr>
      <w:rFonts w:ascii="宋体" w:hAnsi="Courier New" w:cs="Courier New"/>
      <w:szCs w:val="21"/>
    </w:rPr>
  </w:style>
  <w:style w:type="paragraph" w:styleId="28">
    <w:name w:val="toc 8"/>
    <w:basedOn w:val="1"/>
    <w:next w:val="1"/>
    <w:qFormat/>
    <w:uiPriority w:val="39"/>
    <w:pPr>
      <w:ind w:left="1470"/>
      <w:jc w:val="left"/>
    </w:pPr>
    <w:rPr>
      <w:rFonts w:ascii="Calibri" w:hAnsi="Calibri"/>
      <w:sz w:val="18"/>
      <w:szCs w:val="18"/>
    </w:rPr>
  </w:style>
  <w:style w:type="paragraph" w:styleId="29">
    <w:name w:val="Date"/>
    <w:basedOn w:val="1"/>
    <w:next w:val="1"/>
    <w:link w:val="97"/>
    <w:qFormat/>
    <w:uiPriority w:val="0"/>
    <w:pPr>
      <w:ind w:left="100" w:leftChars="2500"/>
    </w:pPr>
    <w:rPr>
      <w:sz w:val="24"/>
    </w:rPr>
  </w:style>
  <w:style w:type="paragraph" w:styleId="30">
    <w:name w:val="Body Text Indent 2"/>
    <w:basedOn w:val="1"/>
    <w:link w:val="143"/>
    <w:qFormat/>
    <w:uiPriority w:val="0"/>
    <w:pPr>
      <w:spacing w:after="120" w:line="480" w:lineRule="auto"/>
      <w:ind w:left="420" w:leftChars="200"/>
    </w:pPr>
  </w:style>
  <w:style w:type="paragraph" w:styleId="31">
    <w:name w:val="Balloon Text"/>
    <w:basedOn w:val="1"/>
    <w:link w:val="144"/>
    <w:qFormat/>
    <w:uiPriority w:val="0"/>
    <w:rPr>
      <w:sz w:val="18"/>
      <w:szCs w:val="18"/>
    </w:rPr>
  </w:style>
  <w:style w:type="paragraph" w:styleId="32">
    <w:name w:val="footer"/>
    <w:basedOn w:val="1"/>
    <w:link w:val="136"/>
    <w:qFormat/>
    <w:uiPriority w:val="99"/>
    <w:pPr>
      <w:tabs>
        <w:tab w:val="center" w:pos="4153"/>
        <w:tab w:val="right" w:pos="8306"/>
      </w:tabs>
      <w:snapToGrid w:val="0"/>
      <w:jc w:val="left"/>
    </w:pPr>
    <w:rPr>
      <w:sz w:val="18"/>
      <w:szCs w:val="18"/>
    </w:rPr>
  </w:style>
  <w:style w:type="paragraph" w:styleId="33">
    <w:name w:val="header"/>
    <w:basedOn w:val="1"/>
    <w:link w:val="130"/>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Calibri" w:hAnsi="Calibri"/>
      <w:b/>
      <w:bCs/>
      <w:caps/>
      <w:sz w:val="20"/>
      <w:szCs w:val="20"/>
    </w:rPr>
  </w:style>
  <w:style w:type="paragraph" w:styleId="35">
    <w:name w:val="toc 4"/>
    <w:basedOn w:val="1"/>
    <w:next w:val="1"/>
    <w:qFormat/>
    <w:uiPriority w:val="39"/>
    <w:pPr>
      <w:ind w:left="630"/>
      <w:jc w:val="left"/>
    </w:pPr>
    <w:rPr>
      <w:rFonts w:ascii="Calibri" w:hAnsi="Calibri"/>
      <w:sz w:val="18"/>
      <w:szCs w:val="18"/>
    </w:rPr>
  </w:style>
  <w:style w:type="paragraph" w:styleId="36">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37">
    <w:name w:val="List"/>
    <w:basedOn w:val="1"/>
    <w:qFormat/>
    <w:uiPriority w:val="0"/>
    <w:pPr>
      <w:ind w:left="200" w:hanging="200" w:hangingChars="200"/>
    </w:pPr>
    <w:rPr>
      <w:sz w:val="28"/>
    </w:rPr>
  </w:style>
  <w:style w:type="paragraph" w:styleId="38">
    <w:name w:val="toc 6"/>
    <w:basedOn w:val="1"/>
    <w:next w:val="1"/>
    <w:qFormat/>
    <w:uiPriority w:val="39"/>
    <w:pPr>
      <w:ind w:left="1050"/>
      <w:jc w:val="left"/>
    </w:pPr>
    <w:rPr>
      <w:rFonts w:ascii="Calibri" w:hAnsi="Calibri"/>
      <w:sz w:val="18"/>
      <w:szCs w:val="18"/>
    </w:rPr>
  </w:style>
  <w:style w:type="paragraph" w:styleId="39">
    <w:name w:val="List 5"/>
    <w:basedOn w:val="1"/>
    <w:qFormat/>
    <w:uiPriority w:val="0"/>
    <w:pPr>
      <w:ind w:left="2100" w:hanging="420"/>
    </w:pPr>
    <w:rPr>
      <w:szCs w:val="20"/>
    </w:rPr>
  </w:style>
  <w:style w:type="paragraph" w:styleId="40">
    <w:name w:val="Body Text Indent 3"/>
    <w:basedOn w:val="1"/>
    <w:link w:val="104"/>
    <w:qFormat/>
    <w:uiPriority w:val="0"/>
    <w:pPr>
      <w:spacing w:after="120"/>
      <w:ind w:left="420" w:leftChars="200"/>
    </w:pPr>
    <w:rPr>
      <w:sz w:val="16"/>
      <w:szCs w:val="16"/>
    </w:rPr>
  </w:style>
  <w:style w:type="paragraph" w:styleId="41">
    <w:name w:val="toc 2"/>
    <w:basedOn w:val="1"/>
    <w:next w:val="1"/>
    <w:qFormat/>
    <w:uiPriority w:val="39"/>
    <w:pPr>
      <w:ind w:left="210"/>
      <w:jc w:val="left"/>
    </w:pPr>
    <w:rPr>
      <w:rFonts w:ascii="Calibri" w:hAnsi="Calibri"/>
      <w:smallCaps/>
      <w:sz w:val="20"/>
      <w:szCs w:val="20"/>
    </w:rPr>
  </w:style>
  <w:style w:type="paragraph" w:styleId="42">
    <w:name w:val="toc 9"/>
    <w:basedOn w:val="1"/>
    <w:next w:val="1"/>
    <w:qFormat/>
    <w:uiPriority w:val="0"/>
    <w:pPr>
      <w:ind w:left="1680"/>
      <w:jc w:val="left"/>
    </w:pPr>
    <w:rPr>
      <w:rFonts w:ascii="Calibri" w:hAnsi="Calibri"/>
      <w:sz w:val="18"/>
      <w:szCs w:val="18"/>
    </w:rPr>
  </w:style>
  <w:style w:type="paragraph" w:styleId="43">
    <w:name w:val="Body Text 2"/>
    <w:basedOn w:val="1"/>
    <w:link w:val="160"/>
    <w:qFormat/>
    <w:uiPriority w:val="0"/>
    <w:pPr>
      <w:spacing w:after="120" w:line="480" w:lineRule="auto"/>
    </w:pPr>
    <w:rPr>
      <w:kern w:val="0"/>
      <w:sz w:val="20"/>
    </w:rPr>
  </w:style>
  <w:style w:type="paragraph" w:styleId="44">
    <w:name w:val="HTML Preformatted"/>
    <w:basedOn w:val="1"/>
    <w:link w:val="11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5">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6">
    <w:name w:val="index 1"/>
    <w:basedOn w:val="1"/>
    <w:next w:val="1"/>
    <w:qFormat/>
    <w:uiPriority w:val="0"/>
    <w:pPr>
      <w:spacing w:line="360" w:lineRule="auto"/>
    </w:pPr>
    <w:rPr>
      <w:rFonts w:ascii="宋体" w:hAnsi="宋体"/>
      <w:bCs/>
      <w:szCs w:val="21"/>
    </w:rPr>
  </w:style>
  <w:style w:type="paragraph" w:styleId="47">
    <w:name w:val="Title"/>
    <w:basedOn w:val="1"/>
    <w:next w:val="1"/>
    <w:qFormat/>
    <w:uiPriority w:val="0"/>
    <w:pPr>
      <w:jc w:val="center"/>
    </w:pPr>
    <w:rPr>
      <w:rFonts w:ascii="宋体"/>
      <w:b/>
      <w:snapToGrid w:val="0"/>
      <w:kern w:val="0"/>
      <w:sz w:val="36"/>
      <w:szCs w:val="20"/>
    </w:rPr>
  </w:style>
  <w:style w:type="paragraph" w:styleId="48">
    <w:name w:val="annotation subject"/>
    <w:basedOn w:val="18"/>
    <w:next w:val="18"/>
    <w:link w:val="125"/>
    <w:unhideWhenUsed/>
    <w:qFormat/>
    <w:uiPriority w:val="0"/>
    <w:rPr>
      <w:b/>
      <w:bCs/>
    </w:rPr>
  </w:style>
  <w:style w:type="paragraph" w:styleId="49">
    <w:name w:val="Body Text First Indent"/>
    <w:basedOn w:val="20"/>
    <w:qFormat/>
    <w:uiPriority w:val="0"/>
    <w:pPr>
      <w:spacing w:after="120" w:line="240" w:lineRule="auto"/>
      <w:ind w:firstLine="420" w:firstLineChars="100"/>
    </w:pPr>
    <w:rPr>
      <w:sz w:val="21"/>
    </w:rPr>
  </w:style>
  <w:style w:type="paragraph" w:styleId="50">
    <w:name w:val="Body Text First Indent 2"/>
    <w:basedOn w:val="21"/>
    <w:link w:val="236"/>
    <w:semiHidden/>
    <w:unhideWhenUsed/>
    <w:qFormat/>
    <w:uiPriority w:val="0"/>
    <w:pPr>
      <w:ind w:firstLine="420" w:firstLineChars="200"/>
    </w:pPr>
  </w:style>
  <w:style w:type="table" w:styleId="52">
    <w:name w:val="Table Grid"/>
    <w:basedOn w:val="5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4">
    <w:name w:val="Strong"/>
    <w:qFormat/>
    <w:uiPriority w:val="0"/>
    <w:rPr>
      <w:b/>
      <w:bCs/>
    </w:rPr>
  </w:style>
  <w:style w:type="character" w:styleId="55">
    <w:name w:val="page number"/>
    <w:basedOn w:val="53"/>
    <w:qFormat/>
    <w:uiPriority w:val="0"/>
  </w:style>
  <w:style w:type="character" w:styleId="56">
    <w:name w:val="FollowedHyperlink"/>
    <w:qFormat/>
    <w:uiPriority w:val="99"/>
    <w:rPr>
      <w:color w:val="800080"/>
      <w:u w:val="single"/>
    </w:rPr>
  </w:style>
  <w:style w:type="character" w:styleId="57">
    <w:name w:val="Emphasis"/>
    <w:qFormat/>
    <w:uiPriority w:val="0"/>
    <w:rPr>
      <w:color w:val="CC0000"/>
    </w:rPr>
  </w:style>
  <w:style w:type="character" w:styleId="58">
    <w:name w:val="Hyperlink"/>
    <w:qFormat/>
    <w:uiPriority w:val="99"/>
    <w:rPr>
      <w:color w:val="0000FF"/>
      <w:u w:val="single"/>
    </w:rPr>
  </w:style>
  <w:style w:type="character" w:styleId="59">
    <w:name w:val="annotation reference"/>
    <w:unhideWhenUsed/>
    <w:qFormat/>
    <w:uiPriority w:val="0"/>
    <w:rPr>
      <w:sz w:val="21"/>
      <w:szCs w:val="21"/>
    </w:rPr>
  </w:style>
  <w:style w:type="character" w:customStyle="1" w:styleId="60">
    <w:name w:val="font51"/>
    <w:qFormat/>
    <w:uiPriority w:val="0"/>
    <w:rPr>
      <w:rFonts w:hint="eastAsia" w:ascii="宋体" w:hAnsi="宋体" w:eastAsia="宋体" w:cs="宋体"/>
      <w:color w:val="000000"/>
      <w:sz w:val="20"/>
      <w:szCs w:val="20"/>
      <w:u w:val="none"/>
    </w:rPr>
  </w:style>
  <w:style w:type="character" w:customStyle="1" w:styleId="61">
    <w:name w:val="正文文本缩进 2 Char2"/>
    <w:semiHidden/>
    <w:qFormat/>
    <w:uiPriority w:val="99"/>
    <w:rPr>
      <w:kern w:val="2"/>
      <w:sz w:val="21"/>
      <w:szCs w:val="24"/>
    </w:rPr>
  </w:style>
  <w:style w:type="character" w:customStyle="1" w:styleId="62">
    <w:name w:val="宏文本 Char1"/>
    <w:qFormat/>
    <w:uiPriority w:val="99"/>
    <w:rPr>
      <w:rFonts w:ascii="Courier New" w:hAnsi="Courier New" w:cs="Courier New"/>
      <w:kern w:val="2"/>
      <w:sz w:val="24"/>
      <w:szCs w:val="24"/>
    </w:rPr>
  </w:style>
  <w:style w:type="character" w:customStyle="1" w:styleId="63">
    <w:name w:val="正文文本缩进 2 Char1"/>
    <w:semiHidden/>
    <w:qFormat/>
    <w:uiPriority w:val="99"/>
    <w:rPr>
      <w:rFonts w:ascii="Times New Roman" w:hAnsi="Times New Roman" w:eastAsia="宋体" w:cs="Times New Roman"/>
      <w:szCs w:val="24"/>
    </w:rPr>
  </w:style>
  <w:style w:type="character" w:customStyle="1" w:styleId="64">
    <w:name w:val="样式2"/>
    <w:qFormat/>
    <w:uiPriority w:val="0"/>
    <w:rPr>
      <w:rFonts w:ascii="宋体" w:hAnsi="宋体"/>
      <w:b/>
      <w:szCs w:val="21"/>
    </w:rPr>
  </w:style>
  <w:style w:type="character" w:customStyle="1" w:styleId="65">
    <w:name w:val="apple-converted-space"/>
    <w:basedOn w:val="53"/>
    <w:qFormat/>
    <w:uiPriority w:val="0"/>
  </w:style>
  <w:style w:type="character" w:customStyle="1" w:styleId="66">
    <w:name w:val="标题 9 Char"/>
    <w:link w:val="12"/>
    <w:qFormat/>
    <w:uiPriority w:val="0"/>
    <w:rPr>
      <w:rFonts w:ascii="Arial" w:hAnsi="Arial" w:eastAsia="黑体"/>
      <w:kern w:val="2"/>
      <w:sz w:val="21"/>
      <w:szCs w:val="24"/>
    </w:rPr>
  </w:style>
  <w:style w:type="character" w:customStyle="1" w:styleId="67">
    <w:name w:val="题注 Char"/>
    <w:link w:val="15"/>
    <w:qFormat/>
    <w:uiPriority w:val="0"/>
    <w:rPr>
      <w:rFonts w:ascii="Arial" w:hAnsi="Arial" w:eastAsia="黑体" w:cs="Arial"/>
      <w:kern w:val="2"/>
    </w:rPr>
  </w:style>
  <w:style w:type="character" w:customStyle="1" w:styleId="68">
    <w:name w:val="标题 5 字符"/>
    <w:qFormat/>
    <w:uiPriority w:val="0"/>
    <w:rPr>
      <w:b/>
      <w:kern w:val="2"/>
      <w:sz w:val="28"/>
      <w:szCs w:val="24"/>
    </w:rPr>
  </w:style>
  <w:style w:type="character" w:customStyle="1" w:styleId="69">
    <w:name w:val="正文文本 3 Char1"/>
    <w:qFormat/>
    <w:uiPriority w:val="99"/>
    <w:rPr>
      <w:kern w:val="2"/>
      <w:sz w:val="16"/>
      <w:szCs w:val="16"/>
    </w:rPr>
  </w:style>
  <w:style w:type="character" w:customStyle="1" w:styleId="70">
    <w:name w:val="标题 3 字符"/>
    <w:qFormat/>
    <w:uiPriority w:val="0"/>
    <w:rPr>
      <w:b/>
      <w:bCs/>
      <w:kern w:val="2"/>
      <w:sz w:val="32"/>
      <w:szCs w:val="32"/>
    </w:rPr>
  </w:style>
  <w:style w:type="character" w:customStyle="1" w:styleId="71">
    <w:name w:val="样式1"/>
    <w:qFormat/>
    <w:uiPriority w:val="0"/>
    <w:rPr>
      <w:rFonts w:ascii="宋体" w:hAnsi="宋体"/>
      <w:szCs w:val="21"/>
    </w:rPr>
  </w:style>
  <w:style w:type="character" w:customStyle="1" w:styleId="72">
    <w:name w:val="标题 2 字符"/>
    <w:qFormat/>
    <w:uiPriority w:val="0"/>
    <w:rPr>
      <w:rFonts w:eastAsia="隶书"/>
      <w:b/>
      <w:sz w:val="44"/>
    </w:rPr>
  </w:style>
  <w:style w:type="character" w:customStyle="1" w:styleId="73">
    <w:name w:val="正文文本缩进 Char"/>
    <w:link w:val="21"/>
    <w:qFormat/>
    <w:uiPriority w:val="0"/>
    <w:rPr>
      <w:kern w:val="2"/>
      <w:sz w:val="21"/>
      <w:szCs w:val="24"/>
    </w:rPr>
  </w:style>
  <w:style w:type="character" w:customStyle="1" w:styleId="74">
    <w:name w:val="页脚 Char2"/>
    <w:semiHidden/>
    <w:qFormat/>
    <w:uiPriority w:val="99"/>
    <w:rPr>
      <w:kern w:val="2"/>
      <w:sz w:val="18"/>
      <w:szCs w:val="18"/>
    </w:rPr>
  </w:style>
  <w:style w:type="character" w:customStyle="1" w:styleId="75">
    <w:name w:val="列出段落 Char"/>
    <w:link w:val="76"/>
    <w:qFormat/>
    <w:locked/>
    <w:uiPriority w:val="34"/>
    <w:rPr>
      <w:rFonts w:ascii="Calibri" w:hAnsi="Calibri"/>
      <w:kern w:val="2"/>
      <w:sz w:val="21"/>
      <w:szCs w:val="22"/>
    </w:rPr>
  </w:style>
  <w:style w:type="paragraph" w:styleId="76">
    <w:name w:val="List Paragraph"/>
    <w:basedOn w:val="1"/>
    <w:link w:val="75"/>
    <w:qFormat/>
    <w:uiPriority w:val="34"/>
    <w:pPr>
      <w:ind w:firstLine="420" w:firstLineChars="200"/>
    </w:pPr>
    <w:rPr>
      <w:rFonts w:ascii="Calibri" w:hAnsi="Calibri"/>
      <w:szCs w:val="22"/>
    </w:rPr>
  </w:style>
  <w:style w:type="character" w:customStyle="1" w:styleId="77">
    <w:name w:val="gray"/>
    <w:qFormat/>
    <w:uiPriority w:val="0"/>
    <w:rPr>
      <w:rFonts w:ascii="Tahoma" w:hAnsi="Tahoma" w:eastAsia="宋体"/>
      <w:kern w:val="2"/>
      <w:sz w:val="24"/>
      <w:szCs w:val="24"/>
      <w:lang w:val="en-US" w:eastAsia="zh-CN" w:bidi="ar-SA"/>
    </w:rPr>
  </w:style>
  <w:style w:type="character" w:customStyle="1" w:styleId="78">
    <w:name w:val="HTML 预设格式 Char1"/>
    <w:qFormat/>
    <w:uiPriority w:val="99"/>
    <w:rPr>
      <w:rFonts w:ascii="Courier New" w:hAnsi="Courier New" w:cs="Courier New"/>
      <w:kern w:val="2"/>
    </w:rPr>
  </w:style>
  <w:style w:type="character" w:customStyle="1" w:styleId="79">
    <w:name w:val="mark"/>
    <w:basedOn w:val="53"/>
    <w:qFormat/>
    <w:uiPriority w:val="0"/>
  </w:style>
  <w:style w:type="character" w:customStyle="1" w:styleId="80">
    <w:name w:val="A15"/>
    <w:qFormat/>
    <w:uiPriority w:val="0"/>
    <w:rPr>
      <w:rFonts w:ascii="Times New Roman" w:hAnsi="Times New Roman"/>
      <w:color w:val="000000"/>
      <w:sz w:val="14"/>
      <w:szCs w:val="14"/>
    </w:rPr>
  </w:style>
  <w:style w:type="character" w:customStyle="1" w:styleId="81">
    <w:name w:val="日期 Char1"/>
    <w:semiHidden/>
    <w:qFormat/>
    <w:uiPriority w:val="99"/>
    <w:rPr>
      <w:rFonts w:ascii="Times New Roman" w:hAnsi="Times New Roman" w:eastAsia="宋体" w:cs="Times New Roman"/>
      <w:szCs w:val="24"/>
    </w:rPr>
  </w:style>
  <w:style w:type="character" w:customStyle="1" w:styleId="82">
    <w:name w:val="引用 Char"/>
    <w:link w:val="83"/>
    <w:qFormat/>
    <w:uiPriority w:val="29"/>
    <w:rPr>
      <w:i/>
      <w:iCs/>
      <w:color w:val="404040"/>
      <w:kern w:val="2"/>
      <w:sz w:val="21"/>
      <w:szCs w:val="24"/>
    </w:rPr>
  </w:style>
  <w:style w:type="paragraph" w:styleId="83">
    <w:name w:val="Quote"/>
    <w:basedOn w:val="1"/>
    <w:next w:val="1"/>
    <w:link w:val="82"/>
    <w:qFormat/>
    <w:uiPriority w:val="29"/>
    <w:pPr>
      <w:spacing w:before="200" w:after="160"/>
      <w:ind w:left="864" w:right="864"/>
      <w:jc w:val="center"/>
    </w:pPr>
    <w:rPr>
      <w:i/>
      <w:iCs/>
      <w:color w:val="404040"/>
    </w:rPr>
  </w:style>
  <w:style w:type="character" w:customStyle="1" w:styleId="84">
    <w:name w:val="超链接2"/>
    <w:qFormat/>
    <w:uiPriority w:val="0"/>
    <w:rPr>
      <w:rFonts w:hint="eastAsia" w:ascii="宋体" w:hAnsi="宋体" w:eastAsia="宋体"/>
      <w:color w:val="FFFFFF"/>
      <w:sz w:val="18"/>
      <w:szCs w:val="18"/>
      <w:u w:val="none"/>
    </w:rPr>
  </w:style>
  <w:style w:type="character" w:customStyle="1" w:styleId="85">
    <w:name w:val="ca-2"/>
    <w:basedOn w:val="53"/>
    <w:qFormat/>
    <w:uiPriority w:val="0"/>
  </w:style>
  <w:style w:type="character" w:customStyle="1" w:styleId="86">
    <w:name w:val="页脚 Char1"/>
    <w:semiHidden/>
    <w:qFormat/>
    <w:uiPriority w:val="99"/>
    <w:rPr>
      <w:rFonts w:ascii="Times New Roman" w:hAnsi="Times New Roman" w:eastAsia="宋体" w:cs="Times New Roman"/>
      <w:sz w:val="18"/>
      <w:szCs w:val="18"/>
    </w:rPr>
  </w:style>
  <w:style w:type="character" w:customStyle="1" w:styleId="87">
    <w:name w:val="正文文本 3 Char"/>
    <w:link w:val="19"/>
    <w:qFormat/>
    <w:uiPriority w:val="0"/>
    <w:rPr>
      <w:b/>
      <w:bCs/>
      <w:sz w:val="24"/>
      <w:szCs w:val="24"/>
    </w:rPr>
  </w:style>
  <w:style w:type="character" w:customStyle="1" w:styleId="88">
    <w:name w:val="引用 Char1"/>
    <w:qFormat/>
    <w:uiPriority w:val="99"/>
    <w:rPr>
      <w:rFonts w:ascii="Times New Roman" w:hAnsi="Times New Roman"/>
      <w:i/>
      <w:iCs/>
      <w:color w:val="000000"/>
      <w:kern w:val="2"/>
      <w:sz w:val="21"/>
      <w:szCs w:val="24"/>
    </w:rPr>
  </w:style>
  <w:style w:type="character" w:customStyle="1" w:styleId="89">
    <w:name w:val="正文缩进 Char"/>
    <w:link w:val="8"/>
    <w:qFormat/>
    <w:uiPriority w:val="0"/>
    <w:rPr>
      <w:rFonts w:ascii="宋体"/>
      <w:snapToGrid w:val="0"/>
    </w:rPr>
  </w:style>
  <w:style w:type="character" w:customStyle="1" w:styleId="90">
    <w:name w:val="标题 7 Char"/>
    <w:link w:val="10"/>
    <w:qFormat/>
    <w:uiPriority w:val="0"/>
    <w:rPr>
      <w:b/>
      <w:kern w:val="2"/>
      <w:sz w:val="24"/>
      <w:szCs w:val="24"/>
    </w:rPr>
  </w:style>
  <w:style w:type="character" w:customStyle="1" w:styleId="91">
    <w:name w:val="style21"/>
    <w:qFormat/>
    <w:uiPriority w:val="0"/>
    <w:rPr>
      <w:sz w:val="22"/>
      <w:szCs w:val="22"/>
    </w:rPr>
  </w:style>
  <w:style w:type="character" w:customStyle="1" w:styleId="92">
    <w:name w:val="A4"/>
    <w:qFormat/>
    <w:uiPriority w:val="0"/>
    <w:rPr>
      <w:rFonts w:ascii="新宋体" w:eastAsia="新宋体" w:cs="新宋体"/>
      <w:color w:val="000000"/>
      <w:lang w:bidi="ar-SA"/>
    </w:rPr>
  </w:style>
  <w:style w:type="character" w:customStyle="1" w:styleId="93">
    <w:name w:val="纯文本 字符1"/>
    <w:qFormat/>
    <w:uiPriority w:val="0"/>
    <w:rPr>
      <w:rFonts w:ascii="宋体" w:hAnsi="Courier New" w:eastAsia="宋体" w:cs="Courier New"/>
      <w:szCs w:val="21"/>
    </w:rPr>
  </w:style>
  <w:style w:type="character" w:customStyle="1" w:styleId="94">
    <w:name w:val="不明显强调1"/>
    <w:qFormat/>
    <w:uiPriority w:val="19"/>
    <w:rPr>
      <w:i/>
      <w:iCs/>
      <w:color w:val="808080"/>
    </w:rPr>
  </w:style>
  <w:style w:type="character" w:customStyle="1" w:styleId="95">
    <w:name w:val="宏文本 Char"/>
    <w:link w:val="2"/>
    <w:qFormat/>
    <w:uiPriority w:val="99"/>
    <w:rPr>
      <w:rFonts w:ascii="Courier New" w:hAnsi="Courier New"/>
      <w:kern w:val="2"/>
      <w:sz w:val="24"/>
      <w:szCs w:val="24"/>
      <w:lang w:val="en-US" w:eastAsia="zh-CN" w:bidi="ar-SA"/>
    </w:rPr>
  </w:style>
  <w:style w:type="character" w:customStyle="1" w:styleId="96">
    <w:name w:val="正文文本缩进 3 Char2"/>
    <w:semiHidden/>
    <w:qFormat/>
    <w:uiPriority w:val="99"/>
    <w:rPr>
      <w:kern w:val="2"/>
      <w:sz w:val="16"/>
      <w:szCs w:val="16"/>
    </w:rPr>
  </w:style>
  <w:style w:type="character" w:customStyle="1" w:styleId="97">
    <w:name w:val="日期 Char"/>
    <w:link w:val="29"/>
    <w:qFormat/>
    <w:uiPriority w:val="0"/>
    <w:rPr>
      <w:kern w:val="2"/>
      <w:sz w:val="24"/>
      <w:szCs w:val="24"/>
    </w:rPr>
  </w:style>
  <w:style w:type="character" w:customStyle="1" w:styleId="98">
    <w:name w:val="正文文本缩进 3 Char1"/>
    <w:semiHidden/>
    <w:qFormat/>
    <w:uiPriority w:val="99"/>
    <w:rPr>
      <w:rFonts w:ascii="Times New Roman" w:hAnsi="Times New Roman" w:eastAsia="宋体" w:cs="Times New Roman"/>
      <w:sz w:val="16"/>
      <w:szCs w:val="16"/>
    </w:rPr>
  </w:style>
  <w:style w:type="character" w:customStyle="1" w:styleId="99">
    <w:name w:val="普通文字 Char Char4"/>
    <w:qFormat/>
    <w:uiPriority w:val="0"/>
    <w:rPr>
      <w:rFonts w:ascii="宋体" w:hAnsi="Courier New" w:eastAsia="宋体" w:cs="Courier New"/>
      <w:szCs w:val="21"/>
    </w:rPr>
  </w:style>
  <w:style w:type="character" w:customStyle="1" w:styleId="100">
    <w:name w:val="text1"/>
    <w:basedOn w:val="53"/>
    <w:qFormat/>
    <w:uiPriority w:val="0"/>
  </w:style>
  <w:style w:type="character" w:customStyle="1" w:styleId="101">
    <w:name w:val="表正文 Char2"/>
    <w:qFormat/>
    <w:uiPriority w:val="0"/>
    <w:rPr>
      <w:rFonts w:ascii="Times New Roman" w:hAnsi="Times New Roman"/>
      <w:kern w:val="2"/>
      <w:sz w:val="21"/>
    </w:rPr>
  </w:style>
  <w:style w:type="character" w:customStyle="1" w:styleId="102">
    <w:name w:val="项目排列 Char Char"/>
    <w:link w:val="103"/>
    <w:qFormat/>
    <w:uiPriority w:val="0"/>
    <w:rPr>
      <w:kern w:val="2"/>
      <w:sz w:val="24"/>
      <w:szCs w:val="24"/>
    </w:rPr>
  </w:style>
  <w:style w:type="paragraph" w:customStyle="1" w:styleId="103">
    <w:name w:val="项目排列"/>
    <w:basedOn w:val="1"/>
    <w:link w:val="102"/>
    <w:qFormat/>
    <w:uiPriority w:val="0"/>
    <w:pPr>
      <w:numPr>
        <w:ilvl w:val="0"/>
        <w:numId w:val="1"/>
      </w:numPr>
      <w:tabs>
        <w:tab w:val="left" w:pos="1200"/>
      </w:tabs>
      <w:spacing w:before="156" w:beforeLines="50" w:after="156" w:afterLines="50" w:line="300" w:lineRule="auto"/>
    </w:pPr>
    <w:rPr>
      <w:sz w:val="24"/>
    </w:rPr>
  </w:style>
  <w:style w:type="character" w:customStyle="1" w:styleId="104">
    <w:name w:val="正文文本缩进 3 Char"/>
    <w:link w:val="40"/>
    <w:qFormat/>
    <w:uiPriority w:val="0"/>
    <w:rPr>
      <w:kern w:val="2"/>
      <w:sz w:val="16"/>
      <w:szCs w:val="16"/>
    </w:rPr>
  </w:style>
  <w:style w:type="character" w:customStyle="1" w:styleId="105">
    <w:name w:val="text11"/>
    <w:qFormat/>
    <w:uiPriority w:val="0"/>
    <w:rPr>
      <w:rFonts w:hint="default" w:ascii="Verdana" w:hAnsi="Verdana"/>
      <w:color w:val="4E4E4E"/>
      <w:sz w:val="18"/>
      <w:szCs w:val="18"/>
    </w:rPr>
  </w:style>
  <w:style w:type="character" w:customStyle="1" w:styleId="106">
    <w:name w:val="批注文字 Char"/>
    <w:link w:val="18"/>
    <w:qFormat/>
    <w:uiPriority w:val="99"/>
    <w:rPr>
      <w:kern w:val="2"/>
      <w:sz w:val="21"/>
      <w:szCs w:val="24"/>
    </w:rPr>
  </w:style>
  <w:style w:type="character" w:customStyle="1" w:styleId="107">
    <w:name w:val="lmain1"/>
    <w:qFormat/>
    <w:uiPriority w:val="0"/>
    <w:rPr>
      <w:color w:val="407AAB"/>
      <w:sz w:val="30"/>
      <w:szCs w:val="30"/>
    </w:rPr>
  </w:style>
  <w:style w:type="character" w:customStyle="1" w:styleId="108">
    <w:name w:val="case31"/>
    <w:qFormat/>
    <w:uiPriority w:val="0"/>
    <w:rPr>
      <w:rFonts w:hint="default"/>
      <w:sz w:val="21"/>
      <w:szCs w:val="21"/>
    </w:rPr>
  </w:style>
  <w:style w:type="character" w:customStyle="1" w:styleId="109">
    <w:name w:val="ca-11"/>
    <w:qFormat/>
    <w:uiPriority w:val="0"/>
    <w:rPr>
      <w:rFonts w:hint="eastAsia" w:ascii="宋体" w:hAnsi="宋体" w:eastAsia="宋体"/>
      <w:b/>
      <w:bCs/>
      <w:spacing w:val="-20"/>
      <w:sz w:val="21"/>
      <w:szCs w:val="21"/>
    </w:rPr>
  </w:style>
  <w:style w:type="character" w:customStyle="1" w:styleId="110">
    <w:name w:val="f161"/>
    <w:qFormat/>
    <w:uiPriority w:val="0"/>
    <w:rPr>
      <w:b/>
      <w:bCs/>
      <w:sz w:val="24"/>
      <w:szCs w:val="24"/>
    </w:rPr>
  </w:style>
  <w:style w:type="character" w:customStyle="1" w:styleId="111">
    <w:name w:val="标题 4 字符"/>
    <w:qFormat/>
    <w:uiPriority w:val="0"/>
    <w:rPr>
      <w:rFonts w:ascii="Arial" w:hAnsi="Arial" w:eastAsia="黑体"/>
      <w:b/>
      <w:bCs/>
      <w:kern w:val="2"/>
      <w:sz w:val="28"/>
      <w:szCs w:val="28"/>
    </w:rPr>
  </w:style>
  <w:style w:type="character" w:customStyle="1" w:styleId="112">
    <w:name w:val="正文文本 2 Char2"/>
    <w:qFormat/>
    <w:uiPriority w:val="99"/>
    <w:rPr>
      <w:kern w:val="2"/>
      <w:sz w:val="21"/>
      <w:szCs w:val="24"/>
    </w:rPr>
  </w:style>
  <w:style w:type="character" w:customStyle="1" w:styleId="113">
    <w:name w:val="style1"/>
    <w:basedOn w:val="53"/>
    <w:qFormat/>
    <w:uiPriority w:val="0"/>
  </w:style>
  <w:style w:type="character" w:customStyle="1" w:styleId="114">
    <w:name w:val="ca-21"/>
    <w:qFormat/>
    <w:uiPriority w:val="0"/>
    <w:rPr>
      <w:rFonts w:hint="eastAsia" w:ascii="宋体" w:hAnsi="宋体" w:eastAsia="宋体"/>
      <w:sz w:val="21"/>
      <w:szCs w:val="21"/>
    </w:rPr>
  </w:style>
  <w:style w:type="character" w:customStyle="1" w:styleId="115">
    <w:name w:val="HTML 预设格式 Char"/>
    <w:link w:val="44"/>
    <w:qFormat/>
    <w:uiPriority w:val="99"/>
    <w:rPr>
      <w:rFonts w:ascii="宋体" w:hAnsi="宋体" w:cs="宋体"/>
      <w:sz w:val="24"/>
      <w:szCs w:val="24"/>
    </w:rPr>
  </w:style>
  <w:style w:type="character" w:customStyle="1" w:styleId="116">
    <w:name w:val="Char Char11"/>
    <w:qFormat/>
    <w:uiPriority w:val="0"/>
    <w:rPr>
      <w:rFonts w:ascii="宋体" w:hAnsi="Courier New" w:eastAsia="宋体" w:cs="Courier New"/>
      <w:szCs w:val="21"/>
    </w:rPr>
  </w:style>
  <w:style w:type="character" w:customStyle="1" w:styleId="117">
    <w:name w:val="日期 Char2"/>
    <w:semiHidden/>
    <w:qFormat/>
    <w:uiPriority w:val="99"/>
    <w:rPr>
      <w:kern w:val="2"/>
      <w:sz w:val="21"/>
      <w:szCs w:val="24"/>
    </w:rPr>
  </w:style>
  <w:style w:type="character" w:customStyle="1" w:styleId="118">
    <w:name w:val="hei16b"/>
    <w:basedOn w:val="53"/>
    <w:qFormat/>
    <w:uiPriority w:val="0"/>
  </w:style>
  <w:style w:type="character" w:customStyle="1" w:styleId="119">
    <w:name w:val="标题 1 字符"/>
    <w:qFormat/>
    <w:uiPriority w:val="0"/>
    <w:rPr>
      <w:b/>
      <w:bCs/>
      <w:kern w:val="44"/>
      <w:sz w:val="44"/>
      <w:szCs w:val="44"/>
    </w:rPr>
  </w:style>
  <w:style w:type="character" w:customStyle="1" w:styleId="120">
    <w:name w:val="页眉 Char1"/>
    <w:semiHidden/>
    <w:qFormat/>
    <w:uiPriority w:val="99"/>
    <w:rPr>
      <w:kern w:val="2"/>
      <w:sz w:val="18"/>
      <w:szCs w:val="18"/>
    </w:rPr>
  </w:style>
  <w:style w:type="character" w:customStyle="1" w:styleId="121">
    <w:name w:val="正文缩进 Char1"/>
    <w:qFormat/>
    <w:uiPriority w:val="0"/>
    <w:rPr>
      <w:rFonts w:ascii="Times New Roman" w:hAnsi="Times New Roman"/>
      <w:kern w:val="2"/>
      <w:sz w:val="21"/>
    </w:rPr>
  </w:style>
  <w:style w:type="character" w:customStyle="1" w:styleId="122">
    <w:name w:val="font12-blue-bold1"/>
    <w:qFormat/>
    <w:uiPriority w:val="0"/>
    <w:rPr>
      <w:b/>
      <w:bCs/>
      <w:color w:val="0249A5"/>
      <w:sz w:val="14"/>
      <w:szCs w:val="14"/>
      <w:u w:val="none"/>
    </w:rPr>
  </w:style>
  <w:style w:type="character" w:customStyle="1" w:styleId="123">
    <w:name w:val="正文文本 Char"/>
    <w:link w:val="20"/>
    <w:qFormat/>
    <w:uiPriority w:val="0"/>
    <w:rPr>
      <w:kern w:val="2"/>
      <w:sz w:val="24"/>
      <w:szCs w:val="24"/>
    </w:rPr>
  </w:style>
  <w:style w:type="character" w:customStyle="1" w:styleId="124">
    <w:name w:val="Body Text Indent 3 Char"/>
    <w:qFormat/>
    <w:locked/>
    <w:uiPriority w:val="99"/>
    <w:rPr>
      <w:rFonts w:eastAsia="宋体"/>
      <w:sz w:val="16"/>
    </w:rPr>
  </w:style>
  <w:style w:type="character" w:customStyle="1" w:styleId="125">
    <w:name w:val="批注主题 Char"/>
    <w:link w:val="48"/>
    <w:qFormat/>
    <w:uiPriority w:val="0"/>
    <w:rPr>
      <w:b/>
      <w:bCs/>
      <w:kern w:val="2"/>
      <w:sz w:val="21"/>
      <w:szCs w:val="24"/>
    </w:rPr>
  </w:style>
  <w:style w:type="character" w:customStyle="1" w:styleId="126">
    <w:name w:val="bold1"/>
    <w:qFormat/>
    <w:uiPriority w:val="0"/>
    <w:rPr>
      <w:rFonts w:hint="default"/>
      <w:b/>
      <w:bCs/>
      <w:color w:val="000000"/>
      <w:sz w:val="18"/>
      <w:szCs w:val="18"/>
    </w:rPr>
  </w:style>
  <w:style w:type="character" w:customStyle="1" w:styleId="127">
    <w:name w:val="标题 6 字符"/>
    <w:qFormat/>
    <w:uiPriority w:val="0"/>
    <w:rPr>
      <w:rFonts w:ascii="Arial" w:hAnsi="Arial" w:eastAsia="黑体"/>
      <w:b/>
      <w:kern w:val="2"/>
      <w:sz w:val="24"/>
      <w:szCs w:val="24"/>
    </w:rPr>
  </w:style>
  <w:style w:type="character" w:customStyle="1" w:styleId="128">
    <w:name w:val="文档结构图 Char1"/>
    <w:qFormat/>
    <w:uiPriority w:val="99"/>
    <w:rPr>
      <w:rFonts w:ascii="宋体"/>
      <w:kern w:val="2"/>
      <w:sz w:val="18"/>
      <w:szCs w:val="18"/>
    </w:rPr>
  </w:style>
  <w:style w:type="character" w:customStyle="1" w:styleId="129">
    <w:name w:val="正文文本 Char1"/>
    <w:semiHidden/>
    <w:qFormat/>
    <w:uiPriority w:val="99"/>
    <w:rPr>
      <w:rFonts w:ascii="Times New Roman" w:hAnsi="Times New Roman" w:eastAsia="宋体" w:cs="Times New Roman"/>
      <w:szCs w:val="24"/>
    </w:rPr>
  </w:style>
  <w:style w:type="character" w:customStyle="1" w:styleId="130">
    <w:name w:val="页眉 Char"/>
    <w:link w:val="33"/>
    <w:qFormat/>
    <w:uiPriority w:val="0"/>
    <w:rPr>
      <w:kern w:val="2"/>
      <w:sz w:val="18"/>
      <w:szCs w:val="18"/>
    </w:rPr>
  </w:style>
  <w:style w:type="character" w:customStyle="1" w:styleId="131">
    <w:name w:val="正文文本缩进 Char1"/>
    <w:semiHidden/>
    <w:qFormat/>
    <w:uiPriority w:val="99"/>
    <w:rPr>
      <w:kern w:val="2"/>
      <w:sz w:val="21"/>
      <w:szCs w:val="24"/>
    </w:rPr>
  </w:style>
  <w:style w:type="character" w:customStyle="1" w:styleId="132">
    <w:name w:val="正文文本 2 Char1"/>
    <w:semiHidden/>
    <w:qFormat/>
    <w:uiPriority w:val="99"/>
    <w:rPr>
      <w:rFonts w:ascii="Times New Roman" w:hAnsi="Times New Roman" w:eastAsia="宋体" w:cs="Times New Roman"/>
      <w:szCs w:val="24"/>
    </w:rPr>
  </w:style>
  <w:style w:type="character" w:customStyle="1" w:styleId="133">
    <w:name w:val="文档结构图 Char"/>
    <w:link w:val="17"/>
    <w:qFormat/>
    <w:uiPriority w:val="0"/>
    <w:rPr>
      <w:kern w:val="2"/>
      <w:sz w:val="21"/>
      <w:szCs w:val="24"/>
      <w:shd w:val="clear" w:color="auto" w:fill="000080"/>
    </w:rPr>
  </w:style>
  <w:style w:type="character" w:customStyle="1" w:styleId="134">
    <w:name w:val="纯文本 Char"/>
    <w:link w:val="27"/>
    <w:qFormat/>
    <w:uiPriority w:val="0"/>
    <w:rPr>
      <w:rFonts w:ascii="宋体" w:hAnsi="Courier New" w:eastAsia="宋体" w:cs="Courier New"/>
      <w:kern w:val="2"/>
      <w:sz w:val="21"/>
      <w:szCs w:val="21"/>
      <w:lang w:val="en-US" w:eastAsia="zh-CN" w:bidi="ar-SA"/>
    </w:rPr>
  </w:style>
  <w:style w:type="character" w:customStyle="1" w:styleId="135">
    <w:name w:val="apple-style-span"/>
    <w:qFormat/>
    <w:uiPriority w:val="0"/>
  </w:style>
  <w:style w:type="character" w:customStyle="1" w:styleId="136">
    <w:name w:val="页脚 Char"/>
    <w:link w:val="32"/>
    <w:qFormat/>
    <w:uiPriority w:val="99"/>
    <w:rPr>
      <w:kern w:val="2"/>
      <w:sz w:val="18"/>
      <w:szCs w:val="18"/>
    </w:rPr>
  </w:style>
  <w:style w:type="character" w:customStyle="1" w:styleId="137">
    <w:name w:val="标题 8 Char"/>
    <w:link w:val="11"/>
    <w:qFormat/>
    <w:uiPriority w:val="0"/>
    <w:rPr>
      <w:rFonts w:ascii="Arial" w:hAnsi="Arial" w:eastAsia="黑体"/>
      <w:kern w:val="2"/>
      <w:sz w:val="24"/>
      <w:szCs w:val="24"/>
    </w:rPr>
  </w:style>
  <w:style w:type="character" w:customStyle="1" w:styleId="138">
    <w:name w:val="Char Char4"/>
    <w:semiHidden/>
    <w:qFormat/>
    <w:uiPriority w:val="0"/>
    <w:rPr>
      <w:rFonts w:ascii="Times New Roman" w:hAnsi="Times New Roman" w:eastAsia="宋体" w:cs="Times New Roman"/>
      <w:sz w:val="16"/>
      <w:szCs w:val="16"/>
    </w:rPr>
  </w:style>
  <w:style w:type="character" w:customStyle="1" w:styleId="139">
    <w:name w:val="Plain Text Char"/>
    <w:qFormat/>
    <w:locked/>
    <w:uiPriority w:val="0"/>
    <w:rPr>
      <w:rFonts w:ascii="宋体" w:hAnsi="Courier New" w:eastAsia="宋体"/>
    </w:rPr>
  </w:style>
  <w:style w:type="character" w:customStyle="1" w:styleId="140">
    <w:name w:val="ca-41"/>
    <w:qFormat/>
    <w:uiPriority w:val="0"/>
    <w:rPr>
      <w:rFonts w:hint="eastAsia" w:ascii="宋体" w:hAnsi="宋体" w:eastAsia="宋体"/>
      <w:color w:val="FF0000"/>
      <w:sz w:val="21"/>
      <w:szCs w:val="21"/>
    </w:rPr>
  </w:style>
  <w:style w:type="character" w:customStyle="1" w:styleId="141">
    <w:name w:val="无间隔 Char"/>
    <w:link w:val="142"/>
    <w:qFormat/>
    <w:uiPriority w:val="1"/>
    <w:rPr>
      <w:rFonts w:hAnsi="Courier New"/>
      <w:kern w:val="2"/>
      <w:sz w:val="21"/>
      <w:lang w:val="en-US" w:eastAsia="zh-CN" w:bidi="ar-SA"/>
    </w:rPr>
  </w:style>
  <w:style w:type="paragraph" w:styleId="142">
    <w:name w:val="No Spacing"/>
    <w:link w:val="141"/>
    <w:qFormat/>
    <w:uiPriority w:val="1"/>
    <w:pPr>
      <w:widowControl w:val="0"/>
      <w:jc w:val="both"/>
    </w:pPr>
    <w:rPr>
      <w:rFonts w:ascii="Times New Roman" w:hAnsi="Courier New" w:eastAsia="宋体" w:cs="Times New Roman"/>
      <w:kern w:val="2"/>
      <w:sz w:val="21"/>
      <w:lang w:val="en-US" w:eastAsia="zh-CN" w:bidi="ar-SA"/>
    </w:rPr>
  </w:style>
  <w:style w:type="character" w:customStyle="1" w:styleId="143">
    <w:name w:val="正文文本缩进 2 Char"/>
    <w:link w:val="30"/>
    <w:qFormat/>
    <w:uiPriority w:val="0"/>
    <w:rPr>
      <w:kern w:val="2"/>
      <w:sz w:val="21"/>
      <w:szCs w:val="24"/>
    </w:rPr>
  </w:style>
  <w:style w:type="character" w:customStyle="1" w:styleId="144">
    <w:name w:val="批注框文本 Char"/>
    <w:link w:val="31"/>
    <w:qFormat/>
    <w:uiPriority w:val="0"/>
    <w:rPr>
      <w:kern w:val="2"/>
      <w:sz w:val="18"/>
      <w:szCs w:val="18"/>
    </w:rPr>
  </w:style>
  <w:style w:type="character" w:customStyle="1" w:styleId="145">
    <w:name w:val="文档正文 Char Char"/>
    <w:link w:val="146"/>
    <w:qFormat/>
    <w:locked/>
    <w:uiPriority w:val="0"/>
    <w:rPr>
      <w:rFonts w:ascii="华文细黑" w:hAnsi="华文细黑" w:eastAsia="华文细黑"/>
      <w:color w:val="000000"/>
      <w:sz w:val="24"/>
    </w:rPr>
  </w:style>
  <w:style w:type="paragraph" w:customStyle="1" w:styleId="146">
    <w:name w:val="文档正文"/>
    <w:basedOn w:val="1"/>
    <w:link w:val="145"/>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7">
    <w:name w:val="纯文本 Char2"/>
    <w:qFormat/>
    <w:uiPriority w:val="0"/>
    <w:rPr>
      <w:rFonts w:ascii="宋体" w:hAnsi="Courier New" w:eastAsia="宋体" w:cs="Courier New"/>
      <w:kern w:val="2"/>
      <w:sz w:val="21"/>
      <w:szCs w:val="21"/>
      <w:lang w:val="en-US" w:eastAsia="zh-CN" w:bidi="ar-SA"/>
    </w:rPr>
  </w:style>
  <w:style w:type="character" w:customStyle="1" w:styleId="148">
    <w:name w:val="font91"/>
    <w:qFormat/>
    <w:uiPriority w:val="0"/>
    <w:rPr>
      <w:rFonts w:hint="default" w:ascii="Times New Roman" w:hAnsi="Times New Roman" w:cs="Times New Roman"/>
      <w:color w:val="000000"/>
      <w:sz w:val="20"/>
      <w:szCs w:val="20"/>
      <w:u w:val="none"/>
    </w:rPr>
  </w:style>
  <w:style w:type="character" w:customStyle="1" w:styleId="149">
    <w:name w:val="062"/>
    <w:qFormat/>
    <w:uiPriority w:val="0"/>
    <w:rPr>
      <w:rFonts w:ascii="宋体" w:hAnsi="宋体"/>
      <w:b/>
      <w:bCs/>
      <w:sz w:val="32"/>
    </w:rPr>
  </w:style>
  <w:style w:type="character" w:customStyle="1" w:styleId="150">
    <w:name w:val="纯文本 Char3"/>
    <w:qFormat/>
    <w:uiPriority w:val="0"/>
    <w:rPr>
      <w:rFonts w:ascii="宋体" w:hAnsi="Courier New" w:eastAsia="宋体" w:cs="Courier New"/>
      <w:szCs w:val="21"/>
    </w:rPr>
  </w:style>
  <w:style w:type="character" w:customStyle="1" w:styleId="151">
    <w:name w:val="正文文本 Char2"/>
    <w:semiHidden/>
    <w:qFormat/>
    <w:uiPriority w:val="99"/>
    <w:rPr>
      <w:kern w:val="2"/>
      <w:sz w:val="21"/>
      <w:szCs w:val="24"/>
    </w:rPr>
  </w:style>
  <w:style w:type="character" w:customStyle="1" w:styleId="152">
    <w:name w:val="纯文本 Char1"/>
    <w:qFormat/>
    <w:uiPriority w:val="0"/>
    <w:rPr>
      <w:rFonts w:ascii="宋体" w:hAnsi="Courier New" w:eastAsia="宋体" w:cs="Courier New"/>
      <w:szCs w:val="21"/>
    </w:rPr>
  </w:style>
  <w:style w:type="character" w:customStyle="1" w:styleId="153">
    <w:name w:val="Char Char1"/>
    <w:qFormat/>
    <w:uiPriority w:val="0"/>
    <w:rPr>
      <w:rFonts w:eastAsia="宋体"/>
      <w:kern w:val="2"/>
      <w:sz w:val="21"/>
      <w:szCs w:val="24"/>
      <w:lang w:bidi="ar-SA"/>
    </w:rPr>
  </w:style>
  <w:style w:type="character" w:customStyle="1" w:styleId="154">
    <w:name w:val="1ji Char"/>
    <w:link w:val="155"/>
    <w:qFormat/>
    <w:uiPriority w:val="0"/>
    <w:rPr>
      <w:rFonts w:ascii="宋体" w:hAnsi="宋体"/>
      <w:b/>
      <w:bCs/>
      <w:kern w:val="44"/>
      <w:sz w:val="36"/>
      <w:szCs w:val="44"/>
    </w:rPr>
  </w:style>
  <w:style w:type="paragraph" w:customStyle="1" w:styleId="155">
    <w:name w:val="1ji"/>
    <w:basedOn w:val="3"/>
    <w:link w:val="154"/>
    <w:qFormat/>
    <w:uiPriority w:val="0"/>
    <w:pPr>
      <w:keepLines w:val="0"/>
      <w:widowControl/>
      <w:spacing w:before="0" w:after="0" w:line="240" w:lineRule="auto"/>
      <w:jc w:val="center"/>
    </w:pPr>
    <w:rPr>
      <w:rFonts w:ascii="宋体" w:hAnsi="宋体"/>
      <w:sz w:val="36"/>
    </w:rPr>
  </w:style>
  <w:style w:type="character" w:customStyle="1" w:styleId="156">
    <w:name w:val="批注主题 Char1"/>
    <w:qFormat/>
    <w:uiPriority w:val="99"/>
    <w:rPr>
      <w:b/>
      <w:bCs/>
      <w:kern w:val="2"/>
      <w:sz w:val="21"/>
      <w:szCs w:val="24"/>
    </w:rPr>
  </w:style>
  <w:style w:type="character" w:customStyle="1" w:styleId="157">
    <w:name w:val="标题3 Char Char"/>
    <w:link w:val="158"/>
    <w:qFormat/>
    <w:uiPriority w:val="0"/>
    <w:rPr>
      <w:rFonts w:eastAsia="仿宋_GB2312"/>
      <w:bCs/>
      <w:kern w:val="2"/>
      <w:sz w:val="30"/>
      <w:szCs w:val="32"/>
    </w:rPr>
  </w:style>
  <w:style w:type="paragraph" w:customStyle="1" w:styleId="158">
    <w:name w:val="标题3"/>
    <w:basedOn w:val="5"/>
    <w:link w:val="157"/>
    <w:qFormat/>
    <w:uiPriority w:val="0"/>
    <w:pPr>
      <w:keepNext w:val="0"/>
      <w:keepLines w:val="0"/>
      <w:spacing w:before="0" w:after="0" w:line="360" w:lineRule="auto"/>
    </w:pPr>
    <w:rPr>
      <w:rFonts w:eastAsia="仿宋_GB2312"/>
      <w:b w:val="0"/>
      <w:sz w:val="30"/>
    </w:rPr>
  </w:style>
  <w:style w:type="character" w:customStyle="1" w:styleId="159">
    <w:name w:val="批注框文本 Char1"/>
    <w:semiHidden/>
    <w:qFormat/>
    <w:uiPriority w:val="99"/>
    <w:rPr>
      <w:kern w:val="2"/>
      <w:sz w:val="18"/>
      <w:szCs w:val="18"/>
    </w:rPr>
  </w:style>
  <w:style w:type="character" w:customStyle="1" w:styleId="160">
    <w:name w:val="正文文本 2 Char"/>
    <w:link w:val="43"/>
    <w:qFormat/>
    <w:uiPriority w:val="0"/>
    <w:rPr>
      <w:szCs w:val="24"/>
    </w:rPr>
  </w:style>
  <w:style w:type="character" w:customStyle="1" w:styleId="161">
    <w:name w:val="引用 Char2"/>
    <w:qFormat/>
    <w:uiPriority w:val="29"/>
    <w:rPr>
      <w:i/>
      <w:iCs/>
      <w:color w:val="000000"/>
      <w:kern w:val="2"/>
      <w:sz w:val="21"/>
      <w:szCs w:val="24"/>
    </w:rPr>
  </w:style>
  <w:style w:type="paragraph" w:customStyle="1" w:styleId="162">
    <w:name w:val="Char Char Char"/>
    <w:basedOn w:val="1"/>
    <w:qFormat/>
    <w:uiPriority w:val="0"/>
    <w:rPr>
      <w:rFonts w:ascii="Tahoma" w:hAnsi="Tahoma"/>
      <w:sz w:val="24"/>
      <w:szCs w:val="20"/>
    </w:rPr>
  </w:style>
  <w:style w:type="paragraph" w:customStyle="1" w:styleId="163">
    <w:name w:val="Char11"/>
    <w:basedOn w:val="1"/>
    <w:qFormat/>
    <w:uiPriority w:val="0"/>
    <w:rPr>
      <w:szCs w:val="21"/>
    </w:rPr>
  </w:style>
  <w:style w:type="paragraph" w:customStyle="1" w:styleId="164">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5">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6">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7">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8">
    <w:name w:val="2ji"/>
    <w:basedOn w:val="4"/>
    <w:qFormat/>
    <w:uiPriority w:val="0"/>
    <w:pPr>
      <w:keepLines/>
      <w:spacing w:before="0"/>
      <w:jc w:val="both"/>
      <w:textAlignment w:val="baseline"/>
    </w:pPr>
    <w:rPr>
      <w:rFonts w:ascii="宋体" w:hAnsi="宋体" w:eastAsia="宋体"/>
      <w:bCs/>
      <w:sz w:val="21"/>
      <w:szCs w:val="21"/>
    </w:rPr>
  </w:style>
  <w:style w:type="paragraph" w:customStyle="1" w:styleId="169">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70">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71">
    <w:name w:val="正文段"/>
    <w:basedOn w:val="1"/>
    <w:qFormat/>
    <w:uiPriority w:val="0"/>
    <w:pPr>
      <w:widowControl/>
      <w:snapToGrid w:val="0"/>
      <w:spacing w:after="156" w:afterLines="50"/>
      <w:ind w:firstLine="200" w:firstLineChars="200"/>
    </w:pPr>
    <w:rPr>
      <w:kern w:val="0"/>
      <w:sz w:val="24"/>
      <w:szCs w:val="20"/>
    </w:rPr>
  </w:style>
  <w:style w:type="paragraph" w:customStyle="1" w:styleId="172">
    <w:name w:val="五级条标题"/>
    <w:basedOn w:val="173"/>
    <w:next w:val="176"/>
    <w:qFormat/>
    <w:uiPriority w:val="0"/>
    <w:pPr>
      <w:outlineLvl w:val="6"/>
    </w:pPr>
  </w:style>
  <w:style w:type="paragraph" w:customStyle="1" w:styleId="173">
    <w:name w:val="四级条标题"/>
    <w:basedOn w:val="174"/>
    <w:next w:val="176"/>
    <w:qFormat/>
    <w:uiPriority w:val="0"/>
    <w:pPr>
      <w:outlineLvl w:val="5"/>
    </w:pPr>
  </w:style>
  <w:style w:type="paragraph" w:customStyle="1" w:styleId="174">
    <w:name w:val="三级条标题"/>
    <w:basedOn w:val="175"/>
    <w:next w:val="176"/>
    <w:qFormat/>
    <w:uiPriority w:val="0"/>
    <w:pPr>
      <w:outlineLvl w:val="4"/>
    </w:pPr>
  </w:style>
  <w:style w:type="paragraph" w:customStyle="1" w:styleId="175">
    <w:name w:val="二级条标题"/>
    <w:basedOn w:val="1"/>
    <w:next w:val="1"/>
    <w:qFormat/>
    <w:uiPriority w:val="0"/>
    <w:pPr>
      <w:widowControl/>
      <w:jc w:val="left"/>
      <w:outlineLvl w:val="3"/>
    </w:pPr>
    <w:rPr>
      <w:rFonts w:ascii="宋体" w:hAnsi="宋体"/>
      <w:color w:val="000000"/>
      <w:kern w:val="0"/>
      <w:szCs w:val="20"/>
    </w:rPr>
  </w:style>
  <w:style w:type="paragraph" w:customStyle="1" w:styleId="176">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7">
    <w:name w:val="表格"/>
    <w:basedOn w:val="1"/>
    <w:qFormat/>
    <w:uiPriority w:val="0"/>
    <w:pPr>
      <w:spacing w:line="400" w:lineRule="exact"/>
    </w:pPr>
    <w:rPr>
      <w:sz w:val="24"/>
    </w:rPr>
  </w:style>
  <w:style w:type="paragraph" w:customStyle="1" w:styleId="178">
    <w:name w:val="列表段落1"/>
    <w:basedOn w:val="1"/>
    <w:qFormat/>
    <w:uiPriority w:val="0"/>
    <w:pPr>
      <w:ind w:firstLine="420" w:firstLineChars="200"/>
    </w:pPr>
    <w:rPr>
      <w:rFonts w:ascii="Calibri" w:hAnsi="Calibri"/>
      <w:szCs w:val="22"/>
    </w:rPr>
  </w:style>
  <w:style w:type="paragraph" w:customStyle="1" w:styleId="179">
    <w:name w:val="Char1 Char Char Char Char Char Char Char Char Char Char Char Char"/>
    <w:basedOn w:val="1"/>
    <w:qFormat/>
    <w:uiPriority w:val="0"/>
    <w:rPr>
      <w:rFonts w:ascii="Tahoma" w:hAnsi="Tahoma"/>
      <w:sz w:val="24"/>
      <w:szCs w:val="20"/>
    </w:rPr>
  </w:style>
  <w:style w:type="paragraph" w:customStyle="1" w:styleId="180">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1">
    <w:name w:val="p0"/>
    <w:basedOn w:val="1"/>
    <w:qFormat/>
    <w:uiPriority w:val="0"/>
    <w:pPr>
      <w:widowControl/>
    </w:pPr>
    <w:rPr>
      <w:kern w:val="0"/>
      <w:szCs w:val="21"/>
    </w:rPr>
  </w:style>
  <w:style w:type="paragraph" w:customStyle="1" w:styleId="182">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3">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4">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5">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6">
    <w:name w:val="pa-5"/>
    <w:basedOn w:val="1"/>
    <w:qFormat/>
    <w:uiPriority w:val="0"/>
    <w:pPr>
      <w:widowControl/>
      <w:spacing w:line="240" w:lineRule="atLeast"/>
      <w:ind w:firstLine="420"/>
    </w:pPr>
    <w:rPr>
      <w:rFonts w:ascii="宋体" w:hAnsi="宋体" w:cs="宋体"/>
      <w:kern w:val="0"/>
      <w:sz w:val="24"/>
    </w:rPr>
  </w:style>
  <w:style w:type="paragraph" w:customStyle="1" w:styleId="187">
    <w:name w:val="默认段落字体 Para Char Char Char1 Char"/>
    <w:basedOn w:val="1"/>
    <w:qFormat/>
    <w:uiPriority w:val="0"/>
    <w:rPr>
      <w:rFonts w:ascii="Tahoma" w:hAnsi="Tahoma"/>
      <w:sz w:val="24"/>
      <w:szCs w:val="20"/>
    </w:rPr>
  </w:style>
  <w:style w:type="paragraph" w:customStyle="1" w:styleId="188">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9">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0">
    <w:name w:val="444"/>
    <w:basedOn w:val="1"/>
    <w:qFormat/>
    <w:uiPriority w:val="0"/>
    <w:pPr>
      <w:adjustRightInd w:val="0"/>
      <w:spacing w:line="312" w:lineRule="atLeast"/>
      <w:jc w:val="center"/>
      <w:textAlignment w:val="baseline"/>
    </w:pPr>
    <w:rPr>
      <w:b/>
      <w:kern w:val="0"/>
      <w:sz w:val="36"/>
      <w:szCs w:val="36"/>
    </w:rPr>
  </w:style>
  <w:style w:type="paragraph" w:customStyle="1" w:styleId="191">
    <w:name w:val="列表1"/>
    <w:basedOn w:val="192"/>
    <w:qFormat/>
    <w:uiPriority w:val="0"/>
    <w:pPr>
      <w:tabs>
        <w:tab w:val="left" w:pos="900"/>
      </w:tabs>
      <w:ind w:left="900" w:hanging="420"/>
    </w:pPr>
    <w:rPr>
      <w:rFonts w:ascii="Times New Roman" w:hAnsi="Times New Roman"/>
      <w:szCs w:val="20"/>
    </w:rPr>
  </w:style>
  <w:style w:type="paragraph" w:customStyle="1" w:styleId="192">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193">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4">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19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6">
    <w:name w:val="样式 Verdana 首行缩进:  0.74 厘米"/>
    <w:basedOn w:val="1"/>
    <w:qFormat/>
    <w:uiPriority w:val="0"/>
    <w:pPr>
      <w:spacing w:line="360" w:lineRule="auto"/>
      <w:ind w:firstLine="420"/>
    </w:pPr>
    <w:rPr>
      <w:rFonts w:ascii="Verdana" w:hAnsi="Verdana"/>
      <w:sz w:val="24"/>
      <w:szCs w:val="20"/>
    </w:rPr>
  </w:style>
  <w:style w:type="paragraph" w:customStyle="1" w:styleId="197">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8">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199">
    <w:name w:val="列出段落1"/>
    <w:basedOn w:val="1"/>
    <w:qFormat/>
    <w:uiPriority w:val="0"/>
    <w:pPr>
      <w:ind w:firstLine="420" w:firstLineChars="200"/>
    </w:pPr>
    <w:rPr>
      <w:rFonts w:ascii="Calibri" w:hAnsi="Calibri"/>
      <w:szCs w:val="22"/>
    </w:rPr>
  </w:style>
  <w:style w:type="paragraph" w:customStyle="1" w:styleId="200">
    <w:name w:val="_Style 2"/>
    <w:basedOn w:val="1"/>
    <w:qFormat/>
    <w:uiPriority w:val="0"/>
    <w:pPr>
      <w:ind w:firstLine="420" w:firstLineChars="200"/>
    </w:pPr>
  </w:style>
  <w:style w:type="paragraph" w:customStyle="1" w:styleId="201">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02">
    <w:name w:val="Char"/>
    <w:basedOn w:val="1"/>
    <w:qFormat/>
    <w:uiPriority w:val="0"/>
  </w:style>
  <w:style w:type="paragraph" w:customStyle="1" w:styleId="203">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4">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5">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6">
    <w:name w:val="Char Char Char Char"/>
    <w:basedOn w:val="1"/>
    <w:qFormat/>
    <w:uiPriority w:val="0"/>
  </w:style>
  <w:style w:type="paragraph" w:customStyle="1" w:styleId="207">
    <w:name w:val="1"/>
    <w:basedOn w:val="1"/>
    <w:next w:val="27"/>
    <w:qFormat/>
    <w:uiPriority w:val="0"/>
    <w:rPr>
      <w:rFonts w:ascii="宋体" w:hAnsi="Courier New"/>
      <w:szCs w:val="20"/>
    </w:rPr>
  </w:style>
  <w:style w:type="paragraph" w:customStyle="1" w:styleId="208">
    <w:name w:val="Char Char Char Char1"/>
    <w:basedOn w:val="1"/>
    <w:qFormat/>
    <w:uiPriority w:val="0"/>
  </w:style>
  <w:style w:type="paragraph" w:customStyle="1" w:styleId="209">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1">
    <w:name w:val="pa-3"/>
    <w:basedOn w:val="1"/>
    <w:qFormat/>
    <w:uiPriority w:val="0"/>
    <w:pPr>
      <w:widowControl/>
      <w:spacing w:line="240" w:lineRule="atLeast"/>
    </w:pPr>
    <w:rPr>
      <w:rFonts w:ascii="宋体" w:hAnsi="宋体" w:cs="宋体"/>
      <w:kern w:val="0"/>
      <w:sz w:val="24"/>
    </w:rPr>
  </w:style>
  <w:style w:type="paragraph" w:customStyle="1" w:styleId="212">
    <w:name w:val="规范正文"/>
    <w:basedOn w:val="1"/>
    <w:qFormat/>
    <w:uiPriority w:val="0"/>
    <w:pPr>
      <w:adjustRightInd w:val="0"/>
      <w:spacing w:line="360" w:lineRule="auto"/>
      <w:ind w:left="480"/>
      <w:textAlignment w:val="baseline"/>
    </w:pPr>
    <w:rPr>
      <w:kern w:val="0"/>
      <w:sz w:val="24"/>
      <w:szCs w:val="20"/>
    </w:rPr>
  </w:style>
  <w:style w:type="paragraph" w:customStyle="1" w:styleId="213">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4">
    <w:name w:val="pa-2"/>
    <w:basedOn w:val="1"/>
    <w:qFormat/>
    <w:uiPriority w:val="0"/>
    <w:pPr>
      <w:widowControl/>
      <w:spacing w:line="280" w:lineRule="atLeast"/>
      <w:ind w:firstLine="420"/>
    </w:pPr>
    <w:rPr>
      <w:rFonts w:ascii="宋体" w:hAnsi="宋体" w:cs="宋体"/>
      <w:kern w:val="0"/>
      <w:sz w:val="24"/>
    </w:rPr>
  </w:style>
  <w:style w:type="paragraph" w:customStyle="1" w:styleId="215">
    <w:name w:val="Char1"/>
    <w:basedOn w:val="17"/>
    <w:qFormat/>
    <w:uiPriority w:val="0"/>
    <w:pPr>
      <w:widowControl/>
      <w:ind w:firstLine="454"/>
      <w:jc w:val="left"/>
    </w:pPr>
    <w:rPr>
      <w:rFonts w:ascii="Tahoma" w:hAnsi="Tahoma" w:cs="宋体"/>
      <w:kern w:val="0"/>
      <w:sz w:val="24"/>
      <w:szCs w:val="20"/>
    </w:rPr>
  </w:style>
  <w:style w:type="paragraph" w:customStyle="1" w:styleId="216">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7">
    <w:name w:val="正文1"/>
    <w:basedOn w:val="1"/>
    <w:qFormat/>
    <w:uiPriority w:val="0"/>
    <w:pPr>
      <w:widowControl/>
      <w:overflowPunct w:val="0"/>
      <w:autoSpaceDE w:val="0"/>
      <w:autoSpaceDN w:val="0"/>
      <w:adjustRightInd w:val="0"/>
    </w:pPr>
    <w:rPr>
      <w:rFonts w:ascii="宋体"/>
      <w:kern w:val="0"/>
      <w:szCs w:val="20"/>
    </w:rPr>
  </w:style>
  <w:style w:type="paragraph" w:customStyle="1" w:styleId="218">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19">
    <w:name w:val="正文首行缩进两字符"/>
    <w:basedOn w:val="1"/>
    <w:qFormat/>
    <w:uiPriority w:val="0"/>
    <w:pPr>
      <w:spacing w:line="360" w:lineRule="auto"/>
      <w:ind w:firstLine="200" w:firstLineChars="200"/>
    </w:pPr>
  </w:style>
  <w:style w:type="paragraph" w:customStyle="1" w:styleId="220">
    <w:name w:val="一级条标题"/>
    <w:next w:val="176"/>
    <w:qFormat/>
    <w:uiPriority w:val="0"/>
    <w:pPr>
      <w:ind w:left="284"/>
      <w:outlineLvl w:val="2"/>
    </w:pPr>
    <w:rPr>
      <w:rFonts w:ascii="Times New Roman" w:hAnsi="Times New Roman" w:eastAsia="黑体" w:cs="Times New Roman"/>
      <w:sz w:val="21"/>
      <w:lang w:val="en-US" w:eastAsia="zh-CN" w:bidi="ar-SA"/>
    </w:rPr>
  </w:style>
  <w:style w:type="paragraph" w:customStyle="1" w:styleId="221">
    <w:name w:val="1."/>
    <w:basedOn w:val="1"/>
    <w:qFormat/>
    <w:uiPriority w:val="0"/>
    <w:pPr>
      <w:spacing w:line="360" w:lineRule="auto"/>
      <w:ind w:firstLine="480" w:firstLineChars="200"/>
    </w:pPr>
    <w:rPr>
      <w:rFonts w:ascii="宋体" w:hAnsi="宋体"/>
      <w:sz w:val="24"/>
    </w:rPr>
  </w:style>
  <w:style w:type="paragraph" w:customStyle="1" w:styleId="222">
    <w:name w:val="样式 首行缩进:  2 字符"/>
    <w:basedOn w:val="1"/>
    <w:qFormat/>
    <w:uiPriority w:val="0"/>
    <w:pPr>
      <w:spacing w:line="400" w:lineRule="exact"/>
      <w:ind w:firstLine="200" w:firstLineChars="200"/>
    </w:pPr>
    <w:rPr>
      <w:rFonts w:cs="宋体"/>
      <w:sz w:val="24"/>
    </w:rPr>
  </w:style>
  <w:style w:type="paragraph" w:customStyle="1" w:styleId="223">
    <w:name w:val="Char Char3 Char Char"/>
    <w:basedOn w:val="1"/>
    <w:qFormat/>
    <w:uiPriority w:val="0"/>
  </w:style>
  <w:style w:type="paragraph" w:customStyle="1" w:styleId="224">
    <w:name w:val="Char12"/>
    <w:basedOn w:val="1"/>
    <w:qFormat/>
    <w:uiPriority w:val="0"/>
    <w:rPr>
      <w:szCs w:val="21"/>
    </w:rPr>
  </w:style>
  <w:style w:type="paragraph" w:customStyle="1" w:styleId="225">
    <w:name w:val="F2"/>
    <w:basedOn w:val="1"/>
    <w:qFormat/>
    <w:uiPriority w:val="0"/>
    <w:pPr>
      <w:autoSpaceDE w:val="0"/>
      <w:autoSpaceDN w:val="0"/>
      <w:adjustRightInd w:val="0"/>
      <w:ind w:firstLine="601"/>
      <w:textAlignment w:val="baseline"/>
    </w:pPr>
    <w:rPr>
      <w:kern w:val="0"/>
      <w:sz w:val="24"/>
      <w:szCs w:val="20"/>
    </w:rPr>
  </w:style>
  <w:style w:type="paragraph" w:customStyle="1" w:styleId="226">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7">
    <w:name w:val="样式6"/>
    <w:basedOn w:val="7"/>
    <w:qFormat/>
    <w:uiPriority w:val="0"/>
    <w:pPr>
      <w:numPr>
        <w:numId w:val="0"/>
      </w:numPr>
      <w:spacing w:line="360" w:lineRule="auto"/>
      <w:ind w:left="210" w:leftChars="100"/>
    </w:pPr>
    <w:rPr>
      <w:rFonts w:ascii="宋体" w:hAnsi="宋体" w:cs="Arial"/>
      <w:bCs/>
      <w:sz w:val="24"/>
    </w:rPr>
  </w:style>
  <w:style w:type="paragraph" w:customStyle="1" w:styleId="228">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9">
    <w:name w:val="Tabletext"/>
    <w:basedOn w:val="1"/>
    <w:qFormat/>
    <w:uiPriority w:val="0"/>
    <w:pPr>
      <w:keepLines/>
      <w:spacing w:after="120" w:line="240" w:lineRule="atLeast"/>
      <w:jc w:val="left"/>
    </w:pPr>
    <w:rPr>
      <w:rFonts w:ascii="宋体"/>
      <w:snapToGrid w:val="0"/>
      <w:kern w:val="0"/>
      <w:sz w:val="20"/>
      <w:szCs w:val="20"/>
    </w:rPr>
  </w:style>
  <w:style w:type="paragraph" w:customStyle="1" w:styleId="230">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231">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32">
    <w:name w:val="默认段落字体 Para Char Char Char Char Char Char Char Char Char1 Char Char Char Char"/>
    <w:basedOn w:val="1"/>
    <w:qFormat/>
    <w:uiPriority w:val="0"/>
    <w:rPr>
      <w:rFonts w:ascii="Tahoma" w:hAnsi="Tahoma"/>
      <w:sz w:val="24"/>
      <w:szCs w:val="20"/>
    </w:rPr>
  </w:style>
  <w:style w:type="paragraph" w:customStyle="1" w:styleId="233">
    <w:name w:val="2-2ji"/>
    <w:basedOn w:val="4"/>
    <w:qFormat/>
    <w:uiPriority w:val="0"/>
    <w:pPr>
      <w:keepLines/>
      <w:spacing w:before="0"/>
      <w:textAlignment w:val="baseline"/>
    </w:pPr>
    <w:rPr>
      <w:rFonts w:ascii="宋体" w:hAnsi="宋体" w:eastAsia="宋体"/>
      <w:sz w:val="36"/>
      <w:szCs w:val="32"/>
    </w:rPr>
  </w:style>
  <w:style w:type="paragraph" w:customStyle="1" w:styleId="234">
    <w:name w:val="表格文字"/>
    <w:basedOn w:val="1"/>
    <w:qFormat/>
    <w:uiPriority w:val="99"/>
    <w:pPr>
      <w:spacing w:before="25" w:after="25"/>
      <w:jc w:val="left"/>
    </w:pPr>
    <w:rPr>
      <w:bCs/>
      <w:spacing w:val="10"/>
      <w:kern w:val="0"/>
      <w:sz w:val="24"/>
    </w:rPr>
  </w:style>
  <w:style w:type="paragraph" w:customStyle="1" w:styleId="235">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6">
    <w:name w:val="正文首行缩进 2 Char"/>
    <w:basedOn w:val="73"/>
    <w:link w:val="50"/>
    <w:semiHidden/>
    <w:qFormat/>
    <w:uiPriority w:val="0"/>
    <w:rPr>
      <w:kern w:val="2"/>
      <w:sz w:val="21"/>
      <w:szCs w:val="24"/>
    </w:rPr>
  </w:style>
  <w:style w:type="paragraph" w:customStyle="1" w:styleId="237">
    <w:name w:val="Table Text"/>
    <w:basedOn w:val="1"/>
    <w:semiHidden/>
    <w:qFormat/>
    <w:uiPriority w:val="0"/>
    <w:rPr>
      <w:rFonts w:ascii="宋体" w:hAnsi="宋体" w:cs="宋体"/>
      <w:sz w:val="19"/>
      <w:szCs w:val="19"/>
      <w:lang w:eastAsia="en-US"/>
    </w:rPr>
  </w:style>
  <w:style w:type="table" w:customStyle="1" w:styleId="238">
    <w:name w:val="Table Normal"/>
    <w:semiHidden/>
    <w:unhideWhenUsed/>
    <w:qFormat/>
    <w:uiPriority w:val="0"/>
    <w:tblPr>
      <w:tblCellMar>
        <w:top w:w="0" w:type="dxa"/>
        <w:left w:w="0" w:type="dxa"/>
        <w:bottom w:w="0" w:type="dxa"/>
        <w:right w:w="0" w:type="dxa"/>
      </w:tblCellMar>
    </w:tblPr>
  </w:style>
  <w:style w:type="paragraph" w:customStyle="1" w:styleId="239">
    <w:name w:val="Normal_file_1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40">
    <w:name w:val="heading 1_file_188"/>
    <w:basedOn w:val="239"/>
    <w:qFormat/>
    <w:uiPriority w:val="9"/>
    <w:pPr>
      <w:outlineLvl w:val="0"/>
    </w:pPr>
    <w:rPr>
      <w:kern w:val="36"/>
      <w:sz w:val="48"/>
      <w:szCs w:val="48"/>
    </w:rPr>
  </w:style>
  <w:style w:type="paragraph" w:customStyle="1" w:styleId="241">
    <w:name w:val="heading 2_file_188"/>
    <w:basedOn w:val="239"/>
    <w:qFormat/>
    <w:uiPriority w:val="9"/>
    <w:pPr>
      <w:outlineLvl w:val="1"/>
    </w:pPr>
    <w:rPr>
      <w:sz w:val="36"/>
      <w:szCs w:val="36"/>
    </w:rPr>
  </w:style>
  <w:style w:type="paragraph" w:customStyle="1" w:styleId="242">
    <w:name w:val="heading 3_file_188"/>
    <w:basedOn w:val="239"/>
    <w:qFormat/>
    <w:uiPriority w:val="9"/>
    <w:pPr>
      <w:outlineLvl w:val="2"/>
    </w:pPr>
    <w:rPr>
      <w:sz w:val="27"/>
      <w:szCs w:val="27"/>
    </w:rPr>
  </w:style>
  <w:style w:type="paragraph" w:customStyle="1" w:styleId="243">
    <w:name w:val="heading 4_file_188"/>
    <w:basedOn w:val="239"/>
    <w:qFormat/>
    <w:uiPriority w:val="9"/>
    <w:pPr>
      <w:outlineLvl w:val="3"/>
    </w:pPr>
  </w:style>
  <w:style w:type="paragraph" w:customStyle="1" w:styleId="244">
    <w:name w:val="heading 5_file_188"/>
    <w:basedOn w:val="239"/>
    <w:qFormat/>
    <w:uiPriority w:val="9"/>
    <w:pPr>
      <w:outlineLvl w:val="4"/>
    </w:pPr>
    <w:rPr>
      <w:sz w:val="20"/>
      <w:szCs w:val="20"/>
    </w:rPr>
  </w:style>
  <w:style w:type="paragraph" w:customStyle="1" w:styleId="245">
    <w:name w:val="heading 6_file_188"/>
    <w:basedOn w:val="239"/>
    <w:qFormat/>
    <w:uiPriority w:val="9"/>
    <w:pPr>
      <w:outlineLvl w:val="5"/>
    </w:pPr>
    <w:rPr>
      <w:sz w:val="15"/>
      <w:szCs w:val="15"/>
    </w:rPr>
  </w:style>
  <w:style w:type="character" w:customStyle="1" w:styleId="246">
    <w:name w:val="Default Paragraph Font_file_188"/>
    <w:semiHidden/>
    <w:unhideWhenUsed/>
    <w:qFormat/>
    <w:uiPriority w:val="1"/>
  </w:style>
  <w:style w:type="table" w:customStyle="1" w:styleId="247">
    <w:name w:val="Normal Table_file_188"/>
    <w:semiHidden/>
    <w:unhideWhenUsed/>
    <w:qFormat/>
    <w:uiPriority w:val="99"/>
    <w:tblPr>
      <w:tblCellMar>
        <w:top w:w="0" w:type="dxa"/>
        <w:left w:w="108" w:type="dxa"/>
        <w:bottom w:w="0" w:type="dxa"/>
        <w:right w:w="108" w:type="dxa"/>
      </w:tblCellMar>
    </w:tblPr>
  </w:style>
  <w:style w:type="character" w:customStyle="1" w:styleId="248">
    <w:name w:val="Hyperlink_file_188"/>
    <w:basedOn w:val="246"/>
    <w:semiHidden/>
    <w:unhideWhenUsed/>
    <w:qFormat/>
    <w:uiPriority w:val="99"/>
    <w:rPr>
      <w:color w:val="0782C1"/>
      <w:u w:val="single"/>
    </w:rPr>
  </w:style>
  <w:style w:type="character" w:customStyle="1" w:styleId="249">
    <w:name w:val="FollowedHyperlink_file_188"/>
    <w:basedOn w:val="246"/>
    <w:semiHidden/>
    <w:unhideWhenUsed/>
    <w:qFormat/>
    <w:uiPriority w:val="99"/>
    <w:rPr>
      <w:color w:val="0782C1"/>
      <w:u w:val="single"/>
    </w:rPr>
  </w:style>
  <w:style w:type="character" w:customStyle="1" w:styleId="250">
    <w:name w:val="标题 1 Char_file_188"/>
    <w:basedOn w:val="246"/>
    <w:qFormat/>
    <w:uiPriority w:val="9"/>
    <w:rPr>
      <w:rFonts w:ascii="宋体" w:hAnsi="宋体" w:eastAsia="宋体" w:cs="宋体"/>
      <w:b/>
      <w:bCs/>
      <w:kern w:val="44"/>
      <w:sz w:val="44"/>
      <w:szCs w:val="44"/>
    </w:rPr>
  </w:style>
  <w:style w:type="character" w:customStyle="1" w:styleId="251">
    <w:name w:val="标题 2 Char_file_188"/>
    <w:basedOn w:val="246"/>
    <w:semiHidden/>
    <w:qFormat/>
    <w:uiPriority w:val="9"/>
    <w:rPr>
      <w:rFonts w:asciiTheme="majorHAnsi" w:hAnsiTheme="majorHAnsi" w:eastAsiaTheme="majorEastAsia" w:cstheme="majorBidi"/>
      <w:b/>
      <w:bCs/>
      <w:sz w:val="32"/>
      <w:szCs w:val="32"/>
    </w:rPr>
  </w:style>
  <w:style w:type="character" w:customStyle="1" w:styleId="252">
    <w:name w:val="标题 3 Char_file_188"/>
    <w:basedOn w:val="246"/>
    <w:semiHidden/>
    <w:qFormat/>
    <w:uiPriority w:val="9"/>
    <w:rPr>
      <w:rFonts w:ascii="宋体" w:hAnsi="宋体" w:eastAsia="宋体" w:cs="宋体"/>
      <w:b/>
      <w:bCs/>
      <w:sz w:val="32"/>
      <w:szCs w:val="32"/>
    </w:rPr>
  </w:style>
  <w:style w:type="character" w:customStyle="1" w:styleId="253">
    <w:name w:val="标题 4 Char_file_188"/>
    <w:basedOn w:val="246"/>
    <w:semiHidden/>
    <w:qFormat/>
    <w:uiPriority w:val="9"/>
    <w:rPr>
      <w:rFonts w:asciiTheme="majorHAnsi" w:hAnsiTheme="majorHAnsi" w:eastAsiaTheme="majorEastAsia" w:cstheme="majorBidi"/>
      <w:b/>
      <w:bCs/>
      <w:sz w:val="28"/>
      <w:szCs w:val="28"/>
    </w:rPr>
  </w:style>
  <w:style w:type="character" w:customStyle="1" w:styleId="254">
    <w:name w:val="标题 5 Char_file_188"/>
    <w:basedOn w:val="246"/>
    <w:semiHidden/>
    <w:qFormat/>
    <w:uiPriority w:val="9"/>
    <w:rPr>
      <w:rFonts w:ascii="宋体" w:hAnsi="宋体" w:eastAsia="宋体" w:cs="宋体"/>
      <w:b/>
      <w:bCs/>
      <w:sz w:val="28"/>
      <w:szCs w:val="28"/>
    </w:rPr>
  </w:style>
  <w:style w:type="character" w:customStyle="1" w:styleId="255">
    <w:name w:val="标题 6 Char_file_188"/>
    <w:basedOn w:val="246"/>
    <w:semiHidden/>
    <w:qFormat/>
    <w:uiPriority w:val="9"/>
    <w:rPr>
      <w:rFonts w:asciiTheme="majorHAnsi" w:hAnsiTheme="majorHAnsi" w:eastAsiaTheme="majorEastAsia" w:cstheme="majorBidi"/>
      <w:b/>
      <w:bCs/>
      <w:sz w:val="24"/>
      <w:szCs w:val="24"/>
    </w:rPr>
  </w:style>
  <w:style w:type="paragraph" w:customStyle="1" w:styleId="256">
    <w:name w:val="cke_editable_file_188"/>
    <w:basedOn w:val="239"/>
    <w:qFormat/>
    <w:uiPriority w:val="0"/>
    <w:rPr>
      <w:rFonts w:ascii="仿宋_GB2312" w:eastAsia="仿宋_GB2312"/>
    </w:rPr>
  </w:style>
  <w:style w:type="paragraph" w:customStyle="1" w:styleId="257">
    <w:name w:val="marker_file_188"/>
    <w:basedOn w:val="239"/>
    <w:qFormat/>
    <w:uiPriority w:val="0"/>
    <w:pPr>
      <w:shd w:val="clear" w:color="auto" w:fill="FFFF00"/>
    </w:pPr>
  </w:style>
  <w:style w:type="paragraph" w:customStyle="1" w:styleId="258">
    <w:name w:val="Normal (Web)_file_188"/>
    <w:basedOn w:val="239"/>
    <w:semiHidden/>
    <w:unhideWhenUsed/>
    <w:qFormat/>
    <w:uiPriority w:val="99"/>
  </w:style>
  <w:style w:type="paragraph" w:customStyle="1" w:styleId="259">
    <w:name w:val="Normal_file_1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0">
    <w:name w:val="heading 1_file_189"/>
    <w:basedOn w:val="259"/>
    <w:qFormat/>
    <w:uiPriority w:val="9"/>
    <w:pPr>
      <w:outlineLvl w:val="0"/>
    </w:pPr>
    <w:rPr>
      <w:kern w:val="36"/>
      <w:sz w:val="48"/>
      <w:szCs w:val="48"/>
    </w:rPr>
  </w:style>
  <w:style w:type="paragraph" w:customStyle="1" w:styleId="261">
    <w:name w:val="heading 2_file_189"/>
    <w:basedOn w:val="259"/>
    <w:qFormat/>
    <w:uiPriority w:val="9"/>
    <w:pPr>
      <w:outlineLvl w:val="1"/>
    </w:pPr>
    <w:rPr>
      <w:sz w:val="36"/>
      <w:szCs w:val="36"/>
    </w:rPr>
  </w:style>
  <w:style w:type="paragraph" w:customStyle="1" w:styleId="262">
    <w:name w:val="heading 3_file_189"/>
    <w:basedOn w:val="259"/>
    <w:qFormat/>
    <w:uiPriority w:val="9"/>
    <w:pPr>
      <w:outlineLvl w:val="2"/>
    </w:pPr>
    <w:rPr>
      <w:sz w:val="27"/>
      <w:szCs w:val="27"/>
    </w:rPr>
  </w:style>
  <w:style w:type="paragraph" w:customStyle="1" w:styleId="263">
    <w:name w:val="heading 4_file_189"/>
    <w:basedOn w:val="259"/>
    <w:qFormat/>
    <w:uiPriority w:val="9"/>
    <w:pPr>
      <w:outlineLvl w:val="3"/>
    </w:pPr>
  </w:style>
  <w:style w:type="paragraph" w:customStyle="1" w:styleId="264">
    <w:name w:val="heading 5_file_189"/>
    <w:basedOn w:val="259"/>
    <w:qFormat/>
    <w:uiPriority w:val="9"/>
    <w:pPr>
      <w:outlineLvl w:val="4"/>
    </w:pPr>
    <w:rPr>
      <w:sz w:val="20"/>
      <w:szCs w:val="20"/>
    </w:rPr>
  </w:style>
  <w:style w:type="paragraph" w:customStyle="1" w:styleId="265">
    <w:name w:val="heading 6_file_189"/>
    <w:basedOn w:val="259"/>
    <w:qFormat/>
    <w:uiPriority w:val="9"/>
    <w:pPr>
      <w:outlineLvl w:val="5"/>
    </w:pPr>
    <w:rPr>
      <w:sz w:val="15"/>
      <w:szCs w:val="15"/>
    </w:rPr>
  </w:style>
  <w:style w:type="character" w:customStyle="1" w:styleId="266">
    <w:name w:val="Default Paragraph Font_file_189"/>
    <w:semiHidden/>
    <w:unhideWhenUsed/>
    <w:qFormat/>
    <w:uiPriority w:val="1"/>
  </w:style>
  <w:style w:type="table" w:customStyle="1" w:styleId="267">
    <w:name w:val="Normal Table_file_189"/>
    <w:semiHidden/>
    <w:unhideWhenUsed/>
    <w:qFormat/>
    <w:uiPriority w:val="99"/>
    <w:tblPr>
      <w:tblCellMar>
        <w:top w:w="0" w:type="dxa"/>
        <w:left w:w="108" w:type="dxa"/>
        <w:bottom w:w="0" w:type="dxa"/>
        <w:right w:w="108" w:type="dxa"/>
      </w:tblCellMar>
    </w:tblPr>
  </w:style>
  <w:style w:type="character" w:customStyle="1" w:styleId="268">
    <w:name w:val="Hyperlink_file_189"/>
    <w:basedOn w:val="266"/>
    <w:semiHidden/>
    <w:unhideWhenUsed/>
    <w:qFormat/>
    <w:uiPriority w:val="99"/>
    <w:rPr>
      <w:color w:val="0782C1"/>
      <w:u w:val="single"/>
    </w:rPr>
  </w:style>
  <w:style w:type="character" w:customStyle="1" w:styleId="269">
    <w:name w:val="FollowedHyperlink_file_189"/>
    <w:basedOn w:val="266"/>
    <w:semiHidden/>
    <w:unhideWhenUsed/>
    <w:qFormat/>
    <w:uiPriority w:val="99"/>
    <w:rPr>
      <w:color w:val="0782C1"/>
      <w:u w:val="single"/>
    </w:rPr>
  </w:style>
  <w:style w:type="character" w:customStyle="1" w:styleId="270">
    <w:name w:val="标题 1 Char_file_189"/>
    <w:basedOn w:val="266"/>
    <w:qFormat/>
    <w:uiPriority w:val="9"/>
    <w:rPr>
      <w:rFonts w:ascii="宋体" w:hAnsi="宋体" w:eastAsia="宋体" w:cs="宋体"/>
      <w:b/>
      <w:bCs/>
      <w:kern w:val="44"/>
      <w:sz w:val="44"/>
      <w:szCs w:val="44"/>
    </w:rPr>
  </w:style>
  <w:style w:type="character" w:customStyle="1" w:styleId="271">
    <w:name w:val="标题 2 Char_file_189"/>
    <w:basedOn w:val="266"/>
    <w:semiHidden/>
    <w:qFormat/>
    <w:uiPriority w:val="9"/>
    <w:rPr>
      <w:rFonts w:asciiTheme="majorHAnsi" w:hAnsiTheme="majorHAnsi" w:eastAsiaTheme="majorEastAsia" w:cstheme="majorBidi"/>
      <w:b/>
      <w:bCs/>
      <w:sz w:val="32"/>
      <w:szCs w:val="32"/>
    </w:rPr>
  </w:style>
  <w:style w:type="character" w:customStyle="1" w:styleId="272">
    <w:name w:val="标题 3 Char_file_189"/>
    <w:basedOn w:val="266"/>
    <w:semiHidden/>
    <w:qFormat/>
    <w:uiPriority w:val="9"/>
    <w:rPr>
      <w:rFonts w:ascii="宋体" w:hAnsi="宋体" w:eastAsia="宋体" w:cs="宋体"/>
      <w:b/>
      <w:bCs/>
      <w:sz w:val="32"/>
      <w:szCs w:val="32"/>
    </w:rPr>
  </w:style>
  <w:style w:type="character" w:customStyle="1" w:styleId="273">
    <w:name w:val="标题 4 Char_file_189"/>
    <w:basedOn w:val="266"/>
    <w:semiHidden/>
    <w:qFormat/>
    <w:uiPriority w:val="9"/>
    <w:rPr>
      <w:rFonts w:asciiTheme="majorHAnsi" w:hAnsiTheme="majorHAnsi" w:eastAsiaTheme="majorEastAsia" w:cstheme="majorBidi"/>
      <w:b/>
      <w:bCs/>
      <w:sz w:val="28"/>
      <w:szCs w:val="28"/>
    </w:rPr>
  </w:style>
  <w:style w:type="character" w:customStyle="1" w:styleId="274">
    <w:name w:val="标题 5 Char_file_189"/>
    <w:basedOn w:val="266"/>
    <w:semiHidden/>
    <w:qFormat/>
    <w:uiPriority w:val="9"/>
    <w:rPr>
      <w:rFonts w:ascii="宋体" w:hAnsi="宋体" w:eastAsia="宋体" w:cs="宋体"/>
      <w:b/>
      <w:bCs/>
      <w:sz w:val="28"/>
      <w:szCs w:val="28"/>
    </w:rPr>
  </w:style>
  <w:style w:type="character" w:customStyle="1" w:styleId="275">
    <w:name w:val="标题 6 Char_file_189"/>
    <w:basedOn w:val="266"/>
    <w:semiHidden/>
    <w:qFormat/>
    <w:uiPriority w:val="9"/>
    <w:rPr>
      <w:rFonts w:asciiTheme="majorHAnsi" w:hAnsiTheme="majorHAnsi" w:eastAsiaTheme="majorEastAsia" w:cstheme="majorBidi"/>
      <w:b/>
      <w:bCs/>
      <w:sz w:val="24"/>
      <w:szCs w:val="24"/>
    </w:rPr>
  </w:style>
  <w:style w:type="paragraph" w:customStyle="1" w:styleId="276">
    <w:name w:val="cke_editable_file_189"/>
    <w:basedOn w:val="259"/>
    <w:qFormat/>
    <w:uiPriority w:val="0"/>
    <w:rPr>
      <w:rFonts w:ascii="仿宋_GB2312" w:eastAsia="仿宋_GB2312"/>
    </w:rPr>
  </w:style>
  <w:style w:type="paragraph" w:customStyle="1" w:styleId="277">
    <w:name w:val="marker_file_189"/>
    <w:basedOn w:val="259"/>
    <w:qFormat/>
    <w:uiPriority w:val="0"/>
    <w:pPr>
      <w:shd w:val="clear" w:color="auto" w:fill="FFFF00"/>
    </w:pPr>
  </w:style>
  <w:style w:type="paragraph" w:customStyle="1" w:styleId="278">
    <w:name w:val="Normal (Web)_file_189"/>
    <w:basedOn w:val="259"/>
    <w:semiHidden/>
    <w:unhideWhenUsed/>
    <w:qFormat/>
    <w:uiPriority w:val="99"/>
  </w:style>
  <w:style w:type="paragraph" w:customStyle="1" w:styleId="279">
    <w:name w:val="Normal_file_1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0">
    <w:name w:val="heading 1_file_190"/>
    <w:basedOn w:val="279"/>
    <w:qFormat/>
    <w:uiPriority w:val="9"/>
    <w:pPr>
      <w:outlineLvl w:val="0"/>
    </w:pPr>
    <w:rPr>
      <w:kern w:val="36"/>
      <w:sz w:val="48"/>
      <w:szCs w:val="48"/>
    </w:rPr>
  </w:style>
  <w:style w:type="paragraph" w:customStyle="1" w:styleId="281">
    <w:name w:val="heading 2_file_190"/>
    <w:basedOn w:val="279"/>
    <w:qFormat/>
    <w:uiPriority w:val="9"/>
    <w:pPr>
      <w:outlineLvl w:val="1"/>
    </w:pPr>
    <w:rPr>
      <w:sz w:val="36"/>
      <w:szCs w:val="36"/>
    </w:rPr>
  </w:style>
  <w:style w:type="paragraph" w:customStyle="1" w:styleId="282">
    <w:name w:val="heading 3_file_190"/>
    <w:basedOn w:val="279"/>
    <w:qFormat/>
    <w:uiPriority w:val="9"/>
    <w:pPr>
      <w:outlineLvl w:val="2"/>
    </w:pPr>
    <w:rPr>
      <w:sz w:val="27"/>
      <w:szCs w:val="27"/>
    </w:rPr>
  </w:style>
  <w:style w:type="paragraph" w:customStyle="1" w:styleId="283">
    <w:name w:val="heading 4_file_190"/>
    <w:basedOn w:val="279"/>
    <w:qFormat/>
    <w:uiPriority w:val="9"/>
    <w:pPr>
      <w:outlineLvl w:val="3"/>
    </w:pPr>
  </w:style>
  <w:style w:type="paragraph" w:customStyle="1" w:styleId="284">
    <w:name w:val="heading 5_file_190"/>
    <w:basedOn w:val="279"/>
    <w:qFormat/>
    <w:uiPriority w:val="9"/>
    <w:pPr>
      <w:outlineLvl w:val="4"/>
    </w:pPr>
    <w:rPr>
      <w:sz w:val="20"/>
      <w:szCs w:val="20"/>
    </w:rPr>
  </w:style>
  <w:style w:type="paragraph" w:customStyle="1" w:styleId="285">
    <w:name w:val="heading 6_file_190"/>
    <w:basedOn w:val="279"/>
    <w:qFormat/>
    <w:uiPriority w:val="9"/>
    <w:pPr>
      <w:outlineLvl w:val="5"/>
    </w:pPr>
    <w:rPr>
      <w:sz w:val="15"/>
      <w:szCs w:val="15"/>
    </w:rPr>
  </w:style>
  <w:style w:type="character" w:customStyle="1" w:styleId="286">
    <w:name w:val="Default Paragraph Font_file_190"/>
    <w:semiHidden/>
    <w:unhideWhenUsed/>
    <w:qFormat/>
    <w:uiPriority w:val="1"/>
  </w:style>
  <w:style w:type="table" w:customStyle="1" w:styleId="287">
    <w:name w:val="Normal Table_file_190"/>
    <w:semiHidden/>
    <w:unhideWhenUsed/>
    <w:qFormat/>
    <w:uiPriority w:val="99"/>
    <w:tblPr>
      <w:tblCellMar>
        <w:top w:w="0" w:type="dxa"/>
        <w:left w:w="108" w:type="dxa"/>
        <w:bottom w:w="0" w:type="dxa"/>
        <w:right w:w="108" w:type="dxa"/>
      </w:tblCellMar>
    </w:tblPr>
  </w:style>
  <w:style w:type="character" w:customStyle="1" w:styleId="288">
    <w:name w:val="Hyperlink_file_190"/>
    <w:basedOn w:val="286"/>
    <w:semiHidden/>
    <w:unhideWhenUsed/>
    <w:qFormat/>
    <w:uiPriority w:val="99"/>
    <w:rPr>
      <w:color w:val="0782C1"/>
      <w:u w:val="single"/>
    </w:rPr>
  </w:style>
  <w:style w:type="character" w:customStyle="1" w:styleId="289">
    <w:name w:val="FollowedHyperlink_file_190"/>
    <w:basedOn w:val="286"/>
    <w:semiHidden/>
    <w:unhideWhenUsed/>
    <w:qFormat/>
    <w:uiPriority w:val="99"/>
    <w:rPr>
      <w:color w:val="0782C1"/>
      <w:u w:val="single"/>
    </w:rPr>
  </w:style>
  <w:style w:type="character" w:customStyle="1" w:styleId="290">
    <w:name w:val="标题 1 Char_file_190"/>
    <w:basedOn w:val="286"/>
    <w:qFormat/>
    <w:uiPriority w:val="9"/>
    <w:rPr>
      <w:rFonts w:ascii="宋体" w:hAnsi="宋体" w:eastAsia="宋体" w:cs="宋体"/>
      <w:b/>
      <w:bCs/>
      <w:kern w:val="44"/>
      <w:sz w:val="44"/>
      <w:szCs w:val="44"/>
    </w:rPr>
  </w:style>
  <w:style w:type="character" w:customStyle="1" w:styleId="291">
    <w:name w:val="标题 2 Char_file_190"/>
    <w:basedOn w:val="286"/>
    <w:semiHidden/>
    <w:qFormat/>
    <w:uiPriority w:val="9"/>
    <w:rPr>
      <w:rFonts w:asciiTheme="majorHAnsi" w:hAnsiTheme="majorHAnsi" w:eastAsiaTheme="majorEastAsia" w:cstheme="majorBidi"/>
      <w:b/>
      <w:bCs/>
      <w:sz w:val="32"/>
      <w:szCs w:val="32"/>
    </w:rPr>
  </w:style>
  <w:style w:type="character" w:customStyle="1" w:styleId="292">
    <w:name w:val="标题 3 Char_file_190"/>
    <w:basedOn w:val="286"/>
    <w:semiHidden/>
    <w:qFormat/>
    <w:uiPriority w:val="9"/>
    <w:rPr>
      <w:rFonts w:ascii="宋体" w:hAnsi="宋体" w:eastAsia="宋体" w:cs="宋体"/>
      <w:b/>
      <w:bCs/>
      <w:sz w:val="32"/>
      <w:szCs w:val="32"/>
    </w:rPr>
  </w:style>
  <w:style w:type="character" w:customStyle="1" w:styleId="293">
    <w:name w:val="标题 4 Char_file_190"/>
    <w:basedOn w:val="286"/>
    <w:semiHidden/>
    <w:qFormat/>
    <w:uiPriority w:val="9"/>
    <w:rPr>
      <w:rFonts w:asciiTheme="majorHAnsi" w:hAnsiTheme="majorHAnsi" w:eastAsiaTheme="majorEastAsia" w:cstheme="majorBidi"/>
      <w:b/>
      <w:bCs/>
      <w:sz w:val="28"/>
      <w:szCs w:val="28"/>
    </w:rPr>
  </w:style>
  <w:style w:type="character" w:customStyle="1" w:styleId="294">
    <w:name w:val="标题 5 Char_file_190"/>
    <w:basedOn w:val="286"/>
    <w:semiHidden/>
    <w:qFormat/>
    <w:uiPriority w:val="9"/>
    <w:rPr>
      <w:rFonts w:ascii="宋体" w:hAnsi="宋体" w:eastAsia="宋体" w:cs="宋体"/>
      <w:b/>
      <w:bCs/>
      <w:sz w:val="28"/>
      <w:szCs w:val="28"/>
    </w:rPr>
  </w:style>
  <w:style w:type="character" w:customStyle="1" w:styleId="295">
    <w:name w:val="标题 6 Char_file_190"/>
    <w:basedOn w:val="286"/>
    <w:semiHidden/>
    <w:qFormat/>
    <w:uiPriority w:val="9"/>
    <w:rPr>
      <w:rFonts w:asciiTheme="majorHAnsi" w:hAnsiTheme="majorHAnsi" w:eastAsiaTheme="majorEastAsia" w:cstheme="majorBidi"/>
      <w:b/>
      <w:bCs/>
      <w:sz w:val="24"/>
      <w:szCs w:val="24"/>
    </w:rPr>
  </w:style>
  <w:style w:type="paragraph" w:customStyle="1" w:styleId="296">
    <w:name w:val="cke_editable_file_190"/>
    <w:basedOn w:val="279"/>
    <w:qFormat/>
    <w:uiPriority w:val="0"/>
    <w:rPr>
      <w:rFonts w:ascii="仿宋_GB2312" w:eastAsia="仿宋_GB2312"/>
    </w:rPr>
  </w:style>
  <w:style w:type="paragraph" w:customStyle="1" w:styleId="297">
    <w:name w:val="marker_file_190"/>
    <w:basedOn w:val="279"/>
    <w:qFormat/>
    <w:uiPriority w:val="0"/>
    <w:pPr>
      <w:shd w:val="clear" w:color="auto" w:fill="FFFF00"/>
    </w:pPr>
  </w:style>
  <w:style w:type="paragraph" w:customStyle="1" w:styleId="298">
    <w:name w:val="Normal (Web)_file_190"/>
    <w:basedOn w:val="279"/>
    <w:semiHidden/>
    <w:unhideWhenUsed/>
    <w:qFormat/>
    <w:uiPriority w:val="99"/>
  </w:style>
  <w:style w:type="paragraph" w:customStyle="1" w:styleId="299">
    <w:name w:val="Normal_file_1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00">
    <w:name w:val="heading 1_file_191"/>
    <w:basedOn w:val="299"/>
    <w:qFormat/>
    <w:uiPriority w:val="9"/>
    <w:pPr>
      <w:outlineLvl w:val="0"/>
    </w:pPr>
    <w:rPr>
      <w:kern w:val="36"/>
      <w:sz w:val="48"/>
      <w:szCs w:val="48"/>
    </w:rPr>
  </w:style>
  <w:style w:type="paragraph" w:customStyle="1" w:styleId="301">
    <w:name w:val="heading 2_file_191"/>
    <w:basedOn w:val="299"/>
    <w:qFormat/>
    <w:uiPriority w:val="9"/>
    <w:pPr>
      <w:outlineLvl w:val="1"/>
    </w:pPr>
    <w:rPr>
      <w:sz w:val="36"/>
      <w:szCs w:val="36"/>
    </w:rPr>
  </w:style>
  <w:style w:type="paragraph" w:customStyle="1" w:styleId="302">
    <w:name w:val="heading 3_file_191"/>
    <w:basedOn w:val="299"/>
    <w:qFormat/>
    <w:uiPriority w:val="9"/>
    <w:pPr>
      <w:outlineLvl w:val="2"/>
    </w:pPr>
    <w:rPr>
      <w:sz w:val="27"/>
      <w:szCs w:val="27"/>
    </w:rPr>
  </w:style>
  <w:style w:type="paragraph" w:customStyle="1" w:styleId="303">
    <w:name w:val="heading 4_file_191"/>
    <w:basedOn w:val="299"/>
    <w:qFormat/>
    <w:uiPriority w:val="9"/>
    <w:pPr>
      <w:outlineLvl w:val="3"/>
    </w:pPr>
  </w:style>
  <w:style w:type="paragraph" w:customStyle="1" w:styleId="304">
    <w:name w:val="heading 5_file_191"/>
    <w:basedOn w:val="299"/>
    <w:qFormat/>
    <w:uiPriority w:val="9"/>
    <w:pPr>
      <w:outlineLvl w:val="4"/>
    </w:pPr>
    <w:rPr>
      <w:sz w:val="20"/>
      <w:szCs w:val="20"/>
    </w:rPr>
  </w:style>
  <w:style w:type="paragraph" w:customStyle="1" w:styleId="305">
    <w:name w:val="heading 6_file_191"/>
    <w:basedOn w:val="299"/>
    <w:qFormat/>
    <w:uiPriority w:val="9"/>
    <w:pPr>
      <w:outlineLvl w:val="5"/>
    </w:pPr>
    <w:rPr>
      <w:sz w:val="15"/>
      <w:szCs w:val="15"/>
    </w:rPr>
  </w:style>
  <w:style w:type="character" w:customStyle="1" w:styleId="306">
    <w:name w:val="Default Paragraph Font_file_191"/>
    <w:semiHidden/>
    <w:unhideWhenUsed/>
    <w:qFormat/>
    <w:uiPriority w:val="1"/>
  </w:style>
  <w:style w:type="table" w:customStyle="1" w:styleId="307">
    <w:name w:val="Normal Table_file_191"/>
    <w:semiHidden/>
    <w:unhideWhenUsed/>
    <w:qFormat/>
    <w:uiPriority w:val="99"/>
    <w:tblPr>
      <w:tblCellMar>
        <w:top w:w="0" w:type="dxa"/>
        <w:left w:w="108" w:type="dxa"/>
        <w:bottom w:w="0" w:type="dxa"/>
        <w:right w:w="108" w:type="dxa"/>
      </w:tblCellMar>
    </w:tblPr>
  </w:style>
  <w:style w:type="character" w:customStyle="1" w:styleId="308">
    <w:name w:val="Hyperlink_file_191"/>
    <w:basedOn w:val="306"/>
    <w:semiHidden/>
    <w:unhideWhenUsed/>
    <w:qFormat/>
    <w:uiPriority w:val="99"/>
    <w:rPr>
      <w:color w:val="0782C1"/>
      <w:u w:val="single"/>
    </w:rPr>
  </w:style>
  <w:style w:type="character" w:customStyle="1" w:styleId="309">
    <w:name w:val="FollowedHyperlink_file_191"/>
    <w:basedOn w:val="306"/>
    <w:semiHidden/>
    <w:unhideWhenUsed/>
    <w:qFormat/>
    <w:uiPriority w:val="99"/>
    <w:rPr>
      <w:color w:val="0782C1"/>
      <w:u w:val="single"/>
    </w:rPr>
  </w:style>
  <w:style w:type="character" w:customStyle="1" w:styleId="310">
    <w:name w:val="标题 1 Char_file_191"/>
    <w:basedOn w:val="306"/>
    <w:qFormat/>
    <w:uiPriority w:val="9"/>
    <w:rPr>
      <w:rFonts w:ascii="宋体" w:hAnsi="宋体" w:eastAsia="宋体" w:cs="宋体"/>
      <w:b/>
      <w:bCs/>
      <w:kern w:val="44"/>
      <w:sz w:val="44"/>
      <w:szCs w:val="44"/>
    </w:rPr>
  </w:style>
  <w:style w:type="character" w:customStyle="1" w:styleId="311">
    <w:name w:val="标题 2 Char_file_191"/>
    <w:basedOn w:val="306"/>
    <w:semiHidden/>
    <w:qFormat/>
    <w:uiPriority w:val="9"/>
    <w:rPr>
      <w:rFonts w:asciiTheme="majorHAnsi" w:hAnsiTheme="majorHAnsi" w:eastAsiaTheme="majorEastAsia" w:cstheme="majorBidi"/>
      <w:b/>
      <w:bCs/>
      <w:sz w:val="32"/>
      <w:szCs w:val="32"/>
    </w:rPr>
  </w:style>
  <w:style w:type="character" w:customStyle="1" w:styleId="312">
    <w:name w:val="标题 3 Char_file_191"/>
    <w:basedOn w:val="306"/>
    <w:semiHidden/>
    <w:qFormat/>
    <w:uiPriority w:val="9"/>
    <w:rPr>
      <w:rFonts w:ascii="宋体" w:hAnsi="宋体" w:eastAsia="宋体" w:cs="宋体"/>
      <w:b/>
      <w:bCs/>
      <w:sz w:val="32"/>
      <w:szCs w:val="32"/>
    </w:rPr>
  </w:style>
  <w:style w:type="character" w:customStyle="1" w:styleId="313">
    <w:name w:val="标题 4 Char_file_191"/>
    <w:basedOn w:val="306"/>
    <w:semiHidden/>
    <w:qFormat/>
    <w:uiPriority w:val="9"/>
    <w:rPr>
      <w:rFonts w:asciiTheme="majorHAnsi" w:hAnsiTheme="majorHAnsi" w:eastAsiaTheme="majorEastAsia" w:cstheme="majorBidi"/>
      <w:b/>
      <w:bCs/>
      <w:sz w:val="28"/>
      <w:szCs w:val="28"/>
    </w:rPr>
  </w:style>
  <w:style w:type="character" w:customStyle="1" w:styleId="314">
    <w:name w:val="标题 5 Char_file_191"/>
    <w:basedOn w:val="306"/>
    <w:semiHidden/>
    <w:qFormat/>
    <w:uiPriority w:val="9"/>
    <w:rPr>
      <w:rFonts w:ascii="宋体" w:hAnsi="宋体" w:eastAsia="宋体" w:cs="宋体"/>
      <w:b/>
      <w:bCs/>
      <w:sz w:val="28"/>
      <w:szCs w:val="28"/>
    </w:rPr>
  </w:style>
  <w:style w:type="character" w:customStyle="1" w:styleId="315">
    <w:name w:val="标题 6 Char_file_191"/>
    <w:basedOn w:val="306"/>
    <w:semiHidden/>
    <w:qFormat/>
    <w:uiPriority w:val="9"/>
    <w:rPr>
      <w:rFonts w:asciiTheme="majorHAnsi" w:hAnsiTheme="majorHAnsi" w:eastAsiaTheme="majorEastAsia" w:cstheme="majorBidi"/>
      <w:b/>
      <w:bCs/>
      <w:sz w:val="24"/>
      <w:szCs w:val="24"/>
    </w:rPr>
  </w:style>
  <w:style w:type="paragraph" w:customStyle="1" w:styleId="316">
    <w:name w:val="cke_editable_file_191"/>
    <w:basedOn w:val="299"/>
    <w:qFormat/>
    <w:uiPriority w:val="0"/>
    <w:rPr>
      <w:rFonts w:ascii="仿宋_GB2312" w:eastAsia="仿宋_GB2312"/>
    </w:rPr>
  </w:style>
  <w:style w:type="paragraph" w:customStyle="1" w:styleId="317">
    <w:name w:val="marker_file_191"/>
    <w:basedOn w:val="299"/>
    <w:qFormat/>
    <w:uiPriority w:val="0"/>
    <w:pPr>
      <w:shd w:val="clear" w:color="auto" w:fill="FFFF00"/>
    </w:pPr>
  </w:style>
  <w:style w:type="paragraph" w:customStyle="1" w:styleId="318">
    <w:name w:val="Normal (Web)_file_191"/>
    <w:basedOn w:val="299"/>
    <w:semiHidden/>
    <w:unhideWhenUsed/>
    <w:qFormat/>
    <w:uiPriority w:val="99"/>
  </w:style>
  <w:style w:type="paragraph" w:customStyle="1" w:styleId="319">
    <w:name w:val="Normal_file_1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20">
    <w:name w:val="heading 1_file_192"/>
    <w:basedOn w:val="319"/>
    <w:qFormat/>
    <w:uiPriority w:val="9"/>
    <w:pPr>
      <w:outlineLvl w:val="0"/>
    </w:pPr>
    <w:rPr>
      <w:kern w:val="36"/>
      <w:sz w:val="48"/>
      <w:szCs w:val="48"/>
    </w:rPr>
  </w:style>
  <w:style w:type="paragraph" w:customStyle="1" w:styleId="321">
    <w:name w:val="heading 2_file_192"/>
    <w:basedOn w:val="319"/>
    <w:qFormat/>
    <w:uiPriority w:val="9"/>
    <w:pPr>
      <w:outlineLvl w:val="1"/>
    </w:pPr>
    <w:rPr>
      <w:sz w:val="36"/>
      <w:szCs w:val="36"/>
    </w:rPr>
  </w:style>
  <w:style w:type="paragraph" w:customStyle="1" w:styleId="322">
    <w:name w:val="heading 3_file_192"/>
    <w:basedOn w:val="319"/>
    <w:qFormat/>
    <w:uiPriority w:val="9"/>
    <w:pPr>
      <w:outlineLvl w:val="2"/>
    </w:pPr>
    <w:rPr>
      <w:sz w:val="27"/>
      <w:szCs w:val="27"/>
    </w:rPr>
  </w:style>
  <w:style w:type="paragraph" w:customStyle="1" w:styleId="323">
    <w:name w:val="heading 4_file_192"/>
    <w:basedOn w:val="319"/>
    <w:qFormat/>
    <w:uiPriority w:val="9"/>
    <w:pPr>
      <w:outlineLvl w:val="3"/>
    </w:pPr>
  </w:style>
  <w:style w:type="paragraph" w:customStyle="1" w:styleId="324">
    <w:name w:val="heading 5_file_192"/>
    <w:basedOn w:val="319"/>
    <w:qFormat/>
    <w:uiPriority w:val="9"/>
    <w:pPr>
      <w:outlineLvl w:val="4"/>
    </w:pPr>
    <w:rPr>
      <w:sz w:val="20"/>
      <w:szCs w:val="20"/>
    </w:rPr>
  </w:style>
  <w:style w:type="paragraph" w:customStyle="1" w:styleId="325">
    <w:name w:val="heading 6_file_192"/>
    <w:basedOn w:val="319"/>
    <w:qFormat/>
    <w:uiPriority w:val="9"/>
    <w:pPr>
      <w:outlineLvl w:val="5"/>
    </w:pPr>
    <w:rPr>
      <w:sz w:val="15"/>
      <w:szCs w:val="15"/>
    </w:rPr>
  </w:style>
  <w:style w:type="character" w:customStyle="1" w:styleId="326">
    <w:name w:val="Default Paragraph Font_file_192"/>
    <w:semiHidden/>
    <w:unhideWhenUsed/>
    <w:qFormat/>
    <w:uiPriority w:val="1"/>
  </w:style>
  <w:style w:type="table" w:customStyle="1" w:styleId="327">
    <w:name w:val="Normal Table_file_192"/>
    <w:semiHidden/>
    <w:unhideWhenUsed/>
    <w:qFormat/>
    <w:uiPriority w:val="99"/>
    <w:tblPr>
      <w:tblCellMar>
        <w:top w:w="0" w:type="dxa"/>
        <w:left w:w="108" w:type="dxa"/>
        <w:bottom w:w="0" w:type="dxa"/>
        <w:right w:w="108" w:type="dxa"/>
      </w:tblCellMar>
    </w:tblPr>
  </w:style>
  <w:style w:type="character" w:customStyle="1" w:styleId="328">
    <w:name w:val="Hyperlink_file_192"/>
    <w:basedOn w:val="326"/>
    <w:semiHidden/>
    <w:unhideWhenUsed/>
    <w:qFormat/>
    <w:uiPriority w:val="99"/>
    <w:rPr>
      <w:color w:val="0782C1"/>
      <w:u w:val="single"/>
    </w:rPr>
  </w:style>
  <w:style w:type="character" w:customStyle="1" w:styleId="329">
    <w:name w:val="FollowedHyperlink_file_192"/>
    <w:basedOn w:val="326"/>
    <w:semiHidden/>
    <w:unhideWhenUsed/>
    <w:qFormat/>
    <w:uiPriority w:val="99"/>
    <w:rPr>
      <w:color w:val="0782C1"/>
      <w:u w:val="single"/>
    </w:rPr>
  </w:style>
  <w:style w:type="character" w:customStyle="1" w:styleId="330">
    <w:name w:val="标题 1 Char_file_192"/>
    <w:basedOn w:val="326"/>
    <w:qFormat/>
    <w:uiPriority w:val="9"/>
    <w:rPr>
      <w:rFonts w:ascii="宋体" w:hAnsi="宋体" w:eastAsia="宋体" w:cs="宋体"/>
      <w:b/>
      <w:bCs/>
      <w:kern w:val="44"/>
      <w:sz w:val="44"/>
      <w:szCs w:val="44"/>
    </w:rPr>
  </w:style>
  <w:style w:type="character" w:customStyle="1" w:styleId="331">
    <w:name w:val="标题 2 Char_file_192"/>
    <w:basedOn w:val="326"/>
    <w:semiHidden/>
    <w:qFormat/>
    <w:uiPriority w:val="9"/>
    <w:rPr>
      <w:rFonts w:asciiTheme="majorHAnsi" w:hAnsiTheme="majorHAnsi" w:eastAsiaTheme="majorEastAsia" w:cstheme="majorBidi"/>
      <w:b/>
      <w:bCs/>
      <w:sz w:val="32"/>
      <w:szCs w:val="32"/>
    </w:rPr>
  </w:style>
  <w:style w:type="character" w:customStyle="1" w:styleId="332">
    <w:name w:val="标题 3 Char_file_192"/>
    <w:basedOn w:val="326"/>
    <w:semiHidden/>
    <w:qFormat/>
    <w:uiPriority w:val="9"/>
    <w:rPr>
      <w:rFonts w:ascii="宋体" w:hAnsi="宋体" w:eastAsia="宋体" w:cs="宋体"/>
      <w:b/>
      <w:bCs/>
      <w:sz w:val="32"/>
      <w:szCs w:val="32"/>
    </w:rPr>
  </w:style>
  <w:style w:type="character" w:customStyle="1" w:styleId="333">
    <w:name w:val="标题 4 Char_file_192"/>
    <w:basedOn w:val="326"/>
    <w:semiHidden/>
    <w:qFormat/>
    <w:uiPriority w:val="9"/>
    <w:rPr>
      <w:rFonts w:asciiTheme="majorHAnsi" w:hAnsiTheme="majorHAnsi" w:eastAsiaTheme="majorEastAsia" w:cstheme="majorBidi"/>
      <w:b/>
      <w:bCs/>
      <w:sz w:val="28"/>
      <w:szCs w:val="28"/>
    </w:rPr>
  </w:style>
  <w:style w:type="character" w:customStyle="1" w:styleId="334">
    <w:name w:val="标题 5 Char_file_192"/>
    <w:basedOn w:val="326"/>
    <w:semiHidden/>
    <w:qFormat/>
    <w:uiPriority w:val="9"/>
    <w:rPr>
      <w:rFonts w:ascii="宋体" w:hAnsi="宋体" w:eastAsia="宋体" w:cs="宋体"/>
      <w:b/>
      <w:bCs/>
      <w:sz w:val="28"/>
      <w:szCs w:val="28"/>
    </w:rPr>
  </w:style>
  <w:style w:type="character" w:customStyle="1" w:styleId="335">
    <w:name w:val="标题 6 Char_file_192"/>
    <w:basedOn w:val="326"/>
    <w:semiHidden/>
    <w:qFormat/>
    <w:uiPriority w:val="9"/>
    <w:rPr>
      <w:rFonts w:asciiTheme="majorHAnsi" w:hAnsiTheme="majorHAnsi" w:eastAsiaTheme="majorEastAsia" w:cstheme="majorBidi"/>
      <w:b/>
      <w:bCs/>
      <w:sz w:val="24"/>
      <w:szCs w:val="24"/>
    </w:rPr>
  </w:style>
  <w:style w:type="paragraph" w:customStyle="1" w:styleId="336">
    <w:name w:val="cke_editable_file_192"/>
    <w:basedOn w:val="319"/>
    <w:qFormat/>
    <w:uiPriority w:val="0"/>
    <w:rPr>
      <w:rFonts w:ascii="仿宋_GB2312" w:eastAsia="仿宋_GB2312"/>
    </w:rPr>
  </w:style>
  <w:style w:type="paragraph" w:customStyle="1" w:styleId="337">
    <w:name w:val="marker_file_192"/>
    <w:basedOn w:val="319"/>
    <w:qFormat/>
    <w:uiPriority w:val="0"/>
    <w:pPr>
      <w:shd w:val="clear" w:color="auto" w:fill="FFFF00"/>
    </w:pPr>
  </w:style>
  <w:style w:type="paragraph" w:customStyle="1" w:styleId="338">
    <w:name w:val="Normal (Web)_file_192"/>
    <w:basedOn w:val="319"/>
    <w:semiHidden/>
    <w:unhideWhenUsed/>
    <w:qFormat/>
    <w:uiPriority w:val="99"/>
  </w:style>
  <w:style w:type="character" w:customStyle="1" w:styleId="339">
    <w:name w:val="Emphasis_file_192"/>
    <w:basedOn w:val="326"/>
    <w:qFormat/>
    <w:uiPriority w:val="20"/>
    <w:rPr>
      <w:i/>
      <w:iCs/>
    </w:rPr>
  </w:style>
  <w:style w:type="paragraph" w:customStyle="1" w:styleId="340">
    <w:name w:val="Normal_file_1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1">
    <w:name w:val="heading 1_file_193"/>
    <w:basedOn w:val="340"/>
    <w:qFormat/>
    <w:uiPriority w:val="9"/>
    <w:pPr>
      <w:outlineLvl w:val="0"/>
    </w:pPr>
    <w:rPr>
      <w:kern w:val="36"/>
      <w:sz w:val="48"/>
      <w:szCs w:val="48"/>
    </w:rPr>
  </w:style>
  <w:style w:type="paragraph" w:customStyle="1" w:styleId="342">
    <w:name w:val="heading 2_file_193"/>
    <w:basedOn w:val="340"/>
    <w:qFormat/>
    <w:uiPriority w:val="9"/>
    <w:pPr>
      <w:outlineLvl w:val="1"/>
    </w:pPr>
    <w:rPr>
      <w:sz w:val="36"/>
      <w:szCs w:val="36"/>
    </w:rPr>
  </w:style>
  <w:style w:type="paragraph" w:customStyle="1" w:styleId="343">
    <w:name w:val="heading 3_file_193"/>
    <w:basedOn w:val="340"/>
    <w:qFormat/>
    <w:uiPriority w:val="9"/>
    <w:pPr>
      <w:outlineLvl w:val="2"/>
    </w:pPr>
    <w:rPr>
      <w:sz w:val="27"/>
      <w:szCs w:val="27"/>
    </w:rPr>
  </w:style>
  <w:style w:type="paragraph" w:customStyle="1" w:styleId="344">
    <w:name w:val="heading 4_file_193"/>
    <w:basedOn w:val="340"/>
    <w:qFormat/>
    <w:uiPriority w:val="9"/>
    <w:pPr>
      <w:outlineLvl w:val="3"/>
    </w:pPr>
  </w:style>
  <w:style w:type="paragraph" w:customStyle="1" w:styleId="345">
    <w:name w:val="heading 5_file_193"/>
    <w:basedOn w:val="340"/>
    <w:qFormat/>
    <w:uiPriority w:val="9"/>
    <w:pPr>
      <w:outlineLvl w:val="4"/>
    </w:pPr>
    <w:rPr>
      <w:sz w:val="20"/>
      <w:szCs w:val="20"/>
    </w:rPr>
  </w:style>
  <w:style w:type="paragraph" w:customStyle="1" w:styleId="346">
    <w:name w:val="heading 6_file_193"/>
    <w:basedOn w:val="340"/>
    <w:qFormat/>
    <w:uiPriority w:val="9"/>
    <w:pPr>
      <w:outlineLvl w:val="5"/>
    </w:pPr>
    <w:rPr>
      <w:sz w:val="15"/>
      <w:szCs w:val="15"/>
    </w:rPr>
  </w:style>
  <w:style w:type="character" w:customStyle="1" w:styleId="347">
    <w:name w:val="Default Paragraph Font_file_193"/>
    <w:semiHidden/>
    <w:unhideWhenUsed/>
    <w:qFormat/>
    <w:uiPriority w:val="1"/>
  </w:style>
  <w:style w:type="table" w:customStyle="1" w:styleId="348">
    <w:name w:val="Normal Table_file_193"/>
    <w:semiHidden/>
    <w:unhideWhenUsed/>
    <w:qFormat/>
    <w:uiPriority w:val="99"/>
    <w:tblPr>
      <w:tblCellMar>
        <w:top w:w="0" w:type="dxa"/>
        <w:left w:w="108" w:type="dxa"/>
        <w:bottom w:w="0" w:type="dxa"/>
        <w:right w:w="108" w:type="dxa"/>
      </w:tblCellMar>
    </w:tblPr>
  </w:style>
  <w:style w:type="character" w:customStyle="1" w:styleId="349">
    <w:name w:val="Hyperlink_file_193"/>
    <w:basedOn w:val="347"/>
    <w:semiHidden/>
    <w:unhideWhenUsed/>
    <w:qFormat/>
    <w:uiPriority w:val="99"/>
    <w:rPr>
      <w:color w:val="0782C1"/>
      <w:u w:val="single"/>
    </w:rPr>
  </w:style>
  <w:style w:type="character" w:customStyle="1" w:styleId="350">
    <w:name w:val="FollowedHyperlink_file_193"/>
    <w:basedOn w:val="347"/>
    <w:semiHidden/>
    <w:unhideWhenUsed/>
    <w:qFormat/>
    <w:uiPriority w:val="99"/>
    <w:rPr>
      <w:color w:val="0782C1"/>
      <w:u w:val="single"/>
    </w:rPr>
  </w:style>
  <w:style w:type="character" w:customStyle="1" w:styleId="351">
    <w:name w:val="标题 1 Char_file_193"/>
    <w:basedOn w:val="347"/>
    <w:qFormat/>
    <w:uiPriority w:val="9"/>
    <w:rPr>
      <w:rFonts w:ascii="宋体" w:hAnsi="宋体" w:eastAsia="宋体" w:cs="宋体"/>
      <w:b/>
      <w:bCs/>
      <w:kern w:val="44"/>
      <w:sz w:val="44"/>
      <w:szCs w:val="44"/>
    </w:rPr>
  </w:style>
  <w:style w:type="character" w:customStyle="1" w:styleId="352">
    <w:name w:val="标题 2 Char_file_193"/>
    <w:basedOn w:val="347"/>
    <w:semiHidden/>
    <w:qFormat/>
    <w:uiPriority w:val="9"/>
    <w:rPr>
      <w:rFonts w:asciiTheme="majorHAnsi" w:hAnsiTheme="majorHAnsi" w:eastAsiaTheme="majorEastAsia" w:cstheme="majorBidi"/>
      <w:b/>
      <w:bCs/>
      <w:sz w:val="32"/>
      <w:szCs w:val="32"/>
    </w:rPr>
  </w:style>
  <w:style w:type="character" w:customStyle="1" w:styleId="353">
    <w:name w:val="标题 3 Char_file_193"/>
    <w:basedOn w:val="347"/>
    <w:semiHidden/>
    <w:qFormat/>
    <w:uiPriority w:val="9"/>
    <w:rPr>
      <w:rFonts w:ascii="宋体" w:hAnsi="宋体" w:eastAsia="宋体" w:cs="宋体"/>
      <w:b/>
      <w:bCs/>
      <w:sz w:val="32"/>
      <w:szCs w:val="32"/>
    </w:rPr>
  </w:style>
  <w:style w:type="character" w:customStyle="1" w:styleId="354">
    <w:name w:val="标题 4 Char_file_193"/>
    <w:basedOn w:val="347"/>
    <w:semiHidden/>
    <w:qFormat/>
    <w:uiPriority w:val="9"/>
    <w:rPr>
      <w:rFonts w:asciiTheme="majorHAnsi" w:hAnsiTheme="majorHAnsi" w:eastAsiaTheme="majorEastAsia" w:cstheme="majorBidi"/>
      <w:b/>
      <w:bCs/>
      <w:sz w:val="28"/>
      <w:szCs w:val="28"/>
    </w:rPr>
  </w:style>
  <w:style w:type="character" w:customStyle="1" w:styleId="355">
    <w:name w:val="标题 5 Char_file_193"/>
    <w:basedOn w:val="347"/>
    <w:semiHidden/>
    <w:qFormat/>
    <w:uiPriority w:val="9"/>
    <w:rPr>
      <w:rFonts w:ascii="宋体" w:hAnsi="宋体" w:eastAsia="宋体" w:cs="宋体"/>
      <w:b/>
      <w:bCs/>
      <w:sz w:val="28"/>
      <w:szCs w:val="28"/>
    </w:rPr>
  </w:style>
  <w:style w:type="character" w:customStyle="1" w:styleId="356">
    <w:name w:val="标题 6 Char_file_193"/>
    <w:basedOn w:val="347"/>
    <w:semiHidden/>
    <w:qFormat/>
    <w:uiPriority w:val="9"/>
    <w:rPr>
      <w:rFonts w:asciiTheme="majorHAnsi" w:hAnsiTheme="majorHAnsi" w:eastAsiaTheme="majorEastAsia" w:cstheme="majorBidi"/>
      <w:b/>
      <w:bCs/>
      <w:sz w:val="24"/>
      <w:szCs w:val="24"/>
    </w:rPr>
  </w:style>
  <w:style w:type="paragraph" w:customStyle="1" w:styleId="357">
    <w:name w:val="cke_editable_file_193"/>
    <w:basedOn w:val="340"/>
    <w:qFormat/>
    <w:uiPriority w:val="0"/>
    <w:rPr>
      <w:rFonts w:ascii="仿宋_GB2312" w:eastAsia="仿宋_GB2312"/>
    </w:rPr>
  </w:style>
  <w:style w:type="paragraph" w:customStyle="1" w:styleId="358">
    <w:name w:val="marker_file_193"/>
    <w:basedOn w:val="340"/>
    <w:qFormat/>
    <w:uiPriority w:val="0"/>
    <w:pPr>
      <w:shd w:val="clear" w:color="auto" w:fill="FFFF00"/>
    </w:pPr>
  </w:style>
  <w:style w:type="paragraph" w:customStyle="1" w:styleId="359">
    <w:name w:val="Normal (Web)_file_193"/>
    <w:basedOn w:val="340"/>
    <w:semiHidden/>
    <w:unhideWhenUsed/>
    <w:qFormat/>
    <w:uiPriority w:val="99"/>
  </w:style>
  <w:style w:type="paragraph" w:customStyle="1" w:styleId="360">
    <w:name w:val="Normal_file_1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1">
    <w:name w:val="heading 1_file_194"/>
    <w:basedOn w:val="360"/>
    <w:qFormat/>
    <w:uiPriority w:val="9"/>
    <w:pPr>
      <w:outlineLvl w:val="0"/>
    </w:pPr>
    <w:rPr>
      <w:kern w:val="36"/>
      <w:sz w:val="48"/>
      <w:szCs w:val="48"/>
    </w:rPr>
  </w:style>
  <w:style w:type="paragraph" w:customStyle="1" w:styleId="362">
    <w:name w:val="heading 2_file_194"/>
    <w:basedOn w:val="360"/>
    <w:qFormat/>
    <w:uiPriority w:val="9"/>
    <w:pPr>
      <w:outlineLvl w:val="1"/>
    </w:pPr>
    <w:rPr>
      <w:sz w:val="36"/>
      <w:szCs w:val="36"/>
    </w:rPr>
  </w:style>
  <w:style w:type="paragraph" w:customStyle="1" w:styleId="363">
    <w:name w:val="heading 3_file_194"/>
    <w:basedOn w:val="360"/>
    <w:qFormat/>
    <w:uiPriority w:val="9"/>
    <w:pPr>
      <w:outlineLvl w:val="2"/>
    </w:pPr>
    <w:rPr>
      <w:sz w:val="27"/>
      <w:szCs w:val="27"/>
    </w:rPr>
  </w:style>
  <w:style w:type="paragraph" w:customStyle="1" w:styleId="364">
    <w:name w:val="heading 4_file_194"/>
    <w:basedOn w:val="360"/>
    <w:qFormat/>
    <w:uiPriority w:val="9"/>
    <w:pPr>
      <w:outlineLvl w:val="3"/>
    </w:pPr>
  </w:style>
  <w:style w:type="paragraph" w:customStyle="1" w:styleId="365">
    <w:name w:val="heading 5_file_194"/>
    <w:basedOn w:val="360"/>
    <w:qFormat/>
    <w:uiPriority w:val="9"/>
    <w:pPr>
      <w:outlineLvl w:val="4"/>
    </w:pPr>
    <w:rPr>
      <w:sz w:val="20"/>
      <w:szCs w:val="20"/>
    </w:rPr>
  </w:style>
  <w:style w:type="paragraph" w:customStyle="1" w:styleId="366">
    <w:name w:val="heading 6_file_194"/>
    <w:basedOn w:val="360"/>
    <w:qFormat/>
    <w:uiPriority w:val="9"/>
    <w:pPr>
      <w:outlineLvl w:val="5"/>
    </w:pPr>
    <w:rPr>
      <w:sz w:val="15"/>
      <w:szCs w:val="15"/>
    </w:rPr>
  </w:style>
  <w:style w:type="character" w:customStyle="1" w:styleId="367">
    <w:name w:val="Default Paragraph Font_file_194"/>
    <w:semiHidden/>
    <w:unhideWhenUsed/>
    <w:qFormat/>
    <w:uiPriority w:val="1"/>
  </w:style>
  <w:style w:type="table" w:customStyle="1" w:styleId="368">
    <w:name w:val="Normal Table_file_194"/>
    <w:semiHidden/>
    <w:unhideWhenUsed/>
    <w:qFormat/>
    <w:uiPriority w:val="99"/>
    <w:tblPr>
      <w:tblCellMar>
        <w:top w:w="0" w:type="dxa"/>
        <w:left w:w="108" w:type="dxa"/>
        <w:bottom w:w="0" w:type="dxa"/>
        <w:right w:w="108" w:type="dxa"/>
      </w:tblCellMar>
    </w:tblPr>
  </w:style>
  <w:style w:type="character" w:customStyle="1" w:styleId="369">
    <w:name w:val="Hyperlink_file_194"/>
    <w:basedOn w:val="367"/>
    <w:semiHidden/>
    <w:unhideWhenUsed/>
    <w:qFormat/>
    <w:uiPriority w:val="99"/>
    <w:rPr>
      <w:color w:val="0782C1"/>
      <w:u w:val="single"/>
    </w:rPr>
  </w:style>
  <w:style w:type="character" w:customStyle="1" w:styleId="370">
    <w:name w:val="FollowedHyperlink_file_194"/>
    <w:basedOn w:val="367"/>
    <w:semiHidden/>
    <w:unhideWhenUsed/>
    <w:qFormat/>
    <w:uiPriority w:val="99"/>
    <w:rPr>
      <w:color w:val="0782C1"/>
      <w:u w:val="single"/>
    </w:rPr>
  </w:style>
  <w:style w:type="character" w:customStyle="1" w:styleId="371">
    <w:name w:val="标题 1 Char_file_194"/>
    <w:basedOn w:val="367"/>
    <w:qFormat/>
    <w:uiPriority w:val="9"/>
    <w:rPr>
      <w:rFonts w:ascii="宋体" w:hAnsi="宋体" w:eastAsia="宋体" w:cs="宋体"/>
      <w:b/>
      <w:bCs/>
      <w:kern w:val="44"/>
      <w:sz w:val="44"/>
      <w:szCs w:val="44"/>
    </w:rPr>
  </w:style>
  <w:style w:type="character" w:customStyle="1" w:styleId="372">
    <w:name w:val="标题 2 Char_file_194"/>
    <w:basedOn w:val="367"/>
    <w:semiHidden/>
    <w:qFormat/>
    <w:uiPriority w:val="9"/>
    <w:rPr>
      <w:rFonts w:asciiTheme="majorHAnsi" w:hAnsiTheme="majorHAnsi" w:eastAsiaTheme="majorEastAsia" w:cstheme="majorBidi"/>
      <w:b/>
      <w:bCs/>
      <w:sz w:val="32"/>
      <w:szCs w:val="32"/>
    </w:rPr>
  </w:style>
  <w:style w:type="character" w:customStyle="1" w:styleId="373">
    <w:name w:val="标题 3 Char_file_194"/>
    <w:basedOn w:val="367"/>
    <w:semiHidden/>
    <w:qFormat/>
    <w:uiPriority w:val="9"/>
    <w:rPr>
      <w:rFonts w:ascii="宋体" w:hAnsi="宋体" w:eastAsia="宋体" w:cs="宋体"/>
      <w:b/>
      <w:bCs/>
      <w:sz w:val="32"/>
      <w:szCs w:val="32"/>
    </w:rPr>
  </w:style>
  <w:style w:type="character" w:customStyle="1" w:styleId="374">
    <w:name w:val="标题 4 Char_file_194"/>
    <w:basedOn w:val="367"/>
    <w:semiHidden/>
    <w:qFormat/>
    <w:uiPriority w:val="9"/>
    <w:rPr>
      <w:rFonts w:asciiTheme="majorHAnsi" w:hAnsiTheme="majorHAnsi" w:eastAsiaTheme="majorEastAsia" w:cstheme="majorBidi"/>
      <w:b/>
      <w:bCs/>
      <w:sz w:val="28"/>
      <w:szCs w:val="28"/>
    </w:rPr>
  </w:style>
  <w:style w:type="character" w:customStyle="1" w:styleId="375">
    <w:name w:val="标题 5 Char_file_194"/>
    <w:basedOn w:val="367"/>
    <w:semiHidden/>
    <w:qFormat/>
    <w:uiPriority w:val="9"/>
    <w:rPr>
      <w:rFonts w:ascii="宋体" w:hAnsi="宋体" w:eastAsia="宋体" w:cs="宋体"/>
      <w:b/>
      <w:bCs/>
      <w:sz w:val="28"/>
      <w:szCs w:val="28"/>
    </w:rPr>
  </w:style>
  <w:style w:type="character" w:customStyle="1" w:styleId="376">
    <w:name w:val="标题 6 Char_file_194"/>
    <w:basedOn w:val="367"/>
    <w:semiHidden/>
    <w:qFormat/>
    <w:uiPriority w:val="9"/>
    <w:rPr>
      <w:rFonts w:asciiTheme="majorHAnsi" w:hAnsiTheme="majorHAnsi" w:eastAsiaTheme="majorEastAsia" w:cstheme="majorBidi"/>
      <w:b/>
      <w:bCs/>
      <w:sz w:val="24"/>
      <w:szCs w:val="24"/>
    </w:rPr>
  </w:style>
  <w:style w:type="paragraph" w:customStyle="1" w:styleId="377">
    <w:name w:val="cke_editable_file_194"/>
    <w:basedOn w:val="360"/>
    <w:qFormat/>
    <w:uiPriority w:val="0"/>
    <w:rPr>
      <w:rFonts w:ascii="仿宋_GB2312" w:eastAsia="仿宋_GB2312"/>
    </w:rPr>
  </w:style>
  <w:style w:type="paragraph" w:customStyle="1" w:styleId="378">
    <w:name w:val="marker_file_194"/>
    <w:basedOn w:val="360"/>
    <w:qFormat/>
    <w:uiPriority w:val="0"/>
    <w:pPr>
      <w:shd w:val="clear" w:color="auto" w:fill="FFFF00"/>
    </w:pPr>
  </w:style>
  <w:style w:type="paragraph" w:customStyle="1" w:styleId="379">
    <w:name w:val="Normal (Web)_file_194"/>
    <w:basedOn w:val="360"/>
    <w:semiHidden/>
    <w:unhideWhenUsed/>
    <w:qFormat/>
    <w:uiPriority w:val="99"/>
  </w:style>
  <w:style w:type="paragraph" w:customStyle="1" w:styleId="380">
    <w:name w:val="Normal_file_1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81">
    <w:name w:val="heading 1_file_195"/>
    <w:basedOn w:val="380"/>
    <w:qFormat/>
    <w:uiPriority w:val="9"/>
    <w:pPr>
      <w:outlineLvl w:val="0"/>
    </w:pPr>
    <w:rPr>
      <w:kern w:val="36"/>
      <w:sz w:val="48"/>
      <w:szCs w:val="48"/>
    </w:rPr>
  </w:style>
  <w:style w:type="paragraph" w:customStyle="1" w:styleId="382">
    <w:name w:val="heading 2_file_195"/>
    <w:basedOn w:val="380"/>
    <w:qFormat/>
    <w:uiPriority w:val="9"/>
    <w:pPr>
      <w:outlineLvl w:val="1"/>
    </w:pPr>
    <w:rPr>
      <w:sz w:val="36"/>
      <w:szCs w:val="36"/>
    </w:rPr>
  </w:style>
  <w:style w:type="paragraph" w:customStyle="1" w:styleId="383">
    <w:name w:val="heading 3_file_195"/>
    <w:basedOn w:val="380"/>
    <w:qFormat/>
    <w:uiPriority w:val="9"/>
    <w:pPr>
      <w:outlineLvl w:val="2"/>
    </w:pPr>
    <w:rPr>
      <w:sz w:val="27"/>
      <w:szCs w:val="27"/>
    </w:rPr>
  </w:style>
  <w:style w:type="paragraph" w:customStyle="1" w:styleId="384">
    <w:name w:val="heading 4_file_195"/>
    <w:basedOn w:val="380"/>
    <w:qFormat/>
    <w:uiPriority w:val="9"/>
    <w:pPr>
      <w:outlineLvl w:val="3"/>
    </w:pPr>
  </w:style>
  <w:style w:type="paragraph" w:customStyle="1" w:styleId="385">
    <w:name w:val="heading 5_file_195"/>
    <w:basedOn w:val="380"/>
    <w:qFormat/>
    <w:uiPriority w:val="9"/>
    <w:pPr>
      <w:outlineLvl w:val="4"/>
    </w:pPr>
    <w:rPr>
      <w:sz w:val="20"/>
      <w:szCs w:val="20"/>
    </w:rPr>
  </w:style>
  <w:style w:type="paragraph" w:customStyle="1" w:styleId="386">
    <w:name w:val="heading 6_file_195"/>
    <w:basedOn w:val="380"/>
    <w:qFormat/>
    <w:uiPriority w:val="9"/>
    <w:pPr>
      <w:outlineLvl w:val="5"/>
    </w:pPr>
    <w:rPr>
      <w:sz w:val="15"/>
      <w:szCs w:val="15"/>
    </w:rPr>
  </w:style>
  <w:style w:type="character" w:customStyle="1" w:styleId="387">
    <w:name w:val="Default Paragraph Font_file_195"/>
    <w:semiHidden/>
    <w:unhideWhenUsed/>
    <w:qFormat/>
    <w:uiPriority w:val="1"/>
  </w:style>
  <w:style w:type="table" w:customStyle="1" w:styleId="388">
    <w:name w:val="Normal Table_file_195"/>
    <w:semiHidden/>
    <w:unhideWhenUsed/>
    <w:qFormat/>
    <w:uiPriority w:val="99"/>
    <w:tblPr>
      <w:tblCellMar>
        <w:top w:w="0" w:type="dxa"/>
        <w:left w:w="108" w:type="dxa"/>
        <w:bottom w:w="0" w:type="dxa"/>
        <w:right w:w="108" w:type="dxa"/>
      </w:tblCellMar>
    </w:tblPr>
  </w:style>
  <w:style w:type="character" w:customStyle="1" w:styleId="389">
    <w:name w:val="Hyperlink_file_195"/>
    <w:basedOn w:val="387"/>
    <w:semiHidden/>
    <w:unhideWhenUsed/>
    <w:qFormat/>
    <w:uiPriority w:val="99"/>
    <w:rPr>
      <w:color w:val="0782C1"/>
      <w:u w:val="single"/>
    </w:rPr>
  </w:style>
  <w:style w:type="character" w:customStyle="1" w:styleId="390">
    <w:name w:val="FollowedHyperlink_file_195"/>
    <w:basedOn w:val="387"/>
    <w:semiHidden/>
    <w:unhideWhenUsed/>
    <w:qFormat/>
    <w:uiPriority w:val="99"/>
    <w:rPr>
      <w:color w:val="0782C1"/>
      <w:u w:val="single"/>
    </w:rPr>
  </w:style>
  <w:style w:type="character" w:customStyle="1" w:styleId="391">
    <w:name w:val="标题 1 Char_file_195"/>
    <w:basedOn w:val="387"/>
    <w:qFormat/>
    <w:uiPriority w:val="9"/>
    <w:rPr>
      <w:rFonts w:ascii="宋体" w:hAnsi="宋体" w:eastAsia="宋体" w:cs="宋体"/>
      <w:b/>
      <w:bCs/>
      <w:kern w:val="44"/>
      <w:sz w:val="44"/>
      <w:szCs w:val="44"/>
    </w:rPr>
  </w:style>
  <w:style w:type="character" w:customStyle="1" w:styleId="392">
    <w:name w:val="标题 2 Char_file_195"/>
    <w:basedOn w:val="387"/>
    <w:semiHidden/>
    <w:qFormat/>
    <w:uiPriority w:val="9"/>
    <w:rPr>
      <w:rFonts w:asciiTheme="majorHAnsi" w:hAnsiTheme="majorHAnsi" w:eastAsiaTheme="majorEastAsia" w:cstheme="majorBidi"/>
      <w:b/>
      <w:bCs/>
      <w:sz w:val="32"/>
      <w:szCs w:val="32"/>
    </w:rPr>
  </w:style>
  <w:style w:type="character" w:customStyle="1" w:styleId="393">
    <w:name w:val="标题 3 Char_file_195"/>
    <w:basedOn w:val="387"/>
    <w:semiHidden/>
    <w:qFormat/>
    <w:uiPriority w:val="9"/>
    <w:rPr>
      <w:rFonts w:ascii="宋体" w:hAnsi="宋体" w:eastAsia="宋体" w:cs="宋体"/>
      <w:b/>
      <w:bCs/>
      <w:sz w:val="32"/>
      <w:szCs w:val="32"/>
    </w:rPr>
  </w:style>
  <w:style w:type="character" w:customStyle="1" w:styleId="394">
    <w:name w:val="标题 4 Char_file_195"/>
    <w:basedOn w:val="387"/>
    <w:semiHidden/>
    <w:qFormat/>
    <w:uiPriority w:val="9"/>
    <w:rPr>
      <w:rFonts w:asciiTheme="majorHAnsi" w:hAnsiTheme="majorHAnsi" w:eastAsiaTheme="majorEastAsia" w:cstheme="majorBidi"/>
      <w:b/>
      <w:bCs/>
      <w:sz w:val="28"/>
      <w:szCs w:val="28"/>
    </w:rPr>
  </w:style>
  <w:style w:type="character" w:customStyle="1" w:styleId="395">
    <w:name w:val="标题 5 Char_file_195"/>
    <w:basedOn w:val="387"/>
    <w:semiHidden/>
    <w:qFormat/>
    <w:uiPriority w:val="9"/>
    <w:rPr>
      <w:rFonts w:ascii="宋体" w:hAnsi="宋体" w:eastAsia="宋体" w:cs="宋体"/>
      <w:b/>
      <w:bCs/>
      <w:sz w:val="28"/>
      <w:szCs w:val="28"/>
    </w:rPr>
  </w:style>
  <w:style w:type="character" w:customStyle="1" w:styleId="396">
    <w:name w:val="标题 6 Char_file_195"/>
    <w:basedOn w:val="387"/>
    <w:semiHidden/>
    <w:qFormat/>
    <w:uiPriority w:val="9"/>
    <w:rPr>
      <w:rFonts w:asciiTheme="majorHAnsi" w:hAnsiTheme="majorHAnsi" w:eastAsiaTheme="majorEastAsia" w:cstheme="majorBidi"/>
      <w:b/>
      <w:bCs/>
      <w:sz w:val="24"/>
      <w:szCs w:val="24"/>
    </w:rPr>
  </w:style>
  <w:style w:type="paragraph" w:customStyle="1" w:styleId="397">
    <w:name w:val="cke_editable_file_195"/>
    <w:basedOn w:val="380"/>
    <w:qFormat/>
    <w:uiPriority w:val="0"/>
    <w:rPr>
      <w:rFonts w:ascii="仿宋_GB2312" w:eastAsia="仿宋_GB2312"/>
    </w:rPr>
  </w:style>
  <w:style w:type="paragraph" w:customStyle="1" w:styleId="398">
    <w:name w:val="marker_file_195"/>
    <w:basedOn w:val="380"/>
    <w:qFormat/>
    <w:uiPriority w:val="0"/>
    <w:pPr>
      <w:shd w:val="clear" w:color="auto" w:fill="FFFF00"/>
    </w:pPr>
  </w:style>
  <w:style w:type="paragraph" w:customStyle="1" w:styleId="399">
    <w:name w:val="Normal (Web)_file_195"/>
    <w:basedOn w:val="380"/>
    <w:semiHidden/>
    <w:unhideWhenUsed/>
    <w:qFormat/>
    <w:uiPriority w:val="99"/>
  </w:style>
  <w:style w:type="paragraph" w:customStyle="1" w:styleId="400">
    <w:name w:val="Normal_file_196"/>
    <w:qFormat/>
    <w:uiPriority w:val="0"/>
    <w:pPr>
      <w:widowControl w:val="0"/>
      <w:jc w:val="both"/>
    </w:pPr>
    <w:rPr>
      <w:rFonts w:ascii="Times New Roman" w:hAnsi="Times New Roman" w:eastAsia="宋体" w:cs="Times New Roman"/>
      <w:szCs w:val="24"/>
      <w:lang w:val="en-US" w:eastAsia="zh-CN" w:bidi="ar-SA"/>
    </w:rPr>
  </w:style>
  <w:style w:type="character" w:customStyle="1" w:styleId="401">
    <w:name w:val="Default Paragraph Font_file_196"/>
    <w:semiHidden/>
    <w:unhideWhenUsed/>
    <w:qFormat/>
    <w:uiPriority w:val="1"/>
  </w:style>
  <w:style w:type="table" w:customStyle="1" w:styleId="402">
    <w:name w:val="Normal Table_file_196"/>
    <w:semiHidden/>
    <w:unhideWhenUsed/>
    <w:qFormat/>
    <w:uiPriority w:val="99"/>
    <w:tblPr>
      <w:tblCellMar>
        <w:top w:w="0" w:type="dxa"/>
        <w:left w:w="108" w:type="dxa"/>
        <w:bottom w:w="0" w:type="dxa"/>
        <w:right w:w="108" w:type="dxa"/>
      </w:tblCellMar>
    </w:tblPr>
  </w:style>
  <w:style w:type="paragraph" w:customStyle="1" w:styleId="403">
    <w:name w:val="Normal_file_187_file_1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4">
    <w:name w:val="heading 1_file_187_file_196"/>
    <w:basedOn w:val="403"/>
    <w:qFormat/>
    <w:uiPriority w:val="9"/>
    <w:pPr>
      <w:outlineLvl w:val="0"/>
    </w:pPr>
    <w:rPr>
      <w:kern w:val="36"/>
      <w:sz w:val="48"/>
      <w:szCs w:val="48"/>
    </w:rPr>
  </w:style>
  <w:style w:type="paragraph" w:customStyle="1" w:styleId="405">
    <w:name w:val="heading 2_file_187_file_196"/>
    <w:basedOn w:val="403"/>
    <w:qFormat/>
    <w:uiPriority w:val="9"/>
    <w:pPr>
      <w:outlineLvl w:val="1"/>
    </w:pPr>
    <w:rPr>
      <w:sz w:val="36"/>
      <w:szCs w:val="36"/>
    </w:rPr>
  </w:style>
  <w:style w:type="paragraph" w:customStyle="1" w:styleId="406">
    <w:name w:val="heading 3_file_187_file_196"/>
    <w:basedOn w:val="403"/>
    <w:qFormat/>
    <w:uiPriority w:val="9"/>
    <w:pPr>
      <w:outlineLvl w:val="2"/>
    </w:pPr>
    <w:rPr>
      <w:sz w:val="27"/>
      <w:szCs w:val="27"/>
    </w:rPr>
  </w:style>
  <w:style w:type="paragraph" w:customStyle="1" w:styleId="407">
    <w:name w:val="heading 4_file_187_file_196"/>
    <w:basedOn w:val="403"/>
    <w:qFormat/>
    <w:uiPriority w:val="9"/>
    <w:pPr>
      <w:outlineLvl w:val="3"/>
    </w:pPr>
  </w:style>
  <w:style w:type="paragraph" w:customStyle="1" w:styleId="408">
    <w:name w:val="heading 5_file_187_file_196"/>
    <w:basedOn w:val="403"/>
    <w:qFormat/>
    <w:uiPriority w:val="9"/>
    <w:pPr>
      <w:outlineLvl w:val="4"/>
    </w:pPr>
    <w:rPr>
      <w:sz w:val="20"/>
      <w:szCs w:val="20"/>
    </w:rPr>
  </w:style>
  <w:style w:type="paragraph" w:customStyle="1" w:styleId="409">
    <w:name w:val="heading 6_file_187_file_196"/>
    <w:basedOn w:val="403"/>
    <w:qFormat/>
    <w:uiPriority w:val="9"/>
    <w:pPr>
      <w:outlineLvl w:val="5"/>
    </w:pPr>
    <w:rPr>
      <w:sz w:val="15"/>
      <w:szCs w:val="15"/>
    </w:rPr>
  </w:style>
  <w:style w:type="character" w:customStyle="1" w:styleId="410">
    <w:name w:val="Default Paragraph Font_file_187_file_196"/>
    <w:semiHidden/>
    <w:unhideWhenUsed/>
    <w:qFormat/>
    <w:uiPriority w:val="1"/>
  </w:style>
  <w:style w:type="table" w:customStyle="1" w:styleId="411">
    <w:name w:val="Normal Table_file_187_file_196"/>
    <w:semiHidden/>
    <w:unhideWhenUsed/>
    <w:qFormat/>
    <w:uiPriority w:val="99"/>
    <w:tblPr>
      <w:tblCellMar>
        <w:top w:w="0" w:type="dxa"/>
        <w:left w:w="108" w:type="dxa"/>
        <w:bottom w:w="0" w:type="dxa"/>
        <w:right w:w="108" w:type="dxa"/>
      </w:tblCellMar>
    </w:tblPr>
  </w:style>
  <w:style w:type="character" w:customStyle="1" w:styleId="412">
    <w:name w:val="Hyperlink_file_187_file_196"/>
    <w:basedOn w:val="410"/>
    <w:semiHidden/>
    <w:unhideWhenUsed/>
    <w:qFormat/>
    <w:uiPriority w:val="99"/>
    <w:rPr>
      <w:color w:val="0782C1"/>
      <w:u w:val="single"/>
    </w:rPr>
  </w:style>
  <w:style w:type="character" w:customStyle="1" w:styleId="413">
    <w:name w:val="FollowedHyperlink_file_187_file_196"/>
    <w:basedOn w:val="410"/>
    <w:semiHidden/>
    <w:unhideWhenUsed/>
    <w:qFormat/>
    <w:uiPriority w:val="99"/>
    <w:rPr>
      <w:color w:val="0782C1"/>
      <w:u w:val="single"/>
    </w:rPr>
  </w:style>
  <w:style w:type="character" w:customStyle="1" w:styleId="414">
    <w:name w:val="标题 1 Char_file_187_file_196"/>
    <w:basedOn w:val="410"/>
    <w:qFormat/>
    <w:uiPriority w:val="9"/>
    <w:rPr>
      <w:rFonts w:ascii="宋体" w:hAnsi="宋体" w:eastAsia="宋体" w:cs="宋体"/>
      <w:b/>
      <w:bCs/>
      <w:kern w:val="44"/>
      <w:sz w:val="44"/>
      <w:szCs w:val="44"/>
    </w:rPr>
  </w:style>
  <w:style w:type="character" w:customStyle="1" w:styleId="415">
    <w:name w:val="标题 2 Char_file_187_file_196"/>
    <w:basedOn w:val="410"/>
    <w:semiHidden/>
    <w:qFormat/>
    <w:uiPriority w:val="9"/>
    <w:rPr>
      <w:rFonts w:asciiTheme="majorHAnsi" w:hAnsiTheme="majorHAnsi" w:eastAsiaTheme="majorEastAsia" w:cstheme="majorBidi"/>
      <w:b/>
      <w:bCs/>
      <w:sz w:val="32"/>
      <w:szCs w:val="32"/>
    </w:rPr>
  </w:style>
  <w:style w:type="character" w:customStyle="1" w:styleId="416">
    <w:name w:val="标题 3 Char_file_187_file_196"/>
    <w:basedOn w:val="410"/>
    <w:semiHidden/>
    <w:qFormat/>
    <w:uiPriority w:val="9"/>
    <w:rPr>
      <w:rFonts w:ascii="宋体" w:hAnsi="宋体" w:eastAsia="宋体" w:cs="宋体"/>
      <w:b/>
      <w:bCs/>
      <w:sz w:val="32"/>
      <w:szCs w:val="32"/>
    </w:rPr>
  </w:style>
  <w:style w:type="character" w:customStyle="1" w:styleId="417">
    <w:name w:val="标题 4 Char_file_187_file_196"/>
    <w:basedOn w:val="410"/>
    <w:semiHidden/>
    <w:qFormat/>
    <w:uiPriority w:val="9"/>
    <w:rPr>
      <w:rFonts w:asciiTheme="majorHAnsi" w:hAnsiTheme="majorHAnsi" w:eastAsiaTheme="majorEastAsia" w:cstheme="majorBidi"/>
      <w:b/>
      <w:bCs/>
      <w:sz w:val="28"/>
      <w:szCs w:val="28"/>
    </w:rPr>
  </w:style>
  <w:style w:type="character" w:customStyle="1" w:styleId="418">
    <w:name w:val="标题 5 Char_file_187_file_196"/>
    <w:basedOn w:val="410"/>
    <w:semiHidden/>
    <w:qFormat/>
    <w:uiPriority w:val="9"/>
    <w:rPr>
      <w:rFonts w:ascii="宋体" w:hAnsi="宋体" w:eastAsia="宋体" w:cs="宋体"/>
      <w:b/>
      <w:bCs/>
      <w:sz w:val="28"/>
      <w:szCs w:val="28"/>
    </w:rPr>
  </w:style>
  <w:style w:type="character" w:customStyle="1" w:styleId="419">
    <w:name w:val="标题 6 Char_file_187_file_196"/>
    <w:basedOn w:val="410"/>
    <w:semiHidden/>
    <w:qFormat/>
    <w:uiPriority w:val="9"/>
    <w:rPr>
      <w:rFonts w:asciiTheme="majorHAnsi" w:hAnsiTheme="majorHAnsi" w:eastAsiaTheme="majorEastAsia" w:cstheme="majorBidi"/>
      <w:b/>
      <w:bCs/>
      <w:sz w:val="24"/>
      <w:szCs w:val="24"/>
    </w:rPr>
  </w:style>
  <w:style w:type="paragraph" w:customStyle="1" w:styleId="420">
    <w:name w:val="cke_editable_file_187_file_196"/>
    <w:basedOn w:val="403"/>
    <w:qFormat/>
    <w:uiPriority w:val="0"/>
    <w:rPr>
      <w:rFonts w:ascii="仿宋_GB2312" w:eastAsia="仿宋_GB2312"/>
    </w:rPr>
  </w:style>
  <w:style w:type="paragraph" w:customStyle="1" w:styleId="421">
    <w:name w:val="marker_file_187_file_196"/>
    <w:basedOn w:val="403"/>
    <w:qFormat/>
    <w:uiPriority w:val="0"/>
    <w:pPr>
      <w:shd w:val="clear" w:color="auto" w:fill="FFFF00"/>
    </w:pPr>
  </w:style>
  <w:style w:type="paragraph" w:customStyle="1" w:styleId="422">
    <w:name w:val="Normal (Web)_file_187_file_196"/>
    <w:basedOn w:val="403"/>
    <w:semiHidden/>
    <w:unhideWhenUsed/>
    <w:qFormat/>
    <w:uiPriority w:val="99"/>
  </w:style>
  <w:style w:type="paragraph" w:customStyle="1" w:styleId="423">
    <w:name w:val="Normal_file_1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4">
    <w:name w:val="heading 1_file_197"/>
    <w:basedOn w:val="423"/>
    <w:qFormat/>
    <w:uiPriority w:val="9"/>
    <w:pPr>
      <w:outlineLvl w:val="0"/>
    </w:pPr>
    <w:rPr>
      <w:kern w:val="36"/>
      <w:sz w:val="48"/>
      <w:szCs w:val="48"/>
    </w:rPr>
  </w:style>
  <w:style w:type="paragraph" w:customStyle="1" w:styleId="425">
    <w:name w:val="heading 2_file_197"/>
    <w:basedOn w:val="423"/>
    <w:qFormat/>
    <w:uiPriority w:val="9"/>
    <w:pPr>
      <w:outlineLvl w:val="1"/>
    </w:pPr>
    <w:rPr>
      <w:sz w:val="36"/>
      <w:szCs w:val="36"/>
    </w:rPr>
  </w:style>
  <w:style w:type="paragraph" w:customStyle="1" w:styleId="426">
    <w:name w:val="heading 3_file_197"/>
    <w:basedOn w:val="423"/>
    <w:qFormat/>
    <w:uiPriority w:val="9"/>
    <w:pPr>
      <w:outlineLvl w:val="2"/>
    </w:pPr>
    <w:rPr>
      <w:sz w:val="27"/>
      <w:szCs w:val="27"/>
    </w:rPr>
  </w:style>
  <w:style w:type="paragraph" w:customStyle="1" w:styleId="427">
    <w:name w:val="heading 4_file_197"/>
    <w:basedOn w:val="423"/>
    <w:qFormat/>
    <w:uiPriority w:val="9"/>
    <w:pPr>
      <w:outlineLvl w:val="3"/>
    </w:pPr>
  </w:style>
  <w:style w:type="paragraph" w:customStyle="1" w:styleId="428">
    <w:name w:val="heading 5_file_197"/>
    <w:basedOn w:val="423"/>
    <w:qFormat/>
    <w:uiPriority w:val="9"/>
    <w:pPr>
      <w:outlineLvl w:val="4"/>
    </w:pPr>
    <w:rPr>
      <w:sz w:val="20"/>
      <w:szCs w:val="20"/>
    </w:rPr>
  </w:style>
  <w:style w:type="paragraph" w:customStyle="1" w:styleId="429">
    <w:name w:val="heading 6_file_197"/>
    <w:basedOn w:val="423"/>
    <w:qFormat/>
    <w:uiPriority w:val="9"/>
    <w:pPr>
      <w:outlineLvl w:val="5"/>
    </w:pPr>
    <w:rPr>
      <w:sz w:val="15"/>
      <w:szCs w:val="15"/>
    </w:rPr>
  </w:style>
  <w:style w:type="character" w:customStyle="1" w:styleId="430">
    <w:name w:val="Default Paragraph Font_file_197"/>
    <w:semiHidden/>
    <w:unhideWhenUsed/>
    <w:qFormat/>
    <w:uiPriority w:val="1"/>
  </w:style>
  <w:style w:type="table" w:customStyle="1" w:styleId="431">
    <w:name w:val="Normal Table_file_197"/>
    <w:semiHidden/>
    <w:unhideWhenUsed/>
    <w:qFormat/>
    <w:uiPriority w:val="99"/>
    <w:tblPr>
      <w:tblCellMar>
        <w:top w:w="0" w:type="dxa"/>
        <w:left w:w="108" w:type="dxa"/>
        <w:bottom w:w="0" w:type="dxa"/>
        <w:right w:w="108" w:type="dxa"/>
      </w:tblCellMar>
    </w:tblPr>
  </w:style>
  <w:style w:type="character" w:customStyle="1" w:styleId="432">
    <w:name w:val="Hyperlink_file_197"/>
    <w:basedOn w:val="430"/>
    <w:semiHidden/>
    <w:unhideWhenUsed/>
    <w:qFormat/>
    <w:uiPriority w:val="99"/>
    <w:rPr>
      <w:color w:val="0782C1"/>
      <w:u w:val="single"/>
    </w:rPr>
  </w:style>
  <w:style w:type="character" w:customStyle="1" w:styleId="433">
    <w:name w:val="FollowedHyperlink_file_197"/>
    <w:basedOn w:val="430"/>
    <w:semiHidden/>
    <w:unhideWhenUsed/>
    <w:qFormat/>
    <w:uiPriority w:val="99"/>
    <w:rPr>
      <w:color w:val="0782C1"/>
      <w:u w:val="single"/>
    </w:rPr>
  </w:style>
  <w:style w:type="character" w:customStyle="1" w:styleId="434">
    <w:name w:val="标题 1 Char_file_197"/>
    <w:basedOn w:val="430"/>
    <w:qFormat/>
    <w:uiPriority w:val="9"/>
    <w:rPr>
      <w:rFonts w:ascii="宋体" w:hAnsi="宋体" w:eastAsia="宋体" w:cs="宋体"/>
      <w:b/>
      <w:bCs/>
      <w:kern w:val="44"/>
      <w:sz w:val="44"/>
      <w:szCs w:val="44"/>
    </w:rPr>
  </w:style>
  <w:style w:type="character" w:customStyle="1" w:styleId="435">
    <w:name w:val="标题 2 Char_file_197"/>
    <w:basedOn w:val="430"/>
    <w:semiHidden/>
    <w:qFormat/>
    <w:uiPriority w:val="9"/>
    <w:rPr>
      <w:rFonts w:asciiTheme="majorHAnsi" w:hAnsiTheme="majorHAnsi" w:eastAsiaTheme="majorEastAsia" w:cstheme="majorBidi"/>
      <w:b/>
      <w:bCs/>
      <w:sz w:val="32"/>
      <w:szCs w:val="32"/>
    </w:rPr>
  </w:style>
  <w:style w:type="character" w:customStyle="1" w:styleId="436">
    <w:name w:val="标题 3 Char_file_197"/>
    <w:basedOn w:val="430"/>
    <w:semiHidden/>
    <w:qFormat/>
    <w:uiPriority w:val="9"/>
    <w:rPr>
      <w:rFonts w:ascii="宋体" w:hAnsi="宋体" w:eastAsia="宋体" w:cs="宋体"/>
      <w:b/>
      <w:bCs/>
      <w:sz w:val="32"/>
      <w:szCs w:val="32"/>
    </w:rPr>
  </w:style>
  <w:style w:type="character" w:customStyle="1" w:styleId="437">
    <w:name w:val="标题 4 Char_file_197"/>
    <w:basedOn w:val="430"/>
    <w:semiHidden/>
    <w:qFormat/>
    <w:uiPriority w:val="9"/>
    <w:rPr>
      <w:rFonts w:asciiTheme="majorHAnsi" w:hAnsiTheme="majorHAnsi" w:eastAsiaTheme="majorEastAsia" w:cstheme="majorBidi"/>
      <w:b/>
      <w:bCs/>
      <w:sz w:val="28"/>
      <w:szCs w:val="28"/>
    </w:rPr>
  </w:style>
  <w:style w:type="character" w:customStyle="1" w:styleId="438">
    <w:name w:val="标题 5 Char_file_197"/>
    <w:basedOn w:val="430"/>
    <w:semiHidden/>
    <w:qFormat/>
    <w:uiPriority w:val="9"/>
    <w:rPr>
      <w:rFonts w:ascii="宋体" w:hAnsi="宋体" w:eastAsia="宋体" w:cs="宋体"/>
      <w:b/>
      <w:bCs/>
      <w:sz w:val="28"/>
      <w:szCs w:val="28"/>
    </w:rPr>
  </w:style>
  <w:style w:type="character" w:customStyle="1" w:styleId="439">
    <w:name w:val="标题 6 Char_file_197"/>
    <w:basedOn w:val="430"/>
    <w:semiHidden/>
    <w:qFormat/>
    <w:uiPriority w:val="9"/>
    <w:rPr>
      <w:rFonts w:asciiTheme="majorHAnsi" w:hAnsiTheme="majorHAnsi" w:eastAsiaTheme="majorEastAsia" w:cstheme="majorBidi"/>
      <w:b/>
      <w:bCs/>
      <w:sz w:val="24"/>
      <w:szCs w:val="24"/>
    </w:rPr>
  </w:style>
  <w:style w:type="paragraph" w:customStyle="1" w:styleId="440">
    <w:name w:val="cke_editable_file_197"/>
    <w:basedOn w:val="423"/>
    <w:qFormat/>
    <w:uiPriority w:val="0"/>
    <w:rPr>
      <w:rFonts w:ascii="仿宋_GB2312" w:eastAsia="仿宋_GB2312"/>
    </w:rPr>
  </w:style>
  <w:style w:type="paragraph" w:customStyle="1" w:styleId="441">
    <w:name w:val="marker_file_197"/>
    <w:basedOn w:val="423"/>
    <w:qFormat/>
    <w:uiPriority w:val="0"/>
    <w:pPr>
      <w:shd w:val="clear" w:color="auto" w:fill="FFFF00"/>
    </w:pPr>
  </w:style>
  <w:style w:type="paragraph" w:customStyle="1" w:styleId="442">
    <w:name w:val="Normal (Web)_file_197"/>
    <w:basedOn w:val="423"/>
    <w:semiHidden/>
    <w:unhideWhenUsed/>
    <w:qFormat/>
    <w:uiPriority w:val="99"/>
  </w:style>
  <w:style w:type="paragraph" w:customStyle="1" w:styleId="443">
    <w:name w:val="Normal_file_1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4">
    <w:name w:val="heading 1_file_198"/>
    <w:basedOn w:val="443"/>
    <w:qFormat/>
    <w:uiPriority w:val="9"/>
    <w:pPr>
      <w:outlineLvl w:val="0"/>
    </w:pPr>
    <w:rPr>
      <w:kern w:val="36"/>
      <w:sz w:val="48"/>
      <w:szCs w:val="48"/>
    </w:rPr>
  </w:style>
  <w:style w:type="paragraph" w:customStyle="1" w:styleId="445">
    <w:name w:val="heading 2_file_198"/>
    <w:basedOn w:val="443"/>
    <w:qFormat/>
    <w:uiPriority w:val="9"/>
    <w:pPr>
      <w:outlineLvl w:val="1"/>
    </w:pPr>
    <w:rPr>
      <w:sz w:val="36"/>
      <w:szCs w:val="36"/>
    </w:rPr>
  </w:style>
  <w:style w:type="paragraph" w:customStyle="1" w:styleId="446">
    <w:name w:val="heading 3_file_198"/>
    <w:basedOn w:val="443"/>
    <w:qFormat/>
    <w:uiPriority w:val="9"/>
    <w:pPr>
      <w:outlineLvl w:val="2"/>
    </w:pPr>
    <w:rPr>
      <w:sz w:val="27"/>
      <w:szCs w:val="27"/>
    </w:rPr>
  </w:style>
  <w:style w:type="paragraph" w:customStyle="1" w:styleId="447">
    <w:name w:val="heading 4_file_198"/>
    <w:basedOn w:val="443"/>
    <w:qFormat/>
    <w:uiPriority w:val="9"/>
    <w:pPr>
      <w:outlineLvl w:val="3"/>
    </w:pPr>
  </w:style>
  <w:style w:type="paragraph" w:customStyle="1" w:styleId="448">
    <w:name w:val="heading 5_file_198"/>
    <w:basedOn w:val="443"/>
    <w:qFormat/>
    <w:uiPriority w:val="9"/>
    <w:pPr>
      <w:outlineLvl w:val="4"/>
    </w:pPr>
    <w:rPr>
      <w:sz w:val="20"/>
      <w:szCs w:val="20"/>
    </w:rPr>
  </w:style>
  <w:style w:type="paragraph" w:customStyle="1" w:styleId="449">
    <w:name w:val="heading 6_file_198"/>
    <w:basedOn w:val="443"/>
    <w:qFormat/>
    <w:uiPriority w:val="9"/>
    <w:pPr>
      <w:outlineLvl w:val="5"/>
    </w:pPr>
    <w:rPr>
      <w:sz w:val="15"/>
      <w:szCs w:val="15"/>
    </w:rPr>
  </w:style>
  <w:style w:type="character" w:customStyle="1" w:styleId="450">
    <w:name w:val="Default Paragraph Font_file_198"/>
    <w:semiHidden/>
    <w:unhideWhenUsed/>
    <w:qFormat/>
    <w:uiPriority w:val="1"/>
  </w:style>
  <w:style w:type="table" w:customStyle="1" w:styleId="451">
    <w:name w:val="Normal Table_file_198"/>
    <w:semiHidden/>
    <w:unhideWhenUsed/>
    <w:qFormat/>
    <w:uiPriority w:val="99"/>
    <w:tblPr>
      <w:tblCellMar>
        <w:top w:w="0" w:type="dxa"/>
        <w:left w:w="108" w:type="dxa"/>
        <w:bottom w:w="0" w:type="dxa"/>
        <w:right w:w="108" w:type="dxa"/>
      </w:tblCellMar>
    </w:tblPr>
  </w:style>
  <w:style w:type="character" w:customStyle="1" w:styleId="452">
    <w:name w:val="Hyperlink_file_198"/>
    <w:basedOn w:val="450"/>
    <w:semiHidden/>
    <w:unhideWhenUsed/>
    <w:qFormat/>
    <w:uiPriority w:val="99"/>
    <w:rPr>
      <w:color w:val="0782C1"/>
      <w:u w:val="single"/>
    </w:rPr>
  </w:style>
  <w:style w:type="character" w:customStyle="1" w:styleId="453">
    <w:name w:val="FollowedHyperlink_file_198"/>
    <w:basedOn w:val="450"/>
    <w:semiHidden/>
    <w:unhideWhenUsed/>
    <w:qFormat/>
    <w:uiPriority w:val="99"/>
    <w:rPr>
      <w:color w:val="0782C1"/>
      <w:u w:val="single"/>
    </w:rPr>
  </w:style>
  <w:style w:type="character" w:customStyle="1" w:styleId="454">
    <w:name w:val="标题 1 Char_file_198"/>
    <w:basedOn w:val="450"/>
    <w:qFormat/>
    <w:uiPriority w:val="9"/>
    <w:rPr>
      <w:rFonts w:ascii="宋体" w:hAnsi="宋体" w:eastAsia="宋体" w:cs="宋体"/>
      <w:b/>
      <w:bCs/>
      <w:kern w:val="44"/>
      <w:sz w:val="44"/>
      <w:szCs w:val="44"/>
    </w:rPr>
  </w:style>
  <w:style w:type="character" w:customStyle="1" w:styleId="455">
    <w:name w:val="标题 2 Char_file_198"/>
    <w:basedOn w:val="450"/>
    <w:semiHidden/>
    <w:qFormat/>
    <w:uiPriority w:val="9"/>
    <w:rPr>
      <w:rFonts w:asciiTheme="majorHAnsi" w:hAnsiTheme="majorHAnsi" w:eastAsiaTheme="majorEastAsia" w:cstheme="majorBidi"/>
      <w:b/>
      <w:bCs/>
      <w:sz w:val="32"/>
      <w:szCs w:val="32"/>
    </w:rPr>
  </w:style>
  <w:style w:type="character" w:customStyle="1" w:styleId="456">
    <w:name w:val="标题 3 Char_file_198"/>
    <w:basedOn w:val="450"/>
    <w:semiHidden/>
    <w:qFormat/>
    <w:uiPriority w:val="9"/>
    <w:rPr>
      <w:rFonts w:ascii="宋体" w:hAnsi="宋体" w:eastAsia="宋体" w:cs="宋体"/>
      <w:b/>
      <w:bCs/>
      <w:sz w:val="32"/>
      <w:szCs w:val="32"/>
    </w:rPr>
  </w:style>
  <w:style w:type="character" w:customStyle="1" w:styleId="457">
    <w:name w:val="标题 4 Char_file_198"/>
    <w:basedOn w:val="450"/>
    <w:semiHidden/>
    <w:qFormat/>
    <w:uiPriority w:val="9"/>
    <w:rPr>
      <w:rFonts w:asciiTheme="majorHAnsi" w:hAnsiTheme="majorHAnsi" w:eastAsiaTheme="majorEastAsia" w:cstheme="majorBidi"/>
      <w:b/>
      <w:bCs/>
      <w:sz w:val="28"/>
      <w:szCs w:val="28"/>
    </w:rPr>
  </w:style>
  <w:style w:type="character" w:customStyle="1" w:styleId="458">
    <w:name w:val="标题 5 Char_file_198"/>
    <w:basedOn w:val="450"/>
    <w:semiHidden/>
    <w:qFormat/>
    <w:uiPriority w:val="9"/>
    <w:rPr>
      <w:rFonts w:ascii="宋体" w:hAnsi="宋体" w:eastAsia="宋体" w:cs="宋体"/>
      <w:b/>
      <w:bCs/>
      <w:sz w:val="28"/>
      <w:szCs w:val="28"/>
    </w:rPr>
  </w:style>
  <w:style w:type="character" w:customStyle="1" w:styleId="459">
    <w:name w:val="标题 6 Char_file_198"/>
    <w:basedOn w:val="450"/>
    <w:semiHidden/>
    <w:qFormat/>
    <w:uiPriority w:val="9"/>
    <w:rPr>
      <w:rFonts w:asciiTheme="majorHAnsi" w:hAnsiTheme="majorHAnsi" w:eastAsiaTheme="majorEastAsia" w:cstheme="majorBidi"/>
      <w:b/>
      <w:bCs/>
      <w:sz w:val="24"/>
      <w:szCs w:val="24"/>
    </w:rPr>
  </w:style>
  <w:style w:type="paragraph" w:customStyle="1" w:styleId="460">
    <w:name w:val="cke_editable_file_198"/>
    <w:basedOn w:val="443"/>
    <w:qFormat/>
    <w:uiPriority w:val="0"/>
    <w:rPr>
      <w:rFonts w:ascii="仿宋_GB2312" w:eastAsia="仿宋_GB2312"/>
    </w:rPr>
  </w:style>
  <w:style w:type="paragraph" w:customStyle="1" w:styleId="461">
    <w:name w:val="marker_file_198"/>
    <w:basedOn w:val="443"/>
    <w:qFormat/>
    <w:uiPriority w:val="0"/>
    <w:pPr>
      <w:shd w:val="clear" w:color="auto" w:fill="FFFF00"/>
    </w:pPr>
  </w:style>
  <w:style w:type="paragraph" w:customStyle="1" w:styleId="462">
    <w:name w:val="Normal (Web)_file_198"/>
    <w:basedOn w:val="443"/>
    <w:semiHidden/>
    <w:unhideWhenUsed/>
    <w:qFormat/>
    <w:uiPriority w:val="99"/>
  </w:style>
  <w:style w:type="character" w:customStyle="1" w:styleId="463">
    <w:name w:val="Strong_file_198"/>
    <w:basedOn w:val="450"/>
    <w:qFormat/>
    <w:uiPriority w:val="22"/>
    <w:rPr>
      <w:b/>
      <w:bCs/>
    </w:rPr>
  </w:style>
  <w:style w:type="paragraph" w:customStyle="1" w:styleId="464">
    <w:name w:val="Normal_file_19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5">
    <w:name w:val="heading 1_file_199"/>
    <w:basedOn w:val="464"/>
    <w:qFormat/>
    <w:uiPriority w:val="9"/>
    <w:pPr>
      <w:outlineLvl w:val="0"/>
    </w:pPr>
    <w:rPr>
      <w:kern w:val="36"/>
      <w:sz w:val="48"/>
      <w:szCs w:val="48"/>
    </w:rPr>
  </w:style>
  <w:style w:type="paragraph" w:customStyle="1" w:styleId="466">
    <w:name w:val="heading 2_file_199"/>
    <w:basedOn w:val="464"/>
    <w:qFormat/>
    <w:uiPriority w:val="9"/>
    <w:pPr>
      <w:outlineLvl w:val="1"/>
    </w:pPr>
    <w:rPr>
      <w:sz w:val="36"/>
      <w:szCs w:val="36"/>
    </w:rPr>
  </w:style>
  <w:style w:type="paragraph" w:customStyle="1" w:styleId="467">
    <w:name w:val="heading 3_file_199"/>
    <w:basedOn w:val="464"/>
    <w:qFormat/>
    <w:uiPriority w:val="9"/>
    <w:pPr>
      <w:outlineLvl w:val="2"/>
    </w:pPr>
    <w:rPr>
      <w:sz w:val="27"/>
      <w:szCs w:val="27"/>
    </w:rPr>
  </w:style>
  <w:style w:type="paragraph" w:customStyle="1" w:styleId="468">
    <w:name w:val="heading 4_file_199"/>
    <w:basedOn w:val="464"/>
    <w:qFormat/>
    <w:uiPriority w:val="9"/>
    <w:pPr>
      <w:outlineLvl w:val="3"/>
    </w:pPr>
  </w:style>
  <w:style w:type="paragraph" w:customStyle="1" w:styleId="469">
    <w:name w:val="heading 5_file_199"/>
    <w:basedOn w:val="464"/>
    <w:qFormat/>
    <w:uiPriority w:val="9"/>
    <w:pPr>
      <w:outlineLvl w:val="4"/>
    </w:pPr>
    <w:rPr>
      <w:sz w:val="20"/>
      <w:szCs w:val="20"/>
    </w:rPr>
  </w:style>
  <w:style w:type="paragraph" w:customStyle="1" w:styleId="470">
    <w:name w:val="heading 6_file_199"/>
    <w:basedOn w:val="464"/>
    <w:qFormat/>
    <w:uiPriority w:val="9"/>
    <w:pPr>
      <w:outlineLvl w:val="5"/>
    </w:pPr>
    <w:rPr>
      <w:sz w:val="15"/>
      <w:szCs w:val="15"/>
    </w:rPr>
  </w:style>
  <w:style w:type="character" w:customStyle="1" w:styleId="471">
    <w:name w:val="Default Paragraph Font_file_199"/>
    <w:semiHidden/>
    <w:unhideWhenUsed/>
    <w:qFormat/>
    <w:uiPriority w:val="1"/>
  </w:style>
  <w:style w:type="table" w:customStyle="1" w:styleId="472">
    <w:name w:val="Normal Table_file_199"/>
    <w:semiHidden/>
    <w:unhideWhenUsed/>
    <w:qFormat/>
    <w:uiPriority w:val="99"/>
    <w:tblPr>
      <w:tblCellMar>
        <w:top w:w="0" w:type="dxa"/>
        <w:left w:w="108" w:type="dxa"/>
        <w:bottom w:w="0" w:type="dxa"/>
        <w:right w:w="108" w:type="dxa"/>
      </w:tblCellMar>
    </w:tblPr>
  </w:style>
  <w:style w:type="character" w:customStyle="1" w:styleId="473">
    <w:name w:val="Hyperlink_file_199"/>
    <w:basedOn w:val="471"/>
    <w:semiHidden/>
    <w:unhideWhenUsed/>
    <w:qFormat/>
    <w:uiPriority w:val="99"/>
    <w:rPr>
      <w:color w:val="0782C1"/>
      <w:u w:val="single"/>
    </w:rPr>
  </w:style>
  <w:style w:type="character" w:customStyle="1" w:styleId="474">
    <w:name w:val="FollowedHyperlink_file_199"/>
    <w:basedOn w:val="471"/>
    <w:semiHidden/>
    <w:unhideWhenUsed/>
    <w:qFormat/>
    <w:uiPriority w:val="99"/>
    <w:rPr>
      <w:color w:val="0782C1"/>
      <w:u w:val="single"/>
    </w:rPr>
  </w:style>
  <w:style w:type="character" w:customStyle="1" w:styleId="475">
    <w:name w:val="标题 1 Char_file_199"/>
    <w:basedOn w:val="471"/>
    <w:qFormat/>
    <w:uiPriority w:val="9"/>
    <w:rPr>
      <w:rFonts w:ascii="宋体" w:hAnsi="宋体" w:eastAsia="宋体" w:cs="宋体"/>
      <w:b/>
      <w:bCs/>
      <w:kern w:val="44"/>
      <w:sz w:val="44"/>
      <w:szCs w:val="44"/>
    </w:rPr>
  </w:style>
  <w:style w:type="character" w:customStyle="1" w:styleId="476">
    <w:name w:val="标题 2 Char_file_199"/>
    <w:basedOn w:val="471"/>
    <w:semiHidden/>
    <w:qFormat/>
    <w:uiPriority w:val="9"/>
    <w:rPr>
      <w:rFonts w:asciiTheme="majorHAnsi" w:hAnsiTheme="majorHAnsi" w:eastAsiaTheme="majorEastAsia" w:cstheme="majorBidi"/>
      <w:b/>
      <w:bCs/>
      <w:sz w:val="32"/>
      <w:szCs w:val="32"/>
    </w:rPr>
  </w:style>
  <w:style w:type="character" w:customStyle="1" w:styleId="477">
    <w:name w:val="标题 3 Char_file_199"/>
    <w:basedOn w:val="471"/>
    <w:semiHidden/>
    <w:qFormat/>
    <w:uiPriority w:val="9"/>
    <w:rPr>
      <w:rFonts w:ascii="宋体" w:hAnsi="宋体" w:eastAsia="宋体" w:cs="宋体"/>
      <w:b/>
      <w:bCs/>
      <w:sz w:val="32"/>
      <w:szCs w:val="32"/>
    </w:rPr>
  </w:style>
  <w:style w:type="character" w:customStyle="1" w:styleId="478">
    <w:name w:val="标题 4 Char_file_199"/>
    <w:basedOn w:val="471"/>
    <w:semiHidden/>
    <w:qFormat/>
    <w:uiPriority w:val="9"/>
    <w:rPr>
      <w:rFonts w:asciiTheme="majorHAnsi" w:hAnsiTheme="majorHAnsi" w:eastAsiaTheme="majorEastAsia" w:cstheme="majorBidi"/>
      <w:b/>
      <w:bCs/>
      <w:sz w:val="28"/>
      <w:szCs w:val="28"/>
    </w:rPr>
  </w:style>
  <w:style w:type="character" w:customStyle="1" w:styleId="479">
    <w:name w:val="标题 5 Char_file_199"/>
    <w:basedOn w:val="471"/>
    <w:semiHidden/>
    <w:qFormat/>
    <w:uiPriority w:val="9"/>
    <w:rPr>
      <w:rFonts w:ascii="宋体" w:hAnsi="宋体" w:eastAsia="宋体" w:cs="宋体"/>
      <w:b/>
      <w:bCs/>
      <w:sz w:val="28"/>
      <w:szCs w:val="28"/>
    </w:rPr>
  </w:style>
  <w:style w:type="character" w:customStyle="1" w:styleId="480">
    <w:name w:val="标题 6 Char_file_199"/>
    <w:basedOn w:val="471"/>
    <w:semiHidden/>
    <w:qFormat/>
    <w:uiPriority w:val="9"/>
    <w:rPr>
      <w:rFonts w:asciiTheme="majorHAnsi" w:hAnsiTheme="majorHAnsi" w:eastAsiaTheme="majorEastAsia" w:cstheme="majorBidi"/>
      <w:b/>
      <w:bCs/>
      <w:sz w:val="24"/>
      <w:szCs w:val="24"/>
    </w:rPr>
  </w:style>
  <w:style w:type="paragraph" w:customStyle="1" w:styleId="481">
    <w:name w:val="cke_editable_file_199"/>
    <w:basedOn w:val="464"/>
    <w:qFormat/>
    <w:uiPriority w:val="0"/>
    <w:rPr>
      <w:rFonts w:ascii="仿宋_GB2312" w:eastAsia="仿宋_GB2312"/>
    </w:rPr>
  </w:style>
  <w:style w:type="paragraph" w:customStyle="1" w:styleId="482">
    <w:name w:val="marker_file_199"/>
    <w:basedOn w:val="464"/>
    <w:qFormat/>
    <w:uiPriority w:val="0"/>
    <w:pPr>
      <w:shd w:val="clear" w:color="auto" w:fill="FFFF00"/>
    </w:pPr>
  </w:style>
  <w:style w:type="paragraph" w:customStyle="1" w:styleId="483">
    <w:name w:val="Normal (Web)_file_199"/>
    <w:basedOn w:val="464"/>
    <w:semiHidden/>
    <w:unhideWhenUsed/>
    <w:qFormat/>
    <w:uiPriority w:val="99"/>
  </w:style>
  <w:style w:type="paragraph" w:customStyle="1" w:styleId="484">
    <w:name w:val="Normal_file_20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5">
    <w:name w:val="heading 1_file_200"/>
    <w:basedOn w:val="484"/>
    <w:qFormat/>
    <w:uiPriority w:val="9"/>
    <w:pPr>
      <w:outlineLvl w:val="0"/>
    </w:pPr>
    <w:rPr>
      <w:kern w:val="36"/>
      <w:sz w:val="48"/>
      <w:szCs w:val="48"/>
    </w:rPr>
  </w:style>
  <w:style w:type="paragraph" w:customStyle="1" w:styleId="486">
    <w:name w:val="heading 2_file_200"/>
    <w:basedOn w:val="484"/>
    <w:qFormat/>
    <w:uiPriority w:val="9"/>
    <w:pPr>
      <w:outlineLvl w:val="1"/>
    </w:pPr>
    <w:rPr>
      <w:sz w:val="36"/>
      <w:szCs w:val="36"/>
    </w:rPr>
  </w:style>
  <w:style w:type="paragraph" w:customStyle="1" w:styleId="487">
    <w:name w:val="heading 3_file_200"/>
    <w:basedOn w:val="484"/>
    <w:qFormat/>
    <w:uiPriority w:val="9"/>
    <w:pPr>
      <w:outlineLvl w:val="2"/>
    </w:pPr>
    <w:rPr>
      <w:sz w:val="27"/>
      <w:szCs w:val="27"/>
    </w:rPr>
  </w:style>
  <w:style w:type="paragraph" w:customStyle="1" w:styleId="488">
    <w:name w:val="heading 4_file_200"/>
    <w:basedOn w:val="484"/>
    <w:qFormat/>
    <w:uiPriority w:val="9"/>
    <w:pPr>
      <w:outlineLvl w:val="3"/>
    </w:pPr>
  </w:style>
  <w:style w:type="paragraph" w:customStyle="1" w:styleId="489">
    <w:name w:val="heading 5_file_200"/>
    <w:basedOn w:val="484"/>
    <w:qFormat/>
    <w:uiPriority w:val="9"/>
    <w:pPr>
      <w:outlineLvl w:val="4"/>
    </w:pPr>
    <w:rPr>
      <w:sz w:val="20"/>
      <w:szCs w:val="20"/>
    </w:rPr>
  </w:style>
  <w:style w:type="paragraph" w:customStyle="1" w:styleId="490">
    <w:name w:val="heading 6_file_200"/>
    <w:basedOn w:val="484"/>
    <w:qFormat/>
    <w:uiPriority w:val="9"/>
    <w:pPr>
      <w:outlineLvl w:val="5"/>
    </w:pPr>
    <w:rPr>
      <w:sz w:val="15"/>
      <w:szCs w:val="15"/>
    </w:rPr>
  </w:style>
  <w:style w:type="character" w:customStyle="1" w:styleId="491">
    <w:name w:val="Default Paragraph Font_file_200"/>
    <w:semiHidden/>
    <w:unhideWhenUsed/>
    <w:qFormat/>
    <w:uiPriority w:val="1"/>
  </w:style>
  <w:style w:type="table" w:customStyle="1" w:styleId="492">
    <w:name w:val="Normal Table_file_200"/>
    <w:semiHidden/>
    <w:unhideWhenUsed/>
    <w:qFormat/>
    <w:uiPriority w:val="99"/>
    <w:tblPr>
      <w:tblCellMar>
        <w:top w:w="0" w:type="dxa"/>
        <w:left w:w="108" w:type="dxa"/>
        <w:bottom w:w="0" w:type="dxa"/>
        <w:right w:w="108" w:type="dxa"/>
      </w:tblCellMar>
    </w:tblPr>
  </w:style>
  <w:style w:type="character" w:customStyle="1" w:styleId="493">
    <w:name w:val="Hyperlink_file_200"/>
    <w:basedOn w:val="491"/>
    <w:semiHidden/>
    <w:unhideWhenUsed/>
    <w:qFormat/>
    <w:uiPriority w:val="99"/>
    <w:rPr>
      <w:color w:val="0782C1"/>
      <w:u w:val="single"/>
    </w:rPr>
  </w:style>
  <w:style w:type="character" w:customStyle="1" w:styleId="494">
    <w:name w:val="FollowedHyperlink_file_200"/>
    <w:basedOn w:val="491"/>
    <w:semiHidden/>
    <w:unhideWhenUsed/>
    <w:qFormat/>
    <w:uiPriority w:val="99"/>
    <w:rPr>
      <w:color w:val="0782C1"/>
      <w:u w:val="single"/>
    </w:rPr>
  </w:style>
  <w:style w:type="character" w:customStyle="1" w:styleId="495">
    <w:name w:val="标题 1 Char_file_200"/>
    <w:basedOn w:val="491"/>
    <w:qFormat/>
    <w:uiPriority w:val="9"/>
    <w:rPr>
      <w:rFonts w:ascii="宋体" w:hAnsi="宋体" w:eastAsia="宋体" w:cs="宋体"/>
      <w:b/>
      <w:bCs/>
      <w:kern w:val="44"/>
      <w:sz w:val="44"/>
      <w:szCs w:val="44"/>
    </w:rPr>
  </w:style>
  <w:style w:type="character" w:customStyle="1" w:styleId="496">
    <w:name w:val="标题 2 Char_file_200"/>
    <w:basedOn w:val="491"/>
    <w:semiHidden/>
    <w:qFormat/>
    <w:uiPriority w:val="9"/>
    <w:rPr>
      <w:rFonts w:asciiTheme="majorHAnsi" w:hAnsiTheme="majorHAnsi" w:eastAsiaTheme="majorEastAsia" w:cstheme="majorBidi"/>
      <w:b/>
      <w:bCs/>
      <w:sz w:val="32"/>
      <w:szCs w:val="32"/>
    </w:rPr>
  </w:style>
  <w:style w:type="character" w:customStyle="1" w:styleId="497">
    <w:name w:val="标题 3 Char_file_200"/>
    <w:basedOn w:val="491"/>
    <w:semiHidden/>
    <w:qFormat/>
    <w:uiPriority w:val="9"/>
    <w:rPr>
      <w:rFonts w:ascii="宋体" w:hAnsi="宋体" w:eastAsia="宋体" w:cs="宋体"/>
      <w:b/>
      <w:bCs/>
      <w:sz w:val="32"/>
      <w:szCs w:val="32"/>
    </w:rPr>
  </w:style>
  <w:style w:type="character" w:customStyle="1" w:styleId="498">
    <w:name w:val="标题 4 Char_file_200"/>
    <w:basedOn w:val="491"/>
    <w:semiHidden/>
    <w:qFormat/>
    <w:uiPriority w:val="9"/>
    <w:rPr>
      <w:rFonts w:asciiTheme="majorHAnsi" w:hAnsiTheme="majorHAnsi" w:eastAsiaTheme="majorEastAsia" w:cstheme="majorBidi"/>
      <w:b/>
      <w:bCs/>
      <w:sz w:val="28"/>
      <w:szCs w:val="28"/>
    </w:rPr>
  </w:style>
  <w:style w:type="character" w:customStyle="1" w:styleId="499">
    <w:name w:val="标题 5 Char_file_200"/>
    <w:basedOn w:val="491"/>
    <w:semiHidden/>
    <w:qFormat/>
    <w:uiPriority w:val="9"/>
    <w:rPr>
      <w:rFonts w:ascii="宋体" w:hAnsi="宋体" w:eastAsia="宋体" w:cs="宋体"/>
      <w:b/>
      <w:bCs/>
      <w:sz w:val="28"/>
      <w:szCs w:val="28"/>
    </w:rPr>
  </w:style>
  <w:style w:type="character" w:customStyle="1" w:styleId="500">
    <w:name w:val="标题 6 Char_file_200"/>
    <w:basedOn w:val="491"/>
    <w:semiHidden/>
    <w:qFormat/>
    <w:uiPriority w:val="9"/>
    <w:rPr>
      <w:rFonts w:asciiTheme="majorHAnsi" w:hAnsiTheme="majorHAnsi" w:eastAsiaTheme="majorEastAsia" w:cstheme="majorBidi"/>
      <w:b/>
      <w:bCs/>
      <w:sz w:val="24"/>
      <w:szCs w:val="24"/>
    </w:rPr>
  </w:style>
  <w:style w:type="paragraph" w:customStyle="1" w:styleId="501">
    <w:name w:val="cke_editable_file_200"/>
    <w:basedOn w:val="484"/>
    <w:qFormat/>
    <w:uiPriority w:val="0"/>
    <w:rPr>
      <w:rFonts w:ascii="仿宋_GB2312" w:eastAsia="仿宋_GB2312"/>
    </w:rPr>
  </w:style>
  <w:style w:type="paragraph" w:customStyle="1" w:styleId="502">
    <w:name w:val="marker_file_200"/>
    <w:basedOn w:val="484"/>
    <w:qFormat/>
    <w:uiPriority w:val="0"/>
    <w:pPr>
      <w:shd w:val="clear" w:color="auto" w:fill="FFFF00"/>
    </w:pPr>
  </w:style>
  <w:style w:type="paragraph" w:customStyle="1" w:styleId="503">
    <w:name w:val="Normal (Web)_file_200"/>
    <w:basedOn w:val="484"/>
    <w:semiHidden/>
    <w:unhideWhenUsed/>
    <w:qFormat/>
    <w:uiPriority w:val="99"/>
  </w:style>
  <w:style w:type="paragraph" w:customStyle="1" w:styleId="504">
    <w:name w:val="Normal_file_20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5">
    <w:name w:val="heading 1_file_201"/>
    <w:basedOn w:val="504"/>
    <w:qFormat/>
    <w:uiPriority w:val="9"/>
    <w:pPr>
      <w:outlineLvl w:val="0"/>
    </w:pPr>
    <w:rPr>
      <w:kern w:val="36"/>
      <w:sz w:val="48"/>
      <w:szCs w:val="48"/>
    </w:rPr>
  </w:style>
  <w:style w:type="paragraph" w:customStyle="1" w:styleId="506">
    <w:name w:val="heading 2_file_201"/>
    <w:basedOn w:val="504"/>
    <w:qFormat/>
    <w:uiPriority w:val="9"/>
    <w:pPr>
      <w:outlineLvl w:val="1"/>
    </w:pPr>
    <w:rPr>
      <w:sz w:val="36"/>
      <w:szCs w:val="36"/>
    </w:rPr>
  </w:style>
  <w:style w:type="paragraph" w:customStyle="1" w:styleId="507">
    <w:name w:val="heading 3_file_201"/>
    <w:basedOn w:val="504"/>
    <w:qFormat/>
    <w:uiPriority w:val="9"/>
    <w:pPr>
      <w:outlineLvl w:val="2"/>
    </w:pPr>
    <w:rPr>
      <w:sz w:val="27"/>
      <w:szCs w:val="27"/>
    </w:rPr>
  </w:style>
  <w:style w:type="paragraph" w:customStyle="1" w:styleId="508">
    <w:name w:val="heading 4_file_201"/>
    <w:basedOn w:val="504"/>
    <w:qFormat/>
    <w:uiPriority w:val="9"/>
    <w:pPr>
      <w:outlineLvl w:val="3"/>
    </w:pPr>
  </w:style>
  <w:style w:type="paragraph" w:customStyle="1" w:styleId="509">
    <w:name w:val="heading 5_file_201"/>
    <w:basedOn w:val="504"/>
    <w:qFormat/>
    <w:uiPriority w:val="9"/>
    <w:pPr>
      <w:outlineLvl w:val="4"/>
    </w:pPr>
    <w:rPr>
      <w:sz w:val="20"/>
      <w:szCs w:val="20"/>
    </w:rPr>
  </w:style>
  <w:style w:type="paragraph" w:customStyle="1" w:styleId="510">
    <w:name w:val="heading 6_file_201"/>
    <w:basedOn w:val="504"/>
    <w:qFormat/>
    <w:uiPriority w:val="9"/>
    <w:pPr>
      <w:outlineLvl w:val="5"/>
    </w:pPr>
    <w:rPr>
      <w:sz w:val="15"/>
      <w:szCs w:val="15"/>
    </w:rPr>
  </w:style>
  <w:style w:type="character" w:customStyle="1" w:styleId="511">
    <w:name w:val="Default Paragraph Font_file_201"/>
    <w:semiHidden/>
    <w:unhideWhenUsed/>
    <w:qFormat/>
    <w:uiPriority w:val="1"/>
  </w:style>
  <w:style w:type="table" w:customStyle="1" w:styleId="512">
    <w:name w:val="Normal Table_file_201"/>
    <w:semiHidden/>
    <w:unhideWhenUsed/>
    <w:qFormat/>
    <w:uiPriority w:val="99"/>
    <w:tblPr>
      <w:tblCellMar>
        <w:top w:w="0" w:type="dxa"/>
        <w:left w:w="108" w:type="dxa"/>
        <w:bottom w:w="0" w:type="dxa"/>
        <w:right w:w="108" w:type="dxa"/>
      </w:tblCellMar>
    </w:tblPr>
  </w:style>
  <w:style w:type="character" w:customStyle="1" w:styleId="513">
    <w:name w:val="Hyperlink_file_201"/>
    <w:basedOn w:val="511"/>
    <w:semiHidden/>
    <w:unhideWhenUsed/>
    <w:qFormat/>
    <w:uiPriority w:val="99"/>
    <w:rPr>
      <w:color w:val="0782C1"/>
      <w:u w:val="single"/>
    </w:rPr>
  </w:style>
  <w:style w:type="character" w:customStyle="1" w:styleId="514">
    <w:name w:val="FollowedHyperlink_file_201"/>
    <w:basedOn w:val="511"/>
    <w:semiHidden/>
    <w:unhideWhenUsed/>
    <w:qFormat/>
    <w:uiPriority w:val="99"/>
    <w:rPr>
      <w:color w:val="0782C1"/>
      <w:u w:val="single"/>
    </w:rPr>
  </w:style>
  <w:style w:type="character" w:customStyle="1" w:styleId="515">
    <w:name w:val="标题 1 Char_file_201"/>
    <w:basedOn w:val="511"/>
    <w:qFormat/>
    <w:uiPriority w:val="9"/>
    <w:rPr>
      <w:rFonts w:ascii="宋体" w:hAnsi="宋体" w:eastAsia="宋体" w:cs="宋体"/>
      <w:b/>
      <w:bCs/>
      <w:kern w:val="44"/>
      <w:sz w:val="44"/>
      <w:szCs w:val="44"/>
    </w:rPr>
  </w:style>
  <w:style w:type="character" w:customStyle="1" w:styleId="516">
    <w:name w:val="标题 2 Char_file_201"/>
    <w:basedOn w:val="511"/>
    <w:semiHidden/>
    <w:qFormat/>
    <w:uiPriority w:val="9"/>
    <w:rPr>
      <w:rFonts w:asciiTheme="majorHAnsi" w:hAnsiTheme="majorHAnsi" w:eastAsiaTheme="majorEastAsia" w:cstheme="majorBidi"/>
      <w:b/>
      <w:bCs/>
      <w:sz w:val="32"/>
      <w:szCs w:val="32"/>
    </w:rPr>
  </w:style>
  <w:style w:type="character" w:customStyle="1" w:styleId="517">
    <w:name w:val="标题 3 Char_file_201"/>
    <w:basedOn w:val="511"/>
    <w:semiHidden/>
    <w:qFormat/>
    <w:uiPriority w:val="9"/>
    <w:rPr>
      <w:rFonts w:ascii="宋体" w:hAnsi="宋体" w:eastAsia="宋体" w:cs="宋体"/>
      <w:b/>
      <w:bCs/>
      <w:sz w:val="32"/>
      <w:szCs w:val="32"/>
    </w:rPr>
  </w:style>
  <w:style w:type="character" w:customStyle="1" w:styleId="518">
    <w:name w:val="标题 4 Char_file_201"/>
    <w:basedOn w:val="511"/>
    <w:semiHidden/>
    <w:qFormat/>
    <w:uiPriority w:val="9"/>
    <w:rPr>
      <w:rFonts w:asciiTheme="majorHAnsi" w:hAnsiTheme="majorHAnsi" w:eastAsiaTheme="majorEastAsia" w:cstheme="majorBidi"/>
      <w:b/>
      <w:bCs/>
      <w:sz w:val="28"/>
      <w:szCs w:val="28"/>
    </w:rPr>
  </w:style>
  <w:style w:type="character" w:customStyle="1" w:styleId="519">
    <w:name w:val="标题 5 Char_file_201"/>
    <w:basedOn w:val="511"/>
    <w:semiHidden/>
    <w:qFormat/>
    <w:uiPriority w:val="9"/>
    <w:rPr>
      <w:rFonts w:ascii="宋体" w:hAnsi="宋体" w:eastAsia="宋体" w:cs="宋体"/>
      <w:b/>
      <w:bCs/>
      <w:sz w:val="28"/>
      <w:szCs w:val="28"/>
    </w:rPr>
  </w:style>
  <w:style w:type="character" w:customStyle="1" w:styleId="520">
    <w:name w:val="标题 6 Char_file_201"/>
    <w:basedOn w:val="511"/>
    <w:semiHidden/>
    <w:qFormat/>
    <w:uiPriority w:val="9"/>
    <w:rPr>
      <w:rFonts w:asciiTheme="majorHAnsi" w:hAnsiTheme="majorHAnsi" w:eastAsiaTheme="majorEastAsia" w:cstheme="majorBidi"/>
      <w:b/>
      <w:bCs/>
      <w:sz w:val="24"/>
      <w:szCs w:val="24"/>
    </w:rPr>
  </w:style>
  <w:style w:type="paragraph" w:customStyle="1" w:styleId="521">
    <w:name w:val="cke_editable_file_201"/>
    <w:basedOn w:val="504"/>
    <w:qFormat/>
    <w:uiPriority w:val="0"/>
    <w:rPr>
      <w:rFonts w:ascii="仿宋_GB2312" w:eastAsia="仿宋_GB2312"/>
    </w:rPr>
  </w:style>
  <w:style w:type="paragraph" w:customStyle="1" w:styleId="522">
    <w:name w:val="marker_file_201"/>
    <w:basedOn w:val="504"/>
    <w:qFormat/>
    <w:uiPriority w:val="0"/>
    <w:pPr>
      <w:shd w:val="clear" w:color="auto" w:fill="FFFF00"/>
    </w:pPr>
  </w:style>
  <w:style w:type="paragraph" w:customStyle="1" w:styleId="523">
    <w:name w:val="Normal_file_20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4">
    <w:name w:val="heading 1_file_202"/>
    <w:basedOn w:val="523"/>
    <w:qFormat/>
    <w:uiPriority w:val="9"/>
    <w:pPr>
      <w:outlineLvl w:val="0"/>
    </w:pPr>
    <w:rPr>
      <w:kern w:val="36"/>
      <w:sz w:val="48"/>
      <w:szCs w:val="48"/>
    </w:rPr>
  </w:style>
  <w:style w:type="paragraph" w:customStyle="1" w:styleId="525">
    <w:name w:val="heading 2_file_202"/>
    <w:basedOn w:val="523"/>
    <w:qFormat/>
    <w:uiPriority w:val="9"/>
    <w:pPr>
      <w:outlineLvl w:val="1"/>
    </w:pPr>
    <w:rPr>
      <w:sz w:val="36"/>
      <w:szCs w:val="36"/>
    </w:rPr>
  </w:style>
  <w:style w:type="paragraph" w:customStyle="1" w:styleId="526">
    <w:name w:val="heading 3_file_202"/>
    <w:basedOn w:val="523"/>
    <w:qFormat/>
    <w:uiPriority w:val="9"/>
    <w:pPr>
      <w:outlineLvl w:val="2"/>
    </w:pPr>
    <w:rPr>
      <w:sz w:val="27"/>
      <w:szCs w:val="27"/>
    </w:rPr>
  </w:style>
  <w:style w:type="paragraph" w:customStyle="1" w:styleId="527">
    <w:name w:val="heading 4_file_202"/>
    <w:basedOn w:val="523"/>
    <w:qFormat/>
    <w:uiPriority w:val="9"/>
    <w:pPr>
      <w:outlineLvl w:val="3"/>
    </w:pPr>
  </w:style>
  <w:style w:type="paragraph" w:customStyle="1" w:styleId="528">
    <w:name w:val="heading 5_file_202"/>
    <w:basedOn w:val="523"/>
    <w:qFormat/>
    <w:uiPriority w:val="9"/>
    <w:pPr>
      <w:outlineLvl w:val="4"/>
    </w:pPr>
    <w:rPr>
      <w:sz w:val="20"/>
      <w:szCs w:val="20"/>
    </w:rPr>
  </w:style>
  <w:style w:type="paragraph" w:customStyle="1" w:styleId="529">
    <w:name w:val="heading 6_file_202"/>
    <w:basedOn w:val="523"/>
    <w:qFormat/>
    <w:uiPriority w:val="9"/>
    <w:pPr>
      <w:outlineLvl w:val="5"/>
    </w:pPr>
    <w:rPr>
      <w:sz w:val="15"/>
      <w:szCs w:val="15"/>
    </w:rPr>
  </w:style>
  <w:style w:type="character" w:customStyle="1" w:styleId="530">
    <w:name w:val="Default Paragraph Font_file_202"/>
    <w:semiHidden/>
    <w:unhideWhenUsed/>
    <w:qFormat/>
    <w:uiPriority w:val="1"/>
  </w:style>
  <w:style w:type="table" w:customStyle="1" w:styleId="531">
    <w:name w:val="Normal Table_file_202"/>
    <w:semiHidden/>
    <w:unhideWhenUsed/>
    <w:qFormat/>
    <w:uiPriority w:val="99"/>
    <w:tblPr>
      <w:tblCellMar>
        <w:top w:w="0" w:type="dxa"/>
        <w:left w:w="108" w:type="dxa"/>
        <w:bottom w:w="0" w:type="dxa"/>
        <w:right w:w="108" w:type="dxa"/>
      </w:tblCellMar>
    </w:tblPr>
  </w:style>
  <w:style w:type="character" w:customStyle="1" w:styleId="532">
    <w:name w:val="Hyperlink_file_202"/>
    <w:basedOn w:val="530"/>
    <w:semiHidden/>
    <w:unhideWhenUsed/>
    <w:qFormat/>
    <w:uiPriority w:val="99"/>
    <w:rPr>
      <w:color w:val="0782C1"/>
      <w:u w:val="single"/>
    </w:rPr>
  </w:style>
  <w:style w:type="character" w:customStyle="1" w:styleId="533">
    <w:name w:val="FollowedHyperlink_file_202"/>
    <w:basedOn w:val="530"/>
    <w:semiHidden/>
    <w:unhideWhenUsed/>
    <w:qFormat/>
    <w:uiPriority w:val="99"/>
    <w:rPr>
      <w:color w:val="0782C1"/>
      <w:u w:val="single"/>
    </w:rPr>
  </w:style>
  <w:style w:type="character" w:customStyle="1" w:styleId="534">
    <w:name w:val="标题 1 Char_file_202"/>
    <w:basedOn w:val="530"/>
    <w:qFormat/>
    <w:uiPriority w:val="9"/>
    <w:rPr>
      <w:rFonts w:ascii="宋体" w:hAnsi="宋体" w:eastAsia="宋体" w:cs="宋体"/>
      <w:b/>
      <w:bCs/>
      <w:kern w:val="44"/>
      <w:sz w:val="44"/>
      <w:szCs w:val="44"/>
    </w:rPr>
  </w:style>
  <w:style w:type="character" w:customStyle="1" w:styleId="535">
    <w:name w:val="标题 2 Char_file_202"/>
    <w:basedOn w:val="530"/>
    <w:semiHidden/>
    <w:qFormat/>
    <w:uiPriority w:val="9"/>
    <w:rPr>
      <w:rFonts w:asciiTheme="majorHAnsi" w:hAnsiTheme="majorHAnsi" w:eastAsiaTheme="majorEastAsia" w:cstheme="majorBidi"/>
      <w:b/>
      <w:bCs/>
      <w:sz w:val="32"/>
      <w:szCs w:val="32"/>
    </w:rPr>
  </w:style>
  <w:style w:type="character" w:customStyle="1" w:styleId="536">
    <w:name w:val="标题 3 Char_file_202"/>
    <w:basedOn w:val="530"/>
    <w:semiHidden/>
    <w:qFormat/>
    <w:uiPriority w:val="9"/>
    <w:rPr>
      <w:rFonts w:ascii="宋体" w:hAnsi="宋体" w:eastAsia="宋体" w:cs="宋体"/>
      <w:b/>
      <w:bCs/>
      <w:sz w:val="32"/>
      <w:szCs w:val="32"/>
    </w:rPr>
  </w:style>
  <w:style w:type="character" w:customStyle="1" w:styleId="537">
    <w:name w:val="标题 4 Char_file_202"/>
    <w:basedOn w:val="530"/>
    <w:semiHidden/>
    <w:qFormat/>
    <w:uiPriority w:val="9"/>
    <w:rPr>
      <w:rFonts w:asciiTheme="majorHAnsi" w:hAnsiTheme="majorHAnsi" w:eastAsiaTheme="majorEastAsia" w:cstheme="majorBidi"/>
      <w:b/>
      <w:bCs/>
      <w:sz w:val="28"/>
      <w:szCs w:val="28"/>
    </w:rPr>
  </w:style>
  <w:style w:type="character" w:customStyle="1" w:styleId="538">
    <w:name w:val="标题 5 Char_file_202"/>
    <w:basedOn w:val="530"/>
    <w:semiHidden/>
    <w:qFormat/>
    <w:uiPriority w:val="9"/>
    <w:rPr>
      <w:rFonts w:ascii="宋体" w:hAnsi="宋体" w:eastAsia="宋体" w:cs="宋体"/>
      <w:b/>
      <w:bCs/>
      <w:sz w:val="28"/>
      <w:szCs w:val="28"/>
    </w:rPr>
  </w:style>
  <w:style w:type="character" w:customStyle="1" w:styleId="539">
    <w:name w:val="标题 6 Char_file_202"/>
    <w:basedOn w:val="530"/>
    <w:semiHidden/>
    <w:qFormat/>
    <w:uiPriority w:val="9"/>
    <w:rPr>
      <w:rFonts w:asciiTheme="majorHAnsi" w:hAnsiTheme="majorHAnsi" w:eastAsiaTheme="majorEastAsia" w:cstheme="majorBidi"/>
      <w:b/>
      <w:bCs/>
      <w:sz w:val="24"/>
      <w:szCs w:val="24"/>
    </w:rPr>
  </w:style>
  <w:style w:type="paragraph" w:customStyle="1" w:styleId="540">
    <w:name w:val="cke_editable_file_202"/>
    <w:basedOn w:val="523"/>
    <w:qFormat/>
    <w:uiPriority w:val="0"/>
    <w:rPr>
      <w:rFonts w:ascii="仿宋_GB2312" w:eastAsia="仿宋_GB2312"/>
    </w:rPr>
  </w:style>
  <w:style w:type="paragraph" w:customStyle="1" w:styleId="541">
    <w:name w:val="marker_file_202"/>
    <w:basedOn w:val="523"/>
    <w:qFormat/>
    <w:uiPriority w:val="0"/>
    <w:pPr>
      <w:shd w:val="clear" w:color="auto" w:fill="FFFF00"/>
    </w:pPr>
  </w:style>
  <w:style w:type="paragraph" w:customStyle="1" w:styleId="542">
    <w:name w:val="Normal (Web)_file_202"/>
    <w:basedOn w:val="523"/>
    <w:semiHidden/>
    <w:unhideWhenUsed/>
    <w:qFormat/>
    <w:uiPriority w:val="99"/>
  </w:style>
  <w:style w:type="character" w:customStyle="1" w:styleId="543">
    <w:name w:val="Strong_file_202"/>
    <w:basedOn w:val="530"/>
    <w:qFormat/>
    <w:uiPriority w:val="22"/>
    <w:rPr>
      <w:b/>
      <w:bCs/>
    </w:rPr>
  </w:style>
  <w:style w:type="paragraph" w:customStyle="1" w:styleId="544">
    <w:name w:val="Normal_file_20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5">
    <w:name w:val="heading 1_file_203"/>
    <w:basedOn w:val="544"/>
    <w:qFormat/>
    <w:uiPriority w:val="9"/>
    <w:pPr>
      <w:outlineLvl w:val="0"/>
    </w:pPr>
    <w:rPr>
      <w:kern w:val="36"/>
      <w:sz w:val="48"/>
      <w:szCs w:val="48"/>
    </w:rPr>
  </w:style>
  <w:style w:type="paragraph" w:customStyle="1" w:styleId="546">
    <w:name w:val="heading 2_file_203"/>
    <w:basedOn w:val="544"/>
    <w:qFormat/>
    <w:uiPriority w:val="9"/>
    <w:pPr>
      <w:outlineLvl w:val="1"/>
    </w:pPr>
    <w:rPr>
      <w:sz w:val="36"/>
      <w:szCs w:val="36"/>
    </w:rPr>
  </w:style>
  <w:style w:type="paragraph" w:customStyle="1" w:styleId="547">
    <w:name w:val="heading 3_file_203"/>
    <w:basedOn w:val="544"/>
    <w:qFormat/>
    <w:uiPriority w:val="9"/>
    <w:pPr>
      <w:outlineLvl w:val="2"/>
    </w:pPr>
    <w:rPr>
      <w:sz w:val="27"/>
      <w:szCs w:val="27"/>
    </w:rPr>
  </w:style>
  <w:style w:type="paragraph" w:customStyle="1" w:styleId="548">
    <w:name w:val="heading 4_file_203"/>
    <w:basedOn w:val="544"/>
    <w:qFormat/>
    <w:uiPriority w:val="9"/>
    <w:pPr>
      <w:outlineLvl w:val="3"/>
    </w:pPr>
  </w:style>
  <w:style w:type="paragraph" w:customStyle="1" w:styleId="549">
    <w:name w:val="heading 5_file_203"/>
    <w:basedOn w:val="544"/>
    <w:qFormat/>
    <w:uiPriority w:val="9"/>
    <w:pPr>
      <w:outlineLvl w:val="4"/>
    </w:pPr>
    <w:rPr>
      <w:sz w:val="20"/>
      <w:szCs w:val="20"/>
    </w:rPr>
  </w:style>
  <w:style w:type="paragraph" w:customStyle="1" w:styleId="550">
    <w:name w:val="heading 6_file_203"/>
    <w:basedOn w:val="544"/>
    <w:qFormat/>
    <w:uiPriority w:val="9"/>
    <w:pPr>
      <w:outlineLvl w:val="5"/>
    </w:pPr>
    <w:rPr>
      <w:sz w:val="15"/>
      <w:szCs w:val="15"/>
    </w:rPr>
  </w:style>
  <w:style w:type="character" w:customStyle="1" w:styleId="551">
    <w:name w:val="Default Paragraph Font_file_203"/>
    <w:semiHidden/>
    <w:unhideWhenUsed/>
    <w:qFormat/>
    <w:uiPriority w:val="1"/>
  </w:style>
  <w:style w:type="table" w:customStyle="1" w:styleId="552">
    <w:name w:val="Normal Table_file_203"/>
    <w:semiHidden/>
    <w:unhideWhenUsed/>
    <w:qFormat/>
    <w:uiPriority w:val="99"/>
    <w:tblPr>
      <w:tblCellMar>
        <w:top w:w="0" w:type="dxa"/>
        <w:left w:w="108" w:type="dxa"/>
        <w:bottom w:w="0" w:type="dxa"/>
        <w:right w:w="108" w:type="dxa"/>
      </w:tblCellMar>
    </w:tblPr>
  </w:style>
  <w:style w:type="character" w:customStyle="1" w:styleId="553">
    <w:name w:val="Hyperlink_file_203"/>
    <w:basedOn w:val="551"/>
    <w:semiHidden/>
    <w:unhideWhenUsed/>
    <w:qFormat/>
    <w:uiPriority w:val="99"/>
    <w:rPr>
      <w:color w:val="0782C1"/>
      <w:u w:val="single"/>
    </w:rPr>
  </w:style>
  <w:style w:type="character" w:customStyle="1" w:styleId="554">
    <w:name w:val="FollowedHyperlink_file_203"/>
    <w:basedOn w:val="551"/>
    <w:semiHidden/>
    <w:unhideWhenUsed/>
    <w:qFormat/>
    <w:uiPriority w:val="99"/>
    <w:rPr>
      <w:color w:val="0782C1"/>
      <w:u w:val="single"/>
    </w:rPr>
  </w:style>
  <w:style w:type="character" w:customStyle="1" w:styleId="555">
    <w:name w:val="标题 1 Char_file_203"/>
    <w:basedOn w:val="551"/>
    <w:qFormat/>
    <w:uiPriority w:val="9"/>
    <w:rPr>
      <w:rFonts w:ascii="宋体" w:hAnsi="宋体" w:eastAsia="宋体" w:cs="宋体"/>
      <w:b/>
      <w:bCs/>
      <w:kern w:val="44"/>
      <w:sz w:val="44"/>
      <w:szCs w:val="44"/>
    </w:rPr>
  </w:style>
  <w:style w:type="character" w:customStyle="1" w:styleId="556">
    <w:name w:val="标题 2 Char_file_203"/>
    <w:basedOn w:val="551"/>
    <w:semiHidden/>
    <w:qFormat/>
    <w:uiPriority w:val="9"/>
    <w:rPr>
      <w:rFonts w:asciiTheme="majorHAnsi" w:hAnsiTheme="majorHAnsi" w:eastAsiaTheme="majorEastAsia" w:cstheme="majorBidi"/>
      <w:b/>
      <w:bCs/>
      <w:sz w:val="32"/>
      <w:szCs w:val="32"/>
    </w:rPr>
  </w:style>
  <w:style w:type="character" w:customStyle="1" w:styleId="557">
    <w:name w:val="标题 3 Char_file_203"/>
    <w:basedOn w:val="551"/>
    <w:semiHidden/>
    <w:qFormat/>
    <w:uiPriority w:val="9"/>
    <w:rPr>
      <w:rFonts w:ascii="宋体" w:hAnsi="宋体" w:eastAsia="宋体" w:cs="宋体"/>
      <w:b/>
      <w:bCs/>
      <w:sz w:val="32"/>
      <w:szCs w:val="32"/>
    </w:rPr>
  </w:style>
  <w:style w:type="character" w:customStyle="1" w:styleId="558">
    <w:name w:val="标题 4 Char_file_203"/>
    <w:basedOn w:val="551"/>
    <w:semiHidden/>
    <w:qFormat/>
    <w:uiPriority w:val="9"/>
    <w:rPr>
      <w:rFonts w:asciiTheme="majorHAnsi" w:hAnsiTheme="majorHAnsi" w:eastAsiaTheme="majorEastAsia" w:cstheme="majorBidi"/>
      <w:b/>
      <w:bCs/>
      <w:sz w:val="28"/>
      <w:szCs w:val="28"/>
    </w:rPr>
  </w:style>
  <w:style w:type="character" w:customStyle="1" w:styleId="559">
    <w:name w:val="标题 5 Char_file_203"/>
    <w:basedOn w:val="551"/>
    <w:semiHidden/>
    <w:qFormat/>
    <w:uiPriority w:val="9"/>
    <w:rPr>
      <w:rFonts w:ascii="宋体" w:hAnsi="宋体" w:eastAsia="宋体" w:cs="宋体"/>
      <w:b/>
      <w:bCs/>
      <w:sz w:val="28"/>
      <w:szCs w:val="28"/>
    </w:rPr>
  </w:style>
  <w:style w:type="character" w:customStyle="1" w:styleId="560">
    <w:name w:val="标题 6 Char_file_203"/>
    <w:basedOn w:val="551"/>
    <w:semiHidden/>
    <w:qFormat/>
    <w:uiPriority w:val="9"/>
    <w:rPr>
      <w:rFonts w:asciiTheme="majorHAnsi" w:hAnsiTheme="majorHAnsi" w:eastAsiaTheme="majorEastAsia" w:cstheme="majorBidi"/>
      <w:b/>
      <w:bCs/>
      <w:sz w:val="24"/>
      <w:szCs w:val="24"/>
    </w:rPr>
  </w:style>
  <w:style w:type="paragraph" w:customStyle="1" w:styleId="561">
    <w:name w:val="cke_editable_file_203"/>
    <w:basedOn w:val="544"/>
    <w:qFormat/>
    <w:uiPriority w:val="0"/>
    <w:rPr>
      <w:rFonts w:ascii="仿宋_GB2312" w:eastAsia="仿宋_GB2312"/>
    </w:rPr>
  </w:style>
  <w:style w:type="paragraph" w:customStyle="1" w:styleId="562">
    <w:name w:val="marker_file_203"/>
    <w:basedOn w:val="544"/>
    <w:qFormat/>
    <w:uiPriority w:val="0"/>
    <w:pPr>
      <w:shd w:val="clear" w:color="auto" w:fill="FFFF00"/>
    </w:pPr>
  </w:style>
  <w:style w:type="paragraph" w:customStyle="1" w:styleId="563">
    <w:name w:val="Normal (Web)_file_203"/>
    <w:basedOn w:val="544"/>
    <w:semiHidden/>
    <w:unhideWhenUsed/>
    <w:qFormat/>
    <w:uiPriority w:val="99"/>
  </w:style>
  <w:style w:type="character" w:customStyle="1" w:styleId="564">
    <w:name w:val="Strong_file_203"/>
    <w:basedOn w:val="551"/>
    <w:qFormat/>
    <w:uiPriority w:val="22"/>
    <w:rPr>
      <w:b/>
      <w:bCs/>
    </w:rPr>
  </w:style>
  <w:style w:type="paragraph" w:customStyle="1" w:styleId="565">
    <w:name w:val="Normal_file_20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6">
    <w:name w:val="heading 1_file_204"/>
    <w:basedOn w:val="565"/>
    <w:qFormat/>
    <w:uiPriority w:val="9"/>
    <w:pPr>
      <w:outlineLvl w:val="0"/>
    </w:pPr>
    <w:rPr>
      <w:kern w:val="36"/>
      <w:sz w:val="48"/>
      <w:szCs w:val="48"/>
    </w:rPr>
  </w:style>
  <w:style w:type="paragraph" w:customStyle="1" w:styleId="567">
    <w:name w:val="heading 2_file_204"/>
    <w:basedOn w:val="565"/>
    <w:qFormat/>
    <w:uiPriority w:val="9"/>
    <w:pPr>
      <w:outlineLvl w:val="1"/>
    </w:pPr>
    <w:rPr>
      <w:sz w:val="36"/>
      <w:szCs w:val="36"/>
    </w:rPr>
  </w:style>
  <w:style w:type="paragraph" w:customStyle="1" w:styleId="568">
    <w:name w:val="heading 3_file_204"/>
    <w:basedOn w:val="565"/>
    <w:qFormat/>
    <w:uiPriority w:val="9"/>
    <w:pPr>
      <w:outlineLvl w:val="2"/>
    </w:pPr>
    <w:rPr>
      <w:sz w:val="27"/>
      <w:szCs w:val="27"/>
    </w:rPr>
  </w:style>
  <w:style w:type="paragraph" w:customStyle="1" w:styleId="569">
    <w:name w:val="heading 4_file_204"/>
    <w:basedOn w:val="565"/>
    <w:qFormat/>
    <w:uiPriority w:val="9"/>
    <w:pPr>
      <w:outlineLvl w:val="3"/>
    </w:pPr>
  </w:style>
  <w:style w:type="paragraph" w:customStyle="1" w:styleId="570">
    <w:name w:val="heading 5_file_204"/>
    <w:basedOn w:val="565"/>
    <w:qFormat/>
    <w:uiPriority w:val="9"/>
    <w:pPr>
      <w:outlineLvl w:val="4"/>
    </w:pPr>
    <w:rPr>
      <w:sz w:val="20"/>
      <w:szCs w:val="20"/>
    </w:rPr>
  </w:style>
  <w:style w:type="paragraph" w:customStyle="1" w:styleId="571">
    <w:name w:val="heading 6_file_204"/>
    <w:basedOn w:val="565"/>
    <w:qFormat/>
    <w:uiPriority w:val="9"/>
    <w:pPr>
      <w:outlineLvl w:val="5"/>
    </w:pPr>
    <w:rPr>
      <w:sz w:val="15"/>
      <w:szCs w:val="15"/>
    </w:rPr>
  </w:style>
  <w:style w:type="character" w:customStyle="1" w:styleId="572">
    <w:name w:val="Default Paragraph Font_file_204"/>
    <w:semiHidden/>
    <w:unhideWhenUsed/>
    <w:qFormat/>
    <w:uiPriority w:val="1"/>
  </w:style>
  <w:style w:type="table" w:customStyle="1" w:styleId="573">
    <w:name w:val="Normal Table_file_204"/>
    <w:semiHidden/>
    <w:unhideWhenUsed/>
    <w:qFormat/>
    <w:uiPriority w:val="99"/>
    <w:tblPr>
      <w:tblCellMar>
        <w:top w:w="0" w:type="dxa"/>
        <w:left w:w="108" w:type="dxa"/>
        <w:bottom w:w="0" w:type="dxa"/>
        <w:right w:w="108" w:type="dxa"/>
      </w:tblCellMar>
    </w:tblPr>
  </w:style>
  <w:style w:type="character" w:customStyle="1" w:styleId="574">
    <w:name w:val="Hyperlink_file_204"/>
    <w:basedOn w:val="572"/>
    <w:semiHidden/>
    <w:unhideWhenUsed/>
    <w:qFormat/>
    <w:uiPriority w:val="99"/>
    <w:rPr>
      <w:color w:val="0782C1"/>
      <w:u w:val="single"/>
    </w:rPr>
  </w:style>
  <w:style w:type="character" w:customStyle="1" w:styleId="575">
    <w:name w:val="FollowedHyperlink_file_204"/>
    <w:basedOn w:val="572"/>
    <w:semiHidden/>
    <w:unhideWhenUsed/>
    <w:qFormat/>
    <w:uiPriority w:val="99"/>
    <w:rPr>
      <w:color w:val="0782C1"/>
      <w:u w:val="single"/>
    </w:rPr>
  </w:style>
  <w:style w:type="character" w:customStyle="1" w:styleId="576">
    <w:name w:val="标题 1 Char_file_204"/>
    <w:basedOn w:val="572"/>
    <w:qFormat/>
    <w:uiPriority w:val="9"/>
    <w:rPr>
      <w:rFonts w:ascii="宋体" w:hAnsi="宋体" w:eastAsia="宋体" w:cs="宋体"/>
      <w:b/>
      <w:bCs/>
      <w:kern w:val="44"/>
      <w:sz w:val="44"/>
      <w:szCs w:val="44"/>
    </w:rPr>
  </w:style>
  <w:style w:type="character" w:customStyle="1" w:styleId="577">
    <w:name w:val="标题 2 Char_file_204"/>
    <w:basedOn w:val="572"/>
    <w:semiHidden/>
    <w:qFormat/>
    <w:uiPriority w:val="9"/>
    <w:rPr>
      <w:rFonts w:asciiTheme="majorHAnsi" w:hAnsiTheme="majorHAnsi" w:eastAsiaTheme="majorEastAsia" w:cstheme="majorBidi"/>
      <w:b/>
      <w:bCs/>
      <w:sz w:val="32"/>
      <w:szCs w:val="32"/>
    </w:rPr>
  </w:style>
  <w:style w:type="character" w:customStyle="1" w:styleId="578">
    <w:name w:val="标题 3 Char_file_204"/>
    <w:basedOn w:val="572"/>
    <w:semiHidden/>
    <w:qFormat/>
    <w:uiPriority w:val="9"/>
    <w:rPr>
      <w:rFonts w:ascii="宋体" w:hAnsi="宋体" w:eastAsia="宋体" w:cs="宋体"/>
      <w:b/>
      <w:bCs/>
      <w:sz w:val="32"/>
      <w:szCs w:val="32"/>
    </w:rPr>
  </w:style>
  <w:style w:type="character" w:customStyle="1" w:styleId="579">
    <w:name w:val="标题 4 Char_file_204"/>
    <w:basedOn w:val="572"/>
    <w:semiHidden/>
    <w:qFormat/>
    <w:uiPriority w:val="9"/>
    <w:rPr>
      <w:rFonts w:asciiTheme="majorHAnsi" w:hAnsiTheme="majorHAnsi" w:eastAsiaTheme="majorEastAsia" w:cstheme="majorBidi"/>
      <w:b/>
      <w:bCs/>
      <w:sz w:val="28"/>
      <w:szCs w:val="28"/>
    </w:rPr>
  </w:style>
  <w:style w:type="character" w:customStyle="1" w:styleId="580">
    <w:name w:val="标题 5 Char_file_204"/>
    <w:basedOn w:val="572"/>
    <w:semiHidden/>
    <w:qFormat/>
    <w:uiPriority w:val="9"/>
    <w:rPr>
      <w:rFonts w:ascii="宋体" w:hAnsi="宋体" w:eastAsia="宋体" w:cs="宋体"/>
      <w:b/>
      <w:bCs/>
      <w:sz w:val="28"/>
      <w:szCs w:val="28"/>
    </w:rPr>
  </w:style>
  <w:style w:type="character" w:customStyle="1" w:styleId="581">
    <w:name w:val="标题 6 Char_file_204"/>
    <w:basedOn w:val="572"/>
    <w:semiHidden/>
    <w:qFormat/>
    <w:uiPriority w:val="9"/>
    <w:rPr>
      <w:rFonts w:asciiTheme="majorHAnsi" w:hAnsiTheme="majorHAnsi" w:eastAsiaTheme="majorEastAsia" w:cstheme="majorBidi"/>
      <w:b/>
      <w:bCs/>
      <w:sz w:val="24"/>
      <w:szCs w:val="24"/>
    </w:rPr>
  </w:style>
  <w:style w:type="paragraph" w:customStyle="1" w:styleId="582">
    <w:name w:val="cke_editable_file_204"/>
    <w:basedOn w:val="565"/>
    <w:qFormat/>
    <w:uiPriority w:val="0"/>
    <w:rPr>
      <w:rFonts w:ascii="仿宋_GB2312" w:eastAsia="仿宋_GB2312"/>
    </w:rPr>
  </w:style>
  <w:style w:type="paragraph" w:customStyle="1" w:styleId="583">
    <w:name w:val="marker_file_204"/>
    <w:basedOn w:val="565"/>
    <w:qFormat/>
    <w:uiPriority w:val="0"/>
    <w:pPr>
      <w:shd w:val="clear" w:color="auto" w:fill="FFFF00"/>
    </w:pPr>
  </w:style>
  <w:style w:type="paragraph" w:customStyle="1" w:styleId="584">
    <w:name w:val="Normal (Web)_file_204"/>
    <w:basedOn w:val="565"/>
    <w:semiHidden/>
    <w:unhideWhenUsed/>
    <w:qFormat/>
    <w:uiPriority w:val="99"/>
  </w:style>
  <w:style w:type="paragraph" w:customStyle="1" w:styleId="585">
    <w:name w:val="Normal_file_20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6">
    <w:name w:val="heading 1_file_205"/>
    <w:basedOn w:val="585"/>
    <w:qFormat/>
    <w:uiPriority w:val="9"/>
    <w:pPr>
      <w:outlineLvl w:val="0"/>
    </w:pPr>
    <w:rPr>
      <w:kern w:val="36"/>
      <w:sz w:val="48"/>
      <w:szCs w:val="48"/>
    </w:rPr>
  </w:style>
  <w:style w:type="paragraph" w:customStyle="1" w:styleId="587">
    <w:name w:val="heading 2_file_205"/>
    <w:basedOn w:val="585"/>
    <w:qFormat/>
    <w:uiPriority w:val="9"/>
    <w:pPr>
      <w:outlineLvl w:val="1"/>
    </w:pPr>
    <w:rPr>
      <w:sz w:val="36"/>
      <w:szCs w:val="36"/>
    </w:rPr>
  </w:style>
  <w:style w:type="paragraph" w:customStyle="1" w:styleId="588">
    <w:name w:val="heading 3_file_205"/>
    <w:basedOn w:val="585"/>
    <w:qFormat/>
    <w:uiPriority w:val="9"/>
    <w:pPr>
      <w:outlineLvl w:val="2"/>
    </w:pPr>
    <w:rPr>
      <w:sz w:val="27"/>
      <w:szCs w:val="27"/>
    </w:rPr>
  </w:style>
  <w:style w:type="paragraph" w:customStyle="1" w:styleId="589">
    <w:name w:val="heading 4_file_205"/>
    <w:basedOn w:val="585"/>
    <w:qFormat/>
    <w:uiPriority w:val="9"/>
    <w:pPr>
      <w:outlineLvl w:val="3"/>
    </w:pPr>
  </w:style>
  <w:style w:type="paragraph" w:customStyle="1" w:styleId="590">
    <w:name w:val="heading 5_file_205"/>
    <w:basedOn w:val="585"/>
    <w:qFormat/>
    <w:uiPriority w:val="9"/>
    <w:pPr>
      <w:outlineLvl w:val="4"/>
    </w:pPr>
    <w:rPr>
      <w:sz w:val="20"/>
      <w:szCs w:val="20"/>
    </w:rPr>
  </w:style>
  <w:style w:type="paragraph" w:customStyle="1" w:styleId="591">
    <w:name w:val="heading 6_file_205"/>
    <w:basedOn w:val="585"/>
    <w:qFormat/>
    <w:uiPriority w:val="9"/>
    <w:pPr>
      <w:outlineLvl w:val="5"/>
    </w:pPr>
    <w:rPr>
      <w:sz w:val="15"/>
      <w:szCs w:val="15"/>
    </w:rPr>
  </w:style>
  <w:style w:type="character" w:customStyle="1" w:styleId="592">
    <w:name w:val="Default Paragraph Font_file_205"/>
    <w:semiHidden/>
    <w:unhideWhenUsed/>
    <w:qFormat/>
    <w:uiPriority w:val="1"/>
  </w:style>
  <w:style w:type="table" w:customStyle="1" w:styleId="593">
    <w:name w:val="Normal Table_file_205"/>
    <w:semiHidden/>
    <w:unhideWhenUsed/>
    <w:qFormat/>
    <w:uiPriority w:val="99"/>
    <w:tblPr>
      <w:tblCellMar>
        <w:top w:w="0" w:type="dxa"/>
        <w:left w:w="108" w:type="dxa"/>
        <w:bottom w:w="0" w:type="dxa"/>
        <w:right w:w="108" w:type="dxa"/>
      </w:tblCellMar>
    </w:tblPr>
  </w:style>
  <w:style w:type="character" w:customStyle="1" w:styleId="594">
    <w:name w:val="Hyperlink_file_205"/>
    <w:basedOn w:val="592"/>
    <w:semiHidden/>
    <w:unhideWhenUsed/>
    <w:qFormat/>
    <w:uiPriority w:val="99"/>
    <w:rPr>
      <w:color w:val="0782C1"/>
      <w:u w:val="single"/>
    </w:rPr>
  </w:style>
  <w:style w:type="character" w:customStyle="1" w:styleId="595">
    <w:name w:val="FollowedHyperlink_file_205"/>
    <w:basedOn w:val="592"/>
    <w:semiHidden/>
    <w:unhideWhenUsed/>
    <w:qFormat/>
    <w:uiPriority w:val="99"/>
    <w:rPr>
      <w:color w:val="0782C1"/>
      <w:u w:val="single"/>
    </w:rPr>
  </w:style>
  <w:style w:type="character" w:customStyle="1" w:styleId="596">
    <w:name w:val="标题 1 Char_file_205"/>
    <w:basedOn w:val="592"/>
    <w:qFormat/>
    <w:uiPriority w:val="9"/>
    <w:rPr>
      <w:rFonts w:ascii="宋体" w:hAnsi="宋体" w:eastAsia="宋体" w:cs="宋体"/>
      <w:b/>
      <w:bCs/>
      <w:kern w:val="44"/>
      <w:sz w:val="44"/>
      <w:szCs w:val="44"/>
    </w:rPr>
  </w:style>
  <w:style w:type="character" w:customStyle="1" w:styleId="597">
    <w:name w:val="标题 2 Char_file_205"/>
    <w:basedOn w:val="592"/>
    <w:semiHidden/>
    <w:qFormat/>
    <w:uiPriority w:val="9"/>
    <w:rPr>
      <w:rFonts w:asciiTheme="majorHAnsi" w:hAnsiTheme="majorHAnsi" w:eastAsiaTheme="majorEastAsia" w:cstheme="majorBidi"/>
      <w:b/>
      <w:bCs/>
      <w:sz w:val="32"/>
      <w:szCs w:val="32"/>
    </w:rPr>
  </w:style>
  <w:style w:type="character" w:customStyle="1" w:styleId="598">
    <w:name w:val="标题 3 Char_file_205"/>
    <w:basedOn w:val="592"/>
    <w:semiHidden/>
    <w:qFormat/>
    <w:uiPriority w:val="9"/>
    <w:rPr>
      <w:rFonts w:ascii="宋体" w:hAnsi="宋体" w:eastAsia="宋体" w:cs="宋体"/>
      <w:b/>
      <w:bCs/>
      <w:sz w:val="32"/>
      <w:szCs w:val="32"/>
    </w:rPr>
  </w:style>
  <w:style w:type="character" w:customStyle="1" w:styleId="599">
    <w:name w:val="标题 4 Char_file_205"/>
    <w:basedOn w:val="592"/>
    <w:semiHidden/>
    <w:qFormat/>
    <w:uiPriority w:val="9"/>
    <w:rPr>
      <w:rFonts w:asciiTheme="majorHAnsi" w:hAnsiTheme="majorHAnsi" w:eastAsiaTheme="majorEastAsia" w:cstheme="majorBidi"/>
      <w:b/>
      <w:bCs/>
      <w:sz w:val="28"/>
      <w:szCs w:val="28"/>
    </w:rPr>
  </w:style>
  <w:style w:type="character" w:customStyle="1" w:styleId="600">
    <w:name w:val="标题 5 Char_file_205"/>
    <w:basedOn w:val="592"/>
    <w:semiHidden/>
    <w:qFormat/>
    <w:uiPriority w:val="9"/>
    <w:rPr>
      <w:rFonts w:ascii="宋体" w:hAnsi="宋体" w:eastAsia="宋体" w:cs="宋体"/>
      <w:b/>
      <w:bCs/>
      <w:sz w:val="28"/>
      <w:szCs w:val="28"/>
    </w:rPr>
  </w:style>
  <w:style w:type="character" w:customStyle="1" w:styleId="601">
    <w:name w:val="标题 6 Char_file_205"/>
    <w:basedOn w:val="592"/>
    <w:semiHidden/>
    <w:qFormat/>
    <w:uiPriority w:val="9"/>
    <w:rPr>
      <w:rFonts w:asciiTheme="majorHAnsi" w:hAnsiTheme="majorHAnsi" w:eastAsiaTheme="majorEastAsia" w:cstheme="majorBidi"/>
      <w:b/>
      <w:bCs/>
      <w:sz w:val="24"/>
      <w:szCs w:val="24"/>
    </w:rPr>
  </w:style>
  <w:style w:type="paragraph" w:customStyle="1" w:styleId="602">
    <w:name w:val="cke_editable_file_205"/>
    <w:basedOn w:val="585"/>
    <w:qFormat/>
    <w:uiPriority w:val="0"/>
    <w:rPr>
      <w:rFonts w:ascii="仿宋_GB2312" w:eastAsia="仿宋_GB2312"/>
    </w:rPr>
  </w:style>
  <w:style w:type="paragraph" w:customStyle="1" w:styleId="603">
    <w:name w:val="marker_file_205"/>
    <w:basedOn w:val="585"/>
    <w:qFormat/>
    <w:uiPriority w:val="0"/>
    <w:pPr>
      <w:shd w:val="clear" w:color="auto" w:fill="FFFF00"/>
    </w:pPr>
  </w:style>
  <w:style w:type="paragraph" w:customStyle="1" w:styleId="604">
    <w:name w:val="Normal (Web)_file_205"/>
    <w:basedOn w:val="585"/>
    <w:semiHidden/>
    <w:unhideWhenUsed/>
    <w:qFormat/>
    <w:uiPriority w:val="99"/>
  </w:style>
  <w:style w:type="paragraph" w:customStyle="1" w:styleId="605">
    <w:name w:val="Normal_file_20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6">
    <w:name w:val="heading 1_file_206"/>
    <w:basedOn w:val="605"/>
    <w:qFormat/>
    <w:uiPriority w:val="9"/>
    <w:pPr>
      <w:outlineLvl w:val="0"/>
    </w:pPr>
    <w:rPr>
      <w:kern w:val="36"/>
      <w:sz w:val="48"/>
      <w:szCs w:val="48"/>
    </w:rPr>
  </w:style>
  <w:style w:type="paragraph" w:customStyle="1" w:styleId="607">
    <w:name w:val="heading 2_file_206"/>
    <w:basedOn w:val="605"/>
    <w:qFormat/>
    <w:uiPriority w:val="9"/>
    <w:pPr>
      <w:outlineLvl w:val="1"/>
    </w:pPr>
    <w:rPr>
      <w:sz w:val="36"/>
      <w:szCs w:val="36"/>
    </w:rPr>
  </w:style>
  <w:style w:type="paragraph" w:customStyle="1" w:styleId="608">
    <w:name w:val="heading 3_file_206"/>
    <w:basedOn w:val="605"/>
    <w:qFormat/>
    <w:uiPriority w:val="9"/>
    <w:pPr>
      <w:outlineLvl w:val="2"/>
    </w:pPr>
    <w:rPr>
      <w:sz w:val="27"/>
      <w:szCs w:val="27"/>
    </w:rPr>
  </w:style>
  <w:style w:type="paragraph" w:customStyle="1" w:styleId="609">
    <w:name w:val="heading 4_file_206"/>
    <w:basedOn w:val="605"/>
    <w:qFormat/>
    <w:uiPriority w:val="9"/>
    <w:pPr>
      <w:outlineLvl w:val="3"/>
    </w:pPr>
  </w:style>
  <w:style w:type="paragraph" w:customStyle="1" w:styleId="610">
    <w:name w:val="heading 5_file_206"/>
    <w:basedOn w:val="605"/>
    <w:qFormat/>
    <w:uiPriority w:val="9"/>
    <w:pPr>
      <w:outlineLvl w:val="4"/>
    </w:pPr>
    <w:rPr>
      <w:sz w:val="20"/>
      <w:szCs w:val="20"/>
    </w:rPr>
  </w:style>
  <w:style w:type="paragraph" w:customStyle="1" w:styleId="611">
    <w:name w:val="heading 6_file_206"/>
    <w:basedOn w:val="605"/>
    <w:qFormat/>
    <w:uiPriority w:val="9"/>
    <w:pPr>
      <w:outlineLvl w:val="5"/>
    </w:pPr>
    <w:rPr>
      <w:sz w:val="15"/>
      <w:szCs w:val="15"/>
    </w:rPr>
  </w:style>
  <w:style w:type="character" w:customStyle="1" w:styleId="612">
    <w:name w:val="Default Paragraph Font_file_206"/>
    <w:semiHidden/>
    <w:unhideWhenUsed/>
    <w:qFormat/>
    <w:uiPriority w:val="1"/>
  </w:style>
  <w:style w:type="table" w:customStyle="1" w:styleId="613">
    <w:name w:val="Normal Table_file_206"/>
    <w:semiHidden/>
    <w:unhideWhenUsed/>
    <w:qFormat/>
    <w:uiPriority w:val="99"/>
    <w:tblPr>
      <w:tblCellMar>
        <w:top w:w="0" w:type="dxa"/>
        <w:left w:w="108" w:type="dxa"/>
        <w:bottom w:w="0" w:type="dxa"/>
        <w:right w:w="108" w:type="dxa"/>
      </w:tblCellMar>
    </w:tblPr>
  </w:style>
  <w:style w:type="character" w:customStyle="1" w:styleId="614">
    <w:name w:val="Hyperlink_file_206"/>
    <w:basedOn w:val="612"/>
    <w:semiHidden/>
    <w:unhideWhenUsed/>
    <w:qFormat/>
    <w:uiPriority w:val="99"/>
    <w:rPr>
      <w:color w:val="0782C1"/>
      <w:u w:val="single"/>
    </w:rPr>
  </w:style>
  <w:style w:type="character" w:customStyle="1" w:styleId="615">
    <w:name w:val="FollowedHyperlink_file_206"/>
    <w:basedOn w:val="612"/>
    <w:semiHidden/>
    <w:unhideWhenUsed/>
    <w:qFormat/>
    <w:uiPriority w:val="99"/>
    <w:rPr>
      <w:color w:val="0782C1"/>
      <w:u w:val="single"/>
    </w:rPr>
  </w:style>
  <w:style w:type="character" w:customStyle="1" w:styleId="616">
    <w:name w:val="标题 1 Char_file_206"/>
    <w:basedOn w:val="612"/>
    <w:qFormat/>
    <w:uiPriority w:val="9"/>
    <w:rPr>
      <w:rFonts w:ascii="宋体" w:hAnsi="宋体" w:eastAsia="宋体" w:cs="宋体"/>
      <w:b/>
      <w:bCs/>
      <w:kern w:val="44"/>
      <w:sz w:val="44"/>
      <w:szCs w:val="44"/>
    </w:rPr>
  </w:style>
  <w:style w:type="character" w:customStyle="1" w:styleId="617">
    <w:name w:val="标题 2 Char_file_206"/>
    <w:basedOn w:val="612"/>
    <w:semiHidden/>
    <w:qFormat/>
    <w:uiPriority w:val="9"/>
    <w:rPr>
      <w:rFonts w:asciiTheme="majorHAnsi" w:hAnsiTheme="majorHAnsi" w:eastAsiaTheme="majorEastAsia" w:cstheme="majorBidi"/>
      <w:b/>
      <w:bCs/>
      <w:sz w:val="32"/>
      <w:szCs w:val="32"/>
    </w:rPr>
  </w:style>
  <w:style w:type="character" w:customStyle="1" w:styleId="618">
    <w:name w:val="标题 3 Char_file_206"/>
    <w:basedOn w:val="612"/>
    <w:semiHidden/>
    <w:qFormat/>
    <w:uiPriority w:val="9"/>
    <w:rPr>
      <w:rFonts w:ascii="宋体" w:hAnsi="宋体" w:eastAsia="宋体" w:cs="宋体"/>
      <w:b/>
      <w:bCs/>
      <w:sz w:val="32"/>
      <w:szCs w:val="32"/>
    </w:rPr>
  </w:style>
  <w:style w:type="character" w:customStyle="1" w:styleId="619">
    <w:name w:val="标题 4 Char_file_206"/>
    <w:basedOn w:val="612"/>
    <w:semiHidden/>
    <w:qFormat/>
    <w:uiPriority w:val="9"/>
    <w:rPr>
      <w:rFonts w:asciiTheme="majorHAnsi" w:hAnsiTheme="majorHAnsi" w:eastAsiaTheme="majorEastAsia" w:cstheme="majorBidi"/>
      <w:b/>
      <w:bCs/>
      <w:sz w:val="28"/>
      <w:szCs w:val="28"/>
    </w:rPr>
  </w:style>
  <w:style w:type="character" w:customStyle="1" w:styleId="620">
    <w:name w:val="标题 5 Char_file_206"/>
    <w:basedOn w:val="612"/>
    <w:semiHidden/>
    <w:qFormat/>
    <w:uiPriority w:val="9"/>
    <w:rPr>
      <w:rFonts w:ascii="宋体" w:hAnsi="宋体" w:eastAsia="宋体" w:cs="宋体"/>
      <w:b/>
      <w:bCs/>
      <w:sz w:val="28"/>
      <w:szCs w:val="28"/>
    </w:rPr>
  </w:style>
  <w:style w:type="character" w:customStyle="1" w:styleId="621">
    <w:name w:val="标题 6 Char_file_206"/>
    <w:basedOn w:val="612"/>
    <w:semiHidden/>
    <w:qFormat/>
    <w:uiPriority w:val="9"/>
    <w:rPr>
      <w:rFonts w:asciiTheme="majorHAnsi" w:hAnsiTheme="majorHAnsi" w:eastAsiaTheme="majorEastAsia" w:cstheme="majorBidi"/>
      <w:b/>
      <w:bCs/>
      <w:sz w:val="24"/>
      <w:szCs w:val="24"/>
    </w:rPr>
  </w:style>
  <w:style w:type="paragraph" w:customStyle="1" w:styleId="622">
    <w:name w:val="cke_editable_file_206"/>
    <w:basedOn w:val="605"/>
    <w:qFormat/>
    <w:uiPriority w:val="0"/>
    <w:rPr>
      <w:rFonts w:ascii="仿宋_GB2312" w:eastAsia="仿宋_GB2312"/>
    </w:rPr>
  </w:style>
  <w:style w:type="paragraph" w:customStyle="1" w:styleId="623">
    <w:name w:val="marker_file_206"/>
    <w:basedOn w:val="605"/>
    <w:qFormat/>
    <w:uiPriority w:val="0"/>
    <w:pPr>
      <w:shd w:val="clear" w:color="auto" w:fill="FFFF00"/>
    </w:pPr>
  </w:style>
  <w:style w:type="paragraph" w:customStyle="1" w:styleId="624">
    <w:name w:val="Normal (Web)_file_206"/>
    <w:basedOn w:val="605"/>
    <w:semiHidden/>
    <w:unhideWhenUsed/>
    <w:qFormat/>
    <w:uiPriority w:val="99"/>
  </w:style>
  <w:style w:type="paragraph" w:customStyle="1" w:styleId="625">
    <w:name w:val="Normal_file_20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6">
    <w:name w:val="heading 1_file_207"/>
    <w:basedOn w:val="625"/>
    <w:qFormat/>
    <w:uiPriority w:val="9"/>
    <w:pPr>
      <w:outlineLvl w:val="0"/>
    </w:pPr>
    <w:rPr>
      <w:kern w:val="36"/>
      <w:sz w:val="48"/>
      <w:szCs w:val="48"/>
    </w:rPr>
  </w:style>
  <w:style w:type="paragraph" w:customStyle="1" w:styleId="627">
    <w:name w:val="heading 2_file_207"/>
    <w:basedOn w:val="625"/>
    <w:qFormat/>
    <w:uiPriority w:val="9"/>
    <w:pPr>
      <w:outlineLvl w:val="1"/>
    </w:pPr>
    <w:rPr>
      <w:sz w:val="36"/>
      <w:szCs w:val="36"/>
    </w:rPr>
  </w:style>
  <w:style w:type="paragraph" w:customStyle="1" w:styleId="628">
    <w:name w:val="heading 3_file_207"/>
    <w:basedOn w:val="625"/>
    <w:qFormat/>
    <w:uiPriority w:val="9"/>
    <w:pPr>
      <w:outlineLvl w:val="2"/>
    </w:pPr>
    <w:rPr>
      <w:sz w:val="27"/>
      <w:szCs w:val="27"/>
    </w:rPr>
  </w:style>
  <w:style w:type="paragraph" w:customStyle="1" w:styleId="629">
    <w:name w:val="heading 4_file_207"/>
    <w:basedOn w:val="625"/>
    <w:qFormat/>
    <w:uiPriority w:val="9"/>
    <w:pPr>
      <w:outlineLvl w:val="3"/>
    </w:pPr>
  </w:style>
  <w:style w:type="paragraph" w:customStyle="1" w:styleId="630">
    <w:name w:val="heading 5_file_207"/>
    <w:basedOn w:val="625"/>
    <w:qFormat/>
    <w:uiPriority w:val="9"/>
    <w:pPr>
      <w:outlineLvl w:val="4"/>
    </w:pPr>
    <w:rPr>
      <w:sz w:val="20"/>
      <w:szCs w:val="20"/>
    </w:rPr>
  </w:style>
  <w:style w:type="paragraph" w:customStyle="1" w:styleId="631">
    <w:name w:val="heading 6_file_207"/>
    <w:basedOn w:val="625"/>
    <w:qFormat/>
    <w:uiPriority w:val="9"/>
    <w:pPr>
      <w:outlineLvl w:val="5"/>
    </w:pPr>
    <w:rPr>
      <w:sz w:val="15"/>
      <w:szCs w:val="15"/>
    </w:rPr>
  </w:style>
  <w:style w:type="character" w:customStyle="1" w:styleId="632">
    <w:name w:val="Default Paragraph Font_file_207"/>
    <w:semiHidden/>
    <w:unhideWhenUsed/>
    <w:qFormat/>
    <w:uiPriority w:val="1"/>
  </w:style>
  <w:style w:type="table" w:customStyle="1" w:styleId="633">
    <w:name w:val="Normal Table_file_207"/>
    <w:semiHidden/>
    <w:unhideWhenUsed/>
    <w:qFormat/>
    <w:uiPriority w:val="99"/>
    <w:tblPr>
      <w:tblCellMar>
        <w:top w:w="0" w:type="dxa"/>
        <w:left w:w="108" w:type="dxa"/>
        <w:bottom w:w="0" w:type="dxa"/>
        <w:right w:w="108" w:type="dxa"/>
      </w:tblCellMar>
    </w:tblPr>
  </w:style>
  <w:style w:type="character" w:customStyle="1" w:styleId="634">
    <w:name w:val="Hyperlink_file_207"/>
    <w:basedOn w:val="632"/>
    <w:semiHidden/>
    <w:unhideWhenUsed/>
    <w:qFormat/>
    <w:uiPriority w:val="99"/>
    <w:rPr>
      <w:color w:val="0782C1"/>
      <w:u w:val="single"/>
    </w:rPr>
  </w:style>
  <w:style w:type="character" w:customStyle="1" w:styleId="635">
    <w:name w:val="FollowedHyperlink_file_207"/>
    <w:basedOn w:val="632"/>
    <w:semiHidden/>
    <w:unhideWhenUsed/>
    <w:qFormat/>
    <w:uiPriority w:val="99"/>
    <w:rPr>
      <w:color w:val="0782C1"/>
      <w:u w:val="single"/>
    </w:rPr>
  </w:style>
  <w:style w:type="character" w:customStyle="1" w:styleId="636">
    <w:name w:val="标题 1 Char_file_207"/>
    <w:basedOn w:val="632"/>
    <w:qFormat/>
    <w:uiPriority w:val="9"/>
    <w:rPr>
      <w:rFonts w:ascii="宋体" w:hAnsi="宋体" w:eastAsia="宋体" w:cs="宋体"/>
      <w:b/>
      <w:bCs/>
      <w:kern w:val="44"/>
      <w:sz w:val="44"/>
      <w:szCs w:val="44"/>
    </w:rPr>
  </w:style>
  <w:style w:type="character" w:customStyle="1" w:styleId="637">
    <w:name w:val="标题 2 Char_file_207"/>
    <w:basedOn w:val="632"/>
    <w:semiHidden/>
    <w:qFormat/>
    <w:uiPriority w:val="9"/>
    <w:rPr>
      <w:rFonts w:asciiTheme="majorHAnsi" w:hAnsiTheme="majorHAnsi" w:eastAsiaTheme="majorEastAsia" w:cstheme="majorBidi"/>
      <w:b/>
      <w:bCs/>
      <w:sz w:val="32"/>
      <w:szCs w:val="32"/>
    </w:rPr>
  </w:style>
  <w:style w:type="character" w:customStyle="1" w:styleId="638">
    <w:name w:val="标题 3 Char_file_207"/>
    <w:basedOn w:val="632"/>
    <w:semiHidden/>
    <w:qFormat/>
    <w:uiPriority w:val="9"/>
    <w:rPr>
      <w:rFonts w:ascii="宋体" w:hAnsi="宋体" w:eastAsia="宋体" w:cs="宋体"/>
      <w:b/>
      <w:bCs/>
      <w:sz w:val="32"/>
      <w:szCs w:val="32"/>
    </w:rPr>
  </w:style>
  <w:style w:type="character" w:customStyle="1" w:styleId="639">
    <w:name w:val="标题 4 Char_file_207"/>
    <w:basedOn w:val="632"/>
    <w:semiHidden/>
    <w:qFormat/>
    <w:uiPriority w:val="9"/>
    <w:rPr>
      <w:rFonts w:asciiTheme="majorHAnsi" w:hAnsiTheme="majorHAnsi" w:eastAsiaTheme="majorEastAsia" w:cstheme="majorBidi"/>
      <w:b/>
      <w:bCs/>
      <w:sz w:val="28"/>
      <w:szCs w:val="28"/>
    </w:rPr>
  </w:style>
  <w:style w:type="character" w:customStyle="1" w:styleId="640">
    <w:name w:val="标题 5 Char_file_207"/>
    <w:basedOn w:val="632"/>
    <w:semiHidden/>
    <w:qFormat/>
    <w:uiPriority w:val="9"/>
    <w:rPr>
      <w:rFonts w:ascii="宋体" w:hAnsi="宋体" w:eastAsia="宋体" w:cs="宋体"/>
      <w:b/>
      <w:bCs/>
      <w:sz w:val="28"/>
      <w:szCs w:val="28"/>
    </w:rPr>
  </w:style>
  <w:style w:type="character" w:customStyle="1" w:styleId="641">
    <w:name w:val="标题 6 Char_file_207"/>
    <w:basedOn w:val="632"/>
    <w:semiHidden/>
    <w:qFormat/>
    <w:uiPriority w:val="9"/>
    <w:rPr>
      <w:rFonts w:asciiTheme="majorHAnsi" w:hAnsiTheme="majorHAnsi" w:eastAsiaTheme="majorEastAsia" w:cstheme="majorBidi"/>
      <w:b/>
      <w:bCs/>
      <w:sz w:val="24"/>
      <w:szCs w:val="24"/>
    </w:rPr>
  </w:style>
  <w:style w:type="paragraph" w:customStyle="1" w:styleId="642">
    <w:name w:val="cke_editable_file_207"/>
    <w:basedOn w:val="625"/>
    <w:qFormat/>
    <w:uiPriority w:val="0"/>
    <w:rPr>
      <w:rFonts w:ascii="仿宋_GB2312" w:eastAsia="仿宋_GB2312"/>
    </w:rPr>
  </w:style>
  <w:style w:type="paragraph" w:customStyle="1" w:styleId="643">
    <w:name w:val="marker_file_207"/>
    <w:basedOn w:val="625"/>
    <w:qFormat/>
    <w:uiPriority w:val="0"/>
    <w:pPr>
      <w:shd w:val="clear" w:color="auto" w:fill="FFFF00"/>
    </w:pPr>
  </w:style>
  <w:style w:type="paragraph" w:customStyle="1" w:styleId="644">
    <w:name w:val="Normal (Web)_file_207"/>
    <w:basedOn w:val="625"/>
    <w:semiHidden/>
    <w:unhideWhenUsed/>
    <w:qFormat/>
    <w:uiPriority w:val="99"/>
  </w:style>
  <w:style w:type="paragraph" w:customStyle="1" w:styleId="645">
    <w:name w:val="Normal_file_20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6">
    <w:name w:val="heading 1_file_208"/>
    <w:basedOn w:val="645"/>
    <w:qFormat/>
    <w:uiPriority w:val="9"/>
    <w:pPr>
      <w:outlineLvl w:val="0"/>
    </w:pPr>
    <w:rPr>
      <w:kern w:val="36"/>
      <w:sz w:val="48"/>
      <w:szCs w:val="48"/>
    </w:rPr>
  </w:style>
  <w:style w:type="paragraph" w:customStyle="1" w:styleId="647">
    <w:name w:val="heading 2_file_208"/>
    <w:basedOn w:val="645"/>
    <w:qFormat/>
    <w:uiPriority w:val="9"/>
    <w:pPr>
      <w:outlineLvl w:val="1"/>
    </w:pPr>
    <w:rPr>
      <w:sz w:val="36"/>
      <w:szCs w:val="36"/>
    </w:rPr>
  </w:style>
  <w:style w:type="paragraph" w:customStyle="1" w:styleId="648">
    <w:name w:val="heading 3_file_208"/>
    <w:basedOn w:val="645"/>
    <w:qFormat/>
    <w:uiPriority w:val="9"/>
    <w:pPr>
      <w:outlineLvl w:val="2"/>
    </w:pPr>
    <w:rPr>
      <w:sz w:val="27"/>
      <w:szCs w:val="27"/>
    </w:rPr>
  </w:style>
  <w:style w:type="paragraph" w:customStyle="1" w:styleId="649">
    <w:name w:val="heading 4_file_208"/>
    <w:basedOn w:val="645"/>
    <w:qFormat/>
    <w:uiPriority w:val="9"/>
    <w:pPr>
      <w:outlineLvl w:val="3"/>
    </w:pPr>
  </w:style>
  <w:style w:type="paragraph" w:customStyle="1" w:styleId="650">
    <w:name w:val="heading 5_file_208"/>
    <w:basedOn w:val="645"/>
    <w:qFormat/>
    <w:uiPriority w:val="9"/>
    <w:pPr>
      <w:outlineLvl w:val="4"/>
    </w:pPr>
    <w:rPr>
      <w:sz w:val="20"/>
      <w:szCs w:val="20"/>
    </w:rPr>
  </w:style>
  <w:style w:type="paragraph" w:customStyle="1" w:styleId="651">
    <w:name w:val="heading 6_file_208"/>
    <w:basedOn w:val="645"/>
    <w:qFormat/>
    <w:uiPriority w:val="9"/>
    <w:pPr>
      <w:outlineLvl w:val="5"/>
    </w:pPr>
    <w:rPr>
      <w:sz w:val="15"/>
      <w:szCs w:val="15"/>
    </w:rPr>
  </w:style>
  <w:style w:type="character" w:customStyle="1" w:styleId="652">
    <w:name w:val="Default Paragraph Font_file_208"/>
    <w:semiHidden/>
    <w:unhideWhenUsed/>
    <w:qFormat/>
    <w:uiPriority w:val="1"/>
  </w:style>
  <w:style w:type="table" w:customStyle="1" w:styleId="653">
    <w:name w:val="Normal Table_file_208"/>
    <w:semiHidden/>
    <w:unhideWhenUsed/>
    <w:qFormat/>
    <w:uiPriority w:val="99"/>
    <w:tblPr>
      <w:tblCellMar>
        <w:top w:w="0" w:type="dxa"/>
        <w:left w:w="108" w:type="dxa"/>
        <w:bottom w:w="0" w:type="dxa"/>
        <w:right w:w="108" w:type="dxa"/>
      </w:tblCellMar>
    </w:tblPr>
  </w:style>
  <w:style w:type="character" w:customStyle="1" w:styleId="654">
    <w:name w:val="Hyperlink_file_208"/>
    <w:basedOn w:val="652"/>
    <w:semiHidden/>
    <w:unhideWhenUsed/>
    <w:qFormat/>
    <w:uiPriority w:val="99"/>
    <w:rPr>
      <w:color w:val="0782C1"/>
      <w:u w:val="single"/>
    </w:rPr>
  </w:style>
  <w:style w:type="character" w:customStyle="1" w:styleId="655">
    <w:name w:val="FollowedHyperlink_file_208"/>
    <w:basedOn w:val="652"/>
    <w:semiHidden/>
    <w:unhideWhenUsed/>
    <w:qFormat/>
    <w:uiPriority w:val="99"/>
    <w:rPr>
      <w:color w:val="0782C1"/>
      <w:u w:val="single"/>
    </w:rPr>
  </w:style>
  <w:style w:type="character" w:customStyle="1" w:styleId="656">
    <w:name w:val="标题 1 Char_file_208"/>
    <w:basedOn w:val="652"/>
    <w:qFormat/>
    <w:uiPriority w:val="9"/>
    <w:rPr>
      <w:rFonts w:ascii="宋体" w:hAnsi="宋体" w:eastAsia="宋体" w:cs="宋体"/>
      <w:b/>
      <w:bCs/>
      <w:kern w:val="44"/>
      <w:sz w:val="44"/>
      <w:szCs w:val="44"/>
    </w:rPr>
  </w:style>
  <w:style w:type="character" w:customStyle="1" w:styleId="657">
    <w:name w:val="标题 2 Char_file_208"/>
    <w:basedOn w:val="652"/>
    <w:semiHidden/>
    <w:qFormat/>
    <w:uiPriority w:val="9"/>
    <w:rPr>
      <w:rFonts w:asciiTheme="majorHAnsi" w:hAnsiTheme="majorHAnsi" w:eastAsiaTheme="majorEastAsia" w:cstheme="majorBidi"/>
      <w:b/>
      <w:bCs/>
      <w:sz w:val="32"/>
      <w:szCs w:val="32"/>
    </w:rPr>
  </w:style>
  <w:style w:type="character" w:customStyle="1" w:styleId="658">
    <w:name w:val="标题 3 Char_file_208"/>
    <w:basedOn w:val="652"/>
    <w:semiHidden/>
    <w:qFormat/>
    <w:uiPriority w:val="9"/>
    <w:rPr>
      <w:rFonts w:ascii="宋体" w:hAnsi="宋体" w:eastAsia="宋体" w:cs="宋体"/>
      <w:b/>
      <w:bCs/>
      <w:sz w:val="32"/>
      <w:szCs w:val="32"/>
    </w:rPr>
  </w:style>
  <w:style w:type="character" w:customStyle="1" w:styleId="659">
    <w:name w:val="标题 4 Char_file_208"/>
    <w:basedOn w:val="652"/>
    <w:semiHidden/>
    <w:qFormat/>
    <w:uiPriority w:val="9"/>
    <w:rPr>
      <w:rFonts w:asciiTheme="majorHAnsi" w:hAnsiTheme="majorHAnsi" w:eastAsiaTheme="majorEastAsia" w:cstheme="majorBidi"/>
      <w:b/>
      <w:bCs/>
      <w:sz w:val="28"/>
      <w:szCs w:val="28"/>
    </w:rPr>
  </w:style>
  <w:style w:type="character" w:customStyle="1" w:styleId="660">
    <w:name w:val="标题 5 Char_file_208"/>
    <w:basedOn w:val="652"/>
    <w:semiHidden/>
    <w:qFormat/>
    <w:uiPriority w:val="9"/>
    <w:rPr>
      <w:rFonts w:ascii="宋体" w:hAnsi="宋体" w:eastAsia="宋体" w:cs="宋体"/>
      <w:b/>
      <w:bCs/>
      <w:sz w:val="28"/>
      <w:szCs w:val="28"/>
    </w:rPr>
  </w:style>
  <w:style w:type="character" w:customStyle="1" w:styleId="661">
    <w:name w:val="标题 6 Char_file_208"/>
    <w:basedOn w:val="652"/>
    <w:semiHidden/>
    <w:qFormat/>
    <w:uiPriority w:val="9"/>
    <w:rPr>
      <w:rFonts w:asciiTheme="majorHAnsi" w:hAnsiTheme="majorHAnsi" w:eastAsiaTheme="majorEastAsia" w:cstheme="majorBidi"/>
      <w:b/>
      <w:bCs/>
      <w:sz w:val="24"/>
      <w:szCs w:val="24"/>
    </w:rPr>
  </w:style>
  <w:style w:type="paragraph" w:customStyle="1" w:styleId="662">
    <w:name w:val="cke_editable_file_208"/>
    <w:basedOn w:val="645"/>
    <w:qFormat/>
    <w:uiPriority w:val="0"/>
    <w:rPr>
      <w:rFonts w:ascii="仿宋_GB2312" w:eastAsia="仿宋_GB2312"/>
    </w:rPr>
  </w:style>
  <w:style w:type="paragraph" w:customStyle="1" w:styleId="663">
    <w:name w:val="marker_file_208"/>
    <w:basedOn w:val="645"/>
    <w:qFormat/>
    <w:uiPriority w:val="0"/>
    <w:pPr>
      <w:shd w:val="clear" w:color="auto" w:fill="FFFF00"/>
    </w:pPr>
  </w:style>
  <w:style w:type="paragraph" w:customStyle="1" w:styleId="664">
    <w:name w:val="Normal (Web)_file_208"/>
    <w:basedOn w:val="645"/>
    <w:semiHidden/>
    <w:unhideWhenUsed/>
    <w:qFormat/>
    <w:uiPriority w:val="99"/>
  </w:style>
  <w:style w:type="paragraph" w:customStyle="1" w:styleId="665">
    <w:name w:val="Normal_file_20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6">
    <w:name w:val="heading 1_file_209"/>
    <w:basedOn w:val="665"/>
    <w:qFormat/>
    <w:uiPriority w:val="9"/>
    <w:pPr>
      <w:outlineLvl w:val="0"/>
    </w:pPr>
    <w:rPr>
      <w:kern w:val="36"/>
      <w:sz w:val="48"/>
      <w:szCs w:val="48"/>
    </w:rPr>
  </w:style>
  <w:style w:type="paragraph" w:customStyle="1" w:styleId="667">
    <w:name w:val="heading 2_file_209"/>
    <w:basedOn w:val="665"/>
    <w:qFormat/>
    <w:uiPriority w:val="9"/>
    <w:pPr>
      <w:outlineLvl w:val="1"/>
    </w:pPr>
    <w:rPr>
      <w:sz w:val="36"/>
      <w:szCs w:val="36"/>
    </w:rPr>
  </w:style>
  <w:style w:type="paragraph" w:customStyle="1" w:styleId="668">
    <w:name w:val="heading 3_file_209"/>
    <w:basedOn w:val="665"/>
    <w:qFormat/>
    <w:uiPriority w:val="9"/>
    <w:pPr>
      <w:outlineLvl w:val="2"/>
    </w:pPr>
    <w:rPr>
      <w:sz w:val="27"/>
      <w:szCs w:val="27"/>
    </w:rPr>
  </w:style>
  <w:style w:type="paragraph" w:customStyle="1" w:styleId="669">
    <w:name w:val="heading 4_file_209"/>
    <w:basedOn w:val="665"/>
    <w:qFormat/>
    <w:uiPriority w:val="9"/>
    <w:pPr>
      <w:outlineLvl w:val="3"/>
    </w:pPr>
  </w:style>
  <w:style w:type="paragraph" w:customStyle="1" w:styleId="670">
    <w:name w:val="heading 5_file_209"/>
    <w:basedOn w:val="665"/>
    <w:qFormat/>
    <w:uiPriority w:val="9"/>
    <w:pPr>
      <w:outlineLvl w:val="4"/>
    </w:pPr>
    <w:rPr>
      <w:sz w:val="20"/>
      <w:szCs w:val="20"/>
    </w:rPr>
  </w:style>
  <w:style w:type="paragraph" w:customStyle="1" w:styleId="671">
    <w:name w:val="heading 6_file_209"/>
    <w:basedOn w:val="665"/>
    <w:qFormat/>
    <w:uiPriority w:val="9"/>
    <w:pPr>
      <w:outlineLvl w:val="5"/>
    </w:pPr>
    <w:rPr>
      <w:sz w:val="15"/>
      <w:szCs w:val="15"/>
    </w:rPr>
  </w:style>
  <w:style w:type="character" w:customStyle="1" w:styleId="672">
    <w:name w:val="Default Paragraph Font_file_209"/>
    <w:semiHidden/>
    <w:unhideWhenUsed/>
    <w:qFormat/>
    <w:uiPriority w:val="1"/>
  </w:style>
  <w:style w:type="table" w:customStyle="1" w:styleId="673">
    <w:name w:val="Normal Table_file_209"/>
    <w:semiHidden/>
    <w:unhideWhenUsed/>
    <w:qFormat/>
    <w:uiPriority w:val="99"/>
    <w:tblPr>
      <w:tblCellMar>
        <w:top w:w="0" w:type="dxa"/>
        <w:left w:w="108" w:type="dxa"/>
        <w:bottom w:w="0" w:type="dxa"/>
        <w:right w:w="108" w:type="dxa"/>
      </w:tblCellMar>
    </w:tblPr>
  </w:style>
  <w:style w:type="character" w:customStyle="1" w:styleId="674">
    <w:name w:val="Hyperlink_file_209"/>
    <w:basedOn w:val="672"/>
    <w:semiHidden/>
    <w:unhideWhenUsed/>
    <w:qFormat/>
    <w:uiPriority w:val="99"/>
    <w:rPr>
      <w:color w:val="0782C1"/>
      <w:u w:val="single"/>
    </w:rPr>
  </w:style>
  <w:style w:type="character" w:customStyle="1" w:styleId="675">
    <w:name w:val="FollowedHyperlink_file_209"/>
    <w:basedOn w:val="672"/>
    <w:semiHidden/>
    <w:unhideWhenUsed/>
    <w:qFormat/>
    <w:uiPriority w:val="99"/>
    <w:rPr>
      <w:color w:val="0782C1"/>
      <w:u w:val="single"/>
    </w:rPr>
  </w:style>
  <w:style w:type="character" w:customStyle="1" w:styleId="676">
    <w:name w:val="标题 1 Char_file_209"/>
    <w:basedOn w:val="672"/>
    <w:qFormat/>
    <w:uiPriority w:val="9"/>
    <w:rPr>
      <w:rFonts w:ascii="宋体" w:hAnsi="宋体" w:eastAsia="宋体" w:cs="宋体"/>
      <w:b/>
      <w:bCs/>
      <w:kern w:val="44"/>
      <w:sz w:val="44"/>
      <w:szCs w:val="44"/>
    </w:rPr>
  </w:style>
  <w:style w:type="character" w:customStyle="1" w:styleId="677">
    <w:name w:val="标题 2 Char_file_209"/>
    <w:basedOn w:val="672"/>
    <w:semiHidden/>
    <w:qFormat/>
    <w:uiPriority w:val="9"/>
    <w:rPr>
      <w:rFonts w:asciiTheme="majorHAnsi" w:hAnsiTheme="majorHAnsi" w:eastAsiaTheme="majorEastAsia" w:cstheme="majorBidi"/>
      <w:b/>
      <w:bCs/>
      <w:sz w:val="32"/>
      <w:szCs w:val="32"/>
    </w:rPr>
  </w:style>
  <w:style w:type="character" w:customStyle="1" w:styleId="678">
    <w:name w:val="标题 3 Char_file_209"/>
    <w:basedOn w:val="672"/>
    <w:semiHidden/>
    <w:qFormat/>
    <w:uiPriority w:val="9"/>
    <w:rPr>
      <w:rFonts w:ascii="宋体" w:hAnsi="宋体" w:eastAsia="宋体" w:cs="宋体"/>
      <w:b/>
      <w:bCs/>
      <w:sz w:val="32"/>
      <w:szCs w:val="32"/>
    </w:rPr>
  </w:style>
  <w:style w:type="character" w:customStyle="1" w:styleId="679">
    <w:name w:val="标题 4 Char_file_209"/>
    <w:basedOn w:val="672"/>
    <w:semiHidden/>
    <w:qFormat/>
    <w:uiPriority w:val="9"/>
    <w:rPr>
      <w:rFonts w:asciiTheme="majorHAnsi" w:hAnsiTheme="majorHAnsi" w:eastAsiaTheme="majorEastAsia" w:cstheme="majorBidi"/>
      <w:b/>
      <w:bCs/>
      <w:sz w:val="28"/>
      <w:szCs w:val="28"/>
    </w:rPr>
  </w:style>
  <w:style w:type="character" w:customStyle="1" w:styleId="680">
    <w:name w:val="标题 5 Char_file_209"/>
    <w:basedOn w:val="672"/>
    <w:semiHidden/>
    <w:qFormat/>
    <w:uiPriority w:val="9"/>
    <w:rPr>
      <w:rFonts w:ascii="宋体" w:hAnsi="宋体" w:eastAsia="宋体" w:cs="宋体"/>
      <w:b/>
      <w:bCs/>
      <w:sz w:val="28"/>
      <w:szCs w:val="28"/>
    </w:rPr>
  </w:style>
  <w:style w:type="character" w:customStyle="1" w:styleId="681">
    <w:name w:val="标题 6 Char_file_209"/>
    <w:basedOn w:val="672"/>
    <w:semiHidden/>
    <w:qFormat/>
    <w:uiPriority w:val="9"/>
    <w:rPr>
      <w:rFonts w:asciiTheme="majorHAnsi" w:hAnsiTheme="majorHAnsi" w:eastAsiaTheme="majorEastAsia" w:cstheme="majorBidi"/>
      <w:b/>
      <w:bCs/>
      <w:sz w:val="24"/>
      <w:szCs w:val="24"/>
    </w:rPr>
  </w:style>
  <w:style w:type="paragraph" w:customStyle="1" w:styleId="682">
    <w:name w:val="cke_editable_file_209"/>
    <w:basedOn w:val="665"/>
    <w:qFormat/>
    <w:uiPriority w:val="0"/>
    <w:rPr>
      <w:rFonts w:ascii="仿宋_GB2312" w:eastAsia="仿宋_GB2312"/>
    </w:rPr>
  </w:style>
  <w:style w:type="paragraph" w:customStyle="1" w:styleId="683">
    <w:name w:val="marker_file_209"/>
    <w:basedOn w:val="665"/>
    <w:qFormat/>
    <w:uiPriority w:val="0"/>
    <w:pPr>
      <w:shd w:val="clear" w:color="auto" w:fill="FFFF00"/>
    </w:pPr>
  </w:style>
  <w:style w:type="paragraph" w:customStyle="1" w:styleId="684">
    <w:name w:val="Normal (Web)_file_209"/>
    <w:basedOn w:val="665"/>
    <w:semiHidden/>
    <w:unhideWhenUsed/>
    <w:qFormat/>
    <w:uiPriority w:val="99"/>
  </w:style>
  <w:style w:type="character" w:customStyle="1" w:styleId="685">
    <w:name w:val="Strong_file_209"/>
    <w:basedOn w:val="672"/>
    <w:qFormat/>
    <w:uiPriority w:val="22"/>
    <w:rPr>
      <w:b/>
      <w:bCs/>
    </w:rPr>
  </w:style>
  <w:style w:type="paragraph" w:customStyle="1" w:styleId="686">
    <w:name w:val="Normal_file_2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7">
    <w:name w:val="heading 1_file_210"/>
    <w:basedOn w:val="686"/>
    <w:qFormat/>
    <w:uiPriority w:val="9"/>
    <w:pPr>
      <w:outlineLvl w:val="0"/>
    </w:pPr>
    <w:rPr>
      <w:kern w:val="36"/>
      <w:sz w:val="48"/>
      <w:szCs w:val="48"/>
    </w:rPr>
  </w:style>
  <w:style w:type="paragraph" w:customStyle="1" w:styleId="688">
    <w:name w:val="heading 2_file_210"/>
    <w:basedOn w:val="686"/>
    <w:qFormat/>
    <w:uiPriority w:val="9"/>
    <w:pPr>
      <w:outlineLvl w:val="1"/>
    </w:pPr>
    <w:rPr>
      <w:sz w:val="36"/>
      <w:szCs w:val="36"/>
    </w:rPr>
  </w:style>
  <w:style w:type="paragraph" w:customStyle="1" w:styleId="689">
    <w:name w:val="heading 3_file_210"/>
    <w:basedOn w:val="686"/>
    <w:qFormat/>
    <w:uiPriority w:val="9"/>
    <w:pPr>
      <w:outlineLvl w:val="2"/>
    </w:pPr>
    <w:rPr>
      <w:sz w:val="27"/>
      <w:szCs w:val="27"/>
    </w:rPr>
  </w:style>
  <w:style w:type="paragraph" w:customStyle="1" w:styleId="690">
    <w:name w:val="heading 4_file_210"/>
    <w:basedOn w:val="686"/>
    <w:qFormat/>
    <w:uiPriority w:val="9"/>
    <w:pPr>
      <w:outlineLvl w:val="3"/>
    </w:pPr>
  </w:style>
  <w:style w:type="paragraph" w:customStyle="1" w:styleId="691">
    <w:name w:val="heading 5_file_210"/>
    <w:basedOn w:val="686"/>
    <w:qFormat/>
    <w:uiPriority w:val="9"/>
    <w:pPr>
      <w:outlineLvl w:val="4"/>
    </w:pPr>
    <w:rPr>
      <w:sz w:val="20"/>
      <w:szCs w:val="20"/>
    </w:rPr>
  </w:style>
  <w:style w:type="paragraph" w:customStyle="1" w:styleId="692">
    <w:name w:val="heading 6_file_210"/>
    <w:basedOn w:val="686"/>
    <w:qFormat/>
    <w:uiPriority w:val="9"/>
    <w:pPr>
      <w:outlineLvl w:val="5"/>
    </w:pPr>
    <w:rPr>
      <w:sz w:val="15"/>
      <w:szCs w:val="15"/>
    </w:rPr>
  </w:style>
  <w:style w:type="character" w:customStyle="1" w:styleId="693">
    <w:name w:val="Default Paragraph Font_file_210"/>
    <w:semiHidden/>
    <w:unhideWhenUsed/>
    <w:qFormat/>
    <w:uiPriority w:val="1"/>
  </w:style>
  <w:style w:type="table" w:customStyle="1" w:styleId="694">
    <w:name w:val="Normal Table_file_210"/>
    <w:semiHidden/>
    <w:unhideWhenUsed/>
    <w:qFormat/>
    <w:uiPriority w:val="99"/>
    <w:tblPr>
      <w:tblCellMar>
        <w:top w:w="0" w:type="dxa"/>
        <w:left w:w="108" w:type="dxa"/>
        <w:bottom w:w="0" w:type="dxa"/>
        <w:right w:w="108" w:type="dxa"/>
      </w:tblCellMar>
    </w:tblPr>
  </w:style>
  <w:style w:type="character" w:customStyle="1" w:styleId="695">
    <w:name w:val="Hyperlink_file_210"/>
    <w:basedOn w:val="693"/>
    <w:semiHidden/>
    <w:unhideWhenUsed/>
    <w:qFormat/>
    <w:uiPriority w:val="99"/>
    <w:rPr>
      <w:color w:val="0782C1"/>
      <w:u w:val="single"/>
    </w:rPr>
  </w:style>
  <w:style w:type="character" w:customStyle="1" w:styleId="696">
    <w:name w:val="FollowedHyperlink_file_210"/>
    <w:basedOn w:val="693"/>
    <w:semiHidden/>
    <w:unhideWhenUsed/>
    <w:qFormat/>
    <w:uiPriority w:val="99"/>
    <w:rPr>
      <w:color w:val="0782C1"/>
      <w:u w:val="single"/>
    </w:rPr>
  </w:style>
  <w:style w:type="character" w:customStyle="1" w:styleId="697">
    <w:name w:val="标题 1 Char_file_210"/>
    <w:basedOn w:val="693"/>
    <w:qFormat/>
    <w:uiPriority w:val="9"/>
    <w:rPr>
      <w:rFonts w:ascii="宋体" w:hAnsi="宋体" w:eastAsia="宋体" w:cs="宋体"/>
      <w:b/>
      <w:bCs/>
      <w:kern w:val="44"/>
      <w:sz w:val="44"/>
      <w:szCs w:val="44"/>
    </w:rPr>
  </w:style>
  <w:style w:type="character" w:customStyle="1" w:styleId="698">
    <w:name w:val="标题 2 Char_file_210"/>
    <w:basedOn w:val="693"/>
    <w:semiHidden/>
    <w:qFormat/>
    <w:uiPriority w:val="9"/>
    <w:rPr>
      <w:rFonts w:asciiTheme="majorHAnsi" w:hAnsiTheme="majorHAnsi" w:eastAsiaTheme="majorEastAsia" w:cstheme="majorBidi"/>
      <w:b/>
      <w:bCs/>
      <w:sz w:val="32"/>
      <w:szCs w:val="32"/>
    </w:rPr>
  </w:style>
  <w:style w:type="character" w:customStyle="1" w:styleId="699">
    <w:name w:val="标题 3 Char_file_210"/>
    <w:basedOn w:val="693"/>
    <w:semiHidden/>
    <w:qFormat/>
    <w:uiPriority w:val="9"/>
    <w:rPr>
      <w:rFonts w:ascii="宋体" w:hAnsi="宋体" w:eastAsia="宋体" w:cs="宋体"/>
      <w:b/>
      <w:bCs/>
      <w:sz w:val="32"/>
      <w:szCs w:val="32"/>
    </w:rPr>
  </w:style>
  <w:style w:type="character" w:customStyle="1" w:styleId="700">
    <w:name w:val="标题 4 Char_file_210"/>
    <w:basedOn w:val="693"/>
    <w:semiHidden/>
    <w:qFormat/>
    <w:uiPriority w:val="9"/>
    <w:rPr>
      <w:rFonts w:asciiTheme="majorHAnsi" w:hAnsiTheme="majorHAnsi" w:eastAsiaTheme="majorEastAsia" w:cstheme="majorBidi"/>
      <w:b/>
      <w:bCs/>
      <w:sz w:val="28"/>
      <w:szCs w:val="28"/>
    </w:rPr>
  </w:style>
  <w:style w:type="character" w:customStyle="1" w:styleId="701">
    <w:name w:val="标题 5 Char_file_210"/>
    <w:basedOn w:val="693"/>
    <w:semiHidden/>
    <w:qFormat/>
    <w:uiPriority w:val="9"/>
    <w:rPr>
      <w:rFonts w:ascii="宋体" w:hAnsi="宋体" w:eastAsia="宋体" w:cs="宋体"/>
      <w:b/>
      <w:bCs/>
      <w:sz w:val="28"/>
      <w:szCs w:val="28"/>
    </w:rPr>
  </w:style>
  <w:style w:type="character" w:customStyle="1" w:styleId="702">
    <w:name w:val="标题 6 Char_file_210"/>
    <w:basedOn w:val="693"/>
    <w:semiHidden/>
    <w:qFormat/>
    <w:uiPriority w:val="9"/>
    <w:rPr>
      <w:rFonts w:asciiTheme="majorHAnsi" w:hAnsiTheme="majorHAnsi" w:eastAsiaTheme="majorEastAsia" w:cstheme="majorBidi"/>
      <w:b/>
      <w:bCs/>
      <w:sz w:val="24"/>
      <w:szCs w:val="24"/>
    </w:rPr>
  </w:style>
  <w:style w:type="paragraph" w:customStyle="1" w:styleId="703">
    <w:name w:val="cke_editable_file_210"/>
    <w:basedOn w:val="686"/>
    <w:qFormat/>
    <w:uiPriority w:val="0"/>
    <w:rPr>
      <w:rFonts w:ascii="仿宋_GB2312" w:eastAsia="仿宋_GB2312"/>
    </w:rPr>
  </w:style>
  <w:style w:type="paragraph" w:customStyle="1" w:styleId="704">
    <w:name w:val="marker_file_210"/>
    <w:basedOn w:val="686"/>
    <w:qFormat/>
    <w:uiPriority w:val="0"/>
    <w:pPr>
      <w:shd w:val="clear" w:color="auto" w:fill="FFFF00"/>
    </w:pPr>
  </w:style>
  <w:style w:type="paragraph" w:customStyle="1" w:styleId="705">
    <w:name w:val="Normal (Web)_file_210"/>
    <w:basedOn w:val="686"/>
    <w:semiHidden/>
    <w:unhideWhenUsed/>
    <w:qFormat/>
    <w:uiPriority w:val="99"/>
  </w:style>
  <w:style w:type="character" w:customStyle="1" w:styleId="706">
    <w:name w:val="Strong_file_210"/>
    <w:basedOn w:val="693"/>
    <w:qFormat/>
    <w:uiPriority w:val="22"/>
    <w:rPr>
      <w:b/>
      <w:bCs/>
    </w:rPr>
  </w:style>
  <w:style w:type="paragraph" w:customStyle="1" w:styleId="707">
    <w:name w:val="Normal_file_21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8">
    <w:name w:val="heading 1_file_211"/>
    <w:basedOn w:val="707"/>
    <w:qFormat/>
    <w:uiPriority w:val="9"/>
    <w:pPr>
      <w:outlineLvl w:val="0"/>
    </w:pPr>
    <w:rPr>
      <w:kern w:val="36"/>
      <w:sz w:val="48"/>
      <w:szCs w:val="48"/>
    </w:rPr>
  </w:style>
  <w:style w:type="paragraph" w:customStyle="1" w:styleId="709">
    <w:name w:val="heading 2_file_211"/>
    <w:basedOn w:val="707"/>
    <w:qFormat/>
    <w:uiPriority w:val="9"/>
    <w:pPr>
      <w:outlineLvl w:val="1"/>
    </w:pPr>
    <w:rPr>
      <w:sz w:val="36"/>
      <w:szCs w:val="36"/>
    </w:rPr>
  </w:style>
  <w:style w:type="paragraph" w:customStyle="1" w:styleId="710">
    <w:name w:val="heading 3_file_211"/>
    <w:basedOn w:val="707"/>
    <w:qFormat/>
    <w:uiPriority w:val="9"/>
    <w:pPr>
      <w:outlineLvl w:val="2"/>
    </w:pPr>
    <w:rPr>
      <w:sz w:val="27"/>
      <w:szCs w:val="27"/>
    </w:rPr>
  </w:style>
  <w:style w:type="paragraph" w:customStyle="1" w:styleId="711">
    <w:name w:val="heading 4_file_211"/>
    <w:basedOn w:val="707"/>
    <w:qFormat/>
    <w:uiPriority w:val="9"/>
    <w:pPr>
      <w:outlineLvl w:val="3"/>
    </w:pPr>
  </w:style>
  <w:style w:type="paragraph" w:customStyle="1" w:styleId="712">
    <w:name w:val="heading 5_file_211"/>
    <w:basedOn w:val="707"/>
    <w:qFormat/>
    <w:uiPriority w:val="9"/>
    <w:pPr>
      <w:outlineLvl w:val="4"/>
    </w:pPr>
    <w:rPr>
      <w:sz w:val="20"/>
      <w:szCs w:val="20"/>
    </w:rPr>
  </w:style>
  <w:style w:type="paragraph" w:customStyle="1" w:styleId="713">
    <w:name w:val="heading 6_file_211"/>
    <w:basedOn w:val="707"/>
    <w:qFormat/>
    <w:uiPriority w:val="9"/>
    <w:pPr>
      <w:outlineLvl w:val="5"/>
    </w:pPr>
    <w:rPr>
      <w:sz w:val="15"/>
      <w:szCs w:val="15"/>
    </w:rPr>
  </w:style>
  <w:style w:type="character" w:customStyle="1" w:styleId="714">
    <w:name w:val="Default Paragraph Font_file_211"/>
    <w:semiHidden/>
    <w:unhideWhenUsed/>
    <w:qFormat/>
    <w:uiPriority w:val="1"/>
  </w:style>
  <w:style w:type="table" w:customStyle="1" w:styleId="715">
    <w:name w:val="Normal Table_file_211"/>
    <w:semiHidden/>
    <w:unhideWhenUsed/>
    <w:qFormat/>
    <w:uiPriority w:val="99"/>
    <w:tblPr>
      <w:tblCellMar>
        <w:top w:w="0" w:type="dxa"/>
        <w:left w:w="108" w:type="dxa"/>
        <w:bottom w:w="0" w:type="dxa"/>
        <w:right w:w="108" w:type="dxa"/>
      </w:tblCellMar>
    </w:tblPr>
  </w:style>
  <w:style w:type="character" w:customStyle="1" w:styleId="716">
    <w:name w:val="Hyperlink_file_211"/>
    <w:basedOn w:val="714"/>
    <w:semiHidden/>
    <w:unhideWhenUsed/>
    <w:qFormat/>
    <w:uiPriority w:val="99"/>
    <w:rPr>
      <w:color w:val="0782C1"/>
      <w:u w:val="single"/>
    </w:rPr>
  </w:style>
  <w:style w:type="character" w:customStyle="1" w:styleId="717">
    <w:name w:val="FollowedHyperlink_file_211"/>
    <w:basedOn w:val="714"/>
    <w:semiHidden/>
    <w:unhideWhenUsed/>
    <w:qFormat/>
    <w:uiPriority w:val="99"/>
    <w:rPr>
      <w:color w:val="0782C1"/>
      <w:u w:val="single"/>
    </w:rPr>
  </w:style>
  <w:style w:type="character" w:customStyle="1" w:styleId="718">
    <w:name w:val="标题 1 Char_file_211"/>
    <w:basedOn w:val="714"/>
    <w:qFormat/>
    <w:uiPriority w:val="9"/>
    <w:rPr>
      <w:rFonts w:ascii="宋体" w:hAnsi="宋体" w:eastAsia="宋体" w:cs="宋体"/>
      <w:b/>
      <w:bCs/>
      <w:kern w:val="44"/>
      <w:sz w:val="44"/>
      <w:szCs w:val="44"/>
    </w:rPr>
  </w:style>
  <w:style w:type="character" w:customStyle="1" w:styleId="719">
    <w:name w:val="标题 2 Char_file_211"/>
    <w:basedOn w:val="714"/>
    <w:semiHidden/>
    <w:qFormat/>
    <w:uiPriority w:val="9"/>
    <w:rPr>
      <w:rFonts w:asciiTheme="majorHAnsi" w:hAnsiTheme="majorHAnsi" w:eastAsiaTheme="majorEastAsia" w:cstheme="majorBidi"/>
      <w:b/>
      <w:bCs/>
      <w:sz w:val="32"/>
      <w:szCs w:val="32"/>
    </w:rPr>
  </w:style>
  <w:style w:type="character" w:customStyle="1" w:styleId="720">
    <w:name w:val="标题 3 Char_file_211"/>
    <w:basedOn w:val="714"/>
    <w:semiHidden/>
    <w:qFormat/>
    <w:uiPriority w:val="9"/>
    <w:rPr>
      <w:rFonts w:ascii="宋体" w:hAnsi="宋体" w:eastAsia="宋体" w:cs="宋体"/>
      <w:b/>
      <w:bCs/>
      <w:sz w:val="32"/>
      <w:szCs w:val="32"/>
    </w:rPr>
  </w:style>
  <w:style w:type="character" w:customStyle="1" w:styleId="721">
    <w:name w:val="标题 4 Char_file_211"/>
    <w:basedOn w:val="714"/>
    <w:semiHidden/>
    <w:qFormat/>
    <w:uiPriority w:val="9"/>
    <w:rPr>
      <w:rFonts w:asciiTheme="majorHAnsi" w:hAnsiTheme="majorHAnsi" w:eastAsiaTheme="majorEastAsia" w:cstheme="majorBidi"/>
      <w:b/>
      <w:bCs/>
      <w:sz w:val="28"/>
      <w:szCs w:val="28"/>
    </w:rPr>
  </w:style>
  <w:style w:type="character" w:customStyle="1" w:styleId="722">
    <w:name w:val="标题 5 Char_file_211"/>
    <w:basedOn w:val="714"/>
    <w:semiHidden/>
    <w:qFormat/>
    <w:uiPriority w:val="9"/>
    <w:rPr>
      <w:rFonts w:ascii="宋体" w:hAnsi="宋体" w:eastAsia="宋体" w:cs="宋体"/>
      <w:b/>
      <w:bCs/>
      <w:sz w:val="28"/>
      <w:szCs w:val="28"/>
    </w:rPr>
  </w:style>
  <w:style w:type="character" w:customStyle="1" w:styleId="723">
    <w:name w:val="标题 6 Char_file_211"/>
    <w:basedOn w:val="714"/>
    <w:semiHidden/>
    <w:qFormat/>
    <w:uiPriority w:val="9"/>
    <w:rPr>
      <w:rFonts w:asciiTheme="majorHAnsi" w:hAnsiTheme="majorHAnsi" w:eastAsiaTheme="majorEastAsia" w:cstheme="majorBidi"/>
      <w:b/>
      <w:bCs/>
      <w:sz w:val="24"/>
      <w:szCs w:val="24"/>
    </w:rPr>
  </w:style>
  <w:style w:type="paragraph" w:customStyle="1" w:styleId="724">
    <w:name w:val="cke_editable_file_211"/>
    <w:basedOn w:val="707"/>
    <w:qFormat/>
    <w:uiPriority w:val="0"/>
    <w:rPr>
      <w:rFonts w:ascii="仿宋_GB2312" w:eastAsia="仿宋_GB2312"/>
    </w:rPr>
  </w:style>
  <w:style w:type="paragraph" w:customStyle="1" w:styleId="725">
    <w:name w:val="marker_file_211"/>
    <w:basedOn w:val="707"/>
    <w:qFormat/>
    <w:uiPriority w:val="0"/>
    <w:pPr>
      <w:shd w:val="clear" w:color="auto" w:fill="FFFF00"/>
    </w:pPr>
  </w:style>
  <w:style w:type="paragraph" w:customStyle="1" w:styleId="726">
    <w:name w:val="Normal (Web)_file_211"/>
    <w:basedOn w:val="707"/>
    <w:semiHidden/>
    <w:unhideWhenUsed/>
    <w:qFormat/>
    <w:uiPriority w:val="99"/>
  </w:style>
  <w:style w:type="character" w:customStyle="1" w:styleId="727">
    <w:name w:val="Strong_file_211"/>
    <w:basedOn w:val="714"/>
    <w:qFormat/>
    <w:uiPriority w:val="22"/>
    <w:rPr>
      <w:b/>
      <w:bCs/>
    </w:rPr>
  </w:style>
  <w:style w:type="paragraph" w:customStyle="1" w:styleId="728">
    <w:name w:val="Normal_file_21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9">
    <w:name w:val="heading 1_file_212"/>
    <w:basedOn w:val="728"/>
    <w:qFormat/>
    <w:uiPriority w:val="9"/>
    <w:pPr>
      <w:outlineLvl w:val="0"/>
    </w:pPr>
    <w:rPr>
      <w:kern w:val="36"/>
      <w:sz w:val="48"/>
      <w:szCs w:val="48"/>
    </w:rPr>
  </w:style>
  <w:style w:type="paragraph" w:customStyle="1" w:styleId="730">
    <w:name w:val="heading 2_file_212"/>
    <w:basedOn w:val="728"/>
    <w:qFormat/>
    <w:uiPriority w:val="9"/>
    <w:pPr>
      <w:outlineLvl w:val="1"/>
    </w:pPr>
    <w:rPr>
      <w:sz w:val="36"/>
      <w:szCs w:val="36"/>
    </w:rPr>
  </w:style>
  <w:style w:type="paragraph" w:customStyle="1" w:styleId="731">
    <w:name w:val="heading 3_file_212"/>
    <w:basedOn w:val="728"/>
    <w:qFormat/>
    <w:uiPriority w:val="9"/>
    <w:pPr>
      <w:outlineLvl w:val="2"/>
    </w:pPr>
    <w:rPr>
      <w:sz w:val="27"/>
      <w:szCs w:val="27"/>
    </w:rPr>
  </w:style>
  <w:style w:type="paragraph" w:customStyle="1" w:styleId="732">
    <w:name w:val="heading 4_file_212"/>
    <w:basedOn w:val="728"/>
    <w:qFormat/>
    <w:uiPriority w:val="9"/>
    <w:pPr>
      <w:outlineLvl w:val="3"/>
    </w:pPr>
  </w:style>
  <w:style w:type="paragraph" w:customStyle="1" w:styleId="733">
    <w:name w:val="heading 5_file_212"/>
    <w:basedOn w:val="728"/>
    <w:qFormat/>
    <w:uiPriority w:val="9"/>
    <w:pPr>
      <w:outlineLvl w:val="4"/>
    </w:pPr>
    <w:rPr>
      <w:sz w:val="20"/>
      <w:szCs w:val="20"/>
    </w:rPr>
  </w:style>
  <w:style w:type="paragraph" w:customStyle="1" w:styleId="734">
    <w:name w:val="heading 6_file_212"/>
    <w:basedOn w:val="728"/>
    <w:qFormat/>
    <w:uiPriority w:val="9"/>
    <w:pPr>
      <w:outlineLvl w:val="5"/>
    </w:pPr>
    <w:rPr>
      <w:sz w:val="15"/>
      <w:szCs w:val="15"/>
    </w:rPr>
  </w:style>
  <w:style w:type="character" w:customStyle="1" w:styleId="735">
    <w:name w:val="Default Paragraph Font_file_212"/>
    <w:semiHidden/>
    <w:unhideWhenUsed/>
    <w:qFormat/>
    <w:uiPriority w:val="1"/>
  </w:style>
  <w:style w:type="table" w:customStyle="1" w:styleId="736">
    <w:name w:val="Normal Table_file_212"/>
    <w:semiHidden/>
    <w:unhideWhenUsed/>
    <w:qFormat/>
    <w:uiPriority w:val="99"/>
    <w:tblPr>
      <w:tblCellMar>
        <w:top w:w="0" w:type="dxa"/>
        <w:left w:w="108" w:type="dxa"/>
        <w:bottom w:w="0" w:type="dxa"/>
        <w:right w:w="108" w:type="dxa"/>
      </w:tblCellMar>
    </w:tblPr>
  </w:style>
  <w:style w:type="character" w:customStyle="1" w:styleId="737">
    <w:name w:val="Hyperlink_file_212"/>
    <w:basedOn w:val="735"/>
    <w:semiHidden/>
    <w:unhideWhenUsed/>
    <w:qFormat/>
    <w:uiPriority w:val="99"/>
    <w:rPr>
      <w:color w:val="0782C1"/>
      <w:u w:val="single"/>
    </w:rPr>
  </w:style>
  <w:style w:type="character" w:customStyle="1" w:styleId="738">
    <w:name w:val="FollowedHyperlink_file_212"/>
    <w:basedOn w:val="735"/>
    <w:semiHidden/>
    <w:unhideWhenUsed/>
    <w:qFormat/>
    <w:uiPriority w:val="99"/>
    <w:rPr>
      <w:color w:val="0782C1"/>
      <w:u w:val="single"/>
    </w:rPr>
  </w:style>
  <w:style w:type="character" w:customStyle="1" w:styleId="739">
    <w:name w:val="标题 1 Char_file_212"/>
    <w:basedOn w:val="735"/>
    <w:qFormat/>
    <w:uiPriority w:val="9"/>
    <w:rPr>
      <w:rFonts w:ascii="宋体" w:hAnsi="宋体" w:eastAsia="宋体" w:cs="宋体"/>
      <w:b/>
      <w:bCs/>
      <w:kern w:val="44"/>
      <w:sz w:val="44"/>
      <w:szCs w:val="44"/>
    </w:rPr>
  </w:style>
  <w:style w:type="character" w:customStyle="1" w:styleId="740">
    <w:name w:val="标题 2 Char_file_212"/>
    <w:basedOn w:val="735"/>
    <w:semiHidden/>
    <w:qFormat/>
    <w:uiPriority w:val="9"/>
    <w:rPr>
      <w:rFonts w:asciiTheme="majorHAnsi" w:hAnsiTheme="majorHAnsi" w:eastAsiaTheme="majorEastAsia" w:cstheme="majorBidi"/>
      <w:b/>
      <w:bCs/>
      <w:sz w:val="32"/>
      <w:szCs w:val="32"/>
    </w:rPr>
  </w:style>
  <w:style w:type="character" w:customStyle="1" w:styleId="741">
    <w:name w:val="标题 3 Char_file_212"/>
    <w:basedOn w:val="735"/>
    <w:semiHidden/>
    <w:qFormat/>
    <w:uiPriority w:val="9"/>
    <w:rPr>
      <w:rFonts w:ascii="宋体" w:hAnsi="宋体" w:eastAsia="宋体" w:cs="宋体"/>
      <w:b/>
      <w:bCs/>
      <w:sz w:val="32"/>
      <w:szCs w:val="32"/>
    </w:rPr>
  </w:style>
  <w:style w:type="character" w:customStyle="1" w:styleId="742">
    <w:name w:val="标题 4 Char_file_212"/>
    <w:basedOn w:val="735"/>
    <w:semiHidden/>
    <w:qFormat/>
    <w:uiPriority w:val="9"/>
    <w:rPr>
      <w:rFonts w:asciiTheme="majorHAnsi" w:hAnsiTheme="majorHAnsi" w:eastAsiaTheme="majorEastAsia" w:cstheme="majorBidi"/>
      <w:b/>
      <w:bCs/>
      <w:sz w:val="28"/>
      <w:szCs w:val="28"/>
    </w:rPr>
  </w:style>
  <w:style w:type="character" w:customStyle="1" w:styleId="743">
    <w:name w:val="标题 5 Char_file_212"/>
    <w:basedOn w:val="735"/>
    <w:semiHidden/>
    <w:qFormat/>
    <w:uiPriority w:val="9"/>
    <w:rPr>
      <w:rFonts w:ascii="宋体" w:hAnsi="宋体" w:eastAsia="宋体" w:cs="宋体"/>
      <w:b/>
      <w:bCs/>
      <w:sz w:val="28"/>
      <w:szCs w:val="28"/>
    </w:rPr>
  </w:style>
  <w:style w:type="character" w:customStyle="1" w:styleId="744">
    <w:name w:val="标题 6 Char_file_212"/>
    <w:basedOn w:val="735"/>
    <w:semiHidden/>
    <w:qFormat/>
    <w:uiPriority w:val="9"/>
    <w:rPr>
      <w:rFonts w:asciiTheme="majorHAnsi" w:hAnsiTheme="majorHAnsi" w:eastAsiaTheme="majorEastAsia" w:cstheme="majorBidi"/>
      <w:b/>
      <w:bCs/>
      <w:sz w:val="24"/>
      <w:szCs w:val="24"/>
    </w:rPr>
  </w:style>
  <w:style w:type="paragraph" w:customStyle="1" w:styleId="745">
    <w:name w:val="cke_editable_file_212"/>
    <w:basedOn w:val="728"/>
    <w:qFormat/>
    <w:uiPriority w:val="0"/>
    <w:rPr>
      <w:rFonts w:ascii="仿宋_GB2312" w:eastAsia="仿宋_GB2312"/>
    </w:rPr>
  </w:style>
  <w:style w:type="paragraph" w:customStyle="1" w:styleId="746">
    <w:name w:val="marker_file_212"/>
    <w:basedOn w:val="728"/>
    <w:qFormat/>
    <w:uiPriority w:val="0"/>
    <w:pPr>
      <w:shd w:val="clear" w:color="auto" w:fill="FFFF00"/>
    </w:pPr>
  </w:style>
  <w:style w:type="paragraph" w:customStyle="1" w:styleId="747">
    <w:name w:val="Normal (Web)_file_212"/>
    <w:basedOn w:val="728"/>
    <w:semiHidden/>
    <w:unhideWhenUsed/>
    <w:qFormat/>
    <w:uiPriority w:val="99"/>
  </w:style>
  <w:style w:type="paragraph" w:customStyle="1" w:styleId="748">
    <w:name w:val="Normal_file_21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9">
    <w:name w:val="heading 1_file_213"/>
    <w:basedOn w:val="748"/>
    <w:qFormat/>
    <w:uiPriority w:val="9"/>
    <w:pPr>
      <w:outlineLvl w:val="0"/>
    </w:pPr>
    <w:rPr>
      <w:kern w:val="36"/>
      <w:sz w:val="48"/>
      <w:szCs w:val="48"/>
    </w:rPr>
  </w:style>
  <w:style w:type="paragraph" w:customStyle="1" w:styleId="750">
    <w:name w:val="heading 2_file_213"/>
    <w:basedOn w:val="748"/>
    <w:qFormat/>
    <w:uiPriority w:val="9"/>
    <w:pPr>
      <w:outlineLvl w:val="1"/>
    </w:pPr>
    <w:rPr>
      <w:sz w:val="36"/>
      <w:szCs w:val="36"/>
    </w:rPr>
  </w:style>
  <w:style w:type="paragraph" w:customStyle="1" w:styleId="751">
    <w:name w:val="heading 3_file_213"/>
    <w:basedOn w:val="748"/>
    <w:qFormat/>
    <w:uiPriority w:val="9"/>
    <w:pPr>
      <w:outlineLvl w:val="2"/>
    </w:pPr>
    <w:rPr>
      <w:sz w:val="27"/>
      <w:szCs w:val="27"/>
    </w:rPr>
  </w:style>
  <w:style w:type="paragraph" w:customStyle="1" w:styleId="752">
    <w:name w:val="heading 4_file_213"/>
    <w:basedOn w:val="748"/>
    <w:qFormat/>
    <w:uiPriority w:val="9"/>
    <w:pPr>
      <w:outlineLvl w:val="3"/>
    </w:pPr>
  </w:style>
  <w:style w:type="paragraph" w:customStyle="1" w:styleId="753">
    <w:name w:val="heading 5_file_213"/>
    <w:basedOn w:val="748"/>
    <w:qFormat/>
    <w:uiPriority w:val="9"/>
    <w:pPr>
      <w:outlineLvl w:val="4"/>
    </w:pPr>
    <w:rPr>
      <w:sz w:val="20"/>
      <w:szCs w:val="20"/>
    </w:rPr>
  </w:style>
  <w:style w:type="paragraph" w:customStyle="1" w:styleId="754">
    <w:name w:val="heading 6_file_213"/>
    <w:basedOn w:val="748"/>
    <w:qFormat/>
    <w:uiPriority w:val="9"/>
    <w:pPr>
      <w:outlineLvl w:val="5"/>
    </w:pPr>
    <w:rPr>
      <w:sz w:val="15"/>
      <w:szCs w:val="15"/>
    </w:rPr>
  </w:style>
  <w:style w:type="character" w:customStyle="1" w:styleId="755">
    <w:name w:val="Default Paragraph Font_file_213"/>
    <w:semiHidden/>
    <w:unhideWhenUsed/>
    <w:qFormat/>
    <w:uiPriority w:val="1"/>
  </w:style>
  <w:style w:type="table" w:customStyle="1" w:styleId="756">
    <w:name w:val="Normal Table_file_213"/>
    <w:semiHidden/>
    <w:unhideWhenUsed/>
    <w:qFormat/>
    <w:uiPriority w:val="99"/>
    <w:tblPr>
      <w:tblCellMar>
        <w:top w:w="0" w:type="dxa"/>
        <w:left w:w="108" w:type="dxa"/>
        <w:bottom w:w="0" w:type="dxa"/>
        <w:right w:w="108" w:type="dxa"/>
      </w:tblCellMar>
    </w:tblPr>
  </w:style>
  <w:style w:type="character" w:customStyle="1" w:styleId="757">
    <w:name w:val="Hyperlink_file_213"/>
    <w:basedOn w:val="755"/>
    <w:semiHidden/>
    <w:unhideWhenUsed/>
    <w:qFormat/>
    <w:uiPriority w:val="99"/>
    <w:rPr>
      <w:color w:val="0782C1"/>
      <w:u w:val="single"/>
    </w:rPr>
  </w:style>
  <w:style w:type="character" w:customStyle="1" w:styleId="758">
    <w:name w:val="FollowedHyperlink_file_213"/>
    <w:basedOn w:val="755"/>
    <w:semiHidden/>
    <w:unhideWhenUsed/>
    <w:qFormat/>
    <w:uiPriority w:val="99"/>
    <w:rPr>
      <w:color w:val="0782C1"/>
      <w:u w:val="single"/>
    </w:rPr>
  </w:style>
  <w:style w:type="character" w:customStyle="1" w:styleId="759">
    <w:name w:val="标题 1 Char_file_213"/>
    <w:basedOn w:val="755"/>
    <w:qFormat/>
    <w:uiPriority w:val="9"/>
    <w:rPr>
      <w:rFonts w:ascii="宋体" w:hAnsi="宋体" w:eastAsia="宋体" w:cs="宋体"/>
      <w:b/>
      <w:bCs/>
      <w:kern w:val="44"/>
      <w:sz w:val="44"/>
      <w:szCs w:val="44"/>
    </w:rPr>
  </w:style>
  <w:style w:type="character" w:customStyle="1" w:styleId="760">
    <w:name w:val="标题 2 Char_file_213"/>
    <w:basedOn w:val="755"/>
    <w:semiHidden/>
    <w:qFormat/>
    <w:uiPriority w:val="9"/>
    <w:rPr>
      <w:rFonts w:asciiTheme="majorHAnsi" w:hAnsiTheme="majorHAnsi" w:eastAsiaTheme="majorEastAsia" w:cstheme="majorBidi"/>
      <w:b/>
      <w:bCs/>
      <w:sz w:val="32"/>
      <w:szCs w:val="32"/>
    </w:rPr>
  </w:style>
  <w:style w:type="character" w:customStyle="1" w:styleId="761">
    <w:name w:val="标题 3 Char_file_213"/>
    <w:basedOn w:val="755"/>
    <w:semiHidden/>
    <w:qFormat/>
    <w:uiPriority w:val="9"/>
    <w:rPr>
      <w:rFonts w:ascii="宋体" w:hAnsi="宋体" w:eastAsia="宋体" w:cs="宋体"/>
      <w:b/>
      <w:bCs/>
      <w:sz w:val="32"/>
      <w:szCs w:val="32"/>
    </w:rPr>
  </w:style>
  <w:style w:type="character" w:customStyle="1" w:styleId="762">
    <w:name w:val="标题 4 Char_file_213"/>
    <w:basedOn w:val="755"/>
    <w:semiHidden/>
    <w:qFormat/>
    <w:uiPriority w:val="9"/>
    <w:rPr>
      <w:rFonts w:asciiTheme="majorHAnsi" w:hAnsiTheme="majorHAnsi" w:eastAsiaTheme="majorEastAsia" w:cstheme="majorBidi"/>
      <w:b/>
      <w:bCs/>
      <w:sz w:val="28"/>
      <w:szCs w:val="28"/>
    </w:rPr>
  </w:style>
  <w:style w:type="character" w:customStyle="1" w:styleId="763">
    <w:name w:val="标题 5 Char_file_213"/>
    <w:basedOn w:val="755"/>
    <w:semiHidden/>
    <w:qFormat/>
    <w:uiPriority w:val="9"/>
    <w:rPr>
      <w:rFonts w:ascii="宋体" w:hAnsi="宋体" w:eastAsia="宋体" w:cs="宋体"/>
      <w:b/>
      <w:bCs/>
      <w:sz w:val="28"/>
      <w:szCs w:val="28"/>
    </w:rPr>
  </w:style>
  <w:style w:type="character" w:customStyle="1" w:styleId="764">
    <w:name w:val="标题 6 Char_file_213"/>
    <w:basedOn w:val="755"/>
    <w:semiHidden/>
    <w:qFormat/>
    <w:uiPriority w:val="9"/>
    <w:rPr>
      <w:rFonts w:asciiTheme="majorHAnsi" w:hAnsiTheme="majorHAnsi" w:eastAsiaTheme="majorEastAsia" w:cstheme="majorBidi"/>
      <w:b/>
      <w:bCs/>
      <w:sz w:val="24"/>
      <w:szCs w:val="24"/>
    </w:rPr>
  </w:style>
  <w:style w:type="paragraph" w:customStyle="1" w:styleId="765">
    <w:name w:val="cke_editable_file_213"/>
    <w:basedOn w:val="748"/>
    <w:qFormat/>
    <w:uiPriority w:val="0"/>
    <w:rPr>
      <w:rFonts w:ascii="仿宋_GB2312" w:eastAsia="仿宋_GB2312"/>
    </w:rPr>
  </w:style>
  <w:style w:type="paragraph" w:customStyle="1" w:styleId="766">
    <w:name w:val="marker_file_213"/>
    <w:basedOn w:val="748"/>
    <w:qFormat/>
    <w:uiPriority w:val="0"/>
    <w:pPr>
      <w:shd w:val="clear" w:color="auto" w:fill="FFFF00"/>
    </w:pPr>
  </w:style>
  <w:style w:type="paragraph" w:customStyle="1" w:styleId="767">
    <w:name w:val="Normal (Web)_file_213"/>
    <w:basedOn w:val="748"/>
    <w:semiHidden/>
    <w:unhideWhenUsed/>
    <w:qFormat/>
    <w:uiPriority w:val="99"/>
  </w:style>
  <w:style w:type="paragraph" w:customStyle="1" w:styleId="768">
    <w:name w:val="Normal_file_21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9">
    <w:name w:val="heading 1_file_214"/>
    <w:basedOn w:val="768"/>
    <w:qFormat/>
    <w:uiPriority w:val="9"/>
    <w:pPr>
      <w:outlineLvl w:val="0"/>
    </w:pPr>
    <w:rPr>
      <w:kern w:val="36"/>
      <w:sz w:val="48"/>
      <w:szCs w:val="48"/>
    </w:rPr>
  </w:style>
  <w:style w:type="paragraph" w:customStyle="1" w:styleId="770">
    <w:name w:val="heading 2_file_214"/>
    <w:basedOn w:val="768"/>
    <w:qFormat/>
    <w:uiPriority w:val="9"/>
    <w:pPr>
      <w:outlineLvl w:val="1"/>
    </w:pPr>
    <w:rPr>
      <w:sz w:val="36"/>
      <w:szCs w:val="36"/>
    </w:rPr>
  </w:style>
  <w:style w:type="paragraph" w:customStyle="1" w:styleId="771">
    <w:name w:val="heading 3_file_214"/>
    <w:basedOn w:val="768"/>
    <w:qFormat/>
    <w:uiPriority w:val="9"/>
    <w:pPr>
      <w:outlineLvl w:val="2"/>
    </w:pPr>
    <w:rPr>
      <w:sz w:val="27"/>
      <w:szCs w:val="27"/>
    </w:rPr>
  </w:style>
  <w:style w:type="paragraph" w:customStyle="1" w:styleId="772">
    <w:name w:val="heading 4_file_214"/>
    <w:basedOn w:val="768"/>
    <w:qFormat/>
    <w:uiPriority w:val="9"/>
    <w:pPr>
      <w:outlineLvl w:val="3"/>
    </w:pPr>
  </w:style>
  <w:style w:type="paragraph" w:customStyle="1" w:styleId="773">
    <w:name w:val="heading 5_file_214"/>
    <w:basedOn w:val="768"/>
    <w:qFormat/>
    <w:uiPriority w:val="9"/>
    <w:pPr>
      <w:outlineLvl w:val="4"/>
    </w:pPr>
    <w:rPr>
      <w:sz w:val="20"/>
      <w:szCs w:val="20"/>
    </w:rPr>
  </w:style>
  <w:style w:type="paragraph" w:customStyle="1" w:styleId="774">
    <w:name w:val="heading 6_file_214"/>
    <w:basedOn w:val="768"/>
    <w:qFormat/>
    <w:uiPriority w:val="9"/>
    <w:pPr>
      <w:outlineLvl w:val="5"/>
    </w:pPr>
    <w:rPr>
      <w:sz w:val="15"/>
      <w:szCs w:val="15"/>
    </w:rPr>
  </w:style>
  <w:style w:type="character" w:customStyle="1" w:styleId="775">
    <w:name w:val="Default Paragraph Font_file_214"/>
    <w:semiHidden/>
    <w:unhideWhenUsed/>
    <w:qFormat/>
    <w:uiPriority w:val="1"/>
  </w:style>
  <w:style w:type="table" w:customStyle="1" w:styleId="776">
    <w:name w:val="Normal Table_file_214"/>
    <w:semiHidden/>
    <w:unhideWhenUsed/>
    <w:qFormat/>
    <w:uiPriority w:val="99"/>
    <w:tblPr>
      <w:tblCellMar>
        <w:top w:w="0" w:type="dxa"/>
        <w:left w:w="108" w:type="dxa"/>
        <w:bottom w:w="0" w:type="dxa"/>
        <w:right w:w="108" w:type="dxa"/>
      </w:tblCellMar>
    </w:tblPr>
  </w:style>
  <w:style w:type="character" w:customStyle="1" w:styleId="777">
    <w:name w:val="Hyperlink_file_214"/>
    <w:basedOn w:val="775"/>
    <w:semiHidden/>
    <w:unhideWhenUsed/>
    <w:qFormat/>
    <w:uiPriority w:val="99"/>
    <w:rPr>
      <w:color w:val="0782C1"/>
      <w:u w:val="single"/>
    </w:rPr>
  </w:style>
  <w:style w:type="character" w:customStyle="1" w:styleId="778">
    <w:name w:val="FollowedHyperlink_file_214"/>
    <w:basedOn w:val="775"/>
    <w:semiHidden/>
    <w:unhideWhenUsed/>
    <w:qFormat/>
    <w:uiPriority w:val="99"/>
    <w:rPr>
      <w:color w:val="0782C1"/>
      <w:u w:val="single"/>
    </w:rPr>
  </w:style>
  <w:style w:type="character" w:customStyle="1" w:styleId="779">
    <w:name w:val="标题 1 Char_file_214"/>
    <w:basedOn w:val="775"/>
    <w:qFormat/>
    <w:uiPriority w:val="9"/>
    <w:rPr>
      <w:rFonts w:ascii="宋体" w:hAnsi="宋体" w:eastAsia="宋体" w:cs="宋体"/>
      <w:b/>
      <w:bCs/>
      <w:kern w:val="44"/>
      <w:sz w:val="44"/>
      <w:szCs w:val="44"/>
    </w:rPr>
  </w:style>
  <w:style w:type="character" w:customStyle="1" w:styleId="780">
    <w:name w:val="标题 2 Char_file_214"/>
    <w:basedOn w:val="775"/>
    <w:semiHidden/>
    <w:qFormat/>
    <w:uiPriority w:val="9"/>
    <w:rPr>
      <w:rFonts w:asciiTheme="majorHAnsi" w:hAnsiTheme="majorHAnsi" w:eastAsiaTheme="majorEastAsia" w:cstheme="majorBidi"/>
      <w:b/>
      <w:bCs/>
      <w:sz w:val="32"/>
      <w:szCs w:val="32"/>
    </w:rPr>
  </w:style>
  <w:style w:type="character" w:customStyle="1" w:styleId="781">
    <w:name w:val="标题 3 Char_file_214"/>
    <w:basedOn w:val="775"/>
    <w:semiHidden/>
    <w:qFormat/>
    <w:uiPriority w:val="9"/>
    <w:rPr>
      <w:rFonts w:ascii="宋体" w:hAnsi="宋体" w:eastAsia="宋体" w:cs="宋体"/>
      <w:b/>
      <w:bCs/>
      <w:sz w:val="32"/>
      <w:szCs w:val="32"/>
    </w:rPr>
  </w:style>
  <w:style w:type="character" w:customStyle="1" w:styleId="782">
    <w:name w:val="标题 4 Char_file_214"/>
    <w:basedOn w:val="775"/>
    <w:semiHidden/>
    <w:qFormat/>
    <w:uiPriority w:val="9"/>
    <w:rPr>
      <w:rFonts w:asciiTheme="majorHAnsi" w:hAnsiTheme="majorHAnsi" w:eastAsiaTheme="majorEastAsia" w:cstheme="majorBidi"/>
      <w:b/>
      <w:bCs/>
      <w:sz w:val="28"/>
      <w:szCs w:val="28"/>
    </w:rPr>
  </w:style>
  <w:style w:type="character" w:customStyle="1" w:styleId="783">
    <w:name w:val="标题 5 Char_file_214"/>
    <w:basedOn w:val="775"/>
    <w:semiHidden/>
    <w:qFormat/>
    <w:uiPriority w:val="9"/>
    <w:rPr>
      <w:rFonts w:ascii="宋体" w:hAnsi="宋体" w:eastAsia="宋体" w:cs="宋体"/>
      <w:b/>
      <w:bCs/>
      <w:sz w:val="28"/>
      <w:szCs w:val="28"/>
    </w:rPr>
  </w:style>
  <w:style w:type="character" w:customStyle="1" w:styleId="784">
    <w:name w:val="标题 6 Char_file_214"/>
    <w:basedOn w:val="775"/>
    <w:semiHidden/>
    <w:qFormat/>
    <w:uiPriority w:val="9"/>
    <w:rPr>
      <w:rFonts w:asciiTheme="majorHAnsi" w:hAnsiTheme="majorHAnsi" w:eastAsiaTheme="majorEastAsia" w:cstheme="majorBidi"/>
      <w:b/>
      <w:bCs/>
      <w:sz w:val="24"/>
      <w:szCs w:val="24"/>
    </w:rPr>
  </w:style>
  <w:style w:type="paragraph" w:customStyle="1" w:styleId="785">
    <w:name w:val="cke_editable_file_214"/>
    <w:basedOn w:val="768"/>
    <w:qFormat/>
    <w:uiPriority w:val="0"/>
    <w:rPr>
      <w:rFonts w:ascii="仿宋_GB2312" w:eastAsia="仿宋_GB2312"/>
    </w:rPr>
  </w:style>
  <w:style w:type="paragraph" w:customStyle="1" w:styleId="786">
    <w:name w:val="marker_file_214"/>
    <w:basedOn w:val="768"/>
    <w:qFormat/>
    <w:uiPriority w:val="0"/>
    <w:pPr>
      <w:shd w:val="clear" w:color="auto" w:fill="FFFF00"/>
    </w:pPr>
  </w:style>
  <w:style w:type="paragraph" w:customStyle="1" w:styleId="787">
    <w:name w:val="Normal (Web)_file_214"/>
    <w:basedOn w:val="768"/>
    <w:semiHidden/>
    <w:unhideWhenUsed/>
    <w:qFormat/>
    <w:uiPriority w:val="99"/>
  </w:style>
  <w:style w:type="paragraph" w:customStyle="1" w:styleId="788">
    <w:name w:val="Normal_file_2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89">
    <w:name w:val="heading 1_file_215"/>
    <w:basedOn w:val="788"/>
    <w:qFormat/>
    <w:uiPriority w:val="9"/>
    <w:pPr>
      <w:outlineLvl w:val="0"/>
    </w:pPr>
    <w:rPr>
      <w:kern w:val="36"/>
      <w:sz w:val="48"/>
      <w:szCs w:val="48"/>
    </w:rPr>
  </w:style>
  <w:style w:type="paragraph" w:customStyle="1" w:styleId="790">
    <w:name w:val="heading 2_file_215"/>
    <w:basedOn w:val="788"/>
    <w:qFormat/>
    <w:uiPriority w:val="9"/>
    <w:pPr>
      <w:outlineLvl w:val="1"/>
    </w:pPr>
    <w:rPr>
      <w:sz w:val="36"/>
      <w:szCs w:val="36"/>
    </w:rPr>
  </w:style>
  <w:style w:type="paragraph" w:customStyle="1" w:styleId="791">
    <w:name w:val="heading 3_file_215"/>
    <w:basedOn w:val="788"/>
    <w:qFormat/>
    <w:uiPriority w:val="9"/>
    <w:pPr>
      <w:outlineLvl w:val="2"/>
    </w:pPr>
    <w:rPr>
      <w:sz w:val="27"/>
      <w:szCs w:val="27"/>
    </w:rPr>
  </w:style>
  <w:style w:type="paragraph" w:customStyle="1" w:styleId="792">
    <w:name w:val="heading 4_file_215"/>
    <w:basedOn w:val="788"/>
    <w:qFormat/>
    <w:uiPriority w:val="9"/>
    <w:pPr>
      <w:outlineLvl w:val="3"/>
    </w:pPr>
  </w:style>
  <w:style w:type="paragraph" w:customStyle="1" w:styleId="793">
    <w:name w:val="heading 5_file_215"/>
    <w:basedOn w:val="788"/>
    <w:qFormat/>
    <w:uiPriority w:val="9"/>
    <w:pPr>
      <w:outlineLvl w:val="4"/>
    </w:pPr>
    <w:rPr>
      <w:sz w:val="20"/>
      <w:szCs w:val="20"/>
    </w:rPr>
  </w:style>
  <w:style w:type="paragraph" w:customStyle="1" w:styleId="794">
    <w:name w:val="heading 6_file_215"/>
    <w:basedOn w:val="788"/>
    <w:qFormat/>
    <w:uiPriority w:val="9"/>
    <w:pPr>
      <w:outlineLvl w:val="5"/>
    </w:pPr>
    <w:rPr>
      <w:sz w:val="15"/>
      <w:szCs w:val="15"/>
    </w:rPr>
  </w:style>
  <w:style w:type="character" w:customStyle="1" w:styleId="795">
    <w:name w:val="Default Paragraph Font_file_215"/>
    <w:semiHidden/>
    <w:unhideWhenUsed/>
    <w:qFormat/>
    <w:uiPriority w:val="1"/>
  </w:style>
  <w:style w:type="table" w:customStyle="1" w:styleId="796">
    <w:name w:val="Normal Table_file_215"/>
    <w:semiHidden/>
    <w:unhideWhenUsed/>
    <w:qFormat/>
    <w:uiPriority w:val="99"/>
    <w:tblPr>
      <w:tblCellMar>
        <w:top w:w="0" w:type="dxa"/>
        <w:left w:w="108" w:type="dxa"/>
        <w:bottom w:w="0" w:type="dxa"/>
        <w:right w:w="108" w:type="dxa"/>
      </w:tblCellMar>
    </w:tblPr>
  </w:style>
  <w:style w:type="character" w:customStyle="1" w:styleId="797">
    <w:name w:val="Hyperlink_file_215"/>
    <w:basedOn w:val="795"/>
    <w:semiHidden/>
    <w:unhideWhenUsed/>
    <w:qFormat/>
    <w:uiPriority w:val="99"/>
    <w:rPr>
      <w:color w:val="0782C1"/>
      <w:u w:val="single"/>
    </w:rPr>
  </w:style>
  <w:style w:type="character" w:customStyle="1" w:styleId="798">
    <w:name w:val="FollowedHyperlink_file_215"/>
    <w:basedOn w:val="795"/>
    <w:semiHidden/>
    <w:unhideWhenUsed/>
    <w:qFormat/>
    <w:uiPriority w:val="99"/>
    <w:rPr>
      <w:color w:val="0782C1"/>
      <w:u w:val="single"/>
    </w:rPr>
  </w:style>
  <w:style w:type="character" w:customStyle="1" w:styleId="799">
    <w:name w:val="标题 1 Char"/>
    <w:basedOn w:val="795"/>
    <w:link w:val="3"/>
    <w:qFormat/>
    <w:uiPriority w:val="9"/>
    <w:rPr>
      <w:rFonts w:ascii="宋体" w:hAnsi="宋体" w:eastAsia="宋体" w:cs="宋体"/>
      <w:b/>
      <w:bCs/>
      <w:kern w:val="44"/>
      <w:sz w:val="44"/>
      <w:szCs w:val="44"/>
    </w:rPr>
  </w:style>
  <w:style w:type="character" w:customStyle="1" w:styleId="800">
    <w:name w:val="标题 2 Char"/>
    <w:basedOn w:val="795"/>
    <w:link w:val="4"/>
    <w:semiHidden/>
    <w:qFormat/>
    <w:uiPriority w:val="9"/>
    <w:rPr>
      <w:rFonts w:asciiTheme="majorHAnsi" w:hAnsiTheme="majorHAnsi" w:eastAsiaTheme="majorEastAsia" w:cstheme="majorBidi"/>
      <w:b/>
      <w:bCs/>
      <w:sz w:val="32"/>
      <w:szCs w:val="32"/>
    </w:rPr>
  </w:style>
  <w:style w:type="character" w:customStyle="1" w:styleId="801">
    <w:name w:val="标题 3 Char"/>
    <w:basedOn w:val="795"/>
    <w:link w:val="5"/>
    <w:semiHidden/>
    <w:qFormat/>
    <w:uiPriority w:val="9"/>
    <w:rPr>
      <w:rFonts w:ascii="宋体" w:hAnsi="宋体" w:eastAsia="宋体" w:cs="宋体"/>
      <w:b/>
      <w:bCs/>
      <w:sz w:val="32"/>
      <w:szCs w:val="32"/>
    </w:rPr>
  </w:style>
  <w:style w:type="character" w:customStyle="1" w:styleId="802">
    <w:name w:val="标题 4 Char"/>
    <w:basedOn w:val="795"/>
    <w:link w:val="6"/>
    <w:semiHidden/>
    <w:qFormat/>
    <w:uiPriority w:val="9"/>
    <w:rPr>
      <w:rFonts w:asciiTheme="majorHAnsi" w:hAnsiTheme="majorHAnsi" w:eastAsiaTheme="majorEastAsia" w:cstheme="majorBidi"/>
      <w:b/>
      <w:bCs/>
      <w:sz w:val="28"/>
      <w:szCs w:val="28"/>
    </w:rPr>
  </w:style>
  <w:style w:type="character" w:customStyle="1" w:styleId="803">
    <w:name w:val="标题 5 Char"/>
    <w:basedOn w:val="795"/>
    <w:link w:val="7"/>
    <w:semiHidden/>
    <w:qFormat/>
    <w:uiPriority w:val="9"/>
    <w:rPr>
      <w:rFonts w:ascii="宋体" w:hAnsi="宋体" w:eastAsia="宋体" w:cs="宋体"/>
      <w:b/>
      <w:bCs/>
      <w:sz w:val="28"/>
      <w:szCs w:val="28"/>
    </w:rPr>
  </w:style>
  <w:style w:type="character" w:customStyle="1" w:styleId="804">
    <w:name w:val="标题 6 Char"/>
    <w:basedOn w:val="795"/>
    <w:link w:val="9"/>
    <w:semiHidden/>
    <w:qFormat/>
    <w:uiPriority w:val="9"/>
    <w:rPr>
      <w:rFonts w:asciiTheme="majorHAnsi" w:hAnsiTheme="majorHAnsi" w:eastAsiaTheme="majorEastAsia" w:cstheme="majorBidi"/>
      <w:b/>
      <w:bCs/>
      <w:sz w:val="24"/>
      <w:szCs w:val="24"/>
    </w:rPr>
  </w:style>
  <w:style w:type="paragraph" w:customStyle="1" w:styleId="805">
    <w:name w:val="cke_editable_file_215"/>
    <w:basedOn w:val="788"/>
    <w:qFormat/>
    <w:uiPriority w:val="0"/>
    <w:rPr>
      <w:rFonts w:ascii="仿宋_GB2312" w:eastAsia="仿宋_GB2312"/>
    </w:rPr>
  </w:style>
  <w:style w:type="paragraph" w:customStyle="1" w:styleId="806">
    <w:name w:val="marker_file_215"/>
    <w:basedOn w:val="788"/>
    <w:qFormat/>
    <w:uiPriority w:val="0"/>
    <w:pPr>
      <w:shd w:val="clear" w:color="auto" w:fill="FFFF00"/>
    </w:pPr>
  </w:style>
  <w:style w:type="paragraph" w:customStyle="1" w:styleId="807">
    <w:name w:val="Normal (Web)_file_215"/>
    <w:basedOn w:val="788"/>
    <w:semiHidden/>
    <w:unhideWhenUsed/>
    <w:qFormat/>
    <w:uiPriority w:val="99"/>
  </w:style>
  <w:style w:type="paragraph" w:customStyle="1" w:styleId="808">
    <w:name w:val="Plain Text_file_369_file_420_file_341_file_582_file_641_file_101"/>
    <w:basedOn w:val="809"/>
    <w:qFormat/>
    <w:uiPriority w:val="0"/>
    <w:rPr>
      <w:rFonts w:ascii="宋体" w:hAnsi="Courier New" w:cs="Courier New"/>
      <w:szCs w:val="21"/>
    </w:rPr>
  </w:style>
  <w:style w:type="paragraph" w:customStyle="1" w:styleId="809">
    <w:name w:val="Normal_file_369_file_420_file_341_file_582_file_641_file_101"/>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0">
    <w:name w:val="Plain Text_file_150"/>
    <w:basedOn w:val="811"/>
    <w:qFormat/>
    <w:uiPriority w:val="0"/>
    <w:rPr>
      <w:rFonts w:ascii="宋体" w:hAnsi="Courier New" w:cs="Courier New"/>
      <w:szCs w:val="21"/>
    </w:rPr>
  </w:style>
  <w:style w:type="paragraph" w:customStyle="1" w:styleId="811">
    <w:name w:val="Normal_file_150"/>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812">
    <w:name w:val="Normal Table_file_150"/>
    <w:semiHidden/>
    <w:qFormat/>
    <w:uiPriority w:val="0"/>
    <w:tblPr>
      <w:tblCellMar>
        <w:top w:w="0" w:type="dxa"/>
        <w:left w:w="108" w:type="dxa"/>
        <w:bottom w:w="0" w:type="dxa"/>
        <w:right w:w="108" w:type="dxa"/>
      </w:tblCellMar>
    </w:tblPr>
  </w:style>
  <w:style w:type="character" w:customStyle="1" w:styleId="813">
    <w:name w:val="Strong_file_349"/>
    <w:qFormat/>
    <w:uiPriority w:val="22"/>
    <w:rPr>
      <w:b/>
      <w:bCs/>
    </w:rPr>
  </w:style>
  <w:style w:type="table" w:customStyle="1" w:styleId="814">
    <w:name w:val="Normal Table_file_423_file_233_file_713_file_630"/>
    <w:semiHidden/>
    <w:qFormat/>
    <w:uiPriority w:val="0"/>
    <w:tblPr>
      <w:tblCellMar>
        <w:top w:w="0" w:type="dxa"/>
        <w:left w:w="108" w:type="dxa"/>
        <w:bottom w:w="0" w:type="dxa"/>
        <w:right w:w="108" w:type="dxa"/>
      </w:tblCellMar>
    </w:tblPr>
  </w:style>
  <w:style w:type="paragraph" w:customStyle="1" w:styleId="815">
    <w:name w:val="Plain Text_file_423_file_233_file_713_file_630"/>
    <w:basedOn w:val="1"/>
    <w:qFormat/>
    <w:uiPriority w:val="0"/>
    <w:rPr>
      <w:rFonts w:ascii="宋体" w:hAnsi="Courier New" w:cs="Courier New"/>
      <w:szCs w:val="21"/>
    </w:rPr>
  </w:style>
  <w:style w:type="paragraph" w:customStyle="1" w:styleId="816">
    <w:name w:val="表格文字_file_423_file_233_file_713_file_630"/>
    <w:basedOn w:val="1"/>
    <w:qFormat/>
    <w:uiPriority w:val="99"/>
    <w:pPr>
      <w:spacing w:before="25" w:after="25"/>
      <w:jc w:val="left"/>
    </w:pPr>
    <w:rPr>
      <w:bCs/>
      <w:spacing w:val="10"/>
      <w:kern w:val="0"/>
      <w:sz w:val="24"/>
    </w:rPr>
  </w:style>
  <w:style w:type="table" w:customStyle="1" w:styleId="817">
    <w:name w:val="Normal Table_file_1078_file_331"/>
    <w:semiHidden/>
    <w:qFormat/>
    <w:uiPriority w:val="0"/>
    <w:tblPr>
      <w:tblCellMar>
        <w:top w:w="0" w:type="dxa"/>
        <w:left w:w="108" w:type="dxa"/>
        <w:bottom w:w="0" w:type="dxa"/>
        <w:right w:w="108" w:type="dxa"/>
      </w:tblCellMar>
    </w:tblPr>
  </w:style>
  <w:style w:type="paragraph" w:customStyle="1" w:styleId="818">
    <w:name w:val="TOC Heading_6691ed8e-8f8d-4495-ad37-8201c7ee51c0"/>
    <w:basedOn w:val="3"/>
    <w:next w:val="1"/>
    <w:qFormat/>
    <w:uiPriority w:val="39"/>
    <w:pPr>
      <w:spacing w:before="240" w:line="259" w:lineRule="auto"/>
      <w:jc w:val="left"/>
      <w:outlineLvl w:val="9"/>
    </w:pPr>
    <w:rPr>
      <w:rFonts w:ascii="Calibri Light" w:hAnsi="Calibri Light" w:cs="宋体"/>
      <w:color w:val="2E75B6"/>
      <w:kern w:val="0"/>
      <w:sz w:val="32"/>
      <w:szCs w:val="32"/>
    </w:rPr>
  </w:style>
  <w:style w:type="paragraph" w:customStyle="1" w:styleId="819">
    <w:name w:val="Table Bullet"/>
    <w:basedOn w:val="1"/>
    <w:qFormat/>
    <w:uiPriority w:val="0"/>
    <w:pPr>
      <w:widowControl/>
      <w:numPr>
        <w:ilvl w:val="0"/>
        <w:numId w:val="2"/>
      </w:numPr>
      <w:spacing w:after="120"/>
      <w:contextualSpacing/>
    </w:pPr>
    <w:rPr>
      <w:rFonts w:ascii="Frutiger LT Com 45 Light" w:hAnsi="Frutiger LT Com 45 Light"/>
      <w:kern w:val="0"/>
      <w:sz w:val="20"/>
      <w:szCs w:val="22"/>
      <w:lang w:val="en-GB" w:eastAsia="en-US"/>
    </w:rPr>
  </w:style>
  <w:style w:type="paragraph" w:customStyle="1" w:styleId="820">
    <w:name w:val="Body Text First Indent_file_873_file_174"/>
    <w:basedOn w:val="821"/>
    <w:qFormat/>
    <w:uiPriority w:val="0"/>
    <w:pPr>
      <w:ind w:firstLine="420" w:firstLineChars="100"/>
    </w:pPr>
  </w:style>
  <w:style w:type="paragraph" w:customStyle="1" w:styleId="821">
    <w:name w:val="Body Text_file_873_file_174"/>
    <w:basedOn w:val="822"/>
    <w:qFormat/>
    <w:uiPriority w:val="0"/>
    <w:pPr>
      <w:spacing w:line="420" w:lineRule="exact"/>
    </w:pPr>
    <w:rPr>
      <w:sz w:val="24"/>
    </w:rPr>
  </w:style>
  <w:style w:type="paragraph" w:customStyle="1" w:styleId="822">
    <w:name w:val="Normal_file_873_file_174"/>
    <w:next w:val="6"/>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823">
    <w:name w:val="Normal Table_file_873_file_174"/>
    <w:unhideWhenUsed/>
    <w:qFormat/>
    <w:uiPriority w:val="99"/>
    <w:tblPr>
      <w:tblCellMar>
        <w:top w:w="0" w:type="dxa"/>
        <w:left w:w="108" w:type="dxa"/>
        <w:bottom w:w="0" w:type="dxa"/>
        <w:right w:w="108" w:type="dxa"/>
      </w:tblCellMar>
    </w:tblPr>
  </w:style>
  <w:style w:type="table" w:customStyle="1" w:styleId="824">
    <w:name w:val="Normal Table_file_2670"/>
    <w:qFormat/>
    <w:uiPriority w:val="0"/>
    <w:tblPr>
      <w:tblCellMar>
        <w:top w:w="0" w:type="dxa"/>
        <w:left w:w="108" w:type="dxa"/>
        <w:bottom w:w="0" w:type="dxa"/>
        <w:right w:w="108" w:type="dxa"/>
      </w:tblCellMar>
    </w:tblPr>
  </w:style>
  <w:style w:type="paragraph" w:customStyle="1" w:styleId="825">
    <w:name w:val="Normal (Web)_file_508"/>
    <w:basedOn w:val="826"/>
    <w:qFormat/>
    <w:uiPriority w:val="99"/>
  </w:style>
  <w:style w:type="paragraph" w:customStyle="1" w:styleId="826">
    <w:name w:val="Normal_file_508"/>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27">
    <w:name w:val="Strong_file_508"/>
    <w:basedOn w:val="828"/>
    <w:qFormat/>
    <w:uiPriority w:val="22"/>
    <w:rPr>
      <w:b/>
      <w:bCs/>
    </w:rPr>
  </w:style>
  <w:style w:type="character" w:customStyle="1" w:styleId="828">
    <w:name w:val="Default Paragraph Font_file_508"/>
    <w:qFormat/>
    <w:uiPriority w:val="1"/>
  </w:style>
  <w:style w:type="paragraph" w:customStyle="1" w:styleId="829">
    <w:name w:val="Normal (Web)_file_2679"/>
    <w:basedOn w:val="830"/>
    <w:qFormat/>
    <w:uiPriority w:val="99"/>
  </w:style>
  <w:style w:type="paragraph" w:customStyle="1" w:styleId="830">
    <w:name w:val="Normal_file_2679"/>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FC14DD-BFDD-4EF1-AFB9-C4EB76BC9398}">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166</Pages>
  <Words>20049</Words>
  <Characters>21323</Characters>
  <Lines>1077</Lines>
  <Paragraphs>303</Paragraphs>
  <TotalTime>37</TotalTime>
  <ScaleCrop>false</ScaleCrop>
  <LinksUpToDate>false</LinksUpToDate>
  <CharactersWithSpaces>21871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2024-06-11T08:40:00Z</dcterms:created>
  <dc:creator>柳州市政府集中采购中心</dc:creator>
  <cp:lastModifiedBy>黄慧</cp:lastModifiedBy>
  <cp:lastPrinted>2018-11-29T07:27:00Z</cp:lastPrinted>
  <dcterms:modified xsi:type="dcterms:W3CDTF">2025-10-28T07:20:14Z</dcterms:modified>
  <dc:title>询价通知书</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eyJoZGlkIjoiNTVmNDJhOGE4MWQyM2QwN2NlMTBlOWY2MTEzYzgyM2IiLCJ1c2VySWQiOiIxMzA5MTU0NTIwIn0=</vt:lpwstr>
  </property>
  <property fmtid="{D5CDD505-2E9C-101B-9397-08002B2CF9AE}" pid="4" name="ICV">
    <vt:lpwstr>2C6DBD84E2604C829539B6B191B84900_13</vt:lpwstr>
  </property>
</Properties>
</file>